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4B03" w14:textId="77777777" w:rsidR="00D16699" w:rsidRPr="00AB5FD2" w:rsidRDefault="00D16699" w:rsidP="00AF0171">
      <w:pPr>
        <w:pStyle w:val="Heading1"/>
        <w:rPr>
          <w:i/>
          <w:color w:val="000080"/>
          <w:sz w:val="28"/>
        </w:rPr>
      </w:pPr>
      <w:bookmarkStart w:id="0" w:name="OLE_LINK2"/>
      <w:r w:rsidRPr="00AB5FD2">
        <w:rPr>
          <w:i/>
          <w:color w:val="000080"/>
          <w:sz w:val="28"/>
        </w:rPr>
        <w:t>Part I – Agency Profile</w:t>
      </w:r>
      <w:bookmarkEnd w:id="0"/>
    </w:p>
    <w:p w14:paraId="10328809" w14:textId="77777777" w:rsidR="0030065A" w:rsidRDefault="0030065A" w:rsidP="001E2086">
      <w:pPr>
        <w:rPr>
          <w:rFonts w:ascii="Arial" w:hAnsi="Arial" w:cs="Arial"/>
          <w:b/>
          <w:bCs/>
        </w:rPr>
      </w:pPr>
    </w:p>
    <w:p w14:paraId="7D9981DB" w14:textId="77777777" w:rsidR="00411BF3" w:rsidRPr="00AB5FD2" w:rsidRDefault="00411BF3" w:rsidP="001E2086">
      <w:pPr>
        <w:rPr>
          <w:rFonts w:ascii="Arial" w:hAnsi="Arial" w:cs="Arial"/>
        </w:rPr>
      </w:pPr>
      <w:r w:rsidRPr="00AB5FD2">
        <w:rPr>
          <w:rFonts w:ascii="Arial" w:hAnsi="Arial" w:cs="Arial"/>
          <w:b/>
          <w:bCs/>
        </w:rPr>
        <w:t>Agency Overview</w:t>
      </w:r>
    </w:p>
    <w:p w14:paraId="05179E6E" w14:textId="030512F5" w:rsidR="00411BF3" w:rsidRPr="00AB5FD2" w:rsidRDefault="00411BF3" w:rsidP="008168C4">
      <w:pPr>
        <w:autoSpaceDE w:val="0"/>
        <w:autoSpaceDN w:val="0"/>
        <w:adjustRightInd w:val="0"/>
        <w:jc w:val="both"/>
        <w:rPr>
          <w:rFonts w:ascii="Arial" w:hAnsi="Arial" w:cs="Arial"/>
          <w:sz w:val="20"/>
          <w:szCs w:val="18"/>
        </w:rPr>
      </w:pPr>
      <w:r w:rsidRPr="00AB5FD2">
        <w:rPr>
          <w:rFonts w:ascii="Arial" w:hAnsi="Arial" w:cs="Arial"/>
          <w:sz w:val="20"/>
          <w:szCs w:val="18"/>
        </w:rPr>
        <w:t xml:space="preserve">The </w:t>
      </w:r>
      <w:r w:rsidR="00817101">
        <w:rPr>
          <w:rFonts w:ascii="Arial" w:hAnsi="Arial" w:cs="Arial"/>
          <w:sz w:val="20"/>
          <w:szCs w:val="18"/>
        </w:rPr>
        <w:t xml:space="preserve">primary responsibility of the </w:t>
      </w:r>
      <w:r w:rsidRPr="00AB5FD2">
        <w:rPr>
          <w:rFonts w:ascii="Arial" w:hAnsi="Arial" w:cs="Arial"/>
          <w:sz w:val="20"/>
          <w:szCs w:val="18"/>
        </w:rPr>
        <w:t xml:space="preserve">Idaho Industrial Commission </w:t>
      </w:r>
      <w:r w:rsidR="00817101">
        <w:rPr>
          <w:rFonts w:ascii="Arial" w:hAnsi="Arial" w:cs="Arial"/>
          <w:sz w:val="20"/>
          <w:szCs w:val="18"/>
        </w:rPr>
        <w:t xml:space="preserve">is to </w:t>
      </w:r>
      <w:r w:rsidRPr="00AB5FD2">
        <w:rPr>
          <w:rFonts w:ascii="Arial" w:hAnsi="Arial" w:cs="Arial"/>
          <w:sz w:val="20"/>
          <w:szCs w:val="18"/>
        </w:rPr>
        <w:t>administer the Idaho Workers</w:t>
      </w:r>
      <w:r w:rsidR="001365EA">
        <w:rPr>
          <w:rFonts w:ascii="Arial" w:hAnsi="Arial" w:cs="Arial"/>
          <w:sz w:val="20"/>
          <w:szCs w:val="18"/>
        </w:rPr>
        <w:t>'</w:t>
      </w:r>
      <w:r w:rsidRPr="00AB5FD2">
        <w:rPr>
          <w:rFonts w:ascii="Arial" w:hAnsi="Arial" w:cs="Arial"/>
          <w:sz w:val="20"/>
          <w:szCs w:val="18"/>
        </w:rPr>
        <w:t xml:space="preserve"> Compensati</w:t>
      </w:r>
      <w:r w:rsidR="009B79C0" w:rsidRPr="00AB5FD2">
        <w:rPr>
          <w:rFonts w:ascii="Arial" w:hAnsi="Arial" w:cs="Arial"/>
          <w:sz w:val="20"/>
          <w:szCs w:val="18"/>
        </w:rPr>
        <w:t xml:space="preserve">on Law (Title 72, Idaho Code). </w:t>
      </w:r>
      <w:r w:rsidR="00817101">
        <w:rPr>
          <w:rFonts w:ascii="Arial" w:hAnsi="Arial" w:cs="Arial"/>
          <w:sz w:val="20"/>
          <w:szCs w:val="18"/>
        </w:rPr>
        <w:t xml:space="preserve">In this role, the Commission ensures employer compliance with the obligation to obtain </w:t>
      </w:r>
      <w:r w:rsidR="00B170CD">
        <w:rPr>
          <w:rFonts w:ascii="Arial" w:hAnsi="Arial" w:cs="Arial"/>
          <w:sz w:val="20"/>
          <w:szCs w:val="18"/>
        </w:rPr>
        <w:t>coverage and pay benefits owed to injured workers</w:t>
      </w:r>
      <w:r w:rsidR="00817101">
        <w:rPr>
          <w:rFonts w:ascii="Arial" w:hAnsi="Arial" w:cs="Arial"/>
          <w:sz w:val="20"/>
          <w:szCs w:val="18"/>
        </w:rPr>
        <w:t xml:space="preserve">, provides rehabilitation services to those workers who have suffered permanent injuries, and adjudicates contested workers’ compensation claims.  </w:t>
      </w:r>
      <w:r w:rsidRPr="00AB5FD2">
        <w:rPr>
          <w:rFonts w:ascii="Arial" w:hAnsi="Arial" w:cs="Arial"/>
          <w:sz w:val="20"/>
          <w:szCs w:val="18"/>
        </w:rPr>
        <w:t>The Industrial Commiss</w:t>
      </w:r>
      <w:r w:rsidR="00F27639" w:rsidRPr="00AB5FD2">
        <w:rPr>
          <w:rFonts w:ascii="Arial" w:hAnsi="Arial" w:cs="Arial"/>
          <w:sz w:val="20"/>
          <w:szCs w:val="18"/>
        </w:rPr>
        <w:t xml:space="preserve">ion </w:t>
      </w:r>
      <w:r w:rsidR="00817101">
        <w:rPr>
          <w:rFonts w:ascii="Arial" w:hAnsi="Arial" w:cs="Arial"/>
          <w:sz w:val="20"/>
          <w:szCs w:val="18"/>
        </w:rPr>
        <w:t>is also responsible for administering the Crime victims Compensation program, and the Peace Officer and Detention Officer Disability Fund.</w:t>
      </w:r>
      <w:r w:rsidR="00B170CD">
        <w:rPr>
          <w:rFonts w:ascii="Arial" w:hAnsi="Arial" w:cs="Arial"/>
          <w:sz w:val="20"/>
          <w:szCs w:val="18"/>
        </w:rPr>
        <w:t xml:space="preserve">  </w:t>
      </w:r>
      <w:r w:rsidR="00817101">
        <w:rPr>
          <w:rFonts w:ascii="Arial" w:hAnsi="Arial" w:cs="Arial"/>
          <w:sz w:val="20"/>
          <w:szCs w:val="18"/>
        </w:rPr>
        <w:t xml:space="preserve">Finally, the Commission serves as the higher authority appellate body  </w:t>
      </w:r>
      <w:r w:rsidRPr="00AB5FD2">
        <w:rPr>
          <w:rFonts w:ascii="Arial" w:hAnsi="Arial" w:cs="Arial"/>
          <w:sz w:val="20"/>
          <w:szCs w:val="18"/>
        </w:rPr>
        <w:t xml:space="preserve"> </w:t>
      </w:r>
      <w:proofErr w:type="gramStart"/>
      <w:r w:rsidRPr="00AB5FD2">
        <w:rPr>
          <w:rFonts w:ascii="Arial" w:hAnsi="Arial" w:cs="Arial"/>
          <w:sz w:val="20"/>
          <w:szCs w:val="18"/>
        </w:rPr>
        <w:t>for  Idaho</w:t>
      </w:r>
      <w:proofErr w:type="gramEnd"/>
      <w:r w:rsidRPr="00AB5FD2">
        <w:rPr>
          <w:rFonts w:ascii="Arial" w:hAnsi="Arial" w:cs="Arial"/>
          <w:sz w:val="20"/>
          <w:szCs w:val="18"/>
        </w:rPr>
        <w:t xml:space="preserve"> Department of </w:t>
      </w:r>
      <w:r w:rsidR="00A36B16" w:rsidRPr="00AB5FD2">
        <w:rPr>
          <w:rFonts w:ascii="Arial" w:hAnsi="Arial" w:cs="Arial"/>
          <w:sz w:val="20"/>
          <w:szCs w:val="18"/>
        </w:rPr>
        <w:t>La</w:t>
      </w:r>
      <w:r w:rsidRPr="00AB5FD2">
        <w:rPr>
          <w:rFonts w:ascii="Arial" w:hAnsi="Arial" w:cs="Arial"/>
          <w:sz w:val="20"/>
          <w:szCs w:val="18"/>
        </w:rPr>
        <w:t>bor</w:t>
      </w:r>
      <w:r w:rsidR="008168C4">
        <w:rPr>
          <w:rFonts w:ascii="Arial" w:hAnsi="Arial" w:cs="Arial"/>
          <w:sz w:val="20"/>
          <w:szCs w:val="18"/>
        </w:rPr>
        <w:t xml:space="preserve"> </w:t>
      </w:r>
      <w:r w:rsidRPr="00AB5FD2">
        <w:rPr>
          <w:rFonts w:ascii="Arial" w:hAnsi="Arial" w:cs="Arial"/>
          <w:sz w:val="20"/>
          <w:szCs w:val="18"/>
        </w:rPr>
        <w:t>unemployment claims</w:t>
      </w:r>
      <w:r w:rsidR="00817101">
        <w:rPr>
          <w:rFonts w:ascii="Arial" w:hAnsi="Arial" w:cs="Arial"/>
          <w:sz w:val="20"/>
          <w:szCs w:val="18"/>
        </w:rPr>
        <w:t>.</w:t>
      </w:r>
    </w:p>
    <w:p w14:paraId="76259CC7" w14:textId="77777777" w:rsidR="00411BF3" w:rsidRPr="00AB5FD2" w:rsidRDefault="00411BF3" w:rsidP="008168C4">
      <w:pPr>
        <w:autoSpaceDE w:val="0"/>
        <w:autoSpaceDN w:val="0"/>
        <w:adjustRightInd w:val="0"/>
        <w:jc w:val="both"/>
        <w:rPr>
          <w:rFonts w:ascii="Arial" w:hAnsi="Arial" w:cs="Arial"/>
          <w:sz w:val="20"/>
          <w:szCs w:val="18"/>
        </w:rPr>
      </w:pPr>
    </w:p>
    <w:p w14:paraId="3E2F1B19" w14:textId="57887444" w:rsidR="00411BF3" w:rsidRDefault="005E44F8" w:rsidP="008168C4">
      <w:pPr>
        <w:autoSpaceDE w:val="0"/>
        <w:autoSpaceDN w:val="0"/>
        <w:adjustRightInd w:val="0"/>
        <w:jc w:val="both"/>
        <w:rPr>
          <w:rFonts w:ascii="Arial" w:hAnsi="Arial" w:cs="Arial"/>
          <w:sz w:val="20"/>
          <w:szCs w:val="18"/>
        </w:rPr>
      </w:pPr>
      <w:r w:rsidRPr="005E44F8">
        <w:rPr>
          <w:rFonts w:ascii="Arial" w:hAnsi="Arial" w:cs="Arial"/>
          <w:sz w:val="20"/>
          <w:szCs w:val="18"/>
        </w:rPr>
        <w:t>The Commission is governed by three Commissioners appointed by the Governor. One Commissioner must be an Idaho licensed attorney, only one can have a background to be classed as representing employers, and only one can have a background to be classed as representing workers. No more than two Commissioners can belong to the same political party. The Commissioners are assisted in administering day-to-day activities by a director who serves at a level between the Commissioners and staff to coordinate the activities of the four functional divisions of the agency.</w:t>
      </w:r>
    </w:p>
    <w:p w14:paraId="28E1379C" w14:textId="77777777" w:rsidR="005E44F8" w:rsidRPr="00AB5FD2" w:rsidRDefault="005E44F8" w:rsidP="008168C4">
      <w:pPr>
        <w:autoSpaceDE w:val="0"/>
        <w:autoSpaceDN w:val="0"/>
        <w:adjustRightInd w:val="0"/>
        <w:jc w:val="both"/>
        <w:rPr>
          <w:rFonts w:ascii="Arial" w:hAnsi="Arial" w:cs="Arial"/>
          <w:sz w:val="20"/>
          <w:szCs w:val="18"/>
        </w:rPr>
      </w:pPr>
    </w:p>
    <w:p w14:paraId="302F5AA9" w14:textId="3087DFDF" w:rsidR="00411BF3" w:rsidRPr="00AB5FD2" w:rsidRDefault="00411BF3" w:rsidP="008168C4">
      <w:pPr>
        <w:autoSpaceDE w:val="0"/>
        <w:autoSpaceDN w:val="0"/>
        <w:adjustRightInd w:val="0"/>
        <w:jc w:val="both"/>
        <w:rPr>
          <w:rFonts w:ascii="Arial" w:hAnsi="Arial" w:cs="Arial"/>
          <w:sz w:val="20"/>
          <w:szCs w:val="18"/>
        </w:rPr>
      </w:pPr>
      <w:r w:rsidRPr="00AB5FD2">
        <w:rPr>
          <w:rFonts w:ascii="Arial" w:hAnsi="Arial" w:cs="Arial"/>
          <w:sz w:val="20"/>
          <w:szCs w:val="18"/>
        </w:rPr>
        <w:t xml:space="preserve">The Industrial Commission </w:t>
      </w:r>
      <w:r w:rsidR="00F27639" w:rsidRPr="00AB5FD2">
        <w:rPr>
          <w:rFonts w:ascii="Arial" w:hAnsi="Arial" w:cs="Arial"/>
          <w:sz w:val="20"/>
          <w:szCs w:val="18"/>
        </w:rPr>
        <w:t>employs</w:t>
      </w:r>
      <w:r w:rsidRPr="00AB5FD2">
        <w:rPr>
          <w:rFonts w:ascii="Arial" w:hAnsi="Arial" w:cs="Arial"/>
          <w:sz w:val="20"/>
          <w:szCs w:val="18"/>
        </w:rPr>
        <w:t xml:space="preserve"> approximately </w:t>
      </w:r>
      <w:r w:rsidR="00F44A10" w:rsidRPr="00AB5FD2">
        <w:rPr>
          <w:rFonts w:ascii="Arial" w:hAnsi="Arial" w:cs="Arial"/>
          <w:sz w:val="20"/>
          <w:szCs w:val="18"/>
        </w:rPr>
        <w:t>13</w:t>
      </w:r>
      <w:r w:rsidR="00793BB4">
        <w:rPr>
          <w:rFonts w:ascii="Arial" w:hAnsi="Arial" w:cs="Arial"/>
          <w:sz w:val="20"/>
          <w:szCs w:val="18"/>
        </w:rPr>
        <w:t>4</w:t>
      </w:r>
      <w:r w:rsidR="009B79C0" w:rsidRPr="00AB5FD2">
        <w:rPr>
          <w:rFonts w:ascii="Arial" w:hAnsi="Arial" w:cs="Arial"/>
          <w:sz w:val="20"/>
          <w:szCs w:val="18"/>
        </w:rPr>
        <w:t xml:space="preserve"> employees statewide. </w:t>
      </w:r>
      <w:r w:rsidRPr="00AB5FD2">
        <w:rPr>
          <w:rFonts w:ascii="Arial" w:hAnsi="Arial" w:cs="Arial"/>
          <w:sz w:val="20"/>
          <w:szCs w:val="18"/>
        </w:rPr>
        <w:t>The main office is in Boise</w:t>
      </w:r>
      <w:r w:rsidR="009B79C0" w:rsidRPr="00AB5FD2">
        <w:rPr>
          <w:rFonts w:ascii="Arial" w:hAnsi="Arial" w:cs="Arial"/>
          <w:sz w:val="20"/>
          <w:szCs w:val="18"/>
        </w:rPr>
        <w:t>,</w:t>
      </w:r>
      <w:r w:rsidRPr="00AB5FD2">
        <w:rPr>
          <w:rFonts w:ascii="Arial" w:hAnsi="Arial" w:cs="Arial"/>
          <w:sz w:val="20"/>
          <w:szCs w:val="18"/>
        </w:rPr>
        <w:t xml:space="preserve"> and there are </w:t>
      </w:r>
      <w:r w:rsidR="009B79C0" w:rsidRPr="00AB5FD2">
        <w:rPr>
          <w:rFonts w:ascii="Arial" w:hAnsi="Arial" w:cs="Arial"/>
          <w:sz w:val="20"/>
          <w:szCs w:val="18"/>
        </w:rPr>
        <w:t>1</w:t>
      </w:r>
      <w:r w:rsidR="002252EC" w:rsidRPr="00AB5FD2">
        <w:rPr>
          <w:rFonts w:ascii="Arial" w:hAnsi="Arial" w:cs="Arial"/>
          <w:sz w:val="20"/>
          <w:szCs w:val="18"/>
        </w:rPr>
        <w:t>0</w:t>
      </w:r>
      <w:r w:rsidR="00E61E0B" w:rsidRPr="00AB5FD2">
        <w:rPr>
          <w:rFonts w:ascii="Arial" w:hAnsi="Arial" w:cs="Arial"/>
          <w:sz w:val="20"/>
          <w:szCs w:val="18"/>
        </w:rPr>
        <w:t xml:space="preserve"> </w:t>
      </w:r>
      <w:r w:rsidR="009D61DE" w:rsidRPr="00AB5FD2">
        <w:rPr>
          <w:rFonts w:ascii="Arial" w:hAnsi="Arial" w:cs="Arial"/>
          <w:sz w:val="20"/>
          <w:szCs w:val="18"/>
        </w:rPr>
        <w:t xml:space="preserve">additional </w:t>
      </w:r>
      <w:r w:rsidRPr="00AB5FD2">
        <w:rPr>
          <w:rFonts w:ascii="Arial" w:hAnsi="Arial" w:cs="Arial"/>
          <w:sz w:val="20"/>
          <w:szCs w:val="18"/>
        </w:rPr>
        <w:t>field</w:t>
      </w:r>
      <w:r w:rsidR="009B79C0" w:rsidRPr="00AB5FD2">
        <w:rPr>
          <w:rFonts w:ascii="Arial" w:hAnsi="Arial" w:cs="Arial"/>
          <w:sz w:val="20"/>
          <w:szCs w:val="18"/>
        </w:rPr>
        <w:t xml:space="preserve"> offices throughout the state. </w:t>
      </w:r>
      <w:r w:rsidRPr="00AB5FD2">
        <w:rPr>
          <w:rFonts w:ascii="Arial" w:hAnsi="Arial" w:cs="Arial"/>
          <w:sz w:val="20"/>
          <w:szCs w:val="18"/>
        </w:rPr>
        <w:t xml:space="preserve">The field offices </w:t>
      </w:r>
      <w:r w:rsidR="00F27639" w:rsidRPr="00AB5FD2">
        <w:rPr>
          <w:rFonts w:ascii="Arial" w:hAnsi="Arial" w:cs="Arial"/>
          <w:sz w:val="20"/>
          <w:szCs w:val="18"/>
        </w:rPr>
        <w:t>are comprised of Rehabilitation Divisio</w:t>
      </w:r>
      <w:r w:rsidR="00287A7E" w:rsidRPr="00AB5FD2">
        <w:rPr>
          <w:rFonts w:ascii="Arial" w:hAnsi="Arial" w:cs="Arial"/>
          <w:sz w:val="20"/>
          <w:szCs w:val="18"/>
        </w:rPr>
        <w:t>n and Employer Compliance staff.</w:t>
      </w:r>
      <w:r w:rsidR="00F27639" w:rsidRPr="00AB5FD2">
        <w:rPr>
          <w:rFonts w:ascii="Arial" w:hAnsi="Arial" w:cs="Arial"/>
          <w:sz w:val="20"/>
          <w:szCs w:val="18"/>
        </w:rPr>
        <w:t xml:space="preserve"> </w:t>
      </w:r>
      <w:r w:rsidR="00DA2BE8" w:rsidRPr="00AB5FD2">
        <w:rPr>
          <w:rFonts w:ascii="Arial" w:hAnsi="Arial" w:cs="Arial"/>
          <w:sz w:val="20"/>
          <w:szCs w:val="18"/>
        </w:rPr>
        <w:t>Administrative</w:t>
      </w:r>
      <w:r w:rsidR="00F27639" w:rsidRPr="00AB5FD2">
        <w:rPr>
          <w:rFonts w:ascii="Arial" w:hAnsi="Arial" w:cs="Arial"/>
          <w:sz w:val="20"/>
          <w:szCs w:val="18"/>
        </w:rPr>
        <w:t xml:space="preserve"> hearings </w:t>
      </w:r>
      <w:r w:rsidR="00287A7E" w:rsidRPr="00AB5FD2">
        <w:rPr>
          <w:rFonts w:ascii="Arial" w:hAnsi="Arial" w:cs="Arial"/>
          <w:sz w:val="20"/>
          <w:szCs w:val="18"/>
        </w:rPr>
        <w:t xml:space="preserve">and mediations </w:t>
      </w:r>
      <w:r w:rsidR="00F76D34" w:rsidRPr="00AB5FD2">
        <w:rPr>
          <w:rFonts w:ascii="Arial" w:hAnsi="Arial" w:cs="Arial"/>
          <w:sz w:val="20"/>
          <w:szCs w:val="18"/>
        </w:rPr>
        <w:t>are also held in these offices.</w:t>
      </w:r>
    </w:p>
    <w:p w14:paraId="23B5D14D" w14:textId="77777777" w:rsidR="00411BF3" w:rsidRPr="00AB5FD2" w:rsidRDefault="00411BF3" w:rsidP="001E2086">
      <w:pPr>
        <w:jc w:val="both"/>
        <w:rPr>
          <w:rFonts w:ascii="Arial" w:hAnsi="Arial" w:cs="Arial"/>
        </w:rPr>
      </w:pPr>
    </w:p>
    <w:p w14:paraId="112B2A87" w14:textId="77777777" w:rsidR="00411BF3" w:rsidRPr="00AB5FD2" w:rsidRDefault="00411BF3" w:rsidP="001E2086">
      <w:pPr>
        <w:jc w:val="both"/>
        <w:rPr>
          <w:rFonts w:ascii="Arial" w:hAnsi="Arial" w:cs="Arial"/>
        </w:rPr>
      </w:pPr>
      <w:r w:rsidRPr="00AB5FD2">
        <w:rPr>
          <w:rFonts w:ascii="Arial" w:hAnsi="Arial" w:cs="Arial"/>
          <w:b/>
          <w:bCs/>
        </w:rPr>
        <w:t>Core Functions/Idaho Code</w:t>
      </w:r>
    </w:p>
    <w:p w14:paraId="400B2F52" w14:textId="24663E85" w:rsidR="00411BF3" w:rsidRPr="00AB5FD2" w:rsidRDefault="00411BF3" w:rsidP="001E2086">
      <w:pPr>
        <w:jc w:val="both"/>
        <w:rPr>
          <w:rFonts w:ascii="Arial" w:hAnsi="Arial" w:cs="Arial"/>
          <w:sz w:val="20"/>
        </w:rPr>
      </w:pPr>
      <w:r w:rsidRPr="00AB5FD2">
        <w:rPr>
          <w:rFonts w:ascii="Arial" w:hAnsi="Arial" w:cs="Arial"/>
          <w:b/>
          <w:bCs/>
          <w:sz w:val="20"/>
        </w:rPr>
        <w:t>Adjudication Division –</w:t>
      </w:r>
      <w:r w:rsidRPr="00AB5FD2">
        <w:rPr>
          <w:rFonts w:ascii="Arial" w:hAnsi="Arial" w:cs="Arial"/>
          <w:sz w:val="20"/>
        </w:rPr>
        <w:t xml:space="preserve"> </w:t>
      </w:r>
      <w:r w:rsidR="00F44A10" w:rsidRPr="00AB5FD2">
        <w:rPr>
          <w:rFonts w:ascii="Arial" w:hAnsi="Arial" w:cs="Arial"/>
          <w:sz w:val="20"/>
        </w:rPr>
        <w:t>promotes</w:t>
      </w:r>
      <w:r w:rsidRPr="00AB5FD2">
        <w:rPr>
          <w:rFonts w:ascii="Arial" w:hAnsi="Arial" w:cs="Arial"/>
          <w:sz w:val="20"/>
        </w:rPr>
        <w:t xml:space="preserve"> the timely processing and resolution of disputed workers</w:t>
      </w:r>
      <w:r w:rsidR="001365EA">
        <w:rPr>
          <w:rFonts w:ascii="Arial" w:hAnsi="Arial" w:cs="Arial"/>
          <w:sz w:val="20"/>
        </w:rPr>
        <w:t>'</w:t>
      </w:r>
      <w:r w:rsidRPr="00AB5FD2">
        <w:rPr>
          <w:rFonts w:ascii="Arial" w:hAnsi="Arial" w:cs="Arial"/>
          <w:sz w:val="20"/>
        </w:rPr>
        <w:t xml:space="preserve"> compensation claims and medical fee disputes; provides an alternative method of resolving disputes through mediation; provides judicial review of unemployment insurance appeals from the Idaho Department of </w:t>
      </w:r>
      <w:r w:rsidR="00A36B16" w:rsidRPr="00AB5FD2">
        <w:rPr>
          <w:rFonts w:ascii="Arial" w:hAnsi="Arial" w:cs="Arial"/>
          <w:sz w:val="20"/>
        </w:rPr>
        <w:t>L</w:t>
      </w:r>
      <w:r w:rsidR="00DA2BE8" w:rsidRPr="00AB5FD2">
        <w:rPr>
          <w:rFonts w:ascii="Arial" w:hAnsi="Arial" w:cs="Arial"/>
          <w:sz w:val="20"/>
        </w:rPr>
        <w:t xml:space="preserve">abor; and </w:t>
      </w:r>
      <w:r w:rsidRPr="00AB5FD2">
        <w:rPr>
          <w:rFonts w:ascii="Arial" w:hAnsi="Arial" w:cs="Arial"/>
          <w:sz w:val="20"/>
        </w:rPr>
        <w:t>hears appeals from determinations made by the Crime</w:t>
      </w:r>
      <w:bookmarkStart w:id="1" w:name="OLE_LINK1"/>
      <w:r w:rsidR="00F476DA" w:rsidRPr="00AB5FD2">
        <w:rPr>
          <w:rFonts w:ascii="Arial" w:hAnsi="Arial" w:cs="Arial"/>
          <w:sz w:val="20"/>
        </w:rPr>
        <w:t xml:space="preserve"> Victims Compensation Program. </w:t>
      </w:r>
      <w:r w:rsidR="00F76D34" w:rsidRPr="00AB5FD2">
        <w:rPr>
          <w:rFonts w:ascii="Arial" w:hAnsi="Arial" w:cs="Arial"/>
          <w:sz w:val="20"/>
        </w:rPr>
        <w:t>(Title 72, Chapters 1-</w:t>
      </w:r>
      <w:r w:rsidR="00287A7E" w:rsidRPr="00AB5FD2">
        <w:rPr>
          <w:rFonts w:ascii="Arial" w:hAnsi="Arial" w:cs="Arial"/>
          <w:sz w:val="20"/>
        </w:rPr>
        <w:t>1</w:t>
      </w:r>
      <w:r w:rsidR="00DA2BE8" w:rsidRPr="00AB5FD2">
        <w:rPr>
          <w:rFonts w:ascii="Arial" w:hAnsi="Arial" w:cs="Arial"/>
          <w:sz w:val="20"/>
        </w:rPr>
        <w:t>3</w:t>
      </w:r>
      <w:r w:rsidRPr="00AB5FD2">
        <w:rPr>
          <w:rFonts w:ascii="Arial" w:hAnsi="Arial" w:cs="Arial"/>
          <w:sz w:val="20"/>
        </w:rPr>
        <w:t>, Idaho Code)</w:t>
      </w:r>
      <w:bookmarkEnd w:id="1"/>
    </w:p>
    <w:p w14:paraId="08233210" w14:textId="77777777" w:rsidR="00411BF3" w:rsidRPr="00AB5FD2" w:rsidRDefault="00411BF3" w:rsidP="001E2086">
      <w:pPr>
        <w:jc w:val="both"/>
        <w:rPr>
          <w:rFonts w:ascii="Arial" w:hAnsi="Arial" w:cs="Arial"/>
          <w:sz w:val="20"/>
        </w:rPr>
      </w:pPr>
    </w:p>
    <w:p w14:paraId="4944380C" w14:textId="77793ECC" w:rsidR="00411BF3" w:rsidRPr="00AB5FD2" w:rsidRDefault="00411BF3" w:rsidP="001E2086">
      <w:pPr>
        <w:pStyle w:val="BodyText"/>
      </w:pPr>
      <w:r w:rsidRPr="00AB5FD2">
        <w:rPr>
          <w:b/>
          <w:bCs/>
        </w:rPr>
        <w:t>Compensation Division –</w:t>
      </w:r>
      <w:r w:rsidRPr="00AB5FD2">
        <w:t xml:space="preserve"> evaluates insurance carriers requesting to write workers</w:t>
      </w:r>
      <w:r w:rsidR="001365EA">
        <w:t>'</w:t>
      </w:r>
      <w:r w:rsidRPr="00AB5FD2">
        <w:t xml:space="preserve"> compensation insurance and employers requesting to become self-insured; </w:t>
      </w:r>
      <w:r w:rsidR="00F44A10" w:rsidRPr="00AB5FD2">
        <w:t>ensure</w:t>
      </w:r>
      <w:r w:rsidR="000C0E0D">
        <w:t>s</w:t>
      </w:r>
      <w:r w:rsidRPr="00AB5FD2">
        <w:t xml:space="preserve"> </w:t>
      </w:r>
      <w:r w:rsidR="00916709" w:rsidRPr="00AB5FD2">
        <w:t xml:space="preserve">that </w:t>
      </w:r>
      <w:r w:rsidRPr="00AB5FD2">
        <w:t>adequate securities are on deposit with the State Treasurer</w:t>
      </w:r>
      <w:r w:rsidR="001365EA">
        <w:t>'</w:t>
      </w:r>
      <w:r w:rsidRPr="00AB5FD2">
        <w:t>s Office to cover outstanding awards; enforces the insurance requirements of the Idaho Workers</w:t>
      </w:r>
      <w:r w:rsidR="001365EA">
        <w:t>'</w:t>
      </w:r>
      <w:r w:rsidRPr="00AB5FD2">
        <w:t xml:space="preserve"> Compensation Law; ensures that workers</w:t>
      </w:r>
      <w:r w:rsidR="001365EA">
        <w:t>'</w:t>
      </w:r>
      <w:r w:rsidRPr="00AB5FD2">
        <w:t xml:space="preserve"> compensation benefi</w:t>
      </w:r>
      <w:r w:rsidR="00F44A10" w:rsidRPr="00AB5FD2">
        <w:t>ts are paid properly and timely; and resolves emergent issues between claimants</w:t>
      </w:r>
      <w:r w:rsidR="000C0E0D">
        <w:t>,</w:t>
      </w:r>
      <w:r w:rsidR="00F44A10" w:rsidRPr="00AB5FD2">
        <w:t xml:space="preserve"> </w:t>
      </w:r>
      <w:r w:rsidR="000C0E0D">
        <w:t>employers, and insurers</w:t>
      </w:r>
      <w:r w:rsidR="00F476DA" w:rsidRPr="00AB5FD2">
        <w:t xml:space="preserve"> on non-litigated claims. </w:t>
      </w:r>
      <w:r w:rsidRPr="00AB5FD2">
        <w:t>(Title 72, Chapters 1-8, Idaho Code)</w:t>
      </w:r>
    </w:p>
    <w:p w14:paraId="592712F4" w14:textId="77777777" w:rsidR="00411BF3" w:rsidRPr="00AB5FD2" w:rsidRDefault="00411BF3" w:rsidP="001E2086">
      <w:pPr>
        <w:pStyle w:val="BodyText"/>
      </w:pPr>
    </w:p>
    <w:p w14:paraId="4B0EF860" w14:textId="0123CE55" w:rsidR="00411BF3" w:rsidRPr="00AB5FD2" w:rsidRDefault="00411BF3" w:rsidP="001E2086">
      <w:pPr>
        <w:pStyle w:val="BodyText"/>
      </w:pPr>
      <w:r w:rsidRPr="00AB5FD2">
        <w:rPr>
          <w:b/>
          <w:bCs/>
        </w:rPr>
        <w:t>Rehabilitation Division –</w:t>
      </w:r>
      <w:r w:rsidRPr="00AB5FD2">
        <w:t xml:space="preserve"> assists injured workers </w:t>
      </w:r>
      <w:r w:rsidR="002252EC" w:rsidRPr="00AB5FD2">
        <w:t>by</w:t>
      </w:r>
      <w:r w:rsidRPr="00AB5FD2">
        <w:t xml:space="preserve"> facilitating an early return to employment, </w:t>
      </w:r>
      <w:r w:rsidR="002252EC" w:rsidRPr="00AB5FD2">
        <w:t>which is as close to the worker</w:t>
      </w:r>
      <w:r w:rsidRPr="00AB5FD2">
        <w:t>s</w:t>
      </w:r>
      <w:r w:rsidR="001365EA">
        <w:t>'</w:t>
      </w:r>
      <w:r w:rsidRPr="00AB5FD2">
        <w:t xml:space="preserve"> pre-injury wage and </w:t>
      </w:r>
      <w:r w:rsidR="00287A7E" w:rsidRPr="00AB5FD2">
        <w:t>status</w:t>
      </w:r>
      <w:r w:rsidR="00F44A10" w:rsidRPr="00AB5FD2">
        <w:t xml:space="preserve"> that can be obtained</w:t>
      </w:r>
      <w:r w:rsidR="00287A7E" w:rsidRPr="00AB5FD2">
        <w:t>.  (Title 72, Chapter 5</w:t>
      </w:r>
      <w:r w:rsidRPr="00AB5FD2">
        <w:t>, Idaho Code)</w:t>
      </w:r>
    </w:p>
    <w:p w14:paraId="185B5DA2" w14:textId="77777777" w:rsidR="00411BF3" w:rsidRPr="00AB5FD2" w:rsidRDefault="00411BF3" w:rsidP="001E2086">
      <w:pPr>
        <w:pStyle w:val="BodyText"/>
      </w:pPr>
    </w:p>
    <w:p w14:paraId="0423D2C4" w14:textId="77777777" w:rsidR="00411BF3" w:rsidRPr="00AB5FD2" w:rsidRDefault="00411BF3" w:rsidP="001E2086">
      <w:pPr>
        <w:pStyle w:val="BodyText"/>
      </w:pPr>
      <w:r w:rsidRPr="00AB5FD2">
        <w:rPr>
          <w:b/>
          <w:bCs/>
        </w:rPr>
        <w:t>Crime Victims Compensation Program –</w:t>
      </w:r>
      <w:r w:rsidRPr="00AB5FD2">
        <w:t xml:space="preserve"> provides financial assistance to victims of crime for </w:t>
      </w:r>
      <w:r w:rsidR="00EF2627" w:rsidRPr="00AB5FD2">
        <w:t>medical</w:t>
      </w:r>
      <w:r w:rsidRPr="00AB5FD2">
        <w:t xml:space="preserve"> expenses</w:t>
      </w:r>
      <w:r w:rsidR="00EF2627" w:rsidRPr="00AB5FD2">
        <w:t>, funeral costs, and lost wages</w:t>
      </w:r>
      <w:r w:rsidRPr="00AB5FD2">
        <w:t xml:space="preserve"> that are incurred as a result of criminally injurious conduct.  The program also pays for sexual assault forensic examinations.  (Title 72, Chapter 10, Idaho Code)</w:t>
      </w:r>
    </w:p>
    <w:p w14:paraId="6D59648B" w14:textId="77777777" w:rsidR="00411BF3" w:rsidRPr="00AB5FD2" w:rsidRDefault="00411BF3" w:rsidP="001E2086">
      <w:pPr>
        <w:jc w:val="both"/>
        <w:rPr>
          <w:rFonts w:ascii="Arial" w:hAnsi="Arial" w:cs="Arial"/>
        </w:rPr>
      </w:pPr>
    </w:p>
    <w:p w14:paraId="1973234E" w14:textId="77777777" w:rsidR="00411BF3" w:rsidRPr="00AB5FD2" w:rsidRDefault="00411BF3" w:rsidP="001E2086">
      <w:pPr>
        <w:jc w:val="both"/>
        <w:rPr>
          <w:rFonts w:ascii="Arial" w:hAnsi="Arial" w:cs="Arial"/>
          <w:b/>
          <w:bCs/>
          <w:sz w:val="20"/>
          <w:szCs w:val="20"/>
        </w:rPr>
      </w:pPr>
      <w:bookmarkStart w:id="2" w:name="_Hlk78445024"/>
      <w:r w:rsidRPr="00AB5FD2">
        <w:rPr>
          <w:rFonts w:ascii="Arial" w:hAnsi="Arial" w:cs="Arial"/>
          <w:b/>
          <w:bCs/>
        </w:rPr>
        <w:t>Revenue and Expenditures</w:t>
      </w:r>
      <w:r w:rsidR="00C8471C" w:rsidRPr="00AB5FD2">
        <w:rPr>
          <w:rFonts w:ascii="Arial" w:hAnsi="Arial" w:cs="Arial"/>
          <w:b/>
          <w:bCs/>
        </w:rPr>
        <w:t xml:space="preserve"> </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803"/>
        <w:gridCol w:w="1803"/>
        <w:gridCol w:w="1803"/>
        <w:gridCol w:w="1803"/>
      </w:tblGrid>
      <w:tr w:rsidR="003E7C36" w:rsidRPr="00AB5FD2" w14:paraId="334B49EB" w14:textId="77777777" w:rsidTr="007E15BD">
        <w:tc>
          <w:tcPr>
            <w:tcW w:w="2868" w:type="dxa"/>
            <w:tcBorders>
              <w:bottom w:val="single" w:sz="4" w:space="0" w:color="auto"/>
            </w:tcBorders>
            <w:shd w:val="clear" w:color="auto" w:fill="000080"/>
            <w:vAlign w:val="bottom"/>
          </w:tcPr>
          <w:p w14:paraId="711E3615" w14:textId="77777777" w:rsidR="003E7C36" w:rsidRPr="00AB5FD2" w:rsidRDefault="003E7C36" w:rsidP="00793BB4">
            <w:pPr>
              <w:jc w:val="both"/>
              <w:rPr>
                <w:rFonts w:ascii="Arial" w:hAnsi="Arial" w:cs="Arial"/>
                <w:b/>
                <w:bCs/>
                <w:color w:val="FFFFFF"/>
                <w:sz w:val="20"/>
              </w:rPr>
            </w:pPr>
            <w:r w:rsidRPr="00AB5FD2">
              <w:rPr>
                <w:rFonts w:ascii="Arial" w:hAnsi="Arial" w:cs="Arial"/>
                <w:b/>
                <w:bCs/>
                <w:color w:val="FFFFFF"/>
                <w:sz w:val="20"/>
              </w:rPr>
              <w:t>Revenue</w:t>
            </w:r>
          </w:p>
        </w:tc>
        <w:tc>
          <w:tcPr>
            <w:tcW w:w="1803" w:type="dxa"/>
            <w:tcBorders>
              <w:bottom w:val="single" w:sz="4" w:space="0" w:color="auto"/>
            </w:tcBorders>
            <w:shd w:val="clear" w:color="auto" w:fill="000080"/>
            <w:vAlign w:val="bottom"/>
          </w:tcPr>
          <w:p w14:paraId="2F0DC029" w14:textId="5A7F9ABB" w:rsidR="003E7C36" w:rsidRPr="00AB5FD2" w:rsidRDefault="007E15BD" w:rsidP="0052230A">
            <w:pPr>
              <w:jc w:val="right"/>
              <w:rPr>
                <w:rFonts w:ascii="Arial" w:hAnsi="Arial" w:cs="Arial"/>
                <w:b/>
                <w:bCs/>
                <w:color w:val="FFFFFF"/>
                <w:sz w:val="20"/>
              </w:rPr>
            </w:pPr>
            <w:r>
              <w:rPr>
                <w:rFonts w:ascii="Arial" w:hAnsi="Arial" w:cs="Arial"/>
                <w:b/>
                <w:bCs/>
                <w:color w:val="FFFFFF"/>
                <w:sz w:val="20"/>
              </w:rPr>
              <w:t>FY 2019</w:t>
            </w:r>
          </w:p>
        </w:tc>
        <w:tc>
          <w:tcPr>
            <w:tcW w:w="1803" w:type="dxa"/>
            <w:tcBorders>
              <w:bottom w:val="single" w:sz="4" w:space="0" w:color="auto"/>
            </w:tcBorders>
            <w:shd w:val="clear" w:color="auto" w:fill="000080"/>
            <w:vAlign w:val="bottom"/>
          </w:tcPr>
          <w:p w14:paraId="3D91BA8A" w14:textId="6048C936" w:rsidR="003E7C36" w:rsidRPr="00AB5FD2" w:rsidRDefault="007E15BD" w:rsidP="0052230A">
            <w:pPr>
              <w:jc w:val="right"/>
              <w:rPr>
                <w:rFonts w:ascii="Arial" w:hAnsi="Arial" w:cs="Arial"/>
                <w:b/>
                <w:bCs/>
                <w:color w:val="FFFFFF"/>
                <w:sz w:val="20"/>
              </w:rPr>
            </w:pPr>
            <w:r>
              <w:rPr>
                <w:rFonts w:ascii="Arial" w:hAnsi="Arial" w:cs="Arial"/>
                <w:b/>
                <w:bCs/>
                <w:color w:val="FFFFFF"/>
                <w:sz w:val="20"/>
              </w:rPr>
              <w:t>FY 2020</w:t>
            </w:r>
          </w:p>
        </w:tc>
        <w:tc>
          <w:tcPr>
            <w:tcW w:w="1803" w:type="dxa"/>
            <w:tcBorders>
              <w:bottom w:val="single" w:sz="4" w:space="0" w:color="auto"/>
            </w:tcBorders>
            <w:shd w:val="clear" w:color="auto" w:fill="000080"/>
            <w:vAlign w:val="bottom"/>
          </w:tcPr>
          <w:p w14:paraId="1AAE0B37" w14:textId="66E37EF6" w:rsidR="003E7C36" w:rsidRPr="00AB5FD2" w:rsidRDefault="007E15BD" w:rsidP="0052230A">
            <w:pPr>
              <w:jc w:val="right"/>
              <w:rPr>
                <w:rFonts w:ascii="Arial" w:hAnsi="Arial" w:cs="Arial"/>
                <w:b/>
                <w:bCs/>
                <w:color w:val="FFFFFF"/>
                <w:sz w:val="20"/>
              </w:rPr>
            </w:pPr>
            <w:r>
              <w:rPr>
                <w:rFonts w:ascii="Arial" w:hAnsi="Arial" w:cs="Arial"/>
                <w:b/>
                <w:bCs/>
                <w:color w:val="FFFFFF"/>
                <w:sz w:val="20"/>
              </w:rPr>
              <w:t>FY 2021</w:t>
            </w:r>
          </w:p>
        </w:tc>
        <w:tc>
          <w:tcPr>
            <w:tcW w:w="1803" w:type="dxa"/>
            <w:tcBorders>
              <w:bottom w:val="single" w:sz="4" w:space="0" w:color="auto"/>
            </w:tcBorders>
            <w:shd w:val="clear" w:color="auto" w:fill="000080"/>
            <w:vAlign w:val="bottom"/>
          </w:tcPr>
          <w:p w14:paraId="21F0F09C" w14:textId="64184335" w:rsidR="003E7C36" w:rsidRPr="00AB5FD2" w:rsidRDefault="007E15BD" w:rsidP="0052230A">
            <w:pPr>
              <w:jc w:val="right"/>
              <w:rPr>
                <w:rFonts w:ascii="Arial" w:hAnsi="Arial" w:cs="Arial"/>
                <w:b/>
                <w:bCs/>
                <w:color w:val="FFFFFF"/>
                <w:sz w:val="20"/>
              </w:rPr>
            </w:pPr>
            <w:r>
              <w:rPr>
                <w:rFonts w:ascii="Arial" w:hAnsi="Arial" w:cs="Arial"/>
                <w:b/>
                <w:bCs/>
                <w:color w:val="FFFFFF"/>
                <w:sz w:val="20"/>
              </w:rPr>
              <w:t>FY 2022</w:t>
            </w:r>
          </w:p>
        </w:tc>
      </w:tr>
      <w:tr w:rsidR="007E15BD" w:rsidRPr="00AB5FD2" w14:paraId="386B7839" w14:textId="77777777" w:rsidTr="007E15BD">
        <w:tc>
          <w:tcPr>
            <w:tcW w:w="2868" w:type="dxa"/>
            <w:tcBorders>
              <w:top w:val="single" w:sz="4" w:space="0" w:color="auto"/>
              <w:left w:val="single" w:sz="4" w:space="0" w:color="auto"/>
              <w:bottom w:val="nil"/>
              <w:right w:val="nil"/>
            </w:tcBorders>
            <w:vAlign w:val="bottom"/>
          </w:tcPr>
          <w:p w14:paraId="31CFA202" w14:textId="617EFBCC" w:rsidR="007E15BD" w:rsidRPr="00AB5FD2" w:rsidRDefault="007E15BD" w:rsidP="007E15BD">
            <w:pPr>
              <w:jc w:val="both"/>
              <w:rPr>
                <w:rFonts w:ascii="Arial" w:hAnsi="Arial" w:cs="Arial"/>
                <w:color w:val="000000"/>
                <w:sz w:val="20"/>
                <w:szCs w:val="20"/>
              </w:rPr>
            </w:pPr>
            <w:r>
              <w:rPr>
                <w:rFonts w:ascii="Arial" w:hAnsi="Arial" w:cs="Arial"/>
                <w:color w:val="000000"/>
                <w:sz w:val="20"/>
                <w:szCs w:val="20"/>
              </w:rPr>
              <w:t>Industrial Administration</w:t>
            </w:r>
          </w:p>
        </w:tc>
        <w:tc>
          <w:tcPr>
            <w:tcW w:w="1803" w:type="dxa"/>
            <w:tcBorders>
              <w:top w:val="single" w:sz="4" w:space="0" w:color="auto"/>
              <w:left w:val="nil"/>
              <w:bottom w:val="nil"/>
              <w:right w:val="nil"/>
            </w:tcBorders>
          </w:tcPr>
          <w:p w14:paraId="0586E48C" w14:textId="01D7685A" w:rsidR="007E15BD" w:rsidRPr="00700826" w:rsidRDefault="007E15BD" w:rsidP="007E15BD">
            <w:pPr>
              <w:jc w:val="right"/>
              <w:rPr>
                <w:rFonts w:ascii="Arial" w:hAnsi="Arial" w:cs="Arial"/>
                <w:sz w:val="20"/>
                <w:szCs w:val="20"/>
              </w:rPr>
            </w:pPr>
            <w:r>
              <w:rPr>
                <w:rFonts w:ascii="Arial" w:hAnsi="Arial" w:cs="Arial"/>
                <w:sz w:val="20"/>
                <w:szCs w:val="20"/>
              </w:rPr>
              <w:t>$13,176,810</w:t>
            </w:r>
          </w:p>
        </w:tc>
        <w:tc>
          <w:tcPr>
            <w:tcW w:w="1803" w:type="dxa"/>
            <w:tcBorders>
              <w:top w:val="single" w:sz="4" w:space="0" w:color="auto"/>
              <w:left w:val="nil"/>
              <w:bottom w:val="nil"/>
              <w:right w:val="nil"/>
            </w:tcBorders>
          </w:tcPr>
          <w:p w14:paraId="22FA7CB8" w14:textId="3FCAEF8E" w:rsidR="007E15BD" w:rsidRPr="00700826" w:rsidRDefault="007E15BD" w:rsidP="007E15BD">
            <w:pPr>
              <w:jc w:val="right"/>
              <w:rPr>
                <w:rFonts w:ascii="Arial" w:hAnsi="Arial" w:cs="Arial"/>
                <w:sz w:val="20"/>
                <w:szCs w:val="20"/>
              </w:rPr>
            </w:pPr>
            <w:r>
              <w:rPr>
                <w:rFonts w:ascii="Arial" w:eastAsiaTheme="minorHAnsi" w:hAnsi="Arial" w:cs="Arial"/>
                <w:sz w:val="20"/>
                <w:szCs w:val="20"/>
              </w:rPr>
              <w:t>$12,837,092</w:t>
            </w:r>
          </w:p>
        </w:tc>
        <w:tc>
          <w:tcPr>
            <w:tcW w:w="1803" w:type="dxa"/>
            <w:tcBorders>
              <w:top w:val="single" w:sz="4" w:space="0" w:color="auto"/>
              <w:left w:val="nil"/>
              <w:bottom w:val="nil"/>
              <w:right w:val="nil"/>
            </w:tcBorders>
          </w:tcPr>
          <w:p w14:paraId="7E8F589C" w14:textId="6754F087" w:rsidR="007E15BD" w:rsidRPr="00700826" w:rsidRDefault="007E15BD" w:rsidP="007E15BD">
            <w:pPr>
              <w:jc w:val="right"/>
              <w:rPr>
                <w:rFonts w:ascii="Arial" w:eastAsiaTheme="minorHAnsi" w:hAnsi="Arial" w:cs="Arial"/>
                <w:sz w:val="20"/>
                <w:szCs w:val="20"/>
              </w:rPr>
            </w:pPr>
            <w:r>
              <w:rPr>
                <w:rFonts w:ascii="Arial" w:hAnsi="Arial" w:cs="Arial"/>
                <w:sz w:val="20"/>
                <w:szCs w:val="20"/>
              </w:rPr>
              <w:t>$12,681,868</w:t>
            </w:r>
          </w:p>
        </w:tc>
        <w:tc>
          <w:tcPr>
            <w:tcW w:w="1803" w:type="dxa"/>
            <w:tcBorders>
              <w:top w:val="single" w:sz="4" w:space="0" w:color="auto"/>
              <w:left w:val="nil"/>
              <w:bottom w:val="nil"/>
              <w:right w:val="single" w:sz="4" w:space="0" w:color="auto"/>
            </w:tcBorders>
          </w:tcPr>
          <w:p w14:paraId="5C475A99" w14:textId="654DC0DE" w:rsidR="007E15BD" w:rsidRDefault="007E15BD" w:rsidP="007E15BD">
            <w:pPr>
              <w:jc w:val="right"/>
              <w:rPr>
                <w:rFonts w:ascii="Arial" w:hAnsi="Arial" w:cs="Arial"/>
                <w:sz w:val="20"/>
                <w:szCs w:val="20"/>
              </w:rPr>
            </w:pPr>
          </w:p>
        </w:tc>
      </w:tr>
      <w:tr w:rsidR="007E15BD" w:rsidRPr="00AB5FD2" w14:paraId="78CDC5BD" w14:textId="77777777" w:rsidTr="007E15BD">
        <w:tc>
          <w:tcPr>
            <w:tcW w:w="2868" w:type="dxa"/>
            <w:tcBorders>
              <w:top w:val="nil"/>
              <w:left w:val="single" w:sz="4" w:space="0" w:color="auto"/>
              <w:bottom w:val="nil"/>
              <w:right w:val="nil"/>
            </w:tcBorders>
            <w:vAlign w:val="bottom"/>
          </w:tcPr>
          <w:p w14:paraId="6A5F8D84" w14:textId="5910A6F4" w:rsidR="007E15BD" w:rsidRPr="00AB5FD2" w:rsidRDefault="007E15BD" w:rsidP="007E15BD">
            <w:pPr>
              <w:jc w:val="both"/>
              <w:rPr>
                <w:rFonts w:ascii="Arial" w:eastAsia="Arial Unicode MS" w:hAnsi="Arial" w:cs="Arial"/>
                <w:color w:val="000000"/>
                <w:sz w:val="20"/>
                <w:szCs w:val="20"/>
              </w:rPr>
            </w:pPr>
            <w:bookmarkStart w:id="3" w:name="_Hlk176314536"/>
            <w:r w:rsidRPr="00AB5FD2">
              <w:rPr>
                <w:rFonts w:ascii="Arial" w:hAnsi="Arial" w:cs="Arial"/>
                <w:color w:val="000000"/>
                <w:sz w:val="20"/>
                <w:szCs w:val="20"/>
              </w:rPr>
              <w:t>Peace and Detention Officer Disability Fund</w:t>
            </w:r>
          </w:p>
        </w:tc>
        <w:tc>
          <w:tcPr>
            <w:tcW w:w="1803" w:type="dxa"/>
            <w:tcBorders>
              <w:top w:val="nil"/>
              <w:left w:val="nil"/>
              <w:bottom w:val="nil"/>
              <w:right w:val="nil"/>
            </w:tcBorders>
          </w:tcPr>
          <w:p w14:paraId="6EC4F64A" w14:textId="409C68FF" w:rsidR="007E15BD" w:rsidRPr="00700826" w:rsidRDefault="007E15BD" w:rsidP="007E15BD">
            <w:pPr>
              <w:jc w:val="right"/>
              <w:rPr>
                <w:rFonts w:ascii="Arial" w:hAnsi="Arial" w:cs="Arial"/>
                <w:sz w:val="20"/>
                <w:szCs w:val="20"/>
              </w:rPr>
            </w:pPr>
            <w:r w:rsidRPr="00700826">
              <w:rPr>
                <w:rFonts w:ascii="Arial" w:hAnsi="Arial" w:cs="Arial"/>
                <w:sz w:val="20"/>
                <w:szCs w:val="20"/>
              </w:rPr>
              <w:t>$167,816</w:t>
            </w:r>
          </w:p>
        </w:tc>
        <w:tc>
          <w:tcPr>
            <w:tcW w:w="1803" w:type="dxa"/>
            <w:tcBorders>
              <w:top w:val="nil"/>
              <w:left w:val="nil"/>
              <w:bottom w:val="nil"/>
              <w:right w:val="nil"/>
            </w:tcBorders>
          </w:tcPr>
          <w:p w14:paraId="15295FF5" w14:textId="4B74E570" w:rsidR="007E15BD" w:rsidRPr="00700826" w:rsidRDefault="007E15BD" w:rsidP="007E15BD">
            <w:pPr>
              <w:jc w:val="right"/>
              <w:rPr>
                <w:rFonts w:ascii="Arial" w:hAnsi="Arial" w:cs="Arial"/>
                <w:sz w:val="20"/>
                <w:szCs w:val="20"/>
              </w:rPr>
            </w:pPr>
            <w:r w:rsidRPr="00700826">
              <w:rPr>
                <w:rFonts w:ascii="Arial" w:eastAsiaTheme="minorHAnsi" w:hAnsi="Arial" w:cs="Arial"/>
                <w:sz w:val="20"/>
                <w:szCs w:val="20"/>
              </w:rPr>
              <w:t>$148,591</w:t>
            </w:r>
          </w:p>
        </w:tc>
        <w:tc>
          <w:tcPr>
            <w:tcW w:w="1803" w:type="dxa"/>
            <w:tcBorders>
              <w:top w:val="nil"/>
              <w:left w:val="nil"/>
              <w:bottom w:val="nil"/>
              <w:right w:val="nil"/>
            </w:tcBorders>
          </w:tcPr>
          <w:p w14:paraId="6F530335" w14:textId="5E92DB9E" w:rsidR="007E15BD" w:rsidRPr="00700826" w:rsidRDefault="007E15BD" w:rsidP="007E15BD">
            <w:pPr>
              <w:jc w:val="right"/>
              <w:rPr>
                <w:rFonts w:ascii="Arial" w:hAnsi="Arial" w:cs="Arial"/>
                <w:sz w:val="20"/>
                <w:szCs w:val="20"/>
              </w:rPr>
            </w:pPr>
            <w:r>
              <w:rPr>
                <w:rFonts w:ascii="Arial" w:hAnsi="Arial" w:cs="Arial"/>
                <w:sz w:val="20"/>
                <w:szCs w:val="20"/>
              </w:rPr>
              <w:t>$140,532</w:t>
            </w:r>
          </w:p>
        </w:tc>
        <w:tc>
          <w:tcPr>
            <w:tcW w:w="1803" w:type="dxa"/>
            <w:tcBorders>
              <w:top w:val="nil"/>
              <w:left w:val="nil"/>
              <w:bottom w:val="nil"/>
              <w:right w:val="single" w:sz="4" w:space="0" w:color="auto"/>
            </w:tcBorders>
          </w:tcPr>
          <w:p w14:paraId="5EAEF3D9" w14:textId="4FFF5E60" w:rsidR="007E15BD" w:rsidRPr="00700826" w:rsidRDefault="007E15BD" w:rsidP="007E15BD">
            <w:pPr>
              <w:jc w:val="right"/>
              <w:rPr>
                <w:rFonts w:ascii="Arial" w:eastAsiaTheme="minorHAnsi" w:hAnsi="Arial" w:cs="Arial"/>
                <w:sz w:val="20"/>
                <w:szCs w:val="20"/>
              </w:rPr>
            </w:pPr>
          </w:p>
        </w:tc>
      </w:tr>
      <w:tr w:rsidR="007E15BD" w:rsidRPr="00AB5FD2" w14:paraId="04D5C6C3" w14:textId="77777777" w:rsidTr="007E15BD">
        <w:tc>
          <w:tcPr>
            <w:tcW w:w="2868" w:type="dxa"/>
            <w:tcBorders>
              <w:top w:val="nil"/>
              <w:left w:val="single" w:sz="4" w:space="0" w:color="auto"/>
              <w:bottom w:val="nil"/>
              <w:right w:val="nil"/>
            </w:tcBorders>
            <w:vAlign w:val="bottom"/>
          </w:tcPr>
          <w:p w14:paraId="0927D1CF" w14:textId="2D2945C8" w:rsidR="007E15BD" w:rsidRPr="00AB5FD2" w:rsidRDefault="007E15BD" w:rsidP="007E15BD">
            <w:pPr>
              <w:rPr>
                <w:rFonts w:ascii="Arial" w:eastAsia="Arial Unicode MS" w:hAnsi="Arial" w:cs="Arial"/>
                <w:color w:val="000000"/>
                <w:sz w:val="20"/>
                <w:szCs w:val="20"/>
              </w:rPr>
            </w:pPr>
            <w:r w:rsidRPr="00AB5FD2">
              <w:rPr>
                <w:rFonts w:ascii="Arial" w:hAnsi="Arial" w:cs="Arial"/>
                <w:color w:val="000000"/>
                <w:sz w:val="20"/>
                <w:szCs w:val="20"/>
              </w:rPr>
              <w:t>Crime Victims Compensation</w:t>
            </w:r>
          </w:p>
        </w:tc>
        <w:tc>
          <w:tcPr>
            <w:tcW w:w="1803" w:type="dxa"/>
            <w:tcBorders>
              <w:top w:val="nil"/>
              <w:left w:val="nil"/>
              <w:bottom w:val="nil"/>
              <w:right w:val="nil"/>
            </w:tcBorders>
          </w:tcPr>
          <w:p w14:paraId="57A8A646" w14:textId="430025BF" w:rsidR="007E15BD" w:rsidRPr="00700826" w:rsidRDefault="007E15BD" w:rsidP="007E15BD">
            <w:pPr>
              <w:jc w:val="right"/>
              <w:rPr>
                <w:rFonts w:ascii="Arial" w:hAnsi="Arial" w:cs="Arial"/>
                <w:sz w:val="20"/>
                <w:szCs w:val="20"/>
              </w:rPr>
            </w:pPr>
            <w:r w:rsidRPr="00700826">
              <w:rPr>
                <w:rFonts w:ascii="Arial" w:hAnsi="Arial" w:cs="Arial"/>
                <w:sz w:val="20"/>
                <w:szCs w:val="20"/>
              </w:rPr>
              <w:t>$2,660,163</w:t>
            </w:r>
          </w:p>
        </w:tc>
        <w:tc>
          <w:tcPr>
            <w:tcW w:w="1803" w:type="dxa"/>
            <w:tcBorders>
              <w:top w:val="nil"/>
              <w:left w:val="nil"/>
              <w:bottom w:val="nil"/>
              <w:right w:val="nil"/>
            </w:tcBorders>
          </w:tcPr>
          <w:p w14:paraId="7BFFAE7B" w14:textId="77B4F90F" w:rsidR="007E15BD" w:rsidRPr="00700826" w:rsidRDefault="007E15BD" w:rsidP="007E15BD">
            <w:pPr>
              <w:tabs>
                <w:tab w:val="left" w:pos="1560"/>
              </w:tabs>
              <w:jc w:val="right"/>
              <w:rPr>
                <w:rFonts w:ascii="Arial" w:hAnsi="Arial" w:cs="Arial"/>
                <w:sz w:val="20"/>
                <w:szCs w:val="20"/>
              </w:rPr>
            </w:pPr>
            <w:r w:rsidRPr="00700826">
              <w:rPr>
                <w:rFonts w:ascii="Arial" w:eastAsiaTheme="minorHAnsi" w:hAnsi="Arial" w:cs="Arial"/>
                <w:sz w:val="20"/>
                <w:szCs w:val="20"/>
              </w:rPr>
              <w:t>$2,605,400</w:t>
            </w:r>
          </w:p>
        </w:tc>
        <w:tc>
          <w:tcPr>
            <w:tcW w:w="1803" w:type="dxa"/>
            <w:tcBorders>
              <w:top w:val="nil"/>
              <w:left w:val="nil"/>
              <w:bottom w:val="nil"/>
              <w:right w:val="nil"/>
            </w:tcBorders>
          </w:tcPr>
          <w:p w14:paraId="1AD5A9D5" w14:textId="74C3AB22" w:rsidR="007E15BD" w:rsidRPr="00700826" w:rsidRDefault="007E15BD" w:rsidP="007E15BD">
            <w:pPr>
              <w:jc w:val="right"/>
              <w:rPr>
                <w:rFonts w:ascii="Arial" w:hAnsi="Arial" w:cs="Arial"/>
                <w:sz w:val="20"/>
                <w:szCs w:val="20"/>
              </w:rPr>
            </w:pPr>
            <w:r>
              <w:rPr>
                <w:rFonts w:ascii="Arial" w:hAnsi="Arial" w:cs="Arial"/>
                <w:sz w:val="20"/>
                <w:szCs w:val="20"/>
              </w:rPr>
              <w:t>$2,478,694</w:t>
            </w:r>
          </w:p>
        </w:tc>
        <w:tc>
          <w:tcPr>
            <w:tcW w:w="1803" w:type="dxa"/>
            <w:tcBorders>
              <w:top w:val="nil"/>
              <w:left w:val="nil"/>
              <w:bottom w:val="nil"/>
              <w:right w:val="single" w:sz="4" w:space="0" w:color="auto"/>
            </w:tcBorders>
          </w:tcPr>
          <w:p w14:paraId="11E121AE" w14:textId="5E38EE3A" w:rsidR="007E15BD" w:rsidRPr="00700826" w:rsidRDefault="007E15BD" w:rsidP="007E15BD">
            <w:pPr>
              <w:jc w:val="right"/>
              <w:rPr>
                <w:rFonts w:ascii="Arial" w:eastAsiaTheme="minorHAnsi" w:hAnsi="Arial" w:cs="Arial"/>
                <w:sz w:val="20"/>
                <w:szCs w:val="20"/>
              </w:rPr>
            </w:pPr>
          </w:p>
        </w:tc>
      </w:tr>
      <w:tr w:rsidR="007E15BD" w:rsidRPr="00AB5FD2" w14:paraId="7474F660" w14:textId="77777777" w:rsidTr="007E15BD">
        <w:tc>
          <w:tcPr>
            <w:tcW w:w="2868" w:type="dxa"/>
            <w:tcBorders>
              <w:top w:val="nil"/>
              <w:left w:val="single" w:sz="4" w:space="0" w:color="auto"/>
              <w:bottom w:val="nil"/>
              <w:right w:val="nil"/>
            </w:tcBorders>
            <w:vAlign w:val="bottom"/>
          </w:tcPr>
          <w:p w14:paraId="1836E34F" w14:textId="163AD787" w:rsidR="007E15BD" w:rsidRPr="00AB5FD2" w:rsidRDefault="007E15BD" w:rsidP="007E15BD">
            <w:pPr>
              <w:rPr>
                <w:rFonts w:ascii="Arial" w:hAnsi="Arial" w:cs="Arial"/>
                <w:color w:val="000000"/>
                <w:sz w:val="20"/>
                <w:szCs w:val="20"/>
              </w:rPr>
            </w:pPr>
            <w:r w:rsidRPr="00AB5FD2">
              <w:rPr>
                <w:rFonts w:ascii="Arial" w:hAnsi="Arial" w:cs="Arial"/>
                <w:color w:val="000000"/>
                <w:sz w:val="20"/>
                <w:szCs w:val="20"/>
              </w:rPr>
              <w:t>Federal Grant</w:t>
            </w:r>
          </w:p>
        </w:tc>
        <w:tc>
          <w:tcPr>
            <w:tcW w:w="1803" w:type="dxa"/>
            <w:tcBorders>
              <w:top w:val="nil"/>
              <w:left w:val="nil"/>
              <w:bottom w:val="nil"/>
              <w:right w:val="nil"/>
            </w:tcBorders>
          </w:tcPr>
          <w:p w14:paraId="0CBB1795" w14:textId="11892CC4" w:rsidR="007E15BD" w:rsidRPr="00700826" w:rsidRDefault="007E15BD" w:rsidP="007E15BD">
            <w:pPr>
              <w:jc w:val="right"/>
              <w:rPr>
                <w:rFonts w:ascii="Arial" w:hAnsi="Arial" w:cs="Arial"/>
                <w:sz w:val="20"/>
                <w:szCs w:val="20"/>
              </w:rPr>
            </w:pPr>
            <w:r w:rsidRPr="00700826">
              <w:rPr>
                <w:rFonts w:ascii="Arial" w:hAnsi="Arial" w:cs="Arial"/>
                <w:sz w:val="20"/>
                <w:szCs w:val="20"/>
              </w:rPr>
              <w:t>$1,200,000</w:t>
            </w:r>
          </w:p>
        </w:tc>
        <w:tc>
          <w:tcPr>
            <w:tcW w:w="1803" w:type="dxa"/>
            <w:tcBorders>
              <w:top w:val="nil"/>
              <w:left w:val="nil"/>
              <w:bottom w:val="nil"/>
              <w:right w:val="nil"/>
            </w:tcBorders>
          </w:tcPr>
          <w:p w14:paraId="0084665B" w14:textId="568726F4" w:rsidR="007E15BD" w:rsidRPr="00700826" w:rsidRDefault="007E15BD" w:rsidP="007E15BD">
            <w:pPr>
              <w:tabs>
                <w:tab w:val="left" w:pos="1560"/>
              </w:tabs>
              <w:jc w:val="right"/>
              <w:rPr>
                <w:rFonts w:ascii="Arial" w:hAnsi="Arial" w:cs="Arial"/>
                <w:sz w:val="20"/>
                <w:szCs w:val="20"/>
              </w:rPr>
            </w:pPr>
            <w:r w:rsidRPr="00700826">
              <w:rPr>
                <w:rFonts w:ascii="Arial" w:eastAsiaTheme="minorHAnsi" w:hAnsi="Arial" w:cs="Arial"/>
                <w:sz w:val="20"/>
                <w:szCs w:val="20"/>
              </w:rPr>
              <w:t>$1,200,000</w:t>
            </w:r>
          </w:p>
        </w:tc>
        <w:tc>
          <w:tcPr>
            <w:tcW w:w="1803" w:type="dxa"/>
            <w:tcBorders>
              <w:top w:val="nil"/>
              <w:left w:val="nil"/>
              <w:bottom w:val="nil"/>
              <w:right w:val="nil"/>
            </w:tcBorders>
          </w:tcPr>
          <w:p w14:paraId="72575F83" w14:textId="19EE50FC" w:rsidR="007E15BD" w:rsidRPr="00700826" w:rsidRDefault="007E15BD" w:rsidP="007E15BD">
            <w:pPr>
              <w:jc w:val="right"/>
              <w:rPr>
                <w:rFonts w:ascii="Arial" w:hAnsi="Arial" w:cs="Arial"/>
                <w:sz w:val="20"/>
                <w:szCs w:val="20"/>
              </w:rPr>
            </w:pPr>
            <w:r>
              <w:rPr>
                <w:rFonts w:ascii="Arial" w:hAnsi="Arial" w:cs="Arial"/>
                <w:sz w:val="20"/>
                <w:szCs w:val="20"/>
              </w:rPr>
              <w:t>$1,200,000</w:t>
            </w:r>
          </w:p>
        </w:tc>
        <w:tc>
          <w:tcPr>
            <w:tcW w:w="1803" w:type="dxa"/>
            <w:tcBorders>
              <w:top w:val="nil"/>
              <w:left w:val="nil"/>
              <w:bottom w:val="nil"/>
              <w:right w:val="single" w:sz="4" w:space="0" w:color="auto"/>
            </w:tcBorders>
          </w:tcPr>
          <w:p w14:paraId="1CF8161C" w14:textId="137DCB22" w:rsidR="007E15BD" w:rsidRPr="00700826" w:rsidRDefault="007E15BD" w:rsidP="007E15BD">
            <w:pPr>
              <w:jc w:val="right"/>
              <w:rPr>
                <w:rFonts w:ascii="Arial" w:eastAsiaTheme="minorHAnsi" w:hAnsi="Arial" w:cs="Arial"/>
                <w:sz w:val="20"/>
                <w:szCs w:val="20"/>
              </w:rPr>
            </w:pPr>
          </w:p>
        </w:tc>
      </w:tr>
      <w:tr w:rsidR="007E15BD" w:rsidRPr="00AB5FD2" w14:paraId="43B5CA12" w14:textId="77777777" w:rsidTr="007E15BD">
        <w:tc>
          <w:tcPr>
            <w:tcW w:w="2868" w:type="dxa"/>
            <w:tcBorders>
              <w:top w:val="nil"/>
              <w:left w:val="single" w:sz="4" w:space="0" w:color="auto"/>
              <w:bottom w:val="nil"/>
              <w:right w:val="nil"/>
            </w:tcBorders>
            <w:vAlign w:val="bottom"/>
          </w:tcPr>
          <w:p w14:paraId="461CC8A5" w14:textId="3B0A419A" w:rsidR="007E15BD" w:rsidRPr="00AB5FD2" w:rsidRDefault="007E15BD" w:rsidP="007E15BD">
            <w:pPr>
              <w:rPr>
                <w:rFonts w:ascii="Arial" w:eastAsia="Arial Unicode MS" w:hAnsi="Arial" w:cs="Arial"/>
                <w:color w:val="000000"/>
                <w:sz w:val="20"/>
                <w:szCs w:val="20"/>
              </w:rPr>
            </w:pPr>
            <w:r w:rsidRPr="00AB5FD2">
              <w:rPr>
                <w:rFonts w:ascii="Arial" w:hAnsi="Arial" w:cs="Arial"/>
                <w:color w:val="000000"/>
                <w:sz w:val="20"/>
                <w:szCs w:val="20"/>
              </w:rPr>
              <w:t>Miscellaneous Revenue</w:t>
            </w:r>
          </w:p>
        </w:tc>
        <w:tc>
          <w:tcPr>
            <w:tcW w:w="1803" w:type="dxa"/>
            <w:tcBorders>
              <w:top w:val="nil"/>
              <w:left w:val="nil"/>
              <w:bottom w:val="nil"/>
              <w:right w:val="nil"/>
            </w:tcBorders>
          </w:tcPr>
          <w:p w14:paraId="594A40E0" w14:textId="66A58E10" w:rsidR="007E15BD" w:rsidRPr="00700826" w:rsidRDefault="007E15BD" w:rsidP="007E15BD">
            <w:pPr>
              <w:jc w:val="right"/>
              <w:rPr>
                <w:rFonts w:ascii="Arial" w:hAnsi="Arial" w:cs="Arial"/>
                <w:sz w:val="20"/>
                <w:szCs w:val="20"/>
              </w:rPr>
            </w:pPr>
            <w:r w:rsidRPr="00700826">
              <w:rPr>
                <w:rFonts w:ascii="Arial" w:hAnsi="Arial" w:cs="Arial"/>
                <w:sz w:val="20"/>
                <w:szCs w:val="20"/>
                <w:u w:val="single"/>
              </w:rPr>
              <w:t>$52,827</w:t>
            </w:r>
          </w:p>
        </w:tc>
        <w:tc>
          <w:tcPr>
            <w:tcW w:w="1803" w:type="dxa"/>
            <w:tcBorders>
              <w:top w:val="nil"/>
              <w:left w:val="nil"/>
              <w:bottom w:val="nil"/>
              <w:right w:val="nil"/>
            </w:tcBorders>
          </w:tcPr>
          <w:p w14:paraId="10A7B08A" w14:textId="7847F6B1" w:rsidR="007E15BD" w:rsidRPr="00700826" w:rsidRDefault="007E15BD" w:rsidP="007E15BD">
            <w:pPr>
              <w:jc w:val="right"/>
              <w:rPr>
                <w:rFonts w:ascii="Arial" w:hAnsi="Arial" w:cs="Arial"/>
                <w:sz w:val="20"/>
                <w:szCs w:val="20"/>
              </w:rPr>
            </w:pPr>
            <w:r w:rsidRPr="00700826">
              <w:rPr>
                <w:rFonts w:ascii="Arial" w:eastAsiaTheme="minorHAnsi" w:hAnsi="Arial" w:cs="Arial"/>
                <w:sz w:val="20"/>
                <w:szCs w:val="20"/>
                <w:u w:val="single"/>
              </w:rPr>
              <w:t>$40,742</w:t>
            </w:r>
          </w:p>
        </w:tc>
        <w:tc>
          <w:tcPr>
            <w:tcW w:w="1803" w:type="dxa"/>
            <w:tcBorders>
              <w:top w:val="nil"/>
              <w:left w:val="nil"/>
              <w:bottom w:val="nil"/>
              <w:right w:val="nil"/>
            </w:tcBorders>
          </w:tcPr>
          <w:p w14:paraId="0C2C4579" w14:textId="7BCFE04E" w:rsidR="007E15BD" w:rsidRPr="00700826" w:rsidRDefault="007E15BD" w:rsidP="007E15BD">
            <w:pPr>
              <w:jc w:val="right"/>
              <w:rPr>
                <w:rFonts w:ascii="Arial" w:hAnsi="Arial" w:cs="Arial"/>
                <w:sz w:val="20"/>
                <w:szCs w:val="20"/>
              </w:rPr>
            </w:pPr>
            <w:r>
              <w:rPr>
                <w:rFonts w:ascii="Arial" w:hAnsi="Arial" w:cs="Arial"/>
                <w:sz w:val="20"/>
                <w:szCs w:val="20"/>
                <w:u w:val="single"/>
              </w:rPr>
              <w:t>$10,263</w:t>
            </w:r>
          </w:p>
        </w:tc>
        <w:tc>
          <w:tcPr>
            <w:tcW w:w="1803" w:type="dxa"/>
            <w:tcBorders>
              <w:top w:val="nil"/>
              <w:left w:val="nil"/>
              <w:bottom w:val="nil"/>
              <w:right w:val="single" w:sz="4" w:space="0" w:color="auto"/>
            </w:tcBorders>
          </w:tcPr>
          <w:p w14:paraId="1971F44C" w14:textId="25637FD9" w:rsidR="007E15BD" w:rsidRPr="00700826" w:rsidRDefault="007E15BD" w:rsidP="007E15BD">
            <w:pPr>
              <w:jc w:val="right"/>
              <w:rPr>
                <w:rFonts w:ascii="Arial" w:eastAsiaTheme="minorHAnsi" w:hAnsi="Arial" w:cs="Arial"/>
                <w:sz w:val="20"/>
                <w:szCs w:val="20"/>
              </w:rPr>
            </w:pPr>
          </w:p>
        </w:tc>
      </w:tr>
      <w:tr w:rsidR="007E15BD" w:rsidRPr="00AB5FD2" w14:paraId="533B2C28" w14:textId="77777777" w:rsidTr="007E15BD">
        <w:trPr>
          <w:trHeight w:val="103"/>
        </w:trPr>
        <w:tc>
          <w:tcPr>
            <w:tcW w:w="2868" w:type="dxa"/>
            <w:tcBorders>
              <w:top w:val="nil"/>
              <w:left w:val="single" w:sz="4" w:space="0" w:color="auto"/>
              <w:bottom w:val="single" w:sz="4" w:space="0" w:color="auto"/>
              <w:right w:val="nil"/>
            </w:tcBorders>
            <w:vAlign w:val="bottom"/>
          </w:tcPr>
          <w:p w14:paraId="3015F2CD" w14:textId="6F61C319" w:rsidR="007E15BD" w:rsidRPr="00AB5FD2" w:rsidRDefault="007E15BD" w:rsidP="007E15BD">
            <w:pPr>
              <w:rPr>
                <w:rFonts w:ascii="Arial" w:eastAsia="Arial Unicode MS" w:hAnsi="Arial" w:cs="Arial"/>
                <w:color w:val="000000"/>
                <w:sz w:val="20"/>
                <w:szCs w:val="20"/>
              </w:rPr>
            </w:pPr>
            <w:r w:rsidRPr="00AB5FD2">
              <w:rPr>
                <w:rFonts w:ascii="Arial" w:hAnsi="Arial" w:cs="Arial"/>
                <w:b/>
                <w:color w:val="000000"/>
                <w:sz w:val="20"/>
                <w:szCs w:val="20"/>
              </w:rPr>
              <w:t>Total</w:t>
            </w:r>
          </w:p>
        </w:tc>
        <w:tc>
          <w:tcPr>
            <w:tcW w:w="1803" w:type="dxa"/>
            <w:tcBorders>
              <w:top w:val="nil"/>
              <w:left w:val="nil"/>
              <w:bottom w:val="single" w:sz="4" w:space="0" w:color="auto"/>
              <w:right w:val="nil"/>
            </w:tcBorders>
          </w:tcPr>
          <w:p w14:paraId="55106947" w14:textId="70DD01DA" w:rsidR="007E15BD" w:rsidRPr="00700826" w:rsidRDefault="007E15BD" w:rsidP="007E15BD">
            <w:pPr>
              <w:jc w:val="right"/>
              <w:rPr>
                <w:rFonts w:ascii="Arial" w:hAnsi="Arial" w:cs="Arial"/>
                <w:sz w:val="20"/>
                <w:szCs w:val="20"/>
                <w:u w:val="single"/>
              </w:rPr>
            </w:pPr>
            <w:r w:rsidRPr="00700826">
              <w:rPr>
                <w:rFonts w:ascii="Arial" w:hAnsi="Arial" w:cs="Arial"/>
                <w:b/>
                <w:bCs/>
                <w:sz w:val="20"/>
                <w:szCs w:val="20"/>
              </w:rPr>
              <w:t>$17,257,616</w:t>
            </w:r>
          </w:p>
        </w:tc>
        <w:tc>
          <w:tcPr>
            <w:tcW w:w="1803" w:type="dxa"/>
            <w:tcBorders>
              <w:top w:val="nil"/>
              <w:left w:val="nil"/>
              <w:bottom w:val="single" w:sz="4" w:space="0" w:color="auto"/>
              <w:right w:val="nil"/>
            </w:tcBorders>
          </w:tcPr>
          <w:p w14:paraId="71A3BB95" w14:textId="699CE93A" w:rsidR="007E15BD" w:rsidRPr="00700826" w:rsidRDefault="007E15BD" w:rsidP="007E15BD">
            <w:pPr>
              <w:jc w:val="right"/>
              <w:rPr>
                <w:rFonts w:ascii="Arial" w:hAnsi="Arial" w:cs="Arial"/>
                <w:sz w:val="20"/>
                <w:szCs w:val="20"/>
                <w:u w:val="single"/>
              </w:rPr>
            </w:pPr>
            <w:r w:rsidRPr="00700826">
              <w:rPr>
                <w:rFonts w:ascii="Arial" w:eastAsiaTheme="minorHAnsi" w:hAnsi="Arial" w:cs="Arial"/>
                <w:b/>
                <w:bCs/>
                <w:sz w:val="20"/>
                <w:szCs w:val="20"/>
              </w:rPr>
              <w:t>$16,831,825</w:t>
            </w:r>
          </w:p>
        </w:tc>
        <w:tc>
          <w:tcPr>
            <w:tcW w:w="1803" w:type="dxa"/>
            <w:tcBorders>
              <w:top w:val="nil"/>
              <w:left w:val="nil"/>
              <w:bottom w:val="single" w:sz="4" w:space="0" w:color="auto"/>
              <w:right w:val="nil"/>
            </w:tcBorders>
          </w:tcPr>
          <w:p w14:paraId="31602776" w14:textId="43AC389A" w:rsidR="007E15BD" w:rsidRPr="00700826" w:rsidRDefault="007E15BD" w:rsidP="007E15BD">
            <w:pPr>
              <w:jc w:val="right"/>
              <w:rPr>
                <w:rFonts w:ascii="Arial" w:hAnsi="Arial" w:cs="Arial"/>
                <w:sz w:val="20"/>
                <w:szCs w:val="20"/>
                <w:u w:val="single"/>
              </w:rPr>
            </w:pPr>
            <w:r>
              <w:rPr>
                <w:rFonts w:ascii="Arial" w:hAnsi="Arial" w:cs="Arial"/>
                <w:b/>
                <w:bCs/>
                <w:sz w:val="20"/>
                <w:szCs w:val="20"/>
              </w:rPr>
              <w:t>$16,511,357</w:t>
            </w:r>
          </w:p>
        </w:tc>
        <w:tc>
          <w:tcPr>
            <w:tcW w:w="1803" w:type="dxa"/>
            <w:tcBorders>
              <w:top w:val="nil"/>
              <w:left w:val="nil"/>
              <w:bottom w:val="single" w:sz="4" w:space="0" w:color="auto"/>
              <w:right w:val="single" w:sz="4" w:space="0" w:color="auto"/>
            </w:tcBorders>
          </w:tcPr>
          <w:p w14:paraId="50D695BC" w14:textId="21C79C73" w:rsidR="007E15BD" w:rsidRPr="00700826" w:rsidRDefault="007E15BD" w:rsidP="007E15BD">
            <w:pPr>
              <w:jc w:val="right"/>
              <w:rPr>
                <w:rFonts w:ascii="Arial" w:eastAsiaTheme="minorHAnsi" w:hAnsi="Arial" w:cs="Arial"/>
                <w:sz w:val="20"/>
                <w:szCs w:val="20"/>
                <w:u w:val="single"/>
              </w:rPr>
            </w:pPr>
          </w:p>
        </w:tc>
      </w:tr>
      <w:tr w:rsidR="007E15BD" w:rsidRPr="00AB5FD2" w14:paraId="4D48B2B2" w14:textId="77777777" w:rsidTr="007E15BD">
        <w:trPr>
          <w:trHeight w:val="238"/>
        </w:trPr>
        <w:tc>
          <w:tcPr>
            <w:tcW w:w="2868" w:type="dxa"/>
            <w:tcBorders>
              <w:top w:val="single" w:sz="4" w:space="0" w:color="auto"/>
              <w:left w:val="nil"/>
              <w:bottom w:val="nil"/>
              <w:right w:val="nil"/>
            </w:tcBorders>
            <w:vAlign w:val="bottom"/>
          </w:tcPr>
          <w:p w14:paraId="450BDCA7" w14:textId="1F469EFE" w:rsidR="007E15BD" w:rsidRPr="00AB5FD2" w:rsidRDefault="007E15BD" w:rsidP="007E15BD">
            <w:pPr>
              <w:rPr>
                <w:rFonts w:ascii="Arial" w:hAnsi="Arial" w:cs="Arial"/>
                <w:b/>
                <w:color w:val="000000"/>
                <w:sz w:val="20"/>
                <w:szCs w:val="20"/>
              </w:rPr>
            </w:pPr>
          </w:p>
        </w:tc>
        <w:tc>
          <w:tcPr>
            <w:tcW w:w="1803" w:type="dxa"/>
            <w:tcBorders>
              <w:top w:val="single" w:sz="4" w:space="0" w:color="auto"/>
              <w:left w:val="nil"/>
              <w:bottom w:val="nil"/>
              <w:right w:val="nil"/>
            </w:tcBorders>
          </w:tcPr>
          <w:p w14:paraId="731CBBA5" w14:textId="77777777" w:rsidR="007E15BD" w:rsidRPr="00700826" w:rsidRDefault="007E15BD" w:rsidP="007E15BD">
            <w:pPr>
              <w:jc w:val="right"/>
              <w:rPr>
                <w:rFonts w:ascii="Arial" w:hAnsi="Arial" w:cs="Arial"/>
                <w:b/>
                <w:bCs/>
                <w:sz w:val="20"/>
                <w:szCs w:val="20"/>
              </w:rPr>
            </w:pPr>
          </w:p>
        </w:tc>
        <w:tc>
          <w:tcPr>
            <w:tcW w:w="1803" w:type="dxa"/>
            <w:tcBorders>
              <w:top w:val="single" w:sz="4" w:space="0" w:color="auto"/>
              <w:left w:val="nil"/>
              <w:bottom w:val="nil"/>
              <w:right w:val="nil"/>
            </w:tcBorders>
          </w:tcPr>
          <w:p w14:paraId="3057A5FF" w14:textId="77777777" w:rsidR="007E15BD" w:rsidRPr="00700826" w:rsidRDefault="007E15BD" w:rsidP="007E15BD">
            <w:pPr>
              <w:jc w:val="right"/>
              <w:rPr>
                <w:rFonts w:ascii="Arial" w:hAnsi="Arial" w:cs="Arial"/>
                <w:b/>
                <w:bCs/>
                <w:sz w:val="20"/>
                <w:szCs w:val="20"/>
              </w:rPr>
            </w:pPr>
          </w:p>
        </w:tc>
        <w:tc>
          <w:tcPr>
            <w:tcW w:w="1803" w:type="dxa"/>
            <w:tcBorders>
              <w:top w:val="single" w:sz="4" w:space="0" w:color="auto"/>
              <w:left w:val="nil"/>
              <w:bottom w:val="nil"/>
              <w:right w:val="nil"/>
            </w:tcBorders>
          </w:tcPr>
          <w:p w14:paraId="2D88079F" w14:textId="77777777" w:rsidR="007E15BD" w:rsidRPr="00700826" w:rsidRDefault="007E15BD" w:rsidP="007E15BD">
            <w:pPr>
              <w:jc w:val="right"/>
              <w:rPr>
                <w:rFonts w:ascii="Arial" w:eastAsiaTheme="minorHAnsi" w:hAnsi="Arial" w:cs="Arial"/>
                <w:b/>
                <w:bCs/>
                <w:sz w:val="20"/>
                <w:szCs w:val="20"/>
              </w:rPr>
            </w:pPr>
          </w:p>
        </w:tc>
        <w:tc>
          <w:tcPr>
            <w:tcW w:w="1803" w:type="dxa"/>
            <w:tcBorders>
              <w:top w:val="single" w:sz="4" w:space="0" w:color="auto"/>
              <w:left w:val="nil"/>
              <w:bottom w:val="nil"/>
              <w:right w:val="nil"/>
            </w:tcBorders>
          </w:tcPr>
          <w:p w14:paraId="56992C63" w14:textId="77777777" w:rsidR="007E15BD" w:rsidRDefault="007E15BD" w:rsidP="007E15BD">
            <w:pPr>
              <w:jc w:val="right"/>
              <w:rPr>
                <w:rFonts w:ascii="Arial" w:hAnsi="Arial" w:cs="Arial"/>
                <w:b/>
                <w:bCs/>
                <w:sz w:val="20"/>
                <w:szCs w:val="20"/>
              </w:rPr>
            </w:pPr>
          </w:p>
        </w:tc>
      </w:tr>
      <w:bookmarkEnd w:id="3"/>
      <w:tr w:rsidR="007E15BD" w:rsidRPr="00AB5FD2" w14:paraId="4C0954C1" w14:textId="77777777" w:rsidTr="007E15BD">
        <w:trPr>
          <w:trHeight w:val="87"/>
        </w:trPr>
        <w:tc>
          <w:tcPr>
            <w:tcW w:w="2868" w:type="dxa"/>
            <w:tcBorders>
              <w:top w:val="nil"/>
              <w:bottom w:val="single" w:sz="4" w:space="0" w:color="auto"/>
            </w:tcBorders>
            <w:shd w:val="clear" w:color="auto" w:fill="000080"/>
            <w:vAlign w:val="bottom"/>
          </w:tcPr>
          <w:p w14:paraId="2019D2B9" w14:textId="682F8D66" w:rsidR="007E15BD" w:rsidRPr="00AB5FD2" w:rsidRDefault="007E15BD" w:rsidP="007E15BD">
            <w:pPr>
              <w:rPr>
                <w:rFonts w:ascii="Arial" w:eastAsia="Arial Unicode MS" w:hAnsi="Arial" w:cs="Arial"/>
                <w:b/>
                <w:color w:val="000000"/>
                <w:sz w:val="20"/>
                <w:szCs w:val="20"/>
              </w:rPr>
            </w:pPr>
            <w:r w:rsidRPr="00AB5FD2">
              <w:rPr>
                <w:rFonts w:ascii="Arial" w:hAnsi="Arial" w:cs="Arial"/>
                <w:b/>
                <w:bCs/>
                <w:color w:val="FFFFFF"/>
                <w:sz w:val="20"/>
              </w:rPr>
              <w:lastRenderedPageBreak/>
              <w:t>Expenditures</w:t>
            </w:r>
          </w:p>
        </w:tc>
        <w:tc>
          <w:tcPr>
            <w:tcW w:w="1803" w:type="dxa"/>
            <w:tcBorders>
              <w:top w:val="nil"/>
              <w:bottom w:val="single" w:sz="4" w:space="0" w:color="auto"/>
            </w:tcBorders>
            <w:shd w:val="clear" w:color="auto" w:fill="000080"/>
            <w:vAlign w:val="bottom"/>
          </w:tcPr>
          <w:p w14:paraId="19B5D508" w14:textId="1B30AC44" w:rsidR="007E15BD" w:rsidRPr="00700826" w:rsidRDefault="007E15BD" w:rsidP="007E15BD">
            <w:pPr>
              <w:jc w:val="right"/>
              <w:rPr>
                <w:rFonts w:ascii="Arial" w:hAnsi="Arial" w:cs="Arial"/>
                <w:b/>
                <w:bCs/>
                <w:sz w:val="20"/>
                <w:szCs w:val="20"/>
              </w:rPr>
            </w:pPr>
            <w:r>
              <w:rPr>
                <w:rFonts w:ascii="Arial" w:hAnsi="Arial" w:cs="Arial"/>
                <w:b/>
                <w:bCs/>
                <w:color w:val="FFFFFF"/>
                <w:sz w:val="20"/>
              </w:rPr>
              <w:t>FY 2019</w:t>
            </w:r>
          </w:p>
        </w:tc>
        <w:tc>
          <w:tcPr>
            <w:tcW w:w="1803" w:type="dxa"/>
            <w:tcBorders>
              <w:top w:val="nil"/>
              <w:bottom w:val="single" w:sz="4" w:space="0" w:color="auto"/>
            </w:tcBorders>
            <w:shd w:val="clear" w:color="auto" w:fill="000080"/>
            <w:vAlign w:val="bottom"/>
          </w:tcPr>
          <w:p w14:paraId="6FBA54DE" w14:textId="1FE042F4" w:rsidR="007E15BD" w:rsidRPr="00700826" w:rsidRDefault="007E15BD" w:rsidP="007E15BD">
            <w:pPr>
              <w:jc w:val="right"/>
              <w:rPr>
                <w:rFonts w:ascii="Arial" w:hAnsi="Arial" w:cs="Arial"/>
                <w:b/>
                <w:bCs/>
                <w:sz w:val="20"/>
                <w:szCs w:val="20"/>
              </w:rPr>
            </w:pPr>
            <w:r>
              <w:rPr>
                <w:rFonts w:ascii="Arial" w:hAnsi="Arial" w:cs="Arial"/>
                <w:b/>
                <w:bCs/>
                <w:color w:val="FFFFFF"/>
                <w:sz w:val="20"/>
              </w:rPr>
              <w:t>FY 2020</w:t>
            </w:r>
          </w:p>
        </w:tc>
        <w:tc>
          <w:tcPr>
            <w:tcW w:w="1803" w:type="dxa"/>
            <w:tcBorders>
              <w:top w:val="nil"/>
              <w:bottom w:val="single" w:sz="4" w:space="0" w:color="auto"/>
            </w:tcBorders>
            <w:shd w:val="clear" w:color="auto" w:fill="000080"/>
            <w:vAlign w:val="bottom"/>
          </w:tcPr>
          <w:p w14:paraId="5A56B4FE" w14:textId="110963D9" w:rsidR="007E15BD" w:rsidRPr="00700826" w:rsidRDefault="007E15BD" w:rsidP="007E15BD">
            <w:pPr>
              <w:jc w:val="right"/>
              <w:rPr>
                <w:rFonts w:ascii="Arial" w:hAnsi="Arial" w:cs="Arial"/>
                <w:b/>
                <w:bCs/>
                <w:sz w:val="20"/>
                <w:szCs w:val="20"/>
              </w:rPr>
            </w:pPr>
            <w:r>
              <w:rPr>
                <w:rFonts w:ascii="Arial" w:hAnsi="Arial" w:cs="Arial"/>
                <w:b/>
                <w:bCs/>
                <w:color w:val="FFFFFF"/>
                <w:sz w:val="20"/>
              </w:rPr>
              <w:t>FY 2021</w:t>
            </w:r>
          </w:p>
        </w:tc>
        <w:tc>
          <w:tcPr>
            <w:tcW w:w="1803" w:type="dxa"/>
            <w:tcBorders>
              <w:top w:val="nil"/>
              <w:bottom w:val="single" w:sz="4" w:space="0" w:color="auto"/>
            </w:tcBorders>
            <w:shd w:val="clear" w:color="auto" w:fill="000080"/>
            <w:vAlign w:val="bottom"/>
          </w:tcPr>
          <w:p w14:paraId="4B6A674A" w14:textId="6F3AF2E9" w:rsidR="007E15BD" w:rsidRPr="00700826" w:rsidRDefault="007E15BD" w:rsidP="007E15BD">
            <w:pPr>
              <w:jc w:val="right"/>
              <w:rPr>
                <w:rFonts w:ascii="Arial" w:eastAsiaTheme="minorHAnsi" w:hAnsi="Arial" w:cs="Arial"/>
                <w:b/>
                <w:bCs/>
                <w:sz w:val="20"/>
                <w:szCs w:val="20"/>
              </w:rPr>
            </w:pPr>
            <w:r>
              <w:rPr>
                <w:rFonts w:ascii="Arial" w:hAnsi="Arial" w:cs="Arial"/>
                <w:b/>
                <w:bCs/>
                <w:color w:val="FFFFFF"/>
                <w:sz w:val="20"/>
                <w:szCs w:val="20"/>
              </w:rPr>
              <w:t>FY 2022</w:t>
            </w:r>
          </w:p>
        </w:tc>
      </w:tr>
      <w:tr w:rsidR="007E15BD" w:rsidRPr="00AB5FD2" w14:paraId="7E1CE8D6" w14:textId="77777777" w:rsidTr="007E15BD">
        <w:tc>
          <w:tcPr>
            <w:tcW w:w="2868" w:type="dxa"/>
            <w:tcBorders>
              <w:top w:val="single" w:sz="4" w:space="0" w:color="auto"/>
              <w:left w:val="single" w:sz="4" w:space="0" w:color="auto"/>
              <w:bottom w:val="nil"/>
              <w:right w:val="nil"/>
            </w:tcBorders>
          </w:tcPr>
          <w:p w14:paraId="1D0545E9" w14:textId="62418C0F" w:rsidR="007E15BD" w:rsidRPr="00AB5FD2" w:rsidRDefault="007E15BD" w:rsidP="007E15BD">
            <w:pPr>
              <w:keepNext/>
              <w:rPr>
                <w:rFonts w:ascii="Arial" w:hAnsi="Arial" w:cs="Arial"/>
                <w:b/>
                <w:bCs/>
                <w:color w:val="FFFFFF"/>
                <w:sz w:val="20"/>
              </w:rPr>
            </w:pPr>
            <w:r w:rsidRPr="00AB5FD2">
              <w:rPr>
                <w:rFonts w:ascii="Arial" w:hAnsi="Arial" w:cs="Arial"/>
                <w:sz w:val="20"/>
              </w:rPr>
              <w:t>Personnel Costs</w:t>
            </w:r>
          </w:p>
        </w:tc>
        <w:tc>
          <w:tcPr>
            <w:tcW w:w="1803" w:type="dxa"/>
            <w:tcBorders>
              <w:top w:val="single" w:sz="4" w:space="0" w:color="auto"/>
              <w:left w:val="nil"/>
              <w:bottom w:val="nil"/>
              <w:right w:val="nil"/>
            </w:tcBorders>
          </w:tcPr>
          <w:p w14:paraId="6E57AE4B" w14:textId="10381739" w:rsidR="007E15BD" w:rsidRPr="00AB5FD2" w:rsidRDefault="007E15BD" w:rsidP="007E15BD">
            <w:pPr>
              <w:jc w:val="right"/>
              <w:rPr>
                <w:rFonts w:ascii="Arial" w:hAnsi="Arial" w:cs="Arial"/>
                <w:b/>
                <w:bCs/>
                <w:color w:val="FFFFFF"/>
                <w:sz w:val="20"/>
              </w:rPr>
            </w:pPr>
            <w:r w:rsidRPr="00700826">
              <w:rPr>
                <w:rFonts w:ascii="Arial" w:hAnsi="Arial" w:cs="Arial"/>
                <w:sz w:val="20"/>
                <w:szCs w:val="20"/>
              </w:rPr>
              <w:t>$9,431,419</w:t>
            </w:r>
          </w:p>
        </w:tc>
        <w:tc>
          <w:tcPr>
            <w:tcW w:w="1803" w:type="dxa"/>
            <w:tcBorders>
              <w:top w:val="single" w:sz="4" w:space="0" w:color="auto"/>
              <w:left w:val="nil"/>
              <w:bottom w:val="nil"/>
              <w:right w:val="nil"/>
            </w:tcBorders>
          </w:tcPr>
          <w:p w14:paraId="34C66B5B" w14:textId="52DF8F11" w:rsidR="007E15BD" w:rsidRPr="00AB5FD2" w:rsidRDefault="007E15BD" w:rsidP="007E15BD">
            <w:pPr>
              <w:jc w:val="right"/>
              <w:rPr>
                <w:rFonts w:ascii="Arial" w:hAnsi="Arial" w:cs="Arial"/>
                <w:b/>
                <w:bCs/>
                <w:color w:val="FFFFFF"/>
                <w:sz w:val="20"/>
              </w:rPr>
            </w:pPr>
            <w:r w:rsidRPr="00700826">
              <w:rPr>
                <w:rFonts w:ascii="Arial" w:eastAsiaTheme="minorHAnsi" w:hAnsi="Arial" w:cs="Arial"/>
                <w:sz w:val="20"/>
                <w:szCs w:val="20"/>
              </w:rPr>
              <w:t>$9,075,321</w:t>
            </w:r>
          </w:p>
        </w:tc>
        <w:tc>
          <w:tcPr>
            <w:tcW w:w="1803" w:type="dxa"/>
            <w:tcBorders>
              <w:top w:val="single" w:sz="4" w:space="0" w:color="auto"/>
              <w:left w:val="nil"/>
              <w:bottom w:val="nil"/>
              <w:right w:val="nil"/>
            </w:tcBorders>
          </w:tcPr>
          <w:p w14:paraId="3B11627E" w14:textId="65806334" w:rsidR="007E15BD" w:rsidRPr="00AB5FD2" w:rsidRDefault="007E15BD" w:rsidP="007E15BD">
            <w:pPr>
              <w:jc w:val="right"/>
              <w:rPr>
                <w:rFonts w:ascii="Arial" w:hAnsi="Arial" w:cs="Arial"/>
                <w:b/>
                <w:bCs/>
                <w:color w:val="FFFFFF"/>
                <w:sz w:val="20"/>
              </w:rPr>
            </w:pPr>
            <w:r>
              <w:rPr>
                <w:rFonts w:ascii="Arial" w:hAnsi="Arial" w:cs="Arial"/>
                <w:sz w:val="20"/>
                <w:szCs w:val="20"/>
              </w:rPr>
              <w:t>$9,016,156</w:t>
            </w:r>
          </w:p>
        </w:tc>
        <w:tc>
          <w:tcPr>
            <w:tcW w:w="1803" w:type="dxa"/>
            <w:tcBorders>
              <w:top w:val="single" w:sz="4" w:space="0" w:color="auto"/>
              <w:left w:val="nil"/>
              <w:bottom w:val="nil"/>
              <w:right w:val="single" w:sz="4" w:space="0" w:color="auto"/>
            </w:tcBorders>
          </w:tcPr>
          <w:p w14:paraId="24FC4CD9" w14:textId="56F0411E" w:rsidR="007E15BD" w:rsidRPr="00AB5FD2" w:rsidRDefault="007E15BD" w:rsidP="007E15BD">
            <w:pPr>
              <w:jc w:val="right"/>
              <w:rPr>
                <w:rFonts w:ascii="Arial" w:hAnsi="Arial" w:cs="Arial"/>
                <w:b/>
                <w:bCs/>
                <w:color w:val="FFFFFF"/>
                <w:sz w:val="20"/>
              </w:rPr>
            </w:pPr>
          </w:p>
        </w:tc>
      </w:tr>
      <w:tr w:rsidR="007E15BD" w:rsidRPr="00AB5FD2" w14:paraId="66649E48" w14:textId="77777777" w:rsidTr="007E15BD">
        <w:tc>
          <w:tcPr>
            <w:tcW w:w="2868" w:type="dxa"/>
            <w:tcBorders>
              <w:top w:val="nil"/>
              <w:left w:val="single" w:sz="4" w:space="0" w:color="auto"/>
              <w:bottom w:val="nil"/>
              <w:right w:val="nil"/>
            </w:tcBorders>
          </w:tcPr>
          <w:p w14:paraId="361D48F0" w14:textId="3BD81D9D" w:rsidR="007E15BD" w:rsidRPr="00AB5FD2" w:rsidRDefault="007E15BD" w:rsidP="007E15BD">
            <w:pPr>
              <w:keepNext/>
              <w:jc w:val="both"/>
              <w:rPr>
                <w:rFonts w:ascii="Arial" w:hAnsi="Arial" w:cs="Arial"/>
                <w:sz w:val="20"/>
              </w:rPr>
            </w:pPr>
            <w:r w:rsidRPr="00AB5FD2">
              <w:rPr>
                <w:rFonts w:ascii="Arial" w:hAnsi="Arial" w:cs="Arial"/>
                <w:sz w:val="20"/>
              </w:rPr>
              <w:t>Operating Expenditures</w:t>
            </w:r>
          </w:p>
        </w:tc>
        <w:tc>
          <w:tcPr>
            <w:tcW w:w="1803" w:type="dxa"/>
            <w:tcBorders>
              <w:top w:val="nil"/>
              <w:left w:val="nil"/>
              <w:bottom w:val="nil"/>
              <w:right w:val="nil"/>
            </w:tcBorders>
          </w:tcPr>
          <w:p w14:paraId="1C83E7F2" w14:textId="096AAE8A" w:rsidR="007E15BD" w:rsidRPr="00700826" w:rsidRDefault="007E15BD" w:rsidP="007E15BD">
            <w:pPr>
              <w:jc w:val="right"/>
              <w:rPr>
                <w:rFonts w:ascii="Arial" w:hAnsi="Arial" w:cs="Arial"/>
                <w:color w:val="000000" w:themeColor="text1"/>
                <w:sz w:val="20"/>
                <w:szCs w:val="20"/>
              </w:rPr>
            </w:pPr>
            <w:r w:rsidRPr="00700826">
              <w:rPr>
                <w:rFonts w:ascii="Arial" w:hAnsi="Arial" w:cs="Arial"/>
                <w:sz w:val="20"/>
                <w:szCs w:val="20"/>
              </w:rPr>
              <w:t>$2,365,640</w:t>
            </w:r>
          </w:p>
        </w:tc>
        <w:tc>
          <w:tcPr>
            <w:tcW w:w="1803" w:type="dxa"/>
            <w:tcBorders>
              <w:top w:val="nil"/>
              <w:left w:val="nil"/>
              <w:bottom w:val="nil"/>
              <w:right w:val="nil"/>
            </w:tcBorders>
          </w:tcPr>
          <w:p w14:paraId="0B65F0B4" w14:textId="5CB6A625" w:rsidR="007E15BD" w:rsidRPr="00700826" w:rsidRDefault="007E15BD" w:rsidP="007E15BD">
            <w:pPr>
              <w:jc w:val="right"/>
              <w:rPr>
                <w:rFonts w:ascii="Arial" w:hAnsi="Arial" w:cs="Arial"/>
                <w:color w:val="000000" w:themeColor="text1"/>
                <w:sz w:val="20"/>
                <w:szCs w:val="20"/>
              </w:rPr>
            </w:pPr>
            <w:r w:rsidRPr="00700826">
              <w:rPr>
                <w:rFonts w:ascii="Arial" w:eastAsiaTheme="minorHAnsi" w:hAnsi="Arial" w:cs="Arial"/>
                <w:sz w:val="20"/>
                <w:szCs w:val="20"/>
              </w:rPr>
              <w:t>$2,654,960</w:t>
            </w:r>
          </w:p>
        </w:tc>
        <w:tc>
          <w:tcPr>
            <w:tcW w:w="1803" w:type="dxa"/>
            <w:tcBorders>
              <w:top w:val="nil"/>
              <w:left w:val="nil"/>
              <w:bottom w:val="nil"/>
              <w:right w:val="nil"/>
            </w:tcBorders>
          </w:tcPr>
          <w:p w14:paraId="60CFEF4C" w14:textId="6610B441" w:rsidR="007E15BD" w:rsidRPr="00700826" w:rsidRDefault="007E15BD" w:rsidP="007E15BD">
            <w:pPr>
              <w:jc w:val="right"/>
              <w:rPr>
                <w:rFonts w:ascii="Arial" w:hAnsi="Arial" w:cs="Arial"/>
                <w:color w:val="000000" w:themeColor="text1"/>
                <w:sz w:val="20"/>
                <w:szCs w:val="20"/>
              </w:rPr>
            </w:pPr>
            <w:r>
              <w:rPr>
                <w:rFonts w:ascii="Arial" w:hAnsi="Arial" w:cs="Arial"/>
                <w:sz w:val="20"/>
                <w:szCs w:val="20"/>
              </w:rPr>
              <w:t>$2,904,162</w:t>
            </w:r>
          </w:p>
        </w:tc>
        <w:tc>
          <w:tcPr>
            <w:tcW w:w="1803" w:type="dxa"/>
            <w:tcBorders>
              <w:top w:val="nil"/>
              <w:left w:val="nil"/>
              <w:bottom w:val="nil"/>
              <w:right w:val="single" w:sz="4" w:space="0" w:color="auto"/>
            </w:tcBorders>
          </w:tcPr>
          <w:p w14:paraId="241C2282" w14:textId="6131874B" w:rsidR="007E15BD" w:rsidRPr="00700826" w:rsidRDefault="007E15BD" w:rsidP="007E15BD">
            <w:pPr>
              <w:jc w:val="right"/>
              <w:rPr>
                <w:rFonts w:ascii="Arial" w:eastAsiaTheme="minorHAnsi" w:hAnsi="Arial" w:cs="Arial"/>
                <w:sz w:val="20"/>
                <w:szCs w:val="20"/>
              </w:rPr>
            </w:pPr>
          </w:p>
        </w:tc>
      </w:tr>
      <w:tr w:rsidR="007E15BD" w:rsidRPr="00AB5FD2" w14:paraId="2618A861" w14:textId="77777777" w:rsidTr="007E15BD">
        <w:tc>
          <w:tcPr>
            <w:tcW w:w="2868" w:type="dxa"/>
            <w:tcBorders>
              <w:top w:val="nil"/>
              <w:left w:val="single" w:sz="4" w:space="0" w:color="auto"/>
              <w:bottom w:val="nil"/>
              <w:right w:val="nil"/>
            </w:tcBorders>
          </w:tcPr>
          <w:p w14:paraId="153A5F71" w14:textId="7AEF18FD" w:rsidR="007E15BD" w:rsidRPr="00AB5FD2" w:rsidRDefault="007E15BD" w:rsidP="007E15BD">
            <w:pPr>
              <w:keepNext/>
              <w:jc w:val="both"/>
              <w:rPr>
                <w:rFonts w:ascii="Arial" w:hAnsi="Arial" w:cs="Arial"/>
                <w:sz w:val="20"/>
              </w:rPr>
            </w:pPr>
            <w:r>
              <w:rPr>
                <w:rFonts w:ascii="Arial" w:hAnsi="Arial" w:cs="Arial"/>
                <w:sz w:val="20"/>
              </w:rPr>
              <w:t>Capital Outlay</w:t>
            </w:r>
          </w:p>
        </w:tc>
        <w:tc>
          <w:tcPr>
            <w:tcW w:w="1803" w:type="dxa"/>
            <w:tcBorders>
              <w:top w:val="nil"/>
              <w:left w:val="nil"/>
              <w:bottom w:val="nil"/>
              <w:right w:val="nil"/>
            </w:tcBorders>
          </w:tcPr>
          <w:p w14:paraId="7B6C38EE" w14:textId="29E00126" w:rsidR="007E15BD" w:rsidRPr="00700826" w:rsidRDefault="007E15BD" w:rsidP="007E15BD">
            <w:pPr>
              <w:jc w:val="right"/>
              <w:rPr>
                <w:rFonts w:ascii="Arial" w:hAnsi="Arial" w:cs="Arial"/>
                <w:color w:val="000000" w:themeColor="text1"/>
                <w:sz w:val="20"/>
                <w:szCs w:val="20"/>
              </w:rPr>
            </w:pPr>
            <w:r>
              <w:rPr>
                <w:rFonts w:ascii="Arial" w:hAnsi="Arial" w:cs="Arial"/>
                <w:sz w:val="20"/>
                <w:szCs w:val="20"/>
              </w:rPr>
              <w:t>$560,036</w:t>
            </w:r>
          </w:p>
        </w:tc>
        <w:tc>
          <w:tcPr>
            <w:tcW w:w="1803" w:type="dxa"/>
            <w:tcBorders>
              <w:top w:val="nil"/>
              <w:left w:val="nil"/>
              <w:bottom w:val="nil"/>
              <w:right w:val="nil"/>
            </w:tcBorders>
          </w:tcPr>
          <w:p w14:paraId="01D0FC39" w14:textId="1198D8FD" w:rsidR="007E15BD" w:rsidRPr="00700826" w:rsidRDefault="007E15BD" w:rsidP="007E15BD">
            <w:pPr>
              <w:jc w:val="right"/>
              <w:rPr>
                <w:rFonts w:ascii="Arial" w:hAnsi="Arial" w:cs="Arial"/>
                <w:sz w:val="20"/>
                <w:szCs w:val="20"/>
              </w:rPr>
            </w:pPr>
            <w:r>
              <w:rPr>
                <w:rFonts w:ascii="Arial" w:eastAsiaTheme="minorHAnsi" w:hAnsi="Arial" w:cs="Arial"/>
                <w:sz w:val="20"/>
                <w:szCs w:val="20"/>
              </w:rPr>
              <w:t>$68,862</w:t>
            </w:r>
          </w:p>
        </w:tc>
        <w:tc>
          <w:tcPr>
            <w:tcW w:w="1803" w:type="dxa"/>
            <w:tcBorders>
              <w:top w:val="nil"/>
              <w:left w:val="nil"/>
              <w:bottom w:val="nil"/>
              <w:right w:val="nil"/>
            </w:tcBorders>
          </w:tcPr>
          <w:p w14:paraId="4968D0A0" w14:textId="2FC90EA5" w:rsidR="007E15BD" w:rsidRPr="00700826" w:rsidRDefault="007E15BD" w:rsidP="007E15BD">
            <w:pPr>
              <w:jc w:val="right"/>
              <w:rPr>
                <w:rFonts w:ascii="Arial" w:eastAsiaTheme="minorHAnsi" w:hAnsi="Arial" w:cs="Arial"/>
                <w:sz w:val="20"/>
                <w:szCs w:val="20"/>
              </w:rPr>
            </w:pPr>
            <w:r>
              <w:rPr>
                <w:rFonts w:ascii="Arial" w:hAnsi="Arial" w:cs="Arial"/>
                <w:sz w:val="20"/>
                <w:szCs w:val="20"/>
              </w:rPr>
              <w:t>$127,714</w:t>
            </w:r>
          </w:p>
        </w:tc>
        <w:tc>
          <w:tcPr>
            <w:tcW w:w="1803" w:type="dxa"/>
            <w:tcBorders>
              <w:top w:val="nil"/>
              <w:left w:val="nil"/>
              <w:bottom w:val="nil"/>
              <w:right w:val="single" w:sz="4" w:space="0" w:color="auto"/>
            </w:tcBorders>
          </w:tcPr>
          <w:p w14:paraId="551873A0" w14:textId="52618145" w:rsidR="007E15BD" w:rsidRDefault="007E15BD" w:rsidP="007E15BD">
            <w:pPr>
              <w:jc w:val="right"/>
              <w:rPr>
                <w:rFonts w:ascii="Arial" w:hAnsi="Arial" w:cs="Arial"/>
                <w:sz w:val="20"/>
                <w:szCs w:val="20"/>
              </w:rPr>
            </w:pPr>
          </w:p>
        </w:tc>
      </w:tr>
      <w:tr w:rsidR="007E15BD" w:rsidRPr="00AB5FD2" w14:paraId="22D2B5B3" w14:textId="77777777" w:rsidTr="007E15BD">
        <w:tc>
          <w:tcPr>
            <w:tcW w:w="2868" w:type="dxa"/>
            <w:tcBorders>
              <w:top w:val="nil"/>
              <w:left w:val="single" w:sz="4" w:space="0" w:color="auto"/>
              <w:bottom w:val="nil"/>
              <w:right w:val="nil"/>
            </w:tcBorders>
          </w:tcPr>
          <w:p w14:paraId="660739C4" w14:textId="004E1456" w:rsidR="007E15BD" w:rsidRPr="00AB5FD2" w:rsidRDefault="007E15BD" w:rsidP="007E15BD">
            <w:pPr>
              <w:keepNext/>
              <w:jc w:val="both"/>
              <w:rPr>
                <w:rFonts w:ascii="Arial" w:hAnsi="Arial" w:cs="Arial"/>
                <w:sz w:val="20"/>
              </w:rPr>
            </w:pPr>
            <w:r w:rsidRPr="00AB5FD2">
              <w:rPr>
                <w:rFonts w:ascii="Arial" w:hAnsi="Arial" w:cs="Arial"/>
                <w:sz w:val="20"/>
              </w:rPr>
              <w:t>Trustee/Benefit Payments</w:t>
            </w:r>
          </w:p>
        </w:tc>
        <w:tc>
          <w:tcPr>
            <w:tcW w:w="1803" w:type="dxa"/>
            <w:tcBorders>
              <w:top w:val="nil"/>
              <w:left w:val="nil"/>
              <w:bottom w:val="nil"/>
              <w:right w:val="nil"/>
            </w:tcBorders>
          </w:tcPr>
          <w:p w14:paraId="3E3FF72F" w14:textId="4F439447" w:rsidR="007E15BD" w:rsidRPr="00700826" w:rsidRDefault="007E15BD" w:rsidP="007E15BD">
            <w:pPr>
              <w:jc w:val="right"/>
              <w:rPr>
                <w:rFonts w:ascii="Arial" w:hAnsi="Arial" w:cs="Arial"/>
                <w:color w:val="000000" w:themeColor="text1"/>
                <w:sz w:val="20"/>
                <w:szCs w:val="20"/>
              </w:rPr>
            </w:pPr>
            <w:r w:rsidRPr="00700826">
              <w:rPr>
                <w:rFonts w:ascii="Arial" w:hAnsi="Arial" w:cs="Arial"/>
                <w:sz w:val="20"/>
                <w:szCs w:val="20"/>
                <w:u w:val="single"/>
              </w:rPr>
              <w:t>$3,664,794</w:t>
            </w:r>
          </w:p>
        </w:tc>
        <w:tc>
          <w:tcPr>
            <w:tcW w:w="1803" w:type="dxa"/>
            <w:tcBorders>
              <w:top w:val="nil"/>
              <w:left w:val="nil"/>
              <w:bottom w:val="nil"/>
              <w:right w:val="nil"/>
            </w:tcBorders>
          </w:tcPr>
          <w:p w14:paraId="36FA9DE4" w14:textId="6E9C3471" w:rsidR="007E15BD" w:rsidRPr="00700826" w:rsidRDefault="007E15BD" w:rsidP="007E15BD">
            <w:pPr>
              <w:jc w:val="right"/>
              <w:rPr>
                <w:rFonts w:ascii="Arial" w:hAnsi="Arial" w:cs="Arial"/>
                <w:color w:val="000000" w:themeColor="text1"/>
                <w:sz w:val="20"/>
                <w:szCs w:val="20"/>
              </w:rPr>
            </w:pPr>
            <w:r w:rsidRPr="00700826">
              <w:rPr>
                <w:rFonts w:ascii="Arial" w:eastAsiaTheme="minorHAnsi" w:hAnsi="Arial" w:cs="Arial"/>
                <w:sz w:val="20"/>
                <w:szCs w:val="20"/>
                <w:u w:val="single"/>
              </w:rPr>
              <w:t>$4,140,817</w:t>
            </w:r>
          </w:p>
        </w:tc>
        <w:tc>
          <w:tcPr>
            <w:tcW w:w="1803" w:type="dxa"/>
            <w:tcBorders>
              <w:top w:val="nil"/>
              <w:left w:val="nil"/>
              <w:bottom w:val="nil"/>
              <w:right w:val="nil"/>
            </w:tcBorders>
          </w:tcPr>
          <w:p w14:paraId="4788092C" w14:textId="7994CC48" w:rsidR="007E15BD" w:rsidRPr="00700826" w:rsidRDefault="007E15BD" w:rsidP="007E15BD">
            <w:pPr>
              <w:jc w:val="right"/>
              <w:rPr>
                <w:rFonts w:ascii="Arial" w:hAnsi="Arial" w:cs="Arial"/>
                <w:color w:val="000000" w:themeColor="text1"/>
                <w:sz w:val="20"/>
                <w:szCs w:val="20"/>
              </w:rPr>
            </w:pPr>
            <w:r>
              <w:rPr>
                <w:rFonts w:ascii="Arial" w:hAnsi="Arial" w:cs="Arial"/>
                <w:sz w:val="20"/>
                <w:szCs w:val="20"/>
                <w:u w:val="single"/>
              </w:rPr>
              <w:t>$3,379,836</w:t>
            </w:r>
          </w:p>
        </w:tc>
        <w:tc>
          <w:tcPr>
            <w:tcW w:w="1803" w:type="dxa"/>
            <w:tcBorders>
              <w:top w:val="nil"/>
              <w:left w:val="nil"/>
              <w:bottom w:val="nil"/>
              <w:right w:val="single" w:sz="4" w:space="0" w:color="auto"/>
            </w:tcBorders>
          </w:tcPr>
          <w:p w14:paraId="48D4B28D" w14:textId="00850A88" w:rsidR="007E15BD" w:rsidRPr="00700826" w:rsidRDefault="007E15BD" w:rsidP="007E15BD">
            <w:pPr>
              <w:jc w:val="right"/>
              <w:rPr>
                <w:rFonts w:ascii="Arial" w:eastAsiaTheme="minorHAnsi" w:hAnsi="Arial" w:cs="Arial"/>
                <w:sz w:val="20"/>
                <w:szCs w:val="20"/>
              </w:rPr>
            </w:pPr>
          </w:p>
        </w:tc>
      </w:tr>
      <w:tr w:rsidR="007E15BD" w:rsidRPr="00AB5FD2" w14:paraId="75D0C918" w14:textId="77777777" w:rsidTr="007E15BD">
        <w:tc>
          <w:tcPr>
            <w:tcW w:w="2868" w:type="dxa"/>
            <w:tcBorders>
              <w:top w:val="nil"/>
              <w:left w:val="single" w:sz="4" w:space="0" w:color="auto"/>
              <w:bottom w:val="single" w:sz="4" w:space="0" w:color="auto"/>
              <w:right w:val="nil"/>
            </w:tcBorders>
          </w:tcPr>
          <w:p w14:paraId="08914BC7" w14:textId="318208FC" w:rsidR="007E15BD" w:rsidRPr="00AB5FD2" w:rsidRDefault="007E15BD" w:rsidP="007E15BD">
            <w:pPr>
              <w:keepNext/>
              <w:jc w:val="both"/>
              <w:rPr>
                <w:rFonts w:ascii="Arial" w:hAnsi="Arial" w:cs="Arial"/>
                <w:sz w:val="20"/>
              </w:rPr>
            </w:pPr>
            <w:r w:rsidRPr="00700826">
              <w:rPr>
                <w:rFonts w:ascii="Arial" w:hAnsi="Arial" w:cs="Arial"/>
                <w:b/>
                <w:bCs/>
                <w:sz w:val="20"/>
              </w:rPr>
              <w:t>Total</w:t>
            </w:r>
          </w:p>
        </w:tc>
        <w:tc>
          <w:tcPr>
            <w:tcW w:w="1803" w:type="dxa"/>
            <w:tcBorders>
              <w:top w:val="nil"/>
              <w:left w:val="nil"/>
              <w:bottom w:val="single" w:sz="4" w:space="0" w:color="auto"/>
              <w:right w:val="nil"/>
            </w:tcBorders>
          </w:tcPr>
          <w:p w14:paraId="4914CA2A" w14:textId="5C6DE276" w:rsidR="007E15BD" w:rsidRPr="00700826" w:rsidRDefault="007E15BD" w:rsidP="007E15BD">
            <w:pPr>
              <w:jc w:val="right"/>
              <w:rPr>
                <w:rFonts w:ascii="Arial" w:hAnsi="Arial" w:cs="Arial"/>
                <w:color w:val="000000" w:themeColor="text1"/>
                <w:sz w:val="20"/>
                <w:szCs w:val="20"/>
                <w:u w:val="single"/>
              </w:rPr>
            </w:pPr>
            <w:r w:rsidRPr="00700826">
              <w:rPr>
                <w:rFonts w:ascii="Arial" w:hAnsi="Arial" w:cs="Arial"/>
                <w:b/>
                <w:bCs/>
                <w:sz w:val="20"/>
                <w:szCs w:val="20"/>
              </w:rPr>
              <w:t>$16,021,889</w:t>
            </w:r>
          </w:p>
        </w:tc>
        <w:tc>
          <w:tcPr>
            <w:tcW w:w="1803" w:type="dxa"/>
            <w:tcBorders>
              <w:top w:val="nil"/>
              <w:left w:val="nil"/>
              <w:bottom w:val="single" w:sz="4" w:space="0" w:color="auto"/>
              <w:right w:val="nil"/>
            </w:tcBorders>
          </w:tcPr>
          <w:p w14:paraId="3D9C81ED" w14:textId="7E95AFE4" w:rsidR="007E15BD" w:rsidRPr="00700826" w:rsidRDefault="007E15BD" w:rsidP="007E15BD">
            <w:pPr>
              <w:jc w:val="right"/>
              <w:rPr>
                <w:rFonts w:ascii="Arial" w:hAnsi="Arial" w:cs="Arial"/>
                <w:color w:val="000000" w:themeColor="text1"/>
                <w:sz w:val="20"/>
                <w:szCs w:val="20"/>
                <w:u w:val="single"/>
              </w:rPr>
            </w:pPr>
            <w:r w:rsidRPr="00700826">
              <w:rPr>
                <w:rFonts w:ascii="Arial" w:eastAsiaTheme="minorHAnsi" w:hAnsi="Arial" w:cs="Arial"/>
                <w:b/>
                <w:bCs/>
                <w:sz w:val="20"/>
                <w:szCs w:val="20"/>
              </w:rPr>
              <w:t>$15,939,960</w:t>
            </w:r>
          </w:p>
        </w:tc>
        <w:tc>
          <w:tcPr>
            <w:tcW w:w="1803" w:type="dxa"/>
            <w:tcBorders>
              <w:top w:val="nil"/>
              <w:left w:val="nil"/>
              <w:bottom w:val="single" w:sz="4" w:space="0" w:color="auto"/>
              <w:right w:val="nil"/>
            </w:tcBorders>
          </w:tcPr>
          <w:p w14:paraId="383144AE" w14:textId="4F89B4AA" w:rsidR="007E15BD" w:rsidRPr="00700826" w:rsidRDefault="007E15BD" w:rsidP="007E15BD">
            <w:pPr>
              <w:jc w:val="right"/>
              <w:rPr>
                <w:rFonts w:ascii="Arial" w:hAnsi="Arial" w:cs="Arial"/>
                <w:color w:val="000000" w:themeColor="text1"/>
                <w:sz w:val="20"/>
                <w:szCs w:val="20"/>
                <w:u w:val="single"/>
              </w:rPr>
            </w:pPr>
            <w:r>
              <w:rPr>
                <w:rFonts w:ascii="Arial" w:hAnsi="Arial" w:cs="Arial"/>
                <w:b/>
                <w:bCs/>
                <w:sz w:val="20"/>
                <w:szCs w:val="20"/>
              </w:rPr>
              <w:t>$15,427,868</w:t>
            </w:r>
          </w:p>
        </w:tc>
        <w:tc>
          <w:tcPr>
            <w:tcW w:w="1803" w:type="dxa"/>
            <w:tcBorders>
              <w:top w:val="nil"/>
              <w:left w:val="nil"/>
              <w:bottom w:val="single" w:sz="4" w:space="0" w:color="auto"/>
              <w:right w:val="single" w:sz="4" w:space="0" w:color="auto"/>
            </w:tcBorders>
          </w:tcPr>
          <w:p w14:paraId="55248A0C" w14:textId="2A80728B" w:rsidR="007E15BD" w:rsidRPr="00700826" w:rsidRDefault="007E15BD" w:rsidP="007E15BD">
            <w:pPr>
              <w:jc w:val="right"/>
              <w:rPr>
                <w:rFonts w:ascii="Arial" w:eastAsiaTheme="minorHAnsi" w:hAnsi="Arial" w:cs="Arial"/>
                <w:sz w:val="20"/>
                <w:szCs w:val="20"/>
                <w:u w:val="single"/>
              </w:rPr>
            </w:pPr>
          </w:p>
        </w:tc>
      </w:tr>
      <w:bookmarkEnd w:id="2"/>
    </w:tbl>
    <w:p w14:paraId="0A51F3EB" w14:textId="77777777" w:rsidR="002163C3" w:rsidRDefault="002163C3" w:rsidP="001E2086">
      <w:pPr>
        <w:jc w:val="both"/>
        <w:rPr>
          <w:rFonts w:ascii="Arial" w:hAnsi="Arial" w:cs="Arial"/>
          <w:b/>
          <w:bCs/>
        </w:rPr>
      </w:pPr>
    </w:p>
    <w:p w14:paraId="050728A2" w14:textId="77777777" w:rsidR="00411BF3" w:rsidRPr="00AB5FD2" w:rsidRDefault="00411BF3" w:rsidP="001E2086">
      <w:pPr>
        <w:jc w:val="both"/>
        <w:rPr>
          <w:rFonts w:ascii="Arial" w:hAnsi="Arial" w:cs="Arial"/>
          <w:b/>
          <w:bCs/>
        </w:rPr>
      </w:pPr>
      <w:r w:rsidRPr="00AB5FD2">
        <w:rPr>
          <w:rFonts w:ascii="Arial" w:hAnsi="Arial" w:cs="Arial"/>
          <w:b/>
          <w:bCs/>
        </w:rPr>
        <w:t>Profile of Cases Managed and/or Key Services Provided</w:t>
      </w:r>
    </w:p>
    <w:tbl>
      <w:tblPr>
        <w:tblW w:w="10080" w:type="dxa"/>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4526"/>
        <w:gridCol w:w="32"/>
        <w:gridCol w:w="1329"/>
        <w:gridCol w:w="1329"/>
        <w:gridCol w:w="1432"/>
        <w:gridCol w:w="1432"/>
      </w:tblGrid>
      <w:tr w:rsidR="0052230A" w:rsidRPr="00AB5FD2" w14:paraId="376483EC" w14:textId="77777777" w:rsidTr="00FE2F93">
        <w:tc>
          <w:tcPr>
            <w:tcW w:w="4526" w:type="dxa"/>
            <w:tcBorders>
              <w:top w:val="single" w:sz="4" w:space="0" w:color="auto"/>
              <w:left w:val="single" w:sz="4" w:space="0" w:color="auto"/>
              <w:bottom w:val="single" w:sz="2" w:space="0" w:color="auto"/>
              <w:right w:val="single" w:sz="4" w:space="0" w:color="auto"/>
            </w:tcBorders>
            <w:shd w:val="clear" w:color="auto" w:fill="000080"/>
            <w:vAlign w:val="bottom"/>
          </w:tcPr>
          <w:p w14:paraId="7EAE9368" w14:textId="77777777" w:rsidR="0052230A" w:rsidRPr="00FB1FEA" w:rsidRDefault="0052230A" w:rsidP="0052230A">
            <w:pPr>
              <w:ind w:left="-18"/>
              <w:jc w:val="center"/>
              <w:rPr>
                <w:rFonts w:ascii="Arial" w:hAnsi="Arial" w:cs="Arial"/>
                <w:b/>
                <w:bCs/>
                <w:color w:val="FFFFFF"/>
                <w:sz w:val="20"/>
                <w:szCs w:val="20"/>
              </w:rPr>
            </w:pPr>
            <w:bookmarkStart w:id="4" w:name="_Hlk78444055"/>
            <w:r w:rsidRPr="00FB1FEA">
              <w:rPr>
                <w:rFonts w:ascii="Arial" w:hAnsi="Arial" w:cs="Arial"/>
                <w:b/>
                <w:bCs/>
                <w:color w:val="FFFFFF"/>
                <w:sz w:val="20"/>
                <w:szCs w:val="20"/>
              </w:rPr>
              <w:t>Cases Managed and/or Key Services Provided</w:t>
            </w:r>
          </w:p>
        </w:tc>
        <w:tc>
          <w:tcPr>
            <w:tcW w:w="1361" w:type="dxa"/>
            <w:gridSpan w:val="2"/>
            <w:tcBorders>
              <w:top w:val="single" w:sz="4" w:space="0" w:color="auto"/>
              <w:left w:val="single" w:sz="4" w:space="0" w:color="auto"/>
              <w:bottom w:val="single" w:sz="2" w:space="0" w:color="auto"/>
              <w:right w:val="single" w:sz="4" w:space="0" w:color="auto"/>
            </w:tcBorders>
            <w:shd w:val="clear" w:color="auto" w:fill="000080"/>
            <w:vAlign w:val="bottom"/>
          </w:tcPr>
          <w:p w14:paraId="0A5A04B4" w14:textId="596FE04C" w:rsidR="0052230A" w:rsidRPr="00FB1FEA" w:rsidRDefault="007E15BD" w:rsidP="0052230A">
            <w:pPr>
              <w:jc w:val="right"/>
              <w:rPr>
                <w:rFonts w:ascii="Arial" w:hAnsi="Arial" w:cs="Arial"/>
                <w:b/>
                <w:bCs/>
                <w:color w:val="FFFFFF"/>
                <w:sz w:val="20"/>
                <w:szCs w:val="20"/>
              </w:rPr>
            </w:pPr>
            <w:r>
              <w:rPr>
                <w:rFonts w:ascii="Arial" w:hAnsi="Arial" w:cs="Arial"/>
                <w:b/>
                <w:bCs/>
                <w:color w:val="FFFFFF"/>
                <w:sz w:val="20"/>
                <w:szCs w:val="20"/>
              </w:rPr>
              <w:t>FY 2019</w:t>
            </w:r>
          </w:p>
        </w:tc>
        <w:tc>
          <w:tcPr>
            <w:tcW w:w="1329" w:type="dxa"/>
            <w:tcBorders>
              <w:top w:val="single" w:sz="4" w:space="0" w:color="auto"/>
              <w:left w:val="single" w:sz="4" w:space="0" w:color="auto"/>
              <w:bottom w:val="single" w:sz="2" w:space="0" w:color="auto"/>
              <w:right w:val="single" w:sz="4" w:space="0" w:color="auto"/>
            </w:tcBorders>
            <w:shd w:val="clear" w:color="auto" w:fill="000080"/>
            <w:vAlign w:val="bottom"/>
          </w:tcPr>
          <w:p w14:paraId="3A73340C" w14:textId="7D692C62" w:rsidR="0052230A" w:rsidRPr="00FB1FEA" w:rsidRDefault="007E15BD" w:rsidP="0052230A">
            <w:pPr>
              <w:jc w:val="right"/>
              <w:rPr>
                <w:rFonts w:ascii="Arial" w:hAnsi="Arial" w:cs="Arial"/>
                <w:b/>
                <w:bCs/>
                <w:color w:val="FFFFFF"/>
                <w:sz w:val="20"/>
                <w:szCs w:val="20"/>
              </w:rPr>
            </w:pPr>
            <w:r>
              <w:rPr>
                <w:rFonts w:ascii="Arial" w:hAnsi="Arial" w:cs="Arial"/>
                <w:b/>
                <w:bCs/>
                <w:color w:val="FFFFFF"/>
                <w:sz w:val="20"/>
                <w:szCs w:val="20"/>
              </w:rPr>
              <w:t>FY 2020</w:t>
            </w:r>
          </w:p>
        </w:tc>
        <w:tc>
          <w:tcPr>
            <w:tcW w:w="1432" w:type="dxa"/>
            <w:tcBorders>
              <w:top w:val="single" w:sz="4" w:space="0" w:color="auto"/>
              <w:left w:val="single" w:sz="4" w:space="0" w:color="auto"/>
              <w:bottom w:val="single" w:sz="2" w:space="0" w:color="auto"/>
              <w:right w:val="single" w:sz="4" w:space="0" w:color="auto"/>
            </w:tcBorders>
            <w:shd w:val="clear" w:color="auto" w:fill="000080"/>
            <w:vAlign w:val="bottom"/>
          </w:tcPr>
          <w:p w14:paraId="70A09536" w14:textId="3D8AFF86" w:rsidR="0052230A" w:rsidRPr="00FB1FEA" w:rsidRDefault="007E15BD" w:rsidP="0052230A">
            <w:pPr>
              <w:jc w:val="right"/>
              <w:rPr>
                <w:rFonts w:ascii="Arial" w:hAnsi="Arial" w:cs="Arial"/>
                <w:b/>
                <w:bCs/>
                <w:color w:val="FFFFFF"/>
                <w:sz w:val="20"/>
                <w:szCs w:val="20"/>
              </w:rPr>
            </w:pPr>
            <w:r>
              <w:rPr>
                <w:rFonts w:ascii="Arial" w:hAnsi="Arial" w:cs="Arial"/>
                <w:b/>
                <w:bCs/>
                <w:color w:val="FFFFFF"/>
                <w:sz w:val="20"/>
                <w:szCs w:val="20"/>
              </w:rPr>
              <w:t>FY 2021</w:t>
            </w:r>
          </w:p>
        </w:tc>
        <w:tc>
          <w:tcPr>
            <w:tcW w:w="1432" w:type="dxa"/>
            <w:tcBorders>
              <w:top w:val="single" w:sz="4" w:space="0" w:color="auto"/>
              <w:left w:val="single" w:sz="4" w:space="0" w:color="auto"/>
              <w:bottom w:val="single" w:sz="2" w:space="0" w:color="auto"/>
              <w:right w:val="single" w:sz="4" w:space="0" w:color="auto"/>
            </w:tcBorders>
            <w:shd w:val="clear" w:color="auto" w:fill="000080"/>
            <w:vAlign w:val="bottom"/>
          </w:tcPr>
          <w:p w14:paraId="5B892530" w14:textId="751D31D0" w:rsidR="0052230A" w:rsidRPr="00FB1FEA" w:rsidRDefault="007E15BD" w:rsidP="0052230A">
            <w:pPr>
              <w:jc w:val="right"/>
              <w:rPr>
                <w:rFonts w:ascii="Arial" w:hAnsi="Arial" w:cs="Arial"/>
                <w:b/>
                <w:bCs/>
                <w:color w:val="FFFFFF"/>
                <w:sz w:val="20"/>
                <w:szCs w:val="20"/>
              </w:rPr>
            </w:pPr>
            <w:r>
              <w:rPr>
                <w:rFonts w:ascii="Arial" w:hAnsi="Arial" w:cs="Arial"/>
                <w:b/>
                <w:bCs/>
                <w:color w:val="FFFFFF"/>
                <w:sz w:val="20"/>
                <w:szCs w:val="20"/>
              </w:rPr>
              <w:t>FY 2022</w:t>
            </w:r>
          </w:p>
        </w:tc>
      </w:tr>
      <w:bookmarkEnd w:id="4"/>
      <w:tr w:rsidR="003E7C36" w:rsidRPr="00AB5FD2" w14:paraId="0F81BC79" w14:textId="77777777" w:rsidTr="00FE2F93">
        <w:tc>
          <w:tcPr>
            <w:tcW w:w="10080" w:type="dxa"/>
            <w:gridSpan w:val="6"/>
            <w:tcBorders>
              <w:top w:val="single" w:sz="2" w:space="0" w:color="auto"/>
              <w:left w:val="single" w:sz="2" w:space="0" w:color="auto"/>
              <w:bottom w:val="single" w:sz="2" w:space="0" w:color="auto"/>
              <w:right w:val="single" w:sz="2" w:space="0" w:color="auto"/>
            </w:tcBorders>
          </w:tcPr>
          <w:p w14:paraId="2625B447" w14:textId="77777777" w:rsidR="003E7C36" w:rsidRPr="00CE0573" w:rsidRDefault="003E7C36" w:rsidP="00FB1FEA">
            <w:pPr>
              <w:rPr>
                <w:rFonts w:ascii="Arial" w:hAnsi="Arial" w:cs="Arial"/>
                <w:b/>
                <w:sz w:val="20"/>
                <w:szCs w:val="20"/>
                <w:highlight w:val="yellow"/>
              </w:rPr>
            </w:pPr>
            <w:r w:rsidRPr="00CE0573">
              <w:rPr>
                <w:rFonts w:ascii="Arial" w:hAnsi="Arial" w:cs="Arial"/>
                <w:b/>
                <w:sz w:val="20"/>
                <w:szCs w:val="20"/>
              </w:rPr>
              <w:t>ADJUDICATION</w:t>
            </w:r>
          </w:p>
        </w:tc>
      </w:tr>
      <w:tr w:rsidR="007E15BD" w:rsidRPr="00AB5FD2" w14:paraId="1317B4A9"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7F2815AA" w14:textId="77777777" w:rsidR="007E15BD" w:rsidRPr="00CE0573" w:rsidRDefault="007E15BD" w:rsidP="007E15BD">
            <w:pPr>
              <w:numPr>
                <w:ilvl w:val="0"/>
                <w:numId w:val="4"/>
              </w:numPr>
              <w:ind w:left="342"/>
              <w:rPr>
                <w:rFonts w:ascii="Arial" w:hAnsi="Arial" w:cs="Arial"/>
                <w:sz w:val="20"/>
                <w:szCs w:val="20"/>
              </w:rPr>
            </w:pPr>
            <w:r w:rsidRPr="00CE0573">
              <w:rPr>
                <w:rFonts w:ascii="Arial" w:hAnsi="Arial" w:cs="Arial"/>
                <w:sz w:val="20"/>
                <w:szCs w:val="20"/>
              </w:rPr>
              <w:t>Workers’ Compensation Complaints Filed</w:t>
            </w:r>
          </w:p>
        </w:tc>
        <w:tc>
          <w:tcPr>
            <w:tcW w:w="1329" w:type="dxa"/>
            <w:tcBorders>
              <w:top w:val="single" w:sz="2" w:space="0" w:color="auto"/>
              <w:left w:val="single" w:sz="2" w:space="0" w:color="auto"/>
              <w:bottom w:val="single" w:sz="2" w:space="0" w:color="auto"/>
              <w:right w:val="single" w:sz="2" w:space="0" w:color="auto"/>
            </w:tcBorders>
          </w:tcPr>
          <w:p w14:paraId="3FD4254D" w14:textId="3B72CAAA" w:rsidR="007E15BD" w:rsidRPr="00CE0573" w:rsidRDefault="007E15BD" w:rsidP="007E15BD">
            <w:pPr>
              <w:jc w:val="right"/>
              <w:rPr>
                <w:rFonts w:ascii="Arial" w:hAnsi="Arial" w:cs="Arial"/>
                <w:sz w:val="20"/>
                <w:szCs w:val="20"/>
              </w:rPr>
            </w:pPr>
            <w:r>
              <w:rPr>
                <w:rFonts w:ascii="Arial" w:hAnsi="Arial" w:cs="Arial"/>
                <w:sz w:val="20"/>
                <w:szCs w:val="20"/>
              </w:rPr>
              <w:t>756</w:t>
            </w:r>
          </w:p>
        </w:tc>
        <w:tc>
          <w:tcPr>
            <w:tcW w:w="1329" w:type="dxa"/>
            <w:tcBorders>
              <w:top w:val="single" w:sz="2" w:space="0" w:color="auto"/>
              <w:left w:val="single" w:sz="2" w:space="0" w:color="auto"/>
              <w:bottom w:val="single" w:sz="2" w:space="0" w:color="auto"/>
              <w:right w:val="single" w:sz="2" w:space="0" w:color="auto"/>
            </w:tcBorders>
          </w:tcPr>
          <w:p w14:paraId="48A7CF44" w14:textId="3DD5AC4E" w:rsidR="007E15BD" w:rsidRPr="00CE0573" w:rsidRDefault="007E15BD" w:rsidP="007E15BD">
            <w:pPr>
              <w:jc w:val="right"/>
              <w:rPr>
                <w:rFonts w:ascii="Arial" w:hAnsi="Arial" w:cs="Arial"/>
                <w:sz w:val="20"/>
                <w:szCs w:val="20"/>
              </w:rPr>
            </w:pPr>
            <w:r>
              <w:rPr>
                <w:rFonts w:ascii="Arial" w:hAnsi="Arial" w:cs="Arial"/>
                <w:sz w:val="20"/>
                <w:szCs w:val="20"/>
              </w:rPr>
              <w:t>754</w:t>
            </w:r>
          </w:p>
        </w:tc>
        <w:tc>
          <w:tcPr>
            <w:tcW w:w="1432" w:type="dxa"/>
            <w:tcBorders>
              <w:top w:val="single" w:sz="2" w:space="0" w:color="auto"/>
              <w:left w:val="single" w:sz="2" w:space="0" w:color="auto"/>
              <w:bottom w:val="single" w:sz="2" w:space="0" w:color="auto"/>
              <w:right w:val="single" w:sz="2" w:space="0" w:color="auto"/>
            </w:tcBorders>
          </w:tcPr>
          <w:p w14:paraId="68C74ACD" w14:textId="4940104A" w:rsidR="007E15BD" w:rsidRPr="00CE0573" w:rsidRDefault="007E15BD" w:rsidP="007E15BD">
            <w:pPr>
              <w:jc w:val="right"/>
              <w:rPr>
                <w:rFonts w:ascii="Arial" w:hAnsi="Arial" w:cs="Arial"/>
                <w:sz w:val="20"/>
                <w:szCs w:val="20"/>
              </w:rPr>
            </w:pPr>
            <w:r>
              <w:rPr>
                <w:rFonts w:ascii="Arial" w:hAnsi="Arial" w:cs="Arial"/>
                <w:sz w:val="20"/>
                <w:szCs w:val="20"/>
              </w:rPr>
              <w:t>691</w:t>
            </w:r>
          </w:p>
        </w:tc>
        <w:tc>
          <w:tcPr>
            <w:tcW w:w="1432" w:type="dxa"/>
            <w:tcBorders>
              <w:top w:val="single" w:sz="2" w:space="0" w:color="auto"/>
              <w:left w:val="single" w:sz="2" w:space="0" w:color="auto"/>
              <w:bottom w:val="single" w:sz="2" w:space="0" w:color="auto"/>
              <w:right w:val="single" w:sz="2" w:space="0" w:color="auto"/>
            </w:tcBorders>
          </w:tcPr>
          <w:p w14:paraId="408D9847" w14:textId="33DB7FA5" w:rsidR="007E15BD" w:rsidRPr="00CE0573" w:rsidRDefault="007E15BD" w:rsidP="007E15BD">
            <w:pPr>
              <w:jc w:val="right"/>
              <w:rPr>
                <w:rFonts w:ascii="Arial" w:hAnsi="Arial" w:cs="Arial"/>
                <w:sz w:val="20"/>
                <w:szCs w:val="20"/>
              </w:rPr>
            </w:pPr>
          </w:p>
        </w:tc>
      </w:tr>
      <w:tr w:rsidR="007E15BD" w:rsidRPr="00AB5FD2" w14:paraId="01D3A310"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0F7A7B35" w14:textId="77777777" w:rsidR="007E15BD" w:rsidRPr="00CE0573" w:rsidRDefault="007E15BD" w:rsidP="007E15BD">
            <w:pPr>
              <w:numPr>
                <w:ilvl w:val="0"/>
                <w:numId w:val="4"/>
              </w:numPr>
              <w:ind w:left="-18" w:firstLine="0"/>
              <w:rPr>
                <w:rFonts w:ascii="Arial" w:hAnsi="Arial" w:cs="Arial"/>
                <w:sz w:val="20"/>
                <w:szCs w:val="20"/>
              </w:rPr>
            </w:pPr>
            <w:r w:rsidRPr="00CE0573">
              <w:rPr>
                <w:rFonts w:ascii="Arial" w:hAnsi="Arial" w:cs="Arial"/>
                <w:sz w:val="20"/>
                <w:szCs w:val="20"/>
              </w:rPr>
              <w:t>Workers’ Compensation Hearings Held</w:t>
            </w:r>
          </w:p>
        </w:tc>
        <w:tc>
          <w:tcPr>
            <w:tcW w:w="1329" w:type="dxa"/>
            <w:tcBorders>
              <w:top w:val="single" w:sz="2" w:space="0" w:color="auto"/>
              <w:left w:val="single" w:sz="2" w:space="0" w:color="auto"/>
              <w:bottom w:val="single" w:sz="2" w:space="0" w:color="auto"/>
              <w:right w:val="single" w:sz="2" w:space="0" w:color="auto"/>
            </w:tcBorders>
          </w:tcPr>
          <w:p w14:paraId="68D5627D" w14:textId="39BDCC90" w:rsidR="007E15BD" w:rsidRPr="00CE0573" w:rsidRDefault="007E15BD" w:rsidP="007E15BD">
            <w:pPr>
              <w:jc w:val="right"/>
              <w:rPr>
                <w:rFonts w:ascii="Arial" w:hAnsi="Arial" w:cs="Arial"/>
                <w:sz w:val="20"/>
                <w:szCs w:val="20"/>
              </w:rPr>
            </w:pPr>
            <w:r>
              <w:rPr>
                <w:rFonts w:ascii="Arial" w:hAnsi="Arial" w:cs="Arial"/>
                <w:sz w:val="20"/>
                <w:szCs w:val="20"/>
              </w:rPr>
              <w:t>49</w:t>
            </w:r>
          </w:p>
        </w:tc>
        <w:tc>
          <w:tcPr>
            <w:tcW w:w="1329" w:type="dxa"/>
            <w:tcBorders>
              <w:top w:val="single" w:sz="2" w:space="0" w:color="auto"/>
              <w:left w:val="single" w:sz="2" w:space="0" w:color="auto"/>
              <w:bottom w:val="single" w:sz="2" w:space="0" w:color="auto"/>
              <w:right w:val="single" w:sz="2" w:space="0" w:color="auto"/>
            </w:tcBorders>
          </w:tcPr>
          <w:p w14:paraId="5D304520" w14:textId="415D7672" w:rsidR="007E15BD" w:rsidRPr="00CE0573" w:rsidRDefault="007E15BD" w:rsidP="007E15BD">
            <w:pPr>
              <w:jc w:val="right"/>
              <w:rPr>
                <w:rFonts w:ascii="Arial" w:hAnsi="Arial" w:cs="Arial"/>
                <w:sz w:val="20"/>
                <w:szCs w:val="20"/>
              </w:rPr>
            </w:pPr>
            <w:r>
              <w:rPr>
                <w:rFonts w:ascii="Arial" w:hAnsi="Arial" w:cs="Arial"/>
                <w:sz w:val="20"/>
                <w:szCs w:val="20"/>
              </w:rPr>
              <w:t>25</w:t>
            </w:r>
          </w:p>
        </w:tc>
        <w:tc>
          <w:tcPr>
            <w:tcW w:w="1432" w:type="dxa"/>
            <w:tcBorders>
              <w:top w:val="single" w:sz="2" w:space="0" w:color="auto"/>
              <w:left w:val="single" w:sz="2" w:space="0" w:color="auto"/>
              <w:bottom w:val="single" w:sz="2" w:space="0" w:color="auto"/>
              <w:right w:val="single" w:sz="2" w:space="0" w:color="auto"/>
            </w:tcBorders>
          </w:tcPr>
          <w:p w14:paraId="1FD8D629" w14:textId="3995CDDA" w:rsidR="007E15BD" w:rsidRPr="00CE0573" w:rsidRDefault="007E15BD" w:rsidP="007E15BD">
            <w:pPr>
              <w:jc w:val="right"/>
              <w:rPr>
                <w:rFonts w:ascii="Arial" w:hAnsi="Arial" w:cs="Arial"/>
                <w:sz w:val="20"/>
                <w:szCs w:val="20"/>
              </w:rPr>
            </w:pPr>
            <w:r>
              <w:rPr>
                <w:rFonts w:ascii="Arial" w:hAnsi="Arial" w:cs="Arial"/>
                <w:sz w:val="20"/>
                <w:szCs w:val="20"/>
              </w:rPr>
              <w:t>39</w:t>
            </w:r>
          </w:p>
        </w:tc>
        <w:tc>
          <w:tcPr>
            <w:tcW w:w="1432" w:type="dxa"/>
            <w:tcBorders>
              <w:top w:val="single" w:sz="2" w:space="0" w:color="auto"/>
              <w:left w:val="single" w:sz="2" w:space="0" w:color="auto"/>
              <w:bottom w:val="single" w:sz="2" w:space="0" w:color="auto"/>
              <w:right w:val="single" w:sz="2" w:space="0" w:color="auto"/>
            </w:tcBorders>
          </w:tcPr>
          <w:p w14:paraId="5C9CAE32" w14:textId="0EDCC138" w:rsidR="007E15BD" w:rsidRPr="00CE0573" w:rsidRDefault="007E15BD" w:rsidP="007E15BD">
            <w:pPr>
              <w:jc w:val="right"/>
              <w:rPr>
                <w:rFonts w:ascii="Arial" w:hAnsi="Arial" w:cs="Arial"/>
                <w:sz w:val="20"/>
                <w:szCs w:val="20"/>
              </w:rPr>
            </w:pPr>
          </w:p>
        </w:tc>
      </w:tr>
      <w:tr w:rsidR="007E15BD" w:rsidRPr="00AB5FD2" w14:paraId="5DACCFFE"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2F2349B2" w14:textId="77777777" w:rsidR="007E15BD" w:rsidRPr="00CE0573" w:rsidRDefault="007E15BD" w:rsidP="007E15BD">
            <w:pPr>
              <w:numPr>
                <w:ilvl w:val="0"/>
                <w:numId w:val="4"/>
              </w:numPr>
              <w:ind w:left="-18" w:firstLine="0"/>
              <w:rPr>
                <w:rFonts w:ascii="Arial" w:hAnsi="Arial" w:cs="Arial"/>
                <w:sz w:val="20"/>
                <w:szCs w:val="20"/>
              </w:rPr>
            </w:pPr>
            <w:r w:rsidRPr="00CE0573">
              <w:rPr>
                <w:rFonts w:ascii="Arial" w:hAnsi="Arial" w:cs="Arial"/>
                <w:sz w:val="20"/>
                <w:szCs w:val="20"/>
              </w:rPr>
              <w:t>Mediations Held</w:t>
            </w:r>
          </w:p>
        </w:tc>
        <w:tc>
          <w:tcPr>
            <w:tcW w:w="1329" w:type="dxa"/>
            <w:tcBorders>
              <w:top w:val="single" w:sz="2" w:space="0" w:color="auto"/>
              <w:left w:val="single" w:sz="2" w:space="0" w:color="auto"/>
              <w:bottom w:val="single" w:sz="2" w:space="0" w:color="auto"/>
              <w:right w:val="single" w:sz="2" w:space="0" w:color="auto"/>
            </w:tcBorders>
          </w:tcPr>
          <w:p w14:paraId="77CF03EF" w14:textId="43070740" w:rsidR="007E15BD" w:rsidRPr="00CE0573" w:rsidRDefault="007E15BD" w:rsidP="007E15BD">
            <w:pPr>
              <w:jc w:val="right"/>
              <w:rPr>
                <w:rFonts w:ascii="Arial" w:hAnsi="Arial" w:cs="Arial"/>
                <w:sz w:val="20"/>
                <w:szCs w:val="20"/>
              </w:rPr>
            </w:pPr>
            <w:r>
              <w:rPr>
                <w:rFonts w:ascii="Arial" w:hAnsi="Arial" w:cs="Arial"/>
                <w:sz w:val="20"/>
                <w:szCs w:val="20"/>
              </w:rPr>
              <w:t>468</w:t>
            </w:r>
          </w:p>
        </w:tc>
        <w:tc>
          <w:tcPr>
            <w:tcW w:w="1329" w:type="dxa"/>
            <w:tcBorders>
              <w:top w:val="single" w:sz="2" w:space="0" w:color="auto"/>
              <w:left w:val="single" w:sz="2" w:space="0" w:color="auto"/>
              <w:bottom w:val="single" w:sz="2" w:space="0" w:color="auto"/>
              <w:right w:val="single" w:sz="2" w:space="0" w:color="auto"/>
            </w:tcBorders>
          </w:tcPr>
          <w:p w14:paraId="5BD6E999" w14:textId="7FAE0108" w:rsidR="007E15BD" w:rsidRPr="00CE0573" w:rsidRDefault="007E15BD" w:rsidP="007E15BD">
            <w:pPr>
              <w:jc w:val="right"/>
              <w:rPr>
                <w:rFonts w:ascii="Arial" w:hAnsi="Arial" w:cs="Arial"/>
                <w:sz w:val="20"/>
                <w:szCs w:val="20"/>
              </w:rPr>
            </w:pPr>
            <w:r>
              <w:rPr>
                <w:rFonts w:ascii="Arial" w:hAnsi="Arial" w:cs="Arial"/>
                <w:sz w:val="20"/>
                <w:szCs w:val="20"/>
              </w:rPr>
              <w:t>471</w:t>
            </w:r>
          </w:p>
        </w:tc>
        <w:tc>
          <w:tcPr>
            <w:tcW w:w="1432" w:type="dxa"/>
            <w:tcBorders>
              <w:top w:val="single" w:sz="2" w:space="0" w:color="auto"/>
              <w:left w:val="single" w:sz="2" w:space="0" w:color="auto"/>
              <w:bottom w:val="single" w:sz="2" w:space="0" w:color="auto"/>
              <w:right w:val="single" w:sz="2" w:space="0" w:color="auto"/>
            </w:tcBorders>
          </w:tcPr>
          <w:p w14:paraId="5ECC837F" w14:textId="516A877E" w:rsidR="007E15BD" w:rsidRPr="00CE0573" w:rsidRDefault="007E15BD" w:rsidP="007E15BD">
            <w:pPr>
              <w:jc w:val="right"/>
              <w:rPr>
                <w:rFonts w:ascii="Arial" w:hAnsi="Arial" w:cs="Arial"/>
                <w:sz w:val="20"/>
                <w:szCs w:val="20"/>
              </w:rPr>
            </w:pPr>
            <w:r>
              <w:rPr>
                <w:rFonts w:ascii="Arial" w:hAnsi="Arial" w:cs="Arial"/>
                <w:sz w:val="20"/>
                <w:szCs w:val="20"/>
              </w:rPr>
              <w:t>429</w:t>
            </w:r>
          </w:p>
        </w:tc>
        <w:tc>
          <w:tcPr>
            <w:tcW w:w="1432" w:type="dxa"/>
            <w:tcBorders>
              <w:top w:val="single" w:sz="2" w:space="0" w:color="auto"/>
              <w:left w:val="single" w:sz="2" w:space="0" w:color="auto"/>
              <w:bottom w:val="single" w:sz="2" w:space="0" w:color="auto"/>
              <w:right w:val="single" w:sz="2" w:space="0" w:color="auto"/>
            </w:tcBorders>
          </w:tcPr>
          <w:p w14:paraId="66DD9512" w14:textId="4F70E948" w:rsidR="007E15BD" w:rsidRPr="00CE0573" w:rsidRDefault="007E15BD" w:rsidP="007E15BD">
            <w:pPr>
              <w:jc w:val="right"/>
              <w:rPr>
                <w:rFonts w:ascii="Arial" w:hAnsi="Arial" w:cs="Arial"/>
                <w:sz w:val="20"/>
                <w:szCs w:val="20"/>
              </w:rPr>
            </w:pPr>
          </w:p>
        </w:tc>
      </w:tr>
      <w:tr w:rsidR="007E15BD" w:rsidRPr="00AB5FD2" w14:paraId="3B2D723F"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70AEB198" w14:textId="77777777" w:rsidR="007E15BD" w:rsidRPr="00CE0573" w:rsidRDefault="007E15BD" w:rsidP="007E15BD">
            <w:pPr>
              <w:numPr>
                <w:ilvl w:val="0"/>
                <w:numId w:val="4"/>
              </w:numPr>
              <w:ind w:left="342"/>
              <w:rPr>
                <w:rFonts w:ascii="Arial" w:hAnsi="Arial" w:cs="Arial"/>
                <w:sz w:val="20"/>
                <w:szCs w:val="20"/>
              </w:rPr>
            </w:pPr>
            <w:r w:rsidRPr="00CE0573">
              <w:rPr>
                <w:rFonts w:ascii="Arial" w:hAnsi="Arial" w:cs="Arial"/>
                <w:sz w:val="20"/>
                <w:szCs w:val="20"/>
              </w:rPr>
              <w:t>Unemployment Decisions Issued (Includes Reconsiderations)</w:t>
            </w:r>
          </w:p>
        </w:tc>
        <w:tc>
          <w:tcPr>
            <w:tcW w:w="1329" w:type="dxa"/>
            <w:tcBorders>
              <w:top w:val="single" w:sz="2" w:space="0" w:color="auto"/>
              <w:left w:val="single" w:sz="2" w:space="0" w:color="auto"/>
              <w:bottom w:val="single" w:sz="2" w:space="0" w:color="auto"/>
              <w:right w:val="single" w:sz="2" w:space="0" w:color="auto"/>
            </w:tcBorders>
          </w:tcPr>
          <w:p w14:paraId="78E0171E" w14:textId="7EDCC2B6" w:rsidR="007E15BD" w:rsidRPr="00CE0573" w:rsidRDefault="007E15BD" w:rsidP="007E15BD">
            <w:pPr>
              <w:jc w:val="right"/>
              <w:rPr>
                <w:rFonts w:ascii="Arial" w:hAnsi="Arial" w:cs="Arial"/>
                <w:sz w:val="20"/>
                <w:szCs w:val="20"/>
              </w:rPr>
            </w:pPr>
            <w:r>
              <w:rPr>
                <w:rFonts w:ascii="Arial" w:hAnsi="Arial" w:cs="Arial"/>
                <w:sz w:val="20"/>
                <w:szCs w:val="20"/>
              </w:rPr>
              <w:t>287</w:t>
            </w:r>
          </w:p>
        </w:tc>
        <w:tc>
          <w:tcPr>
            <w:tcW w:w="1329" w:type="dxa"/>
            <w:tcBorders>
              <w:top w:val="single" w:sz="2" w:space="0" w:color="auto"/>
              <w:left w:val="single" w:sz="2" w:space="0" w:color="auto"/>
              <w:bottom w:val="single" w:sz="2" w:space="0" w:color="auto"/>
              <w:right w:val="single" w:sz="2" w:space="0" w:color="auto"/>
            </w:tcBorders>
          </w:tcPr>
          <w:p w14:paraId="47E3C053" w14:textId="7626CD6E" w:rsidR="007E15BD" w:rsidRPr="00CE0573" w:rsidRDefault="007E15BD" w:rsidP="007E15BD">
            <w:pPr>
              <w:jc w:val="right"/>
              <w:rPr>
                <w:rFonts w:ascii="Arial" w:hAnsi="Arial" w:cs="Arial"/>
                <w:sz w:val="20"/>
                <w:szCs w:val="20"/>
              </w:rPr>
            </w:pPr>
            <w:r>
              <w:rPr>
                <w:rFonts w:ascii="Arial" w:hAnsi="Arial" w:cs="Arial"/>
                <w:sz w:val="20"/>
                <w:szCs w:val="20"/>
              </w:rPr>
              <w:t>231</w:t>
            </w:r>
          </w:p>
        </w:tc>
        <w:tc>
          <w:tcPr>
            <w:tcW w:w="1432" w:type="dxa"/>
            <w:tcBorders>
              <w:top w:val="single" w:sz="2" w:space="0" w:color="auto"/>
              <w:left w:val="single" w:sz="2" w:space="0" w:color="auto"/>
              <w:bottom w:val="single" w:sz="2" w:space="0" w:color="auto"/>
              <w:right w:val="single" w:sz="2" w:space="0" w:color="auto"/>
            </w:tcBorders>
          </w:tcPr>
          <w:p w14:paraId="075615AF" w14:textId="49A3E4FA" w:rsidR="007E15BD" w:rsidRPr="00CE0573" w:rsidRDefault="007E15BD" w:rsidP="007E15BD">
            <w:pPr>
              <w:jc w:val="right"/>
              <w:rPr>
                <w:rFonts w:ascii="Arial" w:hAnsi="Arial" w:cs="Arial"/>
                <w:sz w:val="20"/>
                <w:szCs w:val="20"/>
              </w:rPr>
            </w:pPr>
            <w:r>
              <w:rPr>
                <w:rFonts w:ascii="Arial" w:hAnsi="Arial" w:cs="Arial"/>
                <w:sz w:val="20"/>
                <w:szCs w:val="20"/>
              </w:rPr>
              <w:t>477</w:t>
            </w:r>
          </w:p>
        </w:tc>
        <w:tc>
          <w:tcPr>
            <w:tcW w:w="1432" w:type="dxa"/>
            <w:tcBorders>
              <w:top w:val="single" w:sz="2" w:space="0" w:color="auto"/>
              <w:left w:val="single" w:sz="2" w:space="0" w:color="auto"/>
              <w:bottom w:val="single" w:sz="2" w:space="0" w:color="auto"/>
              <w:right w:val="single" w:sz="2" w:space="0" w:color="auto"/>
            </w:tcBorders>
          </w:tcPr>
          <w:p w14:paraId="0C8A92C6" w14:textId="041FB2A3" w:rsidR="007E15BD" w:rsidRPr="00CE0573" w:rsidRDefault="007E15BD" w:rsidP="007E15BD">
            <w:pPr>
              <w:jc w:val="right"/>
              <w:rPr>
                <w:rFonts w:ascii="Arial" w:hAnsi="Arial" w:cs="Arial"/>
                <w:sz w:val="20"/>
                <w:szCs w:val="20"/>
              </w:rPr>
            </w:pPr>
          </w:p>
        </w:tc>
      </w:tr>
      <w:tr w:rsidR="007E15BD" w:rsidRPr="00AB5FD2" w14:paraId="545AE6A1" w14:textId="77777777" w:rsidTr="00FE2F93">
        <w:tc>
          <w:tcPr>
            <w:tcW w:w="10080" w:type="dxa"/>
            <w:gridSpan w:val="6"/>
            <w:tcBorders>
              <w:top w:val="single" w:sz="2" w:space="0" w:color="auto"/>
              <w:left w:val="single" w:sz="2" w:space="0" w:color="auto"/>
              <w:bottom w:val="single" w:sz="2" w:space="0" w:color="auto"/>
              <w:right w:val="single" w:sz="2" w:space="0" w:color="auto"/>
            </w:tcBorders>
          </w:tcPr>
          <w:p w14:paraId="5984BD31" w14:textId="77777777" w:rsidR="007E15BD" w:rsidRPr="00CE0573" w:rsidRDefault="007E15BD" w:rsidP="007E15BD">
            <w:pPr>
              <w:rPr>
                <w:rFonts w:ascii="Arial" w:hAnsi="Arial" w:cs="Arial"/>
                <w:b/>
                <w:sz w:val="20"/>
                <w:szCs w:val="20"/>
              </w:rPr>
            </w:pPr>
            <w:bookmarkStart w:id="5" w:name="_Hlk78444404"/>
            <w:r w:rsidRPr="00CE0573">
              <w:rPr>
                <w:rFonts w:ascii="Arial" w:hAnsi="Arial" w:cs="Arial"/>
                <w:b/>
                <w:sz w:val="20"/>
                <w:szCs w:val="20"/>
              </w:rPr>
              <w:t>COMPENSATION</w:t>
            </w:r>
          </w:p>
        </w:tc>
      </w:tr>
      <w:bookmarkEnd w:id="5"/>
      <w:tr w:rsidR="007E15BD" w:rsidRPr="00AB5FD2" w14:paraId="6E869AD8"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3E4E828F" w14:textId="77777777" w:rsidR="007E15BD" w:rsidRPr="00CE0573" w:rsidRDefault="007E15BD" w:rsidP="007E15BD">
            <w:pPr>
              <w:numPr>
                <w:ilvl w:val="0"/>
                <w:numId w:val="7"/>
              </w:numPr>
              <w:ind w:left="-18" w:firstLine="0"/>
              <w:rPr>
                <w:rFonts w:ascii="Arial" w:hAnsi="Arial" w:cs="Arial"/>
                <w:sz w:val="20"/>
                <w:szCs w:val="20"/>
              </w:rPr>
            </w:pPr>
            <w:r w:rsidRPr="00CE0573">
              <w:rPr>
                <w:rFonts w:ascii="Arial" w:hAnsi="Arial" w:cs="Arial"/>
                <w:sz w:val="20"/>
                <w:szCs w:val="20"/>
              </w:rPr>
              <w:t>Workers’ Compensation Claims Filed</w:t>
            </w:r>
          </w:p>
        </w:tc>
        <w:tc>
          <w:tcPr>
            <w:tcW w:w="1329" w:type="dxa"/>
            <w:tcBorders>
              <w:top w:val="single" w:sz="2" w:space="0" w:color="auto"/>
              <w:left w:val="single" w:sz="2" w:space="0" w:color="auto"/>
              <w:bottom w:val="single" w:sz="2" w:space="0" w:color="auto"/>
              <w:right w:val="single" w:sz="2" w:space="0" w:color="auto"/>
            </w:tcBorders>
          </w:tcPr>
          <w:p w14:paraId="64F37A25" w14:textId="0C646757" w:rsidR="007E15BD" w:rsidRPr="00CE0573" w:rsidRDefault="007E15BD" w:rsidP="007E15BD">
            <w:pPr>
              <w:jc w:val="right"/>
              <w:rPr>
                <w:rFonts w:ascii="Arial" w:hAnsi="Arial" w:cs="Arial"/>
                <w:sz w:val="20"/>
                <w:szCs w:val="20"/>
              </w:rPr>
            </w:pPr>
            <w:r w:rsidRPr="00CE0573">
              <w:rPr>
                <w:rFonts w:ascii="Arial" w:hAnsi="Arial" w:cs="Arial"/>
                <w:sz w:val="20"/>
                <w:szCs w:val="20"/>
              </w:rPr>
              <w:t>36,978</w:t>
            </w:r>
          </w:p>
        </w:tc>
        <w:tc>
          <w:tcPr>
            <w:tcW w:w="1329" w:type="dxa"/>
            <w:tcBorders>
              <w:top w:val="single" w:sz="2" w:space="0" w:color="auto"/>
              <w:left w:val="single" w:sz="2" w:space="0" w:color="auto"/>
              <w:bottom w:val="single" w:sz="2" w:space="0" w:color="auto"/>
              <w:right w:val="single" w:sz="2" w:space="0" w:color="auto"/>
            </w:tcBorders>
          </w:tcPr>
          <w:p w14:paraId="6BA1C13E" w14:textId="02DD350C" w:rsidR="007E15BD" w:rsidRPr="00CE0573" w:rsidRDefault="007E15BD" w:rsidP="007E15BD">
            <w:pPr>
              <w:jc w:val="right"/>
              <w:rPr>
                <w:rFonts w:ascii="Arial" w:hAnsi="Arial" w:cs="Arial"/>
                <w:sz w:val="20"/>
                <w:szCs w:val="20"/>
              </w:rPr>
            </w:pPr>
            <w:r>
              <w:rPr>
                <w:rFonts w:ascii="Arial" w:hAnsi="Arial" w:cs="Arial"/>
                <w:sz w:val="20"/>
                <w:szCs w:val="20"/>
              </w:rPr>
              <w:t>33,725</w:t>
            </w:r>
          </w:p>
        </w:tc>
        <w:tc>
          <w:tcPr>
            <w:tcW w:w="1432" w:type="dxa"/>
            <w:tcBorders>
              <w:top w:val="single" w:sz="2" w:space="0" w:color="auto"/>
              <w:left w:val="single" w:sz="2" w:space="0" w:color="auto"/>
              <w:bottom w:val="single" w:sz="2" w:space="0" w:color="auto"/>
              <w:right w:val="single" w:sz="2" w:space="0" w:color="auto"/>
            </w:tcBorders>
          </w:tcPr>
          <w:p w14:paraId="377F65A1" w14:textId="7B48C8ED" w:rsidR="007E15BD" w:rsidRPr="00CE0573" w:rsidRDefault="007E15BD" w:rsidP="007E15BD">
            <w:pPr>
              <w:jc w:val="right"/>
              <w:rPr>
                <w:rFonts w:ascii="Arial" w:hAnsi="Arial" w:cs="Arial"/>
                <w:sz w:val="20"/>
                <w:szCs w:val="20"/>
              </w:rPr>
            </w:pPr>
            <w:r>
              <w:rPr>
                <w:rFonts w:ascii="Arial" w:hAnsi="Arial" w:cs="Arial"/>
                <w:sz w:val="20"/>
                <w:szCs w:val="20"/>
              </w:rPr>
              <w:t>33,718</w:t>
            </w:r>
          </w:p>
        </w:tc>
        <w:tc>
          <w:tcPr>
            <w:tcW w:w="1432" w:type="dxa"/>
            <w:tcBorders>
              <w:top w:val="single" w:sz="2" w:space="0" w:color="auto"/>
              <w:left w:val="single" w:sz="2" w:space="0" w:color="auto"/>
              <w:bottom w:val="single" w:sz="2" w:space="0" w:color="auto"/>
              <w:right w:val="single" w:sz="2" w:space="0" w:color="auto"/>
            </w:tcBorders>
          </w:tcPr>
          <w:p w14:paraId="2D6A9FF1" w14:textId="5B70437E" w:rsidR="007E15BD" w:rsidRPr="00CE0573" w:rsidRDefault="007E15BD" w:rsidP="007E15BD">
            <w:pPr>
              <w:jc w:val="right"/>
              <w:rPr>
                <w:rFonts w:ascii="Arial" w:hAnsi="Arial" w:cs="Arial"/>
                <w:sz w:val="20"/>
                <w:szCs w:val="20"/>
              </w:rPr>
            </w:pPr>
          </w:p>
        </w:tc>
      </w:tr>
      <w:tr w:rsidR="007E15BD" w:rsidRPr="00AB5FD2" w14:paraId="11E15282"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3CEF3672" w14:textId="77777777" w:rsidR="007E15BD" w:rsidRPr="00CE0573" w:rsidRDefault="007E15BD" w:rsidP="007E15BD">
            <w:pPr>
              <w:numPr>
                <w:ilvl w:val="1"/>
                <w:numId w:val="7"/>
              </w:numPr>
              <w:rPr>
                <w:rFonts w:ascii="Arial" w:hAnsi="Arial" w:cs="Arial"/>
                <w:sz w:val="20"/>
                <w:szCs w:val="20"/>
              </w:rPr>
            </w:pPr>
            <w:r w:rsidRPr="00CE0573">
              <w:rPr>
                <w:rFonts w:ascii="Arial" w:hAnsi="Arial" w:cs="Arial"/>
                <w:sz w:val="20"/>
                <w:szCs w:val="20"/>
              </w:rPr>
              <w:t>Medical Only</w:t>
            </w:r>
          </w:p>
        </w:tc>
        <w:tc>
          <w:tcPr>
            <w:tcW w:w="1329" w:type="dxa"/>
            <w:tcBorders>
              <w:top w:val="single" w:sz="2" w:space="0" w:color="auto"/>
              <w:left w:val="single" w:sz="2" w:space="0" w:color="auto"/>
              <w:bottom w:val="single" w:sz="2" w:space="0" w:color="auto"/>
              <w:right w:val="single" w:sz="2" w:space="0" w:color="auto"/>
            </w:tcBorders>
          </w:tcPr>
          <w:p w14:paraId="4008957F" w14:textId="32511573" w:rsidR="007E15BD" w:rsidRPr="00CE0573" w:rsidRDefault="007E15BD" w:rsidP="007E15BD">
            <w:pPr>
              <w:jc w:val="right"/>
              <w:rPr>
                <w:rFonts w:ascii="Arial" w:hAnsi="Arial" w:cs="Arial"/>
                <w:sz w:val="20"/>
                <w:szCs w:val="20"/>
              </w:rPr>
            </w:pPr>
            <w:r w:rsidRPr="00CE0573">
              <w:rPr>
                <w:rFonts w:ascii="Arial" w:hAnsi="Arial" w:cs="Arial"/>
                <w:sz w:val="20"/>
                <w:szCs w:val="20"/>
              </w:rPr>
              <w:t>33,203</w:t>
            </w:r>
          </w:p>
        </w:tc>
        <w:tc>
          <w:tcPr>
            <w:tcW w:w="1329" w:type="dxa"/>
            <w:tcBorders>
              <w:top w:val="single" w:sz="2" w:space="0" w:color="auto"/>
              <w:left w:val="single" w:sz="2" w:space="0" w:color="auto"/>
              <w:bottom w:val="single" w:sz="2" w:space="0" w:color="auto"/>
              <w:right w:val="single" w:sz="2" w:space="0" w:color="auto"/>
            </w:tcBorders>
          </w:tcPr>
          <w:p w14:paraId="245BFA10" w14:textId="6BB0B62A" w:rsidR="007E15BD" w:rsidRPr="00CE0573" w:rsidRDefault="007E15BD" w:rsidP="007E15BD">
            <w:pPr>
              <w:jc w:val="right"/>
              <w:rPr>
                <w:rFonts w:ascii="Arial" w:hAnsi="Arial" w:cs="Arial"/>
                <w:sz w:val="20"/>
                <w:szCs w:val="20"/>
              </w:rPr>
            </w:pPr>
            <w:r>
              <w:rPr>
                <w:rFonts w:ascii="Arial" w:hAnsi="Arial" w:cs="Arial"/>
                <w:sz w:val="20"/>
                <w:szCs w:val="20"/>
              </w:rPr>
              <w:t>31,018</w:t>
            </w:r>
          </w:p>
        </w:tc>
        <w:tc>
          <w:tcPr>
            <w:tcW w:w="1432" w:type="dxa"/>
            <w:tcBorders>
              <w:top w:val="single" w:sz="2" w:space="0" w:color="auto"/>
              <w:left w:val="single" w:sz="2" w:space="0" w:color="auto"/>
              <w:bottom w:val="single" w:sz="2" w:space="0" w:color="auto"/>
              <w:right w:val="single" w:sz="2" w:space="0" w:color="auto"/>
            </w:tcBorders>
          </w:tcPr>
          <w:p w14:paraId="7794F1E1" w14:textId="75495DD8" w:rsidR="007E15BD" w:rsidRPr="00CE0573" w:rsidRDefault="007E15BD" w:rsidP="007E15BD">
            <w:pPr>
              <w:jc w:val="right"/>
              <w:rPr>
                <w:rFonts w:ascii="Arial" w:hAnsi="Arial" w:cs="Arial"/>
                <w:sz w:val="20"/>
                <w:szCs w:val="20"/>
              </w:rPr>
            </w:pPr>
            <w:r>
              <w:rPr>
                <w:rFonts w:ascii="Arial" w:hAnsi="Arial" w:cs="Arial"/>
                <w:sz w:val="20"/>
                <w:szCs w:val="20"/>
              </w:rPr>
              <w:t>29,284</w:t>
            </w:r>
          </w:p>
        </w:tc>
        <w:tc>
          <w:tcPr>
            <w:tcW w:w="1432" w:type="dxa"/>
            <w:tcBorders>
              <w:top w:val="single" w:sz="2" w:space="0" w:color="auto"/>
              <w:left w:val="single" w:sz="2" w:space="0" w:color="auto"/>
              <w:bottom w:val="single" w:sz="2" w:space="0" w:color="auto"/>
              <w:right w:val="single" w:sz="2" w:space="0" w:color="auto"/>
            </w:tcBorders>
          </w:tcPr>
          <w:p w14:paraId="28103C2D" w14:textId="7F8C5DAE" w:rsidR="007E15BD" w:rsidRPr="00CE0573" w:rsidRDefault="007E15BD" w:rsidP="007E15BD">
            <w:pPr>
              <w:jc w:val="right"/>
              <w:rPr>
                <w:rFonts w:ascii="Arial" w:hAnsi="Arial" w:cs="Arial"/>
                <w:sz w:val="20"/>
                <w:szCs w:val="20"/>
              </w:rPr>
            </w:pPr>
          </w:p>
        </w:tc>
      </w:tr>
      <w:tr w:rsidR="007E15BD" w:rsidRPr="00AB5FD2" w14:paraId="620BAC7B"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0C26F5A2" w14:textId="77777777" w:rsidR="007E15BD" w:rsidRPr="00CE0573" w:rsidRDefault="007E15BD" w:rsidP="007E15BD">
            <w:pPr>
              <w:numPr>
                <w:ilvl w:val="1"/>
                <w:numId w:val="7"/>
              </w:numPr>
              <w:rPr>
                <w:rFonts w:ascii="Arial" w:hAnsi="Arial" w:cs="Arial"/>
                <w:sz w:val="20"/>
                <w:szCs w:val="20"/>
              </w:rPr>
            </w:pPr>
            <w:r w:rsidRPr="00CE0573">
              <w:rPr>
                <w:rFonts w:ascii="Arial" w:hAnsi="Arial" w:cs="Arial"/>
                <w:sz w:val="20"/>
                <w:szCs w:val="20"/>
              </w:rPr>
              <w:t>Time-Loss</w:t>
            </w:r>
          </w:p>
        </w:tc>
        <w:tc>
          <w:tcPr>
            <w:tcW w:w="1329" w:type="dxa"/>
            <w:tcBorders>
              <w:top w:val="single" w:sz="2" w:space="0" w:color="auto"/>
              <w:left w:val="single" w:sz="2" w:space="0" w:color="auto"/>
              <w:bottom w:val="single" w:sz="2" w:space="0" w:color="auto"/>
              <w:right w:val="single" w:sz="2" w:space="0" w:color="auto"/>
            </w:tcBorders>
          </w:tcPr>
          <w:p w14:paraId="4DAA085D" w14:textId="1AA21996" w:rsidR="007E15BD" w:rsidRPr="00CE0573" w:rsidRDefault="007E15BD" w:rsidP="007E15BD">
            <w:pPr>
              <w:jc w:val="right"/>
              <w:rPr>
                <w:rFonts w:ascii="Arial" w:hAnsi="Arial" w:cs="Arial"/>
                <w:sz w:val="20"/>
                <w:szCs w:val="20"/>
              </w:rPr>
            </w:pPr>
            <w:r w:rsidRPr="00CE0573">
              <w:rPr>
                <w:rFonts w:ascii="Arial" w:hAnsi="Arial" w:cs="Arial"/>
                <w:sz w:val="20"/>
                <w:szCs w:val="20"/>
              </w:rPr>
              <w:t>3,735</w:t>
            </w:r>
          </w:p>
        </w:tc>
        <w:tc>
          <w:tcPr>
            <w:tcW w:w="1329" w:type="dxa"/>
            <w:tcBorders>
              <w:top w:val="single" w:sz="2" w:space="0" w:color="auto"/>
              <w:left w:val="single" w:sz="2" w:space="0" w:color="auto"/>
              <w:bottom w:val="single" w:sz="2" w:space="0" w:color="auto"/>
              <w:right w:val="single" w:sz="2" w:space="0" w:color="auto"/>
            </w:tcBorders>
          </w:tcPr>
          <w:p w14:paraId="0F0FC0B0" w14:textId="57BC5B8B" w:rsidR="007E15BD" w:rsidRPr="00CE0573" w:rsidRDefault="007E15BD" w:rsidP="007E15BD">
            <w:pPr>
              <w:jc w:val="right"/>
              <w:rPr>
                <w:rFonts w:ascii="Arial" w:hAnsi="Arial" w:cs="Arial"/>
                <w:sz w:val="20"/>
                <w:szCs w:val="20"/>
              </w:rPr>
            </w:pPr>
            <w:r>
              <w:rPr>
                <w:rFonts w:ascii="Arial" w:hAnsi="Arial" w:cs="Arial"/>
                <w:sz w:val="20"/>
                <w:szCs w:val="20"/>
              </w:rPr>
              <w:t>3,677</w:t>
            </w:r>
          </w:p>
        </w:tc>
        <w:tc>
          <w:tcPr>
            <w:tcW w:w="1432" w:type="dxa"/>
            <w:tcBorders>
              <w:top w:val="single" w:sz="2" w:space="0" w:color="auto"/>
              <w:left w:val="single" w:sz="2" w:space="0" w:color="auto"/>
              <w:bottom w:val="single" w:sz="2" w:space="0" w:color="auto"/>
              <w:right w:val="single" w:sz="2" w:space="0" w:color="auto"/>
            </w:tcBorders>
          </w:tcPr>
          <w:p w14:paraId="6A5FDECD" w14:textId="7010CB58" w:rsidR="007E15BD" w:rsidRPr="00CE0573" w:rsidRDefault="007E15BD" w:rsidP="007E15BD">
            <w:pPr>
              <w:jc w:val="right"/>
              <w:rPr>
                <w:rFonts w:ascii="Arial" w:hAnsi="Arial" w:cs="Arial"/>
                <w:sz w:val="20"/>
                <w:szCs w:val="20"/>
              </w:rPr>
            </w:pPr>
            <w:r>
              <w:rPr>
                <w:rFonts w:ascii="Arial" w:hAnsi="Arial" w:cs="Arial"/>
                <w:sz w:val="20"/>
                <w:szCs w:val="20"/>
              </w:rPr>
              <w:t>4,399</w:t>
            </w:r>
          </w:p>
        </w:tc>
        <w:tc>
          <w:tcPr>
            <w:tcW w:w="1432" w:type="dxa"/>
            <w:tcBorders>
              <w:top w:val="single" w:sz="2" w:space="0" w:color="auto"/>
              <w:left w:val="single" w:sz="2" w:space="0" w:color="auto"/>
              <w:bottom w:val="single" w:sz="2" w:space="0" w:color="auto"/>
              <w:right w:val="single" w:sz="2" w:space="0" w:color="auto"/>
            </w:tcBorders>
          </w:tcPr>
          <w:p w14:paraId="7AF34785" w14:textId="6CA8C450" w:rsidR="007E15BD" w:rsidRPr="00CE0573" w:rsidRDefault="007E15BD" w:rsidP="007E15BD">
            <w:pPr>
              <w:jc w:val="right"/>
              <w:rPr>
                <w:rFonts w:ascii="Arial" w:hAnsi="Arial" w:cs="Arial"/>
                <w:sz w:val="20"/>
                <w:szCs w:val="20"/>
              </w:rPr>
            </w:pPr>
          </w:p>
        </w:tc>
      </w:tr>
      <w:tr w:rsidR="007E15BD" w:rsidRPr="00AB5FD2" w14:paraId="4418DE44"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74E4CB90" w14:textId="77777777" w:rsidR="007E15BD" w:rsidRPr="00CE0573" w:rsidRDefault="007E15BD" w:rsidP="007E15BD">
            <w:pPr>
              <w:numPr>
                <w:ilvl w:val="1"/>
                <w:numId w:val="7"/>
              </w:numPr>
              <w:rPr>
                <w:rFonts w:ascii="Arial" w:hAnsi="Arial" w:cs="Arial"/>
                <w:sz w:val="20"/>
                <w:szCs w:val="20"/>
              </w:rPr>
            </w:pPr>
            <w:r w:rsidRPr="00CE0573">
              <w:rPr>
                <w:rFonts w:ascii="Arial" w:hAnsi="Arial" w:cs="Arial"/>
                <w:sz w:val="20"/>
                <w:szCs w:val="20"/>
              </w:rPr>
              <w:t>Fatalities</w:t>
            </w:r>
          </w:p>
        </w:tc>
        <w:tc>
          <w:tcPr>
            <w:tcW w:w="1329" w:type="dxa"/>
            <w:tcBorders>
              <w:top w:val="single" w:sz="2" w:space="0" w:color="auto"/>
              <w:left w:val="single" w:sz="2" w:space="0" w:color="auto"/>
              <w:bottom w:val="single" w:sz="2" w:space="0" w:color="auto"/>
              <w:right w:val="single" w:sz="2" w:space="0" w:color="auto"/>
            </w:tcBorders>
          </w:tcPr>
          <w:p w14:paraId="08624E33" w14:textId="4F55E5BB" w:rsidR="007E15BD" w:rsidRPr="00CE0573" w:rsidRDefault="007E15BD" w:rsidP="007E15BD">
            <w:pPr>
              <w:jc w:val="right"/>
              <w:rPr>
                <w:rFonts w:ascii="Arial" w:hAnsi="Arial" w:cs="Arial"/>
                <w:sz w:val="20"/>
                <w:szCs w:val="20"/>
              </w:rPr>
            </w:pPr>
            <w:r w:rsidRPr="00CE0573">
              <w:rPr>
                <w:rFonts w:ascii="Arial" w:hAnsi="Arial" w:cs="Arial"/>
                <w:sz w:val="20"/>
                <w:szCs w:val="20"/>
              </w:rPr>
              <w:t>40</w:t>
            </w:r>
          </w:p>
        </w:tc>
        <w:tc>
          <w:tcPr>
            <w:tcW w:w="1329" w:type="dxa"/>
            <w:tcBorders>
              <w:top w:val="single" w:sz="2" w:space="0" w:color="auto"/>
              <w:left w:val="single" w:sz="2" w:space="0" w:color="auto"/>
              <w:bottom w:val="single" w:sz="2" w:space="0" w:color="auto"/>
              <w:right w:val="single" w:sz="2" w:space="0" w:color="auto"/>
            </w:tcBorders>
          </w:tcPr>
          <w:p w14:paraId="3E5EA9CF" w14:textId="2D5B0D07" w:rsidR="007E15BD" w:rsidRPr="00CE0573" w:rsidRDefault="007E15BD" w:rsidP="007E15BD">
            <w:pPr>
              <w:jc w:val="right"/>
              <w:rPr>
                <w:rFonts w:ascii="Arial" w:hAnsi="Arial" w:cs="Arial"/>
                <w:sz w:val="20"/>
                <w:szCs w:val="20"/>
              </w:rPr>
            </w:pPr>
            <w:r>
              <w:rPr>
                <w:rFonts w:ascii="Arial" w:hAnsi="Arial" w:cs="Arial"/>
                <w:sz w:val="20"/>
                <w:szCs w:val="20"/>
              </w:rPr>
              <w:t>30</w:t>
            </w:r>
          </w:p>
        </w:tc>
        <w:tc>
          <w:tcPr>
            <w:tcW w:w="1432" w:type="dxa"/>
            <w:tcBorders>
              <w:top w:val="single" w:sz="2" w:space="0" w:color="auto"/>
              <w:left w:val="single" w:sz="2" w:space="0" w:color="auto"/>
              <w:bottom w:val="single" w:sz="2" w:space="0" w:color="auto"/>
              <w:right w:val="single" w:sz="2" w:space="0" w:color="auto"/>
            </w:tcBorders>
          </w:tcPr>
          <w:p w14:paraId="50A53547" w14:textId="190F9412" w:rsidR="007E15BD" w:rsidRPr="00CE0573" w:rsidRDefault="007E15BD" w:rsidP="007E15BD">
            <w:pPr>
              <w:jc w:val="right"/>
              <w:rPr>
                <w:rFonts w:ascii="Arial" w:hAnsi="Arial" w:cs="Arial"/>
                <w:sz w:val="20"/>
                <w:szCs w:val="20"/>
              </w:rPr>
            </w:pPr>
            <w:r>
              <w:rPr>
                <w:rFonts w:ascii="Arial" w:hAnsi="Arial" w:cs="Arial"/>
                <w:sz w:val="20"/>
                <w:szCs w:val="20"/>
              </w:rPr>
              <w:t>35</w:t>
            </w:r>
          </w:p>
        </w:tc>
        <w:tc>
          <w:tcPr>
            <w:tcW w:w="1432" w:type="dxa"/>
            <w:tcBorders>
              <w:top w:val="single" w:sz="2" w:space="0" w:color="auto"/>
              <w:left w:val="single" w:sz="2" w:space="0" w:color="auto"/>
              <w:bottom w:val="single" w:sz="2" w:space="0" w:color="auto"/>
              <w:right w:val="single" w:sz="2" w:space="0" w:color="auto"/>
            </w:tcBorders>
          </w:tcPr>
          <w:p w14:paraId="6CF9BEC8" w14:textId="2EBCCA89" w:rsidR="007E15BD" w:rsidRPr="00CE0573" w:rsidRDefault="007E15BD" w:rsidP="007E15BD">
            <w:pPr>
              <w:jc w:val="right"/>
              <w:rPr>
                <w:rFonts w:ascii="Arial" w:hAnsi="Arial" w:cs="Arial"/>
                <w:sz w:val="20"/>
                <w:szCs w:val="20"/>
              </w:rPr>
            </w:pPr>
          </w:p>
        </w:tc>
      </w:tr>
      <w:tr w:rsidR="007E15BD" w:rsidRPr="00AB5FD2" w14:paraId="3560289E"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0913A7DB" w14:textId="77777777" w:rsidR="007E15BD" w:rsidRPr="00CE0573" w:rsidRDefault="007E15BD" w:rsidP="007E15BD">
            <w:pPr>
              <w:numPr>
                <w:ilvl w:val="0"/>
                <w:numId w:val="7"/>
              </w:numPr>
              <w:ind w:left="-18" w:firstLine="0"/>
              <w:rPr>
                <w:rFonts w:ascii="Arial" w:hAnsi="Arial" w:cs="Arial"/>
                <w:sz w:val="20"/>
                <w:szCs w:val="20"/>
              </w:rPr>
            </w:pPr>
            <w:r w:rsidRPr="00CE0573">
              <w:rPr>
                <w:rFonts w:ascii="Arial" w:hAnsi="Arial" w:cs="Arial"/>
                <w:sz w:val="20"/>
                <w:szCs w:val="20"/>
              </w:rPr>
              <w:t>Cases Referred to Investigator</w:t>
            </w:r>
          </w:p>
        </w:tc>
        <w:tc>
          <w:tcPr>
            <w:tcW w:w="1329" w:type="dxa"/>
            <w:tcBorders>
              <w:top w:val="single" w:sz="2" w:space="0" w:color="auto"/>
              <w:left w:val="single" w:sz="2" w:space="0" w:color="auto"/>
              <w:bottom w:val="single" w:sz="2" w:space="0" w:color="auto"/>
              <w:right w:val="single" w:sz="2" w:space="0" w:color="auto"/>
            </w:tcBorders>
          </w:tcPr>
          <w:p w14:paraId="521B252B" w14:textId="05B037CE" w:rsidR="007E15BD" w:rsidRPr="00CE0573" w:rsidRDefault="007E15BD" w:rsidP="007E15BD">
            <w:pPr>
              <w:jc w:val="right"/>
              <w:rPr>
                <w:rFonts w:ascii="Arial" w:hAnsi="Arial" w:cs="Arial"/>
                <w:sz w:val="20"/>
                <w:szCs w:val="20"/>
              </w:rPr>
            </w:pPr>
            <w:r w:rsidRPr="00CE0573">
              <w:rPr>
                <w:rFonts w:ascii="Arial" w:hAnsi="Arial" w:cs="Arial"/>
                <w:sz w:val="20"/>
                <w:szCs w:val="20"/>
              </w:rPr>
              <w:t>8,698</w:t>
            </w:r>
          </w:p>
        </w:tc>
        <w:tc>
          <w:tcPr>
            <w:tcW w:w="1329" w:type="dxa"/>
            <w:tcBorders>
              <w:top w:val="single" w:sz="2" w:space="0" w:color="auto"/>
              <w:left w:val="single" w:sz="2" w:space="0" w:color="auto"/>
              <w:bottom w:val="single" w:sz="2" w:space="0" w:color="auto"/>
              <w:right w:val="single" w:sz="2" w:space="0" w:color="auto"/>
            </w:tcBorders>
          </w:tcPr>
          <w:p w14:paraId="766DCDB1" w14:textId="54599554" w:rsidR="007E15BD" w:rsidRPr="00CE0573" w:rsidRDefault="007E15BD" w:rsidP="007E15BD">
            <w:pPr>
              <w:jc w:val="right"/>
              <w:rPr>
                <w:rFonts w:ascii="Arial" w:hAnsi="Arial" w:cs="Arial"/>
                <w:sz w:val="20"/>
                <w:szCs w:val="20"/>
              </w:rPr>
            </w:pPr>
            <w:r>
              <w:rPr>
                <w:rFonts w:ascii="Arial" w:hAnsi="Arial" w:cs="Arial"/>
                <w:sz w:val="20"/>
                <w:szCs w:val="20"/>
              </w:rPr>
              <w:t>8,106</w:t>
            </w:r>
          </w:p>
        </w:tc>
        <w:tc>
          <w:tcPr>
            <w:tcW w:w="1432" w:type="dxa"/>
            <w:tcBorders>
              <w:top w:val="single" w:sz="2" w:space="0" w:color="auto"/>
              <w:left w:val="single" w:sz="2" w:space="0" w:color="auto"/>
              <w:bottom w:val="single" w:sz="2" w:space="0" w:color="auto"/>
              <w:right w:val="single" w:sz="2" w:space="0" w:color="auto"/>
            </w:tcBorders>
          </w:tcPr>
          <w:p w14:paraId="6D78EECB" w14:textId="0BC299E6" w:rsidR="007E15BD" w:rsidRPr="00CE0573" w:rsidRDefault="007E15BD" w:rsidP="007E15BD">
            <w:pPr>
              <w:jc w:val="right"/>
              <w:rPr>
                <w:rFonts w:ascii="Arial" w:hAnsi="Arial" w:cs="Arial"/>
                <w:sz w:val="20"/>
                <w:szCs w:val="20"/>
              </w:rPr>
            </w:pPr>
            <w:r>
              <w:rPr>
                <w:rFonts w:ascii="Arial" w:hAnsi="Arial" w:cs="Arial"/>
                <w:sz w:val="20"/>
                <w:szCs w:val="20"/>
              </w:rPr>
              <w:t>8,416</w:t>
            </w:r>
          </w:p>
        </w:tc>
        <w:tc>
          <w:tcPr>
            <w:tcW w:w="1432" w:type="dxa"/>
            <w:tcBorders>
              <w:top w:val="single" w:sz="2" w:space="0" w:color="auto"/>
              <w:left w:val="single" w:sz="2" w:space="0" w:color="auto"/>
              <w:bottom w:val="single" w:sz="2" w:space="0" w:color="auto"/>
              <w:right w:val="single" w:sz="2" w:space="0" w:color="auto"/>
            </w:tcBorders>
          </w:tcPr>
          <w:p w14:paraId="536DC660" w14:textId="7346B460" w:rsidR="007E15BD" w:rsidRPr="00CE0573" w:rsidRDefault="007E15BD" w:rsidP="007E15BD">
            <w:pPr>
              <w:jc w:val="right"/>
              <w:rPr>
                <w:rFonts w:ascii="Arial" w:hAnsi="Arial" w:cs="Arial"/>
                <w:sz w:val="20"/>
                <w:szCs w:val="20"/>
              </w:rPr>
            </w:pPr>
          </w:p>
        </w:tc>
      </w:tr>
      <w:tr w:rsidR="007E15BD" w:rsidRPr="00AB5FD2" w14:paraId="13BCBFAA"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450303C6" w14:textId="77777777" w:rsidR="007E15BD" w:rsidRPr="00CE0573" w:rsidRDefault="007E15BD" w:rsidP="007E15BD">
            <w:pPr>
              <w:numPr>
                <w:ilvl w:val="0"/>
                <w:numId w:val="7"/>
              </w:numPr>
              <w:ind w:left="-18" w:firstLine="0"/>
              <w:rPr>
                <w:rFonts w:ascii="Arial" w:hAnsi="Arial" w:cs="Arial"/>
                <w:sz w:val="20"/>
                <w:szCs w:val="20"/>
              </w:rPr>
            </w:pPr>
            <w:r w:rsidRPr="00CE0573">
              <w:rPr>
                <w:rFonts w:ascii="Arial" w:hAnsi="Arial" w:cs="Arial"/>
                <w:sz w:val="20"/>
                <w:szCs w:val="20"/>
              </w:rPr>
              <w:t xml:space="preserve">Cases Brought </w:t>
            </w:r>
            <w:proofErr w:type="gramStart"/>
            <w:r w:rsidRPr="00CE0573">
              <w:rPr>
                <w:rFonts w:ascii="Arial" w:hAnsi="Arial" w:cs="Arial"/>
                <w:sz w:val="20"/>
                <w:szCs w:val="20"/>
              </w:rPr>
              <w:t>Into</w:t>
            </w:r>
            <w:proofErr w:type="gramEnd"/>
            <w:r w:rsidRPr="00CE0573">
              <w:rPr>
                <w:rFonts w:ascii="Arial" w:hAnsi="Arial" w:cs="Arial"/>
                <w:sz w:val="20"/>
                <w:szCs w:val="20"/>
              </w:rPr>
              <w:t xml:space="preserve"> Compliance</w:t>
            </w:r>
          </w:p>
        </w:tc>
        <w:tc>
          <w:tcPr>
            <w:tcW w:w="1329" w:type="dxa"/>
            <w:tcBorders>
              <w:top w:val="single" w:sz="2" w:space="0" w:color="auto"/>
              <w:left w:val="single" w:sz="2" w:space="0" w:color="auto"/>
              <w:bottom w:val="single" w:sz="2" w:space="0" w:color="auto"/>
              <w:right w:val="single" w:sz="2" w:space="0" w:color="auto"/>
            </w:tcBorders>
          </w:tcPr>
          <w:p w14:paraId="1FB49C9F" w14:textId="4396D2FD" w:rsidR="007E15BD" w:rsidRPr="00CE0573" w:rsidRDefault="007E15BD" w:rsidP="007E15BD">
            <w:pPr>
              <w:jc w:val="right"/>
              <w:rPr>
                <w:rFonts w:ascii="Arial" w:hAnsi="Arial" w:cs="Arial"/>
                <w:sz w:val="20"/>
                <w:szCs w:val="20"/>
              </w:rPr>
            </w:pPr>
            <w:r w:rsidRPr="00CE0573">
              <w:rPr>
                <w:rFonts w:ascii="Arial" w:hAnsi="Arial" w:cs="Arial"/>
                <w:sz w:val="20"/>
                <w:szCs w:val="20"/>
              </w:rPr>
              <w:t>2,142</w:t>
            </w:r>
          </w:p>
        </w:tc>
        <w:tc>
          <w:tcPr>
            <w:tcW w:w="1329" w:type="dxa"/>
            <w:tcBorders>
              <w:top w:val="single" w:sz="2" w:space="0" w:color="auto"/>
              <w:left w:val="single" w:sz="2" w:space="0" w:color="auto"/>
              <w:bottom w:val="single" w:sz="2" w:space="0" w:color="auto"/>
              <w:right w:val="single" w:sz="2" w:space="0" w:color="auto"/>
            </w:tcBorders>
          </w:tcPr>
          <w:p w14:paraId="6EE9437F" w14:textId="0C2903DD" w:rsidR="007E15BD" w:rsidRPr="00CE0573" w:rsidRDefault="007E15BD" w:rsidP="007E15BD">
            <w:pPr>
              <w:jc w:val="right"/>
              <w:rPr>
                <w:rFonts w:ascii="Arial" w:hAnsi="Arial" w:cs="Arial"/>
                <w:sz w:val="20"/>
                <w:szCs w:val="20"/>
              </w:rPr>
            </w:pPr>
            <w:r>
              <w:rPr>
                <w:rFonts w:ascii="Arial" w:hAnsi="Arial" w:cs="Arial"/>
                <w:sz w:val="20"/>
                <w:szCs w:val="20"/>
              </w:rPr>
              <w:t>1,789</w:t>
            </w:r>
          </w:p>
        </w:tc>
        <w:tc>
          <w:tcPr>
            <w:tcW w:w="1432" w:type="dxa"/>
            <w:tcBorders>
              <w:top w:val="single" w:sz="2" w:space="0" w:color="auto"/>
              <w:left w:val="single" w:sz="2" w:space="0" w:color="auto"/>
              <w:bottom w:val="single" w:sz="2" w:space="0" w:color="auto"/>
              <w:right w:val="single" w:sz="2" w:space="0" w:color="auto"/>
            </w:tcBorders>
          </w:tcPr>
          <w:p w14:paraId="05CF40C6" w14:textId="1C85E17F" w:rsidR="007E15BD" w:rsidRPr="00CE0573" w:rsidRDefault="007E15BD" w:rsidP="007E15BD">
            <w:pPr>
              <w:jc w:val="right"/>
              <w:rPr>
                <w:rFonts w:ascii="Arial" w:hAnsi="Arial" w:cs="Arial"/>
                <w:sz w:val="20"/>
                <w:szCs w:val="20"/>
              </w:rPr>
            </w:pPr>
            <w:r>
              <w:rPr>
                <w:rFonts w:ascii="Arial" w:hAnsi="Arial" w:cs="Arial"/>
                <w:sz w:val="20"/>
                <w:szCs w:val="20"/>
              </w:rPr>
              <w:t>1,353</w:t>
            </w:r>
          </w:p>
        </w:tc>
        <w:tc>
          <w:tcPr>
            <w:tcW w:w="1432" w:type="dxa"/>
            <w:tcBorders>
              <w:top w:val="single" w:sz="2" w:space="0" w:color="auto"/>
              <w:left w:val="single" w:sz="2" w:space="0" w:color="auto"/>
              <w:bottom w:val="single" w:sz="2" w:space="0" w:color="auto"/>
              <w:right w:val="single" w:sz="2" w:space="0" w:color="auto"/>
            </w:tcBorders>
          </w:tcPr>
          <w:p w14:paraId="7AF4931D" w14:textId="36DC7D3C" w:rsidR="007E15BD" w:rsidRPr="00CE0573" w:rsidRDefault="007E15BD" w:rsidP="007E15BD">
            <w:pPr>
              <w:jc w:val="right"/>
              <w:rPr>
                <w:rFonts w:ascii="Arial" w:hAnsi="Arial" w:cs="Arial"/>
                <w:sz w:val="20"/>
                <w:szCs w:val="20"/>
              </w:rPr>
            </w:pPr>
          </w:p>
        </w:tc>
      </w:tr>
      <w:tr w:rsidR="007E15BD" w:rsidRPr="00AB5FD2" w14:paraId="7F57F71E" w14:textId="77777777" w:rsidTr="00FE2F93">
        <w:tc>
          <w:tcPr>
            <w:tcW w:w="10080" w:type="dxa"/>
            <w:gridSpan w:val="6"/>
            <w:tcBorders>
              <w:top w:val="single" w:sz="2" w:space="0" w:color="auto"/>
              <w:left w:val="single" w:sz="2" w:space="0" w:color="auto"/>
              <w:bottom w:val="single" w:sz="2" w:space="0" w:color="auto"/>
              <w:right w:val="single" w:sz="2" w:space="0" w:color="auto"/>
            </w:tcBorders>
          </w:tcPr>
          <w:p w14:paraId="4B11A79C" w14:textId="77777777" w:rsidR="007E15BD" w:rsidRPr="00CE0573" w:rsidRDefault="007E15BD" w:rsidP="007E15BD">
            <w:pPr>
              <w:rPr>
                <w:rFonts w:ascii="Arial" w:hAnsi="Arial" w:cs="Arial"/>
                <w:b/>
                <w:sz w:val="20"/>
                <w:szCs w:val="20"/>
              </w:rPr>
            </w:pPr>
            <w:r w:rsidRPr="00CE0573">
              <w:rPr>
                <w:rFonts w:ascii="Arial" w:hAnsi="Arial" w:cs="Arial"/>
                <w:b/>
                <w:sz w:val="20"/>
                <w:szCs w:val="20"/>
              </w:rPr>
              <w:t>REHABILITATION</w:t>
            </w:r>
          </w:p>
        </w:tc>
      </w:tr>
      <w:tr w:rsidR="007E15BD" w:rsidRPr="00AB5FD2" w14:paraId="22ED3303"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3CA9AC1C" w14:textId="4F155C6C" w:rsidR="007E15BD" w:rsidRPr="00351DB5" w:rsidRDefault="007E15BD" w:rsidP="007E15BD">
            <w:pPr>
              <w:pStyle w:val="ListParagraph"/>
              <w:numPr>
                <w:ilvl w:val="0"/>
                <w:numId w:val="7"/>
              </w:numPr>
              <w:rPr>
                <w:rFonts w:ascii="Arial" w:hAnsi="Arial" w:cs="Arial"/>
                <w:sz w:val="20"/>
                <w:szCs w:val="20"/>
              </w:rPr>
            </w:pPr>
            <w:r w:rsidRPr="00CE0573">
              <w:rPr>
                <w:rFonts w:ascii="Arial" w:hAnsi="Arial" w:cs="Arial"/>
                <w:sz w:val="20"/>
                <w:szCs w:val="20"/>
              </w:rPr>
              <w:t>Injured Workers referred for Rehabilitation Services</w:t>
            </w:r>
          </w:p>
        </w:tc>
        <w:tc>
          <w:tcPr>
            <w:tcW w:w="1329" w:type="dxa"/>
            <w:tcBorders>
              <w:top w:val="single" w:sz="2" w:space="0" w:color="auto"/>
              <w:left w:val="single" w:sz="2" w:space="0" w:color="auto"/>
              <w:bottom w:val="single" w:sz="2" w:space="0" w:color="auto"/>
              <w:right w:val="single" w:sz="2" w:space="0" w:color="auto"/>
            </w:tcBorders>
          </w:tcPr>
          <w:p w14:paraId="5952A1FA" w14:textId="77777777" w:rsidR="007E15BD" w:rsidRPr="00CE0573" w:rsidRDefault="007E15BD" w:rsidP="007E15BD">
            <w:pPr>
              <w:jc w:val="right"/>
              <w:rPr>
                <w:rFonts w:ascii="Arial" w:hAnsi="Arial" w:cs="Arial"/>
                <w:sz w:val="20"/>
                <w:szCs w:val="20"/>
              </w:rPr>
            </w:pPr>
            <w:r w:rsidRPr="00CE0573">
              <w:rPr>
                <w:rFonts w:ascii="Arial" w:hAnsi="Arial" w:cs="Arial"/>
                <w:sz w:val="20"/>
                <w:szCs w:val="20"/>
              </w:rPr>
              <w:t>2,060</w:t>
            </w:r>
          </w:p>
          <w:p w14:paraId="77C3C863" w14:textId="46B86507" w:rsidR="007E15BD" w:rsidRPr="00CE0573" w:rsidRDefault="007E15BD" w:rsidP="007E15BD">
            <w:pPr>
              <w:jc w:val="right"/>
              <w:rPr>
                <w:rFonts w:ascii="Arial" w:hAnsi="Arial" w:cs="Arial"/>
                <w:sz w:val="20"/>
                <w:szCs w:val="20"/>
              </w:rPr>
            </w:pPr>
          </w:p>
        </w:tc>
        <w:tc>
          <w:tcPr>
            <w:tcW w:w="1329" w:type="dxa"/>
            <w:tcBorders>
              <w:top w:val="single" w:sz="2" w:space="0" w:color="auto"/>
              <w:left w:val="single" w:sz="2" w:space="0" w:color="auto"/>
              <w:bottom w:val="single" w:sz="2" w:space="0" w:color="auto"/>
              <w:right w:val="single" w:sz="2" w:space="0" w:color="auto"/>
            </w:tcBorders>
          </w:tcPr>
          <w:p w14:paraId="521CD141" w14:textId="77777777" w:rsidR="007E15BD" w:rsidRDefault="007E15BD" w:rsidP="007E15BD">
            <w:pPr>
              <w:jc w:val="right"/>
              <w:rPr>
                <w:rFonts w:ascii="Arial" w:hAnsi="Arial" w:cs="Arial"/>
                <w:sz w:val="20"/>
                <w:szCs w:val="20"/>
              </w:rPr>
            </w:pPr>
            <w:r>
              <w:rPr>
                <w:rFonts w:ascii="Arial" w:hAnsi="Arial" w:cs="Arial"/>
                <w:sz w:val="20"/>
                <w:szCs w:val="20"/>
              </w:rPr>
              <w:t>1,942</w:t>
            </w:r>
          </w:p>
          <w:p w14:paraId="764B591A" w14:textId="1F46B2A5" w:rsidR="007E15BD" w:rsidRPr="00CE0573" w:rsidRDefault="007E15BD" w:rsidP="007E15BD">
            <w:pPr>
              <w:jc w:val="right"/>
              <w:rPr>
                <w:rFonts w:ascii="Arial" w:hAnsi="Arial" w:cs="Arial"/>
                <w:sz w:val="20"/>
                <w:szCs w:val="20"/>
              </w:rPr>
            </w:pPr>
          </w:p>
        </w:tc>
        <w:tc>
          <w:tcPr>
            <w:tcW w:w="1432" w:type="dxa"/>
            <w:tcBorders>
              <w:top w:val="single" w:sz="2" w:space="0" w:color="auto"/>
              <w:left w:val="single" w:sz="2" w:space="0" w:color="auto"/>
              <w:bottom w:val="single" w:sz="2" w:space="0" w:color="auto"/>
              <w:right w:val="single" w:sz="2" w:space="0" w:color="auto"/>
            </w:tcBorders>
          </w:tcPr>
          <w:p w14:paraId="369497DC" w14:textId="77777777" w:rsidR="007E15BD" w:rsidRDefault="007E15BD" w:rsidP="007E15BD">
            <w:pPr>
              <w:jc w:val="right"/>
              <w:rPr>
                <w:rFonts w:ascii="Arial" w:hAnsi="Arial" w:cs="Arial"/>
                <w:sz w:val="20"/>
                <w:szCs w:val="20"/>
              </w:rPr>
            </w:pPr>
            <w:r>
              <w:rPr>
                <w:rFonts w:ascii="Arial" w:hAnsi="Arial" w:cs="Arial"/>
                <w:sz w:val="20"/>
                <w:szCs w:val="20"/>
              </w:rPr>
              <w:t>1,866</w:t>
            </w:r>
          </w:p>
          <w:p w14:paraId="3ED72EBA" w14:textId="1B7EE631" w:rsidR="007E15BD" w:rsidRPr="00CE0573" w:rsidRDefault="007E15BD" w:rsidP="007E15BD">
            <w:pPr>
              <w:jc w:val="right"/>
              <w:rPr>
                <w:rFonts w:ascii="Arial" w:hAnsi="Arial" w:cs="Arial"/>
                <w:sz w:val="20"/>
                <w:szCs w:val="20"/>
              </w:rPr>
            </w:pPr>
          </w:p>
        </w:tc>
        <w:tc>
          <w:tcPr>
            <w:tcW w:w="1432" w:type="dxa"/>
            <w:tcBorders>
              <w:top w:val="single" w:sz="2" w:space="0" w:color="auto"/>
              <w:left w:val="single" w:sz="2" w:space="0" w:color="auto"/>
              <w:bottom w:val="single" w:sz="2" w:space="0" w:color="auto"/>
              <w:right w:val="single" w:sz="2" w:space="0" w:color="auto"/>
            </w:tcBorders>
          </w:tcPr>
          <w:p w14:paraId="688DCC8D" w14:textId="09884B6C" w:rsidR="007E15BD" w:rsidRPr="00CE0573" w:rsidRDefault="007E15BD" w:rsidP="007E15BD">
            <w:pPr>
              <w:jc w:val="right"/>
              <w:rPr>
                <w:rFonts w:ascii="Arial" w:hAnsi="Arial" w:cs="Arial"/>
                <w:sz w:val="20"/>
                <w:szCs w:val="20"/>
              </w:rPr>
            </w:pPr>
          </w:p>
        </w:tc>
      </w:tr>
      <w:tr w:rsidR="007E15BD" w:rsidRPr="00AB5FD2" w14:paraId="0FA0866F"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1973FE87" w14:textId="38A2FEB7" w:rsidR="007E15BD" w:rsidRPr="00CE0573" w:rsidRDefault="007E15BD" w:rsidP="007E15BD">
            <w:pPr>
              <w:pStyle w:val="ListParagraph"/>
              <w:numPr>
                <w:ilvl w:val="0"/>
                <w:numId w:val="7"/>
              </w:numPr>
              <w:rPr>
                <w:rFonts w:ascii="Arial" w:hAnsi="Arial" w:cs="Arial"/>
                <w:sz w:val="20"/>
                <w:szCs w:val="20"/>
              </w:rPr>
            </w:pPr>
            <w:r w:rsidRPr="00CE0573">
              <w:rPr>
                <w:rFonts w:ascii="Arial" w:hAnsi="Arial" w:cs="Arial"/>
                <w:sz w:val="20"/>
                <w:szCs w:val="20"/>
              </w:rPr>
              <w:t>Workers Rehabilitated, Returned to Work as a Result of Division Services</w:t>
            </w:r>
          </w:p>
        </w:tc>
        <w:tc>
          <w:tcPr>
            <w:tcW w:w="1329" w:type="dxa"/>
            <w:tcBorders>
              <w:top w:val="single" w:sz="2" w:space="0" w:color="auto"/>
              <w:left w:val="single" w:sz="2" w:space="0" w:color="auto"/>
              <w:bottom w:val="single" w:sz="2" w:space="0" w:color="auto"/>
              <w:right w:val="single" w:sz="2" w:space="0" w:color="auto"/>
            </w:tcBorders>
          </w:tcPr>
          <w:p w14:paraId="11F83D83" w14:textId="7D92A650" w:rsidR="007E15BD" w:rsidRPr="00CE0573" w:rsidRDefault="007E15BD" w:rsidP="007E15BD">
            <w:pPr>
              <w:jc w:val="right"/>
              <w:rPr>
                <w:rFonts w:ascii="Arial" w:hAnsi="Arial" w:cs="Arial"/>
                <w:sz w:val="20"/>
                <w:szCs w:val="20"/>
              </w:rPr>
            </w:pPr>
            <w:r w:rsidRPr="00CE0573">
              <w:rPr>
                <w:rFonts w:ascii="Arial" w:hAnsi="Arial" w:cs="Arial"/>
                <w:sz w:val="20"/>
                <w:szCs w:val="20"/>
              </w:rPr>
              <w:t>1,388</w:t>
            </w:r>
          </w:p>
        </w:tc>
        <w:tc>
          <w:tcPr>
            <w:tcW w:w="1329" w:type="dxa"/>
            <w:tcBorders>
              <w:top w:val="single" w:sz="2" w:space="0" w:color="auto"/>
              <w:left w:val="single" w:sz="2" w:space="0" w:color="auto"/>
              <w:bottom w:val="single" w:sz="2" w:space="0" w:color="auto"/>
              <w:right w:val="single" w:sz="2" w:space="0" w:color="auto"/>
            </w:tcBorders>
          </w:tcPr>
          <w:p w14:paraId="7B5C9477" w14:textId="7E0351A1" w:rsidR="007E15BD" w:rsidRPr="00CE0573" w:rsidRDefault="007E15BD" w:rsidP="007E15BD">
            <w:pPr>
              <w:jc w:val="right"/>
              <w:rPr>
                <w:rFonts w:ascii="Arial" w:hAnsi="Arial" w:cs="Arial"/>
                <w:sz w:val="20"/>
                <w:szCs w:val="20"/>
              </w:rPr>
            </w:pPr>
            <w:r>
              <w:rPr>
                <w:rFonts w:ascii="Arial" w:hAnsi="Arial" w:cs="Arial"/>
                <w:sz w:val="20"/>
                <w:szCs w:val="20"/>
              </w:rPr>
              <w:t>1,295</w:t>
            </w:r>
          </w:p>
        </w:tc>
        <w:tc>
          <w:tcPr>
            <w:tcW w:w="1432" w:type="dxa"/>
            <w:tcBorders>
              <w:top w:val="single" w:sz="2" w:space="0" w:color="auto"/>
              <w:left w:val="single" w:sz="2" w:space="0" w:color="auto"/>
              <w:bottom w:val="single" w:sz="2" w:space="0" w:color="auto"/>
              <w:right w:val="single" w:sz="2" w:space="0" w:color="auto"/>
            </w:tcBorders>
          </w:tcPr>
          <w:p w14:paraId="29B89D2E" w14:textId="605F9661" w:rsidR="007E15BD" w:rsidRDefault="007E15BD" w:rsidP="007E15BD">
            <w:pPr>
              <w:jc w:val="right"/>
              <w:rPr>
                <w:rFonts w:ascii="Arial" w:hAnsi="Arial" w:cs="Arial"/>
                <w:sz w:val="20"/>
                <w:szCs w:val="20"/>
              </w:rPr>
            </w:pPr>
            <w:r>
              <w:rPr>
                <w:rFonts w:ascii="Arial" w:hAnsi="Arial" w:cs="Arial"/>
                <w:sz w:val="20"/>
                <w:szCs w:val="20"/>
              </w:rPr>
              <w:t>1,265</w:t>
            </w:r>
          </w:p>
        </w:tc>
        <w:tc>
          <w:tcPr>
            <w:tcW w:w="1432" w:type="dxa"/>
            <w:tcBorders>
              <w:top w:val="single" w:sz="2" w:space="0" w:color="auto"/>
              <w:left w:val="single" w:sz="2" w:space="0" w:color="auto"/>
              <w:bottom w:val="single" w:sz="2" w:space="0" w:color="auto"/>
              <w:right w:val="single" w:sz="2" w:space="0" w:color="auto"/>
            </w:tcBorders>
          </w:tcPr>
          <w:p w14:paraId="2A72C29B" w14:textId="53F0DA76" w:rsidR="007E15BD" w:rsidRDefault="007E15BD" w:rsidP="007E15BD">
            <w:pPr>
              <w:jc w:val="right"/>
              <w:rPr>
                <w:rFonts w:ascii="Arial" w:hAnsi="Arial" w:cs="Arial"/>
                <w:sz w:val="20"/>
                <w:szCs w:val="20"/>
              </w:rPr>
            </w:pPr>
          </w:p>
        </w:tc>
      </w:tr>
      <w:tr w:rsidR="007E15BD" w:rsidRPr="00AB5FD2" w14:paraId="7D8AC1A6" w14:textId="77777777" w:rsidTr="00FE2F93">
        <w:tc>
          <w:tcPr>
            <w:tcW w:w="10080" w:type="dxa"/>
            <w:gridSpan w:val="6"/>
            <w:tcBorders>
              <w:top w:val="single" w:sz="2" w:space="0" w:color="auto"/>
              <w:left w:val="single" w:sz="2" w:space="0" w:color="auto"/>
              <w:bottom w:val="single" w:sz="2" w:space="0" w:color="auto"/>
              <w:right w:val="single" w:sz="2" w:space="0" w:color="auto"/>
            </w:tcBorders>
          </w:tcPr>
          <w:p w14:paraId="00CAC240" w14:textId="77777777" w:rsidR="007E15BD" w:rsidRPr="00CE0573" w:rsidRDefault="007E15BD" w:rsidP="007E15BD">
            <w:pPr>
              <w:rPr>
                <w:rFonts w:ascii="Arial" w:hAnsi="Arial" w:cs="Arial"/>
                <w:b/>
                <w:sz w:val="20"/>
                <w:szCs w:val="20"/>
                <w:highlight w:val="yellow"/>
              </w:rPr>
            </w:pPr>
            <w:bookmarkStart w:id="6" w:name="_Hlk78444042"/>
            <w:r w:rsidRPr="00CE0573">
              <w:rPr>
                <w:rFonts w:ascii="Arial" w:hAnsi="Arial" w:cs="Arial"/>
                <w:b/>
                <w:sz w:val="20"/>
                <w:szCs w:val="20"/>
              </w:rPr>
              <w:t xml:space="preserve">CRIME </w:t>
            </w:r>
            <w:proofErr w:type="gramStart"/>
            <w:r w:rsidRPr="00CE0573">
              <w:rPr>
                <w:rFonts w:ascii="Arial" w:hAnsi="Arial" w:cs="Arial"/>
                <w:b/>
                <w:sz w:val="20"/>
                <w:szCs w:val="20"/>
              </w:rPr>
              <w:t>VICTIMS</w:t>
            </w:r>
            <w:proofErr w:type="gramEnd"/>
            <w:r w:rsidRPr="00CE0573">
              <w:rPr>
                <w:rFonts w:ascii="Arial" w:hAnsi="Arial" w:cs="Arial"/>
                <w:b/>
                <w:sz w:val="20"/>
                <w:szCs w:val="20"/>
              </w:rPr>
              <w:t xml:space="preserve"> COMPENSATION</w:t>
            </w:r>
          </w:p>
        </w:tc>
      </w:tr>
      <w:tr w:rsidR="007E15BD" w:rsidRPr="00AB5FD2" w14:paraId="67E8FE45"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4F340A8C" w14:textId="77777777" w:rsidR="007E15BD" w:rsidRPr="00CE0573" w:rsidRDefault="007E15BD" w:rsidP="007E15BD">
            <w:pPr>
              <w:numPr>
                <w:ilvl w:val="0"/>
                <w:numId w:val="5"/>
              </w:numPr>
              <w:ind w:left="-18" w:firstLine="0"/>
              <w:rPr>
                <w:rFonts w:ascii="Arial" w:hAnsi="Arial" w:cs="Arial"/>
                <w:sz w:val="20"/>
                <w:szCs w:val="20"/>
              </w:rPr>
            </w:pPr>
            <w:r w:rsidRPr="00CE0573">
              <w:rPr>
                <w:rFonts w:ascii="Arial" w:hAnsi="Arial" w:cs="Arial"/>
                <w:sz w:val="20"/>
                <w:szCs w:val="20"/>
              </w:rPr>
              <w:t>Crime Victims Claims Filed</w:t>
            </w:r>
          </w:p>
        </w:tc>
        <w:tc>
          <w:tcPr>
            <w:tcW w:w="1329" w:type="dxa"/>
            <w:tcBorders>
              <w:top w:val="single" w:sz="2" w:space="0" w:color="auto"/>
              <w:left w:val="single" w:sz="2" w:space="0" w:color="auto"/>
              <w:bottom w:val="single" w:sz="2" w:space="0" w:color="auto"/>
              <w:right w:val="single" w:sz="2" w:space="0" w:color="auto"/>
            </w:tcBorders>
          </w:tcPr>
          <w:p w14:paraId="1A856B03" w14:textId="134C3D71" w:rsidR="007E15BD" w:rsidRPr="00F77868" w:rsidRDefault="007E15BD" w:rsidP="007E15BD">
            <w:pPr>
              <w:jc w:val="right"/>
              <w:rPr>
                <w:rFonts w:ascii="Arial" w:hAnsi="Arial" w:cs="Arial"/>
                <w:sz w:val="20"/>
                <w:szCs w:val="20"/>
              </w:rPr>
            </w:pPr>
            <w:r w:rsidRPr="00F77868">
              <w:rPr>
                <w:rFonts w:ascii="Arial" w:hAnsi="Arial" w:cs="Arial"/>
                <w:sz w:val="20"/>
                <w:szCs w:val="20"/>
              </w:rPr>
              <w:t>2514</w:t>
            </w:r>
          </w:p>
        </w:tc>
        <w:tc>
          <w:tcPr>
            <w:tcW w:w="1329" w:type="dxa"/>
            <w:tcBorders>
              <w:top w:val="single" w:sz="2" w:space="0" w:color="auto"/>
              <w:left w:val="single" w:sz="2" w:space="0" w:color="auto"/>
              <w:bottom w:val="single" w:sz="2" w:space="0" w:color="auto"/>
              <w:right w:val="single" w:sz="2" w:space="0" w:color="auto"/>
            </w:tcBorders>
          </w:tcPr>
          <w:p w14:paraId="0B6716E1" w14:textId="6EDDC23C" w:rsidR="007E15BD" w:rsidRPr="00F77868" w:rsidRDefault="007E15BD" w:rsidP="007E15BD">
            <w:pPr>
              <w:jc w:val="right"/>
              <w:rPr>
                <w:rFonts w:ascii="Arial" w:hAnsi="Arial" w:cs="Arial"/>
                <w:sz w:val="20"/>
                <w:szCs w:val="20"/>
              </w:rPr>
            </w:pPr>
            <w:r w:rsidRPr="00F77868">
              <w:rPr>
                <w:rFonts w:ascii="Arial" w:hAnsi="Arial" w:cs="Arial"/>
                <w:sz w:val="20"/>
                <w:szCs w:val="20"/>
              </w:rPr>
              <w:t>2640</w:t>
            </w:r>
          </w:p>
        </w:tc>
        <w:tc>
          <w:tcPr>
            <w:tcW w:w="1432" w:type="dxa"/>
            <w:tcBorders>
              <w:top w:val="single" w:sz="2" w:space="0" w:color="auto"/>
              <w:left w:val="single" w:sz="2" w:space="0" w:color="auto"/>
              <w:bottom w:val="single" w:sz="2" w:space="0" w:color="auto"/>
              <w:right w:val="single" w:sz="2" w:space="0" w:color="auto"/>
            </w:tcBorders>
          </w:tcPr>
          <w:p w14:paraId="0CE55F7A" w14:textId="4C715BC0" w:rsidR="007E15BD" w:rsidRPr="00F77868" w:rsidRDefault="007E15BD" w:rsidP="007E15BD">
            <w:pPr>
              <w:jc w:val="right"/>
              <w:rPr>
                <w:rFonts w:ascii="Arial" w:hAnsi="Arial" w:cs="Arial"/>
                <w:sz w:val="20"/>
                <w:szCs w:val="20"/>
              </w:rPr>
            </w:pPr>
            <w:r w:rsidRPr="00F77868">
              <w:rPr>
                <w:rFonts w:ascii="Arial" w:hAnsi="Arial" w:cs="Arial"/>
                <w:sz w:val="20"/>
                <w:szCs w:val="20"/>
              </w:rPr>
              <w:t>3209*</w:t>
            </w:r>
          </w:p>
        </w:tc>
        <w:tc>
          <w:tcPr>
            <w:tcW w:w="1432" w:type="dxa"/>
            <w:tcBorders>
              <w:top w:val="single" w:sz="2" w:space="0" w:color="auto"/>
              <w:left w:val="single" w:sz="2" w:space="0" w:color="auto"/>
              <w:bottom w:val="single" w:sz="2" w:space="0" w:color="auto"/>
              <w:right w:val="single" w:sz="2" w:space="0" w:color="auto"/>
            </w:tcBorders>
          </w:tcPr>
          <w:p w14:paraId="568C8577" w14:textId="691CE41B" w:rsidR="007E15BD" w:rsidRPr="00F77868" w:rsidRDefault="007E15BD" w:rsidP="007E15BD">
            <w:pPr>
              <w:jc w:val="right"/>
              <w:rPr>
                <w:rFonts w:ascii="Arial" w:hAnsi="Arial" w:cs="Arial"/>
                <w:sz w:val="20"/>
                <w:szCs w:val="20"/>
              </w:rPr>
            </w:pPr>
          </w:p>
        </w:tc>
      </w:tr>
      <w:tr w:rsidR="007E15BD" w:rsidRPr="00AB5FD2" w14:paraId="7D6B451E"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0B0DDE3F" w14:textId="76CCE976" w:rsidR="007E15BD" w:rsidRPr="00CE0573" w:rsidRDefault="007E15BD" w:rsidP="007E15BD">
            <w:pPr>
              <w:numPr>
                <w:ilvl w:val="0"/>
                <w:numId w:val="5"/>
              </w:numPr>
              <w:ind w:left="-18" w:firstLine="0"/>
              <w:rPr>
                <w:rFonts w:ascii="Arial" w:hAnsi="Arial" w:cs="Arial"/>
                <w:sz w:val="20"/>
                <w:szCs w:val="20"/>
              </w:rPr>
            </w:pPr>
            <w:r>
              <w:rPr>
                <w:rFonts w:ascii="Arial" w:hAnsi="Arial" w:cs="Arial"/>
                <w:sz w:val="20"/>
                <w:szCs w:val="20"/>
              </w:rPr>
              <w:t>Total Sexual Assault Examination Payments</w:t>
            </w:r>
          </w:p>
        </w:tc>
        <w:tc>
          <w:tcPr>
            <w:tcW w:w="1329" w:type="dxa"/>
            <w:tcBorders>
              <w:top w:val="single" w:sz="2" w:space="0" w:color="auto"/>
              <w:left w:val="single" w:sz="2" w:space="0" w:color="auto"/>
              <w:bottom w:val="single" w:sz="2" w:space="0" w:color="auto"/>
              <w:right w:val="single" w:sz="2" w:space="0" w:color="auto"/>
            </w:tcBorders>
          </w:tcPr>
          <w:p w14:paraId="2E13CD83" w14:textId="33D9BA94" w:rsidR="007E15BD" w:rsidRPr="00F77868" w:rsidRDefault="007E15BD" w:rsidP="007E15BD">
            <w:pPr>
              <w:jc w:val="right"/>
              <w:rPr>
                <w:rFonts w:ascii="Arial" w:hAnsi="Arial" w:cs="Arial"/>
                <w:sz w:val="20"/>
                <w:szCs w:val="20"/>
              </w:rPr>
            </w:pPr>
            <w:r w:rsidRPr="00F77868">
              <w:rPr>
                <w:rFonts w:ascii="Arial" w:hAnsi="Arial" w:cs="Arial"/>
                <w:sz w:val="20"/>
                <w:szCs w:val="20"/>
              </w:rPr>
              <w:t>$454,962</w:t>
            </w:r>
          </w:p>
        </w:tc>
        <w:tc>
          <w:tcPr>
            <w:tcW w:w="1329" w:type="dxa"/>
            <w:tcBorders>
              <w:top w:val="single" w:sz="2" w:space="0" w:color="auto"/>
              <w:left w:val="single" w:sz="2" w:space="0" w:color="auto"/>
              <w:bottom w:val="single" w:sz="2" w:space="0" w:color="auto"/>
              <w:right w:val="single" w:sz="2" w:space="0" w:color="auto"/>
            </w:tcBorders>
          </w:tcPr>
          <w:p w14:paraId="48BFDE06" w14:textId="42D793D6" w:rsidR="007E15BD" w:rsidRPr="00F77868" w:rsidRDefault="007E15BD" w:rsidP="007E15BD">
            <w:pPr>
              <w:jc w:val="right"/>
              <w:rPr>
                <w:rFonts w:ascii="Arial" w:hAnsi="Arial" w:cs="Arial"/>
                <w:sz w:val="20"/>
                <w:szCs w:val="20"/>
              </w:rPr>
            </w:pPr>
            <w:r w:rsidRPr="00F77868">
              <w:rPr>
                <w:rFonts w:ascii="Arial" w:hAnsi="Arial" w:cs="Arial"/>
                <w:sz w:val="20"/>
                <w:szCs w:val="20"/>
              </w:rPr>
              <w:t>$509,857</w:t>
            </w:r>
          </w:p>
        </w:tc>
        <w:tc>
          <w:tcPr>
            <w:tcW w:w="1432" w:type="dxa"/>
            <w:tcBorders>
              <w:top w:val="single" w:sz="2" w:space="0" w:color="auto"/>
              <w:left w:val="single" w:sz="2" w:space="0" w:color="auto"/>
              <w:bottom w:val="single" w:sz="2" w:space="0" w:color="auto"/>
              <w:right w:val="single" w:sz="2" w:space="0" w:color="auto"/>
            </w:tcBorders>
          </w:tcPr>
          <w:p w14:paraId="03B5784E" w14:textId="634F4AF0" w:rsidR="007E15BD" w:rsidRPr="00F77868" w:rsidRDefault="007E15BD" w:rsidP="007E15BD">
            <w:pPr>
              <w:jc w:val="right"/>
              <w:rPr>
                <w:rFonts w:ascii="Arial" w:hAnsi="Arial" w:cs="Arial"/>
                <w:sz w:val="20"/>
                <w:szCs w:val="20"/>
              </w:rPr>
            </w:pPr>
            <w:r w:rsidRPr="00F77868">
              <w:rPr>
                <w:rFonts w:ascii="Arial" w:hAnsi="Arial" w:cs="Arial"/>
                <w:sz w:val="20"/>
                <w:szCs w:val="20"/>
              </w:rPr>
              <w:t>$622,844</w:t>
            </w:r>
          </w:p>
        </w:tc>
        <w:tc>
          <w:tcPr>
            <w:tcW w:w="1432" w:type="dxa"/>
            <w:tcBorders>
              <w:top w:val="single" w:sz="2" w:space="0" w:color="auto"/>
              <w:left w:val="single" w:sz="2" w:space="0" w:color="auto"/>
              <w:bottom w:val="single" w:sz="2" w:space="0" w:color="auto"/>
              <w:right w:val="single" w:sz="2" w:space="0" w:color="auto"/>
            </w:tcBorders>
          </w:tcPr>
          <w:p w14:paraId="63D4FFEE" w14:textId="06A9AE7C" w:rsidR="007E15BD" w:rsidRPr="00F77868" w:rsidRDefault="007E15BD" w:rsidP="007E15BD">
            <w:pPr>
              <w:jc w:val="right"/>
              <w:rPr>
                <w:rFonts w:ascii="Arial" w:hAnsi="Arial" w:cs="Arial"/>
                <w:sz w:val="20"/>
                <w:szCs w:val="20"/>
              </w:rPr>
            </w:pPr>
          </w:p>
        </w:tc>
      </w:tr>
      <w:tr w:rsidR="007E15BD" w:rsidRPr="00AB5FD2" w14:paraId="7C66EDFB"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3E8E08BC" w14:textId="1D0ECA98" w:rsidR="007E15BD" w:rsidRDefault="007E15BD" w:rsidP="007E15BD">
            <w:pPr>
              <w:numPr>
                <w:ilvl w:val="0"/>
                <w:numId w:val="5"/>
              </w:numPr>
              <w:ind w:left="-18" w:firstLine="0"/>
              <w:rPr>
                <w:rFonts w:ascii="Arial" w:hAnsi="Arial" w:cs="Arial"/>
                <w:sz w:val="20"/>
                <w:szCs w:val="20"/>
              </w:rPr>
            </w:pPr>
            <w:r>
              <w:rPr>
                <w:rFonts w:ascii="Arial" w:hAnsi="Arial" w:cs="Arial"/>
                <w:sz w:val="20"/>
                <w:szCs w:val="20"/>
              </w:rPr>
              <w:t>Sexual Assault Exam Payments for Adults</w:t>
            </w:r>
          </w:p>
        </w:tc>
        <w:tc>
          <w:tcPr>
            <w:tcW w:w="1329" w:type="dxa"/>
            <w:tcBorders>
              <w:top w:val="single" w:sz="2" w:space="0" w:color="auto"/>
              <w:left w:val="single" w:sz="2" w:space="0" w:color="auto"/>
              <w:bottom w:val="single" w:sz="2" w:space="0" w:color="auto"/>
              <w:right w:val="single" w:sz="2" w:space="0" w:color="auto"/>
            </w:tcBorders>
          </w:tcPr>
          <w:p w14:paraId="69F1F973" w14:textId="73FABCFD" w:rsidR="007E15BD" w:rsidRPr="00F77868" w:rsidRDefault="007E15BD" w:rsidP="007E15BD">
            <w:pPr>
              <w:jc w:val="right"/>
              <w:rPr>
                <w:rFonts w:ascii="Arial" w:hAnsi="Arial" w:cs="Arial"/>
                <w:sz w:val="20"/>
                <w:szCs w:val="20"/>
              </w:rPr>
            </w:pPr>
            <w:r w:rsidRPr="00F77868">
              <w:rPr>
                <w:rFonts w:ascii="Arial" w:hAnsi="Arial" w:cs="Arial"/>
                <w:sz w:val="20"/>
                <w:szCs w:val="20"/>
              </w:rPr>
              <w:t>$163,583</w:t>
            </w:r>
          </w:p>
        </w:tc>
        <w:tc>
          <w:tcPr>
            <w:tcW w:w="1329" w:type="dxa"/>
            <w:tcBorders>
              <w:top w:val="single" w:sz="2" w:space="0" w:color="auto"/>
              <w:left w:val="single" w:sz="2" w:space="0" w:color="auto"/>
              <w:bottom w:val="single" w:sz="2" w:space="0" w:color="auto"/>
              <w:right w:val="single" w:sz="2" w:space="0" w:color="auto"/>
            </w:tcBorders>
          </w:tcPr>
          <w:p w14:paraId="02FB92DD" w14:textId="75313403" w:rsidR="007E15BD" w:rsidRPr="00F77868" w:rsidRDefault="007E15BD" w:rsidP="007E15BD">
            <w:pPr>
              <w:jc w:val="right"/>
              <w:rPr>
                <w:rFonts w:ascii="Arial" w:hAnsi="Arial" w:cs="Arial"/>
                <w:sz w:val="20"/>
                <w:szCs w:val="20"/>
              </w:rPr>
            </w:pPr>
            <w:r w:rsidRPr="00F77868">
              <w:rPr>
                <w:rFonts w:ascii="Arial" w:hAnsi="Arial" w:cs="Arial"/>
                <w:sz w:val="20"/>
                <w:szCs w:val="20"/>
              </w:rPr>
              <w:t>$209,536</w:t>
            </w:r>
          </w:p>
        </w:tc>
        <w:tc>
          <w:tcPr>
            <w:tcW w:w="1432" w:type="dxa"/>
            <w:tcBorders>
              <w:top w:val="single" w:sz="2" w:space="0" w:color="auto"/>
              <w:left w:val="single" w:sz="2" w:space="0" w:color="auto"/>
              <w:bottom w:val="single" w:sz="2" w:space="0" w:color="auto"/>
              <w:right w:val="single" w:sz="2" w:space="0" w:color="auto"/>
            </w:tcBorders>
          </w:tcPr>
          <w:p w14:paraId="083DD2D9" w14:textId="7BA54BE6" w:rsidR="007E15BD" w:rsidRPr="00F77868" w:rsidRDefault="007E15BD" w:rsidP="007E15BD">
            <w:pPr>
              <w:jc w:val="right"/>
              <w:rPr>
                <w:rFonts w:ascii="Arial" w:hAnsi="Arial" w:cs="Arial"/>
                <w:sz w:val="20"/>
                <w:szCs w:val="20"/>
              </w:rPr>
            </w:pPr>
            <w:r w:rsidRPr="00F77868">
              <w:rPr>
                <w:rFonts w:ascii="Arial" w:hAnsi="Arial" w:cs="Arial"/>
                <w:sz w:val="20"/>
                <w:szCs w:val="20"/>
              </w:rPr>
              <w:t>$235,196</w:t>
            </w:r>
          </w:p>
        </w:tc>
        <w:tc>
          <w:tcPr>
            <w:tcW w:w="1432" w:type="dxa"/>
            <w:tcBorders>
              <w:top w:val="single" w:sz="2" w:space="0" w:color="auto"/>
              <w:left w:val="single" w:sz="2" w:space="0" w:color="auto"/>
              <w:bottom w:val="single" w:sz="2" w:space="0" w:color="auto"/>
              <w:right w:val="single" w:sz="2" w:space="0" w:color="auto"/>
            </w:tcBorders>
          </w:tcPr>
          <w:p w14:paraId="46CE88E7" w14:textId="4AA6D223" w:rsidR="007E15BD" w:rsidRPr="00F77868" w:rsidRDefault="007E15BD" w:rsidP="007E15BD">
            <w:pPr>
              <w:jc w:val="right"/>
              <w:rPr>
                <w:rFonts w:ascii="Arial" w:hAnsi="Arial" w:cs="Arial"/>
                <w:sz w:val="20"/>
                <w:szCs w:val="20"/>
              </w:rPr>
            </w:pPr>
          </w:p>
        </w:tc>
      </w:tr>
      <w:tr w:rsidR="007E15BD" w:rsidRPr="00AB5FD2" w14:paraId="081EB10E"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2AE10236" w14:textId="4401395D" w:rsidR="007E15BD" w:rsidRDefault="007E15BD" w:rsidP="007E15BD">
            <w:pPr>
              <w:numPr>
                <w:ilvl w:val="0"/>
                <w:numId w:val="5"/>
              </w:numPr>
              <w:ind w:left="-18" w:firstLine="0"/>
              <w:rPr>
                <w:rFonts w:ascii="Arial" w:hAnsi="Arial" w:cs="Arial"/>
                <w:sz w:val="20"/>
                <w:szCs w:val="20"/>
              </w:rPr>
            </w:pPr>
            <w:r>
              <w:rPr>
                <w:rFonts w:ascii="Arial" w:hAnsi="Arial" w:cs="Arial"/>
                <w:sz w:val="20"/>
                <w:szCs w:val="20"/>
              </w:rPr>
              <w:t>Sexual Assault Exam Payments for Children</w:t>
            </w:r>
          </w:p>
        </w:tc>
        <w:tc>
          <w:tcPr>
            <w:tcW w:w="1329" w:type="dxa"/>
            <w:tcBorders>
              <w:top w:val="single" w:sz="2" w:space="0" w:color="auto"/>
              <w:left w:val="single" w:sz="2" w:space="0" w:color="auto"/>
              <w:bottom w:val="single" w:sz="2" w:space="0" w:color="auto"/>
              <w:right w:val="single" w:sz="2" w:space="0" w:color="auto"/>
            </w:tcBorders>
          </w:tcPr>
          <w:p w14:paraId="151EA072" w14:textId="0F5DBDA7" w:rsidR="007E15BD" w:rsidRPr="00F77868" w:rsidRDefault="007E15BD" w:rsidP="007E15BD">
            <w:pPr>
              <w:jc w:val="right"/>
              <w:rPr>
                <w:rFonts w:ascii="Arial" w:hAnsi="Arial" w:cs="Arial"/>
                <w:sz w:val="20"/>
                <w:szCs w:val="20"/>
              </w:rPr>
            </w:pPr>
            <w:r w:rsidRPr="00F77868">
              <w:rPr>
                <w:rFonts w:ascii="Arial" w:hAnsi="Arial" w:cs="Arial"/>
                <w:sz w:val="20"/>
                <w:szCs w:val="20"/>
              </w:rPr>
              <w:t>$291,379</w:t>
            </w:r>
          </w:p>
        </w:tc>
        <w:tc>
          <w:tcPr>
            <w:tcW w:w="1329" w:type="dxa"/>
            <w:tcBorders>
              <w:top w:val="single" w:sz="2" w:space="0" w:color="auto"/>
              <w:left w:val="single" w:sz="2" w:space="0" w:color="auto"/>
              <w:bottom w:val="single" w:sz="2" w:space="0" w:color="auto"/>
              <w:right w:val="single" w:sz="2" w:space="0" w:color="auto"/>
            </w:tcBorders>
          </w:tcPr>
          <w:p w14:paraId="52FDEC30" w14:textId="1A417654" w:rsidR="007E15BD" w:rsidRPr="00F77868" w:rsidRDefault="007E15BD" w:rsidP="007E15BD">
            <w:pPr>
              <w:jc w:val="right"/>
              <w:rPr>
                <w:rFonts w:ascii="Arial" w:hAnsi="Arial" w:cs="Arial"/>
                <w:sz w:val="20"/>
                <w:szCs w:val="20"/>
              </w:rPr>
            </w:pPr>
            <w:r w:rsidRPr="00F77868">
              <w:rPr>
                <w:rFonts w:ascii="Arial" w:hAnsi="Arial" w:cs="Arial"/>
                <w:sz w:val="20"/>
                <w:szCs w:val="20"/>
              </w:rPr>
              <w:t>$300,32</w:t>
            </w:r>
            <w:r>
              <w:rPr>
                <w:rFonts w:ascii="Arial" w:hAnsi="Arial" w:cs="Arial"/>
                <w:sz w:val="20"/>
                <w:szCs w:val="20"/>
              </w:rPr>
              <w:t>1</w:t>
            </w:r>
          </w:p>
        </w:tc>
        <w:tc>
          <w:tcPr>
            <w:tcW w:w="1432" w:type="dxa"/>
            <w:tcBorders>
              <w:top w:val="single" w:sz="2" w:space="0" w:color="auto"/>
              <w:left w:val="single" w:sz="2" w:space="0" w:color="auto"/>
              <w:bottom w:val="single" w:sz="2" w:space="0" w:color="auto"/>
              <w:right w:val="single" w:sz="2" w:space="0" w:color="auto"/>
            </w:tcBorders>
          </w:tcPr>
          <w:p w14:paraId="725ABECF" w14:textId="5C653301" w:rsidR="007E15BD" w:rsidRPr="00F77868" w:rsidRDefault="007E15BD" w:rsidP="007E15BD">
            <w:pPr>
              <w:jc w:val="right"/>
              <w:rPr>
                <w:rFonts w:ascii="Arial" w:hAnsi="Arial" w:cs="Arial"/>
                <w:sz w:val="20"/>
                <w:szCs w:val="20"/>
              </w:rPr>
            </w:pPr>
            <w:r w:rsidRPr="00F77868">
              <w:rPr>
                <w:rFonts w:ascii="Arial" w:hAnsi="Arial" w:cs="Arial"/>
                <w:sz w:val="20"/>
                <w:szCs w:val="20"/>
              </w:rPr>
              <w:t>$387,648</w:t>
            </w:r>
          </w:p>
        </w:tc>
        <w:tc>
          <w:tcPr>
            <w:tcW w:w="1432" w:type="dxa"/>
            <w:tcBorders>
              <w:top w:val="single" w:sz="2" w:space="0" w:color="auto"/>
              <w:left w:val="single" w:sz="2" w:space="0" w:color="auto"/>
              <w:bottom w:val="single" w:sz="2" w:space="0" w:color="auto"/>
              <w:right w:val="single" w:sz="2" w:space="0" w:color="auto"/>
            </w:tcBorders>
          </w:tcPr>
          <w:p w14:paraId="1E56EF15" w14:textId="75B8FFB7" w:rsidR="007E15BD" w:rsidRPr="00F77868" w:rsidRDefault="007E15BD" w:rsidP="007E15BD">
            <w:pPr>
              <w:jc w:val="right"/>
              <w:rPr>
                <w:rFonts w:ascii="Arial" w:hAnsi="Arial" w:cs="Arial"/>
                <w:sz w:val="20"/>
                <w:szCs w:val="20"/>
              </w:rPr>
            </w:pPr>
          </w:p>
        </w:tc>
      </w:tr>
      <w:tr w:rsidR="007E15BD" w:rsidRPr="00AB5FD2" w14:paraId="3396D26E" w14:textId="77777777" w:rsidTr="00FE2F93">
        <w:tc>
          <w:tcPr>
            <w:tcW w:w="4558" w:type="dxa"/>
            <w:gridSpan w:val="2"/>
            <w:tcBorders>
              <w:top w:val="single" w:sz="2" w:space="0" w:color="auto"/>
              <w:left w:val="single" w:sz="2" w:space="0" w:color="auto"/>
              <w:bottom w:val="single" w:sz="2" w:space="0" w:color="auto"/>
              <w:right w:val="single" w:sz="2" w:space="0" w:color="auto"/>
            </w:tcBorders>
          </w:tcPr>
          <w:p w14:paraId="78C22FA5" w14:textId="77777777" w:rsidR="007E15BD" w:rsidRPr="00CE0573" w:rsidRDefault="007E15BD" w:rsidP="007E15BD">
            <w:pPr>
              <w:numPr>
                <w:ilvl w:val="0"/>
                <w:numId w:val="5"/>
              </w:numPr>
              <w:ind w:left="-18" w:firstLine="0"/>
              <w:rPr>
                <w:rFonts w:ascii="Arial" w:hAnsi="Arial" w:cs="Arial"/>
                <w:sz w:val="20"/>
                <w:szCs w:val="20"/>
              </w:rPr>
            </w:pPr>
            <w:bookmarkStart w:id="7" w:name="_Hlk78445129"/>
            <w:r w:rsidRPr="00CE0573">
              <w:rPr>
                <w:rFonts w:ascii="Arial" w:hAnsi="Arial" w:cs="Arial"/>
                <w:sz w:val="20"/>
                <w:szCs w:val="20"/>
              </w:rPr>
              <w:t>Crime Victims Compensation Paid</w:t>
            </w:r>
          </w:p>
        </w:tc>
        <w:tc>
          <w:tcPr>
            <w:tcW w:w="1329" w:type="dxa"/>
            <w:tcBorders>
              <w:top w:val="single" w:sz="2" w:space="0" w:color="auto"/>
              <w:left w:val="single" w:sz="2" w:space="0" w:color="auto"/>
              <w:bottom w:val="single" w:sz="2" w:space="0" w:color="auto"/>
              <w:right w:val="single" w:sz="2" w:space="0" w:color="auto"/>
            </w:tcBorders>
          </w:tcPr>
          <w:p w14:paraId="4CAABA7C" w14:textId="316299F0" w:rsidR="007E15BD" w:rsidRPr="00F77868" w:rsidRDefault="007E15BD" w:rsidP="007E15BD">
            <w:pPr>
              <w:jc w:val="right"/>
              <w:rPr>
                <w:rFonts w:ascii="Arial" w:hAnsi="Arial" w:cs="Arial"/>
                <w:strike/>
                <w:sz w:val="20"/>
                <w:szCs w:val="20"/>
              </w:rPr>
            </w:pPr>
            <w:r w:rsidRPr="00F77868">
              <w:rPr>
                <w:rFonts w:ascii="Arial" w:hAnsi="Arial" w:cs="Arial"/>
                <w:sz w:val="20"/>
              </w:rPr>
              <w:t>$2,538,067</w:t>
            </w:r>
          </w:p>
        </w:tc>
        <w:tc>
          <w:tcPr>
            <w:tcW w:w="1329" w:type="dxa"/>
            <w:tcBorders>
              <w:top w:val="single" w:sz="2" w:space="0" w:color="auto"/>
              <w:left w:val="single" w:sz="2" w:space="0" w:color="auto"/>
              <w:bottom w:val="single" w:sz="2" w:space="0" w:color="auto"/>
              <w:right w:val="single" w:sz="2" w:space="0" w:color="auto"/>
            </w:tcBorders>
          </w:tcPr>
          <w:p w14:paraId="4CC11677" w14:textId="2EB8473B" w:rsidR="007E15BD" w:rsidRPr="00F77868" w:rsidRDefault="007E15BD" w:rsidP="007E15BD">
            <w:pPr>
              <w:jc w:val="right"/>
              <w:rPr>
                <w:rFonts w:ascii="Arial" w:hAnsi="Arial" w:cs="Arial"/>
                <w:strike/>
                <w:sz w:val="20"/>
                <w:szCs w:val="20"/>
              </w:rPr>
            </w:pPr>
            <w:r w:rsidRPr="00F77868">
              <w:rPr>
                <w:rFonts w:ascii="Arial" w:hAnsi="Arial" w:cs="Arial"/>
                <w:sz w:val="20"/>
                <w:szCs w:val="20"/>
              </w:rPr>
              <w:t>$2,843,902</w:t>
            </w:r>
          </w:p>
        </w:tc>
        <w:tc>
          <w:tcPr>
            <w:tcW w:w="1432" w:type="dxa"/>
            <w:tcBorders>
              <w:top w:val="single" w:sz="2" w:space="0" w:color="auto"/>
              <w:left w:val="single" w:sz="2" w:space="0" w:color="auto"/>
              <w:bottom w:val="single" w:sz="2" w:space="0" w:color="auto"/>
              <w:right w:val="single" w:sz="2" w:space="0" w:color="auto"/>
            </w:tcBorders>
          </w:tcPr>
          <w:p w14:paraId="2687B0E5" w14:textId="6E91815D" w:rsidR="007E15BD" w:rsidRPr="00F77868" w:rsidRDefault="007E15BD" w:rsidP="007E15BD">
            <w:pPr>
              <w:jc w:val="right"/>
              <w:rPr>
                <w:rFonts w:ascii="Arial" w:hAnsi="Arial" w:cs="Arial"/>
                <w:strike/>
                <w:sz w:val="20"/>
                <w:szCs w:val="20"/>
              </w:rPr>
            </w:pPr>
            <w:r w:rsidRPr="00F77868">
              <w:rPr>
                <w:rFonts w:ascii="Arial" w:hAnsi="Arial" w:cs="Arial"/>
                <w:sz w:val="20"/>
                <w:szCs w:val="20"/>
              </w:rPr>
              <w:t>$2,115,793</w:t>
            </w:r>
          </w:p>
        </w:tc>
        <w:tc>
          <w:tcPr>
            <w:tcW w:w="1432" w:type="dxa"/>
            <w:tcBorders>
              <w:top w:val="single" w:sz="2" w:space="0" w:color="auto"/>
              <w:left w:val="single" w:sz="2" w:space="0" w:color="auto"/>
              <w:bottom w:val="single" w:sz="2" w:space="0" w:color="auto"/>
              <w:right w:val="single" w:sz="2" w:space="0" w:color="auto"/>
            </w:tcBorders>
          </w:tcPr>
          <w:p w14:paraId="3E99F69E" w14:textId="40F53BD0" w:rsidR="007E15BD" w:rsidRPr="00F77868" w:rsidRDefault="007E15BD" w:rsidP="007E15BD">
            <w:pPr>
              <w:jc w:val="right"/>
              <w:rPr>
                <w:rFonts w:ascii="Arial" w:hAnsi="Arial" w:cs="Arial"/>
                <w:strike/>
                <w:sz w:val="20"/>
                <w:szCs w:val="20"/>
              </w:rPr>
            </w:pPr>
          </w:p>
        </w:tc>
      </w:tr>
    </w:tbl>
    <w:bookmarkEnd w:id="6"/>
    <w:bookmarkEnd w:id="7"/>
    <w:p w14:paraId="71332294" w14:textId="19FFEBA0" w:rsidR="00692FF6" w:rsidRPr="001365EA" w:rsidRDefault="001365EA" w:rsidP="001365EA">
      <w:pPr>
        <w:jc w:val="right"/>
        <w:rPr>
          <w:rFonts w:ascii="Arial" w:hAnsi="Arial" w:cs="Arial"/>
          <w:bCs/>
          <w:sz w:val="16"/>
          <w:szCs w:val="16"/>
        </w:rPr>
      </w:pPr>
      <w:r w:rsidRPr="001365EA">
        <w:rPr>
          <w:rFonts w:ascii="Arial" w:hAnsi="Arial" w:cs="Arial"/>
          <w:bCs/>
          <w:sz w:val="16"/>
          <w:szCs w:val="16"/>
        </w:rPr>
        <w:t>*Includes 465 applications from the Rigby</w:t>
      </w:r>
      <w:r w:rsidR="00793BB4">
        <w:rPr>
          <w:rFonts w:ascii="Arial" w:hAnsi="Arial" w:cs="Arial"/>
          <w:bCs/>
          <w:sz w:val="16"/>
          <w:szCs w:val="16"/>
        </w:rPr>
        <w:t xml:space="preserve"> Middle School </w:t>
      </w:r>
      <w:r w:rsidR="00A76420">
        <w:rPr>
          <w:rFonts w:ascii="Arial" w:hAnsi="Arial" w:cs="Arial"/>
          <w:bCs/>
          <w:sz w:val="16"/>
          <w:szCs w:val="16"/>
        </w:rPr>
        <w:t>i</w:t>
      </w:r>
      <w:r w:rsidR="00793BB4">
        <w:rPr>
          <w:rFonts w:ascii="Arial" w:hAnsi="Arial" w:cs="Arial"/>
          <w:bCs/>
          <w:sz w:val="16"/>
          <w:szCs w:val="16"/>
        </w:rPr>
        <w:t>ncident</w:t>
      </w:r>
    </w:p>
    <w:p w14:paraId="2CC45A0A" w14:textId="77777777" w:rsidR="00A320A9" w:rsidRPr="00351DB5" w:rsidRDefault="00A320A9" w:rsidP="00DB4C67">
      <w:pPr>
        <w:pStyle w:val="Default"/>
        <w:rPr>
          <w:rFonts w:ascii="Arial" w:hAnsi="Arial" w:cs="Arial"/>
          <w:b/>
          <w:bCs/>
          <w:sz w:val="20"/>
          <w:szCs w:val="20"/>
        </w:rPr>
      </w:pPr>
    </w:p>
    <w:p w14:paraId="052DF412" w14:textId="04EB7D74" w:rsidR="0052230A" w:rsidRDefault="00700826" w:rsidP="00DB4C67">
      <w:pPr>
        <w:pStyle w:val="Default"/>
        <w:rPr>
          <w:rFonts w:ascii="Arial" w:hAnsi="Arial" w:cs="Arial"/>
          <w:b/>
          <w:bCs/>
        </w:rPr>
      </w:pPr>
      <w:r>
        <w:rPr>
          <w:rFonts w:ascii="Arial" w:hAnsi="Arial" w:cs="Arial"/>
          <w:b/>
          <w:bCs/>
        </w:rPr>
        <w:t>FY 2021</w:t>
      </w:r>
      <w:r w:rsidR="0052230A">
        <w:rPr>
          <w:rFonts w:ascii="Arial" w:hAnsi="Arial" w:cs="Arial"/>
          <w:b/>
          <w:bCs/>
        </w:rPr>
        <w:t xml:space="preserve"> Performance Highlights</w:t>
      </w:r>
    </w:p>
    <w:p w14:paraId="789F8730" w14:textId="4A73C493" w:rsidR="007713B0" w:rsidRDefault="007713B0">
      <w:pPr>
        <w:rPr>
          <w:rFonts w:ascii="Arial" w:hAnsi="Arial" w:cs="Arial"/>
          <w:b/>
          <w:bCs/>
          <w:color w:val="000000"/>
          <w:sz w:val="20"/>
          <w:szCs w:val="20"/>
        </w:rPr>
      </w:pPr>
    </w:p>
    <w:p w14:paraId="1B122C28" w14:textId="77777777" w:rsidR="00CE0573" w:rsidRPr="00CE0573" w:rsidRDefault="00CE0573" w:rsidP="00CE0573">
      <w:pPr>
        <w:autoSpaceDE w:val="0"/>
        <w:autoSpaceDN w:val="0"/>
        <w:adjustRightInd w:val="0"/>
        <w:rPr>
          <w:rFonts w:ascii="Arial" w:hAnsi="Arial" w:cs="Arial"/>
          <w:color w:val="000000"/>
          <w:sz w:val="20"/>
          <w:szCs w:val="20"/>
        </w:rPr>
      </w:pPr>
      <w:r w:rsidRPr="00CE0573">
        <w:rPr>
          <w:rFonts w:ascii="Arial" w:hAnsi="Arial" w:cs="Arial"/>
          <w:b/>
          <w:bCs/>
          <w:color w:val="000000"/>
          <w:sz w:val="20"/>
          <w:szCs w:val="20"/>
        </w:rPr>
        <w:t xml:space="preserve">Adjudication </w:t>
      </w:r>
    </w:p>
    <w:p w14:paraId="2334CDC7" w14:textId="5216C564" w:rsidR="00CE0573" w:rsidRPr="00401726" w:rsidRDefault="00401726" w:rsidP="00401726">
      <w:pPr>
        <w:pStyle w:val="ListParagraph"/>
        <w:numPr>
          <w:ilvl w:val="0"/>
          <w:numId w:val="43"/>
        </w:numPr>
        <w:autoSpaceDE w:val="0"/>
        <w:autoSpaceDN w:val="0"/>
        <w:adjustRightInd w:val="0"/>
        <w:jc w:val="both"/>
        <w:rPr>
          <w:rFonts w:ascii="Arial" w:hAnsi="Arial" w:cs="Arial"/>
          <w:color w:val="000000"/>
          <w:sz w:val="20"/>
          <w:szCs w:val="20"/>
        </w:rPr>
      </w:pPr>
      <w:r w:rsidRPr="00401726">
        <w:rPr>
          <w:rFonts w:ascii="Arial" w:hAnsi="Arial" w:cs="Arial"/>
          <w:color w:val="000000"/>
          <w:sz w:val="20"/>
          <w:szCs w:val="20"/>
        </w:rPr>
        <w:t xml:space="preserve">In FY </w:t>
      </w:r>
      <w:r w:rsidR="006A55D1">
        <w:rPr>
          <w:rFonts w:ascii="Arial" w:hAnsi="Arial" w:cs="Arial"/>
          <w:color w:val="000000"/>
          <w:sz w:val="20"/>
          <w:szCs w:val="20"/>
        </w:rPr>
        <w:t>20</w:t>
      </w:r>
      <w:r w:rsidRPr="00401726">
        <w:rPr>
          <w:rFonts w:ascii="Arial" w:hAnsi="Arial" w:cs="Arial"/>
          <w:color w:val="000000"/>
          <w:sz w:val="20"/>
          <w:szCs w:val="20"/>
        </w:rPr>
        <w:t>21, the number of unemployment insurance appeals almost doubled, increasing from 231 filed in FY 20 to 477 fi</w:t>
      </w:r>
      <w:r w:rsidR="001365EA">
        <w:rPr>
          <w:rFonts w:ascii="Arial" w:hAnsi="Arial" w:cs="Arial"/>
          <w:color w:val="000000"/>
          <w:sz w:val="20"/>
          <w:szCs w:val="20"/>
        </w:rPr>
        <w:t>le</w:t>
      </w:r>
      <w:r w:rsidRPr="00401726">
        <w:rPr>
          <w:rFonts w:ascii="Arial" w:hAnsi="Arial" w:cs="Arial"/>
          <w:color w:val="000000"/>
          <w:sz w:val="20"/>
          <w:szCs w:val="20"/>
        </w:rPr>
        <w:t xml:space="preserve">d in FY </w:t>
      </w:r>
      <w:r w:rsidR="006A55D1">
        <w:rPr>
          <w:rFonts w:ascii="Arial" w:hAnsi="Arial" w:cs="Arial"/>
          <w:color w:val="000000"/>
          <w:sz w:val="20"/>
          <w:szCs w:val="20"/>
        </w:rPr>
        <w:t>20</w:t>
      </w:r>
      <w:r w:rsidRPr="00401726">
        <w:rPr>
          <w:rFonts w:ascii="Arial" w:hAnsi="Arial" w:cs="Arial"/>
          <w:color w:val="000000"/>
          <w:sz w:val="20"/>
          <w:szCs w:val="20"/>
        </w:rPr>
        <w:t>21. Despite the increase in appeals, the average age of pending unemployment insurance appeals decreased from 19 day</w:t>
      </w:r>
      <w:r w:rsidR="001365EA">
        <w:rPr>
          <w:rFonts w:ascii="Arial" w:hAnsi="Arial" w:cs="Arial"/>
          <w:color w:val="000000"/>
          <w:sz w:val="20"/>
          <w:szCs w:val="20"/>
        </w:rPr>
        <w:t>s</w:t>
      </w:r>
      <w:r w:rsidRPr="00401726">
        <w:rPr>
          <w:rFonts w:ascii="Arial" w:hAnsi="Arial" w:cs="Arial"/>
          <w:color w:val="000000"/>
          <w:sz w:val="20"/>
          <w:szCs w:val="20"/>
        </w:rPr>
        <w:t xml:space="preserve"> to 16 days, well below the 40-day federal standard. </w:t>
      </w:r>
    </w:p>
    <w:p w14:paraId="46816EA0" w14:textId="3CA1E0B9" w:rsidR="00401726" w:rsidRPr="00401726" w:rsidRDefault="00401726" w:rsidP="00401726">
      <w:pPr>
        <w:pStyle w:val="ListParagraph"/>
        <w:numPr>
          <w:ilvl w:val="0"/>
          <w:numId w:val="43"/>
        </w:numPr>
        <w:autoSpaceDE w:val="0"/>
        <w:autoSpaceDN w:val="0"/>
        <w:adjustRightInd w:val="0"/>
        <w:jc w:val="both"/>
        <w:rPr>
          <w:rFonts w:ascii="Arial" w:hAnsi="Arial" w:cs="Arial"/>
          <w:color w:val="000000"/>
          <w:sz w:val="20"/>
          <w:szCs w:val="20"/>
        </w:rPr>
      </w:pPr>
      <w:r>
        <w:rPr>
          <w:rFonts w:ascii="Arial" w:hAnsi="Arial" w:cs="Arial"/>
          <w:color w:val="000000"/>
          <w:sz w:val="20"/>
          <w:szCs w:val="20"/>
        </w:rPr>
        <w:t>Despite COVID-19 restrictions, Commission Referees were able to continue operations remotely and resolve workers</w:t>
      </w:r>
      <w:r w:rsidR="001365EA">
        <w:rPr>
          <w:rFonts w:ascii="Arial" w:hAnsi="Arial" w:cs="Arial"/>
          <w:color w:val="000000"/>
          <w:sz w:val="20"/>
          <w:szCs w:val="20"/>
        </w:rPr>
        <w:t>'</w:t>
      </w:r>
      <w:r>
        <w:rPr>
          <w:rFonts w:ascii="Arial" w:hAnsi="Arial" w:cs="Arial"/>
          <w:color w:val="000000"/>
          <w:sz w:val="20"/>
          <w:szCs w:val="20"/>
        </w:rPr>
        <w:t xml:space="preserve"> compensation disputes without interruption. The Commission held 39 hearings during FY </w:t>
      </w:r>
      <w:r w:rsidR="006A55D1">
        <w:rPr>
          <w:rFonts w:ascii="Arial" w:hAnsi="Arial" w:cs="Arial"/>
          <w:color w:val="000000"/>
          <w:sz w:val="20"/>
          <w:szCs w:val="20"/>
        </w:rPr>
        <w:t>20</w:t>
      </w:r>
      <w:r>
        <w:rPr>
          <w:rFonts w:ascii="Arial" w:hAnsi="Arial" w:cs="Arial"/>
          <w:color w:val="000000"/>
          <w:sz w:val="20"/>
          <w:szCs w:val="20"/>
        </w:rPr>
        <w:t xml:space="preserve">21, almost all held virtually, as opposed to 25 hearings being held in FY </w:t>
      </w:r>
      <w:r w:rsidR="006A55D1">
        <w:rPr>
          <w:rFonts w:ascii="Arial" w:hAnsi="Arial" w:cs="Arial"/>
          <w:color w:val="000000"/>
          <w:sz w:val="20"/>
          <w:szCs w:val="20"/>
        </w:rPr>
        <w:t>20</w:t>
      </w:r>
      <w:r>
        <w:rPr>
          <w:rFonts w:ascii="Arial" w:hAnsi="Arial" w:cs="Arial"/>
          <w:color w:val="000000"/>
          <w:sz w:val="20"/>
          <w:szCs w:val="20"/>
        </w:rPr>
        <w:t xml:space="preserve">20. </w:t>
      </w:r>
    </w:p>
    <w:p w14:paraId="4A1DE069" w14:textId="77777777" w:rsidR="00AF3D09" w:rsidRDefault="00AF3D09" w:rsidP="008D0467">
      <w:pPr>
        <w:tabs>
          <w:tab w:val="left" w:pos="360"/>
        </w:tabs>
        <w:rPr>
          <w:rFonts w:ascii="Arial" w:hAnsi="Arial" w:cs="Arial"/>
          <w:b/>
          <w:sz w:val="20"/>
          <w:szCs w:val="20"/>
        </w:rPr>
      </w:pPr>
    </w:p>
    <w:p w14:paraId="60C60815" w14:textId="1B9ACA45" w:rsidR="008D0467" w:rsidRPr="00F00501" w:rsidRDefault="008D0467" w:rsidP="008D0467">
      <w:pPr>
        <w:tabs>
          <w:tab w:val="left" w:pos="360"/>
        </w:tabs>
        <w:rPr>
          <w:rFonts w:ascii="Arial" w:hAnsi="Arial" w:cs="Arial"/>
          <w:b/>
          <w:sz w:val="20"/>
          <w:szCs w:val="20"/>
        </w:rPr>
      </w:pPr>
      <w:bookmarkStart w:id="8" w:name="_Hlk78444380"/>
      <w:r w:rsidRPr="00F00501">
        <w:rPr>
          <w:rFonts w:ascii="Arial" w:hAnsi="Arial" w:cs="Arial"/>
          <w:b/>
          <w:sz w:val="20"/>
          <w:szCs w:val="20"/>
        </w:rPr>
        <w:t xml:space="preserve">Compensation – </w:t>
      </w:r>
      <w:r>
        <w:rPr>
          <w:rFonts w:ascii="Arial" w:hAnsi="Arial" w:cs="Arial"/>
          <w:b/>
          <w:sz w:val="20"/>
          <w:szCs w:val="20"/>
        </w:rPr>
        <w:t>Benefits</w:t>
      </w:r>
      <w:r w:rsidR="00A76420">
        <w:rPr>
          <w:rFonts w:ascii="Arial" w:hAnsi="Arial" w:cs="Arial"/>
          <w:b/>
          <w:sz w:val="20"/>
          <w:szCs w:val="20"/>
        </w:rPr>
        <w:t xml:space="preserve"> Administration</w:t>
      </w:r>
    </w:p>
    <w:bookmarkEnd w:id="8"/>
    <w:p w14:paraId="2A1BF5AF" w14:textId="38A68E3A" w:rsidR="001365EA" w:rsidRPr="001365EA" w:rsidRDefault="001365EA" w:rsidP="001365EA">
      <w:pPr>
        <w:pStyle w:val="ListParagraph"/>
        <w:numPr>
          <w:ilvl w:val="0"/>
          <w:numId w:val="45"/>
        </w:numPr>
        <w:tabs>
          <w:tab w:val="left" w:pos="360"/>
        </w:tabs>
        <w:rPr>
          <w:rFonts w:ascii="Arial" w:hAnsi="Arial" w:cs="Arial"/>
          <w:sz w:val="20"/>
          <w:szCs w:val="20"/>
        </w:rPr>
      </w:pPr>
      <w:r w:rsidRPr="001365EA">
        <w:rPr>
          <w:rFonts w:ascii="Arial" w:hAnsi="Arial" w:cs="Arial"/>
          <w:sz w:val="20"/>
          <w:szCs w:val="20"/>
        </w:rPr>
        <w:t xml:space="preserve">The Benefits </w:t>
      </w:r>
      <w:r w:rsidR="008B1FE9">
        <w:rPr>
          <w:rFonts w:ascii="Arial" w:hAnsi="Arial" w:cs="Arial"/>
          <w:sz w:val="20"/>
          <w:szCs w:val="20"/>
        </w:rPr>
        <w:t>Administration</w:t>
      </w:r>
      <w:r w:rsidRPr="001365EA">
        <w:rPr>
          <w:rFonts w:ascii="Arial" w:hAnsi="Arial" w:cs="Arial"/>
          <w:sz w:val="20"/>
          <w:szCs w:val="20"/>
        </w:rPr>
        <w:t xml:space="preserve"> </w:t>
      </w:r>
      <w:r w:rsidR="00FE2F93">
        <w:rPr>
          <w:rFonts w:ascii="Arial" w:hAnsi="Arial" w:cs="Arial"/>
          <w:sz w:val="20"/>
          <w:szCs w:val="20"/>
        </w:rPr>
        <w:t xml:space="preserve">department </w:t>
      </w:r>
      <w:r w:rsidRPr="001365EA">
        <w:rPr>
          <w:rFonts w:ascii="Arial" w:hAnsi="Arial" w:cs="Arial"/>
          <w:sz w:val="20"/>
          <w:szCs w:val="20"/>
        </w:rPr>
        <w:t>successfully developed a virtual offering of both the Foundation and Advanced versions of the Certified Idaho Workers</w:t>
      </w:r>
      <w:r>
        <w:rPr>
          <w:rFonts w:ascii="Arial" w:hAnsi="Arial" w:cs="Arial"/>
          <w:sz w:val="20"/>
          <w:szCs w:val="20"/>
        </w:rPr>
        <w:t>'</w:t>
      </w:r>
      <w:r w:rsidRPr="001365EA">
        <w:rPr>
          <w:rFonts w:ascii="Arial" w:hAnsi="Arial" w:cs="Arial"/>
          <w:sz w:val="20"/>
          <w:szCs w:val="20"/>
        </w:rPr>
        <w:t xml:space="preserve"> Compensation Specialist (CIWCS) educational program.</w:t>
      </w:r>
      <w:r w:rsidR="006A55D1">
        <w:rPr>
          <w:rFonts w:ascii="Arial" w:hAnsi="Arial" w:cs="Arial"/>
          <w:sz w:val="20"/>
          <w:szCs w:val="20"/>
        </w:rPr>
        <w:t xml:space="preserve"> </w:t>
      </w:r>
      <w:r w:rsidR="00A76420">
        <w:rPr>
          <w:rFonts w:ascii="Arial" w:hAnsi="Arial" w:cs="Arial"/>
          <w:sz w:val="20"/>
          <w:szCs w:val="20"/>
        </w:rPr>
        <w:t xml:space="preserve">There were two </w:t>
      </w:r>
      <w:r w:rsidRPr="001365EA">
        <w:rPr>
          <w:rFonts w:ascii="Arial" w:hAnsi="Arial" w:cs="Arial"/>
          <w:sz w:val="20"/>
          <w:szCs w:val="20"/>
        </w:rPr>
        <w:t xml:space="preserve">virtual Foundation </w:t>
      </w:r>
      <w:proofErr w:type="gramStart"/>
      <w:r w:rsidRPr="001365EA">
        <w:rPr>
          <w:rFonts w:ascii="Arial" w:hAnsi="Arial" w:cs="Arial"/>
          <w:sz w:val="20"/>
          <w:szCs w:val="20"/>
        </w:rPr>
        <w:t>courses</w:t>
      </w:r>
      <w:proofErr w:type="gramEnd"/>
      <w:r w:rsidRPr="001365EA">
        <w:rPr>
          <w:rFonts w:ascii="Arial" w:hAnsi="Arial" w:cs="Arial"/>
          <w:sz w:val="20"/>
          <w:szCs w:val="20"/>
        </w:rPr>
        <w:t xml:space="preserve"> and one virtual </w:t>
      </w:r>
      <w:r w:rsidR="00A76420">
        <w:rPr>
          <w:rFonts w:ascii="Arial" w:hAnsi="Arial" w:cs="Arial"/>
          <w:sz w:val="20"/>
          <w:szCs w:val="20"/>
        </w:rPr>
        <w:t>a</w:t>
      </w:r>
      <w:r w:rsidRPr="001365EA">
        <w:rPr>
          <w:rFonts w:ascii="Arial" w:hAnsi="Arial" w:cs="Arial"/>
          <w:sz w:val="20"/>
          <w:szCs w:val="20"/>
        </w:rPr>
        <w:t>dvanced course were held; 28 new certifications and four re-certifications were issued.</w:t>
      </w:r>
    </w:p>
    <w:p w14:paraId="0DACFBB1" w14:textId="67AA6A0C" w:rsidR="001365EA" w:rsidRPr="001365EA" w:rsidRDefault="001365EA" w:rsidP="001365EA">
      <w:pPr>
        <w:pStyle w:val="ListParagraph"/>
        <w:numPr>
          <w:ilvl w:val="0"/>
          <w:numId w:val="45"/>
        </w:numPr>
        <w:tabs>
          <w:tab w:val="left" w:pos="360"/>
        </w:tabs>
        <w:rPr>
          <w:rFonts w:ascii="Arial" w:hAnsi="Arial" w:cs="Arial"/>
          <w:sz w:val="20"/>
          <w:szCs w:val="20"/>
        </w:rPr>
      </w:pPr>
      <w:bookmarkStart w:id="9" w:name="_Hlk79069305"/>
      <w:r w:rsidRPr="001365EA">
        <w:rPr>
          <w:rFonts w:ascii="Arial" w:hAnsi="Arial" w:cs="Arial"/>
          <w:sz w:val="20"/>
          <w:szCs w:val="20"/>
        </w:rPr>
        <w:t xml:space="preserve">The Benefits </w:t>
      </w:r>
      <w:r w:rsidR="008B1FE9">
        <w:rPr>
          <w:rFonts w:ascii="Arial" w:hAnsi="Arial" w:cs="Arial"/>
          <w:sz w:val="20"/>
          <w:szCs w:val="20"/>
        </w:rPr>
        <w:t>Administration</w:t>
      </w:r>
      <w:r w:rsidR="00FE2F93">
        <w:rPr>
          <w:rFonts w:ascii="Arial" w:hAnsi="Arial" w:cs="Arial"/>
          <w:sz w:val="20"/>
          <w:szCs w:val="20"/>
        </w:rPr>
        <w:t xml:space="preserve"> department</w:t>
      </w:r>
      <w:r w:rsidR="008B1FE9" w:rsidRPr="001365EA">
        <w:rPr>
          <w:rFonts w:ascii="Arial" w:hAnsi="Arial" w:cs="Arial"/>
          <w:sz w:val="20"/>
          <w:szCs w:val="20"/>
        </w:rPr>
        <w:t xml:space="preserve"> </w:t>
      </w:r>
      <w:r w:rsidRPr="001365EA">
        <w:rPr>
          <w:rFonts w:ascii="Arial" w:hAnsi="Arial" w:cs="Arial"/>
          <w:sz w:val="20"/>
          <w:szCs w:val="20"/>
        </w:rPr>
        <w:t>hosted a virtual EDI Claims R</w:t>
      </w:r>
      <w:r w:rsidR="008B1FE9">
        <w:rPr>
          <w:rFonts w:ascii="Arial" w:hAnsi="Arial" w:cs="Arial"/>
          <w:sz w:val="20"/>
          <w:szCs w:val="20"/>
        </w:rPr>
        <w:t xml:space="preserve">elease </w:t>
      </w:r>
      <w:r w:rsidRPr="001365EA">
        <w:rPr>
          <w:rFonts w:ascii="Arial" w:hAnsi="Arial" w:cs="Arial"/>
          <w:sz w:val="20"/>
          <w:szCs w:val="20"/>
        </w:rPr>
        <w:t xml:space="preserve">3.0 educational workshop </w:t>
      </w:r>
      <w:r w:rsidR="006A55D1">
        <w:rPr>
          <w:rFonts w:ascii="Arial" w:hAnsi="Arial" w:cs="Arial"/>
          <w:sz w:val="20"/>
          <w:szCs w:val="20"/>
        </w:rPr>
        <w:t xml:space="preserve">on February 24, </w:t>
      </w:r>
      <w:proofErr w:type="gramStart"/>
      <w:r w:rsidR="006A55D1">
        <w:rPr>
          <w:rFonts w:ascii="Arial" w:hAnsi="Arial" w:cs="Arial"/>
          <w:sz w:val="20"/>
          <w:szCs w:val="20"/>
        </w:rPr>
        <w:t>2021</w:t>
      </w:r>
      <w:proofErr w:type="gramEnd"/>
      <w:r w:rsidR="006A55D1">
        <w:rPr>
          <w:rFonts w:ascii="Arial" w:hAnsi="Arial" w:cs="Arial"/>
          <w:sz w:val="20"/>
          <w:szCs w:val="20"/>
        </w:rPr>
        <w:t xml:space="preserve"> </w:t>
      </w:r>
      <w:r w:rsidRPr="001365EA">
        <w:rPr>
          <w:rFonts w:ascii="Arial" w:hAnsi="Arial" w:cs="Arial"/>
          <w:sz w:val="20"/>
          <w:szCs w:val="20"/>
        </w:rPr>
        <w:t>for trading partners.</w:t>
      </w:r>
      <w:bookmarkEnd w:id="9"/>
    </w:p>
    <w:p w14:paraId="404062DC" w14:textId="0A24795F" w:rsidR="001365EA" w:rsidRPr="001365EA" w:rsidRDefault="001365EA" w:rsidP="001365EA">
      <w:pPr>
        <w:pStyle w:val="ListParagraph"/>
        <w:numPr>
          <w:ilvl w:val="0"/>
          <w:numId w:val="45"/>
        </w:numPr>
        <w:tabs>
          <w:tab w:val="left" w:pos="360"/>
        </w:tabs>
        <w:rPr>
          <w:rFonts w:ascii="Arial" w:hAnsi="Arial" w:cs="Arial"/>
          <w:sz w:val="20"/>
          <w:szCs w:val="20"/>
        </w:rPr>
      </w:pPr>
      <w:r w:rsidRPr="001365EA">
        <w:rPr>
          <w:rFonts w:ascii="Arial" w:hAnsi="Arial" w:cs="Arial"/>
          <w:sz w:val="20"/>
          <w:szCs w:val="20"/>
        </w:rPr>
        <w:lastRenderedPageBreak/>
        <w:t xml:space="preserve">The Benefits </w:t>
      </w:r>
      <w:r w:rsidR="008B1FE9">
        <w:rPr>
          <w:rFonts w:ascii="Arial" w:hAnsi="Arial" w:cs="Arial"/>
          <w:sz w:val="20"/>
          <w:szCs w:val="20"/>
        </w:rPr>
        <w:t>Administration</w:t>
      </w:r>
      <w:r w:rsidR="008B1FE9" w:rsidRPr="001365EA">
        <w:rPr>
          <w:rFonts w:ascii="Arial" w:hAnsi="Arial" w:cs="Arial"/>
          <w:sz w:val="20"/>
          <w:szCs w:val="20"/>
        </w:rPr>
        <w:t xml:space="preserve"> </w:t>
      </w:r>
      <w:r w:rsidR="00FE2F93">
        <w:rPr>
          <w:rFonts w:ascii="Arial" w:hAnsi="Arial" w:cs="Arial"/>
          <w:sz w:val="20"/>
          <w:szCs w:val="20"/>
        </w:rPr>
        <w:t xml:space="preserve">department </w:t>
      </w:r>
      <w:r w:rsidRPr="001365EA">
        <w:rPr>
          <w:rFonts w:ascii="Arial" w:hAnsi="Arial" w:cs="Arial"/>
          <w:sz w:val="20"/>
          <w:szCs w:val="20"/>
        </w:rPr>
        <w:t>processed 868 Lump Sum Settlements with an average processing time of five days.</w:t>
      </w:r>
    </w:p>
    <w:p w14:paraId="42C1E815" w14:textId="77777777" w:rsidR="008D0467" w:rsidRPr="007713B0" w:rsidRDefault="008D0467" w:rsidP="00AE5A4A">
      <w:pPr>
        <w:tabs>
          <w:tab w:val="left" w:pos="360"/>
        </w:tabs>
        <w:rPr>
          <w:rFonts w:ascii="Arial" w:hAnsi="Arial" w:cs="Arial"/>
          <w:b/>
          <w:sz w:val="20"/>
          <w:szCs w:val="20"/>
        </w:rPr>
      </w:pPr>
    </w:p>
    <w:p w14:paraId="23F138B6" w14:textId="77777777" w:rsidR="00F00501" w:rsidRPr="00F00501" w:rsidRDefault="00F00501" w:rsidP="00AE5A4A">
      <w:pPr>
        <w:tabs>
          <w:tab w:val="left" w:pos="360"/>
        </w:tabs>
        <w:rPr>
          <w:rFonts w:ascii="Arial" w:hAnsi="Arial" w:cs="Arial"/>
          <w:b/>
          <w:sz w:val="20"/>
          <w:szCs w:val="20"/>
        </w:rPr>
      </w:pPr>
      <w:r w:rsidRPr="00F00501">
        <w:rPr>
          <w:rFonts w:ascii="Arial" w:hAnsi="Arial" w:cs="Arial"/>
          <w:b/>
          <w:sz w:val="20"/>
          <w:szCs w:val="20"/>
        </w:rPr>
        <w:t>Compensation – Employer Compliance</w:t>
      </w:r>
    </w:p>
    <w:p w14:paraId="781951BD" w14:textId="23A5FF39" w:rsidR="00F00501" w:rsidRPr="00F00501" w:rsidRDefault="00F00501" w:rsidP="007713B0">
      <w:pPr>
        <w:pStyle w:val="ListParagraph"/>
        <w:numPr>
          <w:ilvl w:val="0"/>
          <w:numId w:val="38"/>
        </w:numPr>
        <w:contextualSpacing w:val="0"/>
        <w:jc w:val="both"/>
        <w:rPr>
          <w:rFonts w:ascii="Arial" w:hAnsi="Arial" w:cs="Arial"/>
          <w:sz w:val="20"/>
          <w:szCs w:val="20"/>
        </w:rPr>
      </w:pPr>
      <w:r w:rsidRPr="00F00501">
        <w:rPr>
          <w:rFonts w:ascii="Arial" w:hAnsi="Arial" w:cs="Arial"/>
          <w:sz w:val="20"/>
          <w:szCs w:val="20"/>
        </w:rPr>
        <w:t xml:space="preserve">The Commission updated reciprocal procedures with surrounding states to now include an </w:t>
      </w:r>
      <w:r w:rsidR="001365EA">
        <w:rPr>
          <w:rFonts w:ascii="Arial" w:hAnsi="Arial" w:cs="Arial"/>
          <w:sz w:val="20"/>
          <w:szCs w:val="20"/>
        </w:rPr>
        <w:t>"</w:t>
      </w:r>
      <w:r w:rsidRPr="00F00501">
        <w:rPr>
          <w:rFonts w:ascii="Arial" w:hAnsi="Arial" w:cs="Arial"/>
          <w:sz w:val="20"/>
          <w:szCs w:val="20"/>
        </w:rPr>
        <w:t>Intermittent</w:t>
      </w:r>
      <w:r w:rsidR="001365EA">
        <w:rPr>
          <w:rFonts w:ascii="Arial" w:hAnsi="Arial" w:cs="Arial"/>
          <w:sz w:val="20"/>
          <w:szCs w:val="20"/>
        </w:rPr>
        <w:t>"</w:t>
      </w:r>
      <w:r w:rsidRPr="00F00501">
        <w:rPr>
          <w:rFonts w:ascii="Arial" w:hAnsi="Arial" w:cs="Arial"/>
          <w:sz w:val="20"/>
          <w:szCs w:val="20"/>
        </w:rPr>
        <w:t xml:space="preserve"> Extraterritorial Certificate category.  </w:t>
      </w:r>
      <w:r w:rsidR="00B64743">
        <w:rPr>
          <w:rFonts w:ascii="Arial" w:hAnsi="Arial" w:cs="Arial"/>
          <w:sz w:val="20"/>
          <w:szCs w:val="20"/>
        </w:rPr>
        <w:t>The category</w:t>
      </w:r>
      <w:r w:rsidRPr="00F00501">
        <w:rPr>
          <w:rFonts w:ascii="Arial" w:hAnsi="Arial" w:cs="Arial"/>
          <w:sz w:val="20"/>
          <w:szCs w:val="20"/>
        </w:rPr>
        <w:t xml:space="preserve"> covers work that beg</w:t>
      </w:r>
      <w:r w:rsidR="00B64743">
        <w:rPr>
          <w:rFonts w:ascii="Arial" w:hAnsi="Arial" w:cs="Arial"/>
          <w:sz w:val="20"/>
          <w:szCs w:val="20"/>
        </w:rPr>
        <w:t>in</w:t>
      </w:r>
      <w:r w:rsidRPr="00F00501">
        <w:rPr>
          <w:rFonts w:ascii="Arial" w:hAnsi="Arial" w:cs="Arial"/>
          <w:sz w:val="20"/>
          <w:szCs w:val="20"/>
        </w:rPr>
        <w:t>s and ends in</w:t>
      </w:r>
      <w:r w:rsidRPr="00F00501">
        <w:rPr>
          <w:rFonts w:ascii="Arial" w:hAnsi="Arial" w:cs="Arial"/>
          <w:color w:val="333333"/>
          <w:sz w:val="20"/>
          <w:szCs w:val="20"/>
        </w:rPr>
        <w:t xml:space="preserve"> the worker</w:t>
      </w:r>
      <w:r w:rsidR="001365EA">
        <w:rPr>
          <w:rFonts w:ascii="Arial" w:hAnsi="Arial" w:cs="Arial"/>
          <w:color w:val="333333"/>
          <w:sz w:val="20"/>
          <w:szCs w:val="20"/>
        </w:rPr>
        <w:t>'</w:t>
      </w:r>
      <w:r w:rsidRPr="00F00501">
        <w:rPr>
          <w:rFonts w:ascii="Arial" w:hAnsi="Arial" w:cs="Arial"/>
          <w:color w:val="333333"/>
          <w:sz w:val="20"/>
          <w:szCs w:val="20"/>
        </w:rPr>
        <w:t>s home state while spending less than 50% of their total work time in the reciprocating state.</w:t>
      </w:r>
    </w:p>
    <w:p w14:paraId="7E61C5A1" w14:textId="4661E4B4" w:rsidR="00F00501" w:rsidRPr="00F00501" w:rsidRDefault="00401726" w:rsidP="007713B0">
      <w:pPr>
        <w:pStyle w:val="ListParagraph"/>
        <w:numPr>
          <w:ilvl w:val="0"/>
          <w:numId w:val="38"/>
        </w:numPr>
        <w:contextualSpacing w:val="0"/>
        <w:jc w:val="both"/>
        <w:rPr>
          <w:rFonts w:ascii="Arial" w:hAnsi="Arial" w:cs="Arial"/>
          <w:sz w:val="20"/>
          <w:szCs w:val="20"/>
        </w:rPr>
      </w:pPr>
      <w:r>
        <w:rPr>
          <w:rFonts w:ascii="Arial" w:hAnsi="Arial" w:cs="Arial"/>
          <w:sz w:val="20"/>
          <w:szCs w:val="20"/>
        </w:rPr>
        <w:t>183,827</w:t>
      </w:r>
      <w:r w:rsidR="00F00501" w:rsidRPr="00F00501">
        <w:rPr>
          <w:rFonts w:ascii="Arial" w:hAnsi="Arial" w:cs="Arial"/>
          <w:sz w:val="20"/>
          <w:szCs w:val="20"/>
        </w:rPr>
        <w:t xml:space="preserve"> unemployment wage records were processed in FY 20</w:t>
      </w:r>
      <w:r>
        <w:rPr>
          <w:rFonts w:ascii="Arial" w:hAnsi="Arial" w:cs="Arial"/>
          <w:sz w:val="20"/>
          <w:szCs w:val="20"/>
        </w:rPr>
        <w:t>2</w:t>
      </w:r>
      <w:r w:rsidR="00F00501" w:rsidRPr="00F00501">
        <w:rPr>
          <w:rFonts w:ascii="Arial" w:hAnsi="Arial" w:cs="Arial"/>
          <w:sz w:val="20"/>
          <w:szCs w:val="20"/>
        </w:rPr>
        <w:t>1</w:t>
      </w:r>
      <w:r w:rsidR="001365EA">
        <w:rPr>
          <w:rFonts w:ascii="Arial" w:hAnsi="Arial" w:cs="Arial"/>
          <w:sz w:val="20"/>
          <w:szCs w:val="20"/>
        </w:rPr>
        <w:t>,</w:t>
      </w:r>
      <w:r w:rsidR="00F00501" w:rsidRPr="00F00501">
        <w:rPr>
          <w:rFonts w:ascii="Arial" w:hAnsi="Arial" w:cs="Arial"/>
          <w:sz w:val="20"/>
          <w:szCs w:val="20"/>
        </w:rPr>
        <w:t xml:space="preserve"> resulting in 1</w:t>
      </w:r>
      <w:r>
        <w:rPr>
          <w:rFonts w:ascii="Arial" w:hAnsi="Arial" w:cs="Arial"/>
          <w:sz w:val="20"/>
          <w:szCs w:val="20"/>
        </w:rPr>
        <w:t>35</w:t>
      </w:r>
      <w:r w:rsidR="00F00501" w:rsidRPr="00F00501">
        <w:rPr>
          <w:rFonts w:ascii="Arial" w:hAnsi="Arial" w:cs="Arial"/>
          <w:sz w:val="20"/>
          <w:szCs w:val="20"/>
        </w:rPr>
        <w:t>,</w:t>
      </w:r>
      <w:r>
        <w:rPr>
          <w:rFonts w:ascii="Arial" w:hAnsi="Arial" w:cs="Arial"/>
          <w:sz w:val="20"/>
          <w:szCs w:val="20"/>
        </w:rPr>
        <w:t>255</w:t>
      </w:r>
      <w:r w:rsidR="00F00501" w:rsidRPr="00F00501">
        <w:rPr>
          <w:rFonts w:ascii="Arial" w:hAnsi="Arial" w:cs="Arial"/>
          <w:sz w:val="20"/>
          <w:szCs w:val="20"/>
        </w:rPr>
        <w:t xml:space="preserve"> policies obtained to cover Idaho employers.</w:t>
      </w:r>
    </w:p>
    <w:p w14:paraId="07E7A901" w14:textId="26369127" w:rsidR="00CE0573" w:rsidRDefault="00401726" w:rsidP="007713B0">
      <w:pPr>
        <w:pStyle w:val="ListParagraph"/>
        <w:numPr>
          <w:ilvl w:val="0"/>
          <w:numId w:val="38"/>
        </w:numPr>
        <w:contextualSpacing w:val="0"/>
        <w:jc w:val="both"/>
        <w:rPr>
          <w:rFonts w:ascii="Arial" w:hAnsi="Arial" w:cs="Arial"/>
          <w:sz w:val="20"/>
          <w:szCs w:val="20"/>
        </w:rPr>
      </w:pPr>
      <w:r>
        <w:rPr>
          <w:rFonts w:ascii="Arial" w:hAnsi="Arial" w:cs="Arial"/>
          <w:sz w:val="20"/>
          <w:szCs w:val="20"/>
        </w:rPr>
        <w:t>1</w:t>
      </w:r>
      <w:r w:rsidR="00F00501" w:rsidRPr="00F00501">
        <w:rPr>
          <w:rFonts w:ascii="Arial" w:hAnsi="Arial" w:cs="Arial"/>
          <w:sz w:val="20"/>
          <w:szCs w:val="20"/>
        </w:rPr>
        <w:t>,</w:t>
      </w:r>
      <w:r>
        <w:rPr>
          <w:rFonts w:ascii="Arial" w:hAnsi="Arial" w:cs="Arial"/>
          <w:sz w:val="20"/>
          <w:szCs w:val="20"/>
        </w:rPr>
        <w:t>353</w:t>
      </w:r>
      <w:r w:rsidR="00F00501" w:rsidRPr="00F00501">
        <w:rPr>
          <w:rFonts w:ascii="Arial" w:hAnsi="Arial" w:cs="Arial"/>
          <w:sz w:val="20"/>
          <w:szCs w:val="20"/>
        </w:rPr>
        <w:t xml:space="preserve"> employers obtained insurance as a result of being contacted by an Employer Compliance Investigator, resulting in coverage for </w:t>
      </w:r>
      <w:r>
        <w:rPr>
          <w:rFonts w:ascii="Arial" w:hAnsi="Arial" w:cs="Arial"/>
          <w:sz w:val="20"/>
          <w:szCs w:val="20"/>
        </w:rPr>
        <w:t>15</w:t>
      </w:r>
      <w:r w:rsidR="00F00501" w:rsidRPr="00F00501">
        <w:rPr>
          <w:rFonts w:ascii="Arial" w:hAnsi="Arial" w:cs="Arial"/>
          <w:sz w:val="20"/>
          <w:szCs w:val="20"/>
        </w:rPr>
        <w:t>,</w:t>
      </w:r>
      <w:r>
        <w:rPr>
          <w:rFonts w:ascii="Arial" w:hAnsi="Arial" w:cs="Arial"/>
          <w:sz w:val="20"/>
          <w:szCs w:val="20"/>
        </w:rPr>
        <w:t>432</w:t>
      </w:r>
      <w:r w:rsidR="00F00501" w:rsidRPr="00F00501">
        <w:rPr>
          <w:rFonts w:ascii="Arial" w:hAnsi="Arial" w:cs="Arial"/>
          <w:sz w:val="20"/>
          <w:szCs w:val="20"/>
        </w:rPr>
        <w:t xml:space="preserve"> Idaho workers.</w:t>
      </w:r>
    </w:p>
    <w:p w14:paraId="5D4B340C" w14:textId="77777777" w:rsidR="00CE0573" w:rsidRDefault="00CE0573" w:rsidP="00CE0573">
      <w:pPr>
        <w:rPr>
          <w:rFonts w:ascii="Arial" w:hAnsi="Arial" w:cs="Arial"/>
          <w:b/>
          <w:bCs/>
          <w:color w:val="000000"/>
          <w:sz w:val="20"/>
          <w:szCs w:val="20"/>
        </w:rPr>
      </w:pPr>
    </w:p>
    <w:p w14:paraId="2918A267" w14:textId="77777777" w:rsidR="00CE0573" w:rsidRPr="00CE0573" w:rsidRDefault="00CE0573" w:rsidP="00CE0573">
      <w:pPr>
        <w:rPr>
          <w:rFonts w:ascii="Arial" w:hAnsi="Arial" w:cs="Arial"/>
          <w:sz w:val="20"/>
          <w:szCs w:val="20"/>
        </w:rPr>
      </w:pPr>
      <w:r w:rsidRPr="00CE0573">
        <w:rPr>
          <w:rFonts w:ascii="Arial" w:hAnsi="Arial" w:cs="Arial"/>
          <w:b/>
          <w:bCs/>
          <w:color w:val="000000"/>
          <w:sz w:val="20"/>
          <w:szCs w:val="20"/>
        </w:rPr>
        <w:t xml:space="preserve">Rehabilitation </w:t>
      </w:r>
    </w:p>
    <w:p w14:paraId="1DBE2C69" w14:textId="4BC2177D" w:rsidR="001365EA" w:rsidRPr="001365EA" w:rsidRDefault="001365EA" w:rsidP="001365EA">
      <w:pPr>
        <w:pStyle w:val="ListParagraph"/>
        <w:numPr>
          <w:ilvl w:val="0"/>
          <w:numId w:val="40"/>
        </w:numPr>
        <w:rPr>
          <w:rFonts w:ascii="Arial" w:hAnsi="Arial" w:cs="Arial"/>
          <w:color w:val="000000"/>
          <w:sz w:val="20"/>
          <w:szCs w:val="20"/>
        </w:rPr>
      </w:pPr>
      <w:r w:rsidRPr="001365EA">
        <w:rPr>
          <w:rFonts w:ascii="Arial" w:hAnsi="Arial" w:cs="Arial"/>
          <w:color w:val="000000"/>
          <w:sz w:val="20"/>
          <w:szCs w:val="20"/>
        </w:rPr>
        <w:t>In FY</w:t>
      </w:r>
      <w:r>
        <w:rPr>
          <w:rFonts w:ascii="Arial" w:hAnsi="Arial" w:cs="Arial"/>
          <w:color w:val="000000"/>
          <w:sz w:val="20"/>
          <w:szCs w:val="20"/>
        </w:rPr>
        <w:t xml:space="preserve"> 20</w:t>
      </w:r>
      <w:r w:rsidRPr="001365EA">
        <w:rPr>
          <w:rFonts w:ascii="Arial" w:hAnsi="Arial" w:cs="Arial"/>
          <w:color w:val="000000"/>
          <w:sz w:val="20"/>
          <w:szCs w:val="20"/>
        </w:rPr>
        <w:t xml:space="preserve">21 the Rehabilitation Division had 1,866 cases referred for services. 94% of referrals (1,754) were determined to be eligible for </w:t>
      </w:r>
      <w:r w:rsidR="008168C4">
        <w:rPr>
          <w:rFonts w:ascii="Arial" w:hAnsi="Arial" w:cs="Arial"/>
          <w:color w:val="000000"/>
          <w:sz w:val="20"/>
          <w:szCs w:val="20"/>
        </w:rPr>
        <w:t>Rehab</w:t>
      </w:r>
      <w:r w:rsidRPr="001365EA">
        <w:rPr>
          <w:rFonts w:ascii="Arial" w:hAnsi="Arial" w:cs="Arial"/>
          <w:color w:val="000000"/>
          <w:sz w:val="20"/>
          <w:szCs w:val="20"/>
        </w:rPr>
        <w:t xml:space="preserve"> services. Of the 1,754 cases worked, 98.7% (1,732) received significant services from consultants</w:t>
      </w:r>
      <w:r w:rsidR="00793BB4">
        <w:rPr>
          <w:rFonts w:ascii="Arial" w:hAnsi="Arial" w:cs="Arial"/>
          <w:color w:val="000000"/>
          <w:sz w:val="20"/>
          <w:szCs w:val="20"/>
        </w:rPr>
        <w:t xml:space="preserve"> including placement into new jobs</w:t>
      </w:r>
      <w:r w:rsidRPr="001365EA">
        <w:rPr>
          <w:rFonts w:ascii="Arial" w:hAnsi="Arial" w:cs="Arial"/>
          <w:color w:val="000000"/>
          <w:sz w:val="20"/>
          <w:szCs w:val="20"/>
        </w:rPr>
        <w:t xml:space="preserve">.  </w:t>
      </w:r>
    </w:p>
    <w:p w14:paraId="4409EA0D" w14:textId="77777777" w:rsidR="001365EA" w:rsidRPr="001365EA" w:rsidRDefault="001365EA" w:rsidP="001365EA">
      <w:pPr>
        <w:pStyle w:val="ListParagraph"/>
        <w:numPr>
          <w:ilvl w:val="0"/>
          <w:numId w:val="40"/>
        </w:numPr>
        <w:rPr>
          <w:rFonts w:ascii="Arial" w:hAnsi="Arial" w:cs="Arial"/>
          <w:color w:val="000000"/>
          <w:sz w:val="20"/>
          <w:szCs w:val="20"/>
        </w:rPr>
      </w:pPr>
      <w:r w:rsidRPr="001365EA">
        <w:rPr>
          <w:rFonts w:ascii="Arial" w:hAnsi="Arial" w:cs="Arial"/>
          <w:color w:val="000000"/>
          <w:sz w:val="20"/>
          <w:szCs w:val="20"/>
        </w:rPr>
        <w:t xml:space="preserve">1,375 (78.4%) of those injured workers successfully returned to work, and 52 cases (3.0%) had formal vocational plans developed but did not execute those plans and return to work.  </w:t>
      </w:r>
    </w:p>
    <w:p w14:paraId="3A0B2C20" w14:textId="5311C3CB" w:rsidR="003F64BC" w:rsidRPr="001365EA" w:rsidRDefault="001365EA" w:rsidP="001365EA">
      <w:pPr>
        <w:pStyle w:val="ListParagraph"/>
        <w:numPr>
          <w:ilvl w:val="0"/>
          <w:numId w:val="40"/>
        </w:numPr>
        <w:rPr>
          <w:rFonts w:ascii="Arial" w:hAnsi="Arial" w:cs="Arial"/>
          <w:color w:val="000000"/>
          <w:sz w:val="20"/>
          <w:szCs w:val="20"/>
        </w:rPr>
      </w:pPr>
      <w:r w:rsidRPr="001365EA">
        <w:rPr>
          <w:rFonts w:ascii="Arial" w:hAnsi="Arial" w:cs="Arial"/>
          <w:color w:val="000000"/>
          <w:sz w:val="20"/>
          <w:szCs w:val="20"/>
        </w:rPr>
        <w:t xml:space="preserve">Since 2016 the </w:t>
      </w:r>
      <w:r w:rsidR="00793BB4">
        <w:rPr>
          <w:rFonts w:ascii="Arial" w:hAnsi="Arial" w:cs="Arial"/>
          <w:color w:val="000000"/>
          <w:sz w:val="20"/>
          <w:szCs w:val="20"/>
        </w:rPr>
        <w:t>R</w:t>
      </w:r>
      <w:r w:rsidRPr="001365EA">
        <w:rPr>
          <w:rFonts w:ascii="Arial" w:hAnsi="Arial" w:cs="Arial"/>
          <w:color w:val="000000"/>
          <w:sz w:val="20"/>
          <w:szCs w:val="20"/>
        </w:rPr>
        <w:t xml:space="preserve">ehabilitation </w:t>
      </w:r>
      <w:r w:rsidR="00793BB4">
        <w:rPr>
          <w:rFonts w:ascii="Arial" w:hAnsi="Arial" w:cs="Arial"/>
          <w:color w:val="000000"/>
          <w:sz w:val="20"/>
          <w:szCs w:val="20"/>
        </w:rPr>
        <w:t>D</w:t>
      </w:r>
      <w:r w:rsidRPr="001365EA">
        <w:rPr>
          <w:rFonts w:ascii="Arial" w:hAnsi="Arial" w:cs="Arial"/>
          <w:color w:val="000000"/>
          <w:sz w:val="20"/>
          <w:szCs w:val="20"/>
        </w:rPr>
        <w:t xml:space="preserve">ivision has successfully reduced the timeframe from referral to eligibility determination from </w:t>
      </w:r>
      <w:r w:rsidR="00FE2F93">
        <w:rPr>
          <w:rFonts w:ascii="Arial" w:hAnsi="Arial" w:cs="Arial"/>
          <w:color w:val="000000"/>
          <w:sz w:val="20"/>
          <w:szCs w:val="20"/>
        </w:rPr>
        <w:t>5</w:t>
      </w:r>
      <w:r w:rsidRPr="001365EA">
        <w:rPr>
          <w:rFonts w:ascii="Arial" w:hAnsi="Arial" w:cs="Arial"/>
          <w:color w:val="000000"/>
          <w:sz w:val="20"/>
          <w:szCs w:val="20"/>
        </w:rPr>
        <w:t xml:space="preserve"> business days to 2.79 business days</w:t>
      </w:r>
      <w:r>
        <w:rPr>
          <w:rFonts w:ascii="Arial" w:hAnsi="Arial" w:cs="Arial"/>
          <w:color w:val="000000"/>
          <w:sz w:val="20"/>
          <w:szCs w:val="20"/>
        </w:rPr>
        <w:t>,</w:t>
      </w:r>
      <w:r w:rsidRPr="001365EA">
        <w:rPr>
          <w:rFonts w:ascii="Arial" w:hAnsi="Arial" w:cs="Arial"/>
          <w:color w:val="000000"/>
          <w:sz w:val="20"/>
          <w:szCs w:val="20"/>
        </w:rPr>
        <w:t xml:space="preserve"> demonstrating </w:t>
      </w:r>
      <w:r>
        <w:rPr>
          <w:rFonts w:ascii="Arial" w:hAnsi="Arial" w:cs="Arial"/>
          <w:color w:val="000000"/>
          <w:sz w:val="20"/>
          <w:szCs w:val="20"/>
        </w:rPr>
        <w:t>the department</w:t>
      </w:r>
      <w:r w:rsidR="006A55D1">
        <w:rPr>
          <w:rFonts w:ascii="Arial" w:hAnsi="Arial" w:cs="Arial"/>
          <w:color w:val="000000"/>
          <w:sz w:val="20"/>
          <w:szCs w:val="20"/>
        </w:rPr>
        <w:t>'</w:t>
      </w:r>
      <w:r>
        <w:rPr>
          <w:rFonts w:ascii="Arial" w:hAnsi="Arial" w:cs="Arial"/>
          <w:color w:val="000000"/>
          <w:sz w:val="20"/>
          <w:szCs w:val="20"/>
        </w:rPr>
        <w:t>s</w:t>
      </w:r>
      <w:r w:rsidRPr="001365EA">
        <w:rPr>
          <w:rFonts w:ascii="Arial" w:hAnsi="Arial" w:cs="Arial"/>
          <w:color w:val="000000"/>
          <w:sz w:val="20"/>
          <w:szCs w:val="20"/>
        </w:rPr>
        <w:t xml:space="preserve"> ability to quickly contact parties to the claim and determine the level of </w:t>
      </w:r>
      <w:r w:rsidR="008168C4">
        <w:rPr>
          <w:rFonts w:ascii="Arial" w:hAnsi="Arial" w:cs="Arial"/>
          <w:color w:val="000000"/>
          <w:sz w:val="20"/>
          <w:szCs w:val="20"/>
        </w:rPr>
        <w:t>Rehab</w:t>
      </w:r>
      <w:r w:rsidRPr="001365EA">
        <w:rPr>
          <w:rFonts w:ascii="Arial" w:hAnsi="Arial" w:cs="Arial"/>
          <w:color w:val="000000"/>
          <w:sz w:val="20"/>
          <w:szCs w:val="20"/>
        </w:rPr>
        <w:t xml:space="preserve"> services available to the injured worker.</w:t>
      </w:r>
      <w:r w:rsidR="003F64BC" w:rsidRPr="001365EA">
        <w:rPr>
          <w:rFonts w:ascii="Arial" w:hAnsi="Arial" w:cs="Arial"/>
          <w:color w:val="000000"/>
          <w:sz w:val="20"/>
          <w:szCs w:val="20"/>
          <w:highlight w:val="yellow"/>
        </w:rPr>
        <w:t xml:space="preserve"> </w:t>
      </w:r>
    </w:p>
    <w:p w14:paraId="4975D302" w14:textId="3BB3F4B3" w:rsidR="00F00501" w:rsidRPr="007713B0" w:rsidRDefault="00F00501" w:rsidP="00AE5A4A">
      <w:pPr>
        <w:tabs>
          <w:tab w:val="left" w:pos="360"/>
        </w:tabs>
        <w:rPr>
          <w:rFonts w:ascii="Arial" w:hAnsi="Arial" w:cs="Arial"/>
          <w:sz w:val="20"/>
          <w:szCs w:val="20"/>
        </w:rPr>
      </w:pPr>
    </w:p>
    <w:p w14:paraId="482CBEF4" w14:textId="77777777" w:rsidR="00AB5FD2" w:rsidRPr="00F00501" w:rsidRDefault="00F00501" w:rsidP="00AE5A4A">
      <w:pPr>
        <w:tabs>
          <w:tab w:val="left" w:pos="360"/>
        </w:tabs>
        <w:rPr>
          <w:rFonts w:ascii="Arial" w:hAnsi="Arial" w:cs="Arial"/>
          <w:b/>
          <w:sz w:val="20"/>
          <w:szCs w:val="20"/>
        </w:rPr>
      </w:pPr>
      <w:r w:rsidRPr="00F00501">
        <w:rPr>
          <w:rFonts w:ascii="Arial" w:hAnsi="Arial" w:cs="Arial"/>
          <w:b/>
          <w:sz w:val="20"/>
          <w:szCs w:val="20"/>
        </w:rPr>
        <w:t>Crime Victims Compensation Program</w:t>
      </w:r>
    </w:p>
    <w:p w14:paraId="4952580B" w14:textId="4C034348" w:rsidR="00B64743" w:rsidRPr="00401726" w:rsidRDefault="00401726" w:rsidP="00401726">
      <w:pPr>
        <w:pStyle w:val="ListParagraph"/>
        <w:numPr>
          <w:ilvl w:val="0"/>
          <w:numId w:val="37"/>
        </w:numPr>
        <w:rPr>
          <w:rFonts w:ascii="Arial" w:hAnsi="Arial" w:cs="Arial"/>
          <w:sz w:val="20"/>
          <w:szCs w:val="20"/>
        </w:rPr>
      </w:pPr>
      <w:r w:rsidRPr="00401726">
        <w:rPr>
          <w:rFonts w:ascii="Arial" w:hAnsi="Arial" w:cs="Arial"/>
          <w:sz w:val="20"/>
          <w:szCs w:val="20"/>
        </w:rPr>
        <w:t>The Crime Victim Compensation Crisis Response Team responded on scene to the middle school shooting in Rigby, Idaho in April 2021. The team met with students, parents, siblings, faculty, school staff members, and community leaders to assist individuals in accessing mental health and medical benefits available through the program and to provide support and guidance to assist those in need. The program received 465 applications for benefits as a result of this incident.  Crime Victims Compensation staff continue to provide ongoing assistance.</w:t>
      </w:r>
    </w:p>
    <w:p w14:paraId="7708700A" w14:textId="77777777" w:rsidR="00B64743" w:rsidRPr="00AB5FD2" w:rsidRDefault="00B64743" w:rsidP="00AE5A4A">
      <w:pPr>
        <w:tabs>
          <w:tab w:val="left" w:pos="360"/>
        </w:tabs>
        <w:rPr>
          <w:rFonts w:ascii="Arial" w:hAnsi="Arial" w:cs="Arial"/>
          <w:szCs w:val="20"/>
        </w:rPr>
      </w:pPr>
    </w:p>
    <w:p w14:paraId="19BF2BDE" w14:textId="77777777" w:rsidR="00D16699" w:rsidRDefault="00D16699" w:rsidP="00AF0171">
      <w:pPr>
        <w:jc w:val="both"/>
        <w:outlineLvl w:val="0"/>
        <w:rPr>
          <w:rFonts w:ascii="Arial" w:hAnsi="Arial" w:cs="Arial"/>
          <w:b/>
          <w:i/>
          <w:color w:val="000080"/>
          <w:sz w:val="28"/>
          <w:szCs w:val="28"/>
        </w:rPr>
      </w:pPr>
      <w:r w:rsidRPr="00AB5FD2">
        <w:rPr>
          <w:rFonts w:ascii="Arial" w:hAnsi="Arial" w:cs="Arial"/>
          <w:b/>
          <w:i/>
          <w:color w:val="000080"/>
          <w:sz w:val="28"/>
          <w:szCs w:val="28"/>
        </w:rPr>
        <w:t>Part II – Performance Measures</w:t>
      </w:r>
    </w:p>
    <w:p w14:paraId="56029D6B" w14:textId="77777777" w:rsidR="005D1633" w:rsidRPr="005D1633" w:rsidRDefault="005D1633" w:rsidP="00D16699">
      <w:pPr>
        <w:spacing w:after="60"/>
        <w:jc w:val="both"/>
        <w:outlineLvl w:val="0"/>
        <w:rPr>
          <w:rFonts w:ascii="Arial" w:hAnsi="Arial" w:cs="Arial"/>
          <w:color w:val="00008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4320"/>
        <w:gridCol w:w="785"/>
        <w:gridCol w:w="995"/>
        <w:gridCol w:w="995"/>
        <w:gridCol w:w="995"/>
        <w:gridCol w:w="995"/>
        <w:gridCol w:w="995"/>
      </w:tblGrid>
      <w:tr w:rsidR="0052230A" w:rsidRPr="00AB5FD2" w14:paraId="05EE30A6" w14:textId="77777777" w:rsidTr="0052230A">
        <w:trPr>
          <w:tblHeader/>
        </w:trPr>
        <w:tc>
          <w:tcPr>
            <w:tcW w:w="5105" w:type="dxa"/>
            <w:gridSpan w:val="2"/>
            <w:shd w:val="clear" w:color="auto" w:fill="000080"/>
            <w:vAlign w:val="bottom"/>
          </w:tcPr>
          <w:p w14:paraId="3D5DED6F" w14:textId="77777777" w:rsidR="0052230A" w:rsidRPr="00AB5FD2" w:rsidRDefault="0052230A" w:rsidP="0052230A">
            <w:pPr>
              <w:jc w:val="center"/>
              <w:rPr>
                <w:rFonts w:ascii="Arial" w:hAnsi="Arial" w:cs="Arial"/>
                <w:b/>
                <w:bCs/>
                <w:color w:val="FFFFFF"/>
                <w:sz w:val="20"/>
              </w:rPr>
            </w:pPr>
            <w:bookmarkStart w:id="10" w:name="_Hlk78444296"/>
            <w:bookmarkStart w:id="11" w:name="_Hlk79070776"/>
            <w:r w:rsidRPr="00AB5FD2">
              <w:rPr>
                <w:rFonts w:ascii="Arial" w:hAnsi="Arial" w:cs="Arial"/>
                <w:b/>
                <w:bCs/>
                <w:color w:val="FFFFFF"/>
                <w:sz w:val="20"/>
              </w:rPr>
              <w:t>Performance Measure</w:t>
            </w:r>
          </w:p>
        </w:tc>
        <w:tc>
          <w:tcPr>
            <w:tcW w:w="995" w:type="dxa"/>
            <w:shd w:val="clear" w:color="auto" w:fill="000080"/>
            <w:vAlign w:val="bottom"/>
          </w:tcPr>
          <w:p w14:paraId="576A93D0" w14:textId="700BF138" w:rsidR="0052230A" w:rsidRPr="00AB5FD2" w:rsidRDefault="007E15BD" w:rsidP="0052230A">
            <w:pPr>
              <w:jc w:val="center"/>
              <w:rPr>
                <w:rFonts w:ascii="Arial" w:hAnsi="Arial" w:cs="Arial"/>
                <w:b/>
                <w:bCs/>
                <w:color w:val="FFFFFF"/>
                <w:sz w:val="20"/>
              </w:rPr>
            </w:pPr>
            <w:r>
              <w:rPr>
                <w:rFonts w:ascii="Arial" w:hAnsi="Arial" w:cs="Arial"/>
                <w:b/>
                <w:bCs/>
                <w:color w:val="FFFFFF"/>
                <w:sz w:val="20"/>
              </w:rPr>
              <w:t>FY 2019</w:t>
            </w:r>
          </w:p>
        </w:tc>
        <w:tc>
          <w:tcPr>
            <w:tcW w:w="995" w:type="dxa"/>
            <w:shd w:val="clear" w:color="auto" w:fill="000080"/>
            <w:vAlign w:val="bottom"/>
          </w:tcPr>
          <w:p w14:paraId="2EB58042" w14:textId="3240AD90" w:rsidR="0052230A" w:rsidRPr="00AB5FD2" w:rsidRDefault="007E15BD" w:rsidP="0052230A">
            <w:pPr>
              <w:jc w:val="center"/>
              <w:rPr>
                <w:rFonts w:ascii="Arial" w:hAnsi="Arial" w:cs="Arial"/>
                <w:b/>
                <w:bCs/>
                <w:color w:val="FFFFFF"/>
                <w:sz w:val="20"/>
              </w:rPr>
            </w:pPr>
            <w:r>
              <w:rPr>
                <w:rFonts w:ascii="Arial" w:hAnsi="Arial" w:cs="Arial"/>
                <w:b/>
                <w:bCs/>
                <w:color w:val="FFFFFF"/>
                <w:sz w:val="20"/>
              </w:rPr>
              <w:t>FY 2020</w:t>
            </w:r>
          </w:p>
        </w:tc>
        <w:tc>
          <w:tcPr>
            <w:tcW w:w="995" w:type="dxa"/>
            <w:shd w:val="clear" w:color="auto" w:fill="000080"/>
            <w:vAlign w:val="bottom"/>
          </w:tcPr>
          <w:p w14:paraId="04063AD3" w14:textId="69C62D37" w:rsidR="0052230A" w:rsidRPr="00AB5FD2" w:rsidRDefault="007E15BD" w:rsidP="0052230A">
            <w:pPr>
              <w:jc w:val="center"/>
              <w:rPr>
                <w:rFonts w:ascii="Arial" w:hAnsi="Arial" w:cs="Arial"/>
                <w:b/>
                <w:bCs/>
                <w:color w:val="FFFFFF"/>
                <w:sz w:val="20"/>
              </w:rPr>
            </w:pPr>
            <w:r>
              <w:rPr>
                <w:rFonts w:ascii="Arial" w:hAnsi="Arial" w:cs="Arial"/>
                <w:b/>
                <w:bCs/>
                <w:color w:val="FFFFFF"/>
                <w:sz w:val="20"/>
              </w:rPr>
              <w:t>FY 2021</w:t>
            </w:r>
          </w:p>
        </w:tc>
        <w:tc>
          <w:tcPr>
            <w:tcW w:w="995" w:type="dxa"/>
            <w:shd w:val="clear" w:color="auto" w:fill="000080"/>
            <w:vAlign w:val="bottom"/>
          </w:tcPr>
          <w:p w14:paraId="7E0B51C4" w14:textId="3F2FE691" w:rsidR="0052230A" w:rsidRPr="00AB5FD2" w:rsidRDefault="007E15BD" w:rsidP="0052230A">
            <w:pPr>
              <w:jc w:val="center"/>
              <w:rPr>
                <w:rFonts w:ascii="Arial" w:hAnsi="Arial" w:cs="Arial"/>
                <w:b/>
                <w:bCs/>
                <w:color w:val="FFFFFF"/>
                <w:sz w:val="20"/>
              </w:rPr>
            </w:pPr>
            <w:r>
              <w:rPr>
                <w:rFonts w:ascii="Arial" w:hAnsi="Arial" w:cs="Arial"/>
                <w:b/>
                <w:bCs/>
                <w:color w:val="FFFFFF"/>
                <w:sz w:val="20"/>
              </w:rPr>
              <w:t>FY 2022</w:t>
            </w:r>
          </w:p>
        </w:tc>
        <w:tc>
          <w:tcPr>
            <w:tcW w:w="995" w:type="dxa"/>
            <w:shd w:val="clear" w:color="auto" w:fill="000080"/>
            <w:vAlign w:val="bottom"/>
          </w:tcPr>
          <w:p w14:paraId="134CD759" w14:textId="042364D3" w:rsidR="0052230A" w:rsidRPr="00AB5FD2" w:rsidRDefault="007E15BD" w:rsidP="0052230A">
            <w:pPr>
              <w:jc w:val="center"/>
              <w:rPr>
                <w:rFonts w:ascii="Arial" w:hAnsi="Arial" w:cs="Arial"/>
                <w:b/>
                <w:bCs/>
                <w:color w:val="FFFFFF"/>
                <w:sz w:val="20"/>
              </w:rPr>
            </w:pPr>
            <w:r>
              <w:rPr>
                <w:rFonts w:ascii="Arial" w:hAnsi="Arial" w:cs="Arial"/>
                <w:b/>
                <w:bCs/>
                <w:color w:val="FFFFFF"/>
                <w:sz w:val="20"/>
              </w:rPr>
              <w:t>FY 2023</w:t>
            </w:r>
          </w:p>
        </w:tc>
      </w:tr>
      <w:tr w:rsidR="002D4812" w:rsidRPr="00AB5FD2" w14:paraId="30FFC1C4" w14:textId="77777777" w:rsidTr="001A5AAE">
        <w:trPr>
          <w:trHeight w:val="323"/>
        </w:trPr>
        <w:tc>
          <w:tcPr>
            <w:tcW w:w="10080" w:type="dxa"/>
            <w:gridSpan w:val="7"/>
            <w:shd w:val="clear" w:color="auto" w:fill="DBE5F1" w:themeFill="accent1" w:themeFillTint="33"/>
            <w:vAlign w:val="center"/>
          </w:tcPr>
          <w:p w14:paraId="2B2BCBD0" w14:textId="77777777" w:rsidR="002D4812" w:rsidRPr="00AB5FD2" w:rsidRDefault="002D4812" w:rsidP="001A5AAE">
            <w:pPr>
              <w:keepNext/>
              <w:jc w:val="center"/>
              <w:rPr>
                <w:rFonts w:ascii="Arial" w:hAnsi="Arial" w:cs="Arial"/>
                <w:b/>
                <w:sz w:val="20"/>
              </w:rPr>
            </w:pPr>
            <w:bookmarkStart w:id="12" w:name="_Hlk79070646"/>
            <w:bookmarkEnd w:id="10"/>
            <w:r>
              <w:rPr>
                <w:rFonts w:ascii="Arial" w:hAnsi="Arial" w:cs="Arial"/>
                <w:b/>
                <w:sz w:val="20"/>
              </w:rPr>
              <w:t xml:space="preserve">Adjudication Division </w:t>
            </w:r>
            <w:r w:rsidRPr="00AB5FD2">
              <w:rPr>
                <w:rFonts w:ascii="Arial" w:hAnsi="Arial" w:cs="Arial"/>
                <w:b/>
                <w:sz w:val="20"/>
              </w:rPr>
              <w:t>Goal</w:t>
            </w:r>
          </w:p>
          <w:p w14:paraId="4A36BD0F" w14:textId="2E5F936E" w:rsidR="002D4812" w:rsidRPr="00AB5FD2" w:rsidRDefault="002D4812" w:rsidP="001A5AAE">
            <w:pPr>
              <w:keepNext/>
              <w:autoSpaceDE w:val="0"/>
              <w:autoSpaceDN w:val="0"/>
              <w:adjustRightInd w:val="0"/>
              <w:jc w:val="center"/>
              <w:rPr>
                <w:rFonts w:ascii="Arial" w:hAnsi="Arial" w:cs="Arial"/>
                <w:b/>
                <w:sz w:val="20"/>
              </w:rPr>
            </w:pPr>
            <w:r>
              <w:rPr>
                <w:rFonts w:ascii="Arial" w:hAnsi="Arial" w:cs="Arial"/>
                <w:i/>
                <w:iCs/>
                <w:sz w:val="20"/>
                <w:szCs w:val="20"/>
              </w:rPr>
              <w:t>P</w:t>
            </w:r>
            <w:r w:rsidRPr="00351DB5">
              <w:rPr>
                <w:rFonts w:ascii="Arial" w:hAnsi="Arial" w:cs="Arial"/>
                <w:i/>
                <w:iCs/>
                <w:sz w:val="20"/>
                <w:szCs w:val="20"/>
              </w:rPr>
              <w:t xml:space="preserve">romote the timely processing and resolution of disputed workers' compensation claims and medical fee dispute; </w:t>
            </w:r>
            <w:r>
              <w:rPr>
                <w:rFonts w:ascii="Arial" w:hAnsi="Arial" w:cs="Arial"/>
                <w:i/>
                <w:iCs/>
                <w:sz w:val="20"/>
                <w:szCs w:val="20"/>
              </w:rPr>
              <w:t xml:space="preserve">and </w:t>
            </w:r>
            <w:r w:rsidR="00901089">
              <w:rPr>
                <w:rFonts w:ascii="Arial" w:hAnsi="Arial" w:cs="Arial"/>
                <w:i/>
                <w:iCs/>
                <w:sz w:val="20"/>
                <w:szCs w:val="20"/>
              </w:rPr>
              <w:t xml:space="preserve">provide </w:t>
            </w:r>
            <w:r w:rsidRPr="00351DB5">
              <w:rPr>
                <w:rFonts w:ascii="Arial" w:hAnsi="Arial" w:cs="Arial"/>
                <w:i/>
                <w:iCs/>
                <w:sz w:val="20"/>
                <w:szCs w:val="20"/>
              </w:rPr>
              <w:t>judicial review of unemployment insurance appeals from the Idaho Department of Labor</w:t>
            </w:r>
          </w:p>
        </w:tc>
      </w:tr>
      <w:bookmarkEnd w:id="11"/>
      <w:bookmarkEnd w:id="12"/>
      <w:tr w:rsidR="007E15BD" w:rsidRPr="00AB5FD2" w14:paraId="62021C60" w14:textId="77777777" w:rsidTr="001A5AAE">
        <w:trPr>
          <w:trHeight w:val="288"/>
        </w:trPr>
        <w:tc>
          <w:tcPr>
            <w:tcW w:w="4320" w:type="dxa"/>
            <w:vMerge w:val="restart"/>
          </w:tcPr>
          <w:p w14:paraId="5EB94375" w14:textId="77777777" w:rsidR="007E15BD" w:rsidRPr="003F0E32" w:rsidRDefault="007E15BD" w:rsidP="007E15BD">
            <w:pPr>
              <w:pStyle w:val="ListParagraph"/>
              <w:keepNext/>
              <w:numPr>
                <w:ilvl w:val="0"/>
                <w:numId w:val="19"/>
              </w:numPr>
              <w:ind w:left="342"/>
              <w:rPr>
                <w:rFonts w:ascii="Arial" w:hAnsi="Arial" w:cs="Arial"/>
                <w:bCs/>
                <w:sz w:val="20"/>
                <w:szCs w:val="20"/>
              </w:rPr>
            </w:pPr>
            <w:r w:rsidRPr="003F0E32">
              <w:rPr>
                <w:rFonts w:ascii="Arial" w:hAnsi="Arial" w:cs="Arial"/>
                <w:color w:val="000000"/>
                <w:sz w:val="20"/>
                <w:szCs w:val="20"/>
              </w:rPr>
              <w:t>Issue workers' compensation decisions in a timely manner.</w:t>
            </w:r>
          </w:p>
        </w:tc>
        <w:tc>
          <w:tcPr>
            <w:tcW w:w="785" w:type="dxa"/>
            <w:shd w:val="clear" w:color="auto" w:fill="D9D9D9" w:themeFill="background1" w:themeFillShade="D9"/>
            <w:vAlign w:val="center"/>
          </w:tcPr>
          <w:p w14:paraId="045DD5BF" w14:textId="77777777" w:rsidR="007E15BD" w:rsidRPr="003F0E32" w:rsidRDefault="007E15BD" w:rsidP="007E15BD">
            <w:pPr>
              <w:keepNext/>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1EDDA5A1" w14:textId="4F65AC94" w:rsidR="007E15BD" w:rsidRPr="003F0E32" w:rsidRDefault="007E15BD" w:rsidP="007E15BD">
            <w:pPr>
              <w:keepNext/>
              <w:jc w:val="center"/>
              <w:rPr>
                <w:rFonts w:ascii="Arial" w:hAnsi="Arial" w:cs="Arial"/>
                <w:sz w:val="20"/>
                <w:szCs w:val="20"/>
              </w:rPr>
            </w:pPr>
            <w:r w:rsidRPr="003F0E32">
              <w:rPr>
                <w:rFonts w:ascii="Arial" w:hAnsi="Arial" w:cs="Arial"/>
                <w:sz w:val="20"/>
                <w:szCs w:val="20"/>
              </w:rPr>
              <w:t>89</w:t>
            </w:r>
          </w:p>
        </w:tc>
        <w:tc>
          <w:tcPr>
            <w:tcW w:w="995" w:type="dxa"/>
            <w:shd w:val="clear" w:color="auto" w:fill="D9D9D9" w:themeFill="background1" w:themeFillShade="D9"/>
            <w:vAlign w:val="center"/>
          </w:tcPr>
          <w:p w14:paraId="3827CF88" w14:textId="0A9A840F" w:rsidR="007E15BD" w:rsidRPr="003F0E32" w:rsidRDefault="007E15BD" w:rsidP="007E15BD">
            <w:pPr>
              <w:keepNext/>
              <w:jc w:val="center"/>
              <w:rPr>
                <w:rFonts w:ascii="Arial" w:hAnsi="Arial" w:cs="Arial"/>
                <w:sz w:val="20"/>
                <w:szCs w:val="20"/>
              </w:rPr>
            </w:pPr>
            <w:r w:rsidRPr="003F0E32">
              <w:rPr>
                <w:rFonts w:ascii="Arial" w:hAnsi="Arial" w:cs="Arial"/>
                <w:sz w:val="20"/>
                <w:szCs w:val="20"/>
              </w:rPr>
              <w:t>98</w:t>
            </w:r>
          </w:p>
        </w:tc>
        <w:tc>
          <w:tcPr>
            <w:tcW w:w="995" w:type="dxa"/>
            <w:shd w:val="clear" w:color="auto" w:fill="D9D9D9" w:themeFill="background1" w:themeFillShade="D9"/>
            <w:vAlign w:val="center"/>
          </w:tcPr>
          <w:p w14:paraId="6A51572A" w14:textId="64C8E234" w:rsidR="007E15BD" w:rsidRPr="003F0E32" w:rsidRDefault="007E15BD" w:rsidP="007E15BD">
            <w:pPr>
              <w:keepNext/>
              <w:jc w:val="center"/>
              <w:rPr>
                <w:rFonts w:ascii="Arial" w:hAnsi="Arial" w:cs="Arial"/>
                <w:sz w:val="20"/>
                <w:szCs w:val="20"/>
              </w:rPr>
            </w:pPr>
            <w:r w:rsidRPr="003F0E32">
              <w:rPr>
                <w:rFonts w:ascii="Arial" w:hAnsi="Arial" w:cs="Arial"/>
                <w:sz w:val="20"/>
                <w:szCs w:val="20"/>
              </w:rPr>
              <w:t>101</w:t>
            </w:r>
          </w:p>
        </w:tc>
        <w:tc>
          <w:tcPr>
            <w:tcW w:w="995" w:type="dxa"/>
            <w:shd w:val="clear" w:color="auto" w:fill="D9D9D9" w:themeFill="background1" w:themeFillShade="D9"/>
            <w:vAlign w:val="center"/>
          </w:tcPr>
          <w:p w14:paraId="4D89E064" w14:textId="099ACBEC" w:rsidR="007E15BD" w:rsidRPr="003F0E32" w:rsidRDefault="007E15BD" w:rsidP="007E15BD">
            <w:pPr>
              <w:keepNext/>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3D723904" w14:textId="1684A929" w:rsidR="007E15BD" w:rsidRPr="003F0E32" w:rsidRDefault="007E15BD" w:rsidP="007E15BD">
            <w:pPr>
              <w:keepNext/>
              <w:jc w:val="center"/>
              <w:rPr>
                <w:rFonts w:ascii="Arial" w:hAnsi="Arial" w:cs="Arial"/>
                <w:sz w:val="20"/>
                <w:szCs w:val="20"/>
              </w:rPr>
            </w:pPr>
          </w:p>
        </w:tc>
      </w:tr>
      <w:tr w:rsidR="007E15BD" w:rsidRPr="00AB5FD2" w14:paraId="58C5A9BC" w14:textId="77777777" w:rsidTr="001A5AAE">
        <w:trPr>
          <w:trHeight w:val="288"/>
        </w:trPr>
        <w:tc>
          <w:tcPr>
            <w:tcW w:w="4320" w:type="dxa"/>
            <w:vMerge/>
            <w:tcBorders>
              <w:bottom w:val="single" w:sz="2" w:space="0" w:color="auto"/>
            </w:tcBorders>
          </w:tcPr>
          <w:p w14:paraId="06078B7C" w14:textId="77777777" w:rsidR="007E15BD" w:rsidRPr="003F0E32" w:rsidRDefault="007E15BD" w:rsidP="007E15BD">
            <w:pPr>
              <w:pStyle w:val="ListParagraph"/>
              <w:keepNext/>
              <w:numPr>
                <w:ilvl w:val="0"/>
                <w:numId w:val="19"/>
              </w:numPr>
              <w:tabs>
                <w:tab w:val="left" w:pos="2985"/>
              </w:tabs>
              <w:ind w:left="342"/>
              <w:rPr>
                <w:rFonts w:ascii="Arial" w:hAnsi="Arial" w:cs="Arial"/>
                <w:sz w:val="20"/>
                <w:szCs w:val="20"/>
              </w:rPr>
            </w:pPr>
          </w:p>
        </w:tc>
        <w:tc>
          <w:tcPr>
            <w:tcW w:w="785" w:type="dxa"/>
            <w:tcBorders>
              <w:bottom w:val="single" w:sz="2" w:space="0" w:color="auto"/>
            </w:tcBorders>
            <w:shd w:val="clear" w:color="auto" w:fill="FFFFFF" w:themeFill="background1"/>
            <w:vAlign w:val="center"/>
          </w:tcPr>
          <w:p w14:paraId="6A7ECA25" w14:textId="77777777"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target</w:t>
            </w:r>
          </w:p>
        </w:tc>
        <w:tc>
          <w:tcPr>
            <w:tcW w:w="995" w:type="dxa"/>
            <w:tcBorders>
              <w:bottom w:val="single" w:sz="2" w:space="0" w:color="auto"/>
            </w:tcBorders>
            <w:shd w:val="clear" w:color="auto" w:fill="FFFFFF" w:themeFill="background1"/>
            <w:vAlign w:val="center"/>
          </w:tcPr>
          <w:p w14:paraId="1D1DCCD4" w14:textId="128DC6D9"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90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1B479D43" w14:textId="64122974"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90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2568C851" w14:textId="27CD30F1"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90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3FD98F03" w14:textId="05DB5350"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90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185039CA" w14:textId="3D3A1DE7" w:rsidR="007E15BD" w:rsidRPr="003F0E32" w:rsidRDefault="007E15BD" w:rsidP="007E15BD">
            <w:pPr>
              <w:keepNext/>
              <w:jc w:val="center"/>
              <w:rPr>
                <w:rFonts w:ascii="Arial" w:hAnsi="Arial" w:cs="Arial"/>
                <w:i/>
                <w:sz w:val="20"/>
                <w:szCs w:val="20"/>
              </w:rPr>
            </w:pPr>
          </w:p>
        </w:tc>
      </w:tr>
      <w:tr w:rsidR="007E15BD" w:rsidRPr="00AB5FD2" w14:paraId="611B423B" w14:textId="77777777" w:rsidTr="00C34246">
        <w:trPr>
          <w:trHeight w:val="305"/>
        </w:trPr>
        <w:tc>
          <w:tcPr>
            <w:tcW w:w="4320" w:type="dxa"/>
            <w:vMerge w:val="restart"/>
            <w:tcBorders>
              <w:top w:val="single" w:sz="2" w:space="0" w:color="auto"/>
            </w:tcBorders>
          </w:tcPr>
          <w:p w14:paraId="6B05B046" w14:textId="21182F32" w:rsidR="007E15BD" w:rsidRPr="003F0E32" w:rsidRDefault="007E15BD" w:rsidP="007E15BD">
            <w:pPr>
              <w:pStyle w:val="ListParagraph"/>
              <w:numPr>
                <w:ilvl w:val="0"/>
                <w:numId w:val="19"/>
              </w:numPr>
              <w:ind w:left="296" w:hanging="270"/>
              <w:rPr>
                <w:rFonts w:ascii="Arial" w:hAnsi="Arial" w:cs="Arial"/>
                <w:bCs/>
                <w:sz w:val="20"/>
                <w:szCs w:val="20"/>
              </w:rPr>
            </w:pPr>
            <w:r w:rsidRPr="003F0E32">
              <w:rPr>
                <w:rFonts w:ascii="Arial" w:hAnsi="Arial" w:cs="Arial"/>
                <w:color w:val="000000"/>
                <w:sz w:val="20"/>
                <w:szCs w:val="20"/>
              </w:rPr>
              <w:t>Average age of pending unemployment appeals at less than 40 days.</w:t>
            </w:r>
          </w:p>
        </w:tc>
        <w:tc>
          <w:tcPr>
            <w:tcW w:w="785" w:type="dxa"/>
            <w:tcBorders>
              <w:top w:val="single" w:sz="2" w:space="0" w:color="auto"/>
            </w:tcBorders>
            <w:shd w:val="clear" w:color="auto" w:fill="D9D9D9" w:themeFill="background1" w:themeFillShade="D9"/>
            <w:vAlign w:val="center"/>
          </w:tcPr>
          <w:p w14:paraId="54486E88" w14:textId="77777777" w:rsidR="007E15BD" w:rsidRPr="003F0E32" w:rsidRDefault="007E15BD" w:rsidP="007E15BD">
            <w:pPr>
              <w:jc w:val="center"/>
              <w:rPr>
                <w:rFonts w:ascii="Arial" w:hAnsi="Arial" w:cs="Arial"/>
                <w:sz w:val="20"/>
                <w:szCs w:val="20"/>
              </w:rPr>
            </w:pPr>
            <w:r w:rsidRPr="003F0E32">
              <w:rPr>
                <w:rFonts w:ascii="Arial" w:hAnsi="Arial" w:cs="Arial"/>
                <w:sz w:val="20"/>
                <w:szCs w:val="20"/>
              </w:rPr>
              <w:t>actual</w:t>
            </w:r>
          </w:p>
        </w:tc>
        <w:tc>
          <w:tcPr>
            <w:tcW w:w="995" w:type="dxa"/>
            <w:tcBorders>
              <w:top w:val="single" w:sz="2" w:space="0" w:color="auto"/>
            </w:tcBorders>
            <w:shd w:val="clear" w:color="auto" w:fill="D9D9D9" w:themeFill="background1" w:themeFillShade="D9"/>
            <w:vAlign w:val="center"/>
          </w:tcPr>
          <w:p w14:paraId="79C5300B" w14:textId="4A17DBA9" w:rsidR="007E15BD" w:rsidRPr="003F0E32" w:rsidRDefault="007E15BD" w:rsidP="007E15BD">
            <w:pPr>
              <w:jc w:val="center"/>
              <w:rPr>
                <w:rFonts w:ascii="Arial" w:hAnsi="Arial" w:cs="Arial"/>
                <w:color w:val="000000"/>
                <w:sz w:val="20"/>
                <w:szCs w:val="20"/>
              </w:rPr>
            </w:pPr>
            <w:r w:rsidRPr="003F0E32">
              <w:rPr>
                <w:rFonts w:ascii="Arial" w:hAnsi="Arial" w:cs="Arial"/>
                <w:sz w:val="20"/>
                <w:szCs w:val="20"/>
              </w:rPr>
              <w:t>20</w:t>
            </w:r>
          </w:p>
        </w:tc>
        <w:tc>
          <w:tcPr>
            <w:tcW w:w="995" w:type="dxa"/>
            <w:tcBorders>
              <w:top w:val="single" w:sz="2" w:space="0" w:color="auto"/>
            </w:tcBorders>
            <w:shd w:val="clear" w:color="auto" w:fill="D9D9D9" w:themeFill="background1" w:themeFillShade="D9"/>
            <w:vAlign w:val="center"/>
          </w:tcPr>
          <w:p w14:paraId="1CD111A1" w14:textId="1052B3B2" w:rsidR="007E15BD" w:rsidRPr="003F0E32" w:rsidRDefault="007E15BD" w:rsidP="007E15BD">
            <w:pPr>
              <w:jc w:val="center"/>
              <w:rPr>
                <w:rFonts w:ascii="Arial" w:hAnsi="Arial" w:cs="Arial"/>
                <w:sz w:val="20"/>
                <w:szCs w:val="20"/>
              </w:rPr>
            </w:pPr>
            <w:r w:rsidRPr="003F0E32">
              <w:rPr>
                <w:rFonts w:ascii="Arial" w:hAnsi="Arial" w:cs="Arial"/>
                <w:sz w:val="20"/>
                <w:szCs w:val="20"/>
              </w:rPr>
              <w:t>19</w:t>
            </w:r>
          </w:p>
        </w:tc>
        <w:tc>
          <w:tcPr>
            <w:tcW w:w="995" w:type="dxa"/>
            <w:tcBorders>
              <w:top w:val="single" w:sz="2" w:space="0" w:color="auto"/>
            </w:tcBorders>
            <w:shd w:val="clear" w:color="auto" w:fill="D9D9D9" w:themeFill="background1" w:themeFillShade="D9"/>
            <w:vAlign w:val="center"/>
          </w:tcPr>
          <w:p w14:paraId="1B9E1C3E" w14:textId="4FC46A36" w:rsidR="007E15BD" w:rsidRPr="003F0E32" w:rsidRDefault="007E15BD" w:rsidP="007E15BD">
            <w:pPr>
              <w:jc w:val="center"/>
              <w:rPr>
                <w:rFonts w:ascii="Arial" w:hAnsi="Arial" w:cs="Arial"/>
                <w:sz w:val="20"/>
                <w:szCs w:val="20"/>
              </w:rPr>
            </w:pPr>
            <w:r w:rsidRPr="003F0E32">
              <w:rPr>
                <w:rFonts w:ascii="Arial" w:hAnsi="Arial" w:cs="Arial"/>
                <w:sz w:val="20"/>
                <w:szCs w:val="20"/>
              </w:rPr>
              <w:t>16</w:t>
            </w:r>
          </w:p>
        </w:tc>
        <w:tc>
          <w:tcPr>
            <w:tcW w:w="995" w:type="dxa"/>
            <w:tcBorders>
              <w:top w:val="single" w:sz="2" w:space="0" w:color="auto"/>
            </w:tcBorders>
            <w:shd w:val="clear" w:color="auto" w:fill="D9D9D9" w:themeFill="background1" w:themeFillShade="D9"/>
            <w:vAlign w:val="center"/>
          </w:tcPr>
          <w:p w14:paraId="1BAE2655" w14:textId="3D2B7C73" w:rsidR="007E15BD" w:rsidRPr="003F0E32" w:rsidRDefault="007E15BD" w:rsidP="007E15BD">
            <w:pPr>
              <w:jc w:val="center"/>
              <w:rPr>
                <w:rFonts w:ascii="Arial" w:hAnsi="Arial" w:cs="Arial"/>
                <w:sz w:val="20"/>
                <w:szCs w:val="20"/>
              </w:rPr>
            </w:pPr>
            <w:r w:rsidRPr="003F0E32">
              <w:rPr>
                <w:rFonts w:ascii="Arial" w:hAnsi="Arial" w:cs="Arial"/>
                <w:sz w:val="20"/>
                <w:szCs w:val="20"/>
              </w:rPr>
              <w:t>----------</w:t>
            </w:r>
          </w:p>
        </w:tc>
        <w:tc>
          <w:tcPr>
            <w:tcW w:w="995" w:type="dxa"/>
            <w:tcBorders>
              <w:top w:val="single" w:sz="2" w:space="0" w:color="auto"/>
            </w:tcBorders>
            <w:shd w:val="clear" w:color="auto" w:fill="D9D9D9" w:themeFill="background1" w:themeFillShade="D9"/>
            <w:vAlign w:val="center"/>
          </w:tcPr>
          <w:p w14:paraId="03013A03" w14:textId="4B157F80" w:rsidR="007E15BD" w:rsidRPr="003F0E32" w:rsidRDefault="007E15BD" w:rsidP="007E15BD">
            <w:pPr>
              <w:jc w:val="center"/>
              <w:rPr>
                <w:rFonts w:ascii="Arial" w:hAnsi="Arial" w:cs="Arial"/>
                <w:sz w:val="20"/>
                <w:szCs w:val="20"/>
              </w:rPr>
            </w:pPr>
          </w:p>
        </w:tc>
      </w:tr>
      <w:tr w:rsidR="007E15BD" w:rsidRPr="00AB5FD2" w14:paraId="5A652DDC" w14:textId="77777777" w:rsidTr="00C34246">
        <w:trPr>
          <w:trHeight w:val="288"/>
        </w:trPr>
        <w:tc>
          <w:tcPr>
            <w:tcW w:w="4320" w:type="dxa"/>
            <w:vMerge/>
            <w:tcBorders>
              <w:bottom w:val="single" w:sz="2" w:space="0" w:color="auto"/>
            </w:tcBorders>
          </w:tcPr>
          <w:p w14:paraId="6DC8B3AA" w14:textId="77777777" w:rsidR="007E15BD" w:rsidRPr="003F0E32" w:rsidRDefault="007E15BD" w:rsidP="007E15BD">
            <w:pPr>
              <w:pStyle w:val="ListParagraph"/>
              <w:numPr>
                <w:ilvl w:val="0"/>
                <w:numId w:val="19"/>
              </w:numPr>
              <w:tabs>
                <w:tab w:val="left" w:pos="2985"/>
              </w:tabs>
              <w:rPr>
                <w:rFonts w:ascii="Arial" w:hAnsi="Arial" w:cs="Arial"/>
                <w:sz w:val="20"/>
                <w:szCs w:val="20"/>
              </w:rPr>
            </w:pPr>
          </w:p>
        </w:tc>
        <w:tc>
          <w:tcPr>
            <w:tcW w:w="785" w:type="dxa"/>
            <w:tcBorders>
              <w:bottom w:val="single" w:sz="2" w:space="0" w:color="auto"/>
            </w:tcBorders>
            <w:shd w:val="clear" w:color="auto" w:fill="FFFFFF" w:themeFill="background1"/>
            <w:vAlign w:val="center"/>
          </w:tcPr>
          <w:p w14:paraId="47A1769F" w14:textId="77777777" w:rsidR="007E15BD" w:rsidRPr="003F0E32" w:rsidRDefault="007E15BD" w:rsidP="007E15BD">
            <w:pPr>
              <w:jc w:val="center"/>
              <w:rPr>
                <w:rFonts w:ascii="Arial" w:hAnsi="Arial" w:cs="Arial"/>
                <w:i/>
                <w:sz w:val="20"/>
                <w:szCs w:val="20"/>
              </w:rPr>
            </w:pPr>
            <w:r w:rsidRPr="003F0E32">
              <w:rPr>
                <w:rFonts w:ascii="Arial" w:hAnsi="Arial" w:cs="Arial"/>
                <w:i/>
                <w:sz w:val="20"/>
                <w:szCs w:val="20"/>
              </w:rPr>
              <w:t>target</w:t>
            </w:r>
          </w:p>
        </w:tc>
        <w:tc>
          <w:tcPr>
            <w:tcW w:w="995" w:type="dxa"/>
            <w:tcBorders>
              <w:bottom w:val="single" w:sz="2" w:space="0" w:color="auto"/>
            </w:tcBorders>
            <w:shd w:val="clear" w:color="auto" w:fill="FFFFFF" w:themeFill="background1"/>
            <w:vAlign w:val="center"/>
          </w:tcPr>
          <w:p w14:paraId="185080F7" w14:textId="485211A8" w:rsidR="007E15BD" w:rsidRPr="003F0E32" w:rsidRDefault="007E15BD" w:rsidP="007E15BD">
            <w:pPr>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40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637036FB" w14:textId="0F7C379F" w:rsidR="007E15BD" w:rsidRPr="003F0E32" w:rsidRDefault="007E15BD" w:rsidP="007E15BD">
            <w:pPr>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40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62FA1E50" w14:textId="2B6E7D38" w:rsidR="007E15BD" w:rsidRPr="003F0E32" w:rsidRDefault="007E15BD" w:rsidP="007E15BD">
            <w:pPr>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40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3069C8D1" w14:textId="48C6987F" w:rsidR="007E15BD" w:rsidRPr="003F0E32" w:rsidRDefault="007E15BD" w:rsidP="007E15BD">
            <w:pPr>
              <w:jc w:val="center"/>
              <w:rPr>
                <w:rFonts w:ascii="Arial" w:hAnsi="Arial" w:cs="Arial"/>
                <w:i/>
                <w:sz w:val="20"/>
                <w:szCs w:val="20"/>
              </w:rPr>
            </w:pPr>
            <w:r w:rsidRPr="003F0E32">
              <w:rPr>
                <w:rFonts w:ascii="Arial" w:hAnsi="Arial" w:cs="Arial"/>
                <w:i/>
                <w:sz w:val="20"/>
                <w:szCs w:val="20"/>
              </w:rPr>
              <w:t>&lt;</w:t>
            </w:r>
            <w:proofErr w:type="gramStart"/>
            <w:r w:rsidRPr="003F0E32">
              <w:rPr>
                <w:rFonts w:ascii="Arial" w:hAnsi="Arial" w:cs="Arial"/>
                <w:i/>
                <w:sz w:val="20"/>
                <w:szCs w:val="20"/>
              </w:rPr>
              <w:t>40 day</w:t>
            </w:r>
            <w:proofErr w:type="gramEnd"/>
            <w:r w:rsidRPr="003F0E32">
              <w:rPr>
                <w:rFonts w:ascii="Arial" w:hAnsi="Arial" w:cs="Arial"/>
                <w:i/>
                <w:sz w:val="20"/>
                <w:szCs w:val="20"/>
              </w:rPr>
              <w:t xml:space="preserve"> average</w:t>
            </w:r>
          </w:p>
        </w:tc>
        <w:tc>
          <w:tcPr>
            <w:tcW w:w="995" w:type="dxa"/>
            <w:tcBorders>
              <w:bottom w:val="single" w:sz="2" w:space="0" w:color="auto"/>
            </w:tcBorders>
            <w:shd w:val="clear" w:color="auto" w:fill="FFFFFF" w:themeFill="background1"/>
            <w:vAlign w:val="center"/>
          </w:tcPr>
          <w:p w14:paraId="6549C706" w14:textId="33F0C500" w:rsidR="007E15BD" w:rsidRPr="003F0E32" w:rsidRDefault="007E15BD" w:rsidP="007E15BD">
            <w:pPr>
              <w:jc w:val="center"/>
              <w:rPr>
                <w:rFonts w:ascii="Arial" w:hAnsi="Arial" w:cs="Arial"/>
                <w:i/>
                <w:sz w:val="20"/>
                <w:szCs w:val="20"/>
              </w:rPr>
            </w:pPr>
          </w:p>
        </w:tc>
      </w:tr>
      <w:tr w:rsidR="007E15BD" w14:paraId="5C60327C" w14:textId="77777777" w:rsidTr="00FE2F93">
        <w:trPr>
          <w:trHeight w:val="877"/>
        </w:trPr>
        <w:tc>
          <w:tcPr>
            <w:tcW w:w="10080" w:type="dxa"/>
            <w:gridSpan w:val="7"/>
            <w:tcBorders>
              <w:top w:val="nil"/>
              <w:bottom w:val="single" w:sz="4" w:space="0" w:color="auto"/>
            </w:tcBorders>
            <w:shd w:val="clear" w:color="auto" w:fill="DBE5F1" w:themeFill="accent1" w:themeFillTint="33"/>
            <w:vAlign w:val="center"/>
          </w:tcPr>
          <w:p w14:paraId="0A76512E" w14:textId="66D5BBDB" w:rsidR="007E15BD" w:rsidRPr="00AB5FD2" w:rsidRDefault="007E15BD" w:rsidP="007E15BD">
            <w:pPr>
              <w:jc w:val="center"/>
              <w:rPr>
                <w:rFonts w:ascii="Arial" w:hAnsi="Arial" w:cs="Arial"/>
                <w:b/>
                <w:sz w:val="20"/>
              </w:rPr>
            </w:pPr>
            <w:r>
              <w:rPr>
                <w:rFonts w:ascii="Arial" w:hAnsi="Arial" w:cs="Arial"/>
                <w:b/>
                <w:sz w:val="20"/>
              </w:rPr>
              <w:t>Benefits Administration Department Goal</w:t>
            </w:r>
          </w:p>
          <w:p w14:paraId="781518AA" w14:textId="3A3D1D08" w:rsidR="007E15BD" w:rsidRDefault="007E15BD" w:rsidP="007E15BD">
            <w:pPr>
              <w:keepNext/>
              <w:jc w:val="center"/>
              <w:rPr>
                <w:rFonts w:ascii="Arial" w:hAnsi="Arial" w:cs="Arial"/>
                <w:b/>
                <w:sz w:val="20"/>
              </w:rPr>
            </w:pPr>
            <w:r w:rsidRPr="00970B7B">
              <w:rPr>
                <w:rFonts w:ascii="Arial" w:hAnsi="Arial" w:cs="Arial"/>
                <w:i/>
                <w:sz w:val="20"/>
              </w:rPr>
              <w:t>Ensure workers' compensation benefits are paid accurately and timely; resolve emergent issues between claimants and sureties on non-litigated claims; and maintain statutory claim records</w:t>
            </w:r>
          </w:p>
        </w:tc>
      </w:tr>
      <w:tr w:rsidR="007E15BD" w:rsidRPr="00970B7B" w14:paraId="3BBFC74D" w14:textId="77777777" w:rsidTr="001A5AAE">
        <w:trPr>
          <w:trHeight w:val="124"/>
        </w:trPr>
        <w:tc>
          <w:tcPr>
            <w:tcW w:w="4320" w:type="dxa"/>
            <w:vMerge w:val="restart"/>
            <w:shd w:val="clear" w:color="auto" w:fill="auto"/>
          </w:tcPr>
          <w:p w14:paraId="717D9B48" w14:textId="77777777" w:rsidR="007E15BD" w:rsidRPr="00970B7B" w:rsidRDefault="007E15BD" w:rsidP="007E15BD">
            <w:pPr>
              <w:pStyle w:val="ListParagraph"/>
              <w:numPr>
                <w:ilvl w:val="0"/>
                <w:numId w:val="19"/>
              </w:numPr>
              <w:ind w:left="296" w:hanging="270"/>
              <w:rPr>
                <w:rFonts w:ascii="Arial" w:hAnsi="Arial" w:cs="Arial"/>
                <w:b/>
                <w:sz w:val="20"/>
              </w:rPr>
            </w:pPr>
            <w:r w:rsidRPr="00970B7B">
              <w:rPr>
                <w:rFonts w:ascii="Arial" w:hAnsi="Arial" w:cs="Arial"/>
                <w:color w:val="000000"/>
                <w:sz w:val="20"/>
                <w:szCs w:val="20"/>
              </w:rPr>
              <w:t>Issue Lump Sum Settlement Decisions timely.</w:t>
            </w:r>
          </w:p>
          <w:p w14:paraId="7ABB09FF" w14:textId="77777777" w:rsidR="007E15BD" w:rsidRPr="00970B7B" w:rsidRDefault="007E15BD" w:rsidP="007E15BD">
            <w:pPr>
              <w:pStyle w:val="ListParagraph"/>
              <w:ind w:left="386"/>
              <w:rPr>
                <w:rFonts w:ascii="Arial" w:hAnsi="Arial" w:cs="Arial"/>
                <w:b/>
                <w:sz w:val="20"/>
              </w:rPr>
            </w:pPr>
          </w:p>
        </w:tc>
        <w:tc>
          <w:tcPr>
            <w:tcW w:w="785" w:type="dxa"/>
            <w:shd w:val="clear" w:color="auto" w:fill="D9D9D9" w:themeFill="background1" w:themeFillShade="D9"/>
            <w:vAlign w:val="center"/>
          </w:tcPr>
          <w:p w14:paraId="747B6AC1" w14:textId="77777777" w:rsidR="007E15BD" w:rsidRDefault="007E15BD" w:rsidP="007E15BD">
            <w:pPr>
              <w:jc w:val="center"/>
              <w:rPr>
                <w:rFonts w:ascii="Arial" w:hAnsi="Arial" w:cs="Arial"/>
                <w:b/>
                <w:sz w:val="20"/>
              </w:rPr>
            </w:pPr>
            <w:r w:rsidRPr="00AB5FD2">
              <w:rPr>
                <w:rFonts w:ascii="Arial" w:hAnsi="Arial" w:cs="Arial"/>
                <w:sz w:val="20"/>
              </w:rPr>
              <w:t>actual</w:t>
            </w:r>
          </w:p>
        </w:tc>
        <w:tc>
          <w:tcPr>
            <w:tcW w:w="995" w:type="dxa"/>
            <w:shd w:val="clear" w:color="auto" w:fill="D9D9D9" w:themeFill="background1" w:themeFillShade="D9"/>
            <w:vAlign w:val="center"/>
          </w:tcPr>
          <w:p w14:paraId="3DBB5657" w14:textId="621FD714" w:rsidR="007E15BD" w:rsidRPr="00970B7B" w:rsidRDefault="007E15BD" w:rsidP="007E15BD">
            <w:pPr>
              <w:jc w:val="center"/>
              <w:rPr>
                <w:rFonts w:ascii="Arial" w:hAnsi="Arial" w:cs="Arial"/>
                <w:bCs/>
                <w:sz w:val="20"/>
              </w:rPr>
            </w:pPr>
            <w:r>
              <w:rPr>
                <w:rFonts w:ascii="Arial" w:hAnsi="Arial" w:cs="Arial"/>
                <w:bCs/>
                <w:sz w:val="20"/>
              </w:rPr>
              <w:t>5.03</w:t>
            </w:r>
          </w:p>
        </w:tc>
        <w:tc>
          <w:tcPr>
            <w:tcW w:w="995" w:type="dxa"/>
            <w:shd w:val="clear" w:color="auto" w:fill="D9D9D9" w:themeFill="background1" w:themeFillShade="D9"/>
            <w:vAlign w:val="center"/>
          </w:tcPr>
          <w:p w14:paraId="56EC148E" w14:textId="7A8B1273" w:rsidR="007E15BD" w:rsidRPr="00970B7B" w:rsidRDefault="007E15BD" w:rsidP="007E15BD">
            <w:pPr>
              <w:jc w:val="center"/>
              <w:rPr>
                <w:rFonts w:ascii="Arial" w:hAnsi="Arial" w:cs="Arial"/>
                <w:bCs/>
                <w:sz w:val="20"/>
              </w:rPr>
            </w:pPr>
            <w:r>
              <w:rPr>
                <w:rFonts w:ascii="Arial" w:hAnsi="Arial" w:cs="Arial"/>
                <w:bCs/>
                <w:sz w:val="20"/>
              </w:rPr>
              <w:t>7.21</w:t>
            </w:r>
          </w:p>
        </w:tc>
        <w:tc>
          <w:tcPr>
            <w:tcW w:w="995" w:type="dxa"/>
            <w:shd w:val="clear" w:color="auto" w:fill="D9D9D9" w:themeFill="background1" w:themeFillShade="D9"/>
            <w:vAlign w:val="center"/>
          </w:tcPr>
          <w:p w14:paraId="39DD7A55" w14:textId="444FAD1B" w:rsidR="007E15BD" w:rsidRPr="00970B7B" w:rsidRDefault="007E15BD" w:rsidP="007E15BD">
            <w:pPr>
              <w:jc w:val="center"/>
              <w:rPr>
                <w:rFonts w:ascii="Arial" w:hAnsi="Arial" w:cs="Arial"/>
                <w:bCs/>
                <w:sz w:val="20"/>
              </w:rPr>
            </w:pPr>
            <w:r>
              <w:rPr>
                <w:rFonts w:ascii="Arial" w:hAnsi="Arial" w:cs="Arial"/>
                <w:bCs/>
                <w:sz w:val="20"/>
              </w:rPr>
              <w:t>5.89</w:t>
            </w:r>
          </w:p>
        </w:tc>
        <w:tc>
          <w:tcPr>
            <w:tcW w:w="995" w:type="dxa"/>
            <w:shd w:val="clear" w:color="auto" w:fill="D9D9D9" w:themeFill="background1" w:themeFillShade="D9"/>
            <w:vAlign w:val="center"/>
          </w:tcPr>
          <w:p w14:paraId="00AAD431" w14:textId="3FB0AADE" w:rsidR="007E15BD" w:rsidRPr="00970B7B" w:rsidRDefault="007E15BD" w:rsidP="007E15BD">
            <w:pPr>
              <w:jc w:val="center"/>
              <w:rPr>
                <w:rFonts w:ascii="Arial" w:hAnsi="Arial" w:cs="Arial"/>
                <w:bCs/>
                <w:sz w:val="20"/>
              </w:rPr>
            </w:pPr>
            <w:r w:rsidRPr="00AB5FD2">
              <w:rPr>
                <w:rFonts w:ascii="Arial" w:hAnsi="Arial" w:cs="Arial"/>
                <w:sz w:val="20"/>
              </w:rPr>
              <w:t>----------</w:t>
            </w:r>
          </w:p>
        </w:tc>
        <w:tc>
          <w:tcPr>
            <w:tcW w:w="995" w:type="dxa"/>
            <w:shd w:val="clear" w:color="auto" w:fill="D9D9D9" w:themeFill="background1" w:themeFillShade="D9"/>
            <w:vAlign w:val="center"/>
          </w:tcPr>
          <w:p w14:paraId="349B0FF4" w14:textId="38E20372" w:rsidR="007E15BD" w:rsidRPr="00970B7B" w:rsidRDefault="007E15BD" w:rsidP="007E15BD">
            <w:pPr>
              <w:jc w:val="center"/>
              <w:rPr>
                <w:rFonts w:ascii="Arial" w:hAnsi="Arial" w:cs="Arial"/>
                <w:bCs/>
                <w:sz w:val="20"/>
              </w:rPr>
            </w:pPr>
          </w:p>
        </w:tc>
      </w:tr>
      <w:tr w:rsidR="007E15BD" w:rsidRPr="00970B7B" w14:paraId="2249F23E" w14:textId="77777777" w:rsidTr="00FE2F93">
        <w:trPr>
          <w:trHeight w:val="124"/>
        </w:trPr>
        <w:tc>
          <w:tcPr>
            <w:tcW w:w="4320" w:type="dxa"/>
            <w:vMerge/>
            <w:tcBorders>
              <w:bottom w:val="single" w:sz="4" w:space="0" w:color="auto"/>
            </w:tcBorders>
            <w:shd w:val="clear" w:color="auto" w:fill="auto"/>
            <w:vAlign w:val="center"/>
          </w:tcPr>
          <w:p w14:paraId="474DBB23" w14:textId="77777777" w:rsidR="007E15BD" w:rsidRDefault="007E15BD" w:rsidP="007E15BD">
            <w:pPr>
              <w:jc w:val="center"/>
              <w:rPr>
                <w:rFonts w:ascii="Arial" w:hAnsi="Arial" w:cs="Arial"/>
                <w:b/>
                <w:sz w:val="20"/>
              </w:rPr>
            </w:pPr>
          </w:p>
        </w:tc>
        <w:tc>
          <w:tcPr>
            <w:tcW w:w="785" w:type="dxa"/>
            <w:tcBorders>
              <w:bottom w:val="single" w:sz="4" w:space="0" w:color="auto"/>
            </w:tcBorders>
            <w:shd w:val="clear" w:color="auto" w:fill="auto"/>
            <w:vAlign w:val="center"/>
          </w:tcPr>
          <w:p w14:paraId="0C110DED" w14:textId="77777777" w:rsidR="007E15BD" w:rsidRPr="003F0E32" w:rsidRDefault="007E15BD" w:rsidP="007E15BD">
            <w:pPr>
              <w:jc w:val="center"/>
              <w:rPr>
                <w:rFonts w:ascii="Arial" w:hAnsi="Arial" w:cs="Arial"/>
                <w:b/>
                <w:sz w:val="20"/>
                <w:szCs w:val="20"/>
              </w:rPr>
            </w:pPr>
            <w:r w:rsidRPr="003F0E32">
              <w:rPr>
                <w:rFonts w:ascii="Arial" w:hAnsi="Arial" w:cs="Arial"/>
                <w:i/>
                <w:sz w:val="20"/>
                <w:szCs w:val="20"/>
              </w:rPr>
              <w:t>target</w:t>
            </w:r>
          </w:p>
        </w:tc>
        <w:tc>
          <w:tcPr>
            <w:tcW w:w="995" w:type="dxa"/>
            <w:tcBorders>
              <w:bottom w:val="single" w:sz="4" w:space="0" w:color="auto"/>
            </w:tcBorders>
            <w:shd w:val="clear" w:color="auto" w:fill="auto"/>
            <w:vAlign w:val="center"/>
          </w:tcPr>
          <w:p w14:paraId="054FF945" w14:textId="7797DA1E" w:rsidR="007E15BD" w:rsidRPr="003F0E32" w:rsidRDefault="007E15BD" w:rsidP="007E15BD">
            <w:pPr>
              <w:jc w:val="center"/>
              <w:rPr>
                <w:rFonts w:ascii="Arial" w:hAnsi="Arial" w:cs="Arial"/>
                <w:bCs/>
                <w:i/>
                <w:iCs/>
                <w:sz w:val="20"/>
                <w:szCs w:val="20"/>
              </w:rPr>
            </w:pPr>
            <w:r w:rsidRPr="003F0E32">
              <w:rPr>
                <w:rFonts w:ascii="Arial" w:hAnsi="Arial" w:cs="Arial"/>
                <w:bCs/>
                <w:i/>
                <w:iCs/>
                <w:sz w:val="20"/>
                <w:szCs w:val="20"/>
              </w:rPr>
              <w:t>7</w:t>
            </w:r>
          </w:p>
        </w:tc>
        <w:tc>
          <w:tcPr>
            <w:tcW w:w="995" w:type="dxa"/>
            <w:tcBorders>
              <w:bottom w:val="single" w:sz="4" w:space="0" w:color="auto"/>
            </w:tcBorders>
            <w:shd w:val="clear" w:color="auto" w:fill="auto"/>
            <w:vAlign w:val="center"/>
          </w:tcPr>
          <w:p w14:paraId="681A7A12" w14:textId="17979814" w:rsidR="007E15BD" w:rsidRPr="003F0E32" w:rsidRDefault="007E15BD" w:rsidP="007E15BD">
            <w:pPr>
              <w:jc w:val="center"/>
              <w:rPr>
                <w:rFonts w:ascii="Arial" w:hAnsi="Arial" w:cs="Arial"/>
                <w:bCs/>
                <w:i/>
                <w:iCs/>
                <w:sz w:val="20"/>
                <w:szCs w:val="20"/>
              </w:rPr>
            </w:pPr>
            <w:r w:rsidRPr="003F0E32">
              <w:rPr>
                <w:rFonts w:ascii="Arial" w:hAnsi="Arial" w:cs="Arial"/>
                <w:bCs/>
                <w:i/>
                <w:iCs/>
                <w:sz w:val="20"/>
                <w:szCs w:val="20"/>
              </w:rPr>
              <w:t>7</w:t>
            </w:r>
          </w:p>
        </w:tc>
        <w:tc>
          <w:tcPr>
            <w:tcW w:w="995" w:type="dxa"/>
            <w:tcBorders>
              <w:bottom w:val="single" w:sz="4" w:space="0" w:color="auto"/>
            </w:tcBorders>
            <w:shd w:val="clear" w:color="auto" w:fill="auto"/>
            <w:vAlign w:val="center"/>
          </w:tcPr>
          <w:p w14:paraId="5AC9F29B" w14:textId="2DB1EF63" w:rsidR="007E15BD" w:rsidRPr="003F0E32" w:rsidRDefault="007E15BD" w:rsidP="007E15BD">
            <w:pPr>
              <w:jc w:val="center"/>
              <w:rPr>
                <w:rFonts w:ascii="Arial" w:hAnsi="Arial" w:cs="Arial"/>
                <w:bCs/>
                <w:i/>
                <w:iCs/>
                <w:sz w:val="20"/>
                <w:szCs w:val="20"/>
              </w:rPr>
            </w:pPr>
            <w:r w:rsidRPr="003F0E32">
              <w:rPr>
                <w:rFonts w:ascii="Arial" w:hAnsi="Arial" w:cs="Arial"/>
                <w:bCs/>
                <w:i/>
                <w:iCs/>
                <w:sz w:val="20"/>
                <w:szCs w:val="20"/>
              </w:rPr>
              <w:t>7</w:t>
            </w:r>
          </w:p>
        </w:tc>
        <w:tc>
          <w:tcPr>
            <w:tcW w:w="995" w:type="dxa"/>
            <w:tcBorders>
              <w:bottom w:val="single" w:sz="4" w:space="0" w:color="auto"/>
            </w:tcBorders>
            <w:shd w:val="clear" w:color="auto" w:fill="auto"/>
            <w:vAlign w:val="center"/>
          </w:tcPr>
          <w:p w14:paraId="106D1DFF" w14:textId="1E3984AE" w:rsidR="007E15BD" w:rsidRPr="003F0E32" w:rsidRDefault="007E15BD" w:rsidP="007E15BD">
            <w:pPr>
              <w:jc w:val="center"/>
              <w:rPr>
                <w:rFonts w:ascii="Arial" w:hAnsi="Arial" w:cs="Arial"/>
                <w:bCs/>
                <w:i/>
                <w:iCs/>
                <w:sz w:val="20"/>
                <w:szCs w:val="20"/>
              </w:rPr>
            </w:pPr>
            <w:r w:rsidRPr="003F0E32">
              <w:rPr>
                <w:rFonts w:ascii="Arial" w:hAnsi="Arial" w:cs="Arial"/>
                <w:bCs/>
                <w:i/>
                <w:iCs/>
                <w:sz w:val="20"/>
                <w:szCs w:val="20"/>
              </w:rPr>
              <w:t>7</w:t>
            </w:r>
          </w:p>
        </w:tc>
        <w:tc>
          <w:tcPr>
            <w:tcW w:w="995" w:type="dxa"/>
            <w:tcBorders>
              <w:bottom w:val="single" w:sz="4" w:space="0" w:color="auto"/>
            </w:tcBorders>
            <w:shd w:val="clear" w:color="auto" w:fill="auto"/>
            <w:vAlign w:val="center"/>
          </w:tcPr>
          <w:p w14:paraId="45247283" w14:textId="4386E2E3" w:rsidR="007E15BD" w:rsidRPr="003F0E32" w:rsidRDefault="007E15BD" w:rsidP="007E15BD">
            <w:pPr>
              <w:jc w:val="center"/>
              <w:rPr>
                <w:rFonts w:ascii="Arial" w:hAnsi="Arial" w:cs="Arial"/>
                <w:bCs/>
                <w:i/>
                <w:iCs/>
                <w:sz w:val="20"/>
                <w:szCs w:val="20"/>
              </w:rPr>
            </w:pPr>
          </w:p>
        </w:tc>
      </w:tr>
      <w:tr w:rsidR="007E15BD" w:rsidRPr="00970B7B" w14:paraId="0981137C" w14:textId="77777777" w:rsidTr="00FE2F93">
        <w:trPr>
          <w:trHeight w:val="124"/>
        </w:trPr>
        <w:tc>
          <w:tcPr>
            <w:tcW w:w="4320" w:type="dxa"/>
            <w:tcBorders>
              <w:top w:val="single" w:sz="4" w:space="0" w:color="auto"/>
              <w:left w:val="nil"/>
              <w:bottom w:val="nil"/>
              <w:right w:val="nil"/>
            </w:tcBorders>
            <w:shd w:val="clear" w:color="auto" w:fill="auto"/>
            <w:vAlign w:val="center"/>
          </w:tcPr>
          <w:p w14:paraId="778A45B3" w14:textId="37D524BC" w:rsidR="007E15BD" w:rsidRDefault="007E15BD" w:rsidP="007E15BD">
            <w:pPr>
              <w:rPr>
                <w:rFonts w:ascii="Arial" w:hAnsi="Arial" w:cs="Arial"/>
                <w:b/>
                <w:sz w:val="20"/>
              </w:rPr>
            </w:pPr>
          </w:p>
        </w:tc>
        <w:tc>
          <w:tcPr>
            <w:tcW w:w="785" w:type="dxa"/>
            <w:tcBorders>
              <w:top w:val="single" w:sz="4" w:space="0" w:color="auto"/>
              <w:left w:val="nil"/>
              <w:bottom w:val="nil"/>
              <w:right w:val="nil"/>
            </w:tcBorders>
            <w:shd w:val="clear" w:color="auto" w:fill="auto"/>
            <w:vAlign w:val="center"/>
          </w:tcPr>
          <w:p w14:paraId="0EA0E9DA" w14:textId="77777777" w:rsidR="007E15BD" w:rsidRPr="00AB5FD2" w:rsidRDefault="007E15BD" w:rsidP="007E15BD">
            <w:pPr>
              <w:jc w:val="center"/>
              <w:rPr>
                <w:rFonts w:ascii="Arial" w:hAnsi="Arial" w:cs="Arial"/>
                <w:i/>
                <w:sz w:val="16"/>
                <w:szCs w:val="16"/>
              </w:rPr>
            </w:pPr>
          </w:p>
        </w:tc>
        <w:tc>
          <w:tcPr>
            <w:tcW w:w="995" w:type="dxa"/>
            <w:tcBorders>
              <w:top w:val="single" w:sz="4" w:space="0" w:color="auto"/>
              <w:left w:val="nil"/>
              <w:bottom w:val="nil"/>
              <w:right w:val="nil"/>
            </w:tcBorders>
            <w:shd w:val="clear" w:color="auto" w:fill="auto"/>
            <w:vAlign w:val="center"/>
          </w:tcPr>
          <w:p w14:paraId="4E38138E" w14:textId="77777777" w:rsidR="007E15BD" w:rsidRPr="00970B7B" w:rsidRDefault="007E15BD" w:rsidP="007E15BD">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585313BD" w14:textId="77777777" w:rsidR="007E15BD" w:rsidRPr="00970B7B" w:rsidRDefault="007E15BD" w:rsidP="007E15BD">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06291BBF" w14:textId="77777777" w:rsidR="007E15BD" w:rsidRPr="00970B7B" w:rsidRDefault="007E15BD" w:rsidP="007E15BD">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721A18F1" w14:textId="77777777" w:rsidR="007E15BD" w:rsidRPr="00970B7B" w:rsidRDefault="007E15BD" w:rsidP="007E15BD">
            <w:pPr>
              <w:jc w:val="center"/>
              <w:rPr>
                <w:rFonts w:ascii="Arial" w:hAnsi="Arial" w:cs="Arial"/>
                <w:bCs/>
                <w:i/>
                <w:iCs/>
                <w:sz w:val="16"/>
                <w:szCs w:val="20"/>
              </w:rPr>
            </w:pPr>
          </w:p>
        </w:tc>
        <w:tc>
          <w:tcPr>
            <w:tcW w:w="995" w:type="dxa"/>
            <w:tcBorders>
              <w:top w:val="single" w:sz="4" w:space="0" w:color="auto"/>
              <w:left w:val="nil"/>
              <w:bottom w:val="nil"/>
              <w:right w:val="nil"/>
            </w:tcBorders>
            <w:shd w:val="clear" w:color="auto" w:fill="auto"/>
            <w:vAlign w:val="center"/>
          </w:tcPr>
          <w:p w14:paraId="6E3BDC58" w14:textId="77777777" w:rsidR="007E15BD" w:rsidRPr="00970B7B" w:rsidRDefault="007E15BD" w:rsidP="007E15BD">
            <w:pPr>
              <w:jc w:val="center"/>
              <w:rPr>
                <w:rFonts w:ascii="Arial" w:hAnsi="Arial" w:cs="Arial"/>
                <w:bCs/>
                <w:i/>
                <w:iCs/>
                <w:sz w:val="16"/>
                <w:szCs w:val="20"/>
              </w:rPr>
            </w:pPr>
          </w:p>
        </w:tc>
      </w:tr>
      <w:tr w:rsidR="007E15BD" w:rsidRPr="00AB5FD2" w14:paraId="144C2BAF" w14:textId="77777777" w:rsidTr="00FE2F93">
        <w:trPr>
          <w:trHeight w:val="630"/>
        </w:trPr>
        <w:tc>
          <w:tcPr>
            <w:tcW w:w="10080" w:type="dxa"/>
            <w:gridSpan w:val="7"/>
            <w:tcBorders>
              <w:top w:val="nil"/>
            </w:tcBorders>
            <w:shd w:val="clear" w:color="auto" w:fill="DBE5F1" w:themeFill="accent1" w:themeFillTint="33"/>
            <w:vAlign w:val="center"/>
          </w:tcPr>
          <w:p w14:paraId="1DCD1671" w14:textId="2DA29B83" w:rsidR="007E15BD" w:rsidRPr="003F0E32" w:rsidRDefault="007E15BD" w:rsidP="007E15BD">
            <w:pPr>
              <w:jc w:val="center"/>
              <w:rPr>
                <w:rFonts w:ascii="Arial" w:hAnsi="Arial" w:cs="Arial"/>
                <w:b/>
                <w:sz w:val="20"/>
                <w:szCs w:val="20"/>
              </w:rPr>
            </w:pPr>
            <w:r w:rsidRPr="003F0E32">
              <w:rPr>
                <w:rFonts w:ascii="Arial" w:hAnsi="Arial" w:cs="Arial"/>
                <w:b/>
                <w:sz w:val="20"/>
                <w:szCs w:val="20"/>
              </w:rPr>
              <w:lastRenderedPageBreak/>
              <w:t>Employer Compliance Department Goal</w:t>
            </w:r>
          </w:p>
          <w:p w14:paraId="5FE2A120" w14:textId="2A58FB66" w:rsidR="007E15BD" w:rsidRPr="003F0E32" w:rsidRDefault="007E15BD" w:rsidP="007E15BD">
            <w:pPr>
              <w:jc w:val="center"/>
              <w:rPr>
                <w:rFonts w:ascii="Arial" w:hAnsi="Arial" w:cs="Arial"/>
                <w:b/>
                <w:sz w:val="20"/>
                <w:szCs w:val="20"/>
              </w:rPr>
            </w:pPr>
            <w:r w:rsidRPr="003F0E32">
              <w:rPr>
                <w:rFonts w:ascii="Arial" w:hAnsi="Arial" w:cs="Arial"/>
                <w:i/>
                <w:sz w:val="20"/>
                <w:szCs w:val="20"/>
              </w:rPr>
              <w:t>Enforce the insurance requirements of the Idaho Workers' Compensation Law</w:t>
            </w:r>
          </w:p>
        </w:tc>
      </w:tr>
      <w:tr w:rsidR="007E15BD" w:rsidRPr="00AB5FD2" w14:paraId="00A1114C" w14:textId="77777777" w:rsidTr="00970B7B">
        <w:trPr>
          <w:trHeight w:val="165"/>
        </w:trPr>
        <w:tc>
          <w:tcPr>
            <w:tcW w:w="4320" w:type="dxa"/>
            <w:vMerge w:val="restart"/>
            <w:shd w:val="clear" w:color="auto" w:fill="FFFFFF" w:themeFill="background1"/>
          </w:tcPr>
          <w:p w14:paraId="493490FF" w14:textId="159AFA71" w:rsidR="007E15BD" w:rsidRPr="003F0E32" w:rsidRDefault="007E15BD" w:rsidP="007E15BD">
            <w:pPr>
              <w:pStyle w:val="ListParagraph"/>
              <w:numPr>
                <w:ilvl w:val="0"/>
                <w:numId w:val="19"/>
              </w:numPr>
              <w:ind w:left="296" w:hanging="270"/>
              <w:rPr>
                <w:rFonts w:ascii="Arial" w:hAnsi="Arial" w:cs="Arial"/>
                <w:bCs/>
                <w:sz w:val="20"/>
                <w:szCs w:val="20"/>
              </w:rPr>
            </w:pPr>
            <w:bookmarkStart w:id="13" w:name="_Hlk79070027"/>
            <w:r w:rsidRPr="003F0E32">
              <w:rPr>
                <w:rFonts w:ascii="Arial" w:hAnsi="Arial" w:cs="Arial"/>
                <w:color w:val="000000"/>
                <w:sz w:val="20"/>
                <w:szCs w:val="20"/>
              </w:rPr>
              <w:t xml:space="preserve">Percentage of employers who obtained insurance </w:t>
            </w:r>
            <w:proofErr w:type="gramStart"/>
            <w:r w:rsidRPr="003F0E32">
              <w:rPr>
                <w:rFonts w:ascii="Arial" w:hAnsi="Arial" w:cs="Arial"/>
                <w:color w:val="000000"/>
                <w:sz w:val="20"/>
                <w:szCs w:val="20"/>
              </w:rPr>
              <w:t>as a result of</w:t>
            </w:r>
            <w:proofErr w:type="gramEnd"/>
            <w:r w:rsidRPr="003F0E32">
              <w:rPr>
                <w:rFonts w:ascii="Arial" w:hAnsi="Arial" w:cs="Arial"/>
                <w:color w:val="000000"/>
                <w:sz w:val="20"/>
                <w:szCs w:val="20"/>
              </w:rPr>
              <w:t xml:space="preserve"> an Employer Compliance investigation.</w:t>
            </w:r>
          </w:p>
        </w:tc>
        <w:tc>
          <w:tcPr>
            <w:tcW w:w="785" w:type="dxa"/>
            <w:shd w:val="clear" w:color="auto" w:fill="D9D9D9" w:themeFill="background1" w:themeFillShade="D9"/>
            <w:vAlign w:val="center"/>
          </w:tcPr>
          <w:p w14:paraId="00AB57DD" w14:textId="77777777" w:rsidR="007E15BD" w:rsidRPr="003F0E32" w:rsidRDefault="007E15BD" w:rsidP="007E15BD">
            <w:pPr>
              <w:jc w:val="center"/>
              <w:rPr>
                <w:rFonts w:ascii="Arial" w:hAnsi="Arial" w:cs="Arial"/>
                <w:b/>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485668DD" w14:textId="6C67A1B5" w:rsidR="007E15BD" w:rsidRPr="003F0E32" w:rsidRDefault="007E15BD" w:rsidP="007E15BD">
            <w:pPr>
              <w:autoSpaceDE w:val="0"/>
              <w:autoSpaceDN w:val="0"/>
              <w:adjustRightInd w:val="0"/>
              <w:jc w:val="center"/>
              <w:rPr>
                <w:rFonts w:ascii="Arial" w:hAnsi="Arial" w:cs="Arial"/>
                <w:color w:val="000000"/>
                <w:sz w:val="20"/>
                <w:szCs w:val="20"/>
              </w:rPr>
            </w:pPr>
            <w:r w:rsidRPr="003F0E32">
              <w:rPr>
                <w:rFonts w:ascii="Arial" w:hAnsi="Arial" w:cs="Arial"/>
                <w:sz w:val="20"/>
                <w:szCs w:val="20"/>
              </w:rPr>
              <w:t>97.3%</w:t>
            </w:r>
          </w:p>
        </w:tc>
        <w:tc>
          <w:tcPr>
            <w:tcW w:w="995" w:type="dxa"/>
            <w:shd w:val="clear" w:color="auto" w:fill="D9D9D9" w:themeFill="background1" w:themeFillShade="D9"/>
            <w:vAlign w:val="center"/>
          </w:tcPr>
          <w:p w14:paraId="3601CD3D" w14:textId="5EB391DE" w:rsidR="007E15BD" w:rsidRPr="003F0E32" w:rsidRDefault="007E15BD" w:rsidP="007E15BD">
            <w:pPr>
              <w:jc w:val="center"/>
              <w:rPr>
                <w:rFonts w:ascii="Arial" w:hAnsi="Arial" w:cs="Arial"/>
                <w:sz w:val="20"/>
                <w:szCs w:val="20"/>
              </w:rPr>
            </w:pPr>
            <w:r w:rsidRPr="003F0E32">
              <w:rPr>
                <w:rFonts w:ascii="Arial" w:hAnsi="Arial" w:cs="Arial"/>
                <w:sz w:val="20"/>
                <w:szCs w:val="20"/>
              </w:rPr>
              <w:t>97.1%</w:t>
            </w:r>
          </w:p>
        </w:tc>
        <w:tc>
          <w:tcPr>
            <w:tcW w:w="995" w:type="dxa"/>
            <w:shd w:val="clear" w:color="auto" w:fill="D9D9D9" w:themeFill="background1" w:themeFillShade="D9"/>
            <w:vAlign w:val="center"/>
          </w:tcPr>
          <w:p w14:paraId="7E2B7220" w14:textId="29EFC7E4" w:rsidR="007E15BD" w:rsidRPr="003F0E32" w:rsidRDefault="007E15BD" w:rsidP="007E15BD">
            <w:pPr>
              <w:jc w:val="center"/>
              <w:rPr>
                <w:rFonts w:ascii="Arial" w:hAnsi="Arial" w:cs="Arial"/>
                <w:sz w:val="20"/>
                <w:szCs w:val="20"/>
              </w:rPr>
            </w:pPr>
            <w:r w:rsidRPr="003F0E32">
              <w:rPr>
                <w:rFonts w:ascii="Arial" w:hAnsi="Arial" w:cs="Arial"/>
                <w:sz w:val="20"/>
                <w:szCs w:val="20"/>
              </w:rPr>
              <w:t>97%</w:t>
            </w:r>
          </w:p>
        </w:tc>
        <w:tc>
          <w:tcPr>
            <w:tcW w:w="995" w:type="dxa"/>
            <w:shd w:val="clear" w:color="auto" w:fill="D9D9D9" w:themeFill="background1" w:themeFillShade="D9"/>
            <w:vAlign w:val="center"/>
          </w:tcPr>
          <w:p w14:paraId="63C63513" w14:textId="6ED45249" w:rsidR="007E15BD" w:rsidRPr="003F0E32" w:rsidRDefault="007E15BD" w:rsidP="007E15BD">
            <w:pPr>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45EF190E" w14:textId="6A7900F3" w:rsidR="007E15BD" w:rsidRPr="003F0E32" w:rsidRDefault="007E15BD" w:rsidP="007E15BD">
            <w:pPr>
              <w:jc w:val="center"/>
              <w:rPr>
                <w:rFonts w:ascii="Arial" w:hAnsi="Arial" w:cs="Arial"/>
                <w:b/>
                <w:sz w:val="20"/>
                <w:szCs w:val="20"/>
              </w:rPr>
            </w:pPr>
          </w:p>
        </w:tc>
      </w:tr>
      <w:bookmarkEnd w:id="13"/>
      <w:tr w:rsidR="007E15BD" w:rsidRPr="00AB5FD2" w14:paraId="50DFE9E3" w14:textId="77777777" w:rsidTr="00970B7B">
        <w:trPr>
          <w:trHeight w:val="165"/>
        </w:trPr>
        <w:tc>
          <w:tcPr>
            <w:tcW w:w="4320" w:type="dxa"/>
            <w:vMerge/>
            <w:shd w:val="clear" w:color="auto" w:fill="FFFFFF" w:themeFill="background1"/>
            <w:vAlign w:val="center"/>
          </w:tcPr>
          <w:p w14:paraId="3E21309B" w14:textId="77777777" w:rsidR="007E15BD" w:rsidRPr="003F0E32" w:rsidRDefault="007E15BD" w:rsidP="007E15BD">
            <w:pPr>
              <w:jc w:val="center"/>
              <w:rPr>
                <w:rFonts w:ascii="Arial" w:hAnsi="Arial" w:cs="Arial"/>
                <w:b/>
                <w:sz w:val="20"/>
                <w:szCs w:val="20"/>
              </w:rPr>
            </w:pPr>
          </w:p>
        </w:tc>
        <w:tc>
          <w:tcPr>
            <w:tcW w:w="785" w:type="dxa"/>
            <w:shd w:val="clear" w:color="auto" w:fill="FFFFFF" w:themeFill="background1"/>
            <w:vAlign w:val="center"/>
          </w:tcPr>
          <w:p w14:paraId="1A52734B" w14:textId="77777777" w:rsidR="007E15BD" w:rsidRPr="003F0E32" w:rsidRDefault="007E15BD" w:rsidP="007E15BD">
            <w:pPr>
              <w:jc w:val="center"/>
              <w:rPr>
                <w:rFonts w:ascii="Arial" w:hAnsi="Arial" w:cs="Arial"/>
                <w:b/>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681DC009" w14:textId="6265C044" w:rsidR="007E15BD" w:rsidRPr="003F0E32" w:rsidRDefault="007E15BD" w:rsidP="007E15BD">
            <w:pPr>
              <w:jc w:val="center"/>
              <w:rPr>
                <w:rFonts w:ascii="Arial" w:hAnsi="Arial" w:cs="Arial"/>
                <w:i/>
                <w:sz w:val="20"/>
                <w:szCs w:val="20"/>
              </w:rPr>
            </w:pPr>
            <w:r w:rsidRPr="003F0E32">
              <w:rPr>
                <w:rFonts w:ascii="Arial" w:hAnsi="Arial" w:cs="Arial"/>
                <w:i/>
                <w:sz w:val="20"/>
                <w:szCs w:val="20"/>
              </w:rPr>
              <w:t>95%</w:t>
            </w:r>
          </w:p>
        </w:tc>
        <w:tc>
          <w:tcPr>
            <w:tcW w:w="995" w:type="dxa"/>
            <w:shd w:val="clear" w:color="auto" w:fill="FFFFFF" w:themeFill="background1"/>
            <w:vAlign w:val="center"/>
          </w:tcPr>
          <w:p w14:paraId="585D1786" w14:textId="748DD361" w:rsidR="007E15BD" w:rsidRPr="003F0E32" w:rsidRDefault="007E15BD" w:rsidP="007E15BD">
            <w:pPr>
              <w:jc w:val="center"/>
              <w:rPr>
                <w:rFonts w:ascii="Arial" w:hAnsi="Arial" w:cs="Arial"/>
                <w:i/>
                <w:sz w:val="20"/>
                <w:szCs w:val="20"/>
              </w:rPr>
            </w:pPr>
            <w:r w:rsidRPr="003F0E32">
              <w:rPr>
                <w:rFonts w:ascii="Arial" w:hAnsi="Arial" w:cs="Arial"/>
                <w:i/>
                <w:sz w:val="20"/>
                <w:szCs w:val="20"/>
              </w:rPr>
              <w:t>95%</w:t>
            </w:r>
          </w:p>
        </w:tc>
        <w:tc>
          <w:tcPr>
            <w:tcW w:w="995" w:type="dxa"/>
            <w:shd w:val="clear" w:color="auto" w:fill="FFFFFF" w:themeFill="background1"/>
            <w:vAlign w:val="center"/>
          </w:tcPr>
          <w:p w14:paraId="065C4BFF" w14:textId="7FF338E7" w:rsidR="007E15BD" w:rsidRPr="003F0E32" w:rsidRDefault="007E15BD" w:rsidP="007E15BD">
            <w:pPr>
              <w:jc w:val="center"/>
              <w:rPr>
                <w:rFonts w:ascii="Arial" w:hAnsi="Arial" w:cs="Arial"/>
                <w:i/>
                <w:sz w:val="20"/>
                <w:szCs w:val="20"/>
              </w:rPr>
            </w:pPr>
            <w:r w:rsidRPr="003F0E32">
              <w:rPr>
                <w:rFonts w:ascii="Arial" w:hAnsi="Arial" w:cs="Arial"/>
                <w:i/>
                <w:sz w:val="20"/>
                <w:szCs w:val="20"/>
              </w:rPr>
              <w:t>95%</w:t>
            </w:r>
          </w:p>
        </w:tc>
        <w:tc>
          <w:tcPr>
            <w:tcW w:w="995" w:type="dxa"/>
            <w:shd w:val="clear" w:color="auto" w:fill="FFFFFF" w:themeFill="background1"/>
            <w:vAlign w:val="center"/>
          </w:tcPr>
          <w:p w14:paraId="1DDC20B9" w14:textId="30DB021C" w:rsidR="007E15BD" w:rsidRPr="003F0E32" w:rsidRDefault="007E15BD" w:rsidP="007E15BD">
            <w:pPr>
              <w:jc w:val="center"/>
              <w:rPr>
                <w:rFonts w:ascii="Arial" w:hAnsi="Arial" w:cs="Arial"/>
                <w:i/>
                <w:sz w:val="20"/>
                <w:szCs w:val="20"/>
              </w:rPr>
            </w:pPr>
            <w:r w:rsidRPr="003F0E32">
              <w:rPr>
                <w:rFonts w:ascii="Arial" w:hAnsi="Arial" w:cs="Arial"/>
                <w:i/>
                <w:sz w:val="20"/>
                <w:szCs w:val="20"/>
              </w:rPr>
              <w:t>95%</w:t>
            </w:r>
          </w:p>
        </w:tc>
        <w:tc>
          <w:tcPr>
            <w:tcW w:w="995" w:type="dxa"/>
            <w:shd w:val="clear" w:color="auto" w:fill="FFFFFF" w:themeFill="background1"/>
            <w:vAlign w:val="center"/>
          </w:tcPr>
          <w:p w14:paraId="20E01DB2" w14:textId="183DFC6F" w:rsidR="007E15BD" w:rsidRPr="003F0E32" w:rsidRDefault="007E15BD" w:rsidP="007E15BD">
            <w:pPr>
              <w:jc w:val="center"/>
              <w:rPr>
                <w:rFonts w:ascii="Arial" w:hAnsi="Arial" w:cs="Arial"/>
                <w:i/>
                <w:sz w:val="20"/>
                <w:szCs w:val="20"/>
              </w:rPr>
            </w:pPr>
          </w:p>
        </w:tc>
      </w:tr>
      <w:tr w:rsidR="007E15BD" w:rsidRPr="00AB5FD2" w14:paraId="3B01B1B2" w14:textId="77777777" w:rsidTr="00FE2F93">
        <w:trPr>
          <w:trHeight w:val="818"/>
        </w:trPr>
        <w:tc>
          <w:tcPr>
            <w:tcW w:w="10080" w:type="dxa"/>
            <w:gridSpan w:val="7"/>
            <w:shd w:val="clear" w:color="auto" w:fill="DBE5F1" w:themeFill="accent1" w:themeFillTint="33"/>
          </w:tcPr>
          <w:p w14:paraId="428D2C04" w14:textId="4F330C80" w:rsidR="007E15BD" w:rsidRPr="003F0E32" w:rsidRDefault="007E15BD" w:rsidP="007E15BD">
            <w:pPr>
              <w:keepNext/>
              <w:jc w:val="center"/>
              <w:rPr>
                <w:rFonts w:ascii="Arial" w:hAnsi="Arial" w:cs="Arial"/>
                <w:b/>
                <w:sz w:val="20"/>
                <w:szCs w:val="20"/>
              </w:rPr>
            </w:pPr>
            <w:r w:rsidRPr="003F0E32">
              <w:rPr>
                <w:rFonts w:ascii="Arial" w:hAnsi="Arial" w:cs="Arial"/>
                <w:b/>
                <w:sz w:val="20"/>
                <w:szCs w:val="20"/>
              </w:rPr>
              <w:t>Rehabilitation Division Goal</w:t>
            </w:r>
          </w:p>
          <w:p w14:paraId="3CDE6627" w14:textId="676D45A8" w:rsidR="007E15BD" w:rsidRPr="003F0E32" w:rsidRDefault="007E15BD" w:rsidP="007E15BD">
            <w:pPr>
              <w:jc w:val="center"/>
              <w:rPr>
                <w:rFonts w:ascii="Arial" w:hAnsi="Arial" w:cs="Arial"/>
                <w:sz w:val="20"/>
                <w:szCs w:val="20"/>
              </w:rPr>
            </w:pPr>
            <w:r w:rsidRPr="003F0E32">
              <w:rPr>
                <w:rFonts w:ascii="Arial" w:hAnsi="Arial" w:cs="Arial"/>
                <w:i/>
                <w:sz w:val="20"/>
                <w:szCs w:val="20"/>
              </w:rPr>
              <w:t>Assist injured workers by facilitating an early return to employment, that is as close to the workers' pre-injury wage and status as can be obtained</w:t>
            </w:r>
          </w:p>
        </w:tc>
      </w:tr>
      <w:tr w:rsidR="007E15BD" w:rsidRPr="00AB5FD2" w14:paraId="5C2999AA" w14:textId="77777777" w:rsidTr="00970B7B">
        <w:trPr>
          <w:cantSplit/>
          <w:trHeight w:val="288"/>
        </w:trPr>
        <w:tc>
          <w:tcPr>
            <w:tcW w:w="4320" w:type="dxa"/>
            <w:vMerge w:val="restart"/>
          </w:tcPr>
          <w:p w14:paraId="4B0AD719" w14:textId="0D718C31" w:rsidR="007E15BD" w:rsidRPr="003F0E32" w:rsidRDefault="007E15BD" w:rsidP="007E15BD">
            <w:pPr>
              <w:pStyle w:val="ListParagraph"/>
              <w:keepNext/>
              <w:numPr>
                <w:ilvl w:val="0"/>
                <w:numId w:val="19"/>
              </w:numPr>
              <w:ind w:left="300" w:hanging="270"/>
              <w:rPr>
                <w:rFonts w:ascii="Arial" w:hAnsi="Arial" w:cs="Arial"/>
                <w:bCs/>
                <w:sz w:val="20"/>
                <w:szCs w:val="20"/>
              </w:rPr>
            </w:pPr>
            <w:r w:rsidRPr="003F0E32">
              <w:rPr>
                <w:rFonts w:ascii="Arial" w:hAnsi="Arial" w:cs="Arial"/>
                <w:color w:val="000000"/>
                <w:sz w:val="20"/>
                <w:szCs w:val="20"/>
              </w:rPr>
              <w:t xml:space="preserve">Eligible injured workers who returned to work </w:t>
            </w:r>
            <w:proofErr w:type="gramStart"/>
            <w:r w:rsidRPr="003F0E32">
              <w:rPr>
                <w:rFonts w:ascii="Arial" w:hAnsi="Arial" w:cs="Arial"/>
                <w:color w:val="000000"/>
                <w:sz w:val="20"/>
                <w:szCs w:val="20"/>
              </w:rPr>
              <w:t>as a result of</w:t>
            </w:r>
            <w:proofErr w:type="gramEnd"/>
            <w:r w:rsidRPr="003F0E32">
              <w:rPr>
                <w:rFonts w:ascii="Arial" w:hAnsi="Arial" w:cs="Arial"/>
                <w:color w:val="000000"/>
                <w:sz w:val="20"/>
                <w:szCs w:val="20"/>
              </w:rPr>
              <w:t xml:space="preserve"> services provided.</w:t>
            </w:r>
          </w:p>
        </w:tc>
        <w:tc>
          <w:tcPr>
            <w:tcW w:w="785" w:type="dxa"/>
            <w:shd w:val="clear" w:color="auto" w:fill="D9D9D9" w:themeFill="background1" w:themeFillShade="D9"/>
            <w:vAlign w:val="center"/>
          </w:tcPr>
          <w:p w14:paraId="79EAC753" w14:textId="77777777" w:rsidR="007E15BD" w:rsidRPr="003F0E32" w:rsidRDefault="007E15BD" w:rsidP="007E15BD">
            <w:pPr>
              <w:keepNext/>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3EEDB4E9" w14:textId="0964B8F6" w:rsidR="007E15BD" w:rsidRPr="003F0E32" w:rsidRDefault="007E15BD" w:rsidP="007E15BD">
            <w:pPr>
              <w:keepNext/>
              <w:jc w:val="center"/>
              <w:rPr>
                <w:rFonts w:ascii="Arial" w:hAnsi="Arial" w:cs="Arial"/>
                <w:color w:val="000000"/>
                <w:sz w:val="20"/>
                <w:szCs w:val="20"/>
              </w:rPr>
            </w:pPr>
            <w:r w:rsidRPr="003F0E32">
              <w:rPr>
                <w:rFonts w:ascii="Arial" w:hAnsi="Arial" w:cs="Arial"/>
                <w:sz w:val="20"/>
                <w:szCs w:val="20"/>
              </w:rPr>
              <w:t>70.75%</w:t>
            </w:r>
          </w:p>
        </w:tc>
        <w:tc>
          <w:tcPr>
            <w:tcW w:w="995" w:type="dxa"/>
            <w:shd w:val="clear" w:color="auto" w:fill="D9D9D9" w:themeFill="background1" w:themeFillShade="D9"/>
            <w:vAlign w:val="center"/>
          </w:tcPr>
          <w:p w14:paraId="40422EED" w14:textId="78186073" w:rsidR="007E15BD" w:rsidRPr="003F0E32" w:rsidRDefault="007E15BD" w:rsidP="007E15BD">
            <w:pPr>
              <w:keepNext/>
              <w:jc w:val="center"/>
              <w:rPr>
                <w:rFonts w:ascii="Arial" w:hAnsi="Arial" w:cs="Arial"/>
                <w:sz w:val="20"/>
                <w:szCs w:val="20"/>
              </w:rPr>
            </w:pPr>
            <w:r w:rsidRPr="003F0E32">
              <w:rPr>
                <w:rFonts w:ascii="Arial" w:hAnsi="Arial" w:cs="Arial"/>
                <w:sz w:val="20"/>
                <w:szCs w:val="20"/>
              </w:rPr>
              <w:t>72.74%</w:t>
            </w:r>
          </w:p>
        </w:tc>
        <w:tc>
          <w:tcPr>
            <w:tcW w:w="995" w:type="dxa"/>
            <w:shd w:val="clear" w:color="auto" w:fill="D9D9D9" w:themeFill="background1" w:themeFillShade="D9"/>
            <w:vAlign w:val="center"/>
          </w:tcPr>
          <w:p w14:paraId="460F2399" w14:textId="5A3906A0" w:rsidR="007E15BD" w:rsidRPr="003F0E32" w:rsidRDefault="007E15BD" w:rsidP="007E15BD">
            <w:pPr>
              <w:keepNext/>
              <w:jc w:val="center"/>
              <w:rPr>
                <w:rFonts w:ascii="Arial" w:hAnsi="Arial" w:cs="Arial"/>
                <w:sz w:val="20"/>
                <w:szCs w:val="20"/>
              </w:rPr>
            </w:pPr>
            <w:r w:rsidRPr="003F0E32">
              <w:rPr>
                <w:rFonts w:ascii="Arial" w:hAnsi="Arial" w:cs="Arial"/>
                <w:sz w:val="20"/>
                <w:szCs w:val="20"/>
              </w:rPr>
              <w:t>71.9%</w:t>
            </w:r>
          </w:p>
        </w:tc>
        <w:tc>
          <w:tcPr>
            <w:tcW w:w="995" w:type="dxa"/>
            <w:shd w:val="clear" w:color="auto" w:fill="D9D9D9" w:themeFill="background1" w:themeFillShade="D9"/>
            <w:vAlign w:val="center"/>
          </w:tcPr>
          <w:p w14:paraId="4DD574D4" w14:textId="58C002DD" w:rsidR="007E15BD" w:rsidRPr="003F0E32" w:rsidRDefault="007E15BD" w:rsidP="007E15BD">
            <w:pPr>
              <w:keepNext/>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10EFD777" w14:textId="2D28D34C" w:rsidR="007E15BD" w:rsidRPr="003F0E32" w:rsidRDefault="007E15BD" w:rsidP="007E15BD">
            <w:pPr>
              <w:keepNext/>
              <w:jc w:val="center"/>
              <w:rPr>
                <w:rFonts w:ascii="Arial" w:hAnsi="Arial" w:cs="Arial"/>
                <w:sz w:val="20"/>
                <w:szCs w:val="20"/>
              </w:rPr>
            </w:pPr>
          </w:p>
        </w:tc>
      </w:tr>
      <w:tr w:rsidR="007E15BD" w:rsidRPr="00AB5FD2" w14:paraId="1AA8285A" w14:textId="77777777" w:rsidTr="00970B7B">
        <w:trPr>
          <w:cantSplit/>
          <w:trHeight w:val="288"/>
        </w:trPr>
        <w:tc>
          <w:tcPr>
            <w:tcW w:w="4320" w:type="dxa"/>
            <w:vMerge/>
          </w:tcPr>
          <w:p w14:paraId="42F8F9C1" w14:textId="77777777" w:rsidR="007E15BD" w:rsidRPr="003F0E32" w:rsidRDefault="007E15BD" w:rsidP="007E15BD">
            <w:pPr>
              <w:pStyle w:val="ListParagraph"/>
              <w:keepNext/>
              <w:numPr>
                <w:ilvl w:val="0"/>
                <w:numId w:val="19"/>
              </w:numPr>
              <w:tabs>
                <w:tab w:val="left" w:pos="2985"/>
              </w:tabs>
              <w:ind w:left="300" w:hanging="270"/>
              <w:rPr>
                <w:rFonts w:ascii="Arial" w:hAnsi="Arial" w:cs="Arial"/>
                <w:sz w:val="20"/>
                <w:szCs w:val="20"/>
              </w:rPr>
            </w:pPr>
          </w:p>
        </w:tc>
        <w:tc>
          <w:tcPr>
            <w:tcW w:w="785" w:type="dxa"/>
            <w:shd w:val="clear" w:color="auto" w:fill="FFFFFF" w:themeFill="background1"/>
            <w:vAlign w:val="center"/>
          </w:tcPr>
          <w:p w14:paraId="649249A3" w14:textId="77777777" w:rsidR="007E15BD" w:rsidRPr="003F0E32" w:rsidRDefault="007E15BD" w:rsidP="007E15BD">
            <w:pPr>
              <w:keepNext/>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5B1FDAF7" w14:textId="593AB0D9"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60%</w:t>
            </w:r>
          </w:p>
        </w:tc>
        <w:tc>
          <w:tcPr>
            <w:tcW w:w="995" w:type="dxa"/>
            <w:shd w:val="clear" w:color="auto" w:fill="FFFFFF" w:themeFill="background1"/>
            <w:vAlign w:val="center"/>
          </w:tcPr>
          <w:p w14:paraId="70200D05" w14:textId="3B9F697F"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65%</w:t>
            </w:r>
          </w:p>
        </w:tc>
        <w:tc>
          <w:tcPr>
            <w:tcW w:w="995" w:type="dxa"/>
            <w:shd w:val="clear" w:color="auto" w:fill="FFFFFF" w:themeFill="background1"/>
            <w:vAlign w:val="center"/>
          </w:tcPr>
          <w:p w14:paraId="18A06A1C" w14:textId="6D9EFFDB"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65%</w:t>
            </w:r>
          </w:p>
        </w:tc>
        <w:tc>
          <w:tcPr>
            <w:tcW w:w="995" w:type="dxa"/>
            <w:shd w:val="clear" w:color="auto" w:fill="FFFFFF" w:themeFill="background1"/>
            <w:vAlign w:val="center"/>
          </w:tcPr>
          <w:p w14:paraId="5D138039" w14:textId="07CA62C8" w:rsidR="007E15BD" w:rsidRPr="003F0E32" w:rsidRDefault="007E15BD" w:rsidP="007E15BD">
            <w:pPr>
              <w:keepNext/>
              <w:jc w:val="center"/>
              <w:rPr>
                <w:rFonts w:ascii="Arial" w:hAnsi="Arial" w:cs="Arial"/>
                <w:i/>
                <w:sz w:val="20"/>
                <w:szCs w:val="20"/>
              </w:rPr>
            </w:pPr>
            <w:r w:rsidRPr="003F0E32">
              <w:rPr>
                <w:rFonts w:ascii="Arial" w:hAnsi="Arial" w:cs="Arial"/>
                <w:i/>
                <w:sz w:val="20"/>
                <w:szCs w:val="20"/>
              </w:rPr>
              <w:t>75%</w:t>
            </w:r>
          </w:p>
        </w:tc>
        <w:tc>
          <w:tcPr>
            <w:tcW w:w="995" w:type="dxa"/>
            <w:shd w:val="clear" w:color="auto" w:fill="FFFFFF" w:themeFill="background1"/>
            <w:vAlign w:val="center"/>
          </w:tcPr>
          <w:p w14:paraId="502AF28F" w14:textId="704C511B" w:rsidR="007E15BD" w:rsidRPr="003F0E32" w:rsidRDefault="007E15BD" w:rsidP="007E15BD">
            <w:pPr>
              <w:keepNext/>
              <w:jc w:val="center"/>
              <w:rPr>
                <w:rFonts w:ascii="Arial" w:hAnsi="Arial" w:cs="Arial"/>
                <w:i/>
                <w:sz w:val="20"/>
                <w:szCs w:val="20"/>
              </w:rPr>
            </w:pPr>
          </w:p>
        </w:tc>
      </w:tr>
      <w:tr w:rsidR="007E15BD" w:rsidRPr="00AB5FD2" w14:paraId="635569EF" w14:textId="77777777" w:rsidTr="00970B7B">
        <w:trPr>
          <w:trHeight w:val="288"/>
        </w:trPr>
        <w:tc>
          <w:tcPr>
            <w:tcW w:w="4320" w:type="dxa"/>
            <w:vMerge w:val="restart"/>
          </w:tcPr>
          <w:p w14:paraId="4020B45A" w14:textId="77DE4463" w:rsidR="007E15BD" w:rsidRPr="003F0E32" w:rsidRDefault="007E15BD" w:rsidP="007E15BD">
            <w:pPr>
              <w:pStyle w:val="ListParagraph"/>
              <w:numPr>
                <w:ilvl w:val="0"/>
                <w:numId w:val="19"/>
              </w:numPr>
              <w:ind w:left="300" w:hanging="270"/>
              <w:rPr>
                <w:rFonts w:ascii="Arial" w:hAnsi="Arial" w:cs="Arial"/>
                <w:bCs/>
                <w:sz w:val="20"/>
                <w:szCs w:val="20"/>
              </w:rPr>
            </w:pPr>
            <w:r w:rsidRPr="003F0E32">
              <w:rPr>
                <w:rFonts w:ascii="Arial" w:hAnsi="Arial" w:cs="Arial"/>
                <w:color w:val="000000"/>
                <w:sz w:val="20"/>
                <w:szCs w:val="20"/>
              </w:rPr>
              <w:t>Percentage of pre-injury wages restored for injured workers who returned to work.</w:t>
            </w:r>
          </w:p>
        </w:tc>
        <w:tc>
          <w:tcPr>
            <w:tcW w:w="785" w:type="dxa"/>
            <w:shd w:val="clear" w:color="auto" w:fill="D9D9D9" w:themeFill="background1" w:themeFillShade="D9"/>
            <w:vAlign w:val="center"/>
          </w:tcPr>
          <w:p w14:paraId="41B3A841" w14:textId="77777777" w:rsidR="007E15BD" w:rsidRPr="003F0E32" w:rsidRDefault="007E15BD" w:rsidP="007E15BD">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244A8B00" w14:textId="7A3C4D9F" w:rsidR="007E15BD" w:rsidRPr="003F0E32" w:rsidRDefault="007E15BD" w:rsidP="007E15BD">
            <w:pPr>
              <w:jc w:val="center"/>
              <w:rPr>
                <w:rFonts w:ascii="Arial" w:hAnsi="Arial" w:cs="Arial"/>
                <w:color w:val="000000"/>
                <w:sz w:val="20"/>
                <w:szCs w:val="20"/>
              </w:rPr>
            </w:pPr>
            <w:r w:rsidRPr="003F0E32">
              <w:rPr>
                <w:rFonts w:ascii="Arial" w:hAnsi="Arial" w:cs="Arial"/>
                <w:sz w:val="20"/>
                <w:szCs w:val="20"/>
              </w:rPr>
              <w:t>92.51%</w:t>
            </w:r>
          </w:p>
        </w:tc>
        <w:tc>
          <w:tcPr>
            <w:tcW w:w="995" w:type="dxa"/>
            <w:shd w:val="clear" w:color="auto" w:fill="D9D9D9" w:themeFill="background1" w:themeFillShade="D9"/>
            <w:vAlign w:val="center"/>
          </w:tcPr>
          <w:p w14:paraId="5AC33A1E" w14:textId="767ACB16" w:rsidR="007E15BD" w:rsidRPr="003F0E32" w:rsidRDefault="007E15BD" w:rsidP="007E15BD">
            <w:pPr>
              <w:jc w:val="center"/>
              <w:rPr>
                <w:rFonts w:ascii="Arial" w:hAnsi="Arial" w:cs="Arial"/>
                <w:sz w:val="20"/>
                <w:szCs w:val="20"/>
              </w:rPr>
            </w:pPr>
            <w:r w:rsidRPr="003F0E32">
              <w:rPr>
                <w:rFonts w:ascii="Arial" w:hAnsi="Arial" w:cs="Arial"/>
                <w:sz w:val="20"/>
                <w:szCs w:val="20"/>
              </w:rPr>
              <w:t>94.83%</w:t>
            </w:r>
          </w:p>
        </w:tc>
        <w:tc>
          <w:tcPr>
            <w:tcW w:w="995" w:type="dxa"/>
            <w:shd w:val="clear" w:color="auto" w:fill="D9D9D9" w:themeFill="background1" w:themeFillShade="D9"/>
            <w:vAlign w:val="center"/>
          </w:tcPr>
          <w:p w14:paraId="0E9976CE" w14:textId="5FCE14C9" w:rsidR="007E15BD" w:rsidRPr="003F0E32" w:rsidRDefault="007E15BD" w:rsidP="007E15BD">
            <w:pPr>
              <w:jc w:val="center"/>
              <w:rPr>
                <w:rFonts w:ascii="Arial" w:hAnsi="Arial" w:cs="Arial"/>
                <w:sz w:val="20"/>
                <w:szCs w:val="20"/>
              </w:rPr>
            </w:pPr>
            <w:r w:rsidRPr="003F0E32">
              <w:rPr>
                <w:rFonts w:ascii="Arial" w:hAnsi="Arial" w:cs="Arial"/>
                <w:sz w:val="20"/>
                <w:szCs w:val="20"/>
              </w:rPr>
              <w:t>94.87%</w:t>
            </w:r>
          </w:p>
        </w:tc>
        <w:tc>
          <w:tcPr>
            <w:tcW w:w="995" w:type="dxa"/>
            <w:shd w:val="clear" w:color="auto" w:fill="D9D9D9" w:themeFill="background1" w:themeFillShade="D9"/>
            <w:vAlign w:val="center"/>
          </w:tcPr>
          <w:p w14:paraId="306F7183" w14:textId="00003E5D" w:rsidR="007E15BD" w:rsidRPr="003F0E32" w:rsidRDefault="007E15BD" w:rsidP="007E15BD">
            <w:pPr>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3E627CAA" w14:textId="0EE6691D" w:rsidR="007E15BD" w:rsidRPr="003F0E32" w:rsidRDefault="007E15BD" w:rsidP="007E15BD">
            <w:pPr>
              <w:jc w:val="center"/>
              <w:rPr>
                <w:rFonts w:ascii="Arial" w:hAnsi="Arial" w:cs="Arial"/>
                <w:sz w:val="20"/>
                <w:szCs w:val="20"/>
              </w:rPr>
            </w:pPr>
          </w:p>
        </w:tc>
      </w:tr>
      <w:tr w:rsidR="007E15BD" w:rsidRPr="00AB5FD2" w14:paraId="54A9DBBF" w14:textId="77777777" w:rsidTr="00970B7B">
        <w:trPr>
          <w:trHeight w:val="288"/>
        </w:trPr>
        <w:tc>
          <w:tcPr>
            <w:tcW w:w="4320" w:type="dxa"/>
            <w:vMerge/>
          </w:tcPr>
          <w:p w14:paraId="5ECDF068" w14:textId="77777777" w:rsidR="007E15BD" w:rsidRPr="003F0E32" w:rsidRDefault="007E15BD" w:rsidP="007E15BD">
            <w:pPr>
              <w:pStyle w:val="ListParagraph"/>
              <w:numPr>
                <w:ilvl w:val="0"/>
                <w:numId w:val="19"/>
              </w:numPr>
              <w:tabs>
                <w:tab w:val="left" w:pos="2985"/>
              </w:tabs>
              <w:rPr>
                <w:rFonts w:ascii="Arial" w:hAnsi="Arial" w:cs="Arial"/>
                <w:sz w:val="20"/>
                <w:szCs w:val="20"/>
              </w:rPr>
            </w:pPr>
          </w:p>
        </w:tc>
        <w:tc>
          <w:tcPr>
            <w:tcW w:w="785" w:type="dxa"/>
            <w:shd w:val="clear" w:color="auto" w:fill="FFFFFF" w:themeFill="background1"/>
            <w:vAlign w:val="center"/>
          </w:tcPr>
          <w:p w14:paraId="1D8CA5EB" w14:textId="77777777" w:rsidR="007E15BD" w:rsidRPr="003F0E32" w:rsidRDefault="007E15BD" w:rsidP="007E15BD">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37C5DD92" w14:textId="24651302" w:rsidR="007E15BD" w:rsidRPr="003F0E32" w:rsidRDefault="007E15BD" w:rsidP="007E15BD">
            <w:pPr>
              <w:jc w:val="center"/>
              <w:rPr>
                <w:rFonts w:ascii="Arial" w:hAnsi="Arial" w:cs="Arial"/>
                <w:i/>
                <w:sz w:val="20"/>
                <w:szCs w:val="20"/>
              </w:rPr>
            </w:pPr>
            <w:r w:rsidRPr="003F0E32">
              <w:rPr>
                <w:rFonts w:ascii="Arial" w:hAnsi="Arial" w:cs="Arial"/>
                <w:i/>
                <w:sz w:val="20"/>
                <w:szCs w:val="20"/>
              </w:rPr>
              <w:t>90%</w:t>
            </w:r>
          </w:p>
        </w:tc>
        <w:tc>
          <w:tcPr>
            <w:tcW w:w="995" w:type="dxa"/>
            <w:shd w:val="clear" w:color="auto" w:fill="FFFFFF" w:themeFill="background1"/>
            <w:vAlign w:val="center"/>
          </w:tcPr>
          <w:p w14:paraId="3CD20288" w14:textId="5497076C" w:rsidR="007E15BD" w:rsidRPr="003F0E32" w:rsidRDefault="007E15BD" w:rsidP="007E15BD">
            <w:pPr>
              <w:jc w:val="center"/>
              <w:rPr>
                <w:rFonts w:ascii="Arial" w:hAnsi="Arial" w:cs="Arial"/>
                <w:i/>
                <w:sz w:val="20"/>
                <w:szCs w:val="20"/>
              </w:rPr>
            </w:pPr>
            <w:r w:rsidRPr="003F0E32">
              <w:rPr>
                <w:rFonts w:ascii="Arial" w:hAnsi="Arial" w:cs="Arial"/>
                <w:i/>
                <w:sz w:val="20"/>
                <w:szCs w:val="20"/>
              </w:rPr>
              <w:t>90%</w:t>
            </w:r>
          </w:p>
        </w:tc>
        <w:tc>
          <w:tcPr>
            <w:tcW w:w="995" w:type="dxa"/>
            <w:shd w:val="clear" w:color="auto" w:fill="FFFFFF" w:themeFill="background1"/>
            <w:vAlign w:val="center"/>
          </w:tcPr>
          <w:p w14:paraId="5FB7E2BD" w14:textId="41049DBD" w:rsidR="007E15BD" w:rsidRPr="003F0E32" w:rsidRDefault="007E15BD" w:rsidP="007E15BD">
            <w:pPr>
              <w:jc w:val="center"/>
              <w:rPr>
                <w:rFonts w:ascii="Arial" w:hAnsi="Arial" w:cs="Arial"/>
                <w:i/>
                <w:sz w:val="20"/>
                <w:szCs w:val="20"/>
              </w:rPr>
            </w:pPr>
            <w:r w:rsidRPr="003F0E32">
              <w:rPr>
                <w:rFonts w:ascii="Arial" w:hAnsi="Arial" w:cs="Arial"/>
                <w:i/>
                <w:sz w:val="20"/>
                <w:szCs w:val="20"/>
              </w:rPr>
              <w:t>90%</w:t>
            </w:r>
          </w:p>
        </w:tc>
        <w:tc>
          <w:tcPr>
            <w:tcW w:w="995" w:type="dxa"/>
            <w:shd w:val="clear" w:color="auto" w:fill="FFFFFF" w:themeFill="background1"/>
            <w:vAlign w:val="center"/>
          </w:tcPr>
          <w:p w14:paraId="2C824381" w14:textId="69243DE4" w:rsidR="007E15BD" w:rsidRPr="003F0E32" w:rsidRDefault="007E15BD" w:rsidP="007E15BD">
            <w:pPr>
              <w:jc w:val="center"/>
              <w:rPr>
                <w:rFonts w:ascii="Arial" w:hAnsi="Arial" w:cs="Arial"/>
                <w:i/>
                <w:sz w:val="20"/>
                <w:szCs w:val="20"/>
              </w:rPr>
            </w:pPr>
            <w:r w:rsidRPr="003F0E32">
              <w:rPr>
                <w:rFonts w:ascii="Arial" w:hAnsi="Arial" w:cs="Arial"/>
                <w:i/>
                <w:sz w:val="20"/>
                <w:szCs w:val="20"/>
              </w:rPr>
              <w:t>90%</w:t>
            </w:r>
          </w:p>
        </w:tc>
        <w:tc>
          <w:tcPr>
            <w:tcW w:w="995" w:type="dxa"/>
            <w:shd w:val="clear" w:color="auto" w:fill="FFFFFF" w:themeFill="background1"/>
            <w:vAlign w:val="center"/>
          </w:tcPr>
          <w:p w14:paraId="1C647359" w14:textId="42B2B06B" w:rsidR="007E15BD" w:rsidRPr="003F0E32" w:rsidRDefault="007E15BD" w:rsidP="007E15BD">
            <w:pPr>
              <w:jc w:val="center"/>
              <w:rPr>
                <w:rFonts w:ascii="Arial" w:hAnsi="Arial" w:cs="Arial"/>
                <w:i/>
                <w:sz w:val="20"/>
                <w:szCs w:val="20"/>
              </w:rPr>
            </w:pPr>
          </w:p>
        </w:tc>
      </w:tr>
      <w:tr w:rsidR="007E15BD" w:rsidRPr="00AB5FD2" w14:paraId="58C2C53F" w14:textId="77777777" w:rsidTr="00FE2F93">
        <w:trPr>
          <w:trHeight w:val="782"/>
        </w:trPr>
        <w:tc>
          <w:tcPr>
            <w:tcW w:w="10080" w:type="dxa"/>
            <w:gridSpan w:val="7"/>
            <w:shd w:val="clear" w:color="auto" w:fill="DBE5F1" w:themeFill="accent1" w:themeFillTint="33"/>
          </w:tcPr>
          <w:p w14:paraId="136013FE" w14:textId="79C9D666" w:rsidR="007E15BD" w:rsidRPr="003F0E32" w:rsidRDefault="007E15BD" w:rsidP="007E15BD">
            <w:pPr>
              <w:jc w:val="center"/>
              <w:rPr>
                <w:rFonts w:ascii="Arial" w:hAnsi="Arial" w:cs="Arial"/>
                <w:b/>
                <w:sz w:val="20"/>
                <w:szCs w:val="20"/>
              </w:rPr>
            </w:pPr>
            <w:bookmarkStart w:id="14" w:name="_Hlk78444019"/>
            <w:r w:rsidRPr="003F0E32">
              <w:rPr>
                <w:rFonts w:ascii="Arial" w:hAnsi="Arial" w:cs="Arial"/>
                <w:b/>
                <w:sz w:val="20"/>
                <w:szCs w:val="20"/>
              </w:rPr>
              <w:t>Crime Victims Compensation Program Goal</w:t>
            </w:r>
          </w:p>
          <w:p w14:paraId="67EBB670" w14:textId="202B269B" w:rsidR="007E15BD" w:rsidRPr="003F0E32" w:rsidRDefault="007E15BD" w:rsidP="007E15BD">
            <w:pPr>
              <w:jc w:val="center"/>
              <w:rPr>
                <w:rFonts w:ascii="Arial" w:hAnsi="Arial" w:cs="Arial"/>
                <w:i/>
                <w:sz w:val="20"/>
                <w:szCs w:val="20"/>
              </w:rPr>
            </w:pPr>
            <w:r w:rsidRPr="003F0E32">
              <w:rPr>
                <w:rFonts w:ascii="Arial" w:hAnsi="Arial" w:cs="Arial"/>
                <w:i/>
                <w:sz w:val="20"/>
                <w:szCs w:val="20"/>
              </w:rPr>
              <w:t xml:space="preserve">Provide financial assistance to victims of crime for medical expenses, mental health expenses, funeral costs, and lost wages that are incurred </w:t>
            </w:r>
            <w:proofErr w:type="gramStart"/>
            <w:r w:rsidRPr="003F0E32">
              <w:rPr>
                <w:rFonts w:ascii="Arial" w:hAnsi="Arial" w:cs="Arial"/>
                <w:i/>
                <w:sz w:val="20"/>
                <w:szCs w:val="20"/>
              </w:rPr>
              <w:t>as a result of</w:t>
            </w:r>
            <w:proofErr w:type="gramEnd"/>
            <w:r w:rsidRPr="003F0E32">
              <w:rPr>
                <w:rFonts w:ascii="Arial" w:hAnsi="Arial" w:cs="Arial"/>
                <w:i/>
                <w:sz w:val="20"/>
                <w:szCs w:val="20"/>
              </w:rPr>
              <w:t xml:space="preserve"> criminally injurious conduct</w:t>
            </w:r>
          </w:p>
        </w:tc>
      </w:tr>
      <w:tr w:rsidR="007E15BD" w:rsidRPr="00AB5FD2" w14:paraId="59C36597" w14:textId="77777777" w:rsidTr="00970B7B">
        <w:trPr>
          <w:trHeight w:val="288"/>
        </w:trPr>
        <w:tc>
          <w:tcPr>
            <w:tcW w:w="4320" w:type="dxa"/>
            <w:vMerge w:val="restart"/>
          </w:tcPr>
          <w:p w14:paraId="4315E491" w14:textId="47B17F56" w:rsidR="007E15BD" w:rsidRPr="003F0E32" w:rsidRDefault="007E15BD" w:rsidP="007E15BD">
            <w:pPr>
              <w:pStyle w:val="ListParagraph"/>
              <w:numPr>
                <w:ilvl w:val="0"/>
                <w:numId w:val="19"/>
              </w:numPr>
              <w:tabs>
                <w:tab w:val="left" w:pos="2985"/>
              </w:tabs>
              <w:ind w:left="300" w:hanging="270"/>
              <w:rPr>
                <w:rFonts w:ascii="Arial" w:hAnsi="Arial" w:cs="Arial"/>
                <w:sz w:val="20"/>
                <w:szCs w:val="20"/>
              </w:rPr>
            </w:pPr>
            <w:r w:rsidRPr="003F0E32">
              <w:rPr>
                <w:rFonts w:ascii="Arial" w:hAnsi="Arial" w:cs="Arial"/>
                <w:color w:val="000000"/>
                <w:sz w:val="20"/>
                <w:szCs w:val="20"/>
              </w:rPr>
              <w:t xml:space="preserve">Determine eligibility of crime </w:t>
            </w:r>
            <w:proofErr w:type="gramStart"/>
            <w:r w:rsidRPr="003F0E32">
              <w:rPr>
                <w:rFonts w:ascii="Arial" w:hAnsi="Arial" w:cs="Arial"/>
                <w:color w:val="000000"/>
                <w:sz w:val="20"/>
                <w:szCs w:val="20"/>
              </w:rPr>
              <w:t>victims</w:t>
            </w:r>
            <w:proofErr w:type="gramEnd"/>
            <w:r w:rsidRPr="003F0E32">
              <w:rPr>
                <w:rFonts w:ascii="Arial" w:hAnsi="Arial" w:cs="Arial"/>
                <w:color w:val="000000"/>
                <w:sz w:val="20"/>
                <w:szCs w:val="20"/>
              </w:rPr>
              <w:t xml:space="preserve"> applications within 30 days of receipt of required documentation.</w:t>
            </w:r>
          </w:p>
        </w:tc>
        <w:tc>
          <w:tcPr>
            <w:tcW w:w="785" w:type="dxa"/>
            <w:shd w:val="clear" w:color="auto" w:fill="D9D9D9" w:themeFill="background1" w:themeFillShade="D9"/>
            <w:vAlign w:val="center"/>
          </w:tcPr>
          <w:p w14:paraId="39EE70FB" w14:textId="77777777" w:rsidR="007E15BD" w:rsidRPr="003F0E32" w:rsidRDefault="007E15BD" w:rsidP="007E15BD">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0B713304" w14:textId="214A0E3A" w:rsidR="007E15BD" w:rsidRPr="003F0E32" w:rsidRDefault="007E15BD" w:rsidP="007E15BD">
            <w:pPr>
              <w:autoSpaceDE w:val="0"/>
              <w:autoSpaceDN w:val="0"/>
              <w:adjustRightInd w:val="0"/>
              <w:jc w:val="center"/>
              <w:rPr>
                <w:rFonts w:ascii="Arial" w:hAnsi="Arial" w:cs="Arial"/>
                <w:color w:val="000000"/>
                <w:sz w:val="20"/>
                <w:szCs w:val="20"/>
              </w:rPr>
            </w:pPr>
            <w:r w:rsidRPr="003F0E32">
              <w:rPr>
                <w:rFonts w:ascii="Arial" w:hAnsi="Arial" w:cs="Arial"/>
                <w:sz w:val="20"/>
                <w:szCs w:val="20"/>
              </w:rPr>
              <w:t>27</w:t>
            </w:r>
          </w:p>
        </w:tc>
        <w:tc>
          <w:tcPr>
            <w:tcW w:w="995" w:type="dxa"/>
            <w:shd w:val="clear" w:color="auto" w:fill="D9D9D9" w:themeFill="background1" w:themeFillShade="D9"/>
            <w:vAlign w:val="center"/>
          </w:tcPr>
          <w:p w14:paraId="10BECE2A" w14:textId="3110966C" w:rsidR="007E15BD" w:rsidRPr="003F0E32" w:rsidRDefault="007E15BD" w:rsidP="007E15BD">
            <w:pPr>
              <w:jc w:val="center"/>
              <w:rPr>
                <w:rFonts w:ascii="Arial" w:hAnsi="Arial" w:cs="Arial"/>
                <w:sz w:val="20"/>
                <w:szCs w:val="20"/>
              </w:rPr>
            </w:pPr>
            <w:r w:rsidRPr="003F0E32">
              <w:rPr>
                <w:rFonts w:ascii="Arial" w:hAnsi="Arial" w:cs="Arial"/>
                <w:sz w:val="20"/>
                <w:szCs w:val="20"/>
              </w:rPr>
              <w:t xml:space="preserve">33 </w:t>
            </w:r>
          </w:p>
        </w:tc>
        <w:tc>
          <w:tcPr>
            <w:tcW w:w="995" w:type="dxa"/>
            <w:shd w:val="clear" w:color="auto" w:fill="D9D9D9" w:themeFill="background1" w:themeFillShade="D9"/>
            <w:vAlign w:val="center"/>
          </w:tcPr>
          <w:p w14:paraId="02F7CD18" w14:textId="64676E6C" w:rsidR="007E15BD" w:rsidRPr="003F0E32" w:rsidRDefault="007E15BD" w:rsidP="007E15BD">
            <w:pPr>
              <w:jc w:val="center"/>
              <w:rPr>
                <w:rFonts w:ascii="Arial" w:hAnsi="Arial" w:cs="Arial"/>
                <w:sz w:val="20"/>
                <w:szCs w:val="20"/>
              </w:rPr>
            </w:pPr>
            <w:r w:rsidRPr="003F0E32">
              <w:rPr>
                <w:rFonts w:ascii="Arial" w:hAnsi="Arial" w:cs="Arial"/>
                <w:sz w:val="20"/>
                <w:szCs w:val="20"/>
              </w:rPr>
              <w:t>32</w:t>
            </w:r>
          </w:p>
        </w:tc>
        <w:tc>
          <w:tcPr>
            <w:tcW w:w="995" w:type="dxa"/>
            <w:shd w:val="clear" w:color="auto" w:fill="D9D9D9" w:themeFill="background1" w:themeFillShade="D9"/>
            <w:vAlign w:val="center"/>
          </w:tcPr>
          <w:p w14:paraId="7783CF28" w14:textId="6F04001F" w:rsidR="007E15BD" w:rsidRPr="003F0E32" w:rsidRDefault="007E15BD" w:rsidP="007E15BD">
            <w:pPr>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16AF2FA4" w14:textId="2C72AB97" w:rsidR="007E15BD" w:rsidRPr="003F0E32" w:rsidRDefault="007E15BD" w:rsidP="007E15BD">
            <w:pPr>
              <w:jc w:val="center"/>
              <w:rPr>
                <w:rFonts w:ascii="Arial" w:hAnsi="Arial" w:cs="Arial"/>
                <w:sz w:val="20"/>
                <w:szCs w:val="20"/>
              </w:rPr>
            </w:pPr>
          </w:p>
        </w:tc>
      </w:tr>
      <w:tr w:rsidR="007E15BD" w:rsidRPr="00AB5FD2" w14:paraId="5EA27418" w14:textId="77777777" w:rsidTr="00970B7B">
        <w:trPr>
          <w:trHeight w:val="288"/>
        </w:trPr>
        <w:tc>
          <w:tcPr>
            <w:tcW w:w="4320" w:type="dxa"/>
            <w:vMerge/>
          </w:tcPr>
          <w:p w14:paraId="381D48D8" w14:textId="77777777" w:rsidR="007E15BD" w:rsidRPr="003F0E32" w:rsidRDefault="007E15BD" w:rsidP="007E15BD">
            <w:pPr>
              <w:pStyle w:val="ListParagraph"/>
              <w:numPr>
                <w:ilvl w:val="0"/>
                <w:numId w:val="19"/>
              </w:numPr>
              <w:tabs>
                <w:tab w:val="left" w:pos="2985"/>
              </w:tabs>
              <w:ind w:left="300" w:hanging="270"/>
              <w:rPr>
                <w:rFonts w:ascii="Arial" w:hAnsi="Arial" w:cs="Arial"/>
                <w:sz w:val="20"/>
                <w:szCs w:val="20"/>
              </w:rPr>
            </w:pPr>
          </w:p>
        </w:tc>
        <w:tc>
          <w:tcPr>
            <w:tcW w:w="785" w:type="dxa"/>
            <w:shd w:val="clear" w:color="auto" w:fill="FFFFFF" w:themeFill="background1"/>
            <w:vAlign w:val="center"/>
          </w:tcPr>
          <w:p w14:paraId="56804B07" w14:textId="77777777" w:rsidR="007E15BD" w:rsidRPr="003F0E32" w:rsidRDefault="007E15BD" w:rsidP="007E15BD">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12CB2D1A" w14:textId="07858BC4" w:rsidR="007E15BD" w:rsidRPr="003F0E32" w:rsidRDefault="007E15BD" w:rsidP="007E15BD">
            <w:pPr>
              <w:jc w:val="center"/>
              <w:rPr>
                <w:rFonts w:ascii="Arial" w:hAnsi="Arial" w:cs="Arial"/>
                <w:i/>
                <w:sz w:val="20"/>
                <w:szCs w:val="20"/>
              </w:rPr>
            </w:pPr>
            <w:r w:rsidRPr="003F0E32">
              <w:rPr>
                <w:rFonts w:ascii="Arial" w:hAnsi="Arial" w:cs="Arial"/>
                <w:i/>
                <w:sz w:val="20"/>
                <w:szCs w:val="20"/>
              </w:rPr>
              <w:t>&lt; 30 days</w:t>
            </w:r>
          </w:p>
        </w:tc>
        <w:tc>
          <w:tcPr>
            <w:tcW w:w="995" w:type="dxa"/>
            <w:shd w:val="clear" w:color="auto" w:fill="FFFFFF" w:themeFill="background1"/>
            <w:vAlign w:val="center"/>
          </w:tcPr>
          <w:p w14:paraId="178E04F5" w14:textId="294FA443" w:rsidR="007E15BD" w:rsidRPr="003F0E32" w:rsidRDefault="007E15BD" w:rsidP="007E15BD">
            <w:pPr>
              <w:jc w:val="center"/>
              <w:rPr>
                <w:rFonts w:ascii="Arial" w:hAnsi="Arial" w:cs="Arial"/>
                <w:i/>
                <w:sz w:val="20"/>
                <w:szCs w:val="20"/>
              </w:rPr>
            </w:pPr>
            <w:r w:rsidRPr="003F0E32">
              <w:rPr>
                <w:rFonts w:ascii="Arial" w:hAnsi="Arial" w:cs="Arial"/>
                <w:i/>
                <w:sz w:val="20"/>
                <w:szCs w:val="20"/>
              </w:rPr>
              <w:t>&lt; 30 days</w:t>
            </w:r>
          </w:p>
        </w:tc>
        <w:tc>
          <w:tcPr>
            <w:tcW w:w="995" w:type="dxa"/>
            <w:shd w:val="clear" w:color="auto" w:fill="FFFFFF" w:themeFill="background1"/>
            <w:vAlign w:val="center"/>
          </w:tcPr>
          <w:p w14:paraId="3E60DB8F" w14:textId="6F5D71CF" w:rsidR="007E15BD" w:rsidRPr="003F0E32" w:rsidRDefault="007E15BD" w:rsidP="007E15BD">
            <w:pPr>
              <w:jc w:val="center"/>
              <w:rPr>
                <w:rFonts w:ascii="Arial" w:hAnsi="Arial" w:cs="Arial"/>
                <w:i/>
                <w:sz w:val="20"/>
                <w:szCs w:val="20"/>
              </w:rPr>
            </w:pPr>
            <w:r w:rsidRPr="003F0E32">
              <w:rPr>
                <w:rFonts w:ascii="Arial" w:hAnsi="Arial" w:cs="Arial"/>
                <w:i/>
                <w:sz w:val="20"/>
                <w:szCs w:val="20"/>
              </w:rPr>
              <w:t>&lt; 30 days</w:t>
            </w:r>
          </w:p>
        </w:tc>
        <w:tc>
          <w:tcPr>
            <w:tcW w:w="995" w:type="dxa"/>
            <w:shd w:val="clear" w:color="auto" w:fill="FFFFFF" w:themeFill="background1"/>
            <w:vAlign w:val="center"/>
          </w:tcPr>
          <w:p w14:paraId="24D3CB67" w14:textId="6EE3F95F" w:rsidR="007E15BD" w:rsidRPr="003F0E32" w:rsidRDefault="007E15BD" w:rsidP="007E15BD">
            <w:pPr>
              <w:jc w:val="center"/>
              <w:rPr>
                <w:rFonts w:ascii="Arial" w:hAnsi="Arial" w:cs="Arial"/>
                <w:i/>
                <w:sz w:val="20"/>
                <w:szCs w:val="20"/>
              </w:rPr>
            </w:pPr>
            <w:r w:rsidRPr="003F0E32">
              <w:rPr>
                <w:rFonts w:ascii="Arial" w:hAnsi="Arial" w:cs="Arial"/>
                <w:i/>
                <w:sz w:val="20"/>
                <w:szCs w:val="20"/>
              </w:rPr>
              <w:t>&lt;30 days</w:t>
            </w:r>
          </w:p>
        </w:tc>
        <w:tc>
          <w:tcPr>
            <w:tcW w:w="995" w:type="dxa"/>
            <w:shd w:val="clear" w:color="auto" w:fill="FFFFFF" w:themeFill="background1"/>
            <w:vAlign w:val="center"/>
          </w:tcPr>
          <w:p w14:paraId="6C2EE8B6" w14:textId="55FC002B" w:rsidR="007E15BD" w:rsidRPr="003F0E32" w:rsidRDefault="007E15BD" w:rsidP="007E15BD">
            <w:pPr>
              <w:jc w:val="center"/>
              <w:rPr>
                <w:rFonts w:ascii="Arial" w:hAnsi="Arial" w:cs="Arial"/>
                <w:i/>
                <w:sz w:val="20"/>
                <w:szCs w:val="20"/>
              </w:rPr>
            </w:pPr>
          </w:p>
        </w:tc>
      </w:tr>
      <w:tr w:rsidR="007E15BD" w:rsidRPr="00AB5FD2" w14:paraId="7EEAF5AD" w14:textId="77777777" w:rsidTr="00970B7B">
        <w:trPr>
          <w:trHeight w:val="288"/>
        </w:trPr>
        <w:tc>
          <w:tcPr>
            <w:tcW w:w="4320" w:type="dxa"/>
            <w:vMerge w:val="restart"/>
          </w:tcPr>
          <w:p w14:paraId="194C9ECD" w14:textId="77777777" w:rsidR="007E15BD" w:rsidRPr="003F0E32" w:rsidRDefault="007E15BD" w:rsidP="007E15BD">
            <w:pPr>
              <w:pStyle w:val="ListParagraph"/>
              <w:numPr>
                <w:ilvl w:val="0"/>
                <w:numId w:val="19"/>
              </w:numPr>
              <w:tabs>
                <w:tab w:val="left" w:pos="2985"/>
              </w:tabs>
              <w:ind w:left="300" w:hanging="270"/>
              <w:rPr>
                <w:rFonts w:ascii="Arial" w:hAnsi="Arial" w:cs="Arial"/>
                <w:sz w:val="20"/>
                <w:szCs w:val="20"/>
              </w:rPr>
            </w:pPr>
            <w:r w:rsidRPr="003F0E32">
              <w:rPr>
                <w:rFonts w:ascii="Arial" w:hAnsi="Arial" w:cs="Arial"/>
                <w:color w:val="000000"/>
                <w:sz w:val="20"/>
                <w:szCs w:val="20"/>
              </w:rPr>
              <w:t>Pay eligible victims claims within 120 days of the date the application was received.</w:t>
            </w:r>
          </w:p>
        </w:tc>
        <w:tc>
          <w:tcPr>
            <w:tcW w:w="785" w:type="dxa"/>
            <w:shd w:val="clear" w:color="auto" w:fill="D9D9D9" w:themeFill="background1" w:themeFillShade="D9"/>
            <w:vAlign w:val="center"/>
          </w:tcPr>
          <w:p w14:paraId="2B74EF66" w14:textId="77777777" w:rsidR="007E15BD" w:rsidRPr="003F0E32" w:rsidRDefault="007E15BD" w:rsidP="007E15BD">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4010D620" w14:textId="3AE2B65C" w:rsidR="007E15BD" w:rsidRPr="003F0E32" w:rsidRDefault="007E15BD" w:rsidP="007E15BD">
            <w:pPr>
              <w:autoSpaceDE w:val="0"/>
              <w:autoSpaceDN w:val="0"/>
              <w:adjustRightInd w:val="0"/>
              <w:jc w:val="center"/>
              <w:rPr>
                <w:rFonts w:ascii="Arial" w:hAnsi="Arial" w:cs="Arial"/>
                <w:sz w:val="20"/>
                <w:szCs w:val="20"/>
              </w:rPr>
            </w:pPr>
            <w:r w:rsidRPr="003F0E32">
              <w:rPr>
                <w:rFonts w:ascii="Arial" w:hAnsi="Arial" w:cs="Arial"/>
                <w:sz w:val="20"/>
                <w:szCs w:val="20"/>
              </w:rPr>
              <w:t>137</w:t>
            </w:r>
          </w:p>
        </w:tc>
        <w:tc>
          <w:tcPr>
            <w:tcW w:w="995" w:type="dxa"/>
            <w:shd w:val="clear" w:color="auto" w:fill="D9D9D9" w:themeFill="background1" w:themeFillShade="D9"/>
            <w:vAlign w:val="center"/>
          </w:tcPr>
          <w:p w14:paraId="60F35AB2" w14:textId="267AC336" w:rsidR="007E15BD" w:rsidRPr="003F0E32" w:rsidRDefault="007E15BD" w:rsidP="007E15BD">
            <w:pPr>
              <w:jc w:val="center"/>
              <w:rPr>
                <w:rFonts w:ascii="Arial" w:hAnsi="Arial" w:cs="Arial"/>
                <w:sz w:val="20"/>
                <w:szCs w:val="20"/>
              </w:rPr>
            </w:pPr>
            <w:r w:rsidRPr="003F0E32">
              <w:rPr>
                <w:rFonts w:ascii="Arial" w:hAnsi="Arial" w:cs="Arial"/>
                <w:sz w:val="20"/>
                <w:szCs w:val="20"/>
              </w:rPr>
              <w:t>159</w:t>
            </w:r>
          </w:p>
        </w:tc>
        <w:tc>
          <w:tcPr>
            <w:tcW w:w="995" w:type="dxa"/>
            <w:shd w:val="clear" w:color="auto" w:fill="D9D9D9" w:themeFill="background1" w:themeFillShade="D9"/>
            <w:vAlign w:val="center"/>
          </w:tcPr>
          <w:p w14:paraId="72EB4D08" w14:textId="4E9FB5A6" w:rsidR="007E15BD" w:rsidRPr="003F0E32" w:rsidRDefault="007E15BD" w:rsidP="007E15BD">
            <w:pPr>
              <w:jc w:val="center"/>
              <w:rPr>
                <w:rFonts w:ascii="Arial" w:hAnsi="Arial" w:cs="Arial"/>
                <w:sz w:val="20"/>
                <w:szCs w:val="20"/>
              </w:rPr>
            </w:pPr>
            <w:r w:rsidRPr="003F0E32">
              <w:rPr>
                <w:rFonts w:ascii="Arial" w:hAnsi="Arial" w:cs="Arial"/>
                <w:sz w:val="20"/>
                <w:szCs w:val="20"/>
              </w:rPr>
              <w:t>140</w:t>
            </w:r>
          </w:p>
        </w:tc>
        <w:tc>
          <w:tcPr>
            <w:tcW w:w="995" w:type="dxa"/>
            <w:shd w:val="clear" w:color="auto" w:fill="D9D9D9" w:themeFill="background1" w:themeFillShade="D9"/>
            <w:vAlign w:val="center"/>
          </w:tcPr>
          <w:p w14:paraId="47F71B1A" w14:textId="600882A3" w:rsidR="007E15BD" w:rsidRPr="003F0E32" w:rsidRDefault="007E15BD" w:rsidP="007E15BD">
            <w:pPr>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6DD77D33" w14:textId="43608CA1" w:rsidR="007E15BD" w:rsidRPr="003F0E32" w:rsidRDefault="007E15BD" w:rsidP="007E15BD">
            <w:pPr>
              <w:jc w:val="center"/>
              <w:rPr>
                <w:rFonts w:ascii="Arial" w:hAnsi="Arial" w:cs="Arial"/>
                <w:sz w:val="20"/>
                <w:szCs w:val="20"/>
              </w:rPr>
            </w:pPr>
          </w:p>
        </w:tc>
      </w:tr>
      <w:tr w:rsidR="007E15BD" w:rsidRPr="00AB5FD2" w14:paraId="032F2415" w14:textId="77777777" w:rsidTr="00970B7B">
        <w:trPr>
          <w:trHeight w:val="288"/>
        </w:trPr>
        <w:tc>
          <w:tcPr>
            <w:tcW w:w="4320" w:type="dxa"/>
            <w:vMerge/>
          </w:tcPr>
          <w:p w14:paraId="16DFDA46" w14:textId="77777777" w:rsidR="007E15BD" w:rsidRPr="003F0E32" w:rsidRDefault="007E15BD" w:rsidP="007E15BD">
            <w:pPr>
              <w:pStyle w:val="ListParagraph"/>
              <w:numPr>
                <w:ilvl w:val="0"/>
                <w:numId w:val="19"/>
              </w:numPr>
              <w:tabs>
                <w:tab w:val="left" w:pos="2985"/>
              </w:tabs>
              <w:ind w:left="300" w:hanging="270"/>
              <w:rPr>
                <w:rFonts w:ascii="Arial" w:hAnsi="Arial" w:cs="Arial"/>
                <w:sz w:val="20"/>
                <w:szCs w:val="20"/>
              </w:rPr>
            </w:pPr>
          </w:p>
        </w:tc>
        <w:tc>
          <w:tcPr>
            <w:tcW w:w="785" w:type="dxa"/>
            <w:shd w:val="clear" w:color="auto" w:fill="FFFFFF" w:themeFill="background1"/>
            <w:vAlign w:val="center"/>
          </w:tcPr>
          <w:p w14:paraId="24C55C9D" w14:textId="77777777" w:rsidR="007E15BD" w:rsidRPr="003F0E32" w:rsidRDefault="007E15BD" w:rsidP="007E15BD">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427EBAD1" w14:textId="41887F2E" w:rsidR="007E15BD" w:rsidRPr="003F0E32" w:rsidRDefault="007E15BD" w:rsidP="007E15BD">
            <w:pPr>
              <w:jc w:val="center"/>
              <w:rPr>
                <w:rFonts w:ascii="Arial" w:hAnsi="Arial" w:cs="Arial"/>
                <w:i/>
                <w:sz w:val="20"/>
                <w:szCs w:val="20"/>
              </w:rPr>
            </w:pPr>
            <w:r w:rsidRPr="003F0E32">
              <w:rPr>
                <w:rFonts w:ascii="Arial" w:hAnsi="Arial" w:cs="Arial"/>
                <w:i/>
                <w:sz w:val="20"/>
                <w:szCs w:val="20"/>
              </w:rPr>
              <w:t>&lt; 120 days</w:t>
            </w:r>
          </w:p>
        </w:tc>
        <w:tc>
          <w:tcPr>
            <w:tcW w:w="995" w:type="dxa"/>
            <w:shd w:val="clear" w:color="auto" w:fill="FFFFFF" w:themeFill="background1"/>
            <w:vAlign w:val="center"/>
          </w:tcPr>
          <w:p w14:paraId="12D1BE38" w14:textId="2C83EAFE" w:rsidR="007E15BD" w:rsidRPr="003F0E32" w:rsidRDefault="007E15BD" w:rsidP="007E15BD">
            <w:pPr>
              <w:jc w:val="center"/>
              <w:rPr>
                <w:rFonts w:ascii="Arial" w:hAnsi="Arial" w:cs="Arial"/>
                <w:i/>
                <w:sz w:val="20"/>
                <w:szCs w:val="20"/>
              </w:rPr>
            </w:pPr>
            <w:r w:rsidRPr="003F0E32">
              <w:rPr>
                <w:rFonts w:ascii="Arial" w:hAnsi="Arial" w:cs="Arial"/>
                <w:i/>
                <w:sz w:val="20"/>
                <w:szCs w:val="20"/>
              </w:rPr>
              <w:t>&lt; 120 days</w:t>
            </w:r>
          </w:p>
        </w:tc>
        <w:tc>
          <w:tcPr>
            <w:tcW w:w="995" w:type="dxa"/>
            <w:shd w:val="clear" w:color="auto" w:fill="FFFFFF" w:themeFill="background1"/>
            <w:vAlign w:val="center"/>
          </w:tcPr>
          <w:p w14:paraId="137B191A" w14:textId="5BDADF99" w:rsidR="007E15BD" w:rsidRPr="003F0E32" w:rsidRDefault="007E15BD" w:rsidP="007E15BD">
            <w:pPr>
              <w:jc w:val="center"/>
              <w:rPr>
                <w:rFonts w:ascii="Arial" w:hAnsi="Arial" w:cs="Arial"/>
                <w:i/>
                <w:sz w:val="20"/>
                <w:szCs w:val="20"/>
              </w:rPr>
            </w:pPr>
            <w:r w:rsidRPr="003F0E32">
              <w:rPr>
                <w:rFonts w:ascii="Arial" w:hAnsi="Arial" w:cs="Arial"/>
                <w:i/>
                <w:sz w:val="20"/>
                <w:szCs w:val="20"/>
              </w:rPr>
              <w:t>&lt; 120 days</w:t>
            </w:r>
          </w:p>
        </w:tc>
        <w:tc>
          <w:tcPr>
            <w:tcW w:w="995" w:type="dxa"/>
            <w:shd w:val="clear" w:color="auto" w:fill="FFFFFF" w:themeFill="background1"/>
            <w:vAlign w:val="center"/>
          </w:tcPr>
          <w:p w14:paraId="747EBB1B" w14:textId="76C0DBCD" w:rsidR="007E15BD" w:rsidRPr="003F0E32" w:rsidRDefault="007E15BD" w:rsidP="007E15BD">
            <w:pPr>
              <w:jc w:val="center"/>
              <w:rPr>
                <w:rFonts w:ascii="Arial" w:hAnsi="Arial" w:cs="Arial"/>
                <w:i/>
                <w:sz w:val="20"/>
                <w:szCs w:val="20"/>
              </w:rPr>
            </w:pPr>
            <w:r w:rsidRPr="003F0E32">
              <w:rPr>
                <w:rFonts w:ascii="Arial" w:hAnsi="Arial" w:cs="Arial"/>
                <w:i/>
                <w:sz w:val="20"/>
                <w:szCs w:val="20"/>
              </w:rPr>
              <w:t>&lt;120 days</w:t>
            </w:r>
          </w:p>
        </w:tc>
        <w:tc>
          <w:tcPr>
            <w:tcW w:w="995" w:type="dxa"/>
            <w:shd w:val="clear" w:color="auto" w:fill="FFFFFF" w:themeFill="background1"/>
            <w:vAlign w:val="center"/>
          </w:tcPr>
          <w:p w14:paraId="3CDCF1A5" w14:textId="2974D017" w:rsidR="007E15BD" w:rsidRPr="003F0E32" w:rsidRDefault="007E15BD" w:rsidP="007E15BD">
            <w:pPr>
              <w:jc w:val="center"/>
              <w:rPr>
                <w:rFonts w:ascii="Arial" w:hAnsi="Arial" w:cs="Arial"/>
                <w:i/>
                <w:sz w:val="20"/>
                <w:szCs w:val="20"/>
              </w:rPr>
            </w:pPr>
          </w:p>
        </w:tc>
      </w:tr>
      <w:tr w:rsidR="007E15BD" w:rsidRPr="00AB5FD2" w14:paraId="5919B4F5" w14:textId="77777777" w:rsidTr="00970B7B">
        <w:trPr>
          <w:trHeight w:val="288"/>
        </w:trPr>
        <w:tc>
          <w:tcPr>
            <w:tcW w:w="4320" w:type="dxa"/>
            <w:vMerge w:val="restart"/>
          </w:tcPr>
          <w:p w14:paraId="4287E4A3" w14:textId="3274C3BA" w:rsidR="007E15BD" w:rsidRPr="003F0E32" w:rsidRDefault="007E15BD" w:rsidP="007E15BD">
            <w:pPr>
              <w:pStyle w:val="ListParagraph"/>
              <w:numPr>
                <w:ilvl w:val="0"/>
                <w:numId w:val="19"/>
              </w:numPr>
              <w:tabs>
                <w:tab w:val="left" w:pos="2985"/>
              </w:tabs>
              <w:ind w:left="300" w:hanging="270"/>
              <w:rPr>
                <w:rFonts w:ascii="Arial" w:hAnsi="Arial" w:cs="Arial"/>
                <w:sz w:val="20"/>
                <w:szCs w:val="20"/>
              </w:rPr>
            </w:pPr>
            <w:r w:rsidRPr="003F0E32">
              <w:rPr>
                <w:rFonts w:ascii="Arial" w:hAnsi="Arial" w:cs="Arial"/>
                <w:color w:val="000000"/>
                <w:sz w:val="20"/>
                <w:szCs w:val="20"/>
              </w:rPr>
              <w:t>Pay sexual assault forensic examination claims within 45 days from the date of receipt of application.</w:t>
            </w:r>
          </w:p>
        </w:tc>
        <w:tc>
          <w:tcPr>
            <w:tcW w:w="785" w:type="dxa"/>
            <w:shd w:val="clear" w:color="auto" w:fill="D9D9D9" w:themeFill="background1" w:themeFillShade="D9"/>
            <w:vAlign w:val="center"/>
          </w:tcPr>
          <w:p w14:paraId="725B2518" w14:textId="77777777" w:rsidR="007E15BD" w:rsidRPr="003F0E32" w:rsidRDefault="007E15BD" w:rsidP="007E15BD">
            <w:pPr>
              <w:jc w:val="center"/>
              <w:rPr>
                <w:rFonts w:ascii="Arial" w:hAnsi="Arial" w:cs="Arial"/>
                <w:sz w:val="20"/>
                <w:szCs w:val="20"/>
              </w:rPr>
            </w:pPr>
            <w:r w:rsidRPr="003F0E32">
              <w:rPr>
                <w:rFonts w:ascii="Arial" w:hAnsi="Arial" w:cs="Arial"/>
                <w:sz w:val="20"/>
                <w:szCs w:val="20"/>
              </w:rPr>
              <w:t>actual</w:t>
            </w:r>
          </w:p>
        </w:tc>
        <w:tc>
          <w:tcPr>
            <w:tcW w:w="995" w:type="dxa"/>
            <w:shd w:val="clear" w:color="auto" w:fill="D9D9D9" w:themeFill="background1" w:themeFillShade="D9"/>
            <w:vAlign w:val="center"/>
          </w:tcPr>
          <w:p w14:paraId="2DAAFF6F" w14:textId="5FBD44E7" w:rsidR="007E15BD" w:rsidRPr="003F0E32" w:rsidRDefault="007E15BD" w:rsidP="007E15BD">
            <w:pPr>
              <w:jc w:val="center"/>
              <w:rPr>
                <w:rFonts w:ascii="Arial" w:hAnsi="Arial" w:cs="Arial"/>
                <w:sz w:val="20"/>
                <w:szCs w:val="20"/>
              </w:rPr>
            </w:pPr>
            <w:r w:rsidRPr="003F0E32">
              <w:rPr>
                <w:rFonts w:ascii="Arial" w:hAnsi="Arial" w:cs="Arial"/>
                <w:sz w:val="20"/>
                <w:szCs w:val="20"/>
              </w:rPr>
              <w:t>48</w:t>
            </w:r>
          </w:p>
        </w:tc>
        <w:tc>
          <w:tcPr>
            <w:tcW w:w="995" w:type="dxa"/>
            <w:shd w:val="clear" w:color="auto" w:fill="D9D9D9" w:themeFill="background1" w:themeFillShade="D9"/>
            <w:vAlign w:val="center"/>
          </w:tcPr>
          <w:p w14:paraId="14160697" w14:textId="7B092E73" w:rsidR="007E15BD" w:rsidRPr="003F0E32" w:rsidRDefault="007E15BD" w:rsidP="007E15BD">
            <w:pPr>
              <w:jc w:val="center"/>
              <w:rPr>
                <w:rFonts w:ascii="Arial" w:hAnsi="Arial" w:cs="Arial"/>
                <w:sz w:val="20"/>
                <w:szCs w:val="20"/>
              </w:rPr>
            </w:pPr>
            <w:r w:rsidRPr="003F0E32">
              <w:rPr>
                <w:rFonts w:ascii="Arial" w:hAnsi="Arial" w:cs="Arial"/>
                <w:sz w:val="20"/>
                <w:szCs w:val="20"/>
              </w:rPr>
              <w:t>50</w:t>
            </w:r>
          </w:p>
        </w:tc>
        <w:tc>
          <w:tcPr>
            <w:tcW w:w="995" w:type="dxa"/>
            <w:shd w:val="clear" w:color="auto" w:fill="D9D9D9" w:themeFill="background1" w:themeFillShade="D9"/>
            <w:vAlign w:val="center"/>
          </w:tcPr>
          <w:p w14:paraId="2C078A5A" w14:textId="2A47FE7F" w:rsidR="007E15BD" w:rsidRPr="003F0E32" w:rsidRDefault="007E15BD" w:rsidP="007E15BD">
            <w:pPr>
              <w:jc w:val="center"/>
              <w:rPr>
                <w:rFonts w:ascii="Arial" w:hAnsi="Arial" w:cs="Arial"/>
                <w:sz w:val="20"/>
                <w:szCs w:val="20"/>
              </w:rPr>
            </w:pPr>
            <w:r w:rsidRPr="003F0E32">
              <w:rPr>
                <w:rFonts w:ascii="Arial" w:hAnsi="Arial" w:cs="Arial"/>
                <w:sz w:val="20"/>
                <w:szCs w:val="20"/>
              </w:rPr>
              <w:t>51</w:t>
            </w:r>
          </w:p>
        </w:tc>
        <w:tc>
          <w:tcPr>
            <w:tcW w:w="995" w:type="dxa"/>
            <w:shd w:val="clear" w:color="auto" w:fill="D9D9D9" w:themeFill="background1" w:themeFillShade="D9"/>
            <w:vAlign w:val="center"/>
          </w:tcPr>
          <w:p w14:paraId="38535AB7" w14:textId="26FB0669" w:rsidR="007E15BD" w:rsidRPr="003F0E32" w:rsidRDefault="007E15BD" w:rsidP="007E15BD">
            <w:pPr>
              <w:jc w:val="center"/>
              <w:rPr>
                <w:rFonts w:ascii="Arial" w:hAnsi="Arial" w:cs="Arial"/>
                <w:sz w:val="20"/>
                <w:szCs w:val="20"/>
              </w:rPr>
            </w:pPr>
            <w:r w:rsidRPr="003F0E32">
              <w:rPr>
                <w:rFonts w:ascii="Arial" w:hAnsi="Arial" w:cs="Arial"/>
                <w:sz w:val="20"/>
                <w:szCs w:val="20"/>
              </w:rPr>
              <w:t>----------</w:t>
            </w:r>
          </w:p>
        </w:tc>
        <w:tc>
          <w:tcPr>
            <w:tcW w:w="995" w:type="dxa"/>
            <w:shd w:val="clear" w:color="auto" w:fill="D9D9D9" w:themeFill="background1" w:themeFillShade="D9"/>
            <w:vAlign w:val="center"/>
          </w:tcPr>
          <w:p w14:paraId="70CBE4E9" w14:textId="7CB292FD" w:rsidR="007E15BD" w:rsidRPr="003F0E32" w:rsidRDefault="007E15BD" w:rsidP="007E15BD">
            <w:pPr>
              <w:jc w:val="center"/>
              <w:rPr>
                <w:rFonts w:ascii="Arial" w:hAnsi="Arial" w:cs="Arial"/>
                <w:sz w:val="20"/>
                <w:szCs w:val="20"/>
              </w:rPr>
            </w:pPr>
          </w:p>
        </w:tc>
      </w:tr>
      <w:tr w:rsidR="007E15BD" w:rsidRPr="00AB5FD2" w14:paraId="7A237C65" w14:textId="77777777" w:rsidTr="00970B7B">
        <w:trPr>
          <w:trHeight w:val="288"/>
        </w:trPr>
        <w:tc>
          <w:tcPr>
            <w:tcW w:w="4320" w:type="dxa"/>
            <w:vMerge/>
          </w:tcPr>
          <w:p w14:paraId="4A3FEDA6" w14:textId="77777777" w:rsidR="007E15BD" w:rsidRPr="003F0E32" w:rsidRDefault="007E15BD" w:rsidP="007E15BD">
            <w:pPr>
              <w:pStyle w:val="ListParagraph"/>
              <w:numPr>
                <w:ilvl w:val="0"/>
                <w:numId w:val="19"/>
              </w:numPr>
              <w:tabs>
                <w:tab w:val="left" w:pos="2985"/>
              </w:tabs>
              <w:rPr>
                <w:rFonts w:ascii="Arial" w:hAnsi="Arial" w:cs="Arial"/>
                <w:sz w:val="20"/>
                <w:szCs w:val="20"/>
              </w:rPr>
            </w:pPr>
          </w:p>
        </w:tc>
        <w:tc>
          <w:tcPr>
            <w:tcW w:w="785" w:type="dxa"/>
            <w:shd w:val="clear" w:color="auto" w:fill="FFFFFF" w:themeFill="background1"/>
            <w:vAlign w:val="center"/>
          </w:tcPr>
          <w:p w14:paraId="118CE08F" w14:textId="77777777" w:rsidR="007E15BD" w:rsidRPr="003F0E32" w:rsidRDefault="007E15BD" w:rsidP="007E15BD">
            <w:pPr>
              <w:jc w:val="center"/>
              <w:rPr>
                <w:rFonts w:ascii="Arial" w:hAnsi="Arial" w:cs="Arial"/>
                <w:sz w:val="20"/>
                <w:szCs w:val="20"/>
              </w:rPr>
            </w:pPr>
            <w:r w:rsidRPr="003F0E32">
              <w:rPr>
                <w:rFonts w:ascii="Arial" w:hAnsi="Arial" w:cs="Arial"/>
                <w:i/>
                <w:sz w:val="20"/>
                <w:szCs w:val="20"/>
              </w:rPr>
              <w:t>target</w:t>
            </w:r>
          </w:p>
        </w:tc>
        <w:tc>
          <w:tcPr>
            <w:tcW w:w="995" w:type="dxa"/>
            <w:shd w:val="clear" w:color="auto" w:fill="FFFFFF" w:themeFill="background1"/>
            <w:vAlign w:val="center"/>
          </w:tcPr>
          <w:p w14:paraId="648F8CF6" w14:textId="0731AD6F" w:rsidR="007E15BD" w:rsidRPr="003F0E32" w:rsidRDefault="007E15BD" w:rsidP="007E15BD">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721FB05A" w14:textId="17D73326" w:rsidR="007E15BD" w:rsidRPr="003F0E32" w:rsidRDefault="007E15BD" w:rsidP="007E15BD">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44BD579E" w14:textId="35D1F8A5" w:rsidR="007E15BD" w:rsidRPr="003F0E32" w:rsidRDefault="007E15BD" w:rsidP="007E15BD">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2ED72A08" w14:textId="533CA27D" w:rsidR="007E15BD" w:rsidRPr="003F0E32" w:rsidRDefault="007E15BD" w:rsidP="007E15BD">
            <w:pPr>
              <w:jc w:val="center"/>
              <w:rPr>
                <w:rFonts w:ascii="Arial" w:hAnsi="Arial" w:cs="Arial"/>
                <w:i/>
                <w:sz w:val="20"/>
                <w:szCs w:val="20"/>
              </w:rPr>
            </w:pPr>
            <w:r w:rsidRPr="003F0E32">
              <w:rPr>
                <w:rFonts w:ascii="Arial" w:hAnsi="Arial" w:cs="Arial"/>
                <w:i/>
                <w:sz w:val="20"/>
                <w:szCs w:val="20"/>
              </w:rPr>
              <w:t>&lt; 45 days</w:t>
            </w:r>
          </w:p>
        </w:tc>
        <w:tc>
          <w:tcPr>
            <w:tcW w:w="995" w:type="dxa"/>
            <w:shd w:val="clear" w:color="auto" w:fill="FFFFFF" w:themeFill="background1"/>
            <w:vAlign w:val="center"/>
          </w:tcPr>
          <w:p w14:paraId="0F744263" w14:textId="402CB264" w:rsidR="007E15BD" w:rsidRPr="003F0E32" w:rsidRDefault="007E15BD" w:rsidP="007E15BD">
            <w:pPr>
              <w:jc w:val="center"/>
              <w:rPr>
                <w:rFonts w:ascii="Arial" w:hAnsi="Arial" w:cs="Arial"/>
                <w:i/>
                <w:sz w:val="20"/>
                <w:szCs w:val="20"/>
              </w:rPr>
            </w:pPr>
          </w:p>
        </w:tc>
      </w:tr>
      <w:bookmarkEnd w:id="14"/>
    </w:tbl>
    <w:p w14:paraId="3E6823E1" w14:textId="77777777" w:rsidR="00BF03CE" w:rsidRDefault="00BF03CE" w:rsidP="008F7420">
      <w:pPr>
        <w:jc w:val="both"/>
        <w:rPr>
          <w:rFonts w:ascii="Arial" w:hAnsi="Arial" w:cs="Arial"/>
          <w:b/>
          <w:bCs/>
        </w:rPr>
      </w:pPr>
    </w:p>
    <w:p w14:paraId="3C354BE0" w14:textId="77777777" w:rsidR="008F7420" w:rsidRDefault="00EE09F6" w:rsidP="008F7420">
      <w:pPr>
        <w:jc w:val="both"/>
        <w:rPr>
          <w:rFonts w:ascii="Arial" w:hAnsi="Arial" w:cs="Arial"/>
          <w:b/>
          <w:bCs/>
          <w:i/>
        </w:rPr>
      </w:pPr>
      <w:r w:rsidRPr="00BE41B3">
        <w:rPr>
          <w:rFonts w:ascii="Arial" w:hAnsi="Arial" w:cs="Arial"/>
          <w:b/>
          <w:bCs/>
        </w:rPr>
        <w:t>Performance Measure Explanatory Note</w:t>
      </w:r>
      <w:r>
        <w:rPr>
          <w:rFonts w:ascii="Arial" w:hAnsi="Arial" w:cs="Arial"/>
          <w:b/>
          <w:bCs/>
        </w:rPr>
        <w:t>s</w:t>
      </w:r>
    </w:p>
    <w:p w14:paraId="63ACA1BF" w14:textId="4012BD03" w:rsidR="009E2D57" w:rsidRPr="003F0E32" w:rsidRDefault="00235439" w:rsidP="009E2D57">
      <w:pPr>
        <w:pStyle w:val="ListParagraph"/>
        <w:numPr>
          <w:ilvl w:val="0"/>
          <w:numId w:val="36"/>
        </w:numPr>
        <w:jc w:val="both"/>
        <w:rPr>
          <w:rFonts w:ascii="Arial" w:hAnsi="Arial" w:cs="Arial"/>
          <w:bCs/>
          <w:sz w:val="18"/>
          <w:szCs w:val="18"/>
        </w:rPr>
      </w:pPr>
      <w:r w:rsidRPr="003F0E32">
        <w:rPr>
          <w:rFonts w:ascii="Arial" w:hAnsi="Arial" w:cs="Arial"/>
          <w:bCs/>
          <w:sz w:val="18"/>
          <w:szCs w:val="18"/>
        </w:rPr>
        <w:t>Due to an unforeseen absence in FY</w:t>
      </w:r>
      <w:r w:rsidR="00E867C6" w:rsidRPr="003F0E32">
        <w:rPr>
          <w:rFonts w:ascii="Arial" w:hAnsi="Arial" w:cs="Arial"/>
          <w:bCs/>
          <w:sz w:val="18"/>
          <w:szCs w:val="18"/>
        </w:rPr>
        <w:t xml:space="preserve"> </w:t>
      </w:r>
      <w:r w:rsidR="00727A40" w:rsidRPr="003F0E32">
        <w:rPr>
          <w:rFonts w:ascii="Arial" w:hAnsi="Arial" w:cs="Arial"/>
          <w:bCs/>
          <w:sz w:val="18"/>
          <w:szCs w:val="18"/>
        </w:rPr>
        <w:t>2018</w:t>
      </w:r>
      <w:r w:rsidR="003F0E32">
        <w:rPr>
          <w:rFonts w:ascii="Arial" w:hAnsi="Arial" w:cs="Arial"/>
          <w:bCs/>
          <w:sz w:val="18"/>
          <w:szCs w:val="18"/>
        </w:rPr>
        <w:t xml:space="preserve"> </w:t>
      </w:r>
      <w:r w:rsidR="00727A40" w:rsidRPr="003F0E32">
        <w:rPr>
          <w:rFonts w:ascii="Arial" w:hAnsi="Arial" w:cs="Arial"/>
          <w:bCs/>
          <w:sz w:val="18"/>
          <w:szCs w:val="18"/>
        </w:rPr>
        <w:t>and an unwillingness of p</w:t>
      </w:r>
      <w:r w:rsidRPr="003F0E32">
        <w:rPr>
          <w:rFonts w:ascii="Arial" w:hAnsi="Arial" w:cs="Arial"/>
          <w:bCs/>
          <w:sz w:val="18"/>
          <w:szCs w:val="18"/>
        </w:rPr>
        <w:t xml:space="preserve">arties to allow for case reassignment, </w:t>
      </w:r>
      <w:r w:rsidR="00727A40" w:rsidRPr="003F0E32">
        <w:rPr>
          <w:rFonts w:ascii="Arial" w:hAnsi="Arial" w:cs="Arial"/>
          <w:bCs/>
          <w:sz w:val="18"/>
          <w:szCs w:val="18"/>
        </w:rPr>
        <w:t>t</w:t>
      </w:r>
      <w:r w:rsidR="009E2D57" w:rsidRPr="003F0E32">
        <w:rPr>
          <w:rFonts w:ascii="Arial" w:hAnsi="Arial" w:cs="Arial"/>
          <w:bCs/>
          <w:sz w:val="18"/>
          <w:szCs w:val="18"/>
        </w:rPr>
        <w:t>he average worker</w:t>
      </w:r>
      <w:r w:rsidR="002820E5" w:rsidRPr="003F0E32">
        <w:rPr>
          <w:rFonts w:ascii="Arial" w:hAnsi="Arial" w:cs="Arial"/>
          <w:bCs/>
          <w:sz w:val="18"/>
          <w:szCs w:val="18"/>
        </w:rPr>
        <w:t>s</w:t>
      </w:r>
      <w:r w:rsidR="001365EA" w:rsidRPr="003F0E32">
        <w:rPr>
          <w:rFonts w:ascii="Arial" w:hAnsi="Arial" w:cs="Arial"/>
          <w:bCs/>
          <w:sz w:val="18"/>
          <w:szCs w:val="18"/>
        </w:rPr>
        <w:t>'</w:t>
      </w:r>
      <w:r w:rsidR="009E2D57" w:rsidRPr="003F0E32">
        <w:rPr>
          <w:rFonts w:ascii="Arial" w:hAnsi="Arial" w:cs="Arial"/>
          <w:bCs/>
          <w:sz w:val="18"/>
          <w:szCs w:val="18"/>
        </w:rPr>
        <w:t xml:space="preserve"> compensation decisions timeframe to issuance shifted up to a </w:t>
      </w:r>
      <w:proofErr w:type="gramStart"/>
      <w:r w:rsidR="009E2D57" w:rsidRPr="003F0E32">
        <w:rPr>
          <w:rFonts w:ascii="Arial" w:hAnsi="Arial" w:cs="Arial"/>
          <w:bCs/>
          <w:sz w:val="18"/>
          <w:szCs w:val="18"/>
        </w:rPr>
        <w:t>144 day</w:t>
      </w:r>
      <w:proofErr w:type="gramEnd"/>
      <w:r w:rsidR="009E2D57" w:rsidRPr="003F0E32">
        <w:rPr>
          <w:rFonts w:ascii="Arial" w:hAnsi="Arial" w:cs="Arial"/>
          <w:bCs/>
          <w:sz w:val="18"/>
          <w:szCs w:val="18"/>
        </w:rPr>
        <w:t xml:space="preserve"> average. This was an outlier, and the </w:t>
      </w:r>
      <w:r w:rsidRPr="003F0E32">
        <w:rPr>
          <w:rFonts w:ascii="Arial" w:hAnsi="Arial" w:cs="Arial"/>
          <w:bCs/>
          <w:sz w:val="18"/>
          <w:szCs w:val="18"/>
        </w:rPr>
        <w:t>issue has</w:t>
      </w:r>
      <w:r w:rsidR="009E2D57" w:rsidRPr="003F0E32">
        <w:rPr>
          <w:rFonts w:ascii="Arial" w:hAnsi="Arial" w:cs="Arial"/>
          <w:bCs/>
          <w:sz w:val="18"/>
          <w:szCs w:val="18"/>
        </w:rPr>
        <w:t xml:space="preserve"> been rectified.</w:t>
      </w:r>
    </w:p>
    <w:p w14:paraId="70C60043" w14:textId="77777777" w:rsidR="00B64743" w:rsidRDefault="00B64743" w:rsidP="007713B0">
      <w:pPr>
        <w:jc w:val="both"/>
        <w:rPr>
          <w:rFonts w:ascii="Arial" w:hAnsi="Arial" w:cs="Arial"/>
          <w:bCs/>
          <w:sz w:val="20"/>
          <w:szCs w:val="20"/>
        </w:rPr>
      </w:pPr>
    </w:p>
    <w:p w14:paraId="77050F69" w14:textId="77777777" w:rsidR="007713B0" w:rsidRPr="007713B0" w:rsidRDefault="007713B0" w:rsidP="007713B0">
      <w:pPr>
        <w:jc w:val="both"/>
        <w:rPr>
          <w:rFonts w:ascii="Arial" w:hAnsi="Arial" w:cs="Arial"/>
          <w:bCs/>
          <w:sz w:val="20"/>
          <w:szCs w:val="20"/>
        </w:rPr>
      </w:pPr>
    </w:p>
    <w:tbl>
      <w:tblPr>
        <w:tblW w:w="0" w:type="auto"/>
        <w:jc w:val="center"/>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680"/>
      </w:tblGrid>
      <w:tr w:rsidR="007D3058" w:rsidRPr="00AB5FD2" w14:paraId="7EEE9A5E" w14:textId="77777777" w:rsidTr="00096563">
        <w:trPr>
          <w:trHeight w:val="2222"/>
          <w:jc w:val="center"/>
        </w:trPr>
        <w:tc>
          <w:tcPr>
            <w:tcW w:w="7680" w:type="dxa"/>
            <w:tcBorders>
              <w:top w:val="threeDEmboss" w:sz="24" w:space="0" w:color="333399"/>
              <w:left w:val="threeDEmboss" w:sz="24" w:space="0" w:color="333399"/>
              <w:bottom w:val="threeDEmboss" w:sz="24" w:space="0" w:color="333399"/>
              <w:right w:val="threeDEmboss" w:sz="24" w:space="0" w:color="333399"/>
            </w:tcBorders>
          </w:tcPr>
          <w:p w14:paraId="182D1FC4" w14:textId="77777777" w:rsidR="007D3058" w:rsidRPr="00AB5FD2" w:rsidRDefault="007D3058" w:rsidP="007D3058">
            <w:pPr>
              <w:jc w:val="center"/>
              <w:rPr>
                <w:rFonts w:ascii="Arial" w:hAnsi="Arial" w:cs="Arial"/>
                <w:sz w:val="20"/>
              </w:rPr>
            </w:pPr>
            <w:r w:rsidRPr="00AB5FD2">
              <w:rPr>
                <w:rFonts w:ascii="Arial" w:hAnsi="Arial" w:cs="Arial"/>
                <w:b/>
                <w:bCs/>
                <w:sz w:val="20"/>
              </w:rPr>
              <w:t>For More Information Contact</w:t>
            </w:r>
          </w:p>
          <w:p w14:paraId="162855FB" w14:textId="77777777" w:rsidR="007D3058" w:rsidRPr="00AB5FD2" w:rsidRDefault="007D3058" w:rsidP="007D3058">
            <w:pPr>
              <w:jc w:val="center"/>
              <w:rPr>
                <w:rFonts w:ascii="Arial" w:hAnsi="Arial" w:cs="Arial"/>
                <w:sz w:val="20"/>
              </w:rPr>
            </w:pPr>
          </w:p>
          <w:p w14:paraId="2477455E" w14:textId="77777777" w:rsidR="007D3058" w:rsidRPr="00B64743" w:rsidRDefault="007D3058" w:rsidP="00B64743">
            <w:pPr>
              <w:ind w:left="222" w:firstLine="30"/>
              <w:rPr>
                <w:rFonts w:ascii="Arial" w:hAnsi="Arial" w:cs="Arial"/>
                <w:sz w:val="20"/>
              </w:rPr>
            </w:pPr>
            <w:r w:rsidRPr="00B64743">
              <w:rPr>
                <w:rFonts w:ascii="Arial" w:hAnsi="Arial" w:cs="Arial"/>
                <w:noProof/>
                <w:sz w:val="20"/>
              </w:rPr>
              <w:t>Mindy</w:t>
            </w:r>
            <w:r w:rsidRPr="00B64743">
              <w:rPr>
                <w:rFonts w:ascii="Arial" w:hAnsi="Arial" w:cs="Arial"/>
                <w:sz w:val="20"/>
              </w:rPr>
              <w:t xml:space="preserve"> </w:t>
            </w:r>
            <w:r w:rsidRPr="00B64743">
              <w:rPr>
                <w:rFonts w:ascii="Arial" w:hAnsi="Arial" w:cs="Arial"/>
                <w:noProof/>
                <w:sz w:val="20"/>
              </w:rPr>
              <w:t>Montgomery, Director</w:t>
            </w:r>
          </w:p>
          <w:p w14:paraId="0EACF00F" w14:textId="77777777" w:rsidR="007D3058" w:rsidRPr="00B64743" w:rsidRDefault="007D3058" w:rsidP="00B64743">
            <w:pPr>
              <w:ind w:left="222" w:firstLine="30"/>
              <w:rPr>
                <w:rFonts w:ascii="Arial" w:hAnsi="Arial" w:cs="Arial"/>
                <w:sz w:val="20"/>
              </w:rPr>
            </w:pPr>
            <w:r w:rsidRPr="00B64743">
              <w:rPr>
                <w:rFonts w:ascii="Arial" w:hAnsi="Arial" w:cs="Arial"/>
                <w:noProof/>
                <w:sz w:val="20"/>
              </w:rPr>
              <w:t>Idaho Industrial Commission</w:t>
            </w:r>
          </w:p>
          <w:p w14:paraId="1B8218D0" w14:textId="77777777" w:rsidR="00B64743" w:rsidRPr="00B64743" w:rsidRDefault="00B64743" w:rsidP="00B64743">
            <w:pPr>
              <w:pStyle w:val="NormalWeb"/>
              <w:shd w:val="clear" w:color="auto" w:fill="FFFFFF"/>
              <w:spacing w:before="0" w:beforeAutospacing="0" w:after="0" w:afterAutospacing="0"/>
              <w:ind w:left="222" w:firstLine="30"/>
              <w:rPr>
                <w:rFonts w:ascii="Arial" w:hAnsi="Arial" w:cs="Arial"/>
                <w:sz w:val="20"/>
                <w:szCs w:val="20"/>
              </w:rPr>
            </w:pPr>
            <w:r w:rsidRPr="00B64743">
              <w:rPr>
                <w:rFonts w:ascii="Arial" w:hAnsi="Arial" w:cs="Arial"/>
                <w:sz w:val="20"/>
                <w:szCs w:val="20"/>
              </w:rPr>
              <w:t>11321 W. Chinden Blvd (Building #2)</w:t>
            </w:r>
          </w:p>
          <w:p w14:paraId="68FEA13A" w14:textId="77777777" w:rsidR="00B64743" w:rsidRPr="00B64743" w:rsidRDefault="00B64743" w:rsidP="00B64743">
            <w:pPr>
              <w:pStyle w:val="NormalWeb"/>
              <w:shd w:val="clear" w:color="auto" w:fill="FFFFFF"/>
              <w:spacing w:before="0" w:beforeAutospacing="0" w:after="0" w:afterAutospacing="0"/>
              <w:ind w:left="222" w:firstLine="30"/>
              <w:rPr>
                <w:rFonts w:ascii="Arial" w:hAnsi="Arial" w:cs="Arial"/>
                <w:sz w:val="20"/>
                <w:szCs w:val="20"/>
              </w:rPr>
            </w:pPr>
            <w:r w:rsidRPr="00B64743">
              <w:rPr>
                <w:rFonts w:ascii="Arial" w:hAnsi="Arial" w:cs="Arial"/>
                <w:sz w:val="20"/>
                <w:szCs w:val="20"/>
              </w:rPr>
              <w:t xml:space="preserve">Boise, </w:t>
            </w:r>
            <w:r>
              <w:rPr>
                <w:rFonts w:ascii="Arial" w:hAnsi="Arial" w:cs="Arial"/>
                <w:sz w:val="20"/>
                <w:szCs w:val="20"/>
              </w:rPr>
              <w:t>ID</w:t>
            </w:r>
            <w:r w:rsidRPr="00B64743">
              <w:rPr>
                <w:rFonts w:ascii="Arial" w:hAnsi="Arial" w:cs="Arial"/>
                <w:sz w:val="20"/>
                <w:szCs w:val="20"/>
              </w:rPr>
              <w:t xml:space="preserve"> 83714 </w:t>
            </w:r>
          </w:p>
          <w:p w14:paraId="0B7C1AB8" w14:textId="77777777" w:rsidR="007D3058" w:rsidRPr="00B64743" w:rsidRDefault="007D3058" w:rsidP="00B64743">
            <w:pPr>
              <w:ind w:left="222" w:firstLine="30"/>
              <w:rPr>
                <w:rFonts w:ascii="Arial" w:hAnsi="Arial" w:cs="Arial"/>
                <w:sz w:val="20"/>
                <w:szCs w:val="17"/>
              </w:rPr>
            </w:pPr>
            <w:r w:rsidRPr="00B64743">
              <w:rPr>
                <w:rFonts w:ascii="Arial" w:hAnsi="Arial" w:cs="Arial"/>
                <w:sz w:val="20"/>
              </w:rPr>
              <w:t>Phone</w:t>
            </w:r>
            <w:proofErr w:type="gramStart"/>
            <w:r w:rsidRPr="00B64743">
              <w:rPr>
                <w:rFonts w:ascii="Arial" w:hAnsi="Arial" w:cs="Arial"/>
                <w:sz w:val="20"/>
              </w:rPr>
              <w:t>:  (</w:t>
            </w:r>
            <w:proofErr w:type="gramEnd"/>
            <w:r w:rsidRPr="00B64743">
              <w:rPr>
                <w:rFonts w:ascii="Arial" w:hAnsi="Arial" w:cs="Arial"/>
                <w:sz w:val="20"/>
              </w:rPr>
              <w:t>208) 334-6000</w:t>
            </w:r>
          </w:p>
          <w:p w14:paraId="3319C6DB" w14:textId="77777777" w:rsidR="007D3058" w:rsidRPr="00AB5FD2" w:rsidRDefault="007D3058" w:rsidP="00B64743">
            <w:pPr>
              <w:ind w:left="252"/>
              <w:rPr>
                <w:rFonts w:ascii="Arial" w:hAnsi="Arial" w:cs="Arial"/>
                <w:sz w:val="20"/>
              </w:rPr>
            </w:pPr>
            <w:r w:rsidRPr="00AB5FD2">
              <w:rPr>
                <w:rFonts w:ascii="Arial" w:hAnsi="Arial" w:cs="Arial"/>
                <w:sz w:val="20"/>
                <w:szCs w:val="17"/>
              </w:rPr>
              <w:t xml:space="preserve">E-mail:  </w:t>
            </w:r>
            <w:hyperlink r:id="rId11" w:history="1">
              <w:r w:rsidRPr="00AB5FD2">
                <w:rPr>
                  <w:rStyle w:val="Hyperlink"/>
                  <w:rFonts w:ascii="Arial" w:hAnsi="Arial" w:cs="Arial"/>
                  <w:sz w:val="20"/>
                  <w:szCs w:val="17"/>
                </w:rPr>
                <w:t>Mindy.Montgomery@iic.idaho.gov</w:t>
              </w:r>
            </w:hyperlink>
          </w:p>
        </w:tc>
      </w:tr>
    </w:tbl>
    <w:p w14:paraId="22A50E0C" w14:textId="77777777" w:rsidR="007D3058" w:rsidRPr="00AB5FD2" w:rsidRDefault="007D3058" w:rsidP="007D1780">
      <w:pPr>
        <w:rPr>
          <w:rFonts w:ascii="Arial" w:hAnsi="Arial" w:cs="Arial"/>
        </w:rPr>
      </w:pPr>
    </w:p>
    <w:sectPr w:rsidR="007D3058" w:rsidRPr="00AB5FD2" w:rsidSect="00E0706B">
      <w:headerReference w:type="default" r:id="rId12"/>
      <w:footerReference w:type="default" r:id="rId13"/>
      <w:headerReference w:type="first" r:id="rId14"/>
      <w:footerReference w:type="first" r:id="rId15"/>
      <w:type w:val="continuous"/>
      <w:pgSz w:w="12240" w:h="15840" w:code="1"/>
      <w:pgMar w:top="1080" w:right="1080" w:bottom="126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BAD58" w14:textId="77777777" w:rsidR="00481670" w:rsidRDefault="00481670">
      <w:r>
        <w:separator/>
      </w:r>
    </w:p>
  </w:endnote>
  <w:endnote w:type="continuationSeparator" w:id="0">
    <w:p w14:paraId="3186A204" w14:textId="77777777" w:rsidR="00481670" w:rsidRDefault="004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745E" w14:textId="77777777" w:rsidR="00864702" w:rsidRDefault="00864702" w:rsidP="00D339AD">
    <w:pPr>
      <w:pStyle w:val="Footer"/>
      <w:tabs>
        <w:tab w:val="clear" w:pos="4320"/>
        <w:tab w:val="clear" w:pos="8640"/>
        <w:tab w:val="right" w:pos="10080"/>
      </w:tabs>
      <w:rPr>
        <w:rFonts w:ascii="Arial" w:hAnsi="Arial" w:cs="Arial"/>
        <w:sz w:val="20"/>
        <w:szCs w:val="20"/>
      </w:rPr>
    </w:pPr>
  </w:p>
  <w:p w14:paraId="75DE2C09" w14:textId="77777777" w:rsidR="00864702" w:rsidRPr="00D339AD" w:rsidRDefault="00864702" w:rsidP="00D339AD">
    <w:pPr>
      <w:pStyle w:val="Footer"/>
      <w:tabs>
        <w:tab w:val="clear" w:pos="4320"/>
        <w:tab w:val="clear" w:pos="8640"/>
        <w:tab w:val="right" w:pos="10080"/>
      </w:tabs>
      <w:rPr>
        <w:rFonts w:ascii="Arial" w:hAnsi="Arial" w:cs="Arial"/>
        <w:sz w:val="20"/>
        <w:szCs w:val="20"/>
      </w:rPr>
    </w:pPr>
    <w:r w:rsidRPr="00D339AD">
      <w:rPr>
        <w:rFonts w:ascii="Arial" w:hAnsi="Arial" w:cs="Arial"/>
        <w:sz w:val="20"/>
        <w:szCs w:val="20"/>
      </w:rPr>
      <w:t>State of Idaho</w:t>
    </w:r>
    <w:r w:rsidRPr="00D339AD">
      <w:rPr>
        <w:rFonts w:ascii="Arial" w:hAnsi="Arial" w:cs="Arial"/>
        <w:sz w:val="20"/>
        <w:szCs w:val="20"/>
      </w:rPr>
      <w:tab/>
    </w:r>
    <w:r w:rsidR="00541D6F" w:rsidRPr="00D339AD">
      <w:rPr>
        <w:rFonts w:ascii="Arial" w:hAnsi="Arial" w:cs="Arial"/>
        <w:sz w:val="20"/>
        <w:szCs w:val="20"/>
      </w:rPr>
      <w:fldChar w:fldCharType="begin"/>
    </w:r>
    <w:r w:rsidRPr="00D339AD">
      <w:rPr>
        <w:rFonts w:ascii="Arial" w:hAnsi="Arial" w:cs="Arial"/>
        <w:sz w:val="20"/>
        <w:szCs w:val="20"/>
      </w:rPr>
      <w:instrText xml:space="preserve"> PAGE   \* MERGEFORMAT </w:instrText>
    </w:r>
    <w:r w:rsidR="00541D6F" w:rsidRPr="00D339AD">
      <w:rPr>
        <w:rFonts w:ascii="Arial" w:hAnsi="Arial" w:cs="Arial"/>
        <w:sz w:val="20"/>
        <w:szCs w:val="20"/>
      </w:rPr>
      <w:fldChar w:fldCharType="separate"/>
    </w:r>
    <w:r w:rsidR="00090BB5">
      <w:rPr>
        <w:rFonts w:ascii="Arial" w:hAnsi="Arial" w:cs="Arial"/>
        <w:noProof/>
        <w:sz w:val="20"/>
        <w:szCs w:val="20"/>
      </w:rPr>
      <w:t>4</w:t>
    </w:r>
    <w:r w:rsidR="00541D6F" w:rsidRPr="00D339AD">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29007"/>
      <w:docPartObj>
        <w:docPartGallery w:val="Page Numbers (Bottom of Page)"/>
        <w:docPartUnique/>
      </w:docPartObj>
    </w:sdtPr>
    <w:sdtEndPr>
      <w:rPr>
        <w:noProof/>
      </w:rPr>
    </w:sdtEndPr>
    <w:sdtContent>
      <w:p w14:paraId="70D6858D" w14:textId="77777777" w:rsidR="00864702" w:rsidRPr="009D0FE8" w:rsidRDefault="00864702" w:rsidP="009D0FE8">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sidR="00541D6F">
          <w:rPr>
            <w:rFonts w:ascii="Arial" w:hAnsi="Arial" w:cs="Arial"/>
            <w:sz w:val="20"/>
            <w:szCs w:val="20"/>
          </w:rPr>
          <w:fldChar w:fldCharType="begin"/>
        </w:r>
        <w:r>
          <w:rPr>
            <w:rFonts w:ascii="Arial" w:hAnsi="Arial" w:cs="Arial"/>
            <w:sz w:val="20"/>
            <w:szCs w:val="20"/>
          </w:rPr>
          <w:instrText xml:space="preserve"> PAGE   \* MERGEFORMAT </w:instrText>
        </w:r>
        <w:r w:rsidR="00541D6F">
          <w:rPr>
            <w:rFonts w:ascii="Arial" w:hAnsi="Arial" w:cs="Arial"/>
            <w:sz w:val="20"/>
            <w:szCs w:val="20"/>
          </w:rPr>
          <w:fldChar w:fldCharType="separate"/>
        </w:r>
        <w:r>
          <w:rPr>
            <w:rFonts w:ascii="Arial" w:hAnsi="Arial" w:cs="Arial"/>
            <w:noProof/>
            <w:sz w:val="20"/>
            <w:szCs w:val="20"/>
          </w:rPr>
          <w:t>1</w:t>
        </w:r>
        <w:r w:rsidR="00541D6F">
          <w:rPr>
            <w:rFonts w:ascii="Arial" w:hAnsi="Arial" w:cs="Arial"/>
            <w:noProof/>
            <w:sz w:val="20"/>
            <w:szCs w:val="20"/>
          </w:rPr>
          <w:fldChar w:fldCharType="end"/>
        </w:r>
      </w:p>
    </w:sdtContent>
  </w:sdt>
  <w:p w14:paraId="70CE74F8" w14:textId="77777777" w:rsidR="00864702" w:rsidRDefault="00864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8F28" w14:textId="77777777" w:rsidR="00481670" w:rsidRDefault="00481670">
      <w:r>
        <w:separator/>
      </w:r>
    </w:p>
  </w:footnote>
  <w:footnote w:type="continuationSeparator" w:id="0">
    <w:p w14:paraId="619DA3CC" w14:textId="77777777" w:rsidR="00481670" w:rsidRDefault="0048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insideV w:val="single" w:sz="4" w:space="0" w:color="auto"/>
      </w:tblBorders>
      <w:tblLook w:val="0000" w:firstRow="0" w:lastRow="0" w:firstColumn="0" w:lastColumn="0" w:noHBand="0" w:noVBand="0"/>
    </w:tblPr>
    <w:tblGrid>
      <w:gridCol w:w="10080"/>
    </w:tblGrid>
    <w:tr w:rsidR="00864702" w14:paraId="526F15EF" w14:textId="77777777" w:rsidTr="005C76FA">
      <w:tc>
        <w:tcPr>
          <w:tcW w:w="10080" w:type="dxa"/>
          <w:shd w:val="clear" w:color="auto" w:fill="000080"/>
        </w:tcPr>
        <w:p w14:paraId="7FF0C2D3" w14:textId="77777777" w:rsidR="00864702" w:rsidRPr="006A55D1" w:rsidRDefault="00864702" w:rsidP="00FB1FEA">
          <w:pPr>
            <w:tabs>
              <w:tab w:val="right" w:pos="9852"/>
            </w:tabs>
            <w:rPr>
              <w:rFonts w:ascii="Arial" w:hAnsi="Arial" w:cs="Arial"/>
              <w:color w:val="FFFFFF" w:themeColor="background1"/>
            </w:rPr>
          </w:pPr>
          <w:r w:rsidRPr="006A55D1">
            <w:rPr>
              <w:rFonts w:ascii="Arial" w:hAnsi="Arial" w:cs="Arial"/>
              <w:b/>
              <w:bCs/>
              <w:noProof/>
              <w:color w:val="FFFFFF" w:themeColor="background1"/>
            </w:rPr>
            <w:t>Industrial Commission</w:t>
          </w:r>
          <w:r w:rsidRPr="006A55D1">
            <w:rPr>
              <w:rFonts w:ascii="Arial" w:hAnsi="Arial" w:cs="Arial"/>
              <w:b/>
              <w:bCs/>
              <w:color w:val="FFFFFF" w:themeColor="background1"/>
            </w:rPr>
            <w:tab/>
          </w:r>
          <w:r w:rsidRPr="006A55D1">
            <w:rPr>
              <w:rFonts w:ascii="Arial" w:hAnsi="Arial" w:cs="Arial"/>
              <w:color w:val="FFFFFF" w:themeColor="background1"/>
            </w:rPr>
            <w:t>Performance Report</w:t>
          </w:r>
        </w:p>
      </w:tc>
    </w:tr>
    <w:tr w:rsidR="00864702" w14:paraId="1A139E17" w14:textId="77777777" w:rsidTr="005C76FA">
      <w:trPr>
        <w:trHeight w:hRule="exact" w:val="90"/>
      </w:trPr>
      <w:tc>
        <w:tcPr>
          <w:tcW w:w="10080" w:type="dxa"/>
          <w:tcBorders>
            <w:top w:val="nil"/>
            <w:bottom w:val="single" w:sz="4" w:space="0" w:color="auto"/>
          </w:tcBorders>
        </w:tcPr>
        <w:p w14:paraId="0AA94047" w14:textId="77777777" w:rsidR="00864702" w:rsidRDefault="00864702" w:rsidP="00C974D2"/>
      </w:tc>
    </w:tr>
    <w:tr w:rsidR="00864702" w14:paraId="2E66E71A" w14:textId="77777777" w:rsidTr="005C76FA">
      <w:tc>
        <w:tcPr>
          <w:tcW w:w="10080" w:type="dxa"/>
          <w:tcBorders>
            <w:top w:val="single" w:sz="4" w:space="0" w:color="auto"/>
            <w:bottom w:val="nil"/>
          </w:tcBorders>
          <w:shd w:val="clear" w:color="auto" w:fill="000080"/>
        </w:tcPr>
        <w:p w14:paraId="7DA497F7" w14:textId="77777777" w:rsidR="00864702" w:rsidRDefault="00864702" w:rsidP="00C974D2"/>
      </w:tc>
    </w:tr>
  </w:tbl>
  <w:p w14:paraId="3CBC9A66" w14:textId="56284ACA" w:rsidR="00864702" w:rsidRPr="00D339AD" w:rsidRDefault="001365EA" w:rsidP="00D339AD">
    <w:pPr>
      <w:pStyle w:val="Header"/>
    </w:pPr>
    <w:r>
      <w:rPr>
        <w:noProof/>
      </w:rPr>
      <mc:AlternateContent>
        <mc:Choice Requires="wps">
          <w:drawing>
            <wp:anchor distT="0" distB="0" distL="114300" distR="114300" simplePos="0" relativeHeight="251659264" behindDoc="0" locked="0" layoutInCell="1" allowOverlap="1" wp14:anchorId="62CA0591" wp14:editId="1AA9F5EE">
              <wp:simplePos x="0" y="0"/>
              <wp:positionH relativeFrom="column">
                <wp:posOffset>-9525</wp:posOffset>
              </wp:positionH>
              <wp:positionV relativeFrom="paragraph">
                <wp:posOffset>-614045</wp:posOffset>
              </wp:positionV>
              <wp:extent cx="15716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71625" cy="276225"/>
                      </a:xfrm>
                      <a:prstGeom prst="rect">
                        <a:avLst/>
                      </a:prstGeom>
                      <a:noFill/>
                      <a:ln w="6350">
                        <a:noFill/>
                      </a:ln>
                    </wps:spPr>
                    <wps:txbx>
                      <w:txbxContent>
                        <w:p w14:paraId="29D0E882" w14:textId="3C015A7F" w:rsidR="001365EA" w:rsidRPr="001365EA" w:rsidRDefault="001365EA">
                          <w:pPr>
                            <w:rPr>
                              <w:color w:val="FF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CA0591" id="_x0000_t202" coordsize="21600,21600" o:spt="202" path="m,l,21600r21600,l21600,xe">
              <v:stroke joinstyle="miter"/>
              <v:path gradientshapeok="t" o:connecttype="rect"/>
            </v:shapetype>
            <v:shape id="Text Box 1" o:spid="_x0000_s1026" type="#_x0000_t202" style="position:absolute;margin-left:-.75pt;margin-top:-48.35pt;width:123.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" filled="f" stroked="f" strokeweight=".5pt">
              <v:textbox>
                <w:txbxContent>
                  <w:p w14:paraId="29D0E882" w14:textId="3C015A7F" w:rsidR="001365EA" w:rsidRPr="001365EA" w:rsidRDefault="001365EA">
                    <w:pPr>
                      <w:rPr>
                        <w:color w:val="FF0000"/>
                        <w:sz w:val="20"/>
                        <w:szCs w:val="2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Ind w:w="108" w:type="dxa"/>
      <w:tblBorders>
        <w:insideH w:val="single" w:sz="4" w:space="0" w:color="auto"/>
        <w:insideV w:val="single" w:sz="4" w:space="0" w:color="auto"/>
      </w:tblBorders>
      <w:tblLook w:val="0000" w:firstRow="0" w:lastRow="0" w:firstColumn="0" w:lastColumn="0" w:noHBand="0" w:noVBand="0"/>
    </w:tblPr>
    <w:tblGrid>
      <w:gridCol w:w="10080"/>
    </w:tblGrid>
    <w:tr w:rsidR="00864702" w14:paraId="1B5BB881" w14:textId="77777777" w:rsidTr="00C974D2">
      <w:tc>
        <w:tcPr>
          <w:tcW w:w="10080" w:type="dxa"/>
          <w:shd w:val="clear" w:color="auto" w:fill="000080"/>
        </w:tcPr>
        <w:p w14:paraId="7701CE7E" w14:textId="77777777" w:rsidR="00864702" w:rsidRDefault="00864702" w:rsidP="00C974D2">
          <w:pPr>
            <w:tabs>
              <w:tab w:val="right" w:pos="9852"/>
            </w:tabs>
            <w:rPr>
              <w:rFonts w:ascii="Arial" w:hAnsi="Arial" w:cs="Arial"/>
              <w:color w:val="FFFFFF"/>
            </w:rPr>
          </w:pPr>
          <w:r>
            <w:rPr>
              <w:rFonts w:ascii="Arial" w:hAnsi="Arial" w:cs="Arial"/>
              <w:b/>
              <w:bCs/>
              <w:noProof/>
              <w:color w:val="FFFFFF"/>
            </w:rPr>
            <w:t>Industrial Commission</w:t>
          </w:r>
          <w:r>
            <w:rPr>
              <w:rFonts w:ascii="Arial" w:hAnsi="Arial" w:cs="Arial"/>
              <w:b/>
              <w:bCs/>
              <w:color w:val="FFFFFF"/>
            </w:rPr>
            <w:tab/>
          </w:r>
          <w:r>
            <w:rPr>
              <w:rFonts w:ascii="Arial" w:hAnsi="Arial" w:cs="Arial"/>
              <w:color w:val="FFFFFF"/>
            </w:rPr>
            <w:t>Performance Measurement Report</w:t>
          </w:r>
        </w:p>
      </w:tc>
    </w:tr>
    <w:tr w:rsidR="00864702" w14:paraId="31243724" w14:textId="77777777" w:rsidTr="00C974D2">
      <w:trPr>
        <w:trHeight w:hRule="exact" w:val="90"/>
      </w:trPr>
      <w:tc>
        <w:tcPr>
          <w:tcW w:w="10080" w:type="dxa"/>
          <w:tcBorders>
            <w:top w:val="nil"/>
            <w:bottom w:val="single" w:sz="4" w:space="0" w:color="auto"/>
          </w:tcBorders>
        </w:tcPr>
        <w:p w14:paraId="28C1E2BD" w14:textId="77777777" w:rsidR="00864702" w:rsidRDefault="00864702" w:rsidP="00C974D2"/>
      </w:tc>
    </w:tr>
    <w:tr w:rsidR="00864702" w14:paraId="7E799BC9" w14:textId="77777777" w:rsidTr="00C974D2">
      <w:tc>
        <w:tcPr>
          <w:tcW w:w="10080" w:type="dxa"/>
          <w:tcBorders>
            <w:top w:val="single" w:sz="4" w:space="0" w:color="auto"/>
            <w:bottom w:val="nil"/>
          </w:tcBorders>
          <w:shd w:val="clear" w:color="auto" w:fill="000080"/>
        </w:tcPr>
        <w:p w14:paraId="556428AF" w14:textId="77777777" w:rsidR="00864702" w:rsidRDefault="00864702" w:rsidP="00C974D2"/>
      </w:tc>
    </w:tr>
  </w:tbl>
  <w:p w14:paraId="1A5A6289" w14:textId="77777777" w:rsidR="00864702" w:rsidRPr="00D339AD" w:rsidRDefault="00864702" w:rsidP="00D33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A50"/>
    <w:multiLevelType w:val="singleLevel"/>
    <w:tmpl w:val="DEC829FE"/>
    <w:lvl w:ilvl="0">
      <w:start w:val="5"/>
      <w:numFmt w:val="decimal"/>
      <w:lvlText w:val="%1."/>
      <w:lvlJc w:val="left"/>
      <w:pPr>
        <w:tabs>
          <w:tab w:val="num" w:pos="1440"/>
        </w:tabs>
        <w:ind w:left="1440" w:hanging="720"/>
      </w:pPr>
      <w:rPr>
        <w:rFonts w:hint="default"/>
      </w:rPr>
    </w:lvl>
  </w:abstractNum>
  <w:abstractNum w:abstractNumId="1" w15:restartNumberingAfterBreak="0">
    <w:nsid w:val="037C547D"/>
    <w:multiLevelType w:val="hybridMultilevel"/>
    <w:tmpl w:val="2E50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9305A"/>
    <w:multiLevelType w:val="hybridMultilevel"/>
    <w:tmpl w:val="C212AC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60A68D9"/>
    <w:multiLevelType w:val="hybridMultilevel"/>
    <w:tmpl w:val="468A8E70"/>
    <w:lvl w:ilvl="0" w:tplc="282A4676">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DE4C56"/>
    <w:multiLevelType w:val="hybridMultilevel"/>
    <w:tmpl w:val="C10EAA62"/>
    <w:lvl w:ilvl="0" w:tplc="FD64AE10">
      <w:start w:val="1"/>
      <w:numFmt w:val="decimal"/>
      <w:lvlText w:val="%1."/>
      <w:lvlJc w:val="left"/>
      <w:pPr>
        <w:ind w:left="810" w:hanging="360"/>
      </w:pPr>
      <w:rPr>
        <w:b w:val="0"/>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A296A67"/>
    <w:multiLevelType w:val="hybridMultilevel"/>
    <w:tmpl w:val="B2781AC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9748D1"/>
    <w:multiLevelType w:val="hybridMultilevel"/>
    <w:tmpl w:val="8A6E25E6"/>
    <w:lvl w:ilvl="0" w:tplc="D26887FE">
      <w:start w:val="1"/>
      <w:numFmt w:val="decimal"/>
      <w:lvlText w:val="%1."/>
      <w:lvlJc w:val="left"/>
      <w:pPr>
        <w:ind w:left="810" w:hanging="360"/>
      </w:pPr>
      <w:rPr>
        <w:rFonts w:hint="default"/>
        <w:b w:val="0"/>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B0663F1"/>
    <w:multiLevelType w:val="hybridMultilevel"/>
    <w:tmpl w:val="B7584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22028"/>
    <w:multiLevelType w:val="hybridMultilevel"/>
    <w:tmpl w:val="57F81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6B3E"/>
    <w:multiLevelType w:val="hybridMultilevel"/>
    <w:tmpl w:val="8B54A8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B05489"/>
    <w:multiLevelType w:val="hybridMultilevel"/>
    <w:tmpl w:val="4B9E6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0F06BF"/>
    <w:multiLevelType w:val="hybridMultilevel"/>
    <w:tmpl w:val="4F968C7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B577288"/>
    <w:multiLevelType w:val="hybridMultilevel"/>
    <w:tmpl w:val="25C20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DA47FD"/>
    <w:multiLevelType w:val="hybridMultilevel"/>
    <w:tmpl w:val="B25022E0"/>
    <w:lvl w:ilvl="0" w:tplc="A4D63FE6">
      <w:start w:val="5"/>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2A81674"/>
    <w:multiLevelType w:val="hybridMultilevel"/>
    <w:tmpl w:val="B02AE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E65E4"/>
    <w:multiLevelType w:val="hybridMultilevel"/>
    <w:tmpl w:val="4B9E6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CE1C60"/>
    <w:multiLevelType w:val="hybridMultilevel"/>
    <w:tmpl w:val="9F1EDE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4C40A24"/>
    <w:multiLevelType w:val="hybridMultilevel"/>
    <w:tmpl w:val="75C81E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F063B1"/>
    <w:multiLevelType w:val="hybridMultilevel"/>
    <w:tmpl w:val="4B9E6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76966F0"/>
    <w:multiLevelType w:val="hybridMultilevel"/>
    <w:tmpl w:val="ADD2C4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5C16FB"/>
    <w:multiLevelType w:val="hybridMultilevel"/>
    <w:tmpl w:val="1FF2EC70"/>
    <w:lvl w:ilvl="0" w:tplc="17BA825C">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B6313DF"/>
    <w:multiLevelType w:val="hybridMultilevel"/>
    <w:tmpl w:val="EABE41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60297"/>
    <w:multiLevelType w:val="hybridMultilevel"/>
    <w:tmpl w:val="143CB7EC"/>
    <w:lvl w:ilvl="0" w:tplc="0409000F">
      <w:start w:val="1"/>
      <w:numFmt w:val="decimal"/>
      <w:lvlText w:val="%1."/>
      <w:lvlJc w:val="left"/>
      <w:pPr>
        <w:ind w:left="1680" w:hanging="360"/>
      </w:p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3" w15:restartNumberingAfterBreak="0">
    <w:nsid w:val="40B63731"/>
    <w:multiLevelType w:val="hybridMultilevel"/>
    <w:tmpl w:val="C212AC5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3BB1519"/>
    <w:multiLevelType w:val="hybridMultilevel"/>
    <w:tmpl w:val="265E6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8A416D"/>
    <w:multiLevelType w:val="hybridMultilevel"/>
    <w:tmpl w:val="4B9E6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CB55CB"/>
    <w:multiLevelType w:val="hybridMultilevel"/>
    <w:tmpl w:val="801E9BAE"/>
    <w:lvl w:ilvl="0" w:tplc="04090001">
      <w:start w:val="1"/>
      <w:numFmt w:val="bullet"/>
      <w:lvlText w:val=""/>
      <w:lvlJc w:val="left"/>
      <w:pPr>
        <w:tabs>
          <w:tab w:val="num" w:pos="-1008"/>
        </w:tabs>
        <w:ind w:left="-1008" w:hanging="360"/>
      </w:pPr>
      <w:rPr>
        <w:rFonts w:ascii="Symbol" w:hAnsi="Symbol" w:hint="default"/>
      </w:rPr>
    </w:lvl>
    <w:lvl w:ilvl="1" w:tplc="04090003">
      <w:start w:val="1"/>
      <w:numFmt w:val="bullet"/>
      <w:lvlText w:val="o"/>
      <w:lvlJc w:val="left"/>
      <w:pPr>
        <w:tabs>
          <w:tab w:val="num" w:pos="-288"/>
        </w:tabs>
        <w:ind w:left="-288" w:hanging="360"/>
      </w:pPr>
      <w:rPr>
        <w:rFonts w:ascii="Courier New" w:hAnsi="Courier New" w:hint="default"/>
      </w:rPr>
    </w:lvl>
    <w:lvl w:ilvl="2" w:tplc="04090005">
      <w:start w:val="1"/>
      <w:numFmt w:val="bullet"/>
      <w:lvlText w:val=""/>
      <w:lvlJc w:val="left"/>
      <w:pPr>
        <w:tabs>
          <w:tab w:val="num" w:pos="432"/>
        </w:tabs>
        <w:ind w:left="432" w:hanging="360"/>
      </w:pPr>
      <w:rPr>
        <w:rFonts w:ascii="Wingdings" w:hAnsi="Wingdings" w:hint="default"/>
      </w:rPr>
    </w:lvl>
    <w:lvl w:ilvl="3" w:tplc="04090001">
      <w:start w:val="1"/>
      <w:numFmt w:val="bullet"/>
      <w:lvlText w:val=""/>
      <w:lvlJc w:val="left"/>
      <w:pPr>
        <w:tabs>
          <w:tab w:val="num" w:pos="1152"/>
        </w:tabs>
        <w:ind w:left="1152" w:hanging="360"/>
      </w:pPr>
      <w:rPr>
        <w:rFonts w:ascii="Symbol" w:hAnsi="Symbol" w:hint="default"/>
      </w:rPr>
    </w:lvl>
    <w:lvl w:ilvl="4" w:tplc="04090003" w:tentative="1">
      <w:start w:val="1"/>
      <w:numFmt w:val="bullet"/>
      <w:lvlText w:val="o"/>
      <w:lvlJc w:val="left"/>
      <w:pPr>
        <w:tabs>
          <w:tab w:val="num" w:pos="1872"/>
        </w:tabs>
        <w:ind w:left="1872" w:hanging="360"/>
      </w:pPr>
      <w:rPr>
        <w:rFonts w:ascii="Courier New" w:hAnsi="Courier New" w:hint="default"/>
      </w:rPr>
    </w:lvl>
    <w:lvl w:ilvl="5" w:tplc="04090005" w:tentative="1">
      <w:start w:val="1"/>
      <w:numFmt w:val="bullet"/>
      <w:lvlText w:val=""/>
      <w:lvlJc w:val="left"/>
      <w:pPr>
        <w:tabs>
          <w:tab w:val="num" w:pos="2592"/>
        </w:tabs>
        <w:ind w:left="2592" w:hanging="360"/>
      </w:pPr>
      <w:rPr>
        <w:rFonts w:ascii="Wingdings" w:hAnsi="Wingdings" w:hint="default"/>
      </w:rPr>
    </w:lvl>
    <w:lvl w:ilvl="6" w:tplc="04090001" w:tentative="1">
      <w:start w:val="1"/>
      <w:numFmt w:val="bullet"/>
      <w:lvlText w:val=""/>
      <w:lvlJc w:val="left"/>
      <w:pPr>
        <w:tabs>
          <w:tab w:val="num" w:pos="3312"/>
        </w:tabs>
        <w:ind w:left="3312" w:hanging="360"/>
      </w:pPr>
      <w:rPr>
        <w:rFonts w:ascii="Symbol" w:hAnsi="Symbol" w:hint="default"/>
      </w:rPr>
    </w:lvl>
    <w:lvl w:ilvl="7" w:tplc="04090003" w:tentative="1">
      <w:start w:val="1"/>
      <w:numFmt w:val="bullet"/>
      <w:lvlText w:val="o"/>
      <w:lvlJc w:val="left"/>
      <w:pPr>
        <w:tabs>
          <w:tab w:val="num" w:pos="4032"/>
        </w:tabs>
        <w:ind w:left="4032" w:hanging="360"/>
      </w:pPr>
      <w:rPr>
        <w:rFonts w:ascii="Courier New" w:hAnsi="Courier New" w:hint="default"/>
      </w:rPr>
    </w:lvl>
    <w:lvl w:ilvl="8" w:tplc="04090005" w:tentative="1">
      <w:start w:val="1"/>
      <w:numFmt w:val="bullet"/>
      <w:lvlText w:val=""/>
      <w:lvlJc w:val="left"/>
      <w:pPr>
        <w:tabs>
          <w:tab w:val="num" w:pos="4752"/>
        </w:tabs>
        <w:ind w:left="4752" w:hanging="360"/>
      </w:pPr>
      <w:rPr>
        <w:rFonts w:ascii="Wingdings" w:hAnsi="Wingdings" w:hint="default"/>
      </w:rPr>
    </w:lvl>
  </w:abstractNum>
  <w:abstractNum w:abstractNumId="27" w15:restartNumberingAfterBreak="0">
    <w:nsid w:val="513A6ADD"/>
    <w:multiLevelType w:val="hybridMultilevel"/>
    <w:tmpl w:val="08EC9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E709A"/>
    <w:multiLevelType w:val="hybridMultilevel"/>
    <w:tmpl w:val="265E6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F0CDF"/>
    <w:multiLevelType w:val="hybridMultilevel"/>
    <w:tmpl w:val="2B7EF45E"/>
    <w:lvl w:ilvl="0" w:tplc="DB18B67C">
      <w:start w:val="1"/>
      <w:numFmt w:val="decimal"/>
      <w:lvlText w:val="%1."/>
      <w:lvlJc w:val="left"/>
      <w:pPr>
        <w:ind w:left="810" w:hanging="360"/>
      </w:pPr>
      <w:rPr>
        <w:rFonts w:hint="default"/>
        <w:b w:val="0"/>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54A507F3"/>
    <w:multiLevelType w:val="hybridMultilevel"/>
    <w:tmpl w:val="5582F1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53B71EC"/>
    <w:multiLevelType w:val="hybridMultilevel"/>
    <w:tmpl w:val="B5D4F4E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E7375D"/>
    <w:multiLevelType w:val="hybridMultilevel"/>
    <w:tmpl w:val="CE587F7E"/>
    <w:lvl w:ilvl="0" w:tplc="0409000F">
      <w:start w:val="1"/>
      <w:numFmt w:val="decimal"/>
      <w:lvlText w:val="%1."/>
      <w:lvlJc w:val="left"/>
      <w:pPr>
        <w:tabs>
          <w:tab w:val="num" w:pos="1080"/>
        </w:tabs>
        <w:ind w:left="1080" w:hanging="360"/>
      </w:pPr>
      <w:rPr>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B37405"/>
    <w:multiLevelType w:val="hybridMultilevel"/>
    <w:tmpl w:val="7C122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F940EC"/>
    <w:multiLevelType w:val="hybridMultilevel"/>
    <w:tmpl w:val="9E84D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B047757"/>
    <w:multiLevelType w:val="hybridMultilevel"/>
    <w:tmpl w:val="4CACE1BA"/>
    <w:lvl w:ilvl="0" w:tplc="0409000F">
      <w:start w:val="1"/>
      <w:numFmt w:val="decimal"/>
      <w:lvlText w:val="%1."/>
      <w:lvlJc w:val="left"/>
      <w:pPr>
        <w:ind w:left="720" w:hanging="360"/>
      </w:pPr>
    </w:lvl>
    <w:lvl w:ilvl="1" w:tplc="282A467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2D1EE1"/>
    <w:multiLevelType w:val="hybridMultilevel"/>
    <w:tmpl w:val="935CB9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35DB3"/>
    <w:multiLevelType w:val="hybridMultilevel"/>
    <w:tmpl w:val="AC76B9AA"/>
    <w:lvl w:ilvl="0" w:tplc="B82880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747BF4"/>
    <w:multiLevelType w:val="hybridMultilevel"/>
    <w:tmpl w:val="368E479C"/>
    <w:lvl w:ilvl="0" w:tplc="94F2834E">
      <w:start w:val="1"/>
      <w:numFmt w:val="bullet"/>
      <w:lvlText w:val=""/>
      <w:lvlJc w:val="left"/>
      <w:pPr>
        <w:tabs>
          <w:tab w:val="num" w:pos="720"/>
        </w:tabs>
        <w:ind w:left="720" w:hanging="360"/>
      </w:pPr>
      <w:rPr>
        <w:rFonts w:ascii="Wingdings" w:hAnsi="Wingdings" w:hint="default"/>
        <w:sz w:val="7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681540"/>
    <w:multiLevelType w:val="hybridMultilevel"/>
    <w:tmpl w:val="9614F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40E4A98"/>
    <w:multiLevelType w:val="hybridMultilevel"/>
    <w:tmpl w:val="E9A85A34"/>
    <w:lvl w:ilvl="0" w:tplc="04090001">
      <w:start w:val="1"/>
      <w:numFmt w:val="bullet"/>
      <w:lvlText w:val=""/>
      <w:lvlJc w:val="left"/>
      <w:pPr>
        <w:ind w:left="108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41" w15:restartNumberingAfterBreak="0">
    <w:nsid w:val="659F638E"/>
    <w:multiLevelType w:val="hybridMultilevel"/>
    <w:tmpl w:val="A4C4981C"/>
    <w:lvl w:ilvl="0" w:tplc="AEB4BA5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696F083A"/>
    <w:multiLevelType w:val="hybridMultilevel"/>
    <w:tmpl w:val="4B9E6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DE35E2"/>
    <w:multiLevelType w:val="hybridMultilevel"/>
    <w:tmpl w:val="DC4A7D62"/>
    <w:lvl w:ilvl="0" w:tplc="9EE8900E">
      <w:start w:val="6"/>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653E40"/>
    <w:multiLevelType w:val="hybridMultilevel"/>
    <w:tmpl w:val="60426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BB1784"/>
    <w:multiLevelType w:val="hybridMultilevel"/>
    <w:tmpl w:val="43C4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9F2667"/>
    <w:multiLevelType w:val="hybridMultilevel"/>
    <w:tmpl w:val="E0CA4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4C3B31"/>
    <w:multiLevelType w:val="hybridMultilevel"/>
    <w:tmpl w:val="19785D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73350998">
    <w:abstractNumId w:val="30"/>
  </w:num>
  <w:num w:numId="2" w16cid:durableId="1278176401">
    <w:abstractNumId w:val="9"/>
  </w:num>
  <w:num w:numId="3" w16cid:durableId="926963233">
    <w:abstractNumId w:val="0"/>
  </w:num>
  <w:num w:numId="4" w16cid:durableId="1768648452">
    <w:abstractNumId w:val="17"/>
  </w:num>
  <w:num w:numId="5" w16cid:durableId="994450476">
    <w:abstractNumId w:val="3"/>
  </w:num>
  <w:num w:numId="6" w16cid:durableId="1552421312">
    <w:abstractNumId w:val="26"/>
  </w:num>
  <w:num w:numId="7" w16cid:durableId="1266763374">
    <w:abstractNumId w:val="5"/>
  </w:num>
  <w:num w:numId="8" w16cid:durableId="1337995584">
    <w:abstractNumId w:val="38"/>
  </w:num>
  <w:num w:numId="9" w16cid:durableId="613483958">
    <w:abstractNumId w:val="34"/>
  </w:num>
  <w:num w:numId="10" w16cid:durableId="754471901">
    <w:abstractNumId w:val="41"/>
  </w:num>
  <w:num w:numId="11" w16cid:durableId="1804804555">
    <w:abstractNumId w:val="47"/>
  </w:num>
  <w:num w:numId="12" w16cid:durableId="685327411">
    <w:abstractNumId w:val="21"/>
  </w:num>
  <w:num w:numId="13" w16cid:durableId="14209062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9791200">
    <w:abstractNumId w:val="32"/>
  </w:num>
  <w:num w:numId="15" w16cid:durableId="945886349">
    <w:abstractNumId w:val="31"/>
  </w:num>
  <w:num w:numId="16" w16cid:durableId="1307978526">
    <w:abstractNumId w:val="7"/>
  </w:num>
  <w:num w:numId="17" w16cid:durableId="1235315868">
    <w:abstractNumId w:val="22"/>
  </w:num>
  <w:num w:numId="18" w16cid:durableId="1806316426">
    <w:abstractNumId w:val="46"/>
  </w:num>
  <w:num w:numId="19" w16cid:durableId="86966795">
    <w:abstractNumId w:val="29"/>
  </w:num>
  <w:num w:numId="20" w16cid:durableId="786236163">
    <w:abstractNumId w:val="15"/>
  </w:num>
  <w:num w:numId="21" w16cid:durableId="1799840672">
    <w:abstractNumId w:val="36"/>
  </w:num>
  <w:num w:numId="22" w16cid:durableId="1040840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5511801">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7034794">
    <w:abstractNumId w:val="45"/>
  </w:num>
  <w:num w:numId="25" w16cid:durableId="1024478230">
    <w:abstractNumId w:val="39"/>
  </w:num>
  <w:num w:numId="26" w16cid:durableId="501429483">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0871739">
    <w:abstractNumId w:val="42"/>
  </w:num>
  <w:num w:numId="28" w16cid:durableId="27488193">
    <w:abstractNumId w:val="18"/>
  </w:num>
  <w:num w:numId="29" w16cid:durableId="174879216">
    <w:abstractNumId w:val="25"/>
  </w:num>
  <w:num w:numId="30" w16cid:durableId="2073305448">
    <w:abstractNumId w:val="10"/>
  </w:num>
  <w:num w:numId="31" w16cid:durableId="173808087">
    <w:abstractNumId w:val="1"/>
  </w:num>
  <w:num w:numId="32" w16cid:durableId="253130251">
    <w:abstractNumId w:val="35"/>
  </w:num>
  <w:num w:numId="33" w16cid:durableId="2051611577">
    <w:abstractNumId w:val="28"/>
  </w:num>
  <w:num w:numId="34" w16cid:durableId="168058128">
    <w:abstractNumId w:val="24"/>
  </w:num>
  <w:num w:numId="35" w16cid:durableId="294525001">
    <w:abstractNumId w:val="8"/>
  </w:num>
  <w:num w:numId="36" w16cid:durableId="48458446">
    <w:abstractNumId w:val="27"/>
  </w:num>
  <w:num w:numId="37" w16cid:durableId="773743380">
    <w:abstractNumId w:val="19"/>
  </w:num>
  <w:num w:numId="38" w16cid:durableId="1284188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271936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7114449">
    <w:abstractNumId w:val="2"/>
  </w:num>
  <w:num w:numId="41" w16cid:durableId="2016031635">
    <w:abstractNumId w:val="40"/>
  </w:num>
  <w:num w:numId="42" w16cid:durableId="1076827304">
    <w:abstractNumId w:val="14"/>
  </w:num>
  <w:num w:numId="43" w16cid:durableId="1507134730">
    <w:abstractNumId w:val="44"/>
  </w:num>
  <w:num w:numId="44" w16cid:durableId="169570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23752632">
    <w:abstractNumId w:val="33"/>
  </w:num>
  <w:num w:numId="46" w16cid:durableId="1648584936">
    <w:abstractNumId w:val="20"/>
  </w:num>
  <w:num w:numId="47" w16cid:durableId="1132409750">
    <w:abstractNumId w:val="37"/>
  </w:num>
  <w:num w:numId="48" w16cid:durableId="1224101953">
    <w:abstractNumId w:val="43"/>
  </w:num>
  <w:num w:numId="49" w16cid:durableId="75638701">
    <w:abstractNumId w:val="4"/>
  </w:num>
  <w:num w:numId="50" w16cid:durableId="9261146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jI2MbQ0NDA0NjNW0lEKTi0uzszPAymwrAUAvojNxSwAAAA="/>
  </w:docVars>
  <w:rsids>
    <w:rsidRoot w:val="007C67A5"/>
    <w:rsid w:val="00016C4C"/>
    <w:rsid w:val="00016CCA"/>
    <w:rsid w:val="00017608"/>
    <w:rsid w:val="00017CA8"/>
    <w:rsid w:val="00025BD3"/>
    <w:rsid w:val="0003108D"/>
    <w:rsid w:val="000335F7"/>
    <w:rsid w:val="0003379E"/>
    <w:rsid w:val="000346FC"/>
    <w:rsid w:val="00034CDE"/>
    <w:rsid w:val="0003797C"/>
    <w:rsid w:val="000455E3"/>
    <w:rsid w:val="00057F64"/>
    <w:rsid w:val="00060DEB"/>
    <w:rsid w:val="00063326"/>
    <w:rsid w:val="00071E20"/>
    <w:rsid w:val="000726A9"/>
    <w:rsid w:val="00072915"/>
    <w:rsid w:val="0007549A"/>
    <w:rsid w:val="000768F0"/>
    <w:rsid w:val="00076C59"/>
    <w:rsid w:val="00077445"/>
    <w:rsid w:val="0008044F"/>
    <w:rsid w:val="00090AE1"/>
    <w:rsid w:val="00090BB5"/>
    <w:rsid w:val="00091BD8"/>
    <w:rsid w:val="000933E7"/>
    <w:rsid w:val="00096312"/>
    <w:rsid w:val="00096563"/>
    <w:rsid w:val="00096595"/>
    <w:rsid w:val="00096E59"/>
    <w:rsid w:val="00097121"/>
    <w:rsid w:val="000A1FF0"/>
    <w:rsid w:val="000B3B23"/>
    <w:rsid w:val="000B4D31"/>
    <w:rsid w:val="000B729E"/>
    <w:rsid w:val="000C0E0D"/>
    <w:rsid w:val="000C1B29"/>
    <w:rsid w:val="000C4130"/>
    <w:rsid w:val="000C662E"/>
    <w:rsid w:val="000C7EE0"/>
    <w:rsid w:val="000D09E0"/>
    <w:rsid w:val="000D424B"/>
    <w:rsid w:val="000D6AE2"/>
    <w:rsid w:val="000E3DD2"/>
    <w:rsid w:val="000E3DE0"/>
    <w:rsid w:val="000F0AA2"/>
    <w:rsid w:val="000F4C2E"/>
    <w:rsid w:val="000F5BF7"/>
    <w:rsid w:val="000F68E1"/>
    <w:rsid w:val="00101C22"/>
    <w:rsid w:val="001027C7"/>
    <w:rsid w:val="00110D59"/>
    <w:rsid w:val="00120966"/>
    <w:rsid w:val="001212CD"/>
    <w:rsid w:val="00122C79"/>
    <w:rsid w:val="001243A0"/>
    <w:rsid w:val="00125800"/>
    <w:rsid w:val="0013396D"/>
    <w:rsid w:val="0013611F"/>
    <w:rsid w:val="001365EA"/>
    <w:rsid w:val="001437B6"/>
    <w:rsid w:val="00144D49"/>
    <w:rsid w:val="00150443"/>
    <w:rsid w:val="00154C56"/>
    <w:rsid w:val="00156F5E"/>
    <w:rsid w:val="00161727"/>
    <w:rsid w:val="00161FBC"/>
    <w:rsid w:val="0016423C"/>
    <w:rsid w:val="0016469D"/>
    <w:rsid w:val="00176E6E"/>
    <w:rsid w:val="0017754E"/>
    <w:rsid w:val="001824F9"/>
    <w:rsid w:val="00187EDA"/>
    <w:rsid w:val="00190DB2"/>
    <w:rsid w:val="00192374"/>
    <w:rsid w:val="0019522A"/>
    <w:rsid w:val="001A7145"/>
    <w:rsid w:val="001A7A79"/>
    <w:rsid w:val="001B1CF8"/>
    <w:rsid w:val="001B3B62"/>
    <w:rsid w:val="001B7764"/>
    <w:rsid w:val="001B7D86"/>
    <w:rsid w:val="001C313A"/>
    <w:rsid w:val="001D2181"/>
    <w:rsid w:val="001D2746"/>
    <w:rsid w:val="001D278D"/>
    <w:rsid w:val="001E2086"/>
    <w:rsid w:val="001E4AFF"/>
    <w:rsid w:val="001F1117"/>
    <w:rsid w:val="001F3712"/>
    <w:rsid w:val="0020076F"/>
    <w:rsid w:val="00201660"/>
    <w:rsid w:val="0021377A"/>
    <w:rsid w:val="002163C3"/>
    <w:rsid w:val="00220E39"/>
    <w:rsid w:val="002215FC"/>
    <w:rsid w:val="00222CF2"/>
    <w:rsid w:val="002252EC"/>
    <w:rsid w:val="00226E22"/>
    <w:rsid w:val="00227BD9"/>
    <w:rsid w:val="0023063E"/>
    <w:rsid w:val="00235439"/>
    <w:rsid w:val="00236A87"/>
    <w:rsid w:val="00237DCE"/>
    <w:rsid w:val="00241CDF"/>
    <w:rsid w:val="00245806"/>
    <w:rsid w:val="002472C5"/>
    <w:rsid w:val="00250A4D"/>
    <w:rsid w:val="0025332F"/>
    <w:rsid w:val="00256BF0"/>
    <w:rsid w:val="0026288C"/>
    <w:rsid w:val="00267A1E"/>
    <w:rsid w:val="00275A4F"/>
    <w:rsid w:val="002800D2"/>
    <w:rsid w:val="002804DA"/>
    <w:rsid w:val="002820E5"/>
    <w:rsid w:val="00284B66"/>
    <w:rsid w:val="00286105"/>
    <w:rsid w:val="002874AC"/>
    <w:rsid w:val="00287A7E"/>
    <w:rsid w:val="002953B4"/>
    <w:rsid w:val="002A2FAC"/>
    <w:rsid w:val="002A7ADA"/>
    <w:rsid w:val="002B0DA8"/>
    <w:rsid w:val="002B480A"/>
    <w:rsid w:val="002B5650"/>
    <w:rsid w:val="002C0FF0"/>
    <w:rsid w:val="002C2E8E"/>
    <w:rsid w:val="002D441D"/>
    <w:rsid w:val="002D4812"/>
    <w:rsid w:val="002E1BDC"/>
    <w:rsid w:val="002E59C4"/>
    <w:rsid w:val="002E7DE5"/>
    <w:rsid w:val="002F7671"/>
    <w:rsid w:val="0030065A"/>
    <w:rsid w:val="00304A0F"/>
    <w:rsid w:val="00305191"/>
    <w:rsid w:val="00306607"/>
    <w:rsid w:val="00324BFB"/>
    <w:rsid w:val="00333E2D"/>
    <w:rsid w:val="003364F3"/>
    <w:rsid w:val="00346476"/>
    <w:rsid w:val="003519F2"/>
    <w:rsid w:val="00351DB5"/>
    <w:rsid w:val="00364795"/>
    <w:rsid w:val="003647F9"/>
    <w:rsid w:val="003650EB"/>
    <w:rsid w:val="00372171"/>
    <w:rsid w:val="00373ADB"/>
    <w:rsid w:val="00374867"/>
    <w:rsid w:val="003850BE"/>
    <w:rsid w:val="003878C9"/>
    <w:rsid w:val="0039077B"/>
    <w:rsid w:val="00391741"/>
    <w:rsid w:val="003934FC"/>
    <w:rsid w:val="00397063"/>
    <w:rsid w:val="00397F6C"/>
    <w:rsid w:val="003A0A4D"/>
    <w:rsid w:val="003A28A0"/>
    <w:rsid w:val="003A46BB"/>
    <w:rsid w:val="003A536D"/>
    <w:rsid w:val="003A7455"/>
    <w:rsid w:val="003B01F5"/>
    <w:rsid w:val="003B6794"/>
    <w:rsid w:val="003D181A"/>
    <w:rsid w:val="003D5AE1"/>
    <w:rsid w:val="003E5E31"/>
    <w:rsid w:val="003E7C36"/>
    <w:rsid w:val="003F0E32"/>
    <w:rsid w:val="003F2A60"/>
    <w:rsid w:val="003F64BC"/>
    <w:rsid w:val="0040131A"/>
    <w:rsid w:val="00401726"/>
    <w:rsid w:val="00401AC0"/>
    <w:rsid w:val="004048D0"/>
    <w:rsid w:val="0040553F"/>
    <w:rsid w:val="004055B6"/>
    <w:rsid w:val="004115F1"/>
    <w:rsid w:val="00411BF3"/>
    <w:rsid w:val="004173E3"/>
    <w:rsid w:val="004240E3"/>
    <w:rsid w:val="00425B2B"/>
    <w:rsid w:val="00426837"/>
    <w:rsid w:val="00431B09"/>
    <w:rsid w:val="004343D6"/>
    <w:rsid w:val="004349F0"/>
    <w:rsid w:val="00434ACB"/>
    <w:rsid w:val="0043579D"/>
    <w:rsid w:val="00435FDD"/>
    <w:rsid w:val="00442A56"/>
    <w:rsid w:val="00445E2F"/>
    <w:rsid w:val="004473E8"/>
    <w:rsid w:val="00451F04"/>
    <w:rsid w:val="004574BC"/>
    <w:rsid w:val="00462E26"/>
    <w:rsid w:val="004711AF"/>
    <w:rsid w:val="00472F80"/>
    <w:rsid w:val="00476174"/>
    <w:rsid w:val="00476F9B"/>
    <w:rsid w:val="00481670"/>
    <w:rsid w:val="004851BE"/>
    <w:rsid w:val="00491610"/>
    <w:rsid w:val="00491C1F"/>
    <w:rsid w:val="004970C2"/>
    <w:rsid w:val="004977F3"/>
    <w:rsid w:val="00497C51"/>
    <w:rsid w:val="004A23D0"/>
    <w:rsid w:val="004A62AC"/>
    <w:rsid w:val="004B3AD1"/>
    <w:rsid w:val="004B425D"/>
    <w:rsid w:val="004C544F"/>
    <w:rsid w:val="004E483A"/>
    <w:rsid w:val="004E4EDD"/>
    <w:rsid w:val="004F3C36"/>
    <w:rsid w:val="00500173"/>
    <w:rsid w:val="00506225"/>
    <w:rsid w:val="0052230A"/>
    <w:rsid w:val="0052429B"/>
    <w:rsid w:val="00526C55"/>
    <w:rsid w:val="00532CDF"/>
    <w:rsid w:val="00536151"/>
    <w:rsid w:val="005375A4"/>
    <w:rsid w:val="00540C3D"/>
    <w:rsid w:val="00541D6F"/>
    <w:rsid w:val="00544B51"/>
    <w:rsid w:val="00547F2F"/>
    <w:rsid w:val="00556CA7"/>
    <w:rsid w:val="005608BE"/>
    <w:rsid w:val="0056655F"/>
    <w:rsid w:val="005760A4"/>
    <w:rsid w:val="00580A45"/>
    <w:rsid w:val="00580E07"/>
    <w:rsid w:val="00582B94"/>
    <w:rsid w:val="00585218"/>
    <w:rsid w:val="00585BCD"/>
    <w:rsid w:val="005916D8"/>
    <w:rsid w:val="00595183"/>
    <w:rsid w:val="005A0638"/>
    <w:rsid w:val="005A23E9"/>
    <w:rsid w:val="005A2411"/>
    <w:rsid w:val="005A40FC"/>
    <w:rsid w:val="005B21BC"/>
    <w:rsid w:val="005B587A"/>
    <w:rsid w:val="005C603B"/>
    <w:rsid w:val="005C76FA"/>
    <w:rsid w:val="005C7F14"/>
    <w:rsid w:val="005D15FA"/>
    <w:rsid w:val="005D1633"/>
    <w:rsid w:val="005D22F6"/>
    <w:rsid w:val="005D40E6"/>
    <w:rsid w:val="005D480F"/>
    <w:rsid w:val="005E182A"/>
    <w:rsid w:val="005E44F8"/>
    <w:rsid w:val="005E5127"/>
    <w:rsid w:val="005F169E"/>
    <w:rsid w:val="005F607A"/>
    <w:rsid w:val="0060086E"/>
    <w:rsid w:val="00602301"/>
    <w:rsid w:val="00602374"/>
    <w:rsid w:val="006029E0"/>
    <w:rsid w:val="00604C0F"/>
    <w:rsid w:val="00606406"/>
    <w:rsid w:val="00606C6A"/>
    <w:rsid w:val="00613E8F"/>
    <w:rsid w:val="00615ED8"/>
    <w:rsid w:val="00616F67"/>
    <w:rsid w:val="00621578"/>
    <w:rsid w:val="00622176"/>
    <w:rsid w:val="00623BEB"/>
    <w:rsid w:val="00630B6B"/>
    <w:rsid w:val="0063219B"/>
    <w:rsid w:val="006342BC"/>
    <w:rsid w:val="00635E18"/>
    <w:rsid w:val="00646F64"/>
    <w:rsid w:val="0064759C"/>
    <w:rsid w:val="006504AC"/>
    <w:rsid w:val="00651AC4"/>
    <w:rsid w:val="006570C0"/>
    <w:rsid w:val="006648D7"/>
    <w:rsid w:val="006676ED"/>
    <w:rsid w:val="00670215"/>
    <w:rsid w:val="00673FB3"/>
    <w:rsid w:val="006744BE"/>
    <w:rsid w:val="00680A9E"/>
    <w:rsid w:val="006831EE"/>
    <w:rsid w:val="006909FA"/>
    <w:rsid w:val="00692FF6"/>
    <w:rsid w:val="00697A09"/>
    <w:rsid w:val="006A55D1"/>
    <w:rsid w:val="006B115F"/>
    <w:rsid w:val="006B16EF"/>
    <w:rsid w:val="006B35B4"/>
    <w:rsid w:val="006B5E86"/>
    <w:rsid w:val="006B6DA1"/>
    <w:rsid w:val="006B7387"/>
    <w:rsid w:val="006C4C3E"/>
    <w:rsid w:val="006D029F"/>
    <w:rsid w:val="006D76C6"/>
    <w:rsid w:val="006D7F41"/>
    <w:rsid w:val="006E21FE"/>
    <w:rsid w:val="006E4A61"/>
    <w:rsid w:val="006E51E3"/>
    <w:rsid w:val="006F1B5D"/>
    <w:rsid w:val="006F1BB9"/>
    <w:rsid w:val="006F3172"/>
    <w:rsid w:val="00700101"/>
    <w:rsid w:val="00700826"/>
    <w:rsid w:val="007016EC"/>
    <w:rsid w:val="007023C6"/>
    <w:rsid w:val="007039EF"/>
    <w:rsid w:val="00711A00"/>
    <w:rsid w:val="00720F13"/>
    <w:rsid w:val="00722128"/>
    <w:rsid w:val="00726EE4"/>
    <w:rsid w:val="00727A40"/>
    <w:rsid w:val="00740478"/>
    <w:rsid w:val="00755C3C"/>
    <w:rsid w:val="00762D18"/>
    <w:rsid w:val="0076501F"/>
    <w:rsid w:val="007713B0"/>
    <w:rsid w:val="00780E27"/>
    <w:rsid w:val="00783813"/>
    <w:rsid w:val="00786169"/>
    <w:rsid w:val="00793778"/>
    <w:rsid w:val="00793BB4"/>
    <w:rsid w:val="007B1441"/>
    <w:rsid w:val="007B2A62"/>
    <w:rsid w:val="007B344E"/>
    <w:rsid w:val="007C1B3F"/>
    <w:rsid w:val="007C5B7B"/>
    <w:rsid w:val="007C67A5"/>
    <w:rsid w:val="007D1780"/>
    <w:rsid w:val="007D3058"/>
    <w:rsid w:val="007D45ED"/>
    <w:rsid w:val="007D7F86"/>
    <w:rsid w:val="007E15BD"/>
    <w:rsid w:val="007E4015"/>
    <w:rsid w:val="007E6FB7"/>
    <w:rsid w:val="007E7BC2"/>
    <w:rsid w:val="008148B0"/>
    <w:rsid w:val="008168C4"/>
    <w:rsid w:val="00817101"/>
    <w:rsid w:val="00827CEA"/>
    <w:rsid w:val="008375C6"/>
    <w:rsid w:val="00842452"/>
    <w:rsid w:val="00845678"/>
    <w:rsid w:val="00850376"/>
    <w:rsid w:val="00851242"/>
    <w:rsid w:val="00855F3A"/>
    <w:rsid w:val="0086387E"/>
    <w:rsid w:val="008638D5"/>
    <w:rsid w:val="00864018"/>
    <w:rsid w:val="00864702"/>
    <w:rsid w:val="00867524"/>
    <w:rsid w:val="008678C4"/>
    <w:rsid w:val="00874370"/>
    <w:rsid w:val="008753DC"/>
    <w:rsid w:val="00882057"/>
    <w:rsid w:val="0088333D"/>
    <w:rsid w:val="00885202"/>
    <w:rsid w:val="008874E8"/>
    <w:rsid w:val="00890B7C"/>
    <w:rsid w:val="008A031F"/>
    <w:rsid w:val="008A7E41"/>
    <w:rsid w:val="008B1FE9"/>
    <w:rsid w:val="008B329A"/>
    <w:rsid w:val="008B3E3D"/>
    <w:rsid w:val="008B4EB1"/>
    <w:rsid w:val="008B6B80"/>
    <w:rsid w:val="008B735B"/>
    <w:rsid w:val="008C2DB6"/>
    <w:rsid w:val="008C3B95"/>
    <w:rsid w:val="008C4C84"/>
    <w:rsid w:val="008C6C9E"/>
    <w:rsid w:val="008D0467"/>
    <w:rsid w:val="008D250F"/>
    <w:rsid w:val="008E2494"/>
    <w:rsid w:val="008E45DE"/>
    <w:rsid w:val="008E6BAB"/>
    <w:rsid w:val="008F1CC2"/>
    <w:rsid w:val="008F2439"/>
    <w:rsid w:val="008F3C80"/>
    <w:rsid w:val="008F7420"/>
    <w:rsid w:val="00901089"/>
    <w:rsid w:val="0090133D"/>
    <w:rsid w:val="0090176A"/>
    <w:rsid w:val="00906FB5"/>
    <w:rsid w:val="00907ECC"/>
    <w:rsid w:val="00910A74"/>
    <w:rsid w:val="00916709"/>
    <w:rsid w:val="00917A00"/>
    <w:rsid w:val="00917CDF"/>
    <w:rsid w:val="00921E14"/>
    <w:rsid w:val="00923E09"/>
    <w:rsid w:val="009336FF"/>
    <w:rsid w:val="00940CD4"/>
    <w:rsid w:val="00943255"/>
    <w:rsid w:val="009524DF"/>
    <w:rsid w:val="00952C2A"/>
    <w:rsid w:val="009566B4"/>
    <w:rsid w:val="00962168"/>
    <w:rsid w:val="00962929"/>
    <w:rsid w:val="00965287"/>
    <w:rsid w:val="00970B7B"/>
    <w:rsid w:val="00972CC1"/>
    <w:rsid w:val="0097434A"/>
    <w:rsid w:val="0097565B"/>
    <w:rsid w:val="00982B27"/>
    <w:rsid w:val="00982C3B"/>
    <w:rsid w:val="009849B4"/>
    <w:rsid w:val="00987C44"/>
    <w:rsid w:val="00995BF6"/>
    <w:rsid w:val="009A1548"/>
    <w:rsid w:val="009A7295"/>
    <w:rsid w:val="009B79C0"/>
    <w:rsid w:val="009B7D16"/>
    <w:rsid w:val="009C314F"/>
    <w:rsid w:val="009D0FE8"/>
    <w:rsid w:val="009D5486"/>
    <w:rsid w:val="009D61DE"/>
    <w:rsid w:val="009E2D57"/>
    <w:rsid w:val="009E34EE"/>
    <w:rsid w:val="009F337D"/>
    <w:rsid w:val="009F51ED"/>
    <w:rsid w:val="009F7717"/>
    <w:rsid w:val="00A015F4"/>
    <w:rsid w:val="00A049A5"/>
    <w:rsid w:val="00A128D1"/>
    <w:rsid w:val="00A139D9"/>
    <w:rsid w:val="00A14FBA"/>
    <w:rsid w:val="00A2076C"/>
    <w:rsid w:val="00A317D6"/>
    <w:rsid w:val="00A3200E"/>
    <w:rsid w:val="00A320A9"/>
    <w:rsid w:val="00A34A62"/>
    <w:rsid w:val="00A35630"/>
    <w:rsid w:val="00A3580B"/>
    <w:rsid w:val="00A36B16"/>
    <w:rsid w:val="00A40D58"/>
    <w:rsid w:val="00A410DD"/>
    <w:rsid w:val="00A50DD6"/>
    <w:rsid w:val="00A57B58"/>
    <w:rsid w:val="00A65401"/>
    <w:rsid w:val="00A6639B"/>
    <w:rsid w:val="00A677A1"/>
    <w:rsid w:val="00A76420"/>
    <w:rsid w:val="00A769B1"/>
    <w:rsid w:val="00A86881"/>
    <w:rsid w:val="00A90894"/>
    <w:rsid w:val="00A90AC1"/>
    <w:rsid w:val="00A91838"/>
    <w:rsid w:val="00AA41FF"/>
    <w:rsid w:val="00AA56F8"/>
    <w:rsid w:val="00AB0D40"/>
    <w:rsid w:val="00AB2659"/>
    <w:rsid w:val="00AB5FD2"/>
    <w:rsid w:val="00AC30AB"/>
    <w:rsid w:val="00AC4594"/>
    <w:rsid w:val="00AC5403"/>
    <w:rsid w:val="00AE0CE2"/>
    <w:rsid w:val="00AE242F"/>
    <w:rsid w:val="00AE2909"/>
    <w:rsid w:val="00AE2A29"/>
    <w:rsid w:val="00AE2B5C"/>
    <w:rsid w:val="00AE4E7D"/>
    <w:rsid w:val="00AE5A4A"/>
    <w:rsid w:val="00AE6626"/>
    <w:rsid w:val="00AF0171"/>
    <w:rsid w:val="00AF30D7"/>
    <w:rsid w:val="00AF3D09"/>
    <w:rsid w:val="00AF612C"/>
    <w:rsid w:val="00AF6A5B"/>
    <w:rsid w:val="00B1115B"/>
    <w:rsid w:val="00B1128F"/>
    <w:rsid w:val="00B12DC4"/>
    <w:rsid w:val="00B15953"/>
    <w:rsid w:val="00B15DD8"/>
    <w:rsid w:val="00B170CD"/>
    <w:rsid w:val="00B209D2"/>
    <w:rsid w:val="00B22584"/>
    <w:rsid w:val="00B26D33"/>
    <w:rsid w:val="00B3133B"/>
    <w:rsid w:val="00B31A62"/>
    <w:rsid w:val="00B32867"/>
    <w:rsid w:val="00B33201"/>
    <w:rsid w:val="00B3574A"/>
    <w:rsid w:val="00B4217C"/>
    <w:rsid w:val="00B443BB"/>
    <w:rsid w:val="00B44E4E"/>
    <w:rsid w:val="00B53626"/>
    <w:rsid w:val="00B54097"/>
    <w:rsid w:val="00B57393"/>
    <w:rsid w:val="00B57F93"/>
    <w:rsid w:val="00B61448"/>
    <w:rsid w:val="00B64743"/>
    <w:rsid w:val="00B65FE4"/>
    <w:rsid w:val="00B86347"/>
    <w:rsid w:val="00B92747"/>
    <w:rsid w:val="00B92994"/>
    <w:rsid w:val="00B95EE7"/>
    <w:rsid w:val="00B96309"/>
    <w:rsid w:val="00B9734D"/>
    <w:rsid w:val="00BA7404"/>
    <w:rsid w:val="00BB014A"/>
    <w:rsid w:val="00BB0F5F"/>
    <w:rsid w:val="00BB24E0"/>
    <w:rsid w:val="00BB39E2"/>
    <w:rsid w:val="00BB43A9"/>
    <w:rsid w:val="00BB6C91"/>
    <w:rsid w:val="00BC0446"/>
    <w:rsid w:val="00BC13A6"/>
    <w:rsid w:val="00BC1A74"/>
    <w:rsid w:val="00BC26EF"/>
    <w:rsid w:val="00BC353E"/>
    <w:rsid w:val="00BC723E"/>
    <w:rsid w:val="00BD14CD"/>
    <w:rsid w:val="00BD6C20"/>
    <w:rsid w:val="00BD78CD"/>
    <w:rsid w:val="00BE78EE"/>
    <w:rsid w:val="00BF03CE"/>
    <w:rsid w:val="00C02805"/>
    <w:rsid w:val="00C22801"/>
    <w:rsid w:val="00C23D79"/>
    <w:rsid w:val="00C311EF"/>
    <w:rsid w:val="00C34246"/>
    <w:rsid w:val="00C356BF"/>
    <w:rsid w:val="00C4121E"/>
    <w:rsid w:val="00C41D5B"/>
    <w:rsid w:val="00C43E75"/>
    <w:rsid w:val="00C46C6B"/>
    <w:rsid w:val="00C47CAE"/>
    <w:rsid w:val="00C507CA"/>
    <w:rsid w:val="00C52EFC"/>
    <w:rsid w:val="00C53024"/>
    <w:rsid w:val="00C533CF"/>
    <w:rsid w:val="00C65B73"/>
    <w:rsid w:val="00C66097"/>
    <w:rsid w:val="00C72B19"/>
    <w:rsid w:val="00C74129"/>
    <w:rsid w:val="00C74CF0"/>
    <w:rsid w:val="00C8471C"/>
    <w:rsid w:val="00C865AC"/>
    <w:rsid w:val="00C91DDD"/>
    <w:rsid w:val="00C922F0"/>
    <w:rsid w:val="00C95174"/>
    <w:rsid w:val="00C974D2"/>
    <w:rsid w:val="00CA2326"/>
    <w:rsid w:val="00CA59BE"/>
    <w:rsid w:val="00CA6AAD"/>
    <w:rsid w:val="00CA6C87"/>
    <w:rsid w:val="00CA7615"/>
    <w:rsid w:val="00CB2BF3"/>
    <w:rsid w:val="00CC0561"/>
    <w:rsid w:val="00CC6EFB"/>
    <w:rsid w:val="00CD0287"/>
    <w:rsid w:val="00CD1E55"/>
    <w:rsid w:val="00CD487C"/>
    <w:rsid w:val="00CE0573"/>
    <w:rsid w:val="00CE5379"/>
    <w:rsid w:val="00CF366B"/>
    <w:rsid w:val="00CF43CC"/>
    <w:rsid w:val="00CF5FB1"/>
    <w:rsid w:val="00D03D20"/>
    <w:rsid w:val="00D06F3F"/>
    <w:rsid w:val="00D16699"/>
    <w:rsid w:val="00D211D0"/>
    <w:rsid w:val="00D21396"/>
    <w:rsid w:val="00D26E98"/>
    <w:rsid w:val="00D338B3"/>
    <w:rsid w:val="00D339AD"/>
    <w:rsid w:val="00D377E7"/>
    <w:rsid w:val="00D41375"/>
    <w:rsid w:val="00D46331"/>
    <w:rsid w:val="00D47608"/>
    <w:rsid w:val="00D53E97"/>
    <w:rsid w:val="00D572DA"/>
    <w:rsid w:val="00D621EA"/>
    <w:rsid w:val="00D63BE8"/>
    <w:rsid w:val="00D67CAC"/>
    <w:rsid w:val="00D7277F"/>
    <w:rsid w:val="00D8271D"/>
    <w:rsid w:val="00D845C2"/>
    <w:rsid w:val="00D914FD"/>
    <w:rsid w:val="00D9322F"/>
    <w:rsid w:val="00D969D6"/>
    <w:rsid w:val="00DA2BE8"/>
    <w:rsid w:val="00DA3861"/>
    <w:rsid w:val="00DA44B3"/>
    <w:rsid w:val="00DA5DB6"/>
    <w:rsid w:val="00DB0459"/>
    <w:rsid w:val="00DB4C67"/>
    <w:rsid w:val="00DB6763"/>
    <w:rsid w:val="00DC4ECB"/>
    <w:rsid w:val="00DC7F67"/>
    <w:rsid w:val="00DD609F"/>
    <w:rsid w:val="00DD6E16"/>
    <w:rsid w:val="00DD79E0"/>
    <w:rsid w:val="00DE63F2"/>
    <w:rsid w:val="00DE6A79"/>
    <w:rsid w:val="00DE70E4"/>
    <w:rsid w:val="00DE7B26"/>
    <w:rsid w:val="00DF0713"/>
    <w:rsid w:val="00DF209A"/>
    <w:rsid w:val="00DF3FD8"/>
    <w:rsid w:val="00DF4C58"/>
    <w:rsid w:val="00E014C0"/>
    <w:rsid w:val="00E03DB0"/>
    <w:rsid w:val="00E0706B"/>
    <w:rsid w:val="00E10F3F"/>
    <w:rsid w:val="00E1267C"/>
    <w:rsid w:val="00E17D5F"/>
    <w:rsid w:val="00E2472B"/>
    <w:rsid w:val="00E24B87"/>
    <w:rsid w:val="00E2570C"/>
    <w:rsid w:val="00E37C05"/>
    <w:rsid w:val="00E44DC7"/>
    <w:rsid w:val="00E50E57"/>
    <w:rsid w:val="00E54D48"/>
    <w:rsid w:val="00E55761"/>
    <w:rsid w:val="00E56BCD"/>
    <w:rsid w:val="00E5700A"/>
    <w:rsid w:val="00E6167B"/>
    <w:rsid w:val="00E61E0B"/>
    <w:rsid w:val="00E632EB"/>
    <w:rsid w:val="00E7249D"/>
    <w:rsid w:val="00E72507"/>
    <w:rsid w:val="00E759BB"/>
    <w:rsid w:val="00E867C6"/>
    <w:rsid w:val="00E87685"/>
    <w:rsid w:val="00E87CEA"/>
    <w:rsid w:val="00EA001F"/>
    <w:rsid w:val="00EA13EE"/>
    <w:rsid w:val="00EA2ED9"/>
    <w:rsid w:val="00EB0EA5"/>
    <w:rsid w:val="00EB15B2"/>
    <w:rsid w:val="00EB2E10"/>
    <w:rsid w:val="00EB32CA"/>
    <w:rsid w:val="00ED1F11"/>
    <w:rsid w:val="00ED7E00"/>
    <w:rsid w:val="00EE02ED"/>
    <w:rsid w:val="00EE09F6"/>
    <w:rsid w:val="00EE4260"/>
    <w:rsid w:val="00EE7755"/>
    <w:rsid w:val="00EE7BF3"/>
    <w:rsid w:val="00EF1C6C"/>
    <w:rsid w:val="00EF2627"/>
    <w:rsid w:val="00EF4733"/>
    <w:rsid w:val="00F00501"/>
    <w:rsid w:val="00F1066F"/>
    <w:rsid w:val="00F111FF"/>
    <w:rsid w:val="00F17B5A"/>
    <w:rsid w:val="00F22B51"/>
    <w:rsid w:val="00F235BD"/>
    <w:rsid w:val="00F27639"/>
    <w:rsid w:val="00F32F7D"/>
    <w:rsid w:val="00F36388"/>
    <w:rsid w:val="00F43DFC"/>
    <w:rsid w:val="00F444F6"/>
    <w:rsid w:val="00F44A10"/>
    <w:rsid w:val="00F452F4"/>
    <w:rsid w:val="00F454E4"/>
    <w:rsid w:val="00F476DA"/>
    <w:rsid w:val="00F50413"/>
    <w:rsid w:val="00F531B9"/>
    <w:rsid w:val="00F537A4"/>
    <w:rsid w:val="00F70DD9"/>
    <w:rsid w:val="00F72844"/>
    <w:rsid w:val="00F74481"/>
    <w:rsid w:val="00F75451"/>
    <w:rsid w:val="00F75552"/>
    <w:rsid w:val="00F7679F"/>
    <w:rsid w:val="00F76B7F"/>
    <w:rsid w:val="00F76D34"/>
    <w:rsid w:val="00F77868"/>
    <w:rsid w:val="00F8351B"/>
    <w:rsid w:val="00F86A0E"/>
    <w:rsid w:val="00F92071"/>
    <w:rsid w:val="00F9320D"/>
    <w:rsid w:val="00F94C7B"/>
    <w:rsid w:val="00F9586D"/>
    <w:rsid w:val="00F96472"/>
    <w:rsid w:val="00FA0E31"/>
    <w:rsid w:val="00FA2D77"/>
    <w:rsid w:val="00FA7A4E"/>
    <w:rsid w:val="00FB0DA6"/>
    <w:rsid w:val="00FB1FEA"/>
    <w:rsid w:val="00FB72DF"/>
    <w:rsid w:val="00FB7326"/>
    <w:rsid w:val="00FC0940"/>
    <w:rsid w:val="00FC6117"/>
    <w:rsid w:val="00FC7655"/>
    <w:rsid w:val="00FE2F93"/>
    <w:rsid w:val="00FF11AA"/>
    <w:rsid w:val="00FF4BD8"/>
    <w:rsid w:val="00FF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7F8E953"/>
  <w15:docId w15:val="{7B167763-5D4C-41AA-914E-B00587A5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812"/>
    <w:rPr>
      <w:sz w:val="24"/>
      <w:szCs w:val="24"/>
    </w:rPr>
  </w:style>
  <w:style w:type="paragraph" w:styleId="Heading1">
    <w:name w:val="heading 1"/>
    <w:basedOn w:val="Normal"/>
    <w:next w:val="Normal"/>
    <w:qFormat/>
    <w:rsid w:val="00556CA7"/>
    <w:pPr>
      <w:keepNext/>
      <w:outlineLvl w:val="0"/>
    </w:pPr>
    <w:rPr>
      <w:rFonts w:ascii="Arial" w:hAnsi="Arial" w:cs="Arial"/>
      <w:b/>
      <w:bCs/>
      <w:sz w:val="20"/>
    </w:rPr>
  </w:style>
  <w:style w:type="paragraph" w:styleId="Heading2">
    <w:name w:val="heading 2"/>
    <w:basedOn w:val="Normal"/>
    <w:next w:val="Normal"/>
    <w:qFormat/>
    <w:rsid w:val="00556C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56CA7"/>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556CA7"/>
    <w:pPr>
      <w:tabs>
        <w:tab w:val="center" w:pos="4320"/>
        <w:tab w:val="right" w:pos="8640"/>
      </w:tabs>
    </w:pPr>
  </w:style>
  <w:style w:type="paragraph" w:styleId="Footer">
    <w:name w:val="footer"/>
    <w:basedOn w:val="Normal"/>
    <w:link w:val="FooterChar"/>
    <w:uiPriority w:val="99"/>
    <w:rsid w:val="00556CA7"/>
    <w:pPr>
      <w:tabs>
        <w:tab w:val="center" w:pos="4320"/>
        <w:tab w:val="right" w:pos="8640"/>
      </w:tabs>
    </w:pPr>
  </w:style>
  <w:style w:type="character" w:styleId="PageNumber">
    <w:name w:val="page number"/>
    <w:basedOn w:val="DefaultParagraphFont"/>
    <w:rsid w:val="00556CA7"/>
  </w:style>
  <w:style w:type="paragraph" w:styleId="BodyText">
    <w:name w:val="Body Text"/>
    <w:basedOn w:val="Normal"/>
    <w:rsid w:val="00556CA7"/>
    <w:pPr>
      <w:jc w:val="both"/>
    </w:pPr>
    <w:rPr>
      <w:rFonts w:ascii="Arial" w:hAnsi="Arial" w:cs="Arial"/>
      <w:sz w:val="20"/>
    </w:rPr>
  </w:style>
  <w:style w:type="paragraph" w:styleId="BodyTextIndent">
    <w:name w:val="Body Text Indent"/>
    <w:basedOn w:val="Normal"/>
    <w:rsid w:val="00556CA7"/>
    <w:pPr>
      <w:widowControl w:val="0"/>
      <w:spacing w:after="120"/>
      <w:ind w:left="720" w:hanging="720"/>
    </w:pPr>
    <w:rPr>
      <w:rFonts w:ascii="Univers" w:hAnsi="Univers"/>
      <w:snapToGrid w:val="0"/>
      <w:szCs w:val="20"/>
    </w:rPr>
  </w:style>
  <w:style w:type="paragraph" w:customStyle="1" w:styleId="Noparagraphstyle">
    <w:name w:val="[No paragraph style]"/>
    <w:rsid w:val="00556CA7"/>
    <w:pPr>
      <w:autoSpaceDE w:val="0"/>
      <w:autoSpaceDN w:val="0"/>
      <w:adjustRightInd w:val="0"/>
      <w:spacing w:line="288" w:lineRule="auto"/>
      <w:textAlignment w:val="center"/>
    </w:pPr>
    <w:rPr>
      <w:rFonts w:ascii="Times" w:hAnsi="Times"/>
      <w:color w:val="000000"/>
      <w:sz w:val="24"/>
      <w:szCs w:val="24"/>
    </w:rPr>
  </w:style>
  <w:style w:type="paragraph" w:styleId="BalloonText">
    <w:name w:val="Balloon Text"/>
    <w:basedOn w:val="Normal"/>
    <w:semiHidden/>
    <w:rsid w:val="00E56BCD"/>
    <w:rPr>
      <w:rFonts w:ascii="Tahoma" w:hAnsi="Tahoma" w:cs="Tahoma"/>
      <w:sz w:val="16"/>
      <w:szCs w:val="16"/>
    </w:rPr>
  </w:style>
  <w:style w:type="paragraph" w:styleId="DocumentMap">
    <w:name w:val="Document Map"/>
    <w:basedOn w:val="Normal"/>
    <w:semiHidden/>
    <w:rsid w:val="004173E3"/>
    <w:pPr>
      <w:shd w:val="clear" w:color="auto" w:fill="000080"/>
    </w:pPr>
    <w:rPr>
      <w:rFonts w:ascii="Tahoma" w:hAnsi="Tahoma" w:cs="Tahoma"/>
      <w:sz w:val="20"/>
      <w:szCs w:val="20"/>
    </w:rPr>
  </w:style>
  <w:style w:type="character" w:styleId="Hyperlink">
    <w:name w:val="Hyperlink"/>
    <w:basedOn w:val="DefaultParagraphFont"/>
    <w:rsid w:val="0013611F"/>
    <w:rPr>
      <w:color w:val="0000FF"/>
      <w:u w:val="single"/>
    </w:rPr>
  </w:style>
  <w:style w:type="paragraph" w:styleId="ListParagraph">
    <w:name w:val="List Paragraph"/>
    <w:basedOn w:val="Normal"/>
    <w:uiPriority w:val="34"/>
    <w:qFormat/>
    <w:rsid w:val="00250A4D"/>
    <w:pPr>
      <w:ind w:left="720"/>
      <w:contextualSpacing/>
    </w:pPr>
  </w:style>
  <w:style w:type="character" w:customStyle="1" w:styleId="FooterChar">
    <w:name w:val="Footer Char"/>
    <w:basedOn w:val="DefaultParagraphFont"/>
    <w:link w:val="Footer"/>
    <w:uiPriority w:val="99"/>
    <w:rsid w:val="00544B51"/>
    <w:rPr>
      <w:sz w:val="24"/>
      <w:szCs w:val="24"/>
    </w:rPr>
  </w:style>
  <w:style w:type="character" w:customStyle="1" w:styleId="HeaderChar">
    <w:name w:val="Header Char"/>
    <w:basedOn w:val="DefaultParagraphFont"/>
    <w:link w:val="Header"/>
    <w:uiPriority w:val="99"/>
    <w:rsid w:val="00F32F7D"/>
    <w:rPr>
      <w:sz w:val="24"/>
      <w:szCs w:val="24"/>
    </w:rPr>
  </w:style>
  <w:style w:type="paragraph" w:customStyle="1" w:styleId="Default">
    <w:name w:val="Default"/>
    <w:basedOn w:val="Normal"/>
    <w:rsid w:val="00C8471C"/>
    <w:pPr>
      <w:autoSpaceDE w:val="0"/>
      <w:autoSpaceDN w:val="0"/>
    </w:pPr>
    <w:rPr>
      <w:rFonts w:ascii="Adobe Garamond Pro" w:eastAsiaTheme="minorHAnsi" w:hAnsi="Adobe Garamond Pro"/>
      <w:color w:val="000000"/>
    </w:rPr>
  </w:style>
  <w:style w:type="character" w:customStyle="1" w:styleId="A11">
    <w:name w:val="A11"/>
    <w:basedOn w:val="DefaultParagraphFont"/>
    <w:uiPriority w:val="99"/>
    <w:rsid w:val="00C8471C"/>
    <w:rPr>
      <w:rFonts w:ascii="Adobe Garamond Pro" w:hAnsi="Adobe Garamond Pro" w:hint="default"/>
      <w:color w:val="000000"/>
    </w:rPr>
  </w:style>
  <w:style w:type="character" w:styleId="CommentReference">
    <w:name w:val="annotation reference"/>
    <w:basedOn w:val="DefaultParagraphFont"/>
    <w:rsid w:val="00F454E4"/>
    <w:rPr>
      <w:sz w:val="16"/>
      <w:szCs w:val="16"/>
    </w:rPr>
  </w:style>
  <w:style w:type="paragraph" w:styleId="CommentText">
    <w:name w:val="annotation text"/>
    <w:basedOn w:val="Normal"/>
    <w:link w:val="CommentTextChar"/>
    <w:rsid w:val="00F454E4"/>
    <w:rPr>
      <w:sz w:val="20"/>
      <w:szCs w:val="20"/>
    </w:rPr>
  </w:style>
  <w:style w:type="character" w:customStyle="1" w:styleId="CommentTextChar">
    <w:name w:val="Comment Text Char"/>
    <w:basedOn w:val="DefaultParagraphFont"/>
    <w:link w:val="CommentText"/>
    <w:rsid w:val="00F454E4"/>
  </w:style>
  <w:style w:type="paragraph" w:styleId="CommentSubject">
    <w:name w:val="annotation subject"/>
    <w:basedOn w:val="CommentText"/>
    <w:next w:val="CommentText"/>
    <w:link w:val="CommentSubjectChar"/>
    <w:rsid w:val="00F454E4"/>
    <w:rPr>
      <w:b/>
      <w:bCs/>
    </w:rPr>
  </w:style>
  <w:style w:type="character" w:customStyle="1" w:styleId="CommentSubjectChar">
    <w:name w:val="Comment Subject Char"/>
    <w:basedOn w:val="CommentTextChar"/>
    <w:link w:val="CommentSubject"/>
    <w:rsid w:val="00F454E4"/>
    <w:rPr>
      <w:b/>
      <w:bCs/>
    </w:rPr>
  </w:style>
  <w:style w:type="paragraph" w:styleId="NormalWeb">
    <w:name w:val="Normal (Web)"/>
    <w:basedOn w:val="Normal"/>
    <w:uiPriority w:val="99"/>
    <w:semiHidden/>
    <w:unhideWhenUsed/>
    <w:rsid w:val="00B64743"/>
    <w:pPr>
      <w:spacing w:before="100" w:beforeAutospacing="1" w:after="100" w:afterAutospacing="1"/>
    </w:pPr>
  </w:style>
  <w:style w:type="paragraph" w:styleId="Revision">
    <w:name w:val="Revision"/>
    <w:hidden/>
    <w:uiPriority w:val="99"/>
    <w:semiHidden/>
    <w:rsid w:val="007E15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0335">
      <w:bodyDiv w:val="1"/>
      <w:marLeft w:val="0"/>
      <w:marRight w:val="0"/>
      <w:marTop w:val="0"/>
      <w:marBottom w:val="0"/>
      <w:divBdr>
        <w:top w:val="none" w:sz="0" w:space="0" w:color="auto"/>
        <w:left w:val="none" w:sz="0" w:space="0" w:color="auto"/>
        <w:bottom w:val="none" w:sz="0" w:space="0" w:color="auto"/>
        <w:right w:val="none" w:sz="0" w:space="0" w:color="auto"/>
      </w:divBdr>
    </w:div>
    <w:div w:id="128207454">
      <w:bodyDiv w:val="1"/>
      <w:marLeft w:val="0"/>
      <w:marRight w:val="0"/>
      <w:marTop w:val="0"/>
      <w:marBottom w:val="0"/>
      <w:divBdr>
        <w:top w:val="none" w:sz="0" w:space="0" w:color="auto"/>
        <w:left w:val="none" w:sz="0" w:space="0" w:color="auto"/>
        <w:bottom w:val="none" w:sz="0" w:space="0" w:color="auto"/>
        <w:right w:val="none" w:sz="0" w:space="0" w:color="auto"/>
      </w:divBdr>
    </w:div>
    <w:div w:id="178662847">
      <w:bodyDiv w:val="1"/>
      <w:marLeft w:val="0"/>
      <w:marRight w:val="0"/>
      <w:marTop w:val="0"/>
      <w:marBottom w:val="0"/>
      <w:divBdr>
        <w:top w:val="none" w:sz="0" w:space="0" w:color="auto"/>
        <w:left w:val="none" w:sz="0" w:space="0" w:color="auto"/>
        <w:bottom w:val="none" w:sz="0" w:space="0" w:color="auto"/>
        <w:right w:val="none" w:sz="0" w:space="0" w:color="auto"/>
      </w:divBdr>
    </w:div>
    <w:div w:id="203756811">
      <w:bodyDiv w:val="1"/>
      <w:marLeft w:val="0"/>
      <w:marRight w:val="0"/>
      <w:marTop w:val="0"/>
      <w:marBottom w:val="0"/>
      <w:divBdr>
        <w:top w:val="none" w:sz="0" w:space="0" w:color="auto"/>
        <w:left w:val="none" w:sz="0" w:space="0" w:color="auto"/>
        <w:bottom w:val="none" w:sz="0" w:space="0" w:color="auto"/>
        <w:right w:val="none" w:sz="0" w:space="0" w:color="auto"/>
      </w:divBdr>
    </w:div>
    <w:div w:id="209270867">
      <w:bodyDiv w:val="1"/>
      <w:marLeft w:val="0"/>
      <w:marRight w:val="0"/>
      <w:marTop w:val="0"/>
      <w:marBottom w:val="0"/>
      <w:divBdr>
        <w:top w:val="none" w:sz="0" w:space="0" w:color="auto"/>
        <w:left w:val="none" w:sz="0" w:space="0" w:color="auto"/>
        <w:bottom w:val="none" w:sz="0" w:space="0" w:color="auto"/>
        <w:right w:val="none" w:sz="0" w:space="0" w:color="auto"/>
      </w:divBdr>
    </w:div>
    <w:div w:id="215362943">
      <w:bodyDiv w:val="1"/>
      <w:marLeft w:val="0"/>
      <w:marRight w:val="0"/>
      <w:marTop w:val="0"/>
      <w:marBottom w:val="0"/>
      <w:divBdr>
        <w:top w:val="none" w:sz="0" w:space="0" w:color="auto"/>
        <w:left w:val="none" w:sz="0" w:space="0" w:color="auto"/>
        <w:bottom w:val="none" w:sz="0" w:space="0" w:color="auto"/>
        <w:right w:val="none" w:sz="0" w:space="0" w:color="auto"/>
      </w:divBdr>
    </w:div>
    <w:div w:id="251859801">
      <w:bodyDiv w:val="1"/>
      <w:marLeft w:val="0"/>
      <w:marRight w:val="0"/>
      <w:marTop w:val="0"/>
      <w:marBottom w:val="0"/>
      <w:divBdr>
        <w:top w:val="none" w:sz="0" w:space="0" w:color="auto"/>
        <w:left w:val="none" w:sz="0" w:space="0" w:color="auto"/>
        <w:bottom w:val="none" w:sz="0" w:space="0" w:color="auto"/>
        <w:right w:val="none" w:sz="0" w:space="0" w:color="auto"/>
      </w:divBdr>
    </w:div>
    <w:div w:id="291375082">
      <w:bodyDiv w:val="1"/>
      <w:marLeft w:val="0"/>
      <w:marRight w:val="0"/>
      <w:marTop w:val="0"/>
      <w:marBottom w:val="0"/>
      <w:divBdr>
        <w:top w:val="none" w:sz="0" w:space="0" w:color="auto"/>
        <w:left w:val="none" w:sz="0" w:space="0" w:color="auto"/>
        <w:bottom w:val="none" w:sz="0" w:space="0" w:color="auto"/>
        <w:right w:val="none" w:sz="0" w:space="0" w:color="auto"/>
      </w:divBdr>
    </w:div>
    <w:div w:id="370769881">
      <w:bodyDiv w:val="1"/>
      <w:marLeft w:val="0"/>
      <w:marRight w:val="0"/>
      <w:marTop w:val="0"/>
      <w:marBottom w:val="0"/>
      <w:divBdr>
        <w:top w:val="none" w:sz="0" w:space="0" w:color="auto"/>
        <w:left w:val="none" w:sz="0" w:space="0" w:color="auto"/>
        <w:bottom w:val="none" w:sz="0" w:space="0" w:color="auto"/>
        <w:right w:val="none" w:sz="0" w:space="0" w:color="auto"/>
      </w:divBdr>
    </w:div>
    <w:div w:id="376394421">
      <w:bodyDiv w:val="1"/>
      <w:marLeft w:val="0"/>
      <w:marRight w:val="0"/>
      <w:marTop w:val="0"/>
      <w:marBottom w:val="0"/>
      <w:divBdr>
        <w:top w:val="none" w:sz="0" w:space="0" w:color="auto"/>
        <w:left w:val="none" w:sz="0" w:space="0" w:color="auto"/>
        <w:bottom w:val="none" w:sz="0" w:space="0" w:color="auto"/>
        <w:right w:val="none" w:sz="0" w:space="0" w:color="auto"/>
      </w:divBdr>
    </w:div>
    <w:div w:id="405803822">
      <w:bodyDiv w:val="1"/>
      <w:marLeft w:val="0"/>
      <w:marRight w:val="0"/>
      <w:marTop w:val="0"/>
      <w:marBottom w:val="0"/>
      <w:divBdr>
        <w:top w:val="none" w:sz="0" w:space="0" w:color="auto"/>
        <w:left w:val="none" w:sz="0" w:space="0" w:color="auto"/>
        <w:bottom w:val="none" w:sz="0" w:space="0" w:color="auto"/>
        <w:right w:val="none" w:sz="0" w:space="0" w:color="auto"/>
      </w:divBdr>
    </w:div>
    <w:div w:id="430711233">
      <w:bodyDiv w:val="1"/>
      <w:marLeft w:val="0"/>
      <w:marRight w:val="0"/>
      <w:marTop w:val="0"/>
      <w:marBottom w:val="0"/>
      <w:divBdr>
        <w:top w:val="none" w:sz="0" w:space="0" w:color="auto"/>
        <w:left w:val="none" w:sz="0" w:space="0" w:color="auto"/>
        <w:bottom w:val="none" w:sz="0" w:space="0" w:color="auto"/>
        <w:right w:val="none" w:sz="0" w:space="0" w:color="auto"/>
      </w:divBdr>
    </w:div>
    <w:div w:id="492919406">
      <w:bodyDiv w:val="1"/>
      <w:marLeft w:val="0"/>
      <w:marRight w:val="0"/>
      <w:marTop w:val="0"/>
      <w:marBottom w:val="0"/>
      <w:divBdr>
        <w:top w:val="none" w:sz="0" w:space="0" w:color="auto"/>
        <w:left w:val="none" w:sz="0" w:space="0" w:color="auto"/>
        <w:bottom w:val="none" w:sz="0" w:space="0" w:color="auto"/>
        <w:right w:val="none" w:sz="0" w:space="0" w:color="auto"/>
      </w:divBdr>
    </w:div>
    <w:div w:id="640812404">
      <w:bodyDiv w:val="1"/>
      <w:marLeft w:val="0"/>
      <w:marRight w:val="0"/>
      <w:marTop w:val="0"/>
      <w:marBottom w:val="0"/>
      <w:divBdr>
        <w:top w:val="none" w:sz="0" w:space="0" w:color="auto"/>
        <w:left w:val="none" w:sz="0" w:space="0" w:color="auto"/>
        <w:bottom w:val="none" w:sz="0" w:space="0" w:color="auto"/>
        <w:right w:val="none" w:sz="0" w:space="0" w:color="auto"/>
      </w:divBdr>
    </w:div>
    <w:div w:id="930087545">
      <w:bodyDiv w:val="1"/>
      <w:marLeft w:val="0"/>
      <w:marRight w:val="0"/>
      <w:marTop w:val="0"/>
      <w:marBottom w:val="0"/>
      <w:divBdr>
        <w:top w:val="none" w:sz="0" w:space="0" w:color="auto"/>
        <w:left w:val="none" w:sz="0" w:space="0" w:color="auto"/>
        <w:bottom w:val="none" w:sz="0" w:space="0" w:color="auto"/>
        <w:right w:val="none" w:sz="0" w:space="0" w:color="auto"/>
      </w:divBdr>
    </w:div>
    <w:div w:id="971591278">
      <w:bodyDiv w:val="1"/>
      <w:marLeft w:val="0"/>
      <w:marRight w:val="0"/>
      <w:marTop w:val="0"/>
      <w:marBottom w:val="0"/>
      <w:divBdr>
        <w:top w:val="none" w:sz="0" w:space="0" w:color="auto"/>
        <w:left w:val="none" w:sz="0" w:space="0" w:color="auto"/>
        <w:bottom w:val="none" w:sz="0" w:space="0" w:color="auto"/>
        <w:right w:val="none" w:sz="0" w:space="0" w:color="auto"/>
      </w:divBdr>
    </w:div>
    <w:div w:id="993530822">
      <w:bodyDiv w:val="1"/>
      <w:marLeft w:val="0"/>
      <w:marRight w:val="0"/>
      <w:marTop w:val="0"/>
      <w:marBottom w:val="0"/>
      <w:divBdr>
        <w:top w:val="none" w:sz="0" w:space="0" w:color="auto"/>
        <w:left w:val="none" w:sz="0" w:space="0" w:color="auto"/>
        <w:bottom w:val="none" w:sz="0" w:space="0" w:color="auto"/>
        <w:right w:val="none" w:sz="0" w:space="0" w:color="auto"/>
      </w:divBdr>
    </w:div>
    <w:div w:id="1061640849">
      <w:bodyDiv w:val="1"/>
      <w:marLeft w:val="0"/>
      <w:marRight w:val="0"/>
      <w:marTop w:val="0"/>
      <w:marBottom w:val="0"/>
      <w:divBdr>
        <w:top w:val="none" w:sz="0" w:space="0" w:color="auto"/>
        <w:left w:val="none" w:sz="0" w:space="0" w:color="auto"/>
        <w:bottom w:val="none" w:sz="0" w:space="0" w:color="auto"/>
        <w:right w:val="none" w:sz="0" w:space="0" w:color="auto"/>
      </w:divBdr>
    </w:div>
    <w:div w:id="1086924780">
      <w:bodyDiv w:val="1"/>
      <w:marLeft w:val="0"/>
      <w:marRight w:val="0"/>
      <w:marTop w:val="0"/>
      <w:marBottom w:val="0"/>
      <w:divBdr>
        <w:top w:val="none" w:sz="0" w:space="0" w:color="auto"/>
        <w:left w:val="none" w:sz="0" w:space="0" w:color="auto"/>
        <w:bottom w:val="none" w:sz="0" w:space="0" w:color="auto"/>
        <w:right w:val="none" w:sz="0" w:space="0" w:color="auto"/>
      </w:divBdr>
    </w:div>
    <w:div w:id="1094788183">
      <w:bodyDiv w:val="1"/>
      <w:marLeft w:val="0"/>
      <w:marRight w:val="0"/>
      <w:marTop w:val="0"/>
      <w:marBottom w:val="0"/>
      <w:divBdr>
        <w:top w:val="none" w:sz="0" w:space="0" w:color="auto"/>
        <w:left w:val="none" w:sz="0" w:space="0" w:color="auto"/>
        <w:bottom w:val="none" w:sz="0" w:space="0" w:color="auto"/>
        <w:right w:val="none" w:sz="0" w:space="0" w:color="auto"/>
      </w:divBdr>
    </w:div>
    <w:div w:id="1165977993">
      <w:bodyDiv w:val="1"/>
      <w:marLeft w:val="0"/>
      <w:marRight w:val="0"/>
      <w:marTop w:val="0"/>
      <w:marBottom w:val="0"/>
      <w:divBdr>
        <w:top w:val="none" w:sz="0" w:space="0" w:color="auto"/>
        <w:left w:val="none" w:sz="0" w:space="0" w:color="auto"/>
        <w:bottom w:val="none" w:sz="0" w:space="0" w:color="auto"/>
        <w:right w:val="none" w:sz="0" w:space="0" w:color="auto"/>
      </w:divBdr>
    </w:div>
    <w:div w:id="1247420080">
      <w:bodyDiv w:val="1"/>
      <w:marLeft w:val="0"/>
      <w:marRight w:val="0"/>
      <w:marTop w:val="0"/>
      <w:marBottom w:val="0"/>
      <w:divBdr>
        <w:top w:val="none" w:sz="0" w:space="0" w:color="auto"/>
        <w:left w:val="none" w:sz="0" w:space="0" w:color="auto"/>
        <w:bottom w:val="none" w:sz="0" w:space="0" w:color="auto"/>
        <w:right w:val="none" w:sz="0" w:space="0" w:color="auto"/>
      </w:divBdr>
    </w:div>
    <w:div w:id="1296373717">
      <w:bodyDiv w:val="1"/>
      <w:marLeft w:val="0"/>
      <w:marRight w:val="0"/>
      <w:marTop w:val="0"/>
      <w:marBottom w:val="0"/>
      <w:divBdr>
        <w:top w:val="none" w:sz="0" w:space="0" w:color="auto"/>
        <w:left w:val="none" w:sz="0" w:space="0" w:color="auto"/>
        <w:bottom w:val="none" w:sz="0" w:space="0" w:color="auto"/>
        <w:right w:val="none" w:sz="0" w:space="0" w:color="auto"/>
      </w:divBdr>
    </w:div>
    <w:div w:id="1318994562">
      <w:bodyDiv w:val="1"/>
      <w:marLeft w:val="0"/>
      <w:marRight w:val="0"/>
      <w:marTop w:val="0"/>
      <w:marBottom w:val="0"/>
      <w:divBdr>
        <w:top w:val="none" w:sz="0" w:space="0" w:color="auto"/>
        <w:left w:val="none" w:sz="0" w:space="0" w:color="auto"/>
        <w:bottom w:val="none" w:sz="0" w:space="0" w:color="auto"/>
        <w:right w:val="none" w:sz="0" w:space="0" w:color="auto"/>
      </w:divBdr>
    </w:div>
    <w:div w:id="1431463517">
      <w:bodyDiv w:val="1"/>
      <w:marLeft w:val="0"/>
      <w:marRight w:val="0"/>
      <w:marTop w:val="0"/>
      <w:marBottom w:val="0"/>
      <w:divBdr>
        <w:top w:val="none" w:sz="0" w:space="0" w:color="auto"/>
        <w:left w:val="none" w:sz="0" w:space="0" w:color="auto"/>
        <w:bottom w:val="none" w:sz="0" w:space="0" w:color="auto"/>
        <w:right w:val="none" w:sz="0" w:space="0" w:color="auto"/>
      </w:divBdr>
    </w:div>
    <w:div w:id="1610812143">
      <w:bodyDiv w:val="1"/>
      <w:marLeft w:val="0"/>
      <w:marRight w:val="0"/>
      <w:marTop w:val="0"/>
      <w:marBottom w:val="0"/>
      <w:divBdr>
        <w:top w:val="none" w:sz="0" w:space="0" w:color="auto"/>
        <w:left w:val="none" w:sz="0" w:space="0" w:color="auto"/>
        <w:bottom w:val="none" w:sz="0" w:space="0" w:color="auto"/>
        <w:right w:val="none" w:sz="0" w:space="0" w:color="auto"/>
      </w:divBdr>
    </w:div>
    <w:div w:id="1797291688">
      <w:bodyDiv w:val="1"/>
      <w:marLeft w:val="0"/>
      <w:marRight w:val="0"/>
      <w:marTop w:val="0"/>
      <w:marBottom w:val="0"/>
      <w:divBdr>
        <w:top w:val="none" w:sz="0" w:space="0" w:color="auto"/>
        <w:left w:val="none" w:sz="0" w:space="0" w:color="auto"/>
        <w:bottom w:val="none" w:sz="0" w:space="0" w:color="auto"/>
        <w:right w:val="none" w:sz="0" w:space="0" w:color="auto"/>
      </w:divBdr>
    </w:div>
    <w:div w:id="1860311749">
      <w:bodyDiv w:val="1"/>
      <w:marLeft w:val="0"/>
      <w:marRight w:val="0"/>
      <w:marTop w:val="0"/>
      <w:marBottom w:val="0"/>
      <w:divBdr>
        <w:top w:val="none" w:sz="0" w:space="0" w:color="auto"/>
        <w:left w:val="none" w:sz="0" w:space="0" w:color="auto"/>
        <w:bottom w:val="none" w:sz="0" w:space="0" w:color="auto"/>
        <w:right w:val="none" w:sz="0" w:space="0" w:color="auto"/>
      </w:divBdr>
    </w:div>
    <w:div w:id="1878859333">
      <w:bodyDiv w:val="1"/>
      <w:marLeft w:val="0"/>
      <w:marRight w:val="0"/>
      <w:marTop w:val="0"/>
      <w:marBottom w:val="0"/>
      <w:divBdr>
        <w:top w:val="none" w:sz="0" w:space="0" w:color="auto"/>
        <w:left w:val="none" w:sz="0" w:space="0" w:color="auto"/>
        <w:bottom w:val="none" w:sz="0" w:space="0" w:color="auto"/>
        <w:right w:val="none" w:sz="0" w:space="0" w:color="auto"/>
      </w:divBdr>
    </w:div>
    <w:div w:id="1949897117">
      <w:bodyDiv w:val="1"/>
      <w:marLeft w:val="0"/>
      <w:marRight w:val="0"/>
      <w:marTop w:val="0"/>
      <w:marBottom w:val="0"/>
      <w:divBdr>
        <w:top w:val="none" w:sz="0" w:space="0" w:color="auto"/>
        <w:left w:val="none" w:sz="0" w:space="0" w:color="auto"/>
        <w:bottom w:val="none" w:sz="0" w:space="0" w:color="auto"/>
        <w:right w:val="none" w:sz="0" w:space="0" w:color="auto"/>
      </w:divBdr>
    </w:div>
    <w:div w:id="203692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ndy.Montgomery@iic.idaho.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B3BE36E4EBF45A23B28A27C0EE285" ma:contentTypeVersion="2" ma:contentTypeDescription="Create a new document." ma:contentTypeScope="" ma:versionID="9255c26d39f6db2e5769cab521bf054e">
  <xsd:schema xmlns:xsd="http://www.w3.org/2001/XMLSchema" xmlns:xs="http://www.w3.org/2001/XMLSchema" xmlns:p="http://schemas.microsoft.com/office/2006/metadata/properties" xmlns:ns3="32a4e42c-90d0-4473-84ca-c917b6d11159" targetNamespace="http://schemas.microsoft.com/office/2006/metadata/properties" ma:root="true" ma:fieldsID="fd1026c54d950efebee184a92c60bd90" ns3:_="">
    <xsd:import namespace="32a4e42c-90d0-4473-84ca-c917b6d1115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4e42c-90d0-4473-84ca-c917b6d11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A80CF-D35C-46AC-95BA-A5730B5A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4e42c-90d0-4473-84ca-c917b6d11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79D35B-9F31-4FC0-90A6-297CD625918C}">
  <ds:schemaRefs>
    <ds:schemaRef ds:uri="http://schemas.openxmlformats.org/officeDocument/2006/bibliography"/>
  </ds:schemaRefs>
</ds:datastoreItem>
</file>

<file path=customXml/itemProps3.xml><?xml version="1.0" encoding="utf-8"?>
<ds:datastoreItem xmlns:ds="http://schemas.openxmlformats.org/officeDocument/2006/customXml" ds:itemID="{682A4495-C5F5-4CD8-B87F-652C4968F2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EBB29F-9B0D-4A2A-A178-44039858F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1640</Words>
  <Characters>9806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11424</CharactersWithSpaces>
  <SharedDoc>false</SharedDoc>
  <HLinks>
    <vt:vector size="6" baseType="variant">
      <vt:variant>
        <vt:i4>1769595</vt:i4>
      </vt:variant>
      <vt:variant>
        <vt:i4>0</vt:i4>
      </vt:variant>
      <vt:variant>
        <vt:i4>0</vt:i4>
      </vt:variant>
      <vt:variant>
        <vt:i4>5</vt:i4>
      </vt:variant>
      <vt:variant>
        <vt:lpwstr>mailto:mmontgomery@iic.idaho.gov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Steve Raeder</dc:creator>
  <cp:lastModifiedBy>Misty Lawrence</cp:lastModifiedBy>
  <cp:revision>4</cp:revision>
  <cp:lastPrinted>2021-08-11T15:28:00Z</cp:lastPrinted>
  <dcterms:created xsi:type="dcterms:W3CDTF">2021-08-18T16:12:00Z</dcterms:created>
  <dcterms:modified xsi:type="dcterms:W3CDTF">2022-06-01T22:40:00Z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0x01010033AB3BE36E4EBF45A23B28A27C0EE285</vt:lpwstr>
  </property>
</Properties>
</file>