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2007" w14:textId="77777777" w:rsidR="00250391" w:rsidRPr="00250391" w:rsidRDefault="00250391" w:rsidP="00250391">
      <w:pPr>
        <w:pStyle w:val="Heading1"/>
        <w:spacing w:after="60"/>
        <w:rPr>
          <w:i/>
          <w:color w:val="000080"/>
          <w:sz w:val="28"/>
        </w:rPr>
      </w:pPr>
      <w:bookmarkStart w:id="0" w:name="OLE_LINK2"/>
      <w:bookmarkStart w:id="1" w:name="OLE_LINK1"/>
      <w:r w:rsidRPr="00250391">
        <w:rPr>
          <w:i/>
          <w:color w:val="000080"/>
          <w:sz w:val="28"/>
        </w:rPr>
        <w:t>Part I – Agency Profile</w:t>
      </w:r>
      <w:bookmarkEnd w:id="0"/>
      <w:bookmarkEnd w:id="1"/>
    </w:p>
    <w:p w14:paraId="71727260" w14:textId="77777777" w:rsidR="00550A47" w:rsidRDefault="00550A47" w:rsidP="00B32553">
      <w:pPr>
        <w:rPr>
          <w:rStyle w:val="Strong"/>
          <w:rFonts w:cs="Arial"/>
          <w:sz w:val="24"/>
        </w:rPr>
      </w:pPr>
    </w:p>
    <w:p w14:paraId="4E9AB1CE" w14:textId="77777777" w:rsidR="0025288C" w:rsidRPr="00B32553" w:rsidRDefault="0025288C" w:rsidP="00B32553">
      <w:pPr>
        <w:rPr>
          <w:rStyle w:val="Strong"/>
          <w:rFonts w:cs="Arial"/>
          <w:sz w:val="24"/>
        </w:rPr>
      </w:pPr>
      <w:r w:rsidRPr="00B32553">
        <w:rPr>
          <w:rStyle w:val="Strong"/>
          <w:rFonts w:cs="Arial"/>
          <w:sz w:val="24"/>
        </w:rPr>
        <w:t>Agency Overview</w:t>
      </w:r>
    </w:p>
    <w:p w14:paraId="4F03555E" w14:textId="77777777" w:rsidR="005F7730" w:rsidRDefault="005F7730" w:rsidP="005E4B6E">
      <w:pPr>
        <w:jc w:val="both"/>
        <w:rPr>
          <w:szCs w:val="20"/>
        </w:rPr>
      </w:pPr>
    </w:p>
    <w:p w14:paraId="031FE300" w14:textId="77777777" w:rsidR="00D5332A" w:rsidRPr="008D1AA3" w:rsidRDefault="00D5332A" w:rsidP="00D5332A">
      <w:pPr>
        <w:jc w:val="both"/>
        <w:rPr>
          <w:b/>
          <w:i/>
          <w:szCs w:val="20"/>
        </w:rPr>
      </w:pPr>
      <w:r w:rsidRPr="008D1AA3">
        <w:rPr>
          <w:szCs w:val="20"/>
        </w:rPr>
        <w:t xml:space="preserve">The </w:t>
      </w:r>
      <w:r w:rsidRPr="008D1AA3">
        <w:rPr>
          <w:b/>
          <w:szCs w:val="20"/>
        </w:rPr>
        <w:t>Department of Administration’s</w:t>
      </w:r>
      <w:r w:rsidRPr="008D1AA3">
        <w:rPr>
          <w:szCs w:val="20"/>
        </w:rPr>
        <w:t xml:space="preserve"> </w:t>
      </w:r>
      <w:r w:rsidRPr="008D1AA3">
        <w:rPr>
          <w:b/>
          <w:szCs w:val="20"/>
        </w:rPr>
        <w:t>mission</w:t>
      </w:r>
      <w:r w:rsidRPr="008D1AA3">
        <w:rPr>
          <w:szCs w:val="20"/>
        </w:rPr>
        <w:t xml:space="preserve"> statement states that </w:t>
      </w:r>
      <w:r w:rsidRPr="008D1AA3">
        <w:rPr>
          <w:b/>
          <w:i/>
          <w:szCs w:val="20"/>
        </w:rPr>
        <w:t>“We serve Idaho by promoting responsible government through expert customer support.”</w:t>
      </w:r>
    </w:p>
    <w:p w14:paraId="795429E0" w14:textId="77777777" w:rsidR="00D5332A" w:rsidRPr="008D1AA3" w:rsidRDefault="00D5332A" w:rsidP="00D5332A">
      <w:pPr>
        <w:jc w:val="both"/>
        <w:rPr>
          <w:b/>
          <w:i/>
          <w:szCs w:val="20"/>
        </w:rPr>
      </w:pPr>
    </w:p>
    <w:p w14:paraId="2CD75D08" w14:textId="77777777" w:rsidR="00D5332A" w:rsidRPr="008D1AA3" w:rsidRDefault="00D5332A" w:rsidP="00D5332A">
      <w:pPr>
        <w:jc w:val="both"/>
        <w:rPr>
          <w:szCs w:val="20"/>
        </w:rPr>
      </w:pPr>
      <w:r w:rsidRPr="008D1AA3">
        <w:rPr>
          <w:szCs w:val="20"/>
        </w:rPr>
        <w:t xml:space="preserve">Its </w:t>
      </w:r>
      <w:r w:rsidRPr="008D1AA3">
        <w:rPr>
          <w:b/>
          <w:szCs w:val="20"/>
        </w:rPr>
        <w:t>vision</w:t>
      </w:r>
      <w:r w:rsidRPr="008D1AA3">
        <w:rPr>
          <w:szCs w:val="20"/>
        </w:rPr>
        <w:t xml:space="preserve"> is to bring appropriate, innovative, and efficient operating practices to Idaho government, and it endeavors to root these ideals in its culture.</w:t>
      </w:r>
    </w:p>
    <w:p w14:paraId="5D18C09D" w14:textId="77777777" w:rsidR="00D5332A" w:rsidRPr="008D1AA3" w:rsidRDefault="00D5332A" w:rsidP="00D5332A">
      <w:pPr>
        <w:jc w:val="both"/>
        <w:rPr>
          <w:szCs w:val="20"/>
        </w:rPr>
      </w:pPr>
    </w:p>
    <w:p w14:paraId="19A23688" w14:textId="77777777" w:rsidR="00D5332A" w:rsidRPr="008D1AA3" w:rsidRDefault="00D5332A" w:rsidP="00D5332A">
      <w:pPr>
        <w:jc w:val="both"/>
        <w:rPr>
          <w:szCs w:val="20"/>
        </w:rPr>
      </w:pPr>
      <w:r w:rsidRPr="008D1AA3">
        <w:rPr>
          <w:szCs w:val="20"/>
        </w:rPr>
        <w:t xml:space="preserve">The department updated its </w:t>
      </w:r>
      <w:r w:rsidRPr="008D1AA3">
        <w:rPr>
          <w:bCs/>
          <w:szCs w:val="20"/>
        </w:rPr>
        <w:t>goals</w:t>
      </w:r>
      <w:r w:rsidRPr="008D1AA3">
        <w:rPr>
          <w:szCs w:val="20"/>
        </w:rPr>
        <w:t xml:space="preserve"> in FY21 to replace those that had been achieved. All support the Governor’s vision to boost “</w:t>
      </w:r>
      <w:r w:rsidRPr="008D1AA3">
        <w:rPr>
          <w:b/>
          <w:szCs w:val="20"/>
        </w:rPr>
        <w:t>Confidence in State Government</w:t>
      </w:r>
      <w:r w:rsidRPr="008D1AA3">
        <w:rPr>
          <w:szCs w:val="20"/>
        </w:rPr>
        <w:t xml:space="preserve">”. </w:t>
      </w:r>
    </w:p>
    <w:p w14:paraId="7F12BDAB" w14:textId="77777777" w:rsidR="00D5332A" w:rsidRPr="008D1AA3" w:rsidRDefault="00D5332A" w:rsidP="00D5332A">
      <w:pPr>
        <w:jc w:val="both"/>
        <w:rPr>
          <w:szCs w:val="20"/>
        </w:rPr>
      </w:pPr>
    </w:p>
    <w:p w14:paraId="0D034727" w14:textId="77777777" w:rsidR="00D5332A" w:rsidRPr="008D1AA3" w:rsidRDefault="00D5332A" w:rsidP="00D5332A">
      <w:pPr>
        <w:jc w:val="both"/>
        <w:rPr>
          <w:szCs w:val="20"/>
        </w:rPr>
      </w:pPr>
      <w:r w:rsidRPr="008D1AA3">
        <w:rPr>
          <w:szCs w:val="20"/>
        </w:rPr>
        <w:t>All four divisions within the Department of Administration are committed to providing leadership, expertise, and value-added services within the following management functions</w:t>
      </w:r>
      <w:r>
        <w:rPr>
          <w:szCs w:val="20"/>
        </w:rPr>
        <w:t>:</w:t>
      </w:r>
    </w:p>
    <w:p w14:paraId="51CD6AB9" w14:textId="77777777" w:rsidR="00D5332A" w:rsidRPr="008D1AA3" w:rsidRDefault="00D5332A" w:rsidP="00D5332A">
      <w:pPr>
        <w:jc w:val="both"/>
        <w:rPr>
          <w:szCs w:val="20"/>
        </w:rPr>
      </w:pPr>
      <w:r w:rsidRPr="008D1AA3">
        <w:rPr>
          <w:szCs w:val="20"/>
        </w:rPr>
        <w:tab/>
      </w:r>
    </w:p>
    <w:p w14:paraId="508426F4" w14:textId="77777777" w:rsidR="00D5332A" w:rsidRPr="008D1AA3" w:rsidRDefault="00D5332A" w:rsidP="00D5332A">
      <w:pPr>
        <w:jc w:val="both"/>
        <w:rPr>
          <w:szCs w:val="20"/>
        </w:rPr>
      </w:pPr>
      <w:r w:rsidRPr="008D1AA3">
        <w:rPr>
          <w:szCs w:val="20"/>
        </w:rPr>
        <w:t>Division of Insurance and Internal Support</w:t>
      </w:r>
    </w:p>
    <w:p w14:paraId="78D7401F" w14:textId="77777777" w:rsidR="00D5332A" w:rsidRPr="008D1AA3" w:rsidRDefault="00D5332A" w:rsidP="00D5332A">
      <w:pPr>
        <w:numPr>
          <w:ilvl w:val="0"/>
          <w:numId w:val="3"/>
        </w:numPr>
        <w:jc w:val="both"/>
        <w:rPr>
          <w:b/>
          <w:bCs/>
          <w:szCs w:val="20"/>
        </w:rPr>
      </w:pPr>
      <w:r w:rsidRPr="008D1AA3">
        <w:rPr>
          <w:szCs w:val="20"/>
        </w:rPr>
        <w:t>Risk Management, Liability, and Property Insurance (staff of 8)</w:t>
      </w:r>
    </w:p>
    <w:p w14:paraId="74C3CB29" w14:textId="77777777" w:rsidR="00D5332A" w:rsidRPr="008D1AA3" w:rsidRDefault="00D5332A" w:rsidP="00D5332A">
      <w:pPr>
        <w:numPr>
          <w:ilvl w:val="0"/>
          <w:numId w:val="3"/>
        </w:numPr>
        <w:jc w:val="both"/>
        <w:rPr>
          <w:szCs w:val="20"/>
        </w:rPr>
      </w:pPr>
      <w:r w:rsidRPr="008D1AA3">
        <w:rPr>
          <w:szCs w:val="20"/>
        </w:rPr>
        <w:t>Group Insurance/Employee Benefits Programs (staff of 5)</w:t>
      </w:r>
    </w:p>
    <w:p w14:paraId="1655E54C" w14:textId="73D98410" w:rsidR="00D5332A" w:rsidRPr="008D1AA3" w:rsidRDefault="00D5332A" w:rsidP="00D5332A">
      <w:pPr>
        <w:numPr>
          <w:ilvl w:val="0"/>
          <w:numId w:val="3"/>
        </w:numPr>
        <w:jc w:val="both"/>
        <w:rPr>
          <w:szCs w:val="20"/>
        </w:rPr>
      </w:pPr>
      <w:r w:rsidRPr="008D1AA3">
        <w:rPr>
          <w:szCs w:val="20"/>
        </w:rPr>
        <w:t>Industrial Special Indemnity Fund (ISIF) (staff of</w:t>
      </w:r>
      <w:r w:rsidR="008031E7">
        <w:rPr>
          <w:szCs w:val="20"/>
        </w:rPr>
        <w:t xml:space="preserve"> 1</w:t>
      </w:r>
      <w:r w:rsidRPr="008D1AA3">
        <w:rPr>
          <w:szCs w:val="20"/>
        </w:rPr>
        <w:t>)</w:t>
      </w:r>
    </w:p>
    <w:p w14:paraId="784A62C2" w14:textId="77777777" w:rsidR="00D5332A" w:rsidRPr="008D1AA3" w:rsidRDefault="00D5332A" w:rsidP="00D5332A">
      <w:pPr>
        <w:numPr>
          <w:ilvl w:val="0"/>
          <w:numId w:val="3"/>
        </w:numPr>
        <w:jc w:val="both"/>
        <w:rPr>
          <w:szCs w:val="20"/>
        </w:rPr>
      </w:pPr>
      <w:r w:rsidRPr="008D1AA3">
        <w:rPr>
          <w:szCs w:val="20"/>
        </w:rPr>
        <w:t xml:space="preserve">Internal, and Small Agency Support (Fiscal, Human Resources, Director’s Office) (staff of 10) </w:t>
      </w:r>
    </w:p>
    <w:p w14:paraId="58BB979F" w14:textId="77777777" w:rsidR="00D5332A" w:rsidRPr="008D1AA3" w:rsidRDefault="00D5332A" w:rsidP="00D5332A">
      <w:pPr>
        <w:numPr>
          <w:ilvl w:val="0"/>
          <w:numId w:val="3"/>
        </w:numPr>
        <w:jc w:val="both"/>
        <w:rPr>
          <w:szCs w:val="20"/>
        </w:rPr>
      </w:pPr>
      <w:r w:rsidRPr="008D1AA3">
        <w:rPr>
          <w:szCs w:val="20"/>
        </w:rPr>
        <w:t>Postal Services (staff of 15)</w:t>
      </w:r>
    </w:p>
    <w:p w14:paraId="2FB4A560" w14:textId="77777777" w:rsidR="00D5332A" w:rsidRPr="008D1AA3" w:rsidRDefault="00D5332A" w:rsidP="00D5332A">
      <w:pPr>
        <w:numPr>
          <w:ilvl w:val="0"/>
          <w:numId w:val="3"/>
        </w:numPr>
        <w:jc w:val="both"/>
        <w:rPr>
          <w:szCs w:val="20"/>
        </w:rPr>
      </w:pPr>
      <w:r w:rsidRPr="008D1AA3">
        <w:rPr>
          <w:szCs w:val="20"/>
        </w:rPr>
        <w:t>Printing Services (staff of 2)</w:t>
      </w:r>
    </w:p>
    <w:p w14:paraId="40391BF5" w14:textId="77777777" w:rsidR="00D5332A" w:rsidRPr="008D1AA3" w:rsidRDefault="00D5332A" w:rsidP="00D5332A">
      <w:pPr>
        <w:jc w:val="both"/>
        <w:rPr>
          <w:szCs w:val="20"/>
        </w:rPr>
      </w:pPr>
    </w:p>
    <w:p w14:paraId="69F255CD" w14:textId="77777777" w:rsidR="00D5332A" w:rsidRPr="008D1AA3" w:rsidRDefault="00D5332A" w:rsidP="00D5332A">
      <w:pPr>
        <w:jc w:val="both"/>
        <w:rPr>
          <w:szCs w:val="20"/>
        </w:rPr>
      </w:pPr>
      <w:r w:rsidRPr="008D1AA3">
        <w:rPr>
          <w:szCs w:val="20"/>
        </w:rPr>
        <w:t xml:space="preserve">Division of Purchasing </w:t>
      </w:r>
    </w:p>
    <w:p w14:paraId="10D28479" w14:textId="77777777" w:rsidR="00D5332A" w:rsidRPr="008D1AA3" w:rsidRDefault="00D5332A" w:rsidP="00D5332A">
      <w:pPr>
        <w:numPr>
          <w:ilvl w:val="0"/>
          <w:numId w:val="4"/>
        </w:numPr>
        <w:jc w:val="both"/>
        <w:rPr>
          <w:szCs w:val="20"/>
        </w:rPr>
      </w:pPr>
      <w:r>
        <w:rPr>
          <w:szCs w:val="20"/>
        </w:rPr>
        <w:t>State Purchasing</w:t>
      </w:r>
      <w:r w:rsidRPr="008D1AA3">
        <w:rPr>
          <w:szCs w:val="20"/>
        </w:rPr>
        <w:t xml:space="preserve"> (staff of 16) </w:t>
      </w:r>
    </w:p>
    <w:p w14:paraId="7730D81E" w14:textId="77777777" w:rsidR="00D5332A" w:rsidRPr="008D1AA3" w:rsidRDefault="00D5332A" w:rsidP="00D5332A">
      <w:pPr>
        <w:numPr>
          <w:ilvl w:val="0"/>
          <w:numId w:val="4"/>
        </w:numPr>
        <w:jc w:val="both"/>
        <w:rPr>
          <w:szCs w:val="20"/>
        </w:rPr>
      </w:pPr>
      <w:r w:rsidRPr="008D1AA3">
        <w:rPr>
          <w:szCs w:val="20"/>
        </w:rPr>
        <w:t>Federal Surplus</w:t>
      </w:r>
      <w:r>
        <w:rPr>
          <w:szCs w:val="20"/>
        </w:rPr>
        <w:t xml:space="preserve"> Properties (SFP)</w:t>
      </w:r>
      <w:r w:rsidRPr="008D1AA3">
        <w:rPr>
          <w:szCs w:val="20"/>
        </w:rPr>
        <w:t xml:space="preserve"> (staff of 3)</w:t>
      </w:r>
    </w:p>
    <w:p w14:paraId="27DFDFA6" w14:textId="77777777" w:rsidR="00D5332A" w:rsidRPr="008D1AA3" w:rsidRDefault="00D5332A" w:rsidP="00D5332A">
      <w:pPr>
        <w:jc w:val="both"/>
        <w:rPr>
          <w:szCs w:val="20"/>
        </w:rPr>
      </w:pPr>
    </w:p>
    <w:p w14:paraId="5293BABF" w14:textId="77777777" w:rsidR="00D5332A" w:rsidRPr="008D1AA3" w:rsidRDefault="00D5332A" w:rsidP="00D5332A">
      <w:pPr>
        <w:jc w:val="both"/>
        <w:rPr>
          <w:szCs w:val="20"/>
        </w:rPr>
      </w:pPr>
      <w:r w:rsidRPr="008D1AA3">
        <w:rPr>
          <w:szCs w:val="20"/>
        </w:rPr>
        <w:t>Division of Public Works</w:t>
      </w:r>
    </w:p>
    <w:p w14:paraId="08700A41" w14:textId="77777777" w:rsidR="00D5332A" w:rsidRPr="008D1AA3" w:rsidRDefault="00D5332A" w:rsidP="00D5332A">
      <w:pPr>
        <w:numPr>
          <w:ilvl w:val="0"/>
          <w:numId w:val="5"/>
        </w:numPr>
        <w:jc w:val="both"/>
        <w:rPr>
          <w:szCs w:val="20"/>
        </w:rPr>
      </w:pPr>
      <w:r w:rsidRPr="008D1AA3">
        <w:rPr>
          <w:szCs w:val="20"/>
        </w:rPr>
        <w:t>Design/Construction Management (staff of 28)</w:t>
      </w:r>
    </w:p>
    <w:p w14:paraId="4D46236C" w14:textId="77777777" w:rsidR="00D5332A" w:rsidRPr="008D1AA3" w:rsidRDefault="00D5332A" w:rsidP="00D5332A">
      <w:pPr>
        <w:numPr>
          <w:ilvl w:val="0"/>
          <w:numId w:val="5"/>
        </w:numPr>
        <w:jc w:val="both"/>
        <w:rPr>
          <w:szCs w:val="20"/>
        </w:rPr>
      </w:pPr>
      <w:r w:rsidRPr="008D1AA3">
        <w:rPr>
          <w:szCs w:val="20"/>
        </w:rPr>
        <w:t>Facilities Management – Capitol Mall and Chinden Campus (staff of 30)</w:t>
      </w:r>
    </w:p>
    <w:p w14:paraId="16C9CED6" w14:textId="77777777" w:rsidR="00D5332A" w:rsidRPr="008D1AA3" w:rsidRDefault="00D5332A" w:rsidP="00D5332A">
      <w:pPr>
        <w:numPr>
          <w:ilvl w:val="0"/>
          <w:numId w:val="5"/>
        </w:numPr>
        <w:jc w:val="both"/>
        <w:rPr>
          <w:szCs w:val="20"/>
        </w:rPr>
      </w:pPr>
      <w:r w:rsidRPr="008D1AA3">
        <w:rPr>
          <w:szCs w:val="20"/>
        </w:rPr>
        <w:t>Statewide Leasing (staff of 2)</w:t>
      </w:r>
    </w:p>
    <w:p w14:paraId="5710B119" w14:textId="77777777" w:rsidR="00D5332A" w:rsidRPr="008D1AA3" w:rsidRDefault="00D5332A" w:rsidP="00D5332A">
      <w:pPr>
        <w:jc w:val="both"/>
        <w:rPr>
          <w:szCs w:val="20"/>
        </w:rPr>
      </w:pPr>
    </w:p>
    <w:p w14:paraId="3666DF41" w14:textId="77777777" w:rsidR="00D5332A" w:rsidRPr="008D1AA3" w:rsidRDefault="00D5332A" w:rsidP="00D5332A">
      <w:pPr>
        <w:jc w:val="both"/>
        <w:rPr>
          <w:szCs w:val="20"/>
        </w:rPr>
      </w:pPr>
      <w:r w:rsidRPr="008D1AA3">
        <w:rPr>
          <w:szCs w:val="20"/>
        </w:rPr>
        <w:t>Division of Security Operations</w:t>
      </w:r>
    </w:p>
    <w:p w14:paraId="238F8BEB" w14:textId="77777777" w:rsidR="00D5332A" w:rsidRPr="008D1AA3" w:rsidRDefault="00D5332A" w:rsidP="00D5332A">
      <w:pPr>
        <w:numPr>
          <w:ilvl w:val="0"/>
          <w:numId w:val="27"/>
        </w:numPr>
        <w:jc w:val="both"/>
        <w:rPr>
          <w:szCs w:val="20"/>
        </w:rPr>
      </w:pPr>
      <w:r w:rsidRPr="008D1AA3">
        <w:rPr>
          <w:szCs w:val="20"/>
        </w:rPr>
        <w:t>Security Operations for the Capitol Mall and Chinden Campus (staff of 2)</w:t>
      </w:r>
    </w:p>
    <w:p w14:paraId="54F77EE7" w14:textId="77777777" w:rsidR="00D5332A" w:rsidRPr="008D1AA3" w:rsidRDefault="00D5332A" w:rsidP="00D5332A">
      <w:pPr>
        <w:numPr>
          <w:ilvl w:val="0"/>
          <w:numId w:val="27"/>
        </w:numPr>
        <w:jc w:val="both"/>
        <w:rPr>
          <w:szCs w:val="20"/>
        </w:rPr>
      </w:pPr>
      <w:r w:rsidRPr="008D1AA3">
        <w:rPr>
          <w:szCs w:val="20"/>
        </w:rPr>
        <w:t>Capitol Mall Parking (staff of 1)</w:t>
      </w:r>
    </w:p>
    <w:p w14:paraId="3EC25844" w14:textId="77777777" w:rsidR="00B60A5B" w:rsidRPr="00A66801" w:rsidRDefault="00B60A5B" w:rsidP="00F708A6">
      <w:pPr>
        <w:rPr>
          <w:b/>
          <w:bCs/>
          <w:szCs w:val="20"/>
        </w:rPr>
      </w:pPr>
    </w:p>
    <w:p w14:paraId="1775A1B0" w14:textId="77777777" w:rsidR="00D5332A" w:rsidRPr="008D1AA3" w:rsidRDefault="00D5332A" w:rsidP="00D5332A">
      <w:pPr>
        <w:jc w:val="both"/>
        <w:rPr>
          <w:szCs w:val="20"/>
        </w:rPr>
      </w:pPr>
      <w:r w:rsidRPr="008D1AA3">
        <w:rPr>
          <w:szCs w:val="20"/>
        </w:rPr>
        <w:t>Administration supports the Idaho Capitol Commission, the Governor’s Housing Committee, the Group Insurance Advisory Committee (GIAC), Risk Management Advisory Committee (RMAC), and the Permanent Building Fund Advisory Council (PBFAC). An advisory committee to oversee the Division of Purchasing is currently being developed. Administration also provides financial and human resources functions for the Idaho Commission on Hispanic Affairs (ICHA).</w:t>
      </w:r>
    </w:p>
    <w:p w14:paraId="16C8918A" w14:textId="77777777" w:rsidR="00D5332A" w:rsidRPr="008D1AA3" w:rsidRDefault="00D5332A" w:rsidP="00D5332A">
      <w:pPr>
        <w:jc w:val="both"/>
        <w:rPr>
          <w:szCs w:val="20"/>
        </w:rPr>
      </w:pPr>
    </w:p>
    <w:p w14:paraId="2784223E" w14:textId="77777777" w:rsidR="00D5332A" w:rsidRPr="008D1AA3" w:rsidRDefault="00D5332A" w:rsidP="00D5332A">
      <w:pPr>
        <w:jc w:val="both"/>
        <w:rPr>
          <w:szCs w:val="20"/>
        </w:rPr>
      </w:pPr>
      <w:r w:rsidRPr="008D1AA3">
        <w:rPr>
          <w:szCs w:val="20"/>
        </w:rPr>
        <w:t>In the Boise area, the Department is housed in the Len B. Jordan Building, Capitol Mall Parking Garage #1, Public Works Building, and the Chinden Campus. The Federal Surplus Program is stationed in Caldwell. Additionally, the Division of Public Works has satellite offices in Pocatello, Lewiston, and Moscow. Facilities Services manages the Capitol Mall, the Chinden Campus, and the Lewiston and Idaho Falls State Office Buildings.</w:t>
      </w:r>
    </w:p>
    <w:p w14:paraId="4BBADD12" w14:textId="77777777" w:rsidR="001C1A51" w:rsidRDefault="001C1A51" w:rsidP="005E4B6E">
      <w:pPr>
        <w:jc w:val="both"/>
        <w:rPr>
          <w:sz w:val="24"/>
          <w:szCs w:val="20"/>
        </w:rPr>
      </w:pPr>
    </w:p>
    <w:p w14:paraId="5ABFD946" w14:textId="77777777" w:rsidR="00ED58AB" w:rsidRPr="00B32553" w:rsidRDefault="00ED58AB" w:rsidP="00BB7EC3">
      <w:pPr>
        <w:spacing w:line="228" w:lineRule="auto"/>
        <w:jc w:val="both"/>
        <w:rPr>
          <w:rFonts w:cs="Arial"/>
          <w:b/>
          <w:bCs/>
          <w:sz w:val="24"/>
        </w:rPr>
      </w:pPr>
      <w:r w:rsidRPr="00B32553">
        <w:rPr>
          <w:rFonts w:cs="Arial"/>
          <w:b/>
          <w:bCs/>
          <w:sz w:val="24"/>
        </w:rPr>
        <w:t>Core Functions/</w:t>
      </w:r>
      <w:r w:rsidR="0025288C" w:rsidRPr="00B32553">
        <w:rPr>
          <w:rFonts w:cs="Arial"/>
          <w:b/>
          <w:bCs/>
          <w:sz w:val="24"/>
        </w:rPr>
        <w:t>Idaho Code</w:t>
      </w:r>
    </w:p>
    <w:p w14:paraId="5BDA6258" w14:textId="77777777" w:rsidR="005F7730" w:rsidRDefault="005F7730" w:rsidP="0036301D">
      <w:pPr>
        <w:ind w:left="360"/>
        <w:jc w:val="both"/>
        <w:rPr>
          <w:b/>
          <w:szCs w:val="20"/>
        </w:rPr>
      </w:pPr>
    </w:p>
    <w:p w14:paraId="6E51548D" w14:textId="2300FDA7" w:rsidR="0036301D" w:rsidRPr="00A66801" w:rsidRDefault="00B60A5B" w:rsidP="0036301D">
      <w:pPr>
        <w:ind w:left="360"/>
        <w:jc w:val="both"/>
        <w:rPr>
          <w:szCs w:val="20"/>
        </w:rPr>
      </w:pPr>
      <w:r w:rsidRPr="00A66801">
        <w:rPr>
          <w:b/>
          <w:szCs w:val="20"/>
        </w:rPr>
        <w:t>Office of the Director:</w:t>
      </w:r>
      <w:r w:rsidR="00FE5803" w:rsidRPr="00A66801">
        <w:rPr>
          <w:b/>
          <w:szCs w:val="20"/>
        </w:rPr>
        <w:t xml:space="preserve">  </w:t>
      </w:r>
      <w:r w:rsidR="005F7730" w:rsidRPr="005F7730">
        <w:rPr>
          <w:bCs/>
          <w:szCs w:val="20"/>
        </w:rPr>
        <w:t>Strategically l</w:t>
      </w:r>
      <w:r w:rsidR="00FE5803" w:rsidRPr="005F7730">
        <w:rPr>
          <w:bCs/>
          <w:szCs w:val="20"/>
        </w:rPr>
        <w:t>e</w:t>
      </w:r>
      <w:r w:rsidR="00FE5803" w:rsidRPr="00A66801">
        <w:rPr>
          <w:szCs w:val="20"/>
        </w:rPr>
        <w:t>ads</w:t>
      </w:r>
      <w:r w:rsidRPr="00A66801">
        <w:rPr>
          <w:szCs w:val="20"/>
        </w:rPr>
        <w:t xml:space="preserve"> </w:t>
      </w:r>
      <w:r w:rsidR="00FE5803" w:rsidRPr="00A66801">
        <w:rPr>
          <w:szCs w:val="20"/>
        </w:rPr>
        <w:t>the department with guiding values of customer service, integrity, honesty, innovation, and communication.</w:t>
      </w:r>
      <w:r w:rsidR="0036301D" w:rsidRPr="0036301D">
        <w:rPr>
          <w:b/>
          <w:szCs w:val="20"/>
        </w:rPr>
        <w:t xml:space="preserve"> </w:t>
      </w:r>
      <w:r w:rsidR="0036301D">
        <w:rPr>
          <w:szCs w:val="20"/>
        </w:rPr>
        <w:t>P</w:t>
      </w:r>
      <w:r w:rsidR="0036301D" w:rsidRPr="00A66801">
        <w:rPr>
          <w:szCs w:val="20"/>
        </w:rPr>
        <w:t xml:space="preserve">rovides </w:t>
      </w:r>
      <w:r w:rsidR="0036301D" w:rsidRPr="0036301D">
        <w:rPr>
          <w:bCs/>
          <w:szCs w:val="20"/>
        </w:rPr>
        <w:t>financial support</w:t>
      </w:r>
      <w:r w:rsidR="0036301D" w:rsidRPr="00A66801">
        <w:rPr>
          <w:szCs w:val="20"/>
        </w:rPr>
        <w:t xml:space="preserve">, internal controls/auditing services, </w:t>
      </w:r>
      <w:r w:rsidR="0036301D" w:rsidRPr="0036301D">
        <w:rPr>
          <w:bCs/>
          <w:szCs w:val="20"/>
        </w:rPr>
        <w:t>human resources</w:t>
      </w:r>
      <w:r w:rsidR="0036301D" w:rsidRPr="00A66801">
        <w:rPr>
          <w:szCs w:val="20"/>
        </w:rPr>
        <w:t xml:space="preserve">, and payroll services to all programs within the Department, supported advisory groups, </w:t>
      </w:r>
      <w:r w:rsidR="0036301D">
        <w:rPr>
          <w:szCs w:val="20"/>
        </w:rPr>
        <w:lastRenderedPageBreak/>
        <w:t>and Hispanic Commission</w:t>
      </w:r>
      <w:r w:rsidR="0036301D" w:rsidRPr="00A66801">
        <w:rPr>
          <w:szCs w:val="20"/>
        </w:rPr>
        <w:t xml:space="preserve">. </w:t>
      </w:r>
      <w:r w:rsidR="00FE5803" w:rsidRPr="00A66801">
        <w:rPr>
          <w:szCs w:val="20"/>
        </w:rPr>
        <w:t xml:space="preserve"> It supports the following </w:t>
      </w:r>
      <w:r w:rsidR="00F30CF4">
        <w:rPr>
          <w:szCs w:val="20"/>
        </w:rPr>
        <w:t xml:space="preserve">statutory oversight </w:t>
      </w:r>
      <w:r w:rsidR="00FE5803" w:rsidRPr="00A66801">
        <w:rPr>
          <w:szCs w:val="20"/>
        </w:rPr>
        <w:t>groups.</w:t>
      </w:r>
      <w:r w:rsidR="0036301D">
        <w:rPr>
          <w:szCs w:val="20"/>
        </w:rPr>
        <w:t xml:space="preserve"> </w:t>
      </w:r>
      <w:r w:rsidR="0036301D" w:rsidRPr="00A66801">
        <w:rPr>
          <w:szCs w:val="20"/>
        </w:rPr>
        <w:t>(Idaho Code Section 67-</w:t>
      </w:r>
      <w:r w:rsidR="0036301D">
        <w:rPr>
          <w:szCs w:val="20"/>
        </w:rPr>
        <w:t>5701-5704</w:t>
      </w:r>
      <w:r w:rsidR="0036301D" w:rsidRPr="00A66801">
        <w:rPr>
          <w:szCs w:val="20"/>
        </w:rPr>
        <w:t>)</w:t>
      </w:r>
    </w:p>
    <w:p w14:paraId="0CFF3530" w14:textId="412594F1" w:rsidR="00B60A5B" w:rsidRPr="00A66801" w:rsidRDefault="00B60A5B" w:rsidP="005E4B6E">
      <w:pPr>
        <w:jc w:val="both"/>
        <w:rPr>
          <w:szCs w:val="20"/>
        </w:rPr>
      </w:pPr>
    </w:p>
    <w:p w14:paraId="1113790B" w14:textId="7B464F38" w:rsidR="00B60A5B" w:rsidRPr="00A66801" w:rsidRDefault="00B60A5B" w:rsidP="00F30CF4">
      <w:pPr>
        <w:ind w:left="360"/>
        <w:jc w:val="both"/>
        <w:rPr>
          <w:szCs w:val="20"/>
        </w:rPr>
      </w:pPr>
      <w:r w:rsidRPr="00A66801">
        <w:rPr>
          <w:b/>
          <w:szCs w:val="20"/>
        </w:rPr>
        <w:t>The Idaho State Capitol Commission:</w:t>
      </w:r>
      <w:r w:rsidR="00F1055C" w:rsidRPr="00A66801">
        <w:rPr>
          <w:szCs w:val="20"/>
        </w:rPr>
        <w:t xml:space="preserve"> </w:t>
      </w:r>
      <w:r w:rsidR="0036301D">
        <w:rPr>
          <w:szCs w:val="20"/>
        </w:rPr>
        <w:t xml:space="preserve"> </w:t>
      </w:r>
      <w:r w:rsidRPr="00A66801">
        <w:rPr>
          <w:szCs w:val="20"/>
        </w:rPr>
        <w:t xml:space="preserve">Composed of </w:t>
      </w:r>
      <w:r w:rsidR="00F1055C" w:rsidRPr="00A66801">
        <w:rPr>
          <w:szCs w:val="20"/>
        </w:rPr>
        <w:t>nine</w:t>
      </w:r>
      <w:r w:rsidRPr="00A66801">
        <w:rPr>
          <w:szCs w:val="20"/>
        </w:rPr>
        <w:t xml:space="preserve"> members—</w:t>
      </w:r>
      <w:r w:rsidR="00F1055C" w:rsidRPr="00A66801">
        <w:rPr>
          <w:szCs w:val="20"/>
        </w:rPr>
        <w:t>six</w:t>
      </w:r>
      <w:r w:rsidRPr="00A66801">
        <w:rPr>
          <w:szCs w:val="20"/>
        </w:rPr>
        <w:t xml:space="preserve"> public members and </w:t>
      </w:r>
      <w:r w:rsidR="00F1055C" w:rsidRPr="00A66801">
        <w:rPr>
          <w:szCs w:val="20"/>
        </w:rPr>
        <w:t>three</w:t>
      </w:r>
      <w:r w:rsidRPr="00A66801">
        <w:rPr>
          <w:szCs w:val="20"/>
        </w:rPr>
        <w:t xml:space="preserve"> ex-officio voting members including the Executive Director of the Idaho State Historical Society, Director of the Legislative Services Office, and the Director of the Department of Administration, who serves a</w:t>
      </w:r>
      <w:r w:rsidR="00A17711" w:rsidRPr="00A66801">
        <w:rPr>
          <w:szCs w:val="20"/>
        </w:rPr>
        <w:t xml:space="preserve">s Commission Secretary. </w:t>
      </w:r>
      <w:r w:rsidRPr="00A66801">
        <w:rPr>
          <w:szCs w:val="20"/>
        </w:rPr>
        <w:t xml:space="preserve">The Commission is charged with the ongoing oversight of the </w:t>
      </w:r>
      <w:r w:rsidR="00C30DDD">
        <w:rPr>
          <w:szCs w:val="20"/>
        </w:rPr>
        <w:t>C</w:t>
      </w:r>
      <w:r w:rsidRPr="00A66801">
        <w:rPr>
          <w:szCs w:val="20"/>
        </w:rPr>
        <w:t xml:space="preserve">apitol </w:t>
      </w:r>
      <w:r w:rsidR="0036301D">
        <w:rPr>
          <w:szCs w:val="20"/>
        </w:rPr>
        <w:t xml:space="preserve">Building </w:t>
      </w:r>
      <w:r w:rsidR="00C30DDD">
        <w:rPr>
          <w:szCs w:val="20"/>
        </w:rPr>
        <w:t>i</w:t>
      </w:r>
      <w:r w:rsidRPr="00A66801">
        <w:rPr>
          <w:szCs w:val="20"/>
        </w:rPr>
        <w:t>ncluding overseeing all restoration work and additions to the building; approv</w:t>
      </w:r>
      <w:r w:rsidR="00FE5803" w:rsidRPr="00A66801">
        <w:rPr>
          <w:szCs w:val="20"/>
        </w:rPr>
        <w:t>es</w:t>
      </w:r>
      <w:r w:rsidRPr="00A66801">
        <w:rPr>
          <w:szCs w:val="20"/>
        </w:rPr>
        <w:t xml:space="preserve"> all displays, artwork, and furnishings within the </w:t>
      </w:r>
      <w:r w:rsidR="00C30DDD">
        <w:rPr>
          <w:szCs w:val="20"/>
        </w:rPr>
        <w:t>C</w:t>
      </w:r>
      <w:r w:rsidR="00E03073" w:rsidRPr="00A66801">
        <w:rPr>
          <w:szCs w:val="20"/>
        </w:rPr>
        <w:t>apitol; and promotes</w:t>
      </w:r>
      <w:r w:rsidRPr="00A66801">
        <w:rPr>
          <w:szCs w:val="20"/>
        </w:rPr>
        <w:t xml:space="preserve"> interest</w:t>
      </w:r>
      <w:r w:rsidRPr="00550A47">
        <w:rPr>
          <w:szCs w:val="20"/>
        </w:rPr>
        <w:t xml:space="preserve"> </w:t>
      </w:r>
      <w:r w:rsidRPr="00A66801">
        <w:rPr>
          <w:szCs w:val="20"/>
        </w:rPr>
        <w:t xml:space="preserve">in the history of the </w:t>
      </w:r>
      <w:r w:rsidR="00C30DDD">
        <w:rPr>
          <w:szCs w:val="20"/>
        </w:rPr>
        <w:t>C</w:t>
      </w:r>
      <w:r w:rsidRPr="00A66801">
        <w:rPr>
          <w:szCs w:val="20"/>
        </w:rPr>
        <w:t xml:space="preserve">apitol </w:t>
      </w:r>
      <w:r w:rsidR="00C30DDD">
        <w:rPr>
          <w:szCs w:val="20"/>
        </w:rPr>
        <w:t>B</w:t>
      </w:r>
      <w:r w:rsidRPr="00A66801">
        <w:rPr>
          <w:szCs w:val="20"/>
        </w:rPr>
        <w:t>uilding.</w:t>
      </w:r>
      <w:r w:rsidR="00E03073" w:rsidRPr="00A66801">
        <w:rPr>
          <w:szCs w:val="20"/>
        </w:rPr>
        <w:t xml:space="preserve"> Department support for this committee includes accounting, clerical, and facility planning/management services. </w:t>
      </w:r>
      <w:r w:rsidRPr="00A66801">
        <w:rPr>
          <w:szCs w:val="20"/>
        </w:rPr>
        <w:t>(Idaho Code Section 67-16)</w:t>
      </w:r>
    </w:p>
    <w:p w14:paraId="33174914" w14:textId="77777777" w:rsidR="00B60A5B" w:rsidRPr="00A66801" w:rsidRDefault="00B60A5B" w:rsidP="00F30CF4">
      <w:pPr>
        <w:ind w:left="360"/>
        <w:jc w:val="both"/>
        <w:rPr>
          <w:szCs w:val="20"/>
        </w:rPr>
      </w:pPr>
    </w:p>
    <w:p w14:paraId="1F5B52F1" w14:textId="77777777" w:rsidR="00B60A5B" w:rsidRPr="00A66801" w:rsidRDefault="00B60A5B" w:rsidP="00F30CF4">
      <w:pPr>
        <w:ind w:left="360"/>
        <w:jc w:val="both"/>
        <w:rPr>
          <w:szCs w:val="20"/>
        </w:rPr>
      </w:pPr>
      <w:r w:rsidRPr="00A66801">
        <w:rPr>
          <w:b/>
          <w:szCs w:val="20"/>
        </w:rPr>
        <w:t>The Governor’s Housing Committee</w:t>
      </w:r>
      <w:r w:rsidRPr="00A66801">
        <w:rPr>
          <w:szCs w:val="20"/>
        </w:rPr>
        <w:t xml:space="preserve">:  </w:t>
      </w:r>
      <w:r w:rsidR="003353D7" w:rsidRPr="00A66801">
        <w:rPr>
          <w:szCs w:val="20"/>
        </w:rPr>
        <w:t>Composed of two members of the S</w:t>
      </w:r>
      <w:r w:rsidRPr="00A66801">
        <w:rPr>
          <w:szCs w:val="20"/>
        </w:rPr>
        <w:t>tate Senate, two members o</w:t>
      </w:r>
      <w:r w:rsidR="00E37E7D" w:rsidRPr="00A66801">
        <w:rPr>
          <w:szCs w:val="20"/>
        </w:rPr>
        <w:t xml:space="preserve">f the House of Representatives, </w:t>
      </w:r>
      <w:r w:rsidRPr="00A66801">
        <w:rPr>
          <w:szCs w:val="20"/>
        </w:rPr>
        <w:t>and the Director of th</w:t>
      </w:r>
      <w:r w:rsidR="00E37E7D" w:rsidRPr="00A66801">
        <w:rPr>
          <w:szCs w:val="20"/>
        </w:rPr>
        <w:t>e Department of Administration</w:t>
      </w:r>
      <w:r w:rsidR="00E03073" w:rsidRPr="00A66801">
        <w:rPr>
          <w:szCs w:val="20"/>
        </w:rPr>
        <w:t xml:space="preserve">. It </w:t>
      </w:r>
      <w:r w:rsidRPr="00A66801">
        <w:rPr>
          <w:szCs w:val="20"/>
        </w:rPr>
        <w:t xml:space="preserve">oversees the Governor’s Residence Fund created to provide a </w:t>
      </w:r>
      <w:r w:rsidR="00E37E7D" w:rsidRPr="00A66801">
        <w:rPr>
          <w:szCs w:val="20"/>
        </w:rPr>
        <w:t>g</w:t>
      </w:r>
      <w:r w:rsidRPr="00A66801">
        <w:rPr>
          <w:szCs w:val="20"/>
        </w:rPr>
        <w:t xml:space="preserve">overnor’s housing allowance and/or the acquisition, construction, remodel, furnishing, equipping, or maintaining a </w:t>
      </w:r>
      <w:r w:rsidR="00E37E7D" w:rsidRPr="00A66801">
        <w:rPr>
          <w:szCs w:val="20"/>
        </w:rPr>
        <w:t>g</w:t>
      </w:r>
      <w:r w:rsidRPr="00A66801">
        <w:rPr>
          <w:szCs w:val="20"/>
        </w:rPr>
        <w:t xml:space="preserve">overnor’s residence. Department support for this </w:t>
      </w:r>
      <w:r w:rsidR="00E37E7D" w:rsidRPr="00A66801">
        <w:rPr>
          <w:szCs w:val="20"/>
        </w:rPr>
        <w:t>c</w:t>
      </w:r>
      <w:r w:rsidRPr="00A66801">
        <w:rPr>
          <w:szCs w:val="20"/>
        </w:rPr>
        <w:t>ommittee includes accounting, clerical, and facility planning/management services.  (Idaho Code Section 67-455)</w:t>
      </w:r>
    </w:p>
    <w:p w14:paraId="0D89B6C1" w14:textId="77777777" w:rsidR="00D04B57" w:rsidRPr="00A66801" w:rsidRDefault="00D04B57" w:rsidP="003353D7">
      <w:pPr>
        <w:ind w:left="540"/>
        <w:jc w:val="both"/>
        <w:rPr>
          <w:b/>
          <w:szCs w:val="20"/>
        </w:rPr>
      </w:pPr>
    </w:p>
    <w:p w14:paraId="7734BD5C" w14:textId="0CC98BA1" w:rsidR="00B60A5B" w:rsidRPr="00A66801" w:rsidRDefault="00B60A5B" w:rsidP="005E4B6E">
      <w:pPr>
        <w:jc w:val="both"/>
        <w:rPr>
          <w:szCs w:val="20"/>
        </w:rPr>
      </w:pPr>
      <w:r w:rsidRPr="00A66801">
        <w:rPr>
          <w:b/>
          <w:szCs w:val="20"/>
        </w:rPr>
        <w:t>Division of Insurance and Internal Support (</w:t>
      </w:r>
      <w:r w:rsidR="0036301D" w:rsidRPr="00A66801">
        <w:rPr>
          <w:b/>
          <w:szCs w:val="20"/>
        </w:rPr>
        <w:t>DIIS</w:t>
      </w:r>
      <w:r w:rsidR="0036301D" w:rsidRPr="0036301D">
        <w:rPr>
          <w:b/>
          <w:bCs/>
          <w:iCs/>
          <w:szCs w:val="20"/>
        </w:rPr>
        <w:t>)</w:t>
      </w:r>
      <w:r w:rsidR="0036301D">
        <w:rPr>
          <w:iCs/>
          <w:szCs w:val="20"/>
        </w:rPr>
        <w:t xml:space="preserve"> Conducts</w:t>
      </w:r>
      <w:r w:rsidR="00C61F78" w:rsidRPr="00A66801">
        <w:rPr>
          <w:szCs w:val="20"/>
        </w:rPr>
        <w:t xml:space="preserve"> diligent dispersion of government documents through reproduction and mailing </w:t>
      </w:r>
      <w:r w:rsidR="00C61F78">
        <w:rPr>
          <w:szCs w:val="20"/>
        </w:rPr>
        <w:t xml:space="preserve">via </w:t>
      </w:r>
      <w:r w:rsidR="00C61F78" w:rsidRPr="00362973">
        <w:rPr>
          <w:b/>
          <w:szCs w:val="20"/>
        </w:rPr>
        <w:t xml:space="preserve">Postal Services </w:t>
      </w:r>
      <w:r w:rsidR="00C61F78">
        <w:rPr>
          <w:szCs w:val="20"/>
        </w:rPr>
        <w:t xml:space="preserve">and </w:t>
      </w:r>
      <w:r w:rsidR="00D5304D" w:rsidRPr="00D5304D">
        <w:rPr>
          <w:b/>
          <w:szCs w:val="20"/>
        </w:rPr>
        <w:t>Printing Services</w:t>
      </w:r>
      <w:r w:rsidR="00C61F78">
        <w:rPr>
          <w:szCs w:val="20"/>
        </w:rPr>
        <w:t xml:space="preserve">. </w:t>
      </w:r>
      <w:r w:rsidR="00362973">
        <w:rPr>
          <w:szCs w:val="20"/>
        </w:rPr>
        <w:t xml:space="preserve">The </w:t>
      </w:r>
      <w:r w:rsidR="00362973" w:rsidRPr="00362973">
        <w:rPr>
          <w:b/>
          <w:szCs w:val="20"/>
        </w:rPr>
        <w:t>Office of</w:t>
      </w:r>
      <w:r w:rsidRPr="00362973">
        <w:rPr>
          <w:b/>
          <w:szCs w:val="20"/>
        </w:rPr>
        <w:t xml:space="preserve"> Risk Management</w:t>
      </w:r>
      <w:r w:rsidRPr="00A66801">
        <w:rPr>
          <w:szCs w:val="20"/>
        </w:rPr>
        <w:t xml:space="preserve"> serves as the state’s property and liability insurance manager and adjusts claims made against the state. The </w:t>
      </w:r>
      <w:r w:rsidRPr="00362973">
        <w:rPr>
          <w:b/>
          <w:szCs w:val="20"/>
        </w:rPr>
        <w:t>Office of Group Insurance</w:t>
      </w:r>
      <w:r w:rsidRPr="00A66801">
        <w:rPr>
          <w:szCs w:val="20"/>
        </w:rPr>
        <w:t xml:space="preserve"> </w:t>
      </w:r>
      <w:r w:rsidR="00362973">
        <w:rPr>
          <w:szCs w:val="20"/>
        </w:rPr>
        <w:t xml:space="preserve">(OGI) </w:t>
      </w:r>
      <w:r w:rsidRPr="00A66801">
        <w:rPr>
          <w:szCs w:val="20"/>
        </w:rPr>
        <w:t>contracts a</w:t>
      </w:r>
      <w:r w:rsidR="009B6BB2" w:rsidRPr="00A66801">
        <w:rPr>
          <w:szCs w:val="20"/>
        </w:rPr>
        <w:t xml:space="preserve">nd administers medical, dental, </w:t>
      </w:r>
      <w:r w:rsidRPr="00A66801">
        <w:rPr>
          <w:szCs w:val="20"/>
        </w:rPr>
        <w:t xml:space="preserve">life, flexible spending account, and disability benefit contracts for state employees and retirees. </w:t>
      </w:r>
      <w:r w:rsidR="0023159B">
        <w:rPr>
          <w:szCs w:val="20"/>
        </w:rPr>
        <w:t>Finally, t</w:t>
      </w:r>
      <w:r w:rsidRPr="00A66801">
        <w:rPr>
          <w:szCs w:val="20"/>
        </w:rPr>
        <w:t xml:space="preserve">he </w:t>
      </w:r>
      <w:r w:rsidRPr="00674F1A">
        <w:rPr>
          <w:b/>
          <w:szCs w:val="20"/>
        </w:rPr>
        <w:t>Industrial Special Indemnity Fund</w:t>
      </w:r>
      <w:r w:rsidRPr="00A66801">
        <w:rPr>
          <w:szCs w:val="20"/>
        </w:rPr>
        <w:t xml:space="preserve"> manages a portion of the workers’ compensation system commonly referred to as the “Second Injury Fund,” which provides lifetime benefits to workers who become totally and permanently disabled from a work injury. (Idaho Code Sections 67-5746; 67-5760–5778; 72-323–334 and 409)</w:t>
      </w:r>
    </w:p>
    <w:p w14:paraId="3D517BEA" w14:textId="77777777" w:rsidR="00B60A5B" w:rsidRPr="00A66801" w:rsidRDefault="00B60A5B" w:rsidP="005E4B6E">
      <w:pPr>
        <w:jc w:val="both"/>
        <w:rPr>
          <w:szCs w:val="20"/>
        </w:rPr>
      </w:pPr>
    </w:p>
    <w:p w14:paraId="7A0BA5D5" w14:textId="7CCC9C5A" w:rsidR="00983382" w:rsidRPr="00A66801" w:rsidRDefault="00983382" w:rsidP="00983382">
      <w:pPr>
        <w:jc w:val="both"/>
        <w:rPr>
          <w:szCs w:val="20"/>
        </w:rPr>
      </w:pPr>
      <w:r w:rsidRPr="00A66801">
        <w:rPr>
          <w:b/>
          <w:szCs w:val="20"/>
        </w:rPr>
        <w:t>Division of Purchasing (DOP):</w:t>
      </w:r>
      <w:r w:rsidRPr="00A66801">
        <w:rPr>
          <w:szCs w:val="20"/>
        </w:rPr>
        <w:t xml:space="preserve">  Administers purchasing policy and implementation for property acquisitions (goods and services) for state executive agencies, including solicitation, issuance, and administration of contracts and training for professional purchasing staff</w:t>
      </w:r>
      <w:r>
        <w:rPr>
          <w:szCs w:val="20"/>
        </w:rPr>
        <w:t>. It also</w:t>
      </w:r>
      <w:r w:rsidRPr="00A66801">
        <w:rPr>
          <w:szCs w:val="20"/>
        </w:rPr>
        <w:t xml:space="preserve"> serves as clearinghouse for the federal government’s surplus properties</w:t>
      </w:r>
      <w:r>
        <w:rPr>
          <w:szCs w:val="20"/>
        </w:rPr>
        <w:t xml:space="preserve"> through its </w:t>
      </w:r>
      <w:r w:rsidRPr="00674F1A">
        <w:rPr>
          <w:b/>
          <w:szCs w:val="20"/>
        </w:rPr>
        <w:t>Federal Surplus Property</w:t>
      </w:r>
      <w:r w:rsidRPr="00A66801">
        <w:rPr>
          <w:szCs w:val="20"/>
        </w:rPr>
        <w:t xml:space="preserve"> </w:t>
      </w:r>
      <w:r>
        <w:rPr>
          <w:szCs w:val="20"/>
        </w:rPr>
        <w:t>program</w:t>
      </w:r>
      <w:r w:rsidRPr="00A66801">
        <w:rPr>
          <w:szCs w:val="20"/>
        </w:rPr>
        <w:t>.  (Idaho Code Sections 67-9201 et seq.; 67-5744; 67-5749-575</w:t>
      </w:r>
      <w:r w:rsidR="0036301D">
        <w:rPr>
          <w:szCs w:val="20"/>
        </w:rPr>
        <w:t>0</w:t>
      </w:r>
      <w:r w:rsidRPr="00A66801">
        <w:rPr>
          <w:szCs w:val="20"/>
        </w:rPr>
        <w:t>)</w:t>
      </w:r>
    </w:p>
    <w:p w14:paraId="2BE5D6D0" w14:textId="77777777" w:rsidR="00983382" w:rsidRDefault="00983382" w:rsidP="005E4B6E">
      <w:pPr>
        <w:jc w:val="both"/>
        <w:rPr>
          <w:b/>
          <w:szCs w:val="20"/>
        </w:rPr>
      </w:pPr>
    </w:p>
    <w:p w14:paraId="2B6EBBE9" w14:textId="5F749053" w:rsidR="00B60A5B" w:rsidRDefault="00B60A5B" w:rsidP="005E4B6E">
      <w:pPr>
        <w:jc w:val="both"/>
        <w:rPr>
          <w:szCs w:val="20"/>
        </w:rPr>
      </w:pPr>
      <w:r w:rsidRPr="00A66801">
        <w:rPr>
          <w:b/>
          <w:szCs w:val="20"/>
        </w:rPr>
        <w:t>Division of Public Works (DPW):</w:t>
      </w:r>
      <w:r w:rsidRPr="00A66801">
        <w:rPr>
          <w:szCs w:val="20"/>
        </w:rPr>
        <w:t xml:space="preserve">  Manages the construction, alteration, and repair of public buildings for Idaho's state agencies. </w:t>
      </w:r>
      <w:r w:rsidR="001E3624" w:rsidRPr="00A66801">
        <w:rPr>
          <w:szCs w:val="20"/>
        </w:rPr>
        <w:t xml:space="preserve">Its </w:t>
      </w:r>
      <w:r w:rsidR="001E3624" w:rsidRPr="00674F1A">
        <w:rPr>
          <w:b/>
          <w:szCs w:val="20"/>
        </w:rPr>
        <w:t>Facilities Services</w:t>
      </w:r>
      <w:r w:rsidR="001E3624" w:rsidRPr="00A66801">
        <w:rPr>
          <w:szCs w:val="20"/>
        </w:rPr>
        <w:t xml:space="preserve"> </w:t>
      </w:r>
      <w:r w:rsidR="006E5920" w:rsidRPr="00A66801">
        <w:rPr>
          <w:szCs w:val="20"/>
        </w:rPr>
        <w:t xml:space="preserve">group </w:t>
      </w:r>
      <w:r w:rsidRPr="00A66801">
        <w:rPr>
          <w:szCs w:val="20"/>
        </w:rPr>
        <w:t xml:space="preserve">is charged with the </w:t>
      </w:r>
      <w:bookmarkStart w:id="2" w:name="_Hlk46484544"/>
      <w:r w:rsidRPr="00A66801">
        <w:rPr>
          <w:szCs w:val="20"/>
        </w:rPr>
        <w:t>management (operations and maintenance) and space allocation of all facilities on the Capitol Mall</w:t>
      </w:r>
      <w:r w:rsidR="001E3624" w:rsidRPr="00A66801">
        <w:rPr>
          <w:szCs w:val="20"/>
        </w:rPr>
        <w:t>,</w:t>
      </w:r>
      <w:r w:rsidRPr="00A66801">
        <w:rPr>
          <w:szCs w:val="20"/>
        </w:rPr>
        <w:t xml:space="preserve"> </w:t>
      </w:r>
      <w:r w:rsidR="001E3624" w:rsidRPr="00A66801">
        <w:rPr>
          <w:szCs w:val="20"/>
        </w:rPr>
        <w:t xml:space="preserve">Chinden Campus, and </w:t>
      </w:r>
      <w:r w:rsidRPr="00A66801">
        <w:rPr>
          <w:szCs w:val="20"/>
        </w:rPr>
        <w:t xml:space="preserve">the Lewiston and </w:t>
      </w:r>
      <w:r w:rsidR="000B0A32" w:rsidRPr="00A66801">
        <w:rPr>
          <w:szCs w:val="20"/>
        </w:rPr>
        <w:t xml:space="preserve">the </w:t>
      </w:r>
      <w:r w:rsidRPr="00A66801">
        <w:rPr>
          <w:szCs w:val="20"/>
        </w:rPr>
        <w:t>Idaho Falls</w:t>
      </w:r>
      <w:r w:rsidR="000B0A32" w:rsidRPr="00A66801">
        <w:rPr>
          <w:szCs w:val="20"/>
        </w:rPr>
        <w:t xml:space="preserve"> State Office Buildings</w:t>
      </w:r>
      <w:r w:rsidRPr="00A66801">
        <w:rPr>
          <w:szCs w:val="20"/>
        </w:rPr>
        <w:t>.</w:t>
      </w:r>
      <w:bookmarkEnd w:id="2"/>
      <w:r w:rsidRPr="00A66801">
        <w:rPr>
          <w:szCs w:val="20"/>
        </w:rPr>
        <w:t xml:space="preserve"> Additionally, the </w:t>
      </w:r>
      <w:r w:rsidR="00E03073" w:rsidRPr="00A66801">
        <w:rPr>
          <w:szCs w:val="20"/>
        </w:rPr>
        <w:t>d</w:t>
      </w:r>
      <w:r w:rsidRPr="00A66801">
        <w:rPr>
          <w:szCs w:val="20"/>
        </w:rPr>
        <w:t xml:space="preserve">ivision is tasked with negotiating, approving, and making </w:t>
      </w:r>
      <w:r w:rsidRPr="00674F1A">
        <w:rPr>
          <w:szCs w:val="20"/>
        </w:rPr>
        <w:t>contractual</w:t>
      </w:r>
      <w:r w:rsidRPr="00674F1A">
        <w:rPr>
          <w:b/>
          <w:szCs w:val="20"/>
        </w:rPr>
        <w:t xml:space="preserve"> lease agreements </w:t>
      </w:r>
      <w:r w:rsidRPr="00A66801">
        <w:rPr>
          <w:szCs w:val="20"/>
        </w:rPr>
        <w:t xml:space="preserve">for office space to be used by various state departments, agencies, and institutions. DPW also coordinates activities of the </w:t>
      </w:r>
      <w:r w:rsidRPr="00674F1A">
        <w:rPr>
          <w:b/>
          <w:szCs w:val="20"/>
        </w:rPr>
        <w:t>Permanent Building Fund Advisory Council</w:t>
      </w:r>
      <w:r w:rsidRPr="00A66801">
        <w:rPr>
          <w:szCs w:val="20"/>
        </w:rPr>
        <w:t xml:space="preserve">. </w:t>
      </w:r>
      <w:r w:rsidR="00674F1A">
        <w:rPr>
          <w:szCs w:val="20"/>
        </w:rPr>
        <w:t xml:space="preserve"> </w:t>
      </w:r>
      <w:r w:rsidRPr="00A66801">
        <w:rPr>
          <w:szCs w:val="20"/>
        </w:rPr>
        <w:t>(Idaho Code Sections 67-5705-5713)</w:t>
      </w:r>
    </w:p>
    <w:p w14:paraId="15D1BC63" w14:textId="2A34DB96" w:rsidR="00421BD5" w:rsidRDefault="00421BD5" w:rsidP="005E4B6E">
      <w:pPr>
        <w:jc w:val="both"/>
        <w:rPr>
          <w:szCs w:val="20"/>
        </w:rPr>
      </w:pPr>
    </w:p>
    <w:p w14:paraId="48D8D71E" w14:textId="5615AEF4" w:rsidR="00421BD5" w:rsidRPr="00421BD5" w:rsidRDefault="00421BD5" w:rsidP="005E4B6E">
      <w:pPr>
        <w:jc w:val="both"/>
        <w:rPr>
          <w:b/>
          <w:bCs/>
          <w:szCs w:val="20"/>
        </w:rPr>
      </w:pPr>
      <w:r w:rsidRPr="00421BD5">
        <w:rPr>
          <w:b/>
          <w:bCs/>
          <w:szCs w:val="20"/>
        </w:rPr>
        <w:t>Division of Security Operations (DSO):</w:t>
      </w:r>
      <w:r>
        <w:rPr>
          <w:b/>
          <w:bCs/>
          <w:szCs w:val="20"/>
        </w:rPr>
        <w:t xml:space="preserve"> </w:t>
      </w:r>
      <w:r w:rsidR="0036301D" w:rsidRPr="0036301D">
        <w:rPr>
          <w:szCs w:val="20"/>
        </w:rPr>
        <w:t xml:space="preserve">Administers security </w:t>
      </w:r>
      <w:r w:rsidR="0036301D">
        <w:rPr>
          <w:szCs w:val="20"/>
        </w:rPr>
        <w:t>operations for</w:t>
      </w:r>
      <w:r w:rsidR="0036301D">
        <w:rPr>
          <w:b/>
          <w:bCs/>
          <w:szCs w:val="20"/>
        </w:rPr>
        <w:t xml:space="preserve"> </w:t>
      </w:r>
      <w:r w:rsidRPr="00A66801">
        <w:rPr>
          <w:szCs w:val="20"/>
        </w:rPr>
        <w:t xml:space="preserve">all facilities </w:t>
      </w:r>
      <w:r w:rsidR="0036301D">
        <w:rPr>
          <w:szCs w:val="20"/>
        </w:rPr>
        <w:t>i</w:t>
      </w:r>
      <w:r w:rsidRPr="00A66801">
        <w:rPr>
          <w:szCs w:val="20"/>
        </w:rPr>
        <w:t>n the Capitol Mall, Chinden Campus, and the Lewiston and the Idaho Falls State Office Buildings.</w:t>
      </w:r>
      <w:r w:rsidR="0036301D">
        <w:rPr>
          <w:szCs w:val="20"/>
        </w:rPr>
        <w:t xml:space="preserve"> Provides </w:t>
      </w:r>
      <w:r w:rsidR="0036301D" w:rsidRPr="0036301D">
        <w:rPr>
          <w:b/>
          <w:bCs/>
          <w:szCs w:val="20"/>
        </w:rPr>
        <w:t>Parking Services</w:t>
      </w:r>
      <w:r w:rsidR="0036301D">
        <w:rPr>
          <w:szCs w:val="20"/>
        </w:rPr>
        <w:t xml:space="preserve"> for the Capitol Mall. (Idaho Code Sections 67-5708-5709)</w:t>
      </w:r>
    </w:p>
    <w:p w14:paraId="6A4BE8FD" w14:textId="77777777" w:rsidR="00421BD5" w:rsidRDefault="00421BD5" w:rsidP="0025288C">
      <w:pPr>
        <w:rPr>
          <w:rFonts w:cs="Arial"/>
          <w:b/>
          <w:bCs/>
          <w:sz w:val="24"/>
        </w:rPr>
      </w:pPr>
    </w:p>
    <w:p w14:paraId="6F66A6AD" w14:textId="780FBE1D" w:rsidR="004351DE" w:rsidRDefault="004351DE" w:rsidP="0025288C">
      <w:pPr>
        <w:rPr>
          <w:rFonts w:cs="Arial"/>
          <w:b/>
          <w:bCs/>
          <w:sz w:val="24"/>
        </w:rPr>
      </w:pPr>
      <w:r w:rsidRPr="00B32553">
        <w:rPr>
          <w:rFonts w:cs="Arial"/>
          <w:b/>
          <w:bCs/>
          <w:sz w:val="24"/>
        </w:rPr>
        <w:t>Revenue and Expenditures</w:t>
      </w:r>
    </w:p>
    <w:p w14:paraId="0EFD658F" w14:textId="77777777" w:rsidR="005F7730" w:rsidRDefault="005F7730" w:rsidP="0025288C">
      <w:pPr>
        <w:rPr>
          <w:rFonts w:cs="Arial"/>
          <w:b/>
          <w:bCs/>
          <w:sz w:val="24"/>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0"/>
        <w:gridCol w:w="1732"/>
        <w:gridCol w:w="1733"/>
        <w:gridCol w:w="1732"/>
        <w:gridCol w:w="1733"/>
      </w:tblGrid>
      <w:tr w:rsidR="00A71C22" w:rsidRPr="00550A47" w14:paraId="1717CC6C" w14:textId="77777777" w:rsidTr="00D52C88">
        <w:tc>
          <w:tcPr>
            <w:tcW w:w="3150" w:type="dxa"/>
            <w:tcBorders>
              <w:bottom w:val="single" w:sz="4" w:space="0" w:color="auto"/>
            </w:tcBorders>
            <w:shd w:val="clear" w:color="auto" w:fill="000080"/>
          </w:tcPr>
          <w:p w14:paraId="50153056" w14:textId="77777777" w:rsidR="00A71C22" w:rsidRPr="00550A47" w:rsidRDefault="00A71C22" w:rsidP="00A71C22">
            <w:pPr>
              <w:rPr>
                <w:rFonts w:cs="Arial"/>
                <w:b/>
                <w:bCs/>
                <w:color w:val="FFFFFF"/>
                <w:szCs w:val="20"/>
              </w:rPr>
            </w:pPr>
            <w:bookmarkStart w:id="3" w:name="_Hlk172533678"/>
            <w:r w:rsidRPr="00550A47">
              <w:rPr>
                <w:rFonts w:cs="Arial"/>
                <w:b/>
                <w:bCs/>
                <w:color w:val="FFFFFF"/>
                <w:szCs w:val="20"/>
              </w:rPr>
              <w:t>Revenue</w:t>
            </w:r>
          </w:p>
        </w:tc>
        <w:tc>
          <w:tcPr>
            <w:tcW w:w="1732" w:type="dxa"/>
            <w:tcBorders>
              <w:bottom w:val="single" w:sz="4" w:space="0" w:color="auto"/>
            </w:tcBorders>
            <w:shd w:val="clear" w:color="auto" w:fill="000080"/>
          </w:tcPr>
          <w:p w14:paraId="57EC25E3" w14:textId="57427F30" w:rsidR="00A71C22" w:rsidRPr="00550A47" w:rsidRDefault="00345812" w:rsidP="00FE1FBC">
            <w:pPr>
              <w:jc w:val="right"/>
              <w:rPr>
                <w:rFonts w:cs="Arial"/>
                <w:b/>
                <w:bCs/>
                <w:color w:val="FFFFFF"/>
                <w:szCs w:val="20"/>
              </w:rPr>
            </w:pPr>
            <w:r>
              <w:rPr>
                <w:rFonts w:cs="Arial"/>
                <w:b/>
                <w:bCs/>
                <w:color w:val="FFFFFF"/>
                <w:szCs w:val="20"/>
              </w:rPr>
              <w:t>FY 2019</w:t>
            </w:r>
          </w:p>
        </w:tc>
        <w:tc>
          <w:tcPr>
            <w:tcW w:w="1733" w:type="dxa"/>
            <w:tcBorders>
              <w:bottom w:val="single" w:sz="4" w:space="0" w:color="auto"/>
            </w:tcBorders>
            <w:shd w:val="clear" w:color="auto" w:fill="000080"/>
          </w:tcPr>
          <w:p w14:paraId="19765CB8" w14:textId="54A82E88" w:rsidR="00A71C22" w:rsidRPr="00550A47" w:rsidRDefault="00345812" w:rsidP="00FE1FBC">
            <w:pPr>
              <w:jc w:val="right"/>
              <w:rPr>
                <w:rFonts w:cs="Arial"/>
                <w:b/>
                <w:bCs/>
                <w:color w:val="FFFFFF"/>
                <w:szCs w:val="20"/>
              </w:rPr>
            </w:pPr>
            <w:r>
              <w:rPr>
                <w:rFonts w:cs="Arial"/>
                <w:b/>
                <w:bCs/>
                <w:color w:val="FFFFFF"/>
                <w:szCs w:val="20"/>
              </w:rPr>
              <w:t>FY 2020</w:t>
            </w:r>
          </w:p>
        </w:tc>
        <w:tc>
          <w:tcPr>
            <w:tcW w:w="1732" w:type="dxa"/>
            <w:tcBorders>
              <w:bottom w:val="single" w:sz="4" w:space="0" w:color="auto"/>
            </w:tcBorders>
            <w:shd w:val="clear" w:color="auto" w:fill="000080"/>
          </w:tcPr>
          <w:p w14:paraId="6CCFBDDB" w14:textId="10DD5173" w:rsidR="00A71C22" w:rsidRPr="00550A47" w:rsidRDefault="00345812" w:rsidP="00FE1FBC">
            <w:pPr>
              <w:jc w:val="right"/>
              <w:rPr>
                <w:rFonts w:cs="Arial"/>
                <w:b/>
                <w:bCs/>
                <w:color w:val="FFFFFF"/>
                <w:szCs w:val="20"/>
              </w:rPr>
            </w:pPr>
            <w:r>
              <w:rPr>
                <w:rFonts w:cs="Arial"/>
                <w:b/>
                <w:bCs/>
                <w:color w:val="FFFFFF"/>
                <w:szCs w:val="20"/>
              </w:rPr>
              <w:t>FY 2021</w:t>
            </w:r>
          </w:p>
        </w:tc>
        <w:tc>
          <w:tcPr>
            <w:tcW w:w="1733" w:type="dxa"/>
            <w:tcBorders>
              <w:bottom w:val="single" w:sz="4" w:space="0" w:color="auto"/>
            </w:tcBorders>
            <w:shd w:val="clear" w:color="auto" w:fill="000080"/>
          </w:tcPr>
          <w:p w14:paraId="78B3718B" w14:textId="78EB1EF5" w:rsidR="00A71C22" w:rsidRPr="00550A47" w:rsidRDefault="00345812" w:rsidP="00FE1FBC">
            <w:pPr>
              <w:jc w:val="right"/>
              <w:rPr>
                <w:rFonts w:cs="Arial"/>
                <w:b/>
                <w:bCs/>
                <w:color w:val="FFFFFF"/>
                <w:szCs w:val="20"/>
              </w:rPr>
            </w:pPr>
            <w:r>
              <w:rPr>
                <w:rFonts w:cs="Arial"/>
                <w:b/>
                <w:bCs/>
                <w:color w:val="FFFFFF"/>
                <w:szCs w:val="20"/>
              </w:rPr>
              <w:t>FY 2022</w:t>
            </w:r>
          </w:p>
        </w:tc>
      </w:tr>
      <w:tr w:rsidR="00345812" w:rsidRPr="00550A47" w14:paraId="77E999C3" w14:textId="77777777" w:rsidTr="00D52C88">
        <w:tc>
          <w:tcPr>
            <w:tcW w:w="3150" w:type="dxa"/>
            <w:tcBorders>
              <w:top w:val="single" w:sz="4" w:space="0" w:color="auto"/>
              <w:left w:val="single" w:sz="4" w:space="0" w:color="auto"/>
              <w:bottom w:val="nil"/>
              <w:right w:val="nil"/>
            </w:tcBorders>
          </w:tcPr>
          <w:p w14:paraId="070A0682" w14:textId="77777777" w:rsidR="00345812" w:rsidRPr="00550A47" w:rsidRDefault="00345812" w:rsidP="00345812">
            <w:pPr>
              <w:jc w:val="both"/>
              <w:rPr>
                <w:rFonts w:cs="Arial"/>
                <w:szCs w:val="20"/>
              </w:rPr>
            </w:pPr>
            <w:r w:rsidRPr="00550A47">
              <w:rPr>
                <w:rFonts w:cs="Arial"/>
                <w:szCs w:val="20"/>
              </w:rPr>
              <w:t>General Fund</w:t>
            </w:r>
          </w:p>
        </w:tc>
        <w:tc>
          <w:tcPr>
            <w:tcW w:w="1732" w:type="dxa"/>
            <w:tcBorders>
              <w:top w:val="single" w:sz="4" w:space="0" w:color="auto"/>
              <w:left w:val="nil"/>
              <w:bottom w:val="nil"/>
              <w:right w:val="nil"/>
            </w:tcBorders>
          </w:tcPr>
          <w:p w14:paraId="26A85057" w14:textId="2E341293" w:rsidR="00345812" w:rsidRPr="00550A47" w:rsidRDefault="00345812" w:rsidP="00345812">
            <w:pPr>
              <w:jc w:val="right"/>
              <w:rPr>
                <w:rFonts w:eastAsia="Arial Unicode MS" w:cs="Arial"/>
                <w:color w:val="000000"/>
                <w:szCs w:val="20"/>
              </w:rPr>
            </w:pPr>
            <w:r w:rsidRPr="00FF44C8">
              <w:rPr>
                <w:color w:val="000000" w:themeColor="text1"/>
              </w:rPr>
              <w:t>$6,236,746</w:t>
            </w:r>
          </w:p>
        </w:tc>
        <w:tc>
          <w:tcPr>
            <w:tcW w:w="1733" w:type="dxa"/>
            <w:tcBorders>
              <w:top w:val="single" w:sz="4" w:space="0" w:color="auto"/>
              <w:left w:val="nil"/>
              <w:bottom w:val="nil"/>
              <w:right w:val="nil"/>
            </w:tcBorders>
          </w:tcPr>
          <w:p w14:paraId="221EEC67" w14:textId="1166361C" w:rsidR="00345812" w:rsidRPr="00550A47" w:rsidRDefault="00345812" w:rsidP="00345812">
            <w:pPr>
              <w:jc w:val="right"/>
              <w:rPr>
                <w:rFonts w:cs="Arial"/>
                <w:color w:val="000000"/>
                <w:szCs w:val="20"/>
              </w:rPr>
            </w:pPr>
            <w:r w:rsidRPr="009C7CC3">
              <w:rPr>
                <w:color w:val="000000" w:themeColor="text1"/>
              </w:rPr>
              <w:t>$6,096,568</w:t>
            </w:r>
          </w:p>
        </w:tc>
        <w:tc>
          <w:tcPr>
            <w:tcW w:w="1732" w:type="dxa"/>
            <w:tcBorders>
              <w:top w:val="single" w:sz="4" w:space="0" w:color="auto"/>
              <w:left w:val="nil"/>
              <w:bottom w:val="nil"/>
              <w:right w:val="nil"/>
            </w:tcBorders>
          </w:tcPr>
          <w:p w14:paraId="175FFA3F" w14:textId="63B129CC" w:rsidR="00345812" w:rsidRDefault="00345812" w:rsidP="00345812">
            <w:pPr>
              <w:jc w:val="right"/>
              <w:rPr>
                <w:rFonts w:ascii="Calibri" w:hAnsi="Calibri"/>
                <w:color w:val="000000" w:themeColor="text1"/>
                <w:szCs w:val="22"/>
              </w:rPr>
            </w:pPr>
            <w:r w:rsidRPr="00042DD0">
              <w:t>$5,924,229</w:t>
            </w:r>
          </w:p>
        </w:tc>
        <w:tc>
          <w:tcPr>
            <w:tcW w:w="1733" w:type="dxa"/>
            <w:tcBorders>
              <w:top w:val="single" w:sz="4" w:space="0" w:color="auto"/>
              <w:left w:val="nil"/>
              <w:bottom w:val="nil"/>
              <w:right w:val="single" w:sz="4" w:space="0" w:color="auto"/>
            </w:tcBorders>
          </w:tcPr>
          <w:p w14:paraId="580FF9A8" w14:textId="78D13912" w:rsidR="00345812" w:rsidRDefault="00345812" w:rsidP="00345812">
            <w:pPr>
              <w:jc w:val="right"/>
              <w:rPr>
                <w:rFonts w:ascii="Calibri" w:hAnsi="Calibri"/>
                <w:color w:val="000000" w:themeColor="text1"/>
                <w:szCs w:val="22"/>
              </w:rPr>
            </w:pPr>
          </w:p>
        </w:tc>
      </w:tr>
      <w:tr w:rsidR="00345812" w:rsidRPr="00550A47" w14:paraId="048B1E52" w14:textId="77777777" w:rsidTr="00D52C88">
        <w:tc>
          <w:tcPr>
            <w:tcW w:w="3150" w:type="dxa"/>
            <w:tcBorders>
              <w:top w:val="nil"/>
              <w:left w:val="single" w:sz="4" w:space="0" w:color="auto"/>
              <w:bottom w:val="nil"/>
              <w:right w:val="nil"/>
            </w:tcBorders>
            <w:vAlign w:val="bottom"/>
          </w:tcPr>
          <w:p w14:paraId="57BCD815" w14:textId="77777777" w:rsidR="00345812" w:rsidRPr="00550A47" w:rsidRDefault="00345812" w:rsidP="00345812">
            <w:pPr>
              <w:rPr>
                <w:rFonts w:cs="Arial"/>
                <w:color w:val="000000"/>
                <w:szCs w:val="20"/>
              </w:rPr>
            </w:pPr>
            <w:r w:rsidRPr="00550A47">
              <w:rPr>
                <w:rFonts w:cs="Arial"/>
                <w:color w:val="000000"/>
                <w:szCs w:val="20"/>
              </w:rPr>
              <w:t>Idaho Education Network - 0120</w:t>
            </w:r>
          </w:p>
        </w:tc>
        <w:tc>
          <w:tcPr>
            <w:tcW w:w="1732" w:type="dxa"/>
            <w:tcBorders>
              <w:top w:val="nil"/>
              <w:left w:val="nil"/>
              <w:bottom w:val="nil"/>
              <w:right w:val="nil"/>
            </w:tcBorders>
            <w:vAlign w:val="bottom"/>
          </w:tcPr>
          <w:p w14:paraId="02BA7C6B" w14:textId="1EB94FAC" w:rsidR="00345812" w:rsidRPr="00550A47" w:rsidRDefault="00345812" w:rsidP="00345812">
            <w:pPr>
              <w:jc w:val="right"/>
              <w:rPr>
                <w:rFonts w:cs="Arial"/>
                <w:color w:val="000000"/>
                <w:szCs w:val="20"/>
              </w:rPr>
            </w:pPr>
            <w:r>
              <w:rPr>
                <w:color w:val="000000" w:themeColor="text1"/>
              </w:rPr>
              <w:t>$0</w:t>
            </w:r>
          </w:p>
        </w:tc>
        <w:tc>
          <w:tcPr>
            <w:tcW w:w="1733" w:type="dxa"/>
            <w:tcBorders>
              <w:top w:val="nil"/>
              <w:left w:val="nil"/>
              <w:bottom w:val="nil"/>
              <w:right w:val="nil"/>
            </w:tcBorders>
            <w:vAlign w:val="bottom"/>
          </w:tcPr>
          <w:p w14:paraId="4743BFBB" w14:textId="19368B25" w:rsidR="00345812" w:rsidRPr="00550A47" w:rsidRDefault="00345812" w:rsidP="00345812">
            <w:pPr>
              <w:jc w:val="right"/>
              <w:rPr>
                <w:rFonts w:cs="Arial"/>
                <w:color w:val="000000"/>
                <w:szCs w:val="20"/>
              </w:rPr>
            </w:pPr>
            <w:r>
              <w:rPr>
                <w:color w:val="000000" w:themeColor="text1"/>
              </w:rPr>
              <w:t>$0</w:t>
            </w:r>
          </w:p>
        </w:tc>
        <w:tc>
          <w:tcPr>
            <w:tcW w:w="1732" w:type="dxa"/>
            <w:tcBorders>
              <w:top w:val="nil"/>
              <w:left w:val="nil"/>
              <w:bottom w:val="nil"/>
              <w:right w:val="nil"/>
            </w:tcBorders>
          </w:tcPr>
          <w:p w14:paraId="0D1F3EE2" w14:textId="1E9D5F43" w:rsidR="00345812" w:rsidRDefault="00345812" w:rsidP="00345812">
            <w:pPr>
              <w:jc w:val="right"/>
              <w:rPr>
                <w:color w:val="000000" w:themeColor="text1"/>
              </w:rPr>
            </w:pPr>
            <w:r w:rsidRPr="00042DD0">
              <w:t>$0</w:t>
            </w:r>
          </w:p>
        </w:tc>
        <w:tc>
          <w:tcPr>
            <w:tcW w:w="1733" w:type="dxa"/>
            <w:tcBorders>
              <w:top w:val="nil"/>
              <w:left w:val="nil"/>
              <w:bottom w:val="nil"/>
              <w:right w:val="single" w:sz="4" w:space="0" w:color="auto"/>
            </w:tcBorders>
          </w:tcPr>
          <w:p w14:paraId="02BC1555" w14:textId="0D87620D" w:rsidR="00345812" w:rsidRDefault="00345812" w:rsidP="00345812">
            <w:pPr>
              <w:jc w:val="right"/>
              <w:rPr>
                <w:color w:val="000000" w:themeColor="text1"/>
              </w:rPr>
            </w:pPr>
          </w:p>
        </w:tc>
      </w:tr>
      <w:tr w:rsidR="00345812" w:rsidRPr="00550A47" w14:paraId="07695E01" w14:textId="77777777" w:rsidTr="00D52C88">
        <w:tc>
          <w:tcPr>
            <w:tcW w:w="3150" w:type="dxa"/>
            <w:tcBorders>
              <w:top w:val="nil"/>
              <w:left w:val="single" w:sz="4" w:space="0" w:color="auto"/>
              <w:bottom w:val="nil"/>
              <w:right w:val="nil"/>
            </w:tcBorders>
            <w:vAlign w:val="bottom"/>
          </w:tcPr>
          <w:p w14:paraId="56985ECB" w14:textId="77777777" w:rsidR="00345812" w:rsidRPr="00550A47" w:rsidRDefault="00345812" w:rsidP="00345812">
            <w:pPr>
              <w:rPr>
                <w:rFonts w:eastAsia="Arial Unicode MS" w:cs="Arial"/>
                <w:color w:val="000000"/>
                <w:szCs w:val="20"/>
              </w:rPr>
            </w:pPr>
            <w:r w:rsidRPr="00550A47">
              <w:rPr>
                <w:rFonts w:cs="Arial"/>
                <w:color w:val="000000"/>
                <w:szCs w:val="20"/>
              </w:rPr>
              <w:t>Permanent Building Fund</w:t>
            </w:r>
          </w:p>
        </w:tc>
        <w:tc>
          <w:tcPr>
            <w:tcW w:w="1732" w:type="dxa"/>
            <w:tcBorders>
              <w:top w:val="nil"/>
              <w:left w:val="nil"/>
              <w:bottom w:val="nil"/>
              <w:right w:val="nil"/>
            </w:tcBorders>
          </w:tcPr>
          <w:p w14:paraId="2E797241" w14:textId="46322ACA" w:rsidR="00345812" w:rsidRPr="00550A47" w:rsidRDefault="00345812" w:rsidP="00345812">
            <w:pPr>
              <w:jc w:val="right"/>
              <w:rPr>
                <w:rFonts w:eastAsia="Arial Unicode MS" w:cs="Arial"/>
                <w:color w:val="000000"/>
                <w:szCs w:val="20"/>
              </w:rPr>
            </w:pPr>
            <w:r w:rsidRPr="00FF44C8">
              <w:rPr>
                <w:color w:val="000000" w:themeColor="text1"/>
              </w:rPr>
              <w:t>$131,884,214</w:t>
            </w:r>
          </w:p>
        </w:tc>
        <w:tc>
          <w:tcPr>
            <w:tcW w:w="1733" w:type="dxa"/>
            <w:tcBorders>
              <w:top w:val="nil"/>
              <w:left w:val="nil"/>
              <w:bottom w:val="nil"/>
              <w:right w:val="nil"/>
            </w:tcBorders>
          </w:tcPr>
          <w:p w14:paraId="0420FFA8" w14:textId="5C84BC0B" w:rsidR="00345812" w:rsidRPr="00550A47" w:rsidRDefault="00345812" w:rsidP="00345812">
            <w:pPr>
              <w:jc w:val="right"/>
              <w:rPr>
                <w:rFonts w:cs="Arial"/>
                <w:color w:val="000000"/>
                <w:szCs w:val="20"/>
              </w:rPr>
            </w:pPr>
            <w:r>
              <w:rPr>
                <w:color w:val="000000" w:themeColor="text1"/>
              </w:rPr>
              <w:t>$</w:t>
            </w:r>
            <w:r w:rsidRPr="009A0F9A">
              <w:rPr>
                <w:color w:val="000000" w:themeColor="text1"/>
              </w:rPr>
              <w:t>165,031,374</w:t>
            </w:r>
          </w:p>
        </w:tc>
        <w:tc>
          <w:tcPr>
            <w:tcW w:w="1732" w:type="dxa"/>
            <w:tcBorders>
              <w:top w:val="nil"/>
              <w:left w:val="nil"/>
              <w:bottom w:val="nil"/>
              <w:right w:val="nil"/>
            </w:tcBorders>
          </w:tcPr>
          <w:p w14:paraId="00FC93EC" w14:textId="165C5340" w:rsidR="00345812" w:rsidRDefault="00345812" w:rsidP="00345812">
            <w:pPr>
              <w:jc w:val="right"/>
              <w:rPr>
                <w:color w:val="000000" w:themeColor="text1"/>
              </w:rPr>
            </w:pPr>
            <w:r w:rsidRPr="00042DD0">
              <w:t>$177,048,917</w:t>
            </w:r>
          </w:p>
        </w:tc>
        <w:tc>
          <w:tcPr>
            <w:tcW w:w="1733" w:type="dxa"/>
            <w:tcBorders>
              <w:top w:val="nil"/>
              <w:left w:val="nil"/>
              <w:bottom w:val="nil"/>
              <w:right w:val="single" w:sz="4" w:space="0" w:color="auto"/>
            </w:tcBorders>
          </w:tcPr>
          <w:p w14:paraId="74C36793" w14:textId="1DC93F9A" w:rsidR="00345812" w:rsidRPr="00FF44C8" w:rsidRDefault="00345812" w:rsidP="00345812">
            <w:pPr>
              <w:jc w:val="right"/>
              <w:rPr>
                <w:color w:val="000000" w:themeColor="text1"/>
              </w:rPr>
            </w:pPr>
          </w:p>
        </w:tc>
      </w:tr>
      <w:tr w:rsidR="00345812" w:rsidRPr="00550A47" w14:paraId="76FDFE7F" w14:textId="77777777" w:rsidTr="00D52C88">
        <w:tc>
          <w:tcPr>
            <w:tcW w:w="3150" w:type="dxa"/>
            <w:tcBorders>
              <w:top w:val="nil"/>
              <w:left w:val="single" w:sz="4" w:space="0" w:color="auto"/>
              <w:bottom w:val="nil"/>
              <w:right w:val="nil"/>
            </w:tcBorders>
            <w:vAlign w:val="bottom"/>
          </w:tcPr>
          <w:p w14:paraId="70480515" w14:textId="77777777" w:rsidR="00345812" w:rsidRPr="00550A47" w:rsidRDefault="00345812" w:rsidP="00345812">
            <w:pPr>
              <w:rPr>
                <w:rFonts w:cs="Arial"/>
                <w:color w:val="000000"/>
                <w:szCs w:val="20"/>
              </w:rPr>
            </w:pPr>
            <w:r w:rsidRPr="00550A47">
              <w:rPr>
                <w:rFonts w:cs="Arial"/>
                <w:color w:val="000000"/>
                <w:szCs w:val="20"/>
              </w:rPr>
              <w:t>Governor’s Housing Fund</w:t>
            </w:r>
          </w:p>
        </w:tc>
        <w:tc>
          <w:tcPr>
            <w:tcW w:w="1732" w:type="dxa"/>
            <w:tcBorders>
              <w:top w:val="nil"/>
              <w:left w:val="nil"/>
              <w:bottom w:val="nil"/>
              <w:right w:val="nil"/>
            </w:tcBorders>
          </w:tcPr>
          <w:p w14:paraId="15F7E3BA" w14:textId="0DA04ECB" w:rsidR="00345812" w:rsidRPr="00550A47" w:rsidRDefault="00345812" w:rsidP="00345812">
            <w:pPr>
              <w:jc w:val="right"/>
              <w:rPr>
                <w:rFonts w:cs="Arial"/>
                <w:color w:val="000000"/>
                <w:szCs w:val="20"/>
              </w:rPr>
            </w:pPr>
            <w:r w:rsidRPr="00FF44C8">
              <w:rPr>
                <w:color w:val="000000" w:themeColor="text1"/>
              </w:rPr>
              <w:t>$103,515</w:t>
            </w:r>
          </w:p>
        </w:tc>
        <w:tc>
          <w:tcPr>
            <w:tcW w:w="1733" w:type="dxa"/>
            <w:tcBorders>
              <w:top w:val="nil"/>
              <w:left w:val="nil"/>
              <w:bottom w:val="nil"/>
              <w:right w:val="nil"/>
            </w:tcBorders>
          </w:tcPr>
          <w:p w14:paraId="61E81C07" w14:textId="6B2ED546" w:rsidR="00345812" w:rsidRPr="00550A47" w:rsidRDefault="00345812" w:rsidP="00345812">
            <w:pPr>
              <w:jc w:val="right"/>
              <w:rPr>
                <w:rFonts w:cs="Arial"/>
                <w:color w:val="000000"/>
                <w:szCs w:val="20"/>
              </w:rPr>
            </w:pPr>
            <w:r>
              <w:rPr>
                <w:color w:val="000000" w:themeColor="text1"/>
              </w:rPr>
              <w:t>$1</w:t>
            </w:r>
            <w:r w:rsidRPr="009A0F9A">
              <w:rPr>
                <w:color w:val="000000" w:themeColor="text1"/>
              </w:rPr>
              <w:t>,</w:t>
            </w:r>
            <w:r>
              <w:rPr>
                <w:color w:val="000000" w:themeColor="text1"/>
              </w:rPr>
              <w:t>121</w:t>
            </w:r>
          </w:p>
        </w:tc>
        <w:tc>
          <w:tcPr>
            <w:tcW w:w="1732" w:type="dxa"/>
            <w:tcBorders>
              <w:top w:val="nil"/>
              <w:left w:val="nil"/>
              <w:bottom w:val="nil"/>
              <w:right w:val="nil"/>
            </w:tcBorders>
          </w:tcPr>
          <w:p w14:paraId="208820FF" w14:textId="6EF283C8" w:rsidR="00345812" w:rsidRDefault="00345812" w:rsidP="00345812">
            <w:pPr>
              <w:jc w:val="right"/>
              <w:rPr>
                <w:color w:val="000000" w:themeColor="text1"/>
              </w:rPr>
            </w:pPr>
            <w:r w:rsidRPr="00042DD0">
              <w:t>$60,359</w:t>
            </w:r>
          </w:p>
        </w:tc>
        <w:tc>
          <w:tcPr>
            <w:tcW w:w="1733" w:type="dxa"/>
            <w:tcBorders>
              <w:top w:val="nil"/>
              <w:left w:val="nil"/>
              <w:bottom w:val="nil"/>
              <w:right w:val="single" w:sz="4" w:space="0" w:color="auto"/>
            </w:tcBorders>
          </w:tcPr>
          <w:p w14:paraId="2166920F" w14:textId="4C99B73C" w:rsidR="00345812" w:rsidRPr="00FF44C8" w:rsidRDefault="00345812" w:rsidP="00345812">
            <w:pPr>
              <w:jc w:val="right"/>
              <w:rPr>
                <w:color w:val="000000" w:themeColor="text1"/>
              </w:rPr>
            </w:pPr>
          </w:p>
        </w:tc>
      </w:tr>
      <w:tr w:rsidR="00345812" w:rsidRPr="00550A47" w14:paraId="0A99C5E0" w14:textId="77777777" w:rsidTr="00D52C88">
        <w:tc>
          <w:tcPr>
            <w:tcW w:w="3150" w:type="dxa"/>
            <w:tcBorders>
              <w:top w:val="nil"/>
              <w:left w:val="single" w:sz="4" w:space="0" w:color="auto"/>
              <w:bottom w:val="nil"/>
              <w:right w:val="nil"/>
            </w:tcBorders>
            <w:vAlign w:val="bottom"/>
          </w:tcPr>
          <w:p w14:paraId="09193F0F" w14:textId="77777777" w:rsidR="00345812" w:rsidRPr="00550A47" w:rsidRDefault="00345812" w:rsidP="00345812">
            <w:pPr>
              <w:rPr>
                <w:rFonts w:eastAsia="Arial Unicode MS" w:cs="Arial"/>
                <w:color w:val="000000"/>
                <w:szCs w:val="20"/>
              </w:rPr>
            </w:pPr>
            <w:r w:rsidRPr="00550A47">
              <w:rPr>
                <w:rFonts w:cs="Arial"/>
                <w:color w:val="000000"/>
                <w:szCs w:val="20"/>
              </w:rPr>
              <w:t>Admin. &amp; Accounting Srvcs.</w:t>
            </w:r>
          </w:p>
        </w:tc>
        <w:tc>
          <w:tcPr>
            <w:tcW w:w="1732" w:type="dxa"/>
            <w:tcBorders>
              <w:top w:val="nil"/>
              <w:left w:val="nil"/>
              <w:bottom w:val="nil"/>
              <w:right w:val="nil"/>
            </w:tcBorders>
          </w:tcPr>
          <w:p w14:paraId="2894CBBD" w14:textId="59FB7931" w:rsidR="00345812" w:rsidRPr="00550A47" w:rsidRDefault="00345812" w:rsidP="00345812">
            <w:pPr>
              <w:jc w:val="right"/>
              <w:rPr>
                <w:rFonts w:eastAsia="Arial Unicode MS" w:cs="Arial"/>
                <w:color w:val="000000"/>
                <w:szCs w:val="20"/>
              </w:rPr>
            </w:pPr>
            <w:r w:rsidRPr="00FF44C8">
              <w:rPr>
                <w:color w:val="000000" w:themeColor="text1"/>
              </w:rPr>
              <w:t>$29,321,452</w:t>
            </w:r>
          </w:p>
        </w:tc>
        <w:tc>
          <w:tcPr>
            <w:tcW w:w="1733" w:type="dxa"/>
            <w:tcBorders>
              <w:top w:val="nil"/>
              <w:left w:val="nil"/>
              <w:bottom w:val="nil"/>
              <w:right w:val="nil"/>
            </w:tcBorders>
          </w:tcPr>
          <w:p w14:paraId="6F58C85B" w14:textId="7EB8D21E" w:rsidR="00345812" w:rsidRPr="00550A47" w:rsidRDefault="00345812" w:rsidP="00345812">
            <w:pPr>
              <w:jc w:val="right"/>
              <w:rPr>
                <w:rFonts w:cs="Arial"/>
                <w:color w:val="000000"/>
                <w:szCs w:val="20"/>
              </w:rPr>
            </w:pPr>
            <w:r>
              <w:rPr>
                <w:color w:val="000000" w:themeColor="text1"/>
              </w:rPr>
              <w:t>$</w:t>
            </w:r>
            <w:r w:rsidRPr="009A0F9A">
              <w:rPr>
                <w:color w:val="000000" w:themeColor="text1"/>
              </w:rPr>
              <w:t>30,240,982</w:t>
            </w:r>
          </w:p>
        </w:tc>
        <w:tc>
          <w:tcPr>
            <w:tcW w:w="1732" w:type="dxa"/>
            <w:tcBorders>
              <w:top w:val="nil"/>
              <w:left w:val="nil"/>
              <w:bottom w:val="nil"/>
              <w:right w:val="nil"/>
            </w:tcBorders>
          </w:tcPr>
          <w:p w14:paraId="3C0B3BD4" w14:textId="68B67F13" w:rsidR="00345812" w:rsidRDefault="00345812" w:rsidP="00345812">
            <w:pPr>
              <w:jc w:val="right"/>
              <w:rPr>
                <w:color w:val="000000" w:themeColor="text1"/>
              </w:rPr>
            </w:pPr>
            <w:r w:rsidRPr="00042DD0">
              <w:t>$5,924,229</w:t>
            </w:r>
          </w:p>
        </w:tc>
        <w:tc>
          <w:tcPr>
            <w:tcW w:w="1733" w:type="dxa"/>
            <w:tcBorders>
              <w:top w:val="nil"/>
              <w:left w:val="nil"/>
              <w:bottom w:val="nil"/>
              <w:right w:val="single" w:sz="4" w:space="0" w:color="auto"/>
            </w:tcBorders>
          </w:tcPr>
          <w:p w14:paraId="1602F5BB" w14:textId="40174CCB" w:rsidR="00345812" w:rsidRPr="00FF44C8" w:rsidRDefault="00345812" w:rsidP="00345812">
            <w:pPr>
              <w:jc w:val="right"/>
              <w:rPr>
                <w:color w:val="000000" w:themeColor="text1"/>
              </w:rPr>
            </w:pPr>
          </w:p>
        </w:tc>
      </w:tr>
      <w:tr w:rsidR="00345812" w:rsidRPr="00550A47" w14:paraId="303F6435" w14:textId="77777777" w:rsidTr="00D52C88">
        <w:tc>
          <w:tcPr>
            <w:tcW w:w="3150" w:type="dxa"/>
            <w:tcBorders>
              <w:top w:val="nil"/>
              <w:left w:val="single" w:sz="4" w:space="0" w:color="auto"/>
              <w:bottom w:val="nil"/>
              <w:right w:val="nil"/>
            </w:tcBorders>
            <w:vAlign w:val="bottom"/>
          </w:tcPr>
          <w:p w14:paraId="4848EC08" w14:textId="77777777" w:rsidR="00345812" w:rsidRPr="00550A47" w:rsidRDefault="00345812" w:rsidP="00345812">
            <w:pPr>
              <w:rPr>
                <w:rFonts w:eastAsia="Arial Unicode MS" w:cs="Arial"/>
                <w:color w:val="000000"/>
                <w:szCs w:val="20"/>
              </w:rPr>
            </w:pPr>
            <w:r w:rsidRPr="00550A47">
              <w:rPr>
                <w:rFonts w:cs="Arial"/>
                <w:color w:val="000000"/>
                <w:szCs w:val="20"/>
              </w:rPr>
              <w:t>Federal Surplus Property</w:t>
            </w:r>
          </w:p>
        </w:tc>
        <w:tc>
          <w:tcPr>
            <w:tcW w:w="1732" w:type="dxa"/>
            <w:tcBorders>
              <w:top w:val="nil"/>
              <w:left w:val="nil"/>
              <w:bottom w:val="nil"/>
              <w:right w:val="nil"/>
            </w:tcBorders>
          </w:tcPr>
          <w:p w14:paraId="3093B797" w14:textId="1F653687" w:rsidR="00345812" w:rsidRPr="00550A47" w:rsidRDefault="00345812" w:rsidP="00345812">
            <w:pPr>
              <w:jc w:val="right"/>
              <w:rPr>
                <w:rFonts w:eastAsia="Arial Unicode MS" w:cs="Arial"/>
                <w:color w:val="000000"/>
                <w:szCs w:val="20"/>
              </w:rPr>
            </w:pPr>
            <w:r w:rsidRPr="00FF44C8">
              <w:rPr>
                <w:color w:val="000000" w:themeColor="text1"/>
              </w:rPr>
              <w:t>$551,932</w:t>
            </w:r>
          </w:p>
        </w:tc>
        <w:tc>
          <w:tcPr>
            <w:tcW w:w="1733" w:type="dxa"/>
            <w:tcBorders>
              <w:top w:val="nil"/>
              <w:left w:val="nil"/>
              <w:bottom w:val="nil"/>
              <w:right w:val="nil"/>
            </w:tcBorders>
          </w:tcPr>
          <w:p w14:paraId="2DF6D6AD" w14:textId="1361B420" w:rsidR="00345812" w:rsidRPr="00550A47" w:rsidRDefault="00345812" w:rsidP="00345812">
            <w:pPr>
              <w:jc w:val="right"/>
              <w:rPr>
                <w:rFonts w:cs="Arial"/>
                <w:color w:val="000000"/>
                <w:szCs w:val="20"/>
              </w:rPr>
            </w:pPr>
            <w:r>
              <w:rPr>
                <w:color w:val="000000" w:themeColor="text1"/>
              </w:rPr>
              <w:t>$</w:t>
            </w:r>
            <w:r w:rsidRPr="009A0F9A">
              <w:rPr>
                <w:color w:val="000000" w:themeColor="text1"/>
              </w:rPr>
              <w:t>490,283</w:t>
            </w:r>
          </w:p>
        </w:tc>
        <w:tc>
          <w:tcPr>
            <w:tcW w:w="1732" w:type="dxa"/>
            <w:tcBorders>
              <w:top w:val="nil"/>
              <w:left w:val="nil"/>
              <w:bottom w:val="nil"/>
              <w:right w:val="nil"/>
            </w:tcBorders>
          </w:tcPr>
          <w:p w14:paraId="719674E0" w14:textId="3C35D9A3" w:rsidR="00345812" w:rsidRDefault="00345812" w:rsidP="00345812">
            <w:pPr>
              <w:jc w:val="right"/>
              <w:rPr>
                <w:color w:val="000000" w:themeColor="text1"/>
              </w:rPr>
            </w:pPr>
            <w:r w:rsidRPr="00D5332A">
              <w:rPr>
                <w:color w:val="000000" w:themeColor="text1"/>
              </w:rPr>
              <w:t>$747,293</w:t>
            </w:r>
          </w:p>
        </w:tc>
        <w:tc>
          <w:tcPr>
            <w:tcW w:w="1733" w:type="dxa"/>
            <w:tcBorders>
              <w:top w:val="nil"/>
              <w:left w:val="nil"/>
              <w:bottom w:val="nil"/>
              <w:right w:val="single" w:sz="4" w:space="0" w:color="auto"/>
            </w:tcBorders>
          </w:tcPr>
          <w:p w14:paraId="340EA0E6" w14:textId="58E9D2F9" w:rsidR="00345812" w:rsidRPr="00FF44C8" w:rsidRDefault="00345812" w:rsidP="00345812">
            <w:pPr>
              <w:jc w:val="right"/>
              <w:rPr>
                <w:color w:val="000000" w:themeColor="text1"/>
              </w:rPr>
            </w:pPr>
          </w:p>
        </w:tc>
      </w:tr>
      <w:tr w:rsidR="00345812" w:rsidRPr="00550A47" w14:paraId="355C0FED" w14:textId="77777777" w:rsidTr="00D52C88">
        <w:tc>
          <w:tcPr>
            <w:tcW w:w="3150" w:type="dxa"/>
            <w:tcBorders>
              <w:top w:val="nil"/>
              <w:left w:val="single" w:sz="4" w:space="0" w:color="auto"/>
              <w:bottom w:val="single" w:sz="4" w:space="0" w:color="auto"/>
              <w:right w:val="nil"/>
            </w:tcBorders>
            <w:vAlign w:val="bottom"/>
          </w:tcPr>
          <w:p w14:paraId="0AF41821" w14:textId="77777777" w:rsidR="00345812" w:rsidRPr="00550A47" w:rsidRDefault="00345812" w:rsidP="00345812">
            <w:pPr>
              <w:rPr>
                <w:rFonts w:eastAsia="Arial Unicode MS" w:cs="Arial"/>
                <w:color w:val="000000"/>
                <w:szCs w:val="20"/>
              </w:rPr>
            </w:pPr>
            <w:r w:rsidRPr="00550A47">
              <w:rPr>
                <w:rFonts w:cs="Arial"/>
                <w:color w:val="000000"/>
                <w:szCs w:val="20"/>
              </w:rPr>
              <w:t>Group Insurance</w:t>
            </w:r>
          </w:p>
        </w:tc>
        <w:tc>
          <w:tcPr>
            <w:tcW w:w="1732" w:type="dxa"/>
            <w:tcBorders>
              <w:top w:val="nil"/>
              <w:left w:val="nil"/>
              <w:bottom w:val="single" w:sz="4" w:space="0" w:color="auto"/>
              <w:right w:val="nil"/>
            </w:tcBorders>
          </w:tcPr>
          <w:p w14:paraId="514E596B" w14:textId="08E997D6" w:rsidR="00345812" w:rsidRPr="00550A47" w:rsidRDefault="00345812" w:rsidP="00345812">
            <w:pPr>
              <w:jc w:val="right"/>
              <w:rPr>
                <w:rFonts w:eastAsia="Arial Unicode MS" w:cs="Arial"/>
                <w:color w:val="000000"/>
                <w:szCs w:val="20"/>
              </w:rPr>
            </w:pPr>
            <w:r w:rsidRPr="00FF44C8">
              <w:rPr>
                <w:color w:val="000000" w:themeColor="text1"/>
              </w:rPr>
              <w:t>$292,323,371</w:t>
            </w:r>
          </w:p>
        </w:tc>
        <w:tc>
          <w:tcPr>
            <w:tcW w:w="1733" w:type="dxa"/>
            <w:tcBorders>
              <w:top w:val="nil"/>
              <w:left w:val="nil"/>
              <w:bottom w:val="single" w:sz="4" w:space="0" w:color="auto"/>
              <w:right w:val="nil"/>
            </w:tcBorders>
          </w:tcPr>
          <w:p w14:paraId="45C936E3" w14:textId="2647E068" w:rsidR="00345812" w:rsidRPr="00550A47" w:rsidRDefault="00345812" w:rsidP="00345812">
            <w:pPr>
              <w:jc w:val="right"/>
              <w:rPr>
                <w:rFonts w:cs="Arial"/>
                <w:color w:val="000000"/>
                <w:szCs w:val="20"/>
              </w:rPr>
            </w:pPr>
            <w:r>
              <w:rPr>
                <w:color w:val="000000" w:themeColor="text1"/>
              </w:rPr>
              <w:t>$</w:t>
            </w:r>
            <w:r w:rsidRPr="009A0F9A">
              <w:rPr>
                <w:color w:val="000000" w:themeColor="text1"/>
              </w:rPr>
              <w:t>307,203,996</w:t>
            </w:r>
          </w:p>
        </w:tc>
        <w:tc>
          <w:tcPr>
            <w:tcW w:w="1732" w:type="dxa"/>
            <w:tcBorders>
              <w:top w:val="nil"/>
              <w:left w:val="nil"/>
              <w:bottom w:val="single" w:sz="4" w:space="0" w:color="auto"/>
              <w:right w:val="nil"/>
            </w:tcBorders>
          </w:tcPr>
          <w:p w14:paraId="534B7436" w14:textId="78EB24F8" w:rsidR="00345812" w:rsidRDefault="00345812" w:rsidP="00345812">
            <w:pPr>
              <w:jc w:val="right"/>
              <w:rPr>
                <w:color w:val="000000" w:themeColor="text1"/>
              </w:rPr>
            </w:pPr>
            <w:r w:rsidRPr="00343B69">
              <w:t>$317,012,271</w:t>
            </w:r>
          </w:p>
        </w:tc>
        <w:tc>
          <w:tcPr>
            <w:tcW w:w="1733" w:type="dxa"/>
            <w:tcBorders>
              <w:top w:val="nil"/>
              <w:left w:val="nil"/>
              <w:bottom w:val="single" w:sz="4" w:space="0" w:color="auto"/>
              <w:right w:val="single" w:sz="4" w:space="0" w:color="auto"/>
            </w:tcBorders>
          </w:tcPr>
          <w:p w14:paraId="10B61BFA" w14:textId="1D4F8263" w:rsidR="00345812" w:rsidRPr="00FF44C8" w:rsidRDefault="00345812" w:rsidP="00345812">
            <w:pPr>
              <w:jc w:val="right"/>
              <w:rPr>
                <w:color w:val="000000" w:themeColor="text1"/>
              </w:rPr>
            </w:pPr>
          </w:p>
        </w:tc>
      </w:tr>
      <w:tr w:rsidR="00345812" w:rsidRPr="00550A47" w14:paraId="6352CF50" w14:textId="77777777" w:rsidTr="00345812">
        <w:tc>
          <w:tcPr>
            <w:tcW w:w="3150" w:type="dxa"/>
            <w:tcBorders>
              <w:top w:val="single" w:sz="4" w:space="0" w:color="auto"/>
            </w:tcBorders>
            <w:vAlign w:val="bottom"/>
          </w:tcPr>
          <w:p w14:paraId="27DBC33A" w14:textId="77777777" w:rsidR="00345812" w:rsidRPr="00550A47" w:rsidRDefault="00345812" w:rsidP="00345812">
            <w:pPr>
              <w:rPr>
                <w:rFonts w:eastAsia="Arial Unicode MS" w:cs="Arial"/>
                <w:color w:val="000000"/>
                <w:szCs w:val="20"/>
              </w:rPr>
            </w:pPr>
            <w:r w:rsidRPr="00550A47">
              <w:rPr>
                <w:rFonts w:cs="Arial"/>
                <w:color w:val="000000"/>
                <w:szCs w:val="20"/>
              </w:rPr>
              <w:lastRenderedPageBreak/>
              <w:t>Risk Management</w:t>
            </w:r>
          </w:p>
        </w:tc>
        <w:tc>
          <w:tcPr>
            <w:tcW w:w="1732" w:type="dxa"/>
            <w:tcBorders>
              <w:top w:val="single" w:sz="4" w:space="0" w:color="auto"/>
              <w:left w:val="nil"/>
              <w:bottom w:val="nil"/>
              <w:right w:val="nil"/>
            </w:tcBorders>
          </w:tcPr>
          <w:p w14:paraId="34DD5087" w14:textId="33938DC9" w:rsidR="00345812" w:rsidRPr="00550A47" w:rsidRDefault="00345812" w:rsidP="00345812">
            <w:pPr>
              <w:jc w:val="right"/>
              <w:rPr>
                <w:rFonts w:eastAsia="Arial Unicode MS" w:cs="Arial"/>
                <w:color w:val="000000"/>
                <w:szCs w:val="20"/>
              </w:rPr>
            </w:pPr>
            <w:r w:rsidRPr="00FF44C8">
              <w:rPr>
                <w:color w:val="000000" w:themeColor="text1"/>
              </w:rPr>
              <w:t>$10,316,888</w:t>
            </w:r>
          </w:p>
        </w:tc>
        <w:tc>
          <w:tcPr>
            <w:tcW w:w="1733" w:type="dxa"/>
            <w:tcBorders>
              <w:top w:val="single" w:sz="4" w:space="0" w:color="auto"/>
              <w:left w:val="nil"/>
              <w:bottom w:val="nil"/>
              <w:right w:val="nil"/>
            </w:tcBorders>
          </w:tcPr>
          <w:p w14:paraId="29671752" w14:textId="3EB326B2" w:rsidR="00345812" w:rsidRPr="00550A47" w:rsidRDefault="00345812" w:rsidP="00345812">
            <w:pPr>
              <w:jc w:val="right"/>
              <w:rPr>
                <w:rFonts w:cs="Arial"/>
                <w:color w:val="000000"/>
                <w:szCs w:val="20"/>
              </w:rPr>
            </w:pPr>
            <w:r>
              <w:rPr>
                <w:color w:val="000000" w:themeColor="text1"/>
              </w:rPr>
              <w:t>$</w:t>
            </w:r>
            <w:r w:rsidRPr="009A0F9A">
              <w:rPr>
                <w:color w:val="000000" w:themeColor="text1"/>
              </w:rPr>
              <w:t>13,600,277</w:t>
            </w:r>
          </w:p>
        </w:tc>
        <w:tc>
          <w:tcPr>
            <w:tcW w:w="1732" w:type="dxa"/>
            <w:tcBorders>
              <w:top w:val="single" w:sz="4" w:space="0" w:color="auto"/>
              <w:left w:val="nil"/>
              <w:bottom w:val="nil"/>
              <w:right w:val="nil"/>
            </w:tcBorders>
          </w:tcPr>
          <w:p w14:paraId="72F67B2E" w14:textId="79E049DC" w:rsidR="00345812" w:rsidRDefault="00345812" w:rsidP="00345812">
            <w:pPr>
              <w:jc w:val="right"/>
              <w:rPr>
                <w:color w:val="000000" w:themeColor="text1"/>
              </w:rPr>
            </w:pPr>
            <w:r w:rsidRPr="00343B69">
              <w:t>13,716,132</w:t>
            </w:r>
          </w:p>
        </w:tc>
        <w:tc>
          <w:tcPr>
            <w:tcW w:w="1733" w:type="dxa"/>
            <w:tcBorders>
              <w:top w:val="single" w:sz="4" w:space="0" w:color="auto"/>
              <w:left w:val="nil"/>
              <w:bottom w:val="nil"/>
              <w:right w:val="single" w:sz="4" w:space="0" w:color="auto"/>
            </w:tcBorders>
          </w:tcPr>
          <w:p w14:paraId="74E07E1B" w14:textId="7DA03711" w:rsidR="00345812" w:rsidRPr="00FF44C8" w:rsidRDefault="00345812" w:rsidP="00345812">
            <w:pPr>
              <w:jc w:val="right"/>
              <w:rPr>
                <w:color w:val="000000" w:themeColor="text1"/>
              </w:rPr>
            </w:pPr>
          </w:p>
        </w:tc>
      </w:tr>
      <w:tr w:rsidR="00345812" w:rsidRPr="00550A47" w14:paraId="292ED84B" w14:textId="77777777" w:rsidTr="00345812">
        <w:tc>
          <w:tcPr>
            <w:tcW w:w="3150" w:type="dxa"/>
            <w:vAlign w:val="bottom"/>
          </w:tcPr>
          <w:p w14:paraId="7AE8137D" w14:textId="77777777" w:rsidR="00345812" w:rsidRPr="00550A47" w:rsidRDefault="00345812" w:rsidP="00345812">
            <w:pPr>
              <w:rPr>
                <w:rFonts w:eastAsia="Arial Unicode MS" w:cs="Arial"/>
                <w:color w:val="000000"/>
                <w:szCs w:val="20"/>
              </w:rPr>
            </w:pPr>
            <w:r w:rsidRPr="00550A47">
              <w:rPr>
                <w:rFonts w:cs="Arial"/>
                <w:color w:val="000000"/>
                <w:szCs w:val="20"/>
              </w:rPr>
              <w:t>Administrative Code Fund</w:t>
            </w:r>
          </w:p>
        </w:tc>
        <w:tc>
          <w:tcPr>
            <w:tcW w:w="1732" w:type="dxa"/>
            <w:tcBorders>
              <w:top w:val="nil"/>
              <w:left w:val="nil"/>
              <w:bottom w:val="nil"/>
              <w:right w:val="nil"/>
            </w:tcBorders>
          </w:tcPr>
          <w:p w14:paraId="3440A40A" w14:textId="2C7E7CE7" w:rsidR="00345812" w:rsidRPr="00550A47" w:rsidRDefault="00345812" w:rsidP="00345812">
            <w:pPr>
              <w:jc w:val="right"/>
              <w:rPr>
                <w:rFonts w:eastAsia="Arial Unicode MS" w:cs="Arial"/>
                <w:color w:val="000000"/>
                <w:szCs w:val="20"/>
              </w:rPr>
            </w:pPr>
            <w:r w:rsidRPr="00FF44C8">
              <w:rPr>
                <w:color w:val="000000" w:themeColor="text1"/>
              </w:rPr>
              <w:t>$50,344</w:t>
            </w:r>
          </w:p>
        </w:tc>
        <w:tc>
          <w:tcPr>
            <w:tcW w:w="1733" w:type="dxa"/>
            <w:tcBorders>
              <w:top w:val="nil"/>
              <w:left w:val="nil"/>
              <w:bottom w:val="nil"/>
              <w:right w:val="nil"/>
            </w:tcBorders>
          </w:tcPr>
          <w:p w14:paraId="2EE1D067" w14:textId="0B8A66B0" w:rsidR="00345812" w:rsidRPr="00550A47" w:rsidRDefault="00345812" w:rsidP="00345812">
            <w:pPr>
              <w:jc w:val="right"/>
              <w:rPr>
                <w:rFonts w:eastAsia="Arial Unicode MS" w:cs="Arial"/>
                <w:color w:val="000000"/>
                <w:szCs w:val="20"/>
              </w:rPr>
            </w:pPr>
            <w:r>
              <w:rPr>
                <w:color w:val="000000" w:themeColor="text1"/>
              </w:rPr>
              <w:t>$</w:t>
            </w:r>
            <w:r w:rsidRPr="009A0F9A">
              <w:rPr>
                <w:color w:val="000000" w:themeColor="text1"/>
              </w:rPr>
              <w:t>706</w:t>
            </w:r>
          </w:p>
        </w:tc>
        <w:tc>
          <w:tcPr>
            <w:tcW w:w="1732" w:type="dxa"/>
            <w:tcBorders>
              <w:top w:val="nil"/>
              <w:left w:val="nil"/>
              <w:bottom w:val="nil"/>
              <w:right w:val="nil"/>
            </w:tcBorders>
          </w:tcPr>
          <w:p w14:paraId="2804BECF" w14:textId="57922D53" w:rsidR="00345812" w:rsidRDefault="00345812" w:rsidP="00345812">
            <w:pPr>
              <w:jc w:val="right"/>
              <w:rPr>
                <w:color w:val="000000" w:themeColor="text1"/>
              </w:rPr>
            </w:pPr>
            <w:r w:rsidRPr="00343B69">
              <w:t>$0</w:t>
            </w:r>
          </w:p>
        </w:tc>
        <w:tc>
          <w:tcPr>
            <w:tcW w:w="1733" w:type="dxa"/>
            <w:tcBorders>
              <w:top w:val="nil"/>
              <w:left w:val="nil"/>
              <w:bottom w:val="nil"/>
              <w:right w:val="single" w:sz="4" w:space="0" w:color="auto"/>
            </w:tcBorders>
          </w:tcPr>
          <w:p w14:paraId="5918D84D" w14:textId="0B379D02" w:rsidR="00345812" w:rsidRPr="00FF44C8" w:rsidRDefault="00345812" w:rsidP="00345812">
            <w:pPr>
              <w:jc w:val="right"/>
              <w:rPr>
                <w:color w:val="000000" w:themeColor="text1"/>
              </w:rPr>
            </w:pPr>
          </w:p>
        </w:tc>
      </w:tr>
      <w:tr w:rsidR="00345812" w:rsidRPr="00550A47" w14:paraId="1E40384D" w14:textId="77777777" w:rsidTr="00345812">
        <w:tc>
          <w:tcPr>
            <w:tcW w:w="3150" w:type="dxa"/>
            <w:vAlign w:val="bottom"/>
          </w:tcPr>
          <w:p w14:paraId="052C7251" w14:textId="77777777" w:rsidR="00345812" w:rsidRPr="00550A47" w:rsidRDefault="00345812" w:rsidP="00345812">
            <w:pPr>
              <w:rPr>
                <w:rFonts w:cs="Arial"/>
                <w:color w:val="000000"/>
                <w:szCs w:val="20"/>
              </w:rPr>
            </w:pPr>
            <w:r w:rsidRPr="00550A47">
              <w:rPr>
                <w:rFonts w:cs="Arial"/>
                <w:color w:val="000000"/>
                <w:szCs w:val="20"/>
              </w:rPr>
              <w:t>Capitol Income &amp; Reserve Fund</w:t>
            </w:r>
          </w:p>
        </w:tc>
        <w:tc>
          <w:tcPr>
            <w:tcW w:w="1732" w:type="dxa"/>
            <w:tcBorders>
              <w:top w:val="nil"/>
              <w:left w:val="nil"/>
              <w:bottom w:val="nil"/>
              <w:right w:val="nil"/>
            </w:tcBorders>
          </w:tcPr>
          <w:p w14:paraId="152A4254" w14:textId="1DE1BC9F" w:rsidR="00345812" w:rsidRPr="00550A47" w:rsidRDefault="00345812" w:rsidP="00345812">
            <w:pPr>
              <w:jc w:val="right"/>
              <w:rPr>
                <w:rFonts w:eastAsia="Arial Unicode MS" w:cs="Arial"/>
                <w:color w:val="000000"/>
                <w:szCs w:val="20"/>
              </w:rPr>
            </w:pPr>
            <w:r w:rsidRPr="00FF44C8">
              <w:rPr>
                <w:color w:val="000000" w:themeColor="text1"/>
              </w:rPr>
              <w:t>$506,476</w:t>
            </w:r>
          </w:p>
        </w:tc>
        <w:tc>
          <w:tcPr>
            <w:tcW w:w="1733" w:type="dxa"/>
            <w:tcBorders>
              <w:top w:val="nil"/>
              <w:left w:val="nil"/>
              <w:bottom w:val="nil"/>
              <w:right w:val="nil"/>
            </w:tcBorders>
          </w:tcPr>
          <w:p w14:paraId="113F4D23" w14:textId="780DCFB6" w:rsidR="00345812" w:rsidRPr="00550A47" w:rsidRDefault="00345812" w:rsidP="00345812">
            <w:pPr>
              <w:jc w:val="right"/>
              <w:rPr>
                <w:rFonts w:eastAsia="Arial Unicode MS" w:cs="Arial"/>
                <w:color w:val="000000"/>
                <w:szCs w:val="20"/>
              </w:rPr>
            </w:pPr>
            <w:r>
              <w:rPr>
                <w:color w:val="000000" w:themeColor="text1"/>
              </w:rPr>
              <w:t>$</w:t>
            </w:r>
            <w:r w:rsidRPr="009A0F9A">
              <w:rPr>
                <w:color w:val="000000" w:themeColor="text1"/>
              </w:rPr>
              <w:t>623,032</w:t>
            </w:r>
          </w:p>
        </w:tc>
        <w:tc>
          <w:tcPr>
            <w:tcW w:w="1732" w:type="dxa"/>
            <w:tcBorders>
              <w:top w:val="nil"/>
              <w:left w:val="nil"/>
              <w:bottom w:val="nil"/>
              <w:right w:val="nil"/>
            </w:tcBorders>
          </w:tcPr>
          <w:p w14:paraId="447EE92B" w14:textId="44E682E9" w:rsidR="00345812" w:rsidRDefault="00345812" w:rsidP="00345812">
            <w:pPr>
              <w:jc w:val="right"/>
              <w:rPr>
                <w:color w:val="000000" w:themeColor="text1"/>
              </w:rPr>
            </w:pPr>
            <w:r w:rsidRPr="00343B69">
              <w:t>$2,703,940</w:t>
            </w:r>
          </w:p>
        </w:tc>
        <w:tc>
          <w:tcPr>
            <w:tcW w:w="1733" w:type="dxa"/>
            <w:tcBorders>
              <w:top w:val="nil"/>
              <w:left w:val="nil"/>
              <w:bottom w:val="nil"/>
              <w:right w:val="single" w:sz="4" w:space="0" w:color="auto"/>
            </w:tcBorders>
          </w:tcPr>
          <w:p w14:paraId="53C3EBF7" w14:textId="646FEE4B" w:rsidR="00345812" w:rsidRPr="00FF44C8" w:rsidRDefault="00345812" w:rsidP="00345812">
            <w:pPr>
              <w:jc w:val="right"/>
              <w:rPr>
                <w:color w:val="000000" w:themeColor="text1"/>
              </w:rPr>
            </w:pPr>
          </w:p>
        </w:tc>
      </w:tr>
      <w:tr w:rsidR="00345812" w:rsidRPr="00550A47" w14:paraId="3BB2B0DF" w14:textId="77777777" w:rsidTr="00345812">
        <w:tc>
          <w:tcPr>
            <w:tcW w:w="3150" w:type="dxa"/>
            <w:tcBorders>
              <w:bottom w:val="nil"/>
            </w:tcBorders>
            <w:vAlign w:val="bottom"/>
          </w:tcPr>
          <w:p w14:paraId="20BCA616" w14:textId="77777777" w:rsidR="00345812" w:rsidRPr="00550A47" w:rsidRDefault="00345812" w:rsidP="00345812">
            <w:pPr>
              <w:rPr>
                <w:rFonts w:eastAsia="Arial Unicode MS" w:cs="Arial"/>
                <w:color w:val="000000"/>
                <w:szCs w:val="20"/>
              </w:rPr>
            </w:pPr>
            <w:r w:rsidRPr="00550A47">
              <w:rPr>
                <w:rFonts w:eastAsia="Arial Unicode MS" w:cs="Arial"/>
                <w:color w:val="000000"/>
                <w:szCs w:val="20"/>
              </w:rPr>
              <w:t>Special Indemnity Fund</w:t>
            </w:r>
          </w:p>
        </w:tc>
        <w:tc>
          <w:tcPr>
            <w:tcW w:w="1732" w:type="dxa"/>
            <w:tcBorders>
              <w:top w:val="nil"/>
              <w:left w:val="nil"/>
              <w:bottom w:val="nil"/>
              <w:right w:val="nil"/>
            </w:tcBorders>
          </w:tcPr>
          <w:p w14:paraId="003C51BE" w14:textId="5A38FFFB" w:rsidR="00345812" w:rsidRPr="00550A47" w:rsidRDefault="00345812" w:rsidP="00345812">
            <w:pPr>
              <w:jc w:val="right"/>
              <w:rPr>
                <w:rFonts w:eastAsia="Arial Unicode MS" w:cs="Arial"/>
                <w:color w:val="000000"/>
                <w:szCs w:val="20"/>
                <w:u w:val="single"/>
              </w:rPr>
            </w:pPr>
            <w:r w:rsidRPr="00FF44C8">
              <w:rPr>
                <w:color w:val="000000" w:themeColor="text1"/>
                <w:u w:val="single"/>
              </w:rPr>
              <w:t>$2,627,148</w:t>
            </w:r>
          </w:p>
        </w:tc>
        <w:tc>
          <w:tcPr>
            <w:tcW w:w="1733" w:type="dxa"/>
            <w:tcBorders>
              <w:top w:val="nil"/>
              <w:left w:val="nil"/>
              <w:bottom w:val="nil"/>
              <w:right w:val="nil"/>
            </w:tcBorders>
          </w:tcPr>
          <w:p w14:paraId="25189EE5" w14:textId="57C12A22" w:rsidR="00345812" w:rsidRPr="00550A47" w:rsidRDefault="00345812" w:rsidP="00345812">
            <w:pPr>
              <w:jc w:val="right"/>
              <w:rPr>
                <w:rFonts w:eastAsia="Arial Unicode MS" w:cs="Arial"/>
                <w:color w:val="000000"/>
                <w:szCs w:val="20"/>
                <w:u w:val="single"/>
              </w:rPr>
            </w:pPr>
            <w:r w:rsidRPr="00807232">
              <w:rPr>
                <w:color w:val="000000" w:themeColor="text1"/>
                <w:u w:val="single"/>
              </w:rPr>
              <w:t>$5,408,760</w:t>
            </w:r>
          </w:p>
        </w:tc>
        <w:tc>
          <w:tcPr>
            <w:tcW w:w="1732" w:type="dxa"/>
            <w:tcBorders>
              <w:top w:val="nil"/>
              <w:left w:val="nil"/>
              <w:bottom w:val="nil"/>
              <w:right w:val="nil"/>
            </w:tcBorders>
          </w:tcPr>
          <w:p w14:paraId="3C948BDD" w14:textId="287A2E0C" w:rsidR="00345812" w:rsidRPr="00807232" w:rsidRDefault="00345812" w:rsidP="00345812">
            <w:pPr>
              <w:jc w:val="right"/>
              <w:rPr>
                <w:color w:val="000000" w:themeColor="text1"/>
                <w:u w:val="single"/>
              </w:rPr>
            </w:pPr>
            <w:r w:rsidRPr="00807232">
              <w:rPr>
                <w:u w:val="single"/>
              </w:rPr>
              <w:t>$5,162,295</w:t>
            </w:r>
          </w:p>
        </w:tc>
        <w:tc>
          <w:tcPr>
            <w:tcW w:w="1733" w:type="dxa"/>
            <w:tcBorders>
              <w:top w:val="nil"/>
              <w:left w:val="nil"/>
              <w:bottom w:val="nil"/>
              <w:right w:val="single" w:sz="4" w:space="0" w:color="auto"/>
            </w:tcBorders>
          </w:tcPr>
          <w:p w14:paraId="29C668E4" w14:textId="56936CF6" w:rsidR="00345812" w:rsidRPr="00807232" w:rsidRDefault="00345812" w:rsidP="00345812">
            <w:pPr>
              <w:jc w:val="right"/>
              <w:rPr>
                <w:color w:val="000000" w:themeColor="text1"/>
                <w:u w:val="single"/>
              </w:rPr>
            </w:pPr>
          </w:p>
        </w:tc>
      </w:tr>
      <w:tr w:rsidR="00345812" w:rsidRPr="00550A47" w14:paraId="6E9EE588" w14:textId="77777777" w:rsidTr="00345812">
        <w:tc>
          <w:tcPr>
            <w:tcW w:w="3150" w:type="dxa"/>
            <w:tcBorders>
              <w:top w:val="nil"/>
              <w:bottom w:val="single" w:sz="4" w:space="0" w:color="auto"/>
            </w:tcBorders>
          </w:tcPr>
          <w:p w14:paraId="51381DC6" w14:textId="77777777" w:rsidR="00345812" w:rsidRPr="00550A47" w:rsidRDefault="00345812" w:rsidP="00345812">
            <w:pPr>
              <w:ind w:left="240"/>
              <w:jc w:val="right"/>
              <w:rPr>
                <w:rFonts w:cs="Arial"/>
                <w:b/>
                <w:bCs/>
                <w:szCs w:val="20"/>
              </w:rPr>
            </w:pPr>
            <w:r w:rsidRPr="00550A47">
              <w:rPr>
                <w:rFonts w:cs="Arial"/>
                <w:b/>
                <w:bCs/>
                <w:szCs w:val="20"/>
              </w:rPr>
              <w:t>Total</w:t>
            </w:r>
          </w:p>
        </w:tc>
        <w:tc>
          <w:tcPr>
            <w:tcW w:w="1732" w:type="dxa"/>
            <w:tcBorders>
              <w:top w:val="nil"/>
              <w:left w:val="nil"/>
              <w:bottom w:val="single" w:sz="4" w:space="0" w:color="auto"/>
              <w:right w:val="nil"/>
            </w:tcBorders>
          </w:tcPr>
          <w:p w14:paraId="70DB08B2" w14:textId="72455813" w:rsidR="00345812" w:rsidRPr="00550A47" w:rsidRDefault="00345812" w:rsidP="00345812">
            <w:pPr>
              <w:jc w:val="right"/>
              <w:rPr>
                <w:rFonts w:eastAsia="Arial Unicode MS" w:cs="Arial"/>
                <w:b/>
                <w:bCs/>
                <w:szCs w:val="20"/>
              </w:rPr>
            </w:pPr>
            <w:r>
              <w:rPr>
                <w:b/>
                <w:bCs/>
              </w:rPr>
              <w:t>$473,922,086</w:t>
            </w:r>
          </w:p>
        </w:tc>
        <w:tc>
          <w:tcPr>
            <w:tcW w:w="1733" w:type="dxa"/>
            <w:tcBorders>
              <w:top w:val="nil"/>
              <w:left w:val="nil"/>
              <w:bottom w:val="nil"/>
              <w:right w:val="nil"/>
            </w:tcBorders>
          </w:tcPr>
          <w:p w14:paraId="1DE997B7" w14:textId="6950C94F" w:rsidR="00345812" w:rsidRPr="00550A47" w:rsidRDefault="00345812" w:rsidP="00345812">
            <w:pPr>
              <w:jc w:val="right"/>
              <w:rPr>
                <w:rFonts w:cs="Arial"/>
                <w:b/>
                <w:bCs/>
                <w:color w:val="000000"/>
                <w:szCs w:val="20"/>
              </w:rPr>
            </w:pPr>
            <w:r w:rsidRPr="009A0F9A">
              <w:rPr>
                <w:b/>
                <w:bCs/>
                <w:color w:val="000000" w:themeColor="text1"/>
              </w:rPr>
              <w:t>$528,632,100</w:t>
            </w:r>
          </w:p>
        </w:tc>
        <w:tc>
          <w:tcPr>
            <w:tcW w:w="1732" w:type="dxa"/>
            <w:tcBorders>
              <w:top w:val="nil"/>
              <w:left w:val="nil"/>
              <w:bottom w:val="nil"/>
              <w:right w:val="nil"/>
            </w:tcBorders>
          </w:tcPr>
          <w:p w14:paraId="256E157C" w14:textId="5B47D801" w:rsidR="00345812" w:rsidRDefault="00345812" w:rsidP="00345812">
            <w:pPr>
              <w:jc w:val="right"/>
              <w:rPr>
                <w:b/>
                <w:bCs/>
                <w:color w:val="000000" w:themeColor="text1"/>
              </w:rPr>
            </w:pPr>
            <w:r w:rsidRPr="00D5332A">
              <w:rPr>
                <w:b/>
                <w:bCs/>
              </w:rPr>
              <w:t>$557,706,687</w:t>
            </w:r>
          </w:p>
        </w:tc>
        <w:tc>
          <w:tcPr>
            <w:tcW w:w="1733" w:type="dxa"/>
            <w:tcBorders>
              <w:top w:val="nil"/>
              <w:left w:val="nil"/>
              <w:bottom w:val="nil"/>
              <w:right w:val="single" w:sz="4" w:space="0" w:color="auto"/>
            </w:tcBorders>
          </w:tcPr>
          <w:p w14:paraId="0B3AECE6" w14:textId="2039B095" w:rsidR="00345812" w:rsidRPr="00D5332A" w:rsidRDefault="00345812" w:rsidP="00345812">
            <w:pPr>
              <w:jc w:val="right"/>
              <w:rPr>
                <w:b/>
                <w:bCs/>
                <w:color w:val="000000" w:themeColor="text1"/>
              </w:rPr>
            </w:pPr>
          </w:p>
        </w:tc>
      </w:tr>
      <w:tr w:rsidR="00345812" w:rsidRPr="00550A47" w14:paraId="6BD8C3AC" w14:textId="77777777" w:rsidTr="00345812">
        <w:tc>
          <w:tcPr>
            <w:tcW w:w="3150" w:type="dxa"/>
            <w:tcBorders>
              <w:top w:val="single" w:sz="4" w:space="0" w:color="auto"/>
            </w:tcBorders>
            <w:shd w:val="clear" w:color="auto" w:fill="000080"/>
          </w:tcPr>
          <w:p w14:paraId="60D8722A" w14:textId="77777777" w:rsidR="00345812" w:rsidRPr="00550A47" w:rsidRDefault="00345812" w:rsidP="00345812">
            <w:pPr>
              <w:jc w:val="both"/>
              <w:rPr>
                <w:rFonts w:cs="Arial"/>
                <w:b/>
                <w:bCs/>
                <w:color w:val="FFFFFF"/>
                <w:szCs w:val="20"/>
              </w:rPr>
            </w:pPr>
            <w:r>
              <w:br w:type="page"/>
            </w:r>
            <w:r w:rsidRPr="00550A47">
              <w:rPr>
                <w:rFonts w:cs="Arial"/>
                <w:b/>
                <w:bCs/>
                <w:color w:val="FFFFFF"/>
                <w:szCs w:val="20"/>
              </w:rPr>
              <w:t>Expenditures</w:t>
            </w:r>
          </w:p>
        </w:tc>
        <w:tc>
          <w:tcPr>
            <w:tcW w:w="1732" w:type="dxa"/>
            <w:tcBorders>
              <w:top w:val="single" w:sz="4" w:space="0" w:color="auto"/>
            </w:tcBorders>
            <w:shd w:val="clear" w:color="auto" w:fill="000080"/>
          </w:tcPr>
          <w:p w14:paraId="6AA0947D" w14:textId="484D5C34" w:rsidR="00345812" w:rsidRPr="00550A47" w:rsidRDefault="00345812" w:rsidP="00345812">
            <w:pPr>
              <w:jc w:val="right"/>
              <w:rPr>
                <w:rFonts w:cs="Arial"/>
                <w:b/>
                <w:bCs/>
                <w:color w:val="FFFFFF"/>
                <w:szCs w:val="20"/>
              </w:rPr>
            </w:pPr>
            <w:r>
              <w:rPr>
                <w:rFonts w:cs="Arial"/>
                <w:b/>
                <w:bCs/>
                <w:color w:val="FFFFFF"/>
                <w:szCs w:val="20"/>
              </w:rPr>
              <w:t>FY 2019</w:t>
            </w:r>
          </w:p>
        </w:tc>
        <w:tc>
          <w:tcPr>
            <w:tcW w:w="1733" w:type="dxa"/>
            <w:tcBorders>
              <w:top w:val="single" w:sz="4" w:space="0" w:color="auto"/>
              <w:bottom w:val="nil"/>
              <w:right w:val="single" w:sz="4" w:space="0" w:color="auto"/>
            </w:tcBorders>
            <w:shd w:val="clear" w:color="auto" w:fill="000080"/>
          </w:tcPr>
          <w:p w14:paraId="2D6D7A72" w14:textId="57999ED1" w:rsidR="00345812" w:rsidRPr="00550A47" w:rsidRDefault="00345812" w:rsidP="00345812">
            <w:pPr>
              <w:jc w:val="right"/>
              <w:rPr>
                <w:rFonts w:cs="Arial"/>
                <w:b/>
                <w:bCs/>
                <w:color w:val="FFFFFF"/>
                <w:szCs w:val="20"/>
              </w:rPr>
            </w:pPr>
            <w:r>
              <w:rPr>
                <w:rFonts w:cs="Arial"/>
                <w:b/>
                <w:bCs/>
                <w:color w:val="FFFFFF"/>
                <w:szCs w:val="20"/>
              </w:rPr>
              <w:t>FY 2020</w:t>
            </w:r>
          </w:p>
        </w:tc>
        <w:tc>
          <w:tcPr>
            <w:tcW w:w="1732" w:type="dxa"/>
            <w:tcBorders>
              <w:top w:val="nil"/>
              <w:left w:val="single" w:sz="4" w:space="0" w:color="auto"/>
              <w:bottom w:val="nil"/>
            </w:tcBorders>
            <w:shd w:val="clear" w:color="auto" w:fill="000080"/>
          </w:tcPr>
          <w:p w14:paraId="5BFF24A1" w14:textId="79D3A655" w:rsidR="00345812" w:rsidRPr="00550A47" w:rsidRDefault="00345812" w:rsidP="00345812">
            <w:pPr>
              <w:jc w:val="right"/>
              <w:rPr>
                <w:rFonts w:cs="Arial"/>
                <w:b/>
                <w:bCs/>
                <w:color w:val="FFFFFF"/>
                <w:szCs w:val="20"/>
              </w:rPr>
            </w:pPr>
            <w:r>
              <w:rPr>
                <w:rFonts w:cs="Arial"/>
                <w:b/>
                <w:bCs/>
                <w:color w:val="FFFFFF"/>
                <w:szCs w:val="20"/>
              </w:rPr>
              <w:t>FY 2021</w:t>
            </w:r>
          </w:p>
        </w:tc>
        <w:tc>
          <w:tcPr>
            <w:tcW w:w="1733" w:type="dxa"/>
            <w:tcBorders>
              <w:top w:val="nil"/>
              <w:bottom w:val="nil"/>
            </w:tcBorders>
            <w:shd w:val="clear" w:color="auto" w:fill="000080"/>
          </w:tcPr>
          <w:p w14:paraId="662D1DB0" w14:textId="45F4C1A8" w:rsidR="00345812" w:rsidRPr="00550A47" w:rsidRDefault="00345812" w:rsidP="00345812">
            <w:pPr>
              <w:jc w:val="right"/>
              <w:rPr>
                <w:rFonts w:cs="Arial"/>
                <w:b/>
                <w:bCs/>
                <w:color w:val="FFFFFF"/>
                <w:szCs w:val="20"/>
              </w:rPr>
            </w:pPr>
            <w:r>
              <w:rPr>
                <w:rFonts w:cs="Arial"/>
                <w:b/>
                <w:bCs/>
                <w:color w:val="FFFFFF"/>
                <w:szCs w:val="20"/>
              </w:rPr>
              <w:t>FY 2022</w:t>
            </w:r>
          </w:p>
        </w:tc>
      </w:tr>
      <w:tr w:rsidR="00345812" w:rsidRPr="00550A47" w14:paraId="5B702883" w14:textId="77777777" w:rsidTr="00345812">
        <w:tc>
          <w:tcPr>
            <w:tcW w:w="3150" w:type="dxa"/>
          </w:tcPr>
          <w:p w14:paraId="75D79C69" w14:textId="77777777" w:rsidR="00345812" w:rsidRPr="00550A47" w:rsidRDefault="00345812" w:rsidP="00345812">
            <w:pPr>
              <w:jc w:val="both"/>
              <w:rPr>
                <w:rFonts w:cs="Arial"/>
                <w:szCs w:val="20"/>
              </w:rPr>
            </w:pPr>
            <w:r w:rsidRPr="00550A47">
              <w:rPr>
                <w:rFonts w:cs="Arial"/>
                <w:szCs w:val="20"/>
              </w:rPr>
              <w:t>Personnel Costs</w:t>
            </w:r>
          </w:p>
        </w:tc>
        <w:tc>
          <w:tcPr>
            <w:tcW w:w="1732" w:type="dxa"/>
            <w:tcBorders>
              <w:top w:val="nil"/>
              <w:left w:val="nil"/>
              <w:bottom w:val="nil"/>
              <w:right w:val="nil"/>
            </w:tcBorders>
          </w:tcPr>
          <w:p w14:paraId="6B985CF5" w14:textId="5940C4E0" w:rsidR="00345812" w:rsidRPr="00550A47" w:rsidRDefault="00345812" w:rsidP="00345812">
            <w:pPr>
              <w:jc w:val="right"/>
              <w:rPr>
                <w:rFonts w:eastAsia="Arial Unicode MS" w:cs="Arial"/>
                <w:color w:val="000000"/>
                <w:szCs w:val="20"/>
              </w:rPr>
            </w:pPr>
            <w:r w:rsidRPr="00FF44C8">
              <w:t>$8,243,394</w:t>
            </w:r>
          </w:p>
        </w:tc>
        <w:tc>
          <w:tcPr>
            <w:tcW w:w="1733" w:type="dxa"/>
            <w:tcBorders>
              <w:top w:val="nil"/>
              <w:left w:val="nil"/>
              <w:bottom w:val="nil"/>
              <w:right w:val="nil"/>
            </w:tcBorders>
          </w:tcPr>
          <w:p w14:paraId="4F3303BC" w14:textId="24CDBDA3" w:rsidR="00345812" w:rsidRPr="00550A47" w:rsidRDefault="00345812" w:rsidP="00345812">
            <w:pPr>
              <w:jc w:val="right"/>
              <w:rPr>
                <w:rFonts w:cs="Arial"/>
                <w:color w:val="000000"/>
                <w:szCs w:val="20"/>
              </w:rPr>
            </w:pPr>
            <w:r>
              <w:t>$8,701,062</w:t>
            </w:r>
          </w:p>
        </w:tc>
        <w:tc>
          <w:tcPr>
            <w:tcW w:w="1732" w:type="dxa"/>
            <w:tcBorders>
              <w:top w:val="nil"/>
              <w:left w:val="nil"/>
              <w:bottom w:val="nil"/>
              <w:right w:val="nil"/>
            </w:tcBorders>
          </w:tcPr>
          <w:p w14:paraId="73233051" w14:textId="03F0DE26" w:rsidR="00345812" w:rsidRDefault="00345812" w:rsidP="00345812">
            <w:pPr>
              <w:jc w:val="right"/>
              <w:rPr>
                <w:rFonts w:ascii="Calibri" w:hAnsi="Calibri"/>
                <w:color w:val="000000" w:themeColor="text1"/>
                <w:szCs w:val="22"/>
              </w:rPr>
            </w:pPr>
            <w:r w:rsidRPr="0048496C">
              <w:t>$8,519,657</w:t>
            </w:r>
          </w:p>
        </w:tc>
        <w:tc>
          <w:tcPr>
            <w:tcW w:w="1733" w:type="dxa"/>
            <w:tcBorders>
              <w:top w:val="nil"/>
              <w:left w:val="nil"/>
              <w:bottom w:val="nil"/>
              <w:right w:val="single" w:sz="4" w:space="0" w:color="auto"/>
            </w:tcBorders>
          </w:tcPr>
          <w:p w14:paraId="28017848" w14:textId="442E2F2E" w:rsidR="00345812" w:rsidRPr="00FF44C8" w:rsidRDefault="00345812" w:rsidP="00345812">
            <w:pPr>
              <w:jc w:val="right"/>
            </w:pPr>
          </w:p>
        </w:tc>
      </w:tr>
      <w:tr w:rsidR="00345812" w:rsidRPr="00550A47" w14:paraId="2C3C3C32" w14:textId="77777777" w:rsidTr="00345812">
        <w:tc>
          <w:tcPr>
            <w:tcW w:w="3150" w:type="dxa"/>
          </w:tcPr>
          <w:p w14:paraId="78CF18EE" w14:textId="77777777" w:rsidR="00345812" w:rsidRPr="00550A47" w:rsidRDefault="00345812" w:rsidP="00345812">
            <w:pPr>
              <w:jc w:val="both"/>
              <w:rPr>
                <w:rFonts w:cs="Arial"/>
                <w:szCs w:val="20"/>
              </w:rPr>
            </w:pPr>
            <w:r w:rsidRPr="00550A47">
              <w:rPr>
                <w:rFonts w:cs="Arial"/>
                <w:szCs w:val="20"/>
              </w:rPr>
              <w:t>Operating Expenditures</w:t>
            </w:r>
          </w:p>
        </w:tc>
        <w:tc>
          <w:tcPr>
            <w:tcW w:w="1732" w:type="dxa"/>
            <w:tcBorders>
              <w:top w:val="nil"/>
              <w:left w:val="nil"/>
              <w:bottom w:val="nil"/>
              <w:right w:val="nil"/>
            </w:tcBorders>
          </w:tcPr>
          <w:p w14:paraId="3BFC5F84" w14:textId="4A8719AB" w:rsidR="00345812" w:rsidRPr="00550A47" w:rsidRDefault="00345812" w:rsidP="00345812">
            <w:pPr>
              <w:jc w:val="right"/>
              <w:rPr>
                <w:rFonts w:eastAsia="Arial Unicode MS" w:cs="Arial"/>
                <w:color w:val="000000"/>
                <w:szCs w:val="20"/>
              </w:rPr>
            </w:pPr>
            <w:r w:rsidRPr="00FF44C8">
              <w:t>$25,441,274</w:t>
            </w:r>
          </w:p>
        </w:tc>
        <w:tc>
          <w:tcPr>
            <w:tcW w:w="1733" w:type="dxa"/>
            <w:tcBorders>
              <w:top w:val="nil"/>
              <w:left w:val="nil"/>
              <w:bottom w:val="nil"/>
              <w:right w:val="nil"/>
            </w:tcBorders>
          </w:tcPr>
          <w:p w14:paraId="5BE92AEF" w14:textId="3BF08200" w:rsidR="00345812" w:rsidRPr="00550A47" w:rsidRDefault="00345812" w:rsidP="00345812">
            <w:pPr>
              <w:jc w:val="right"/>
              <w:rPr>
                <w:rFonts w:cs="Arial"/>
                <w:color w:val="000000"/>
                <w:szCs w:val="20"/>
              </w:rPr>
            </w:pPr>
            <w:r>
              <w:t>$31,280,149</w:t>
            </w:r>
          </w:p>
        </w:tc>
        <w:tc>
          <w:tcPr>
            <w:tcW w:w="1732" w:type="dxa"/>
            <w:tcBorders>
              <w:top w:val="nil"/>
              <w:left w:val="nil"/>
              <w:bottom w:val="nil"/>
              <w:right w:val="nil"/>
            </w:tcBorders>
          </w:tcPr>
          <w:p w14:paraId="1B2106D1" w14:textId="14B7FB6A" w:rsidR="00345812" w:rsidRDefault="00345812" w:rsidP="00345812">
            <w:pPr>
              <w:jc w:val="right"/>
              <w:rPr>
                <w:color w:val="000000" w:themeColor="text1"/>
              </w:rPr>
            </w:pPr>
            <w:r w:rsidRPr="0048496C">
              <w:t>$37,142,904</w:t>
            </w:r>
          </w:p>
        </w:tc>
        <w:tc>
          <w:tcPr>
            <w:tcW w:w="1733" w:type="dxa"/>
            <w:tcBorders>
              <w:top w:val="nil"/>
              <w:left w:val="nil"/>
              <w:bottom w:val="nil"/>
              <w:right w:val="single" w:sz="4" w:space="0" w:color="auto"/>
            </w:tcBorders>
          </w:tcPr>
          <w:p w14:paraId="5D0F3A4B" w14:textId="6DB1B22E" w:rsidR="00345812" w:rsidRPr="00FF44C8" w:rsidRDefault="00345812" w:rsidP="00345812">
            <w:pPr>
              <w:jc w:val="right"/>
            </w:pPr>
          </w:p>
        </w:tc>
      </w:tr>
      <w:tr w:rsidR="00345812" w:rsidRPr="00550A47" w14:paraId="592E52C8" w14:textId="77777777" w:rsidTr="00345812">
        <w:tc>
          <w:tcPr>
            <w:tcW w:w="3150" w:type="dxa"/>
          </w:tcPr>
          <w:p w14:paraId="1DDE01B0" w14:textId="77777777" w:rsidR="00345812" w:rsidRPr="00550A47" w:rsidRDefault="00345812" w:rsidP="00345812">
            <w:pPr>
              <w:jc w:val="both"/>
              <w:rPr>
                <w:rFonts w:cs="Arial"/>
                <w:szCs w:val="20"/>
              </w:rPr>
            </w:pPr>
            <w:r w:rsidRPr="00550A47">
              <w:rPr>
                <w:rFonts w:cs="Arial"/>
                <w:szCs w:val="20"/>
              </w:rPr>
              <w:t>Capital Outlay</w:t>
            </w:r>
          </w:p>
        </w:tc>
        <w:tc>
          <w:tcPr>
            <w:tcW w:w="1732" w:type="dxa"/>
            <w:tcBorders>
              <w:top w:val="nil"/>
              <w:left w:val="nil"/>
              <w:bottom w:val="nil"/>
              <w:right w:val="nil"/>
            </w:tcBorders>
          </w:tcPr>
          <w:p w14:paraId="68F38744" w14:textId="7134DAEF" w:rsidR="00345812" w:rsidRPr="00550A47" w:rsidRDefault="00345812" w:rsidP="00345812">
            <w:pPr>
              <w:jc w:val="right"/>
              <w:rPr>
                <w:rFonts w:eastAsia="Arial Unicode MS" w:cs="Arial"/>
                <w:color w:val="000000"/>
                <w:szCs w:val="20"/>
              </w:rPr>
            </w:pPr>
            <w:r>
              <w:t>$119,639,483</w:t>
            </w:r>
          </w:p>
        </w:tc>
        <w:tc>
          <w:tcPr>
            <w:tcW w:w="1733" w:type="dxa"/>
            <w:tcBorders>
              <w:top w:val="nil"/>
              <w:left w:val="nil"/>
              <w:bottom w:val="nil"/>
              <w:right w:val="nil"/>
            </w:tcBorders>
          </w:tcPr>
          <w:p w14:paraId="61991CBC" w14:textId="13C00354" w:rsidR="00345812" w:rsidRPr="00550A47" w:rsidRDefault="00345812" w:rsidP="00345812">
            <w:pPr>
              <w:jc w:val="right"/>
              <w:rPr>
                <w:rFonts w:cs="Arial"/>
                <w:color w:val="000000"/>
                <w:szCs w:val="20"/>
              </w:rPr>
            </w:pPr>
            <w:r>
              <w:t>$142,228,313</w:t>
            </w:r>
          </w:p>
        </w:tc>
        <w:tc>
          <w:tcPr>
            <w:tcW w:w="1732" w:type="dxa"/>
            <w:tcBorders>
              <w:top w:val="nil"/>
              <w:left w:val="nil"/>
              <w:bottom w:val="nil"/>
              <w:right w:val="nil"/>
            </w:tcBorders>
          </w:tcPr>
          <w:p w14:paraId="49F03AC1" w14:textId="484C74C6" w:rsidR="00345812" w:rsidRDefault="00345812" w:rsidP="00345812">
            <w:pPr>
              <w:jc w:val="right"/>
              <w:rPr>
                <w:color w:val="000000" w:themeColor="text1"/>
              </w:rPr>
            </w:pPr>
            <w:r w:rsidRPr="0048496C">
              <w:t>$116,443,230</w:t>
            </w:r>
          </w:p>
        </w:tc>
        <w:tc>
          <w:tcPr>
            <w:tcW w:w="1733" w:type="dxa"/>
            <w:tcBorders>
              <w:top w:val="nil"/>
              <w:left w:val="nil"/>
              <w:bottom w:val="nil"/>
              <w:right w:val="single" w:sz="4" w:space="0" w:color="auto"/>
            </w:tcBorders>
          </w:tcPr>
          <w:p w14:paraId="200ACB84" w14:textId="5E9D2E42" w:rsidR="00345812" w:rsidRPr="009A0F9A" w:rsidRDefault="00345812" w:rsidP="00345812">
            <w:pPr>
              <w:jc w:val="right"/>
            </w:pPr>
          </w:p>
        </w:tc>
      </w:tr>
      <w:tr w:rsidR="00345812" w:rsidRPr="00550A47" w14:paraId="354E0F30" w14:textId="77777777" w:rsidTr="00345812">
        <w:tc>
          <w:tcPr>
            <w:tcW w:w="3150" w:type="dxa"/>
          </w:tcPr>
          <w:p w14:paraId="612A959A" w14:textId="77777777" w:rsidR="00345812" w:rsidRPr="00550A47" w:rsidRDefault="00345812" w:rsidP="00345812">
            <w:pPr>
              <w:jc w:val="both"/>
              <w:rPr>
                <w:rFonts w:cs="Arial"/>
                <w:szCs w:val="20"/>
              </w:rPr>
            </w:pPr>
            <w:r w:rsidRPr="00550A47">
              <w:rPr>
                <w:rFonts w:cs="Arial"/>
                <w:szCs w:val="20"/>
              </w:rPr>
              <w:t>Trustee/Benefit Payments</w:t>
            </w:r>
          </w:p>
        </w:tc>
        <w:tc>
          <w:tcPr>
            <w:tcW w:w="1732" w:type="dxa"/>
            <w:tcBorders>
              <w:top w:val="nil"/>
              <w:left w:val="nil"/>
              <w:bottom w:val="nil"/>
              <w:right w:val="nil"/>
            </w:tcBorders>
          </w:tcPr>
          <w:p w14:paraId="39BA11B5" w14:textId="38289FCE" w:rsidR="00345812" w:rsidRPr="00550A47" w:rsidRDefault="00345812" w:rsidP="00345812">
            <w:pPr>
              <w:jc w:val="right"/>
              <w:rPr>
                <w:rFonts w:eastAsia="Arial Unicode MS" w:cs="Arial"/>
                <w:color w:val="000000"/>
                <w:szCs w:val="20"/>
                <w:u w:val="single"/>
              </w:rPr>
            </w:pPr>
            <w:r w:rsidRPr="00F30CF4">
              <w:rPr>
                <w:u w:val="single"/>
              </w:rPr>
              <w:t>$297,881,348</w:t>
            </w:r>
          </w:p>
        </w:tc>
        <w:tc>
          <w:tcPr>
            <w:tcW w:w="1733" w:type="dxa"/>
            <w:tcBorders>
              <w:top w:val="nil"/>
              <w:left w:val="nil"/>
              <w:bottom w:val="nil"/>
              <w:right w:val="nil"/>
            </w:tcBorders>
          </w:tcPr>
          <w:p w14:paraId="324621A6" w14:textId="09876D71" w:rsidR="00345812" w:rsidRPr="00550A47" w:rsidRDefault="00345812" w:rsidP="00345812">
            <w:pPr>
              <w:jc w:val="right"/>
              <w:rPr>
                <w:rFonts w:cs="Arial"/>
                <w:color w:val="000000"/>
                <w:szCs w:val="20"/>
                <w:u w:val="single"/>
              </w:rPr>
            </w:pPr>
            <w:r w:rsidRPr="00440171">
              <w:rPr>
                <w:u w:val="single"/>
              </w:rPr>
              <w:t>$317,941,173</w:t>
            </w:r>
          </w:p>
        </w:tc>
        <w:tc>
          <w:tcPr>
            <w:tcW w:w="1732" w:type="dxa"/>
            <w:tcBorders>
              <w:top w:val="nil"/>
              <w:left w:val="nil"/>
              <w:bottom w:val="nil"/>
              <w:right w:val="nil"/>
            </w:tcBorders>
          </w:tcPr>
          <w:p w14:paraId="4785AF6D" w14:textId="2B7E4618" w:rsidR="00345812" w:rsidRPr="00440171" w:rsidRDefault="00345812" w:rsidP="00345812">
            <w:pPr>
              <w:jc w:val="right"/>
              <w:rPr>
                <w:color w:val="000000" w:themeColor="text1"/>
                <w:u w:val="single"/>
              </w:rPr>
            </w:pPr>
            <w:r w:rsidRPr="00440171">
              <w:rPr>
                <w:u w:val="single"/>
              </w:rPr>
              <w:t>$323,456,307</w:t>
            </w:r>
          </w:p>
        </w:tc>
        <w:tc>
          <w:tcPr>
            <w:tcW w:w="1733" w:type="dxa"/>
            <w:tcBorders>
              <w:top w:val="nil"/>
              <w:left w:val="nil"/>
              <w:bottom w:val="nil"/>
              <w:right w:val="single" w:sz="4" w:space="0" w:color="auto"/>
            </w:tcBorders>
          </w:tcPr>
          <w:p w14:paraId="6EA7C56E" w14:textId="5A12C5DE" w:rsidR="00345812" w:rsidRPr="00440171" w:rsidRDefault="00345812" w:rsidP="00345812">
            <w:pPr>
              <w:jc w:val="right"/>
              <w:rPr>
                <w:u w:val="single"/>
              </w:rPr>
            </w:pPr>
          </w:p>
        </w:tc>
      </w:tr>
      <w:tr w:rsidR="00345812" w:rsidRPr="00550A47" w14:paraId="25F33B68" w14:textId="77777777" w:rsidTr="00345812">
        <w:tc>
          <w:tcPr>
            <w:tcW w:w="3150" w:type="dxa"/>
          </w:tcPr>
          <w:p w14:paraId="0EA97297" w14:textId="77777777" w:rsidR="00345812" w:rsidRPr="00550A47" w:rsidRDefault="00345812" w:rsidP="00345812">
            <w:pPr>
              <w:ind w:left="240"/>
              <w:jc w:val="right"/>
              <w:rPr>
                <w:rFonts w:cs="Arial"/>
                <w:b/>
                <w:bCs/>
                <w:szCs w:val="20"/>
              </w:rPr>
            </w:pPr>
            <w:r w:rsidRPr="00550A47">
              <w:rPr>
                <w:rFonts w:cs="Arial"/>
                <w:b/>
                <w:bCs/>
                <w:szCs w:val="20"/>
              </w:rPr>
              <w:t>Total</w:t>
            </w:r>
          </w:p>
        </w:tc>
        <w:tc>
          <w:tcPr>
            <w:tcW w:w="1732" w:type="dxa"/>
            <w:tcBorders>
              <w:top w:val="nil"/>
              <w:left w:val="nil"/>
              <w:bottom w:val="single" w:sz="8" w:space="0" w:color="auto"/>
              <w:right w:val="nil"/>
            </w:tcBorders>
          </w:tcPr>
          <w:p w14:paraId="159DCFA4" w14:textId="2653C97B" w:rsidR="00345812" w:rsidRPr="00550A47" w:rsidRDefault="00345812" w:rsidP="00345812">
            <w:pPr>
              <w:jc w:val="right"/>
              <w:rPr>
                <w:rFonts w:eastAsia="Arial Unicode MS" w:cs="Arial"/>
                <w:b/>
                <w:bCs/>
                <w:color w:val="000000"/>
                <w:szCs w:val="20"/>
              </w:rPr>
            </w:pPr>
            <w:r>
              <w:rPr>
                <w:b/>
                <w:bCs/>
              </w:rPr>
              <w:t>$451,205,499</w:t>
            </w:r>
          </w:p>
        </w:tc>
        <w:tc>
          <w:tcPr>
            <w:tcW w:w="1733" w:type="dxa"/>
            <w:tcBorders>
              <w:top w:val="nil"/>
              <w:left w:val="nil"/>
              <w:bottom w:val="single" w:sz="4" w:space="0" w:color="auto"/>
              <w:right w:val="nil"/>
            </w:tcBorders>
          </w:tcPr>
          <w:p w14:paraId="623396AD" w14:textId="77654773" w:rsidR="00345812" w:rsidRPr="00550A47" w:rsidRDefault="00345812" w:rsidP="00345812">
            <w:pPr>
              <w:jc w:val="right"/>
              <w:rPr>
                <w:rFonts w:cs="Arial"/>
                <w:b/>
                <w:bCs/>
                <w:color w:val="000000"/>
                <w:szCs w:val="20"/>
              </w:rPr>
            </w:pPr>
            <w:r w:rsidRPr="009A0F9A">
              <w:rPr>
                <w:b/>
                <w:bCs/>
              </w:rPr>
              <w:t>$500,150,697</w:t>
            </w:r>
          </w:p>
        </w:tc>
        <w:tc>
          <w:tcPr>
            <w:tcW w:w="1732" w:type="dxa"/>
            <w:tcBorders>
              <w:top w:val="nil"/>
              <w:left w:val="nil"/>
              <w:bottom w:val="single" w:sz="4" w:space="0" w:color="auto"/>
              <w:right w:val="nil"/>
            </w:tcBorders>
          </w:tcPr>
          <w:p w14:paraId="70284B5A" w14:textId="037309D5" w:rsidR="00345812" w:rsidRDefault="00345812" w:rsidP="00345812">
            <w:pPr>
              <w:jc w:val="right"/>
              <w:rPr>
                <w:b/>
                <w:bCs/>
                <w:color w:val="000000" w:themeColor="text1"/>
              </w:rPr>
            </w:pPr>
            <w:r w:rsidRPr="00807232">
              <w:rPr>
                <w:b/>
                <w:bCs/>
              </w:rPr>
              <w:t>$485,562,098</w:t>
            </w:r>
          </w:p>
        </w:tc>
        <w:tc>
          <w:tcPr>
            <w:tcW w:w="1733" w:type="dxa"/>
            <w:tcBorders>
              <w:top w:val="nil"/>
              <w:left w:val="nil"/>
              <w:bottom w:val="single" w:sz="4" w:space="0" w:color="auto"/>
              <w:right w:val="single" w:sz="4" w:space="0" w:color="auto"/>
            </w:tcBorders>
          </w:tcPr>
          <w:p w14:paraId="54DFBA19" w14:textId="6781B188" w:rsidR="00345812" w:rsidRPr="00807232" w:rsidRDefault="00345812" w:rsidP="00345812">
            <w:pPr>
              <w:jc w:val="right"/>
              <w:rPr>
                <w:b/>
                <w:bCs/>
              </w:rPr>
            </w:pPr>
          </w:p>
        </w:tc>
      </w:tr>
      <w:bookmarkEnd w:id="3"/>
    </w:tbl>
    <w:p w14:paraId="0F087C1F" w14:textId="77777777" w:rsidR="00F739F3" w:rsidRDefault="00F739F3">
      <w:pPr>
        <w:rPr>
          <w:rFonts w:cs="Arial"/>
          <w:b/>
          <w:bCs/>
          <w:sz w:val="24"/>
        </w:rPr>
      </w:pPr>
    </w:p>
    <w:p w14:paraId="538E5EE4" w14:textId="2A2DDEB7" w:rsidR="007430AE" w:rsidRDefault="008A1CE5">
      <w:pPr>
        <w:rPr>
          <w:rFonts w:cs="Arial"/>
          <w:b/>
          <w:bCs/>
          <w:sz w:val="24"/>
        </w:rPr>
      </w:pPr>
      <w:r w:rsidRPr="00B32553">
        <w:rPr>
          <w:rFonts w:cs="Arial"/>
          <w:b/>
          <w:bCs/>
          <w:sz w:val="24"/>
        </w:rPr>
        <w:t>Profile of Cases Managed and/or Key Services Provided</w:t>
      </w:r>
    </w:p>
    <w:p w14:paraId="3CC5DC10" w14:textId="77777777" w:rsidR="005F7730" w:rsidRPr="00B32553" w:rsidRDefault="005F7730">
      <w:pPr>
        <w:rPr>
          <w:rFonts w:cs="Arial"/>
          <w:sz w:val="24"/>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440"/>
        <w:gridCol w:w="1440"/>
        <w:gridCol w:w="1525"/>
        <w:gridCol w:w="1445"/>
      </w:tblGrid>
      <w:tr w:rsidR="00DB4E3D" w14:paraId="7872E2A7" w14:textId="77777777" w:rsidTr="00365596">
        <w:trPr>
          <w:tblHeader/>
        </w:trPr>
        <w:tc>
          <w:tcPr>
            <w:tcW w:w="4230" w:type="dxa"/>
            <w:shd w:val="clear" w:color="auto" w:fill="000080"/>
          </w:tcPr>
          <w:p w14:paraId="17DB426C" w14:textId="77777777" w:rsidR="00DB4E3D" w:rsidRDefault="00DB4E3D" w:rsidP="00DB4E3D">
            <w:pPr>
              <w:jc w:val="center"/>
              <w:rPr>
                <w:rFonts w:cs="Arial"/>
                <w:b/>
                <w:bCs/>
                <w:color w:val="FFFFFF"/>
              </w:rPr>
            </w:pPr>
            <w:bookmarkStart w:id="4" w:name="_Hlk518993875"/>
            <w:bookmarkStart w:id="5" w:name="_Hlk13563434"/>
            <w:r>
              <w:rPr>
                <w:rFonts w:cs="Arial"/>
                <w:b/>
                <w:bCs/>
                <w:color w:val="FFFFFF"/>
              </w:rPr>
              <w:t>Cases Managed and/or Key Services Provided</w:t>
            </w:r>
          </w:p>
        </w:tc>
        <w:tc>
          <w:tcPr>
            <w:tcW w:w="1440" w:type="dxa"/>
            <w:shd w:val="clear" w:color="auto" w:fill="000080"/>
            <w:vAlign w:val="bottom"/>
          </w:tcPr>
          <w:p w14:paraId="518FEACC" w14:textId="00C39729" w:rsidR="00DB4E3D" w:rsidRDefault="00345812" w:rsidP="00DB4E3D">
            <w:pPr>
              <w:jc w:val="center"/>
              <w:rPr>
                <w:rFonts w:cs="Arial"/>
                <w:b/>
                <w:bCs/>
                <w:color w:val="FFFFFF"/>
              </w:rPr>
            </w:pPr>
            <w:r>
              <w:rPr>
                <w:rFonts w:cs="Arial"/>
                <w:b/>
                <w:bCs/>
                <w:color w:val="FFFFFF"/>
              </w:rPr>
              <w:t>FY 2019</w:t>
            </w:r>
          </w:p>
        </w:tc>
        <w:tc>
          <w:tcPr>
            <w:tcW w:w="1440" w:type="dxa"/>
            <w:shd w:val="clear" w:color="auto" w:fill="000080"/>
            <w:vAlign w:val="bottom"/>
          </w:tcPr>
          <w:p w14:paraId="192F6B7A" w14:textId="14CDB3A7" w:rsidR="00DB4E3D" w:rsidRDefault="00345812" w:rsidP="00DB4E3D">
            <w:pPr>
              <w:jc w:val="center"/>
              <w:rPr>
                <w:rFonts w:cs="Arial"/>
                <w:b/>
                <w:bCs/>
                <w:color w:val="FFFFFF"/>
              </w:rPr>
            </w:pPr>
            <w:r>
              <w:rPr>
                <w:rFonts w:cs="Arial"/>
                <w:b/>
                <w:bCs/>
                <w:color w:val="FFFFFF"/>
              </w:rPr>
              <w:t>FY 2020</w:t>
            </w:r>
          </w:p>
        </w:tc>
        <w:tc>
          <w:tcPr>
            <w:tcW w:w="1525" w:type="dxa"/>
            <w:shd w:val="clear" w:color="auto" w:fill="000080"/>
            <w:vAlign w:val="bottom"/>
          </w:tcPr>
          <w:p w14:paraId="4B3AF937" w14:textId="60CE12A6" w:rsidR="00DB4E3D" w:rsidRDefault="00345812" w:rsidP="00DB4E3D">
            <w:pPr>
              <w:jc w:val="center"/>
              <w:rPr>
                <w:rFonts w:cs="Arial"/>
                <w:b/>
                <w:bCs/>
                <w:color w:val="FFFFFF"/>
              </w:rPr>
            </w:pPr>
            <w:r>
              <w:rPr>
                <w:rFonts w:cs="Arial"/>
                <w:b/>
                <w:bCs/>
                <w:color w:val="FFFFFF"/>
              </w:rPr>
              <w:t>FY 2021</w:t>
            </w:r>
          </w:p>
        </w:tc>
        <w:tc>
          <w:tcPr>
            <w:tcW w:w="1445" w:type="dxa"/>
            <w:shd w:val="clear" w:color="auto" w:fill="000080"/>
            <w:vAlign w:val="bottom"/>
          </w:tcPr>
          <w:p w14:paraId="3077A147" w14:textId="179C7AAA" w:rsidR="00DB4E3D" w:rsidRDefault="00345812" w:rsidP="00DB4E3D">
            <w:pPr>
              <w:jc w:val="center"/>
              <w:rPr>
                <w:rFonts w:cs="Arial"/>
                <w:b/>
                <w:bCs/>
                <w:color w:val="FFFFFF"/>
              </w:rPr>
            </w:pPr>
            <w:r>
              <w:rPr>
                <w:rFonts w:cs="Arial"/>
                <w:b/>
                <w:bCs/>
                <w:color w:val="FFFFFF"/>
              </w:rPr>
              <w:t>FY 2022</w:t>
            </w:r>
          </w:p>
        </w:tc>
      </w:tr>
      <w:bookmarkEnd w:id="4"/>
      <w:tr w:rsidR="00E34553" w14:paraId="1BFE9336" w14:textId="77777777" w:rsidTr="004216C2">
        <w:tc>
          <w:tcPr>
            <w:tcW w:w="10080" w:type="dxa"/>
            <w:gridSpan w:val="5"/>
            <w:vAlign w:val="center"/>
          </w:tcPr>
          <w:p w14:paraId="6A6E13E8" w14:textId="77777777" w:rsidR="00E34553" w:rsidRDefault="00E34553" w:rsidP="00CF052D">
            <w:pPr>
              <w:rPr>
                <w:rFonts w:cs="Arial"/>
              </w:rPr>
            </w:pPr>
            <w:r w:rsidRPr="00440A2A">
              <w:rPr>
                <w:rFonts w:cs="Arial"/>
                <w:b/>
                <w:szCs w:val="20"/>
                <w:u w:val="single"/>
              </w:rPr>
              <w:t>Insurance &amp; Internal Support Division</w:t>
            </w:r>
            <w:r w:rsidRPr="00440A2A">
              <w:rPr>
                <w:rFonts w:cs="Arial"/>
                <w:b/>
                <w:szCs w:val="20"/>
              </w:rPr>
              <w:t>:</w:t>
            </w:r>
          </w:p>
        </w:tc>
      </w:tr>
      <w:tr w:rsidR="00A47C5C" w14:paraId="70629D59" w14:textId="77777777" w:rsidTr="00365596">
        <w:trPr>
          <w:trHeight w:val="180"/>
        </w:trPr>
        <w:tc>
          <w:tcPr>
            <w:tcW w:w="4230" w:type="dxa"/>
            <w:vAlign w:val="center"/>
          </w:tcPr>
          <w:p w14:paraId="56E8A77E" w14:textId="77777777" w:rsidR="00A47C5C" w:rsidRDefault="00A47C5C" w:rsidP="00A47C5C">
            <w:pPr>
              <w:spacing w:after="60"/>
              <w:rPr>
                <w:rFonts w:cs="Arial"/>
              </w:rPr>
            </w:pPr>
            <w:r>
              <w:rPr>
                <w:rFonts w:cs="Arial"/>
              </w:rPr>
              <w:t xml:space="preserve"># </w:t>
            </w:r>
            <w:proofErr w:type="gramStart"/>
            <w:r>
              <w:rPr>
                <w:rFonts w:cs="Arial"/>
              </w:rPr>
              <w:t>of</w:t>
            </w:r>
            <w:proofErr w:type="gramEnd"/>
            <w:r>
              <w:rPr>
                <w:rFonts w:cs="Arial"/>
              </w:rPr>
              <w:t xml:space="preserve"> FTP’s supported through payroll &amp; HR</w:t>
            </w:r>
          </w:p>
        </w:tc>
        <w:tc>
          <w:tcPr>
            <w:tcW w:w="1440" w:type="dxa"/>
          </w:tcPr>
          <w:p w14:paraId="366E66EA" w14:textId="77777777" w:rsidR="00A47C5C" w:rsidRDefault="00A47C5C" w:rsidP="00A47C5C">
            <w:pPr>
              <w:spacing w:after="60"/>
              <w:jc w:val="right"/>
              <w:rPr>
                <w:rFonts w:cs="Arial"/>
              </w:rPr>
            </w:pPr>
          </w:p>
        </w:tc>
        <w:tc>
          <w:tcPr>
            <w:tcW w:w="1440" w:type="dxa"/>
          </w:tcPr>
          <w:p w14:paraId="446EE631" w14:textId="77777777" w:rsidR="00A47C5C" w:rsidRDefault="00A47C5C" w:rsidP="00A47C5C">
            <w:pPr>
              <w:spacing w:after="60"/>
              <w:jc w:val="right"/>
              <w:rPr>
                <w:rFonts w:cs="Arial"/>
              </w:rPr>
            </w:pPr>
          </w:p>
        </w:tc>
        <w:tc>
          <w:tcPr>
            <w:tcW w:w="1525" w:type="dxa"/>
          </w:tcPr>
          <w:p w14:paraId="6D81AEB4" w14:textId="77777777" w:rsidR="00A47C5C" w:rsidRDefault="00A47C5C" w:rsidP="00A47C5C">
            <w:pPr>
              <w:spacing w:after="60"/>
              <w:jc w:val="right"/>
              <w:rPr>
                <w:rFonts w:cs="Arial"/>
              </w:rPr>
            </w:pPr>
          </w:p>
        </w:tc>
        <w:tc>
          <w:tcPr>
            <w:tcW w:w="1445" w:type="dxa"/>
          </w:tcPr>
          <w:p w14:paraId="2318257B" w14:textId="77777777" w:rsidR="00A47C5C" w:rsidRDefault="00A47C5C" w:rsidP="00A47C5C">
            <w:pPr>
              <w:spacing w:after="60"/>
              <w:jc w:val="right"/>
              <w:rPr>
                <w:rFonts w:cs="Arial"/>
              </w:rPr>
            </w:pPr>
          </w:p>
        </w:tc>
      </w:tr>
      <w:tr w:rsidR="00345812" w14:paraId="4D9991FF" w14:textId="77777777" w:rsidTr="00365596">
        <w:tc>
          <w:tcPr>
            <w:tcW w:w="4230" w:type="dxa"/>
            <w:vAlign w:val="center"/>
          </w:tcPr>
          <w:p w14:paraId="123B4BFB" w14:textId="77777777" w:rsidR="00345812" w:rsidRPr="008A1CE5" w:rsidRDefault="00345812" w:rsidP="00345812">
            <w:pPr>
              <w:pStyle w:val="ListParagraph"/>
              <w:numPr>
                <w:ilvl w:val="0"/>
                <w:numId w:val="1"/>
              </w:numPr>
              <w:spacing w:after="60"/>
              <w:rPr>
                <w:rFonts w:cs="Arial"/>
              </w:rPr>
            </w:pPr>
            <w:r>
              <w:rPr>
                <w:rFonts w:cs="Arial"/>
              </w:rPr>
              <w:t>Administration</w:t>
            </w:r>
          </w:p>
        </w:tc>
        <w:tc>
          <w:tcPr>
            <w:tcW w:w="1440" w:type="dxa"/>
          </w:tcPr>
          <w:p w14:paraId="07DE9E59" w14:textId="7F42113A" w:rsidR="00345812" w:rsidRDefault="00345812" w:rsidP="00345812">
            <w:pPr>
              <w:spacing w:after="60"/>
              <w:jc w:val="right"/>
              <w:rPr>
                <w:rFonts w:cs="Arial"/>
              </w:rPr>
            </w:pPr>
            <w:r>
              <w:rPr>
                <w:rFonts w:cs="Arial"/>
              </w:rPr>
              <w:t>114</w:t>
            </w:r>
          </w:p>
        </w:tc>
        <w:tc>
          <w:tcPr>
            <w:tcW w:w="1440" w:type="dxa"/>
          </w:tcPr>
          <w:p w14:paraId="026D7EB9" w14:textId="249BDBF4" w:rsidR="00345812" w:rsidRDefault="00345812" w:rsidP="00345812">
            <w:pPr>
              <w:spacing w:after="60"/>
              <w:jc w:val="right"/>
              <w:rPr>
                <w:rFonts w:cs="Arial"/>
              </w:rPr>
            </w:pPr>
            <w:r>
              <w:rPr>
                <w:rFonts w:cs="Arial"/>
              </w:rPr>
              <w:t>121</w:t>
            </w:r>
          </w:p>
        </w:tc>
        <w:tc>
          <w:tcPr>
            <w:tcW w:w="1525" w:type="dxa"/>
          </w:tcPr>
          <w:p w14:paraId="3DA33023" w14:textId="0A51D91D" w:rsidR="00345812" w:rsidRDefault="00345812" w:rsidP="00345812">
            <w:pPr>
              <w:spacing w:after="60"/>
              <w:jc w:val="right"/>
              <w:rPr>
                <w:rFonts w:cs="Arial"/>
              </w:rPr>
            </w:pPr>
            <w:r>
              <w:rPr>
                <w:rFonts w:cs="Arial"/>
              </w:rPr>
              <w:t>124</w:t>
            </w:r>
          </w:p>
        </w:tc>
        <w:tc>
          <w:tcPr>
            <w:tcW w:w="1445" w:type="dxa"/>
          </w:tcPr>
          <w:p w14:paraId="387A79A5" w14:textId="14DB0C06" w:rsidR="00345812" w:rsidRDefault="00345812" w:rsidP="00345812">
            <w:pPr>
              <w:spacing w:after="60"/>
              <w:jc w:val="right"/>
              <w:rPr>
                <w:rFonts w:cs="Arial"/>
              </w:rPr>
            </w:pPr>
          </w:p>
        </w:tc>
      </w:tr>
      <w:tr w:rsidR="00345812" w14:paraId="11D9F685" w14:textId="77777777" w:rsidTr="00365596">
        <w:tc>
          <w:tcPr>
            <w:tcW w:w="4230" w:type="dxa"/>
            <w:vAlign w:val="center"/>
          </w:tcPr>
          <w:p w14:paraId="1782C26C" w14:textId="77777777" w:rsidR="00345812" w:rsidRPr="008A1CE5" w:rsidRDefault="00345812" w:rsidP="00345812">
            <w:pPr>
              <w:pStyle w:val="ListParagraph"/>
              <w:numPr>
                <w:ilvl w:val="0"/>
                <w:numId w:val="1"/>
              </w:numPr>
              <w:spacing w:after="60"/>
              <w:rPr>
                <w:rFonts w:cs="Arial"/>
              </w:rPr>
            </w:pPr>
            <w:r>
              <w:rPr>
                <w:rFonts w:cs="Arial"/>
              </w:rPr>
              <w:t>Hispanic Commission</w:t>
            </w:r>
          </w:p>
        </w:tc>
        <w:tc>
          <w:tcPr>
            <w:tcW w:w="1440" w:type="dxa"/>
          </w:tcPr>
          <w:p w14:paraId="0E697A76" w14:textId="761071F6" w:rsidR="00345812" w:rsidRDefault="00345812" w:rsidP="00345812">
            <w:pPr>
              <w:spacing w:after="60"/>
              <w:jc w:val="right"/>
              <w:rPr>
                <w:rFonts w:cs="Arial"/>
              </w:rPr>
            </w:pPr>
            <w:r>
              <w:rPr>
                <w:rFonts w:cs="Arial"/>
              </w:rPr>
              <w:t>3</w:t>
            </w:r>
          </w:p>
        </w:tc>
        <w:tc>
          <w:tcPr>
            <w:tcW w:w="1440" w:type="dxa"/>
          </w:tcPr>
          <w:p w14:paraId="7F8BB071" w14:textId="6FF0ED87" w:rsidR="00345812" w:rsidRDefault="00345812" w:rsidP="00345812">
            <w:pPr>
              <w:spacing w:after="60"/>
              <w:jc w:val="right"/>
              <w:rPr>
                <w:rFonts w:cs="Arial"/>
              </w:rPr>
            </w:pPr>
            <w:r>
              <w:rPr>
                <w:rFonts w:cs="Arial"/>
              </w:rPr>
              <w:t>3</w:t>
            </w:r>
          </w:p>
        </w:tc>
        <w:tc>
          <w:tcPr>
            <w:tcW w:w="1525" w:type="dxa"/>
          </w:tcPr>
          <w:p w14:paraId="2CFCEC5E" w14:textId="08D53FB8" w:rsidR="00345812" w:rsidRDefault="00345812" w:rsidP="00345812">
            <w:pPr>
              <w:spacing w:after="60"/>
              <w:jc w:val="right"/>
              <w:rPr>
                <w:rFonts w:cs="Arial"/>
              </w:rPr>
            </w:pPr>
            <w:r>
              <w:rPr>
                <w:rFonts w:cs="Arial"/>
              </w:rPr>
              <w:t>3</w:t>
            </w:r>
          </w:p>
        </w:tc>
        <w:tc>
          <w:tcPr>
            <w:tcW w:w="1445" w:type="dxa"/>
          </w:tcPr>
          <w:p w14:paraId="7E049BCD" w14:textId="180BB8D7" w:rsidR="00345812" w:rsidRDefault="00345812" w:rsidP="00345812">
            <w:pPr>
              <w:spacing w:after="60"/>
              <w:jc w:val="right"/>
              <w:rPr>
                <w:rFonts w:cs="Arial"/>
              </w:rPr>
            </w:pPr>
          </w:p>
        </w:tc>
      </w:tr>
      <w:tr w:rsidR="00345812" w14:paraId="67109AFC" w14:textId="77777777" w:rsidTr="00365596">
        <w:tc>
          <w:tcPr>
            <w:tcW w:w="4230" w:type="dxa"/>
            <w:vAlign w:val="center"/>
          </w:tcPr>
          <w:p w14:paraId="71D30748" w14:textId="77777777" w:rsidR="00345812" w:rsidRDefault="00345812" w:rsidP="00345812">
            <w:pPr>
              <w:pStyle w:val="ListParagraph"/>
              <w:numPr>
                <w:ilvl w:val="0"/>
                <w:numId w:val="1"/>
              </w:numPr>
              <w:spacing w:after="60"/>
              <w:rPr>
                <w:rFonts w:cs="Arial"/>
              </w:rPr>
            </w:pPr>
            <w:r>
              <w:rPr>
                <w:rFonts w:cs="Arial"/>
              </w:rPr>
              <w:t>Information Technology Services</w:t>
            </w:r>
          </w:p>
        </w:tc>
        <w:tc>
          <w:tcPr>
            <w:tcW w:w="1440" w:type="dxa"/>
          </w:tcPr>
          <w:p w14:paraId="47CB537C" w14:textId="77FA2A11" w:rsidR="00345812" w:rsidRDefault="00345812" w:rsidP="00345812">
            <w:pPr>
              <w:spacing w:after="60"/>
              <w:jc w:val="right"/>
              <w:rPr>
                <w:rFonts w:cs="Arial"/>
              </w:rPr>
            </w:pPr>
            <w:r>
              <w:rPr>
                <w:rFonts w:cs="Arial"/>
              </w:rPr>
              <w:t>31</w:t>
            </w:r>
          </w:p>
        </w:tc>
        <w:tc>
          <w:tcPr>
            <w:tcW w:w="1440" w:type="dxa"/>
          </w:tcPr>
          <w:p w14:paraId="5E4E9F7A" w14:textId="532CBF2B" w:rsidR="00345812" w:rsidRDefault="00345812" w:rsidP="00345812">
            <w:pPr>
              <w:spacing w:after="60"/>
              <w:jc w:val="right"/>
              <w:rPr>
                <w:rFonts w:cs="Arial"/>
              </w:rPr>
            </w:pPr>
            <w:r>
              <w:rPr>
                <w:rFonts w:cs="Arial"/>
              </w:rPr>
              <w:t>0</w:t>
            </w:r>
          </w:p>
        </w:tc>
        <w:tc>
          <w:tcPr>
            <w:tcW w:w="1525" w:type="dxa"/>
          </w:tcPr>
          <w:p w14:paraId="0948E696" w14:textId="76AEAB29" w:rsidR="00345812" w:rsidRDefault="00345812" w:rsidP="00345812">
            <w:pPr>
              <w:spacing w:after="60"/>
              <w:jc w:val="right"/>
              <w:rPr>
                <w:rFonts w:cs="Arial"/>
              </w:rPr>
            </w:pPr>
            <w:r>
              <w:rPr>
                <w:rFonts w:cs="Arial"/>
              </w:rPr>
              <w:t>0</w:t>
            </w:r>
          </w:p>
        </w:tc>
        <w:tc>
          <w:tcPr>
            <w:tcW w:w="1445" w:type="dxa"/>
          </w:tcPr>
          <w:p w14:paraId="4CC2C51C" w14:textId="7679148C" w:rsidR="00345812" w:rsidRDefault="00345812" w:rsidP="00345812">
            <w:pPr>
              <w:spacing w:after="60"/>
              <w:jc w:val="right"/>
              <w:rPr>
                <w:rFonts w:cs="Arial"/>
              </w:rPr>
            </w:pPr>
          </w:p>
        </w:tc>
      </w:tr>
      <w:tr w:rsidR="00345812" w14:paraId="75D485CC" w14:textId="77777777" w:rsidTr="00365596">
        <w:tc>
          <w:tcPr>
            <w:tcW w:w="4230" w:type="dxa"/>
            <w:vAlign w:val="center"/>
          </w:tcPr>
          <w:p w14:paraId="0316B142" w14:textId="77777777" w:rsidR="00345812" w:rsidRDefault="00345812" w:rsidP="00345812">
            <w:pPr>
              <w:spacing w:after="60"/>
              <w:rPr>
                <w:rFonts w:cs="Arial"/>
              </w:rPr>
            </w:pPr>
            <w:r>
              <w:rPr>
                <w:rFonts w:cs="Arial"/>
              </w:rPr>
              <w:t>Value of property insured by Risk Management</w:t>
            </w:r>
          </w:p>
        </w:tc>
        <w:tc>
          <w:tcPr>
            <w:tcW w:w="1440" w:type="dxa"/>
            <w:vAlign w:val="center"/>
          </w:tcPr>
          <w:p w14:paraId="189AE02F" w14:textId="25E93C3B" w:rsidR="00345812" w:rsidRDefault="00345812" w:rsidP="00345812">
            <w:pPr>
              <w:spacing w:after="60"/>
              <w:jc w:val="right"/>
              <w:rPr>
                <w:rFonts w:cs="Arial"/>
              </w:rPr>
            </w:pPr>
            <w:r>
              <w:rPr>
                <w:rFonts w:cs="Arial"/>
              </w:rPr>
              <w:t>$8.8 Billion</w:t>
            </w:r>
          </w:p>
        </w:tc>
        <w:tc>
          <w:tcPr>
            <w:tcW w:w="1440" w:type="dxa"/>
            <w:vAlign w:val="center"/>
          </w:tcPr>
          <w:p w14:paraId="08972F31" w14:textId="7FB8727B" w:rsidR="00345812" w:rsidRDefault="00345812" w:rsidP="00345812">
            <w:pPr>
              <w:spacing w:after="60"/>
              <w:jc w:val="right"/>
              <w:rPr>
                <w:rFonts w:cs="Arial"/>
              </w:rPr>
            </w:pPr>
            <w:r>
              <w:rPr>
                <w:rFonts w:cs="Arial"/>
              </w:rPr>
              <w:t>$9.2 Billion</w:t>
            </w:r>
          </w:p>
        </w:tc>
        <w:tc>
          <w:tcPr>
            <w:tcW w:w="1525" w:type="dxa"/>
            <w:vAlign w:val="center"/>
          </w:tcPr>
          <w:p w14:paraId="2AFA1330" w14:textId="620CCAB9" w:rsidR="00345812" w:rsidRDefault="00345812" w:rsidP="00345812">
            <w:pPr>
              <w:spacing w:after="60"/>
              <w:jc w:val="right"/>
              <w:rPr>
                <w:rFonts w:cs="Arial"/>
              </w:rPr>
            </w:pPr>
            <w:r w:rsidRPr="000F1709">
              <w:rPr>
                <w:rFonts w:cs="Arial"/>
              </w:rPr>
              <w:t>$9.8 Billion</w:t>
            </w:r>
          </w:p>
        </w:tc>
        <w:tc>
          <w:tcPr>
            <w:tcW w:w="1445" w:type="dxa"/>
            <w:vAlign w:val="center"/>
          </w:tcPr>
          <w:p w14:paraId="56BEEE9B" w14:textId="40F2DE96" w:rsidR="00345812" w:rsidRDefault="00345812" w:rsidP="00345812">
            <w:pPr>
              <w:spacing w:after="60"/>
              <w:jc w:val="right"/>
              <w:rPr>
                <w:rFonts w:cs="Arial"/>
              </w:rPr>
            </w:pPr>
          </w:p>
        </w:tc>
      </w:tr>
      <w:tr w:rsidR="00345812" w14:paraId="0C2A2D34" w14:textId="77777777" w:rsidTr="00365596">
        <w:tc>
          <w:tcPr>
            <w:tcW w:w="4230" w:type="dxa"/>
            <w:vAlign w:val="center"/>
          </w:tcPr>
          <w:p w14:paraId="751DECF9" w14:textId="77777777"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vehicles insured for liability by Risk Mgmt (all vehicles insured for liability)</w:t>
            </w:r>
          </w:p>
        </w:tc>
        <w:tc>
          <w:tcPr>
            <w:tcW w:w="1440" w:type="dxa"/>
            <w:vAlign w:val="center"/>
          </w:tcPr>
          <w:p w14:paraId="1819150E" w14:textId="1FCA06BB" w:rsidR="00345812" w:rsidRDefault="00345812" w:rsidP="00345812">
            <w:pPr>
              <w:spacing w:after="60"/>
              <w:jc w:val="right"/>
              <w:rPr>
                <w:rFonts w:cs="Arial"/>
              </w:rPr>
            </w:pPr>
            <w:r>
              <w:rPr>
                <w:rFonts w:cs="Arial"/>
              </w:rPr>
              <w:t>7,395</w:t>
            </w:r>
          </w:p>
        </w:tc>
        <w:tc>
          <w:tcPr>
            <w:tcW w:w="1440" w:type="dxa"/>
            <w:vAlign w:val="center"/>
          </w:tcPr>
          <w:p w14:paraId="154972A9" w14:textId="24710083" w:rsidR="00345812" w:rsidRDefault="00345812" w:rsidP="00345812">
            <w:pPr>
              <w:spacing w:after="60"/>
              <w:jc w:val="right"/>
              <w:rPr>
                <w:rFonts w:cs="Arial"/>
              </w:rPr>
            </w:pPr>
            <w:r>
              <w:rPr>
                <w:rFonts w:cs="Arial"/>
              </w:rPr>
              <w:t>7,561</w:t>
            </w:r>
          </w:p>
        </w:tc>
        <w:tc>
          <w:tcPr>
            <w:tcW w:w="1525" w:type="dxa"/>
            <w:vAlign w:val="center"/>
          </w:tcPr>
          <w:p w14:paraId="3DC07631" w14:textId="1E2D6D7F" w:rsidR="00345812" w:rsidRDefault="00345812" w:rsidP="00345812">
            <w:pPr>
              <w:spacing w:after="60"/>
              <w:jc w:val="right"/>
              <w:rPr>
                <w:rFonts w:cs="Arial"/>
              </w:rPr>
            </w:pPr>
            <w:r>
              <w:rPr>
                <w:rFonts w:cs="Arial"/>
              </w:rPr>
              <w:t>8,009</w:t>
            </w:r>
          </w:p>
        </w:tc>
        <w:tc>
          <w:tcPr>
            <w:tcW w:w="1445" w:type="dxa"/>
            <w:vAlign w:val="center"/>
          </w:tcPr>
          <w:p w14:paraId="1B830381" w14:textId="6C385CFA" w:rsidR="00345812" w:rsidRDefault="00345812" w:rsidP="00345812">
            <w:pPr>
              <w:spacing w:after="60"/>
              <w:jc w:val="right"/>
              <w:rPr>
                <w:rFonts w:cs="Arial"/>
              </w:rPr>
            </w:pPr>
          </w:p>
        </w:tc>
      </w:tr>
      <w:tr w:rsidR="00345812" w14:paraId="2398A451" w14:textId="77777777" w:rsidTr="00860A57">
        <w:trPr>
          <w:trHeight w:val="737"/>
        </w:trPr>
        <w:tc>
          <w:tcPr>
            <w:tcW w:w="4230" w:type="dxa"/>
            <w:vAlign w:val="center"/>
          </w:tcPr>
          <w:p w14:paraId="4914E65A" w14:textId="77777777"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vehicles insured for physical damage (only vehicles scheduled for this coverage)</w:t>
            </w:r>
          </w:p>
        </w:tc>
        <w:tc>
          <w:tcPr>
            <w:tcW w:w="1440" w:type="dxa"/>
            <w:vAlign w:val="center"/>
          </w:tcPr>
          <w:p w14:paraId="41D5E8F5" w14:textId="4FCE54B0" w:rsidR="00345812" w:rsidRDefault="00345812" w:rsidP="00345812">
            <w:pPr>
              <w:spacing w:after="60"/>
              <w:jc w:val="right"/>
              <w:rPr>
                <w:rFonts w:cs="Arial"/>
              </w:rPr>
            </w:pPr>
            <w:r>
              <w:rPr>
                <w:rFonts w:cs="Arial"/>
              </w:rPr>
              <w:t>6,976</w:t>
            </w:r>
          </w:p>
        </w:tc>
        <w:tc>
          <w:tcPr>
            <w:tcW w:w="1440" w:type="dxa"/>
            <w:vAlign w:val="center"/>
          </w:tcPr>
          <w:p w14:paraId="4656C5D0" w14:textId="3993BC94" w:rsidR="00345812" w:rsidRDefault="00345812" w:rsidP="00345812">
            <w:pPr>
              <w:spacing w:after="60"/>
              <w:jc w:val="right"/>
              <w:rPr>
                <w:rFonts w:cs="Arial"/>
              </w:rPr>
            </w:pPr>
            <w:r>
              <w:rPr>
                <w:rFonts w:cs="Arial"/>
              </w:rPr>
              <w:t>7,161</w:t>
            </w:r>
          </w:p>
        </w:tc>
        <w:tc>
          <w:tcPr>
            <w:tcW w:w="1525" w:type="dxa"/>
            <w:vAlign w:val="center"/>
          </w:tcPr>
          <w:p w14:paraId="09EF88FE" w14:textId="73B64F08" w:rsidR="00345812" w:rsidRDefault="00345812" w:rsidP="00345812">
            <w:pPr>
              <w:spacing w:after="60"/>
              <w:jc w:val="right"/>
              <w:rPr>
                <w:rFonts w:cs="Arial"/>
              </w:rPr>
            </w:pPr>
            <w:r>
              <w:rPr>
                <w:rFonts w:cs="Arial"/>
              </w:rPr>
              <w:t>7,465</w:t>
            </w:r>
          </w:p>
        </w:tc>
        <w:tc>
          <w:tcPr>
            <w:tcW w:w="1445" w:type="dxa"/>
            <w:vAlign w:val="center"/>
          </w:tcPr>
          <w:p w14:paraId="4567363D" w14:textId="54C1396A" w:rsidR="00345812" w:rsidRDefault="00345812" w:rsidP="00345812">
            <w:pPr>
              <w:spacing w:after="60"/>
              <w:jc w:val="right"/>
              <w:rPr>
                <w:rFonts w:cs="Arial"/>
              </w:rPr>
            </w:pPr>
          </w:p>
        </w:tc>
      </w:tr>
      <w:tr w:rsidR="00345812" w14:paraId="0E799578" w14:textId="77777777" w:rsidTr="00365596">
        <w:tc>
          <w:tcPr>
            <w:tcW w:w="4230" w:type="dxa"/>
            <w:vAlign w:val="center"/>
          </w:tcPr>
          <w:p w14:paraId="31E48F51" w14:textId="790EF3ED"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active employees enrolled in group ins</w:t>
            </w:r>
          </w:p>
        </w:tc>
        <w:tc>
          <w:tcPr>
            <w:tcW w:w="1440" w:type="dxa"/>
          </w:tcPr>
          <w:p w14:paraId="285AF2BD" w14:textId="3402DADF" w:rsidR="00345812" w:rsidRDefault="00345812" w:rsidP="00345812">
            <w:pPr>
              <w:spacing w:after="60"/>
              <w:jc w:val="right"/>
              <w:rPr>
                <w:rFonts w:cs="Arial"/>
              </w:rPr>
            </w:pPr>
            <w:r>
              <w:rPr>
                <w:rFonts w:cs="Arial"/>
              </w:rPr>
              <w:t>18,839</w:t>
            </w:r>
          </w:p>
        </w:tc>
        <w:tc>
          <w:tcPr>
            <w:tcW w:w="1440" w:type="dxa"/>
          </w:tcPr>
          <w:p w14:paraId="441F0E1B" w14:textId="6C936551" w:rsidR="00345812" w:rsidRDefault="00345812" w:rsidP="00345812">
            <w:pPr>
              <w:spacing w:after="60"/>
              <w:jc w:val="right"/>
              <w:rPr>
                <w:rFonts w:cs="Arial"/>
              </w:rPr>
            </w:pPr>
            <w:r>
              <w:t>19,085</w:t>
            </w:r>
          </w:p>
        </w:tc>
        <w:tc>
          <w:tcPr>
            <w:tcW w:w="1525" w:type="dxa"/>
          </w:tcPr>
          <w:p w14:paraId="766D0CA7" w14:textId="6DA2B920" w:rsidR="00345812" w:rsidRDefault="00345812" w:rsidP="00345812">
            <w:pPr>
              <w:spacing w:after="60"/>
              <w:jc w:val="right"/>
              <w:rPr>
                <w:rFonts w:cs="Arial"/>
              </w:rPr>
            </w:pPr>
            <w:r w:rsidRPr="00860A57">
              <w:rPr>
                <w:rFonts w:cs="Arial"/>
              </w:rPr>
              <w:t>18,917</w:t>
            </w:r>
          </w:p>
        </w:tc>
        <w:tc>
          <w:tcPr>
            <w:tcW w:w="1445" w:type="dxa"/>
          </w:tcPr>
          <w:p w14:paraId="508B639E" w14:textId="62671DD8" w:rsidR="00345812" w:rsidRPr="00860A57" w:rsidRDefault="00345812" w:rsidP="00345812">
            <w:pPr>
              <w:spacing w:after="60"/>
              <w:jc w:val="right"/>
              <w:rPr>
                <w:rFonts w:cs="Arial"/>
              </w:rPr>
            </w:pPr>
          </w:p>
        </w:tc>
      </w:tr>
      <w:tr w:rsidR="00345812" w14:paraId="09167C09" w14:textId="77777777" w:rsidTr="00365596">
        <w:tc>
          <w:tcPr>
            <w:tcW w:w="4230" w:type="dxa"/>
            <w:vAlign w:val="center"/>
          </w:tcPr>
          <w:p w14:paraId="6967D3BD" w14:textId="4DB0C335"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active employee dependents enrolled in state’s group insurance</w:t>
            </w:r>
          </w:p>
        </w:tc>
        <w:tc>
          <w:tcPr>
            <w:tcW w:w="1440" w:type="dxa"/>
            <w:vAlign w:val="center"/>
          </w:tcPr>
          <w:p w14:paraId="4F32EDE0" w14:textId="16A505A0" w:rsidR="00345812" w:rsidRDefault="00345812" w:rsidP="00345812">
            <w:pPr>
              <w:spacing w:after="60"/>
              <w:jc w:val="right"/>
              <w:rPr>
                <w:rFonts w:cs="Arial"/>
              </w:rPr>
            </w:pPr>
            <w:r>
              <w:rPr>
                <w:rFonts w:cs="Arial"/>
              </w:rPr>
              <w:t>27,969</w:t>
            </w:r>
          </w:p>
        </w:tc>
        <w:tc>
          <w:tcPr>
            <w:tcW w:w="1440" w:type="dxa"/>
            <w:vAlign w:val="center"/>
          </w:tcPr>
          <w:p w14:paraId="6FDC79A6" w14:textId="53D58E7C" w:rsidR="00345812" w:rsidRDefault="00345812" w:rsidP="00345812">
            <w:pPr>
              <w:spacing w:after="60"/>
              <w:jc w:val="right"/>
              <w:rPr>
                <w:rFonts w:cs="Arial"/>
              </w:rPr>
            </w:pPr>
            <w:r>
              <w:t>28,194</w:t>
            </w:r>
          </w:p>
        </w:tc>
        <w:tc>
          <w:tcPr>
            <w:tcW w:w="1525" w:type="dxa"/>
            <w:vAlign w:val="center"/>
          </w:tcPr>
          <w:p w14:paraId="7833B5E2" w14:textId="42C81033" w:rsidR="00345812" w:rsidRDefault="00345812" w:rsidP="00345812">
            <w:pPr>
              <w:spacing w:after="60"/>
              <w:jc w:val="right"/>
              <w:rPr>
                <w:rFonts w:cs="Arial"/>
              </w:rPr>
            </w:pPr>
            <w:r w:rsidRPr="00860A57">
              <w:rPr>
                <w:rFonts w:cs="Arial"/>
              </w:rPr>
              <w:t>27,917</w:t>
            </w:r>
          </w:p>
        </w:tc>
        <w:tc>
          <w:tcPr>
            <w:tcW w:w="1445" w:type="dxa"/>
            <w:vAlign w:val="center"/>
          </w:tcPr>
          <w:p w14:paraId="72D5A48C" w14:textId="2B3C0D3A" w:rsidR="00345812" w:rsidRPr="00860A57" w:rsidRDefault="00345812" w:rsidP="00345812">
            <w:pPr>
              <w:spacing w:after="60"/>
              <w:jc w:val="right"/>
              <w:rPr>
                <w:rFonts w:cs="Arial"/>
              </w:rPr>
            </w:pPr>
          </w:p>
        </w:tc>
      </w:tr>
      <w:tr w:rsidR="00345812" w14:paraId="20695C4D" w14:textId="77777777" w:rsidTr="00365596">
        <w:tc>
          <w:tcPr>
            <w:tcW w:w="4230" w:type="dxa"/>
            <w:vAlign w:val="center"/>
          </w:tcPr>
          <w:p w14:paraId="3EA10B69" w14:textId="113DA8B1"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retirees enrolled in state’s group insurance</w:t>
            </w:r>
          </w:p>
        </w:tc>
        <w:tc>
          <w:tcPr>
            <w:tcW w:w="1440" w:type="dxa"/>
            <w:vAlign w:val="center"/>
          </w:tcPr>
          <w:p w14:paraId="433F8014" w14:textId="1022569D" w:rsidR="00345812" w:rsidRDefault="00345812" w:rsidP="00345812">
            <w:pPr>
              <w:spacing w:after="60"/>
              <w:jc w:val="right"/>
              <w:rPr>
                <w:rFonts w:cs="Arial"/>
              </w:rPr>
            </w:pPr>
            <w:r>
              <w:rPr>
                <w:rFonts w:cs="Arial"/>
              </w:rPr>
              <w:t>675</w:t>
            </w:r>
          </w:p>
        </w:tc>
        <w:tc>
          <w:tcPr>
            <w:tcW w:w="1440" w:type="dxa"/>
            <w:vAlign w:val="center"/>
          </w:tcPr>
          <w:p w14:paraId="76215D4C" w14:textId="10616F99" w:rsidR="00345812" w:rsidRDefault="00345812" w:rsidP="00345812">
            <w:pPr>
              <w:spacing w:after="60"/>
              <w:jc w:val="right"/>
              <w:rPr>
                <w:rFonts w:cs="Arial"/>
              </w:rPr>
            </w:pPr>
            <w:r>
              <w:t>638</w:t>
            </w:r>
          </w:p>
        </w:tc>
        <w:tc>
          <w:tcPr>
            <w:tcW w:w="1525" w:type="dxa"/>
            <w:vAlign w:val="center"/>
          </w:tcPr>
          <w:p w14:paraId="79052B3C" w14:textId="0502FAA8" w:rsidR="00345812" w:rsidRDefault="00345812" w:rsidP="00345812">
            <w:pPr>
              <w:spacing w:after="60"/>
              <w:jc w:val="right"/>
              <w:rPr>
                <w:rFonts w:cs="Arial"/>
              </w:rPr>
            </w:pPr>
            <w:r w:rsidRPr="00860A57">
              <w:rPr>
                <w:rFonts w:cs="Arial"/>
              </w:rPr>
              <w:t>627</w:t>
            </w:r>
          </w:p>
        </w:tc>
        <w:tc>
          <w:tcPr>
            <w:tcW w:w="1445" w:type="dxa"/>
            <w:vAlign w:val="center"/>
          </w:tcPr>
          <w:p w14:paraId="56589C19" w14:textId="1FEF6E54" w:rsidR="00345812" w:rsidRPr="00860A57" w:rsidRDefault="00345812" w:rsidP="00345812">
            <w:pPr>
              <w:spacing w:after="60"/>
              <w:jc w:val="right"/>
              <w:rPr>
                <w:rFonts w:cs="Arial"/>
              </w:rPr>
            </w:pPr>
          </w:p>
        </w:tc>
      </w:tr>
      <w:tr w:rsidR="00345812" w14:paraId="3E00B37C" w14:textId="77777777" w:rsidTr="00365596">
        <w:tc>
          <w:tcPr>
            <w:tcW w:w="4230" w:type="dxa"/>
            <w:vAlign w:val="center"/>
          </w:tcPr>
          <w:p w14:paraId="0506BB0F" w14:textId="057D3904"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retiree dependents enrolled in group ins</w:t>
            </w:r>
          </w:p>
        </w:tc>
        <w:tc>
          <w:tcPr>
            <w:tcW w:w="1440" w:type="dxa"/>
          </w:tcPr>
          <w:p w14:paraId="6E42F40E" w14:textId="5E56A9BD" w:rsidR="00345812" w:rsidRDefault="00345812" w:rsidP="00345812">
            <w:pPr>
              <w:spacing w:after="60"/>
              <w:jc w:val="right"/>
              <w:rPr>
                <w:rFonts w:cs="Arial"/>
              </w:rPr>
            </w:pPr>
            <w:r>
              <w:rPr>
                <w:rFonts w:cs="Arial"/>
              </w:rPr>
              <w:t>180</w:t>
            </w:r>
          </w:p>
        </w:tc>
        <w:tc>
          <w:tcPr>
            <w:tcW w:w="1440" w:type="dxa"/>
          </w:tcPr>
          <w:p w14:paraId="1999B37A" w14:textId="3DBAA608" w:rsidR="00345812" w:rsidRDefault="00345812" w:rsidP="00345812">
            <w:pPr>
              <w:spacing w:after="60"/>
              <w:jc w:val="right"/>
              <w:rPr>
                <w:rFonts w:cs="Arial"/>
              </w:rPr>
            </w:pPr>
            <w:r>
              <w:t>171</w:t>
            </w:r>
          </w:p>
        </w:tc>
        <w:tc>
          <w:tcPr>
            <w:tcW w:w="1525" w:type="dxa"/>
          </w:tcPr>
          <w:p w14:paraId="3887027F" w14:textId="3C8049BD" w:rsidR="00345812" w:rsidRDefault="00345812" w:rsidP="00345812">
            <w:pPr>
              <w:spacing w:after="60"/>
              <w:jc w:val="right"/>
              <w:rPr>
                <w:rFonts w:cs="Arial"/>
              </w:rPr>
            </w:pPr>
            <w:r w:rsidRPr="00860A57">
              <w:rPr>
                <w:rFonts w:cs="Arial"/>
              </w:rPr>
              <w:t>175</w:t>
            </w:r>
          </w:p>
        </w:tc>
        <w:tc>
          <w:tcPr>
            <w:tcW w:w="1445" w:type="dxa"/>
          </w:tcPr>
          <w:p w14:paraId="2E779E4D" w14:textId="65CA78D6" w:rsidR="00345812" w:rsidRPr="00860A57" w:rsidRDefault="00345812" w:rsidP="00345812">
            <w:pPr>
              <w:spacing w:after="60"/>
              <w:jc w:val="right"/>
              <w:rPr>
                <w:rFonts w:cs="Arial"/>
              </w:rPr>
            </w:pPr>
          </w:p>
        </w:tc>
      </w:tr>
      <w:tr w:rsidR="00345812" w14:paraId="0D83262F"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28D06308" w14:textId="56155C1F" w:rsidR="00345812" w:rsidRDefault="00345812" w:rsidP="00345812">
            <w:pPr>
              <w:spacing w:after="60"/>
              <w:rPr>
                <w:rFonts w:cs="Arial"/>
              </w:rPr>
            </w:pPr>
            <w:r>
              <w:rPr>
                <w:rFonts w:cs="Arial"/>
              </w:rPr>
              <w:t>New ISIF New Claims</w:t>
            </w:r>
          </w:p>
        </w:tc>
        <w:tc>
          <w:tcPr>
            <w:tcW w:w="1440" w:type="dxa"/>
            <w:tcBorders>
              <w:top w:val="single" w:sz="4" w:space="0" w:color="auto"/>
              <w:left w:val="single" w:sz="4" w:space="0" w:color="auto"/>
              <w:bottom w:val="single" w:sz="4" w:space="0" w:color="auto"/>
              <w:right w:val="single" w:sz="4" w:space="0" w:color="auto"/>
            </w:tcBorders>
          </w:tcPr>
          <w:p w14:paraId="5D73FFFF" w14:textId="2099A06B" w:rsidR="00345812" w:rsidRPr="00A64F1B" w:rsidRDefault="00345812" w:rsidP="00345812">
            <w:pPr>
              <w:spacing w:after="60"/>
              <w:jc w:val="right"/>
              <w:rPr>
                <w:rFonts w:cs="Arial"/>
              </w:rPr>
            </w:pPr>
            <w:r>
              <w:rPr>
                <w:rFonts w:cs="Arial"/>
              </w:rPr>
              <w:t>37</w:t>
            </w:r>
          </w:p>
        </w:tc>
        <w:tc>
          <w:tcPr>
            <w:tcW w:w="1440" w:type="dxa"/>
            <w:tcBorders>
              <w:top w:val="single" w:sz="4" w:space="0" w:color="auto"/>
              <w:left w:val="single" w:sz="4" w:space="0" w:color="auto"/>
              <w:bottom w:val="single" w:sz="4" w:space="0" w:color="auto"/>
              <w:right w:val="single" w:sz="4" w:space="0" w:color="auto"/>
            </w:tcBorders>
          </w:tcPr>
          <w:p w14:paraId="4630CE86" w14:textId="40ABEAA9" w:rsidR="00345812" w:rsidRPr="00A64F1B" w:rsidRDefault="00345812" w:rsidP="00345812">
            <w:pPr>
              <w:spacing w:after="60"/>
              <w:jc w:val="right"/>
              <w:rPr>
                <w:rFonts w:cs="Arial"/>
              </w:rPr>
            </w:pPr>
            <w:r>
              <w:rPr>
                <w:rFonts w:cs="Arial"/>
              </w:rPr>
              <w:t>36</w:t>
            </w:r>
          </w:p>
        </w:tc>
        <w:tc>
          <w:tcPr>
            <w:tcW w:w="1525" w:type="dxa"/>
            <w:tcBorders>
              <w:top w:val="single" w:sz="4" w:space="0" w:color="auto"/>
              <w:left w:val="single" w:sz="4" w:space="0" w:color="auto"/>
              <w:bottom w:val="single" w:sz="4" w:space="0" w:color="auto"/>
              <w:right w:val="single" w:sz="4" w:space="0" w:color="auto"/>
            </w:tcBorders>
          </w:tcPr>
          <w:p w14:paraId="596FD24E" w14:textId="1E561B4E" w:rsidR="00345812" w:rsidRDefault="00345812" w:rsidP="00345812">
            <w:pPr>
              <w:spacing w:after="60"/>
              <w:jc w:val="right"/>
              <w:rPr>
                <w:rFonts w:cs="Arial"/>
              </w:rPr>
            </w:pPr>
            <w:r>
              <w:rPr>
                <w:rFonts w:cs="Arial"/>
              </w:rPr>
              <w:t>29</w:t>
            </w:r>
          </w:p>
        </w:tc>
        <w:tc>
          <w:tcPr>
            <w:tcW w:w="1445" w:type="dxa"/>
            <w:tcBorders>
              <w:top w:val="single" w:sz="4" w:space="0" w:color="auto"/>
              <w:left w:val="single" w:sz="4" w:space="0" w:color="auto"/>
              <w:bottom w:val="single" w:sz="4" w:space="0" w:color="auto"/>
              <w:right w:val="single" w:sz="4" w:space="0" w:color="auto"/>
            </w:tcBorders>
          </w:tcPr>
          <w:p w14:paraId="31E3DC32" w14:textId="5A0B867C" w:rsidR="00345812" w:rsidRDefault="00345812" w:rsidP="00345812">
            <w:pPr>
              <w:spacing w:after="60"/>
              <w:jc w:val="right"/>
              <w:rPr>
                <w:rFonts w:cs="Arial"/>
              </w:rPr>
            </w:pPr>
          </w:p>
        </w:tc>
      </w:tr>
      <w:tr w:rsidR="00345812" w14:paraId="59CA0D5C"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2C4FE814" w14:textId="5EF0F82A" w:rsidR="00345812" w:rsidRDefault="00345812" w:rsidP="00345812">
            <w:pPr>
              <w:spacing w:after="60"/>
              <w:rPr>
                <w:rFonts w:cs="Arial"/>
              </w:rPr>
            </w:pPr>
            <w:r>
              <w:rPr>
                <w:rFonts w:cs="Arial"/>
              </w:rPr>
              <w:t>New ISIF Complaints</w:t>
            </w:r>
          </w:p>
        </w:tc>
        <w:tc>
          <w:tcPr>
            <w:tcW w:w="1440" w:type="dxa"/>
            <w:tcBorders>
              <w:top w:val="single" w:sz="4" w:space="0" w:color="auto"/>
              <w:left w:val="single" w:sz="4" w:space="0" w:color="auto"/>
              <w:bottom w:val="single" w:sz="4" w:space="0" w:color="auto"/>
              <w:right w:val="single" w:sz="4" w:space="0" w:color="auto"/>
            </w:tcBorders>
          </w:tcPr>
          <w:p w14:paraId="10871199" w14:textId="686244DE" w:rsidR="00345812" w:rsidRPr="00A64F1B" w:rsidRDefault="00345812" w:rsidP="00345812">
            <w:pPr>
              <w:spacing w:after="60"/>
              <w:jc w:val="right"/>
              <w:rPr>
                <w:rFonts w:cs="Arial"/>
              </w:rPr>
            </w:pPr>
            <w:r>
              <w:rPr>
                <w:rFonts w:cs="Arial"/>
              </w:rPr>
              <w:t>33</w:t>
            </w:r>
          </w:p>
        </w:tc>
        <w:tc>
          <w:tcPr>
            <w:tcW w:w="1440" w:type="dxa"/>
            <w:tcBorders>
              <w:top w:val="single" w:sz="4" w:space="0" w:color="auto"/>
              <w:left w:val="single" w:sz="4" w:space="0" w:color="auto"/>
              <w:bottom w:val="single" w:sz="4" w:space="0" w:color="auto"/>
              <w:right w:val="single" w:sz="4" w:space="0" w:color="auto"/>
            </w:tcBorders>
          </w:tcPr>
          <w:p w14:paraId="28BAD541" w14:textId="1CF8E812" w:rsidR="00345812" w:rsidRPr="00A64F1B" w:rsidRDefault="00345812" w:rsidP="00345812">
            <w:pPr>
              <w:spacing w:after="60"/>
              <w:jc w:val="right"/>
              <w:rPr>
                <w:rFonts w:cs="Arial"/>
              </w:rPr>
            </w:pPr>
            <w:r>
              <w:rPr>
                <w:rFonts w:cs="Arial"/>
              </w:rPr>
              <w:t>36</w:t>
            </w:r>
          </w:p>
        </w:tc>
        <w:tc>
          <w:tcPr>
            <w:tcW w:w="1525" w:type="dxa"/>
            <w:tcBorders>
              <w:top w:val="single" w:sz="4" w:space="0" w:color="auto"/>
              <w:left w:val="single" w:sz="4" w:space="0" w:color="auto"/>
              <w:bottom w:val="single" w:sz="4" w:space="0" w:color="auto"/>
              <w:right w:val="single" w:sz="4" w:space="0" w:color="auto"/>
            </w:tcBorders>
          </w:tcPr>
          <w:p w14:paraId="2293DAB5" w14:textId="13EBB1D7" w:rsidR="00345812" w:rsidRDefault="00345812" w:rsidP="00345812">
            <w:pPr>
              <w:spacing w:after="60"/>
              <w:jc w:val="right"/>
              <w:rPr>
                <w:rFonts w:cs="Arial"/>
              </w:rPr>
            </w:pPr>
            <w:r>
              <w:rPr>
                <w:rFonts w:cs="Arial"/>
              </w:rPr>
              <w:t>26</w:t>
            </w:r>
          </w:p>
        </w:tc>
        <w:tc>
          <w:tcPr>
            <w:tcW w:w="1445" w:type="dxa"/>
            <w:tcBorders>
              <w:top w:val="single" w:sz="4" w:space="0" w:color="auto"/>
              <w:left w:val="single" w:sz="4" w:space="0" w:color="auto"/>
              <w:bottom w:val="single" w:sz="4" w:space="0" w:color="auto"/>
              <w:right w:val="single" w:sz="4" w:space="0" w:color="auto"/>
            </w:tcBorders>
          </w:tcPr>
          <w:p w14:paraId="1D3A1F28" w14:textId="1F45A81F" w:rsidR="00345812" w:rsidRDefault="00345812" w:rsidP="00345812">
            <w:pPr>
              <w:spacing w:after="60"/>
              <w:jc w:val="right"/>
              <w:rPr>
                <w:rFonts w:cs="Arial"/>
              </w:rPr>
            </w:pPr>
          </w:p>
        </w:tc>
      </w:tr>
      <w:tr w:rsidR="00345812" w14:paraId="55695E1D"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6E740F12" w14:textId="314E7291" w:rsidR="00345812" w:rsidRDefault="00345812" w:rsidP="00345812">
            <w:pPr>
              <w:spacing w:after="60"/>
              <w:rPr>
                <w:rFonts w:cs="Arial"/>
              </w:rPr>
            </w:pPr>
            <w:r>
              <w:rPr>
                <w:rFonts w:cs="Arial"/>
              </w:rPr>
              <w:t>New ISIF annuitants added to monthly rolls</w:t>
            </w:r>
          </w:p>
        </w:tc>
        <w:tc>
          <w:tcPr>
            <w:tcW w:w="1440" w:type="dxa"/>
            <w:tcBorders>
              <w:top w:val="single" w:sz="4" w:space="0" w:color="auto"/>
              <w:left w:val="single" w:sz="4" w:space="0" w:color="auto"/>
              <w:bottom w:val="single" w:sz="4" w:space="0" w:color="auto"/>
              <w:right w:val="single" w:sz="4" w:space="0" w:color="auto"/>
            </w:tcBorders>
          </w:tcPr>
          <w:p w14:paraId="75731075" w14:textId="54123A87" w:rsidR="00345812" w:rsidRPr="00A64F1B" w:rsidRDefault="00345812" w:rsidP="00345812">
            <w:pPr>
              <w:spacing w:after="60"/>
              <w:jc w:val="right"/>
              <w:rPr>
                <w:rFonts w:cs="Arial"/>
              </w:rPr>
            </w:pPr>
            <w:r>
              <w:rPr>
                <w:rFonts w:cs="Arial"/>
              </w:rPr>
              <w:t>7</w:t>
            </w:r>
          </w:p>
        </w:tc>
        <w:tc>
          <w:tcPr>
            <w:tcW w:w="1440" w:type="dxa"/>
            <w:tcBorders>
              <w:top w:val="single" w:sz="4" w:space="0" w:color="auto"/>
              <w:left w:val="single" w:sz="4" w:space="0" w:color="auto"/>
              <w:bottom w:val="single" w:sz="4" w:space="0" w:color="auto"/>
              <w:right w:val="single" w:sz="4" w:space="0" w:color="auto"/>
            </w:tcBorders>
          </w:tcPr>
          <w:p w14:paraId="5A4B607F" w14:textId="5A5C3A70" w:rsidR="00345812" w:rsidRPr="00A64F1B" w:rsidRDefault="00345812" w:rsidP="00345812">
            <w:pPr>
              <w:spacing w:after="60"/>
              <w:jc w:val="right"/>
              <w:rPr>
                <w:rFonts w:cs="Arial"/>
              </w:rPr>
            </w:pPr>
            <w:r>
              <w:rPr>
                <w:rFonts w:cs="Arial"/>
              </w:rPr>
              <w:t>8</w:t>
            </w:r>
          </w:p>
        </w:tc>
        <w:tc>
          <w:tcPr>
            <w:tcW w:w="1525" w:type="dxa"/>
            <w:tcBorders>
              <w:top w:val="single" w:sz="4" w:space="0" w:color="auto"/>
              <w:left w:val="single" w:sz="4" w:space="0" w:color="auto"/>
              <w:bottom w:val="single" w:sz="4" w:space="0" w:color="auto"/>
              <w:right w:val="single" w:sz="4" w:space="0" w:color="auto"/>
            </w:tcBorders>
          </w:tcPr>
          <w:p w14:paraId="18C1DC0E" w14:textId="1F3ABC06" w:rsidR="00345812" w:rsidRDefault="00345812" w:rsidP="00345812">
            <w:pPr>
              <w:spacing w:after="60"/>
              <w:jc w:val="right"/>
              <w:rPr>
                <w:rFonts w:cs="Arial"/>
              </w:rPr>
            </w:pPr>
            <w:r>
              <w:rPr>
                <w:rFonts w:cs="Arial"/>
              </w:rPr>
              <w:t>7</w:t>
            </w:r>
          </w:p>
        </w:tc>
        <w:tc>
          <w:tcPr>
            <w:tcW w:w="1445" w:type="dxa"/>
            <w:tcBorders>
              <w:top w:val="single" w:sz="4" w:space="0" w:color="auto"/>
              <w:left w:val="single" w:sz="4" w:space="0" w:color="auto"/>
              <w:bottom w:val="single" w:sz="4" w:space="0" w:color="auto"/>
              <w:right w:val="single" w:sz="4" w:space="0" w:color="auto"/>
            </w:tcBorders>
          </w:tcPr>
          <w:p w14:paraId="6023B87C" w14:textId="6F92C33A" w:rsidR="00345812" w:rsidRDefault="00345812" w:rsidP="00345812">
            <w:pPr>
              <w:spacing w:after="60"/>
              <w:jc w:val="right"/>
              <w:rPr>
                <w:rFonts w:cs="Arial"/>
              </w:rPr>
            </w:pPr>
          </w:p>
        </w:tc>
      </w:tr>
      <w:tr w:rsidR="00345812" w14:paraId="186715F1"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6B1BB30C" w14:textId="70746850" w:rsidR="00345812" w:rsidRDefault="00345812" w:rsidP="00345812">
            <w:pPr>
              <w:spacing w:after="60"/>
              <w:rPr>
                <w:rFonts w:cs="Arial"/>
              </w:rPr>
            </w:pPr>
            <w:r>
              <w:rPr>
                <w:rFonts w:cs="Arial"/>
              </w:rPr>
              <w:t>ISIF annuitant deaths</w:t>
            </w:r>
          </w:p>
        </w:tc>
        <w:tc>
          <w:tcPr>
            <w:tcW w:w="1440" w:type="dxa"/>
            <w:tcBorders>
              <w:top w:val="single" w:sz="4" w:space="0" w:color="auto"/>
              <w:left w:val="single" w:sz="4" w:space="0" w:color="auto"/>
              <w:bottom w:val="single" w:sz="4" w:space="0" w:color="auto"/>
              <w:right w:val="single" w:sz="4" w:space="0" w:color="auto"/>
            </w:tcBorders>
          </w:tcPr>
          <w:p w14:paraId="20B0B093" w14:textId="2B4BE3C9" w:rsidR="00345812" w:rsidRPr="00A64F1B" w:rsidRDefault="00345812" w:rsidP="00345812">
            <w:pPr>
              <w:spacing w:after="60"/>
              <w:jc w:val="right"/>
              <w:rPr>
                <w:rFonts w:cs="Arial"/>
              </w:rPr>
            </w:pPr>
            <w:r>
              <w:rPr>
                <w:rFonts w:cs="Arial"/>
              </w:rPr>
              <w:t>7</w:t>
            </w:r>
          </w:p>
        </w:tc>
        <w:tc>
          <w:tcPr>
            <w:tcW w:w="1440" w:type="dxa"/>
            <w:tcBorders>
              <w:top w:val="single" w:sz="4" w:space="0" w:color="auto"/>
              <w:left w:val="single" w:sz="4" w:space="0" w:color="auto"/>
              <w:bottom w:val="single" w:sz="4" w:space="0" w:color="auto"/>
              <w:right w:val="single" w:sz="4" w:space="0" w:color="auto"/>
            </w:tcBorders>
          </w:tcPr>
          <w:p w14:paraId="3572A961" w14:textId="196E52F0" w:rsidR="00345812" w:rsidRPr="00A64F1B" w:rsidRDefault="00345812" w:rsidP="00345812">
            <w:pPr>
              <w:spacing w:after="60"/>
              <w:jc w:val="right"/>
              <w:rPr>
                <w:rFonts w:cs="Arial"/>
              </w:rPr>
            </w:pPr>
            <w:r>
              <w:rPr>
                <w:rFonts w:cs="Arial"/>
              </w:rPr>
              <w:t>4</w:t>
            </w:r>
          </w:p>
        </w:tc>
        <w:tc>
          <w:tcPr>
            <w:tcW w:w="1525" w:type="dxa"/>
            <w:tcBorders>
              <w:top w:val="single" w:sz="4" w:space="0" w:color="auto"/>
              <w:left w:val="single" w:sz="4" w:space="0" w:color="auto"/>
              <w:bottom w:val="single" w:sz="4" w:space="0" w:color="auto"/>
              <w:right w:val="single" w:sz="4" w:space="0" w:color="auto"/>
            </w:tcBorders>
          </w:tcPr>
          <w:p w14:paraId="0AD8CE00" w14:textId="38708E84" w:rsidR="00345812" w:rsidRDefault="00345812" w:rsidP="00345812">
            <w:pPr>
              <w:spacing w:after="60"/>
              <w:jc w:val="right"/>
              <w:rPr>
                <w:rFonts w:cs="Arial"/>
              </w:rPr>
            </w:pPr>
            <w:r>
              <w:rPr>
                <w:rFonts w:cs="Arial"/>
              </w:rPr>
              <w:t>8</w:t>
            </w:r>
          </w:p>
        </w:tc>
        <w:tc>
          <w:tcPr>
            <w:tcW w:w="1445" w:type="dxa"/>
            <w:tcBorders>
              <w:top w:val="single" w:sz="4" w:space="0" w:color="auto"/>
              <w:left w:val="single" w:sz="4" w:space="0" w:color="auto"/>
              <w:bottom w:val="single" w:sz="4" w:space="0" w:color="auto"/>
              <w:right w:val="single" w:sz="4" w:space="0" w:color="auto"/>
            </w:tcBorders>
          </w:tcPr>
          <w:p w14:paraId="3A638EB9" w14:textId="28D60980" w:rsidR="00345812" w:rsidRDefault="00345812" w:rsidP="00345812">
            <w:pPr>
              <w:spacing w:after="60"/>
              <w:jc w:val="right"/>
              <w:rPr>
                <w:rFonts w:cs="Arial"/>
              </w:rPr>
            </w:pPr>
          </w:p>
        </w:tc>
      </w:tr>
      <w:tr w:rsidR="00345812" w14:paraId="30C80F88"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3BF268C6" w14:textId="77777777"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postage pieces mailed - external</w:t>
            </w:r>
          </w:p>
        </w:tc>
        <w:tc>
          <w:tcPr>
            <w:tcW w:w="1440" w:type="dxa"/>
            <w:tcBorders>
              <w:top w:val="single" w:sz="4" w:space="0" w:color="auto"/>
              <w:left w:val="single" w:sz="4" w:space="0" w:color="auto"/>
              <w:bottom w:val="single" w:sz="4" w:space="0" w:color="auto"/>
              <w:right w:val="single" w:sz="4" w:space="0" w:color="auto"/>
            </w:tcBorders>
          </w:tcPr>
          <w:p w14:paraId="5DAA4DC4" w14:textId="511822D0" w:rsidR="00345812" w:rsidRDefault="00345812" w:rsidP="00345812">
            <w:pPr>
              <w:spacing w:after="60"/>
              <w:jc w:val="right"/>
              <w:rPr>
                <w:rFonts w:cs="Arial"/>
              </w:rPr>
            </w:pPr>
            <w:r>
              <w:rPr>
                <w:rFonts w:cs="Arial"/>
              </w:rPr>
              <w:t>11,267,356</w:t>
            </w:r>
          </w:p>
        </w:tc>
        <w:tc>
          <w:tcPr>
            <w:tcW w:w="1440" w:type="dxa"/>
            <w:tcBorders>
              <w:top w:val="single" w:sz="4" w:space="0" w:color="auto"/>
              <w:left w:val="single" w:sz="4" w:space="0" w:color="auto"/>
              <w:bottom w:val="single" w:sz="4" w:space="0" w:color="auto"/>
              <w:right w:val="single" w:sz="4" w:space="0" w:color="auto"/>
            </w:tcBorders>
          </w:tcPr>
          <w:p w14:paraId="6976503C" w14:textId="25FC5CA2" w:rsidR="00345812" w:rsidRDefault="00345812" w:rsidP="00345812">
            <w:pPr>
              <w:spacing w:after="60"/>
              <w:jc w:val="right"/>
              <w:rPr>
                <w:rFonts w:cs="Arial"/>
              </w:rPr>
            </w:pPr>
            <w:r>
              <w:t>12,561,875</w:t>
            </w:r>
          </w:p>
        </w:tc>
        <w:tc>
          <w:tcPr>
            <w:tcW w:w="1525" w:type="dxa"/>
            <w:tcBorders>
              <w:top w:val="single" w:sz="4" w:space="0" w:color="auto"/>
              <w:left w:val="single" w:sz="4" w:space="0" w:color="auto"/>
              <w:bottom w:val="single" w:sz="4" w:space="0" w:color="auto"/>
              <w:right w:val="single" w:sz="4" w:space="0" w:color="auto"/>
            </w:tcBorders>
          </w:tcPr>
          <w:p w14:paraId="7AF10D8C" w14:textId="5D7A68E0" w:rsidR="00345812" w:rsidRDefault="00345812" w:rsidP="00345812">
            <w:pPr>
              <w:spacing w:after="60"/>
              <w:jc w:val="right"/>
              <w:rPr>
                <w:rFonts w:cs="Arial"/>
              </w:rPr>
            </w:pPr>
            <w:r>
              <w:rPr>
                <w:rFonts w:cs="Arial"/>
              </w:rPr>
              <w:t>14,095,842</w:t>
            </w:r>
          </w:p>
        </w:tc>
        <w:tc>
          <w:tcPr>
            <w:tcW w:w="1445" w:type="dxa"/>
            <w:tcBorders>
              <w:top w:val="single" w:sz="4" w:space="0" w:color="auto"/>
              <w:left w:val="single" w:sz="4" w:space="0" w:color="auto"/>
              <w:bottom w:val="single" w:sz="4" w:space="0" w:color="auto"/>
              <w:right w:val="single" w:sz="4" w:space="0" w:color="auto"/>
            </w:tcBorders>
          </w:tcPr>
          <w:p w14:paraId="0CA1A874" w14:textId="0151CA91" w:rsidR="00345812" w:rsidRDefault="00345812" w:rsidP="00345812">
            <w:pPr>
              <w:spacing w:after="60"/>
              <w:jc w:val="right"/>
              <w:rPr>
                <w:rFonts w:cs="Arial"/>
              </w:rPr>
            </w:pPr>
          </w:p>
        </w:tc>
      </w:tr>
      <w:tr w:rsidR="00345812" w14:paraId="6F472FC9"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0608A063" w14:textId="77777777" w:rsidR="00345812" w:rsidRPr="000668EE" w:rsidRDefault="00345812" w:rsidP="00345812">
            <w:pPr>
              <w:spacing w:after="60"/>
              <w:rPr>
                <w:rFonts w:cs="Arial"/>
              </w:rPr>
            </w:pPr>
            <w:r w:rsidRPr="000668EE">
              <w:rPr>
                <w:rFonts w:cs="Arial"/>
              </w:rPr>
              <w:t xml:space="preserve"># </w:t>
            </w:r>
            <w:proofErr w:type="gramStart"/>
            <w:r w:rsidRPr="000668EE">
              <w:rPr>
                <w:rFonts w:cs="Arial"/>
              </w:rPr>
              <w:t>of</w:t>
            </w:r>
            <w:proofErr w:type="gramEnd"/>
            <w:r w:rsidRPr="000668EE">
              <w:rPr>
                <w:rFonts w:cs="Arial"/>
              </w:rPr>
              <w:t xml:space="preserve"> postage pieces mailed - interoffice</w:t>
            </w:r>
          </w:p>
        </w:tc>
        <w:tc>
          <w:tcPr>
            <w:tcW w:w="1440" w:type="dxa"/>
            <w:tcBorders>
              <w:top w:val="single" w:sz="4" w:space="0" w:color="auto"/>
              <w:left w:val="single" w:sz="4" w:space="0" w:color="auto"/>
              <w:bottom w:val="single" w:sz="4" w:space="0" w:color="auto"/>
              <w:right w:val="single" w:sz="4" w:space="0" w:color="auto"/>
            </w:tcBorders>
          </w:tcPr>
          <w:p w14:paraId="13FDB07D" w14:textId="3C1631CA" w:rsidR="00345812" w:rsidRDefault="00345812" w:rsidP="00345812">
            <w:pPr>
              <w:spacing w:after="60"/>
              <w:jc w:val="right"/>
              <w:rPr>
                <w:rFonts w:cs="Arial"/>
              </w:rPr>
            </w:pPr>
            <w:r>
              <w:rPr>
                <w:rFonts w:cs="Arial"/>
              </w:rPr>
              <w:t>735,107</w:t>
            </w:r>
          </w:p>
        </w:tc>
        <w:tc>
          <w:tcPr>
            <w:tcW w:w="1440" w:type="dxa"/>
            <w:tcBorders>
              <w:top w:val="single" w:sz="4" w:space="0" w:color="auto"/>
              <w:left w:val="single" w:sz="4" w:space="0" w:color="auto"/>
              <w:bottom w:val="single" w:sz="4" w:space="0" w:color="auto"/>
              <w:right w:val="single" w:sz="4" w:space="0" w:color="auto"/>
            </w:tcBorders>
          </w:tcPr>
          <w:p w14:paraId="06685992" w14:textId="3A80F91C" w:rsidR="00345812" w:rsidRDefault="00345812" w:rsidP="00345812">
            <w:pPr>
              <w:spacing w:after="60"/>
              <w:jc w:val="right"/>
              <w:rPr>
                <w:rFonts w:cs="Arial"/>
              </w:rPr>
            </w:pPr>
            <w:r>
              <w:t>738,697</w:t>
            </w:r>
          </w:p>
        </w:tc>
        <w:tc>
          <w:tcPr>
            <w:tcW w:w="1525" w:type="dxa"/>
            <w:tcBorders>
              <w:top w:val="single" w:sz="4" w:space="0" w:color="auto"/>
              <w:left w:val="single" w:sz="4" w:space="0" w:color="auto"/>
              <w:bottom w:val="single" w:sz="4" w:space="0" w:color="auto"/>
              <w:right w:val="single" w:sz="4" w:space="0" w:color="auto"/>
            </w:tcBorders>
          </w:tcPr>
          <w:p w14:paraId="6C40E551" w14:textId="00E18224" w:rsidR="00345812" w:rsidRDefault="00345812" w:rsidP="00345812">
            <w:pPr>
              <w:spacing w:after="60"/>
              <w:jc w:val="right"/>
              <w:rPr>
                <w:rFonts w:cs="Arial"/>
              </w:rPr>
            </w:pPr>
            <w:r>
              <w:rPr>
                <w:rFonts w:cs="Arial"/>
              </w:rPr>
              <w:t>749,810</w:t>
            </w:r>
          </w:p>
        </w:tc>
        <w:tc>
          <w:tcPr>
            <w:tcW w:w="1445" w:type="dxa"/>
            <w:tcBorders>
              <w:top w:val="single" w:sz="4" w:space="0" w:color="auto"/>
              <w:left w:val="single" w:sz="4" w:space="0" w:color="auto"/>
              <w:bottom w:val="single" w:sz="4" w:space="0" w:color="auto"/>
              <w:right w:val="single" w:sz="4" w:space="0" w:color="auto"/>
            </w:tcBorders>
          </w:tcPr>
          <w:p w14:paraId="10AA45DF" w14:textId="05644FA6" w:rsidR="00345812" w:rsidRDefault="00345812" w:rsidP="00345812">
            <w:pPr>
              <w:spacing w:after="60"/>
              <w:jc w:val="right"/>
              <w:rPr>
                <w:rFonts w:cs="Arial"/>
              </w:rPr>
            </w:pPr>
          </w:p>
        </w:tc>
      </w:tr>
      <w:tr w:rsidR="00345812" w14:paraId="21E1EAD0"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19011F91" w14:textId="77777777" w:rsidR="00345812" w:rsidRPr="000668EE" w:rsidRDefault="00345812" w:rsidP="00345812">
            <w:pPr>
              <w:rPr>
                <w:rFonts w:cs="Arial"/>
              </w:rPr>
            </w:pPr>
            <w:r>
              <w:rPr>
                <w:rFonts w:cs="Arial"/>
              </w:rPr>
              <w:t xml:space="preserve">$ </w:t>
            </w:r>
            <w:r w:rsidRPr="000668EE">
              <w:rPr>
                <w:rFonts w:cs="Arial"/>
              </w:rPr>
              <w:t>postal cost avoidance</w:t>
            </w:r>
          </w:p>
        </w:tc>
        <w:tc>
          <w:tcPr>
            <w:tcW w:w="1440" w:type="dxa"/>
            <w:tcBorders>
              <w:top w:val="single" w:sz="4" w:space="0" w:color="auto"/>
              <w:left w:val="single" w:sz="4" w:space="0" w:color="auto"/>
              <w:bottom w:val="single" w:sz="4" w:space="0" w:color="auto"/>
              <w:right w:val="single" w:sz="4" w:space="0" w:color="auto"/>
            </w:tcBorders>
          </w:tcPr>
          <w:p w14:paraId="5B24C6BB" w14:textId="664A3FD2" w:rsidR="00345812" w:rsidRDefault="00345812" w:rsidP="00345812">
            <w:pPr>
              <w:spacing w:after="60"/>
              <w:jc w:val="right"/>
              <w:rPr>
                <w:rFonts w:cs="Arial"/>
              </w:rPr>
            </w:pPr>
            <w:r>
              <w:rPr>
                <w:rFonts w:cs="Arial"/>
              </w:rPr>
              <w:t>$1,206,676</w:t>
            </w:r>
          </w:p>
        </w:tc>
        <w:tc>
          <w:tcPr>
            <w:tcW w:w="1440" w:type="dxa"/>
            <w:tcBorders>
              <w:top w:val="single" w:sz="4" w:space="0" w:color="auto"/>
              <w:left w:val="single" w:sz="4" w:space="0" w:color="auto"/>
              <w:bottom w:val="single" w:sz="4" w:space="0" w:color="auto"/>
              <w:right w:val="single" w:sz="4" w:space="0" w:color="auto"/>
            </w:tcBorders>
          </w:tcPr>
          <w:p w14:paraId="2CE8D198" w14:textId="497F4397" w:rsidR="00345812" w:rsidRDefault="00345812" w:rsidP="00345812">
            <w:pPr>
              <w:spacing w:after="60"/>
              <w:jc w:val="right"/>
              <w:rPr>
                <w:rFonts w:cs="Arial"/>
              </w:rPr>
            </w:pPr>
            <w:r>
              <w:t>$1,242,116</w:t>
            </w:r>
          </w:p>
        </w:tc>
        <w:tc>
          <w:tcPr>
            <w:tcW w:w="1525" w:type="dxa"/>
            <w:tcBorders>
              <w:top w:val="single" w:sz="4" w:space="0" w:color="auto"/>
              <w:left w:val="single" w:sz="4" w:space="0" w:color="auto"/>
              <w:bottom w:val="single" w:sz="4" w:space="0" w:color="auto"/>
              <w:right w:val="single" w:sz="4" w:space="0" w:color="auto"/>
            </w:tcBorders>
          </w:tcPr>
          <w:p w14:paraId="7ABD9001" w14:textId="3250D72A" w:rsidR="00345812" w:rsidRDefault="00345812" w:rsidP="00345812">
            <w:pPr>
              <w:spacing w:after="60"/>
              <w:jc w:val="right"/>
              <w:rPr>
                <w:rFonts w:cs="Arial"/>
              </w:rPr>
            </w:pPr>
            <w:r w:rsidRPr="008B5DB7">
              <w:rPr>
                <w:rFonts w:cs="Arial"/>
              </w:rPr>
              <w:t>$1,344,</w:t>
            </w:r>
            <w:r>
              <w:rPr>
                <w:rFonts w:cs="Arial"/>
              </w:rPr>
              <w:t>000</w:t>
            </w:r>
          </w:p>
        </w:tc>
        <w:tc>
          <w:tcPr>
            <w:tcW w:w="1445" w:type="dxa"/>
            <w:tcBorders>
              <w:top w:val="single" w:sz="4" w:space="0" w:color="auto"/>
              <w:left w:val="single" w:sz="4" w:space="0" w:color="auto"/>
              <w:bottom w:val="single" w:sz="4" w:space="0" w:color="auto"/>
              <w:right w:val="single" w:sz="4" w:space="0" w:color="auto"/>
            </w:tcBorders>
          </w:tcPr>
          <w:p w14:paraId="554A63C2" w14:textId="5595A4FF" w:rsidR="00345812" w:rsidRDefault="00345812" w:rsidP="00345812">
            <w:pPr>
              <w:spacing w:after="60"/>
              <w:jc w:val="right"/>
              <w:rPr>
                <w:rFonts w:cs="Arial"/>
              </w:rPr>
            </w:pPr>
          </w:p>
        </w:tc>
      </w:tr>
      <w:tr w:rsidR="00345812" w14:paraId="2E56D4B2" w14:textId="77777777" w:rsidTr="00A64F1B">
        <w:tc>
          <w:tcPr>
            <w:tcW w:w="4230" w:type="dxa"/>
            <w:tcBorders>
              <w:top w:val="single" w:sz="4" w:space="0" w:color="auto"/>
              <w:left w:val="single" w:sz="4" w:space="0" w:color="auto"/>
              <w:bottom w:val="single" w:sz="4" w:space="0" w:color="auto"/>
              <w:right w:val="single" w:sz="4" w:space="0" w:color="auto"/>
            </w:tcBorders>
            <w:vAlign w:val="center"/>
          </w:tcPr>
          <w:p w14:paraId="72F9DF2A" w14:textId="77777777" w:rsidR="00345812" w:rsidRDefault="00345812" w:rsidP="00345812">
            <w:pPr>
              <w:spacing w:after="60"/>
              <w:rPr>
                <w:rFonts w:cs="Arial"/>
              </w:rPr>
            </w:pPr>
            <w:r>
              <w:rPr>
                <w:rFonts w:cs="Arial"/>
              </w:rPr>
              <w:t xml:space="preserve"># </w:t>
            </w:r>
            <w:proofErr w:type="gramStart"/>
            <w:r>
              <w:rPr>
                <w:rFonts w:cs="Arial"/>
              </w:rPr>
              <w:t>of</w:t>
            </w:r>
            <w:proofErr w:type="gramEnd"/>
            <w:r>
              <w:rPr>
                <w:rFonts w:cs="Arial"/>
              </w:rPr>
              <w:t xml:space="preserve"> impressions made – Printing Services</w:t>
            </w:r>
          </w:p>
        </w:tc>
        <w:tc>
          <w:tcPr>
            <w:tcW w:w="1440" w:type="dxa"/>
            <w:tcBorders>
              <w:top w:val="single" w:sz="4" w:space="0" w:color="auto"/>
              <w:left w:val="single" w:sz="4" w:space="0" w:color="auto"/>
              <w:bottom w:val="single" w:sz="4" w:space="0" w:color="auto"/>
              <w:right w:val="single" w:sz="4" w:space="0" w:color="auto"/>
            </w:tcBorders>
          </w:tcPr>
          <w:p w14:paraId="76F33189" w14:textId="625B41E5" w:rsidR="00345812" w:rsidRDefault="00345812" w:rsidP="00345812">
            <w:pPr>
              <w:spacing w:after="60"/>
              <w:jc w:val="right"/>
              <w:rPr>
                <w:rFonts w:cs="Arial"/>
              </w:rPr>
            </w:pPr>
            <w:r>
              <w:rPr>
                <w:rFonts w:cs="Arial"/>
              </w:rPr>
              <w:t>1,625,260</w:t>
            </w:r>
          </w:p>
        </w:tc>
        <w:tc>
          <w:tcPr>
            <w:tcW w:w="1440" w:type="dxa"/>
            <w:tcBorders>
              <w:top w:val="single" w:sz="4" w:space="0" w:color="auto"/>
              <w:left w:val="single" w:sz="4" w:space="0" w:color="auto"/>
              <w:bottom w:val="single" w:sz="4" w:space="0" w:color="auto"/>
              <w:right w:val="single" w:sz="4" w:space="0" w:color="auto"/>
            </w:tcBorders>
          </w:tcPr>
          <w:p w14:paraId="6AC04888" w14:textId="61FBCDA6" w:rsidR="00345812" w:rsidRDefault="00345812" w:rsidP="00345812">
            <w:pPr>
              <w:spacing w:after="60"/>
              <w:jc w:val="right"/>
              <w:rPr>
                <w:rFonts w:cs="Arial"/>
              </w:rPr>
            </w:pPr>
            <w:r>
              <w:t>1,325,349</w:t>
            </w:r>
          </w:p>
        </w:tc>
        <w:tc>
          <w:tcPr>
            <w:tcW w:w="1525" w:type="dxa"/>
            <w:tcBorders>
              <w:top w:val="single" w:sz="4" w:space="0" w:color="auto"/>
              <w:left w:val="single" w:sz="4" w:space="0" w:color="auto"/>
              <w:bottom w:val="single" w:sz="4" w:space="0" w:color="auto"/>
              <w:right w:val="single" w:sz="4" w:space="0" w:color="auto"/>
            </w:tcBorders>
          </w:tcPr>
          <w:p w14:paraId="6DAB7BAB" w14:textId="140D42E2" w:rsidR="00345812" w:rsidRDefault="00345812" w:rsidP="00345812">
            <w:pPr>
              <w:spacing w:after="60"/>
              <w:jc w:val="right"/>
              <w:rPr>
                <w:rFonts w:cs="Arial"/>
              </w:rPr>
            </w:pPr>
            <w:r>
              <w:rPr>
                <w:rFonts w:cs="Arial"/>
              </w:rPr>
              <w:t>1,282,598</w:t>
            </w:r>
          </w:p>
        </w:tc>
        <w:tc>
          <w:tcPr>
            <w:tcW w:w="1445" w:type="dxa"/>
            <w:tcBorders>
              <w:top w:val="single" w:sz="4" w:space="0" w:color="auto"/>
              <w:left w:val="single" w:sz="4" w:space="0" w:color="auto"/>
              <w:bottom w:val="single" w:sz="4" w:space="0" w:color="auto"/>
              <w:right w:val="single" w:sz="4" w:space="0" w:color="auto"/>
            </w:tcBorders>
          </w:tcPr>
          <w:p w14:paraId="66B44F65" w14:textId="0F99BF1A" w:rsidR="00345812" w:rsidRDefault="00345812" w:rsidP="00345812">
            <w:pPr>
              <w:spacing w:after="60"/>
              <w:jc w:val="right"/>
              <w:rPr>
                <w:rFonts w:cs="Arial"/>
              </w:rPr>
            </w:pPr>
          </w:p>
        </w:tc>
      </w:tr>
      <w:tr w:rsidR="00345812" w14:paraId="7E60F06C" w14:textId="77777777" w:rsidTr="004216C2">
        <w:tc>
          <w:tcPr>
            <w:tcW w:w="10080" w:type="dxa"/>
            <w:gridSpan w:val="5"/>
          </w:tcPr>
          <w:p w14:paraId="542A85EE" w14:textId="77777777" w:rsidR="00345812" w:rsidRDefault="00345812" w:rsidP="00345812">
            <w:pPr>
              <w:spacing w:after="60"/>
              <w:rPr>
                <w:rFonts w:cs="Arial"/>
              </w:rPr>
            </w:pPr>
            <w:bookmarkStart w:id="6" w:name="_Hlk518993829"/>
            <w:bookmarkStart w:id="7" w:name="_Hlk47100354"/>
            <w:r>
              <w:rPr>
                <w:rFonts w:cs="Arial"/>
                <w:b/>
                <w:u w:val="single"/>
              </w:rPr>
              <w:t>Purchasing Division:</w:t>
            </w:r>
          </w:p>
        </w:tc>
      </w:tr>
      <w:bookmarkEnd w:id="6"/>
      <w:bookmarkEnd w:id="7"/>
      <w:tr w:rsidR="00AE6942" w14:paraId="68EF24AD" w14:textId="77777777" w:rsidTr="00365596">
        <w:tc>
          <w:tcPr>
            <w:tcW w:w="4230" w:type="dxa"/>
          </w:tcPr>
          <w:p w14:paraId="67F44DD4" w14:textId="77777777" w:rsidR="00AE6942" w:rsidRPr="00E60A29" w:rsidRDefault="00AE6942" w:rsidP="00AE6942">
            <w:pPr>
              <w:pStyle w:val="NoSpacing"/>
              <w:rPr>
                <w:rFonts w:ascii="Arial" w:hAnsi="Arial" w:cs="Arial"/>
                <w:sz w:val="20"/>
                <w:szCs w:val="20"/>
              </w:rPr>
            </w:pPr>
            <w:r w:rsidRPr="00E60A29">
              <w:rPr>
                <w:rFonts w:ascii="Arial" w:hAnsi="Arial" w:cs="Arial"/>
                <w:sz w:val="20"/>
                <w:szCs w:val="20"/>
              </w:rPr>
              <w:t xml:space="preserve"># </w:t>
            </w:r>
            <w:proofErr w:type="gramStart"/>
            <w:r w:rsidRPr="00E60A29">
              <w:rPr>
                <w:rFonts w:ascii="Arial" w:hAnsi="Arial" w:cs="Arial"/>
                <w:sz w:val="20"/>
                <w:szCs w:val="20"/>
              </w:rPr>
              <w:t>of</w:t>
            </w:r>
            <w:proofErr w:type="gramEnd"/>
            <w:r w:rsidRPr="00E60A29">
              <w:rPr>
                <w:rFonts w:ascii="Arial" w:hAnsi="Arial" w:cs="Arial"/>
                <w:sz w:val="20"/>
                <w:szCs w:val="20"/>
              </w:rPr>
              <w:t xml:space="preserve"> contracts issued/value </w:t>
            </w:r>
          </w:p>
        </w:tc>
        <w:tc>
          <w:tcPr>
            <w:tcW w:w="1440" w:type="dxa"/>
          </w:tcPr>
          <w:p w14:paraId="225A9BC1" w14:textId="55745244" w:rsidR="00AE6942" w:rsidRDefault="00AE6942" w:rsidP="00AE6942">
            <w:pPr>
              <w:spacing w:after="60"/>
              <w:jc w:val="right"/>
              <w:rPr>
                <w:rFonts w:cs="Arial"/>
              </w:rPr>
            </w:pPr>
            <w:r>
              <w:t>710 / $374M </w:t>
            </w:r>
          </w:p>
        </w:tc>
        <w:tc>
          <w:tcPr>
            <w:tcW w:w="1440" w:type="dxa"/>
          </w:tcPr>
          <w:p w14:paraId="0915F782" w14:textId="6A84CFBF" w:rsidR="00AE6942" w:rsidRDefault="00AE6942" w:rsidP="00AE6942">
            <w:pPr>
              <w:spacing w:after="60"/>
              <w:jc w:val="right"/>
              <w:rPr>
                <w:rFonts w:cs="Arial"/>
              </w:rPr>
            </w:pPr>
            <w:r>
              <w:rPr>
                <w:rFonts w:cs="Arial"/>
              </w:rPr>
              <w:t>367 / $861 M</w:t>
            </w:r>
          </w:p>
        </w:tc>
        <w:tc>
          <w:tcPr>
            <w:tcW w:w="1525" w:type="dxa"/>
          </w:tcPr>
          <w:p w14:paraId="2AC4F924" w14:textId="0422B273" w:rsidR="00AE6942" w:rsidRDefault="00AE6942" w:rsidP="00AE6942">
            <w:pPr>
              <w:spacing w:after="60"/>
              <w:jc w:val="right"/>
              <w:rPr>
                <w:rFonts w:cs="Arial"/>
              </w:rPr>
            </w:pPr>
            <w:r>
              <w:rPr>
                <w:rFonts w:cs="Arial"/>
              </w:rPr>
              <w:t>624 / $2B</w:t>
            </w:r>
          </w:p>
        </w:tc>
        <w:tc>
          <w:tcPr>
            <w:tcW w:w="1445" w:type="dxa"/>
          </w:tcPr>
          <w:p w14:paraId="6196956B" w14:textId="3924A851" w:rsidR="00AE6942" w:rsidRDefault="00AE6942" w:rsidP="00AE6942">
            <w:pPr>
              <w:spacing w:after="60"/>
              <w:jc w:val="center"/>
              <w:rPr>
                <w:rFonts w:cs="Arial"/>
              </w:rPr>
            </w:pPr>
          </w:p>
        </w:tc>
      </w:tr>
      <w:tr w:rsidR="00AE6942" w14:paraId="1F6688FC" w14:textId="77777777" w:rsidTr="00365596">
        <w:tc>
          <w:tcPr>
            <w:tcW w:w="4230" w:type="dxa"/>
          </w:tcPr>
          <w:p w14:paraId="395EF5E3"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purchasing personnel trained/man hours</w:t>
            </w:r>
          </w:p>
        </w:tc>
        <w:tc>
          <w:tcPr>
            <w:tcW w:w="1440" w:type="dxa"/>
          </w:tcPr>
          <w:p w14:paraId="0B0BD4AB" w14:textId="42249402" w:rsidR="00AE6942" w:rsidRDefault="00AE6942" w:rsidP="00AE6942">
            <w:pPr>
              <w:spacing w:after="60"/>
              <w:jc w:val="right"/>
              <w:rPr>
                <w:rFonts w:cs="Arial"/>
              </w:rPr>
            </w:pPr>
            <w:r>
              <w:t>525 / 119 </w:t>
            </w:r>
          </w:p>
        </w:tc>
        <w:tc>
          <w:tcPr>
            <w:tcW w:w="1440" w:type="dxa"/>
          </w:tcPr>
          <w:p w14:paraId="5FEA575F" w14:textId="104EED57" w:rsidR="00AE6942" w:rsidRDefault="00AE6942" w:rsidP="00AE6942">
            <w:pPr>
              <w:spacing w:after="60"/>
              <w:jc w:val="right"/>
              <w:rPr>
                <w:rFonts w:cs="Arial"/>
              </w:rPr>
            </w:pPr>
            <w:r>
              <w:rPr>
                <w:rFonts w:cs="Arial"/>
              </w:rPr>
              <w:t>542 / 147</w:t>
            </w:r>
          </w:p>
        </w:tc>
        <w:tc>
          <w:tcPr>
            <w:tcW w:w="1525" w:type="dxa"/>
          </w:tcPr>
          <w:p w14:paraId="3C26BAA4" w14:textId="3EF3E990" w:rsidR="00AE6942" w:rsidRDefault="00AE6942" w:rsidP="00AE6942">
            <w:pPr>
              <w:spacing w:after="60"/>
              <w:jc w:val="right"/>
              <w:rPr>
                <w:rFonts w:cs="Arial"/>
              </w:rPr>
            </w:pPr>
            <w:r>
              <w:rPr>
                <w:rFonts w:cs="Arial"/>
              </w:rPr>
              <w:t>468 / 83</w:t>
            </w:r>
            <w:r w:rsidRPr="00F9407D">
              <w:rPr>
                <w:rFonts w:cs="Arial"/>
                <w:color w:val="FF33CC"/>
              </w:rPr>
              <w:t>***</w:t>
            </w:r>
          </w:p>
        </w:tc>
        <w:tc>
          <w:tcPr>
            <w:tcW w:w="1445" w:type="dxa"/>
          </w:tcPr>
          <w:p w14:paraId="34D30B55" w14:textId="3DEB4E61" w:rsidR="00AE6942" w:rsidRDefault="00AE6942" w:rsidP="00AE6942">
            <w:pPr>
              <w:spacing w:after="60"/>
              <w:jc w:val="center"/>
              <w:rPr>
                <w:rFonts w:cs="Arial"/>
              </w:rPr>
            </w:pPr>
          </w:p>
        </w:tc>
      </w:tr>
      <w:tr w:rsidR="00AE6942" w14:paraId="43506CE7" w14:textId="77777777" w:rsidTr="00365596">
        <w:tc>
          <w:tcPr>
            <w:tcW w:w="4230" w:type="dxa"/>
          </w:tcPr>
          <w:p w14:paraId="3BA1DB80"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P-card transactions</w:t>
            </w:r>
          </w:p>
        </w:tc>
        <w:tc>
          <w:tcPr>
            <w:tcW w:w="1440" w:type="dxa"/>
          </w:tcPr>
          <w:p w14:paraId="4B6EA0EE" w14:textId="2E5413AD" w:rsidR="00AE6942" w:rsidRDefault="00AE6942" w:rsidP="00AE6942">
            <w:pPr>
              <w:spacing w:after="60"/>
              <w:jc w:val="right"/>
              <w:rPr>
                <w:rFonts w:cs="Arial"/>
              </w:rPr>
            </w:pPr>
            <w:r>
              <w:t>330,723</w:t>
            </w:r>
          </w:p>
        </w:tc>
        <w:tc>
          <w:tcPr>
            <w:tcW w:w="1440" w:type="dxa"/>
          </w:tcPr>
          <w:p w14:paraId="6E20A5B9" w14:textId="6A83AFEF" w:rsidR="00AE6942" w:rsidRDefault="00AE6942" w:rsidP="00AE6942">
            <w:pPr>
              <w:spacing w:after="60"/>
              <w:jc w:val="right"/>
              <w:rPr>
                <w:rFonts w:cs="Arial"/>
              </w:rPr>
            </w:pPr>
            <w:r>
              <w:rPr>
                <w:rFonts w:cs="Arial"/>
              </w:rPr>
              <w:t>276,371</w:t>
            </w:r>
          </w:p>
        </w:tc>
        <w:tc>
          <w:tcPr>
            <w:tcW w:w="1525" w:type="dxa"/>
          </w:tcPr>
          <w:p w14:paraId="75828D2F" w14:textId="590146BA" w:rsidR="00AE6942" w:rsidRDefault="00AE6942" w:rsidP="00AE6942">
            <w:pPr>
              <w:spacing w:after="60"/>
              <w:jc w:val="right"/>
              <w:rPr>
                <w:rFonts w:cs="Arial"/>
              </w:rPr>
            </w:pPr>
            <w:r>
              <w:rPr>
                <w:rFonts w:cs="Arial"/>
              </w:rPr>
              <w:t>224,054</w:t>
            </w:r>
          </w:p>
        </w:tc>
        <w:tc>
          <w:tcPr>
            <w:tcW w:w="1445" w:type="dxa"/>
          </w:tcPr>
          <w:p w14:paraId="2C6F4254" w14:textId="25FE5E0E" w:rsidR="00AE6942" w:rsidRDefault="00AE6942" w:rsidP="00AE6942">
            <w:pPr>
              <w:spacing w:after="60"/>
              <w:jc w:val="center"/>
              <w:rPr>
                <w:rFonts w:cs="Arial"/>
              </w:rPr>
            </w:pPr>
          </w:p>
        </w:tc>
      </w:tr>
      <w:tr w:rsidR="00AE6942" w14:paraId="366C3096" w14:textId="77777777" w:rsidTr="00365596">
        <w:tc>
          <w:tcPr>
            <w:tcW w:w="4230" w:type="dxa"/>
          </w:tcPr>
          <w:p w14:paraId="7F6EB254" w14:textId="77777777" w:rsidR="00AE6942" w:rsidRDefault="00AE6942" w:rsidP="00AE6942">
            <w:pPr>
              <w:pStyle w:val="Header"/>
              <w:tabs>
                <w:tab w:val="clear" w:pos="4320"/>
                <w:tab w:val="clear" w:pos="8640"/>
              </w:tabs>
              <w:spacing w:after="60"/>
              <w:rPr>
                <w:rFonts w:cs="Arial"/>
              </w:rPr>
            </w:pPr>
            <w:r>
              <w:rPr>
                <w:rFonts w:cs="Arial"/>
              </w:rPr>
              <w:t>$ total value of P-card usage</w:t>
            </w:r>
          </w:p>
        </w:tc>
        <w:tc>
          <w:tcPr>
            <w:tcW w:w="1440" w:type="dxa"/>
          </w:tcPr>
          <w:p w14:paraId="54BC4D9B" w14:textId="210344C9" w:rsidR="00AE6942" w:rsidRDefault="00AE6942" w:rsidP="00AE6942">
            <w:pPr>
              <w:spacing w:after="60"/>
              <w:jc w:val="right"/>
              <w:rPr>
                <w:rFonts w:cs="Arial"/>
              </w:rPr>
            </w:pPr>
            <w:r>
              <w:t>$81,839,812 </w:t>
            </w:r>
          </w:p>
        </w:tc>
        <w:tc>
          <w:tcPr>
            <w:tcW w:w="1440" w:type="dxa"/>
          </w:tcPr>
          <w:p w14:paraId="56FA0E58" w14:textId="15728620" w:rsidR="00AE6942" w:rsidRDefault="00AE6942" w:rsidP="00AE6942">
            <w:pPr>
              <w:spacing w:after="60"/>
              <w:jc w:val="right"/>
              <w:rPr>
                <w:rFonts w:cs="Arial"/>
              </w:rPr>
            </w:pPr>
            <w:r w:rsidRPr="00CB5182">
              <w:rPr>
                <w:rFonts w:cs="Arial"/>
                <w:szCs w:val="22"/>
              </w:rPr>
              <w:t>$68,073,266</w:t>
            </w:r>
          </w:p>
        </w:tc>
        <w:tc>
          <w:tcPr>
            <w:tcW w:w="1525" w:type="dxa"/>
          </w:tcPr>
          <w:p w14:paraId="52053A68" w14:textId="65902874" w:rsidR="00AE6942" w:rsidRPr="008913F6" w:rsidRDefault="00AE6942" w:rsidP="00AE6942">
            <w:pPr>
              <w:spacing w:after="60"/>
              <w:jc w:val="right"/>
              <w:rPr>
                <w:rFonts w:ascii="Calibri" w:hAnsi="Calibri"/>
                <w:szCs w:val="22"/>
              </w:rPr>
            </w:pPr>
            <w:r w:rsidRPr="008B5DB7">
              <w:rPr>
                <w:rFonts w:cs="Arial"/>
                <w:bCs/>
                <w:szCs w:val="20"/>
              </w:rPr>
              <w:t>$56,188,426</w:t>
            </w:r>
          </w:p>
        </w:tc>
        <w:tc>
          <w:tcPr>
            <w:tcW w:w="1445" w:type="dxa"/>
          </w:tcPr>
          <w:p w14:paraId="2D9E8BF6" w14:textId="6825193C" w:rsidR="00AE6942" w:rsidRPr="008B5DB7" w:rsidRDefault="00AE6942" w:rsidP="00AE6942">
            <w:pPr>
              <w:spacing w:after="60"/>
              <w:jc w:val="right"/>
              <w:rPr>
                <w:rFonts w:cs="Arial"/>
                <w:bCs/>
                <w:szCs w:val="22"/>
              </w:rPr>
            </w:pPr>
          </w:p>
        </w:tc>
      </w:tr>
      <w:tr w:rsidR="00AE6942" w14:paraId="457CB83E" w14:textId="77777777" w:rsidTr="00365596">
        <w:tc>
          <w:tcPr>
            <w:tcW w:w="4230" w:type="dxa"/>
          </w:tcPr>
          <w:p w14:paraId="6F90CA9F" w14:textId="77777777" w:rsidR="00AE6942" w:rsidRDefault="00AE6942" w:rsidP="00AE6942">
            <w:pPr>
              <w:spacing w:after="60"/>
              <w:rPr>
                <w:rFonts w:cs="Arial"/>
              </w:rPr>
            </w:pPr>
            <w:r>
              <w:rPr>
                <w:rFonts w:cs="Arial"/>
              </w:rPr>
              <w:lastRenderedPageBreak/>
              <w:t>$ of Federal Surplus Property (FSP) items sold</w:t>
            </w:r>
          </w:p>
        </w:tc>
        <w:tc>
          <w:tcPr>
            <w:tcW w:w="1440" w:type="dxa"/>
          </w:tcPr>
          <w:p w14:paraId="20BA37B1" w14:textId="76BEDF6C" w:rsidR="00AE6942" w:rsidRDefault="00AE6942" w:rsidP="00AE6942">
            <w:pPr>
              <w:spacing w:after="60"/>
              <w:jc w:val="right"/>
              <w:rPr>
                <w:rFonts w:cs="Arial"/>
              </w:rPr>
            </w:pPr>
            <w:r>
              <w:t>$505,858</w:t>
            </w:r>
          </w:p>
        </w:tc>
        <w:tc>
          <w:tcPr>
            <w:tcW w:w="1440" w:type="dxa"/>
          </w:tcPr>
          <w:p w14:paraId="22F73394" w14:textId="138E3AC2" w:rsidR="00AE6942" w:rsidRDefault="00AE6942" w:rsidP="00AE6942">
            <w:pPr>
              <w:spacing w:after="60"/>
              <w:jc w:val="right"/>
              <w:rPr>
                <w:rFonts w:cs="Arial"/>
              </w:rPr>
            </w:pPr>
            <w:r>
              <w:rPr>
                <w:rFonts w:cs="Arial"/>
              </w:rPr>
              <w:t>$462,882.89</w:t>
            </w:r>
          </w:p>
        </w:tc>
        <w:tc>
          <w:tcPr>
            <w:tcW w:w="1525" w:type="dxa"/>
          </w:tcPr>
          <w:p w14:paraId="00828A0A" w14:textId="5270D627" w:rsidR="00AE6942" w:rsidRDefault="00AE6942" w:rsidP="00AE6942">
            <w:pPr>
              <w:spacing w:after="60"/>
              <w:jc w:val="right"/>
              <w:rPr>
                <w:rFonts w:cs="Arial"/>
              </w:rPr>
            </w:pPr>
            <w:r w:rsidRPr="008B5DB7">
              <w:rPr>
                <w:rFonts w:cs="Arial"/>
                <w:bCs/>
                <w:szCs w:val="20"/>
              </w:rPr>
              <w:t>$406,228.60</w:t>
            </w:r>
          </w:p>
        </w:tc>
        <w:tc>
          <w:tcPr>
            <w:tcW w:w="1445" w:type="dxa"/>
          </w:tcPr>
          <w:p w14:paraId="2AF649DF" w14:textId="113EE656" w:rsidR="00AE6942" w:rsidRPr="008B5DB7" w:rsidRDefault="00AE6942" w:rsidP="00AE6942">
            <w:pPr>
              <w:spacing w:after="60"/>
              <w:jc w:val="right"/>
              <w:rPr>
                <w:rFonts w:cs="Arial"/>
                <w:bCs/>
              </w:rPr>
            </w:pPr>
          </w:p>
        </w:tc>
      </w:tr>
      <w:tr w:rsidR="00AE6942" w14:paraId="5FDB040F" w14:textId="77777777" w:rsidTr="00365596">
        <w:tc>
          <w:tcPr>
            <w:tcW w:w="4230" w:type="dxa"/>
          </w:tcPr>
          <w:p w14:paraId="5CB50BC2" w14:textId="77777777" w:rsidR="00AE6942" w:rsidRDefault="00AE6942" w:rsidP="00AE6942">
            <w:pPr>
              <w:spacing w:after="60"/>
              <w:rPr>
                <w:rFonts w:cs="Arial"/>
              </w:rPr>
            </w:pPr>
            <w:bookmarkStart w:id="8" w:name="_Hlk518993853"/>
            <w:r>
              <w:rPr>
                <w:rFonts w:cs="Arial"/>
              </w:rPr>
              <w:t>FSP’s Average cost savings to public entities</w:t>
            </w:r>
          </w:p>
        </w:tc>
        <w:tc>
          <w:tcPr>
            <w:tcW w:w="1440" w:type="dxa"/>
          </w:tcPr>
          <w:p w14:paraId="289102EB" w14:textId="4DD4806A" w:rsidR="00AE6942" w:rsidRDefault="00AE6942" w:rsidP="00AE6942">
            <w:pPr>
              <w:spacing w:after="60"/>
              <w:jc w:val="right"/>
              <w:rPr>
                <w:rFonts w:cs="Arial"/>
              </w:rPr>
            </w:pPr>
            <w:r>
              <w:t xml:space="preserve">84.24% </w:t>
            </w:r>
            <w:r>
              <w:rPr>
                <w:b/>
                <w:bCs/>
                <w:color w:val="FF3399"/>
              </w:rPr>
              <w:t>**</w:t>
            </w:r>
          </w:p>
        </w:tc>
        <w:tc>
          <w:tcPr>
            <w:tcW w:w="1440" w:type="dxa"/>
          </w:tcPr>
          <w:p w14:paraId="5E29CB5C" w14:textId="6C4F5213" w:rsidR="00AE6942" w:rsidRDefault="00AE6942" w:rsidP="00AE6942">
            <w:pPr>
              <w:spacing w:after="60"/>
              <w:jc w:val="right"/>
              <w:rPr>
                <w:rFonts w:cs="Arial"/>
              </w:rPr>
            </w:pPr>
            <w:r>
              <w:t>74.01%</w:t>
            </w:r>
            <w:r>
              <w:rPr>
                <w:b/>
                <w:bCs/>
                <w:color w:val="FF3399"/>
              </w:rPr>
              <w:t>**</w:t>
            </w:r>
          </w:p>
        </w:tc>
        <w:tc>
          <w:tcPr>
            <w:tcW w:w="1525" w:type="dxa"/>
          </w:tcPr>
          <w:p w14:paraId="046B6809" w14:textId="3A0C8E80" w:rsidR="00AE6942" w:rsidRDefault="00AE6942" w:rsidP="00AE6942">
            <w:pPr>
              <w:spacing w:after="60"/>
              <w:jc w:val="right"/>
              <w:rPr>
                <w:rFonts w:cs="Arial"/>
              </w:rPr>
            </w:pPr>
            <w:r w:rsidRPr="008B5DB7">
              <w:rPr>
                <w:rFonts w:cs="Arial"/>
                <w:bCs/>
                <w:szCs w:val="20"/>
              </w:rPr>
              <w:t>70.70%</w:t>
            </w:r>
            <w:r w:rsidRPr="008B5DB7">
              <w:rPr>
                <w:rFonts w:cs="Arial"/>
                <w:bCs/>
                <w:color w:val="FF3399"/>
                <w:szCs w:val="20"/>
              </w:rPr>
              <w:t>**</w:t>
            </w:r>
          </w:p>
        </w:tc>
        <w:tc>
          <w:tcPr>
            <w:tcW w:w="1445" w:type="dxa"/>
          </w:tcPr>
          <w:p w14:paraId="2782CC0E" w14:textId="5364C4F8" w:rsidR="00AE6942" w:rsidRPr="008B5DB7" w:rsidRDefault="00AE6942" w:rsidP="00AE6942">
            <w:pPr>
              <w:spacing w:after="60"/>
              <w:jc w:val="center"/>
              <w:rPr>
                <w:rFonts w:cs="Arial"/>
                <w:bCs/>
              </w:rPr>
            </w:pPr>
          </w:p>
        </w:tc>
      </w:tr>
      <w:tr w:rsidR="00AE6942" w14:paraId="4A48ECFB" w14:textId="77777777" w:rsidTr="004216C2">
        <w:tc>
          <w:tcPr>
            <w:tcW w:w="10080" w:type="dxa"/>
            <w:gridSpan w:val="5"/>
            <w:vAlign w:val="center"/>
          </w:tcPr>
          <w:p w14:paraId="70379E85" w14:textId="18E5B2C4" w:rsidR="00AE6942" w:rsidRPr="00686C82" w:rsidRDefault="00AE6942" w:rsidP="00AE6942">
            <w:pPr>
              <w:jc w:val="both"/>
              <w:rPr>
                <w:rFonts w:cs="Arial"/>
                <w:b/>
                <w:bCs/>
                <w:szCs w:val="20"/>
              </w:rPr>
            </w:pPr>
            <w:bookmarkStart w:id="9" w:name="_Hlk47452485"/>
            <w:bookmarkEnd w:id="8"/>
            <w:r>
              <w:rPr>
                <w:rFonts w:cs="Arial"/>
                <w:b/>
                <w:bCs/>
                <w:szCs w:val="20"/>
              </w:rPr>
              <w:t>Key Services Explanatory Notes:</w:t>
            </w:r>
          </w:p>
          <w:p w14:paraId="0C5478CC" w14:textId="53D8C45A" w:rsidR="00AE6942" w:rsidRPr="00264D61" w:rsidRDefault="00AE6942" w:rsidP="00AE6942">
            <w:bookmarkStart w:id="10" w:name="_Hlk16582333"/>
            <w:r w:rsidRPr="00264D61">
              <w:rPr>
                <w:rFonts w:cs="Arial"/>
                <w:color w:val="FF3399"/>
                <w:sz w:val="22"/>
                <w:szCs w:val="22"/>
              </w:rPr>
              <w:t>*</w:t>
            </w:r>
            <w:r w:rsidRPr="00264D61">
              <w:t xml:space="preserve">Historically, DOP has reported on the total number of personnel trained and the total number of contact hours (i.e., training hours X personnel trained).  For FY18 and going forward, DOP will report instead on total number of personnel trained and the number of direct hours spent training by DOP personnel. It clearly expresses the time dedicated by DOP to training and is far easier to report on accurately.  </w:t>
            </w:r>
          </w:p>
          <w:p w14:paraId="1FAAEEE5" w14:textId="77777777" w:rsidR="00AE6942" w:rsidRDefault="00AE6942" w:rsidP="00AE6942">
            <w:pPr>
              <w:jc w:val="both"/>
              <w:rPr>
                <w:rFonts w:cs="Arial"/>
                <w:bCs/>
                <w:szCs w:val="20"/>
              </w:rPr>
            </w:pPr>
            <w:bookmarkStart w:id="11" w:name="_Hlk521929478"/>
            <w:bookmarkEnd w:id="10"/>
            <w:r w:rsidRPr="00264D61">
              <w:rPr>
                <w:rFonts w:cs="Arial"/>
                <w:b/>
                <w:bCs/>
                <w:color w:val="FF3399"/>
                <w:sz w:val="22"/>
                <w:szCs w:val="22"/>
              </w:rPr>
              <w:t>**</w:t>
            </w:r>
            <w:r w:rsidRPr="00264D61">
              <w:rPr>
                <w:rFonts w:cs="Arial"/>
                <w:b/>
                <w:bCs/>
                <w:color w:val="FF3399"/>
                <w:szCs w:val="20"/>
              </w:rPr>
              <w:t xml:space="preserve"> </w:t>
            </w:r>
            <w:r w:rsidRPr="00264D61">
              <w:rPr>
                <w:rFonts w:cs="Arial"/>
                <w:bCs/>
                <w:szCs w:val="20"/>
              </w:rPr>
              <w:t xml:space="preserve">The Federal Surplus Property (FSP) average costs savings to public entities is calculated by comparing the market value of products sold to the price paid by the </w:t>
            </w:r>
            <w:proofErr w:type="spellStart"/>
            <w:r w:rsidRPr="00264D61">
              <w:rPr>
                <w:rFonts w:cs="Arial"/>
                <w:bCs/>
                <w:szCs w:val="20"/>
              </w:rPr>
              <w:t>donee</w:t>
            </w:r>
            <w:proofErr w:type="spellEnd"/>
            <w:r w:rsidRPr="00264D61">
              <w:rPr>
                <w:rFonts w:cs="Arial"/>
                <w:bCs/>
                <w:szCs w:val="20"/>
              </w:rPr>
              <w:t>.</w:t>
            </w:r>
            <w:bookmarkEnd w:id="11"/>
          </w:p>
          <w:p w14:paraId="7B9B9749" w14:textId="77777777" w:rsidR="00AE6942" w:rsidRPr="00264D61" w:rsidRDefault="00AE6942" w:rsidP="00AE6942">
            <w:pPr>
              <w:jc w:val="both"/>
              <w:rPr>
                <w:rFonts w:cs="Arial"/>
                <w:bCs/>
                <w:szCs w:val="20"/>
              </w:rPr>
            </w:pPr>
            <w:r w:rsidRPr="00D1417B">
              <w:rPr>
                <w:rFonts w:cs="Arial"/>
                <w:bCs/>
                <w:color w:val="FF33CC"/>
                <w:szCs w:val="20"/>
              </w:rPr>
              <w:t>***</w:t>
            </w:r>
            <w:r>
              <w:rPr>
                <w:rFonts w:cs="Arial"/>
                <w:bCs/>
                <w:szCs w:val="20"/>
              </w:rPr>
              <w:t xml:space="preserve"> The number of direct hours spent training by DOP personnel has decreased and will continue to decrease significantly as DOP converts most of its training to on-demand online training.  This change allows more state employees to access DOP training and is a more efficient use of DOP’s resources.  </w:t>
            </w:r>
          </w:p>
          <w:p w14:paraId="5032DCAE" w14:textId="77777777" w:rsidR="00AE6942" w:rsidRPr="008F4962" w:rsidRDefault="00AE6942" w:rsidP="00AE6942">
            <w:pPr>
              <w:jc w:val="both"/>
              <w:rPr>
                <w:rFonts w:cs="Arial"/>
                <w:bCs/>
                <w:szCs w:val="20"/>
              </w:rPr>
            </w:pPr>
          </w:p>
        </w:tc>
      </w:tr>
      <w:bookmarkEnd w:id="9"/>
      <w:tr w:rsidR="00AE6942" w14:paraId="38229800" w14:textId="77777777" w:rsidTr="004216C2">
        <w:tc>
          <w:tcPr>
            <w:tcW w:w="10080" w:type="dxa"/>
            <w:gridSpan w:val="5"/>
          </w:tcPr>
          <w:p w14:paraId="6AB836FE" w14:textId="77777777" w:rsidR="00AE6942" w:rsidRDefault="00AE6942" w:rsidP="00AE6942">
            <w:pPr>
              <w:rPr>
                <w:rFonts w:cs="Arial"/>
              </w:rPr>
            </w:pPr>
            <w:r>
              <w:rPr>
                <w:rFonts w:cs="Arial"/>
                <w:b/>
                <w:u w:val="single"/>
              </w:rPr>
              <w:t>Public Works Division</w:t>
            </w:r>
            <w:r>
              <w:rPr>
                <w:rFonts w:cs="Arial"/>
                <w:b/>
              </w:rPr>
              <w:t>:</w:t>
            </w:r>
          </w:p>
        </w:tc>
      </w:tr>
      <w:tr w:rsidR="00AE6942" w14:paraId="760A03D2" w14:textId="77777777" w:rsidTr="00365596">
        <w:tc>
          <w:tcPr>
            <w:tcW w:w="4230" w:type="dxa"/>
          </w:tcPr>
          <w:p w14:paraId="222DF6CB" w14:textId="77777777" w:rsidR="00AE6942" w:rsidRDefault="00AE6942" w:rsidP="00AE6942">
            <w:pPr>
              <w:spacing w:after="60"/>
              <w:rPr>
                <w:rFonts w:cs="Arial"/>
              </w:rPr>
            </w:pPr>
            <w:r>
              <w:rPr>
                <w:rFonts w:cs="Arial"/>
              </w:rPr>
              <w:t>$ appropriated for Public Works projects not including agency funds</w:t>
            </w:r>
          </w:p>
        </w:tc>
        <w:tc>
          <w:tcPr>
            <w:tcW w:w="1440" w:type="dxa"/>
          </w:tcPr>
          <w:p w14:paraId="58618576" w14:textId="44AF9CA9" w:rsidR="00AE6942" w:rsidRDefault="00AE6942" w:rsidP="00AE6942">
            <w:pPr>
              <w:spacing w:after="60"/>
              <w:jc w:val="right"/>
              <w:rPr>
                <w:rFonts w:cs="Arial"/>
              </w:rPr>
            </w:pPr>
            <w:r w:rsidRPr="00CA2BD3">
              <w:t>$77,522,000</w:t>
            </w:r>
          </w:p>
        </w:tc>
        <w:tc>
          <w:tcPr>
            <w:tcW w:w="1440" w:type="dxa"/>
          </w:tcPr>
          <w:p w14:paraId="3049F728" w14:textId="2019D8C9" w:rsidR="00AE6942" w:rsidRDefault="00AE6942" w:rsidP="00AE6942">
            <w:pPr>
              <w:spacing w:after="60"/>
              <w:jc w:val="right"/>
              <w:rPr>
                <w:rFonts w:cs="Arial"/>
              </w:rPr>
            </w:pPr>
            <w:r>
              <w:rPr>
                <w:rFonts w:cs="Arial"/>
              </w:rPr>
              <w:t>$45,221,400</w:t>
            </w:r>
          </w:p>
        </w:tc>
        <w:tc>
          <w:tcPr>
            <w:tcW w:w="1525" w:type="dxa"/>
          </w:tcPr>
          <w:p w14:paraId="209B739A" w14:textId="1A9E653F" w:rsidR="00AE6942" w:rsidRDefault="00AE6942" w:rsidP="00AE6942">
            <w:pPr>
              <w:spacing w:after="60"/>
              <w:jc w:val="right"/>
              <w:rPr>
                <w:rFonts w:cs="Arial"/>
              </w:rPr>
            </w:pPr>
            <w:r w:rsidRPr="00D77F98">
              <w:t>$133,738,900</w:t>
            </w:r>
          </w:p>
        </w:tc>
        <w:tc>
          <w:tcPr>
            <w:tcW w:w="1445" w:type="dxa"/>
          </w:tcPr>
          <w:p w14:paraId="06AEAC06" w14:textId="6839CC1A" w:rsidR="00AE6942" w:rsidRPr="00CA2BD3" w:rsidRDefault="00AE6942" w:rsidP="00AE6942">
            <w:pPr>
              <w:spacing w:after="60"/>
              <w:jc w:val="right"/>
              <w:rPr>
                <w:rFonts w:cs="Arial"/>
              </w:rPr>
            </w:pPr>
          </w:p>
        </w:tc>
      </w:tr>
      <w:tr w:rsidR="00AE6942" w14:paraId="1AB15119" w14:textId="77777777" w:rsidTr="00365596">
        <w:tc>
          <w:tcPr>
            <w:tcW w:w="4230" w:type="dxa"/>
          </w:tcPr>
          <w:p w14:paraId="79417E7B" w14:textId="77777777" w:rsidR="00AE6942" w:rsidRDefault="00AE6942" w:rsidP="00AE6942">
            <w:pPr>
              <w:spacing w:after="60"/>
              <w:rPr>
                <w:rFonts w:cs="Arial"/>
              </w:rPr>
            </w:pPr>
            <w:r>
              <w:rPr>
                <w:rFonts w:cs="Arial"/>
              </w:rPr>
              <w:t xml:space="preserve">$ amount of all funding sources for projects under construction </w:t>
            </w:r>
          </w:p>
        </w:tc>
        <w:tc>
          <w:tcPr>
            <w:tcW w:w="1440" w:type="dxa"/>
          </w:tcPr>
          <w:p w14:paraId="609E23CD" w14:textId="499EEDA4" w:rsidR="00AE6942" w:rsidRDefault="00AE6942" w:rsidP="00AE6942">
            <w:pPr>
              <w:spacing w:after="60"/>
              <w:jc w:val="right"/>
              <w:rPr>
                <w:rFonts w:cs="Arial"/>
              </w:rPr>
            </w:pPr>
            <w:r w:rsidRPr="007C69BC">
              <w:rPr>
                <w:rFonts w:cs="Arial"/>
                <w:b/>
                <w:bCs/>
                <w:color w:val="FF3399"/>
                <w:szCs w:val="20"/>
              </w:rPr>
              <w:t>*</w:t>
            </w:r>
            <w:r w:rsidRPr="007C69BC">
              <w:rPr>
                <w:szCs w:val="20"/>
              </w:rPr>
              <w:t>$385,727,167</w:t>
            </w:r>
          </w:p>
        </w:tc>
        <w:tc>
          <w:tcPr>
            <w:tcW w:w="1440" w:type="dxa"/>
          </w:tcPr>
          <w:p w14:paraId="2DD057B3" w14:textId="710F788E" w:rsidR="00AE6942" w:rsidRDefault="00AE6942" w:rsidP="00AE6942">
            <w:pPr>
              <w:spacing w:after="60"/>
              <w:jc w:val="right"/>
              <w:rPr>
                <w:rFonts w:cs="Arial"/>
              </w:rPr>
            </w:pPr>
            <w:r w:rsidRPr="007C69BC">
              <w:rPr>
                <w:rFonts w:cs="Arial"/>
                <w:szCs w:val="20"/>
              </w:rPr>
              <w:t>$471,634,184</w:t>
            </w:r>
          </w:p>
        </w:tc>
        <w:tc>
          <w:tcPr>
            <w:tcW w:w="1525" w:type="dxa"/>
          </w:tcPr>
          <w:p w14:paraId="2CC13AE8" w14:textId="7990C077" w:rsidR="00AE6942" w:rsidRPr="007C69BC" w:rsidRDefault="00AE6942" w:rsidP="00AE6942">
            <w:pPr>
              <w:spacing w:after="60"/>
              <w:jc w:val="right"/>
              <w:rPr>
                <w:rFonts w:cs="Arial"/>
                <w:szCs w:val="20"/>
              </w:rPr>
            </w:pPr>
            <w:r w:rsidRPr="00D77F98">
              <w:t>$201,357,688</w:t>
            </w:r>
          </w:p>
        </w:tc>
        <w:tc>
          <w:tcPr>
            <w:tcW w:w="1445" w:type="dxa"/>
          </w:tcPr>
          <w:p w14:paraId="0BFD97B2" w14:textId="18C3E769" w:rsidR="00AE6942" w:rsidRPr="007C69BC" w:rsidRDefault="00AE6942" w:rsidP="00AE6942">
            <w:pPr>
              <w:spacing w:after="60"/>
              <w:jc w:val="right"/>
              <w:rPr>
                <w:rFonts w:cs="Arial"/>
                <w:szCs w:val="20"/>
              </w:rPr>
            </w:pPr>
          </w:p>
        </w:tc>
      </w:tr>
      <w:tr w:rsidR="00AE6942" w14:paraId="0FA2FC05" w14:textId="77777777" w:rsidTr="00365596">
        <w:tc>
          <w:tcPr>
            <w:tcW w:w="4230" w:type="dxa"/>
          </w:tcPr>
          <w:p w14:paraId="1F80DFDC"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active Public Works projects </w:t>
            </w:r>
          </w:p>
        </w:tc>
        <w:tc>
          <w:tcPr>
            <w:tcW w:w="1440" w:type="dxa"/>
          </w:tcPr>
          <w:p w14:paraId="2E18C21B" w14:textId="41349030" w:rsidR="00AE6942" w:rsidRDefault="00AE6942" w:rsidP="00AE6942">
            <w:pPr>
              <w:spacing w:after="60"/>
              <w:jc w:val="right"/>
              <w:rPr>
                <w:rFonts w:cs="Arial"/>
              </w:rPr>
            </w:pPr>
            <w:r>
              <w:t>36</w:t>
            </w:r>
            <w:r w:rsidRPr="00CA2BD3">
              <w:t>9</w:t>
            </w:r>
          </w:p>
        </w:tc>
        <w:tc>
          <w:tcPr>
            <w:tcW w:w="1440" w:type="dxa"/>
          </w:tcPr>
          <w:p w14:paraId="06DB4EB8" w14:textId="188C5E20" w:rsidR="00AE6942" w:rsidRDefault="00AE6942" w:rsidP="00AE6942">
            <w:pPr>
              <w:spacing w:after="60"/>
              <w:jc w:val="right"/>
              <w:rPr>
                <w:rFonts w:cs="Arial"/>
              </w:rPr>
            </w:pPr>
            <w:r>
              <w:rPr>
                <w:rFonts w:cs="Arial"/>
              </w:rPr>
              <w:t>415</w:t>
            </w:r>
          </w:p>
        </w:tc>
        <w:tc>
          <w:tcPr>
            <w:tcW w:w="1525" w:type="dxa"/>
          </w:tcPr>
          <w:p w14:paraId="26679235" w14:textId="5C03BF8D" w:rsidR="00AE6942" w:rsidRDefault="00AE6942" w:rsidP="00AE6942">
            <w:pPr>
              <w:spacing w:after="60"/>
              <w:jc w:val="right"/>
              <w:rPr>
                <w:rFonts w:cs="Arial"/>
              </w:rPr>
            </w:pPr>
            <w:r w:rsidRPr="00D77F98">
              <w:t>574</w:t>
            </w:r>
          </w:p>
        </w:tc>
        <w:tc>
          <w:tcPr>
            <w:tcW w:w="1445" w:type="dxa"/>
          </w:tcPr>
          <w:p w14:paraId="6E60B8EB" w14:textId="61590FB0" w:rsidR="00AE6942" w:rsidRPr="00CA2BD3" w:rsidRDefault="00AE6942" w:rsidP="00AE6942">
            <w:pPr>
              <w:spacing w:after="60"/>
              <w:jc w:val="right"/>
              <w:rPr>
                <w:rFonts w:cs="Arial"/>
              </w:rPr>
            </w:pPr>
          </w:p>
        </w:tc>
      </w:tr>
      <w:tr w:rsidR="00AE6942" w14:paraId="06033B83" w14:textId="77777777" w:rsidTr="00365596">
        <w:tc>
          <w:tcPr>
            <w:tcW w:w="4230" w:type="dxa"/>
          </w:tcPr>
          <w:p w14:paraId="7AAB0DFA"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new Public Works projects</w:t>
            </w:r>
          </w:p>
        </w:tc>
        <w:tc>
          <w:tcPr>
            <w:tcW w:w="1440" w:type="dxa"/>
          </w:tcPr>
          <w:p w14:paraId="0F441893" w14:textId="16D85A78" w:rsidR="00AE6942" w:rsidRDefault="00AE6942" w:rsidP="00AE6942">
            <w:pPr>
              <w:spacing w:after="60"/>
              <w:jc w:val="right"/>
              <w:rPr>
                <w:rFonts w:cs="Arial"/>
              </w:rPr>
            </w:pPr>
            <w:r w:rsidRPr="00CA2BD3">
              <w:t>237</w:t>
            </w:r>
          </w:p>
        </w:tc>
        <w:tc>
          <w:tcPr>
            <w:tcW w:w="1440" w:type="dxa"/>
          </w:tcPr>
          <w:p w14:paraId="426F707B" w14:textId="051363B2" w:rsidR="00AE6942" w:rsidRDefault="00AE6942" w:rsidP="00AE6942">
            <w:pPr>
              <w:spacing w:after="60"/>
              <w:jc w:val="right"/>
              <w:rPr>
                <w:rFonts w:cs="Arial"/>
              </w:rPr>
            </w:pPr>
            <w:r>
              <w:rPr>
                <w:rFonts w:cs="Arial"/>
              </w:rPr>
              <w:t>122</w:t>
            </w:r>
          </w:p>
        </w:tc>
        <w:tc>
          <w:tcPr>
            <w:tcW w:w="1525" w:type="dxa"/>
          </w:tcPr>
          <w:p w14:paraId="483AF78C" w14:textId="53E45CAF" w:rsidR="00AE6942" w:rsidRDefault="00AE6942" w:rsidP="00AE6942">
            <w:pPr>
              <w:spacing w:after="60"/>
              <w:jc w:val="right"/>
              <w:rPr>
                <w:rFonts w:cs="Arial"/>
              </w:rPr>
            </w:pPr>
            <w:r w:rsidRPr="00D77F98">
              <w:t>259</w:t>
            </w:r>
          </w:p>
        </w:tc>
        <w:tc>
          <w:tcPr>
            <w:tcW w:w="1445" w:type="dxa"/>
          </w:tcPr>
          <w:p w14:paraId="1937A009" w14:textId="650D17EC" w:rsidR="00AE6942" w:rsidRPr="00CA2BD3" w:rsidRDefault="00AE6942" w:rsidP="00AE6942">
            <w:pPr>
              <w:spacing w:after="60"/>
              <w:jc w:val="right"/>
              <w:rPr>
                <w:rFonts w:cs="Arial"/>
              </w:rPr>
            </w:pPr>
          </w:p>
        </w:tc>
      </w:tr>
      <w:tr w:rsidR="00AE6942" w14:paraId="00B07555" w14:textId="77777777" w:rsidTr="00365596">
        <w:tc>
          <w:tcPr>
            <w:tcW w:w="4230" w:type="dxa"/>
          </w:tcPr>
          <w:p w14:paraId="450EB395"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closed Public Works projects</w:t>
            </w:r>
          </w:p>
        </w:tc>
        <w:tc>
          <w:tcPr>
            <w:tcW w:w="1440" w:type="dxa"/>
          </w:tcPr>
          <w:p w14:paraId="600C2E4C" w14:textId="7AC4882D" w:rsidR="00AE6942" w:rsidRDefault="00AE6942" w:rsidP="00AE6942">
            <w:pPr>
              <w:spacing w:after="60"/>
              <w:jc w:val="right"/>
              <w:rPr>
                <w:rFonts w:cs="Arial"/>
              </w:rPr>
            </w:pPr>
            <w:r>
              <w:rPr>
                <w:rFonts w:cs="Arial"/>
                <w:b/>
                <w:bCs/>
                <w:color w:val="FF3399"/>
                <w:sz w:val="22"/>
                <w:szCs w:val="22"/>
              </w:rPr>
              <w:t>*</w:t>
            </w:r>
            <w:r w:rsidRPr="00CA2BD3">
              <w:t>43</w:t>
            </w:r>
          </w:p>
        </w:tc>
        <w:tc>
          <w:tcPr>
            <w:tcW w:w="1440" w:type="dxa"/>
          </w:tcPr>
          <w:p w14:paraId="4E590B46" w14:textId="60A9280C" w:rsidR="00AE6942" w:rsidRDefault="00AE6942" w:rsidP="00AE6942">
            <w:pPr>
              <w:spacing w:after="60"/>
              <w:jc w:val="right"/>
              <w:rPr>
                <w:rFonts w:cs="Arial"/>
              </w:rPr>
            </w:pPr>
            <w:r>
              <w:rPr>
                <w:rFonts w:cs="Arial"/>
              </w:rPr>
              <w:t>77</w:t>
            </w:r>
          </w:p>
        </w:tc>
        <w:tc>
          <w:tcPr>
            <w:tcW w:w="1525" w:type="dxa"/>
          </w:tcPr>
          <w:p w14:paraId="49126B53" w14:textId="54723E62" w:rsidR="00AE6942" w:rsidRDefault="00AE6942" w:rsidP="00AE6942">
            <w:pPr>
              <w:spacing w:after="60"/>
              <w:jc w:val="right"/>
              <w:rPr>
                <w:rFonts w:cs="Arial"/>
              </w:rPr>
            </w:pPr>
            <w:r w:rsidRPr="00D77F98">
              <w:t>155</w:t>
            </w:r>
          </w:p>
        </w:tc>
        <w:tc>
          <w:tcPr>
            <w:tcW w:w="1445" w:type="dxa"/>
          </w:tcPr>
          <w:p w14:paraId="62AC2265" w14:textId="2D561B3E" w:rsidR="00AE6942" w:rsidRPr="00CA2BD3" w:rsidRDefault="00AE6942" w:rsidP="00AE6942">
            <w:pPr>
              <w:spacing w:after="60"/>
              <w:jc w:val="right"/>
              <w:rPr>
                <w:rFonts w:cs="Arial"/>
              </w:rPr>
            </w:pPr>
          </w:p>
        </w:tc>
      </w:tr>
      <w:tr w:rsidR="00AE6942" w14:paraId="63B7C714" w14:textId="77777777" w:rsidTr="00365596">
        <w:tc>
          <w:tcPr>
            <w:tcW w:w="4230" w:type="dxa"/>
          </w:tcPr>
          <w:p w14:paraId="0C91DBEE" w14:textId="77777777" w:rsidR="00AE6942" w:rsidRDefault="00AE6942" w:rsidP="00AE6942">
            <w:pPr>
              <w:spacing w:after="60"/>
              <w:rPr>
                <w:rFonts w:cs="Arial"/>
              </w:rPr>
            </w:pPr>
            <w:r>
              <w:rPr>
                <w:rFonts w:cs="Arial"/>
              </w:rPr>
              <w:t># sq. ft. office space leased statewide</w:t>
            </w:r>
          </w:p>
        </w:tc>
        <w:tc>
          <w:tcPr>
            <w:tcW w:w="1440" w:type="dxa"/>
          </w:tcPr>
          <w:p w14:paraId="52AEE6B8" w14:textId="3DD01044" w:rsidR="00AE6942" w:rsidRDefault="00AE6942" w:rsidP="00AE6942">
            <w:pPr>
              <w:spacing w:after="60"/>
              <w:jc w:val="right"/>
              <w:rPr>
                <w:rFonts w:cs="Arial"/>
              </w:rPr>
            </w:pPr>
            <w:r>
              <w:t>1,557,206</w:t>
            </w:r>
          </w:p>
        </w:tc>
        <w:tc>
          <w:tcPr>
            <w:tcW w:w="1440" w:type="dxa"/>
          </w:tcPr>
          <w:p w14:paraId="1AD5FB19" w14:textId="720CD24C" w:rsidR="00AE6942" w:rsidRDefault="00AE6942" w:rsidP="00AE6942">
            <w:pPr>
              <w:spacing w:after="60"/>
              <w:jc w:val="right"/>
              <w:rPr>
                <w:rFonts w:cs="Arial"/>
              </w:rPr>
            </w:pPr>
            <w:r w:rsidRPr="008827E9">
              <w:t>1,455,153</w:t>
            </w:r>
          </w:p>
        </w:tc>
        <w:tc>
          <w:tcPr>
            <w:tcW w:w="1525" w:type="dxa"/>
          </w:tcPr>
          <w:p w14:paraId="1E0EAC93" w14:textId="70ECA664" w:rsidR="00AE6942" w:rsidRDefault="00AE6942" w:rsidP="00AE6942">
            <w:pPr>
              <w:spacing w:after="60"/>
              <w:jc w:val="right"/>
              <w:rPr>
                <w:rFonts w:cs="Arial"/>
              </w:rPr>
            </w:pPr>
            <w:r w:rsidRPr="00D77F98">
              <w:t xml:space="preserve"> 1,448,495</w:t>
            </w:r>
          </w:p>
        </w:tc>
        <w:tc>
          <w:tcPr>
            <w:tcW w:w="1445" w:type="dxa"/>
          </w:tcPr>
          <w:p w14:paraId="33FF499C" w14:textId="69B38E89" w:rsidR="00AE6942" w:rsidRPr="008827E9" w:rsidRDefault="00AE6942" w:rsidP="00AE6942">
            <w:pPr>
              <w:spacing w:after="60"/>
              <w:jc w:val="right"/>
            </w:pPr>
          </w:p>
        </w:tc>
      </w:tr>
      <w:tr w:rsidR="00AE6942" w14:paraId="269DFBA4" w14:textId="77777777" w:rsidTr="00365596">
        <w:tc>
          <w:tcPr>
            <w:tcW w:w="4230" w:type="dxa"/>
          </w:tcPr>
          <w:p w14:paraId="1C5D2934" w14:textId="77777777" w:rsidR="00AE6942" w:rsidRDefault="00AE6942" w:rsidP="00AE6942">
            <w:pPr>
              <w:spacing w:after="60"/>
              <w:rPr>
                <w:rFonts w:cs="Arial"/>
              </w:rPr>
            </w:pPr>
            <w:r>
              <w:rPr>
                <w:rFonts w:cs="Arial"/>
              </w:rPr>
              <w:t># sq. ft. total space leased statewide</w:t>
            </w:r>
          </w:p>
        </w:tc>
        <w:tc>
          <w:tcPr>
            <w:tcW w:w="1440" w:type="dxa"/>
          </w:tcPr>
          <w:p w14:paraId="3D0268B0" w14:textId="41B8430A" w:rsidR="00AE6942" w:rsidRDefault="00AE6942" w:rsidP="00AE6942">
            <w:pPr>
              <w:spacing w:after="60"/>
              <w:jc w:val="right"/>
              <w:rPr>
                <w:rFonts w:cs="Arial"/>
              </w:rPr>
            </w:pPr>
            <w:r>
              <w:t>1,975,129</w:t>
            </w:r>
          </w:p>
        </w:tc>
        <w:tc>
          <w:tcPr>
            <w:tcW w:w="1440" w:type="dxa"/>
          </w:tcPr>
          <w:p w14:paraId="2076F5A4" w14:textId="54F0A216" w:rsidR="00AE6942" w:rsidRDefault="00AE6942" w:rsidP="00AE6942">
            <w:pPr>
              <w:spacing w:after="60"/>
              <w:jc w:val="right"/>
              <w:rPr>
                <w:rFonts w:cs="Arial"/>
              </w:rPr>
            </w:pPr>
            <w:r w:rsidRPr="008827E9">
              <w:t>1,877,989</w:t>
            </w:r>
          </w:p>
        </w:tc>
        <w:tc>
          <w:tcPr>
            <w:tcW w:w="1525" w:type="dxa"/>
          </w:tcPr>
          <w:p w14:paraId="0EBA55EB" w14:textId="2E86FC76" w:rsidR="00AE6942" w:rsidRDefault="00AE6942" w:rsidP="00AE6942">
            <w:pPr>
              <w:spacing w:after="60"/>
              <w:jc w:val="right"/>
              <w:rPr>
                <w:rFonts w:cs="Arial"/>
              </w:rPr>
            </w:pPr>
            <w:r w:rsidRPr="00D77F98">
              <w:t xml:space="preserve"> 1,874,338</w:t>
            </w:r>
          </w:p>
        </w:tc>
        <w:tc>
          <w:tcPr>
            <w:tcW w:w="1445" w:type="dxa"/>
          </w:tcPr>
          <w:p w14:paraId="1D7EDAD6" w14:textId="4DB15C84" w:rsidR="00AE6942" w:rsidRPr="008827E9" w:rsidRDefault="00AE6942" w:rsidP="00AE6942">
            <w:pPr>
              <w:spacing w:after="60"/>
              <w:jc w:val="right"/>
            </w:pPr>
          </w:p>
        </w:tc>
      </w:tr>
      <w:tr w:rsidR="00AE6942" w14:paraId="37FDF5E7" w14:textId="77777777" w:rsidTr="00365596">
        <w:tc>
          <w:tcPr>
            <w:tcW w:w="4230" w:type="dxa"/>
          </w:tcPr>
          <w:p w14:paraId="15CB8963" w14:textId="77777777" w:rsidR="00AE6942" w:rsidRDefault="00AE6942" w:rsidP="00AE6942">
            <w:pPr>
              <w:spacing w:after="60"/>
              <w:rPr>
                <w:rFonts w:cs="Arial"/>
              </w:rPr>
            </w:pPr>
            <w:r>
              <w:rPr>
                <w:rFonts w:cs="Arial"/>
              </w:rPr>
              <w:t>$ amount of office space leased statewide</w:t>
            </w:r>
          </w:p>
        </w:tc>
        <w:tc>
          <w:tcPr>
            <w:tcW w:w="1440" w:type="dxa"/>
          </w:tcPr>
          <w:p w14:paraId="3C626764" w14:textId="0B9005E0" w:rsidR="00AE6942" w:rsidRDefault="00AE6942" w:rsidP="00AE6942">
            <w:pPr>
              <w:spacing w:after="60"/>
              <w:jc w:val="right"/>
              <w:rPr>
                <w:rFonts w:cs="Arial"/>
              </w:rPr>
            </w:pPr>
            <w:r>
              <w:t>$22,145,420</w:t>
            </w:r>
          </w:p>
        </w:tc>
        <w:tc>
          <w:tcPr>
            <w:tcW w:w="1440" w:type="dxa"/>
          </w:tcPr>
          <w:p w14:paraId="26254BA9" w14:textId="2F3E0F09" w:rsidR="00AE6942" w:rsidRDefault="00AE6942" w:rsidP="00AE6942">
            <w:pPr>
              <w:spacing w:after="60"/>
              <w:jc w:val="right"/>
              <w:rPr>
                <w:rFonts w:cs="Arial"/>
              </w:rPr>
            </w:pPr>
            <w:r w:rsidRPr="008827E9">
              <w:t> $ 21,612,026</w:t>
            </w:r>
          </w:p>
        </w:tc>
        <w:tc>
          <w:tcPr>
            <w:tcW w:w="1525" w:type="dxa"/>
          </w:tcPr>
          <w:p w14:paraId="7FD44E2F" w14:textId="7AD389A2" w:rsidR="00AE6942" w:rsidRDefault="00AE6942" w:rsidP="00AE6942">
            <w:pPr>
              <w:spacing w:after="60"/>
              <w:jc w:val="right"/>
              <w:rPr>
                <w:rFonts w:cs="Arial"/>
              </w:rPr>
            </w:pPr>
            <w:r w:rsidRPr="00D77F98">
              <w:t>$ 22,109,423</w:t>
            </w:r>
          </w:p>
        </w:tc>
        <w:tc>
          <w:tcPr>
            <w:tcW w:w="1445" w:type="dxa"/>
          </w:tcPr>
          <w:p w14:paraId="0EC85F55" w14:textId="511CAFE5" w:rsidR="00AE6942" w:rsidRPr="008827E9" w:rsidRDefault="00AE6942" w:rsidP="00AE6942">
            <w:pPr>
              <w:spacing w:after="60"/>
              <w:jc w:val="right"/>
            </w:pPr>
          </w:p>
        </w:tc>
      </w:tr>
      <w:tr w:rsidR="00AE6942" w14:paraId="44624162" w14:textId="77777777" w:rsidTr="00365596">
        <w:tc>
          <w:tcPr>
            <w:tcW w:w="4230" w:type="dxa"/>
          </w:tcPr>
          <w:p w14:paraId="24CF7756" w14:textId="77777777" w:rsidR="00AE6942" w:rsidRDefault="00AE6942" w:rsidP="00AE6942">
            <w:pPr>
              <w:spacing w:after="60"/>
              <w:rPr>
                <w:rFonts w:cs="Arial"/>
              </w:rPr>
            </w:pPr>
            <w:r>
              <w:rPr>
                <w:rFonts w:cs="Arial"/>
              </w:rPr>
              <w:t>$ amount of total space leased statewide</w:t>
            </w:r>
          </w:p>
        </w:tc>
        <w:tc>
          <w:tcPr>
            <w:tcW w:w="1440" w:type="dxa"/>
          </w:tcPr>
          <w:p w14:paraId="4621DE9B" w14:textId="205402FD" w:rsidR="00AE6942" w:rsidRDefault="00AE6942" w:rsidP="00AE6942">
            <w:pPr>
              <w:spacing w:after="60"/>
              <w:jc w:val="right"/>
              <w:rPr>
                <w:rFonts w:cs="Arial"/>
              </w:rPr>
            </w:pPr>
            <w:r>
              <w:t xml:space="preserve">  $28,797,330</w:t>
            </w:r>
          </w:p>
        </w:tc>
        <w:tc>
          <w:tcPr>
            <w:tcW w:w="1440" w:type="dxa"/>
          </w:tcPr>
          <w:p w14:paraId="1C65BB46" w14:textId="5203768E" w:rsidR="00AE6942" w:rsidRDefault="00AE6942" w:rsidP="00AE6942">
            <w:pPr>
              <w:spacing w:after="60"/>
              <w:jc w:val="right"/>
              <w:rPr>
                <w:rFonts w:cs="Arial"/>
              </w:rPr>
            </w:pPr>
            <w:r w:rsidRPr="008827E9">
              <w:t>$ 28,613,904</w:t>
            </w:r>
          </w:p>
        </w:tc>
        <w:tc>
          <w:tcPr>
            <w:tcW w:w="1525" w:type="dxa"/>
          </w:tcPr>
          <w:p w14:paraId="05CE338A" w14:textId="69E80CD6" w:rsidR="00AE6942" w:rsidRDefault="00AE6942" w:rsidP="00AE6942">
            <w:pPr>
              <w:spacing w:after="60"/>
              <w:jc w:val="right"/>
              <w:rPr>
                <w:rFonts w:cs="Arial"/>
              </w:rPr>
            </w:pPr>
            <w:r w:rsidRPr="00D77F98">
              <w:t xml:space="preserve"> $ 29,897,247</w:t>
            </w:r>
          </w:p>
        </w:tc>
        <w:tc>
          <w:tcPr>
            <w:tcW w:w="1445" w:type="dxa"/>
          </w:tcPr>
          <w:p w14:paraId="529BF712" w14:textId="27AC2A3F" w:rsidR="00AE6942" w:rsidRPr="008827E9" w:rsidRDefault="00AE6942" w:rsidP="00AE6942">
            <w:pPr>
              <w:spacing w:after="60"/>
              <w:jc w:val="right"/>
            </w:pPr>
          </w:p>
        </w:tc>
      </w:tr>
      <w:tr w:rsidR="00AE6942" w14:paraId="1E53C45D" w14:textId="77777777" w:rsidTr="00365596">
        <w:tc>
          <w:tcPr>
            <w:tcW w:w="4230" w:type="dxa"/>
          </w:tcPr>
          <w:p w14:paraId="08733043" w14:textId="77777777" w:rsidR="00AE6942" w:rsidRDefault="00AE6942" w:rsidP="00AE6942">
            <w:pPr>
              <w:spacing w:after="60"/>
              <w:rPr>
                <w:rFonts w:cs="Arial"/>
              </w:rPr>
            </w:pPr>
            <w:r w:rsidRPr="00F0121D">
              <w:rPr>
                <w:rFonts w:cs="Arial"/>
                <w:b/>
                <w:bCs/>
                <w:color w:val="FF3399"/>
                <w:sz w:val="22"/>
                <w:szCs w:val="22"/>
              </w:rPr>
              <w:t>*</w:t>
            </w:r>
            <w:r>
              <w:rPr>
                <w:rFonts w:cs="Arial"/>
                <w:b/>
                <w:bCs/>
                <w:color w:val="FF3399"/>
                <w:sz w:val="22"/>
                <w:szCs w:val="22"/>
              </w:rPr>
              <w:t>*</w:t>
            </w:r>
            <w:r>
              <w:rPr>
                <w:rFonts w:cs="Arial"/>
              </w:rPr>
              <w:t># of demand maintenance work orders resolved in Capitol Mall (requests from tenants)</w:t>
            </w:r>
          </w:p>
        </w:tc>
        <w:tc>
          <w:tcPr>
            <w:tcW w:w="1440" w:type="dxa"/>
          </w:tcPr>
          <w:p w14:paraId="460F1DC8" w14:textId="06415320" w:rsidR="00AE6942" w:rsidRDefault="00AE6942" w:rsidP="00AE6942">
            <w:pPr>
              <w:spacing w:after="60"/>
              <w:jc w:val="right"/>
              <w:rPr>
                <w:rFonts w:cs="Arial"/>
                <w:szCs w:val="20"/>
              </w:rPr>
            </w:pPr>
            <w:r>
              <w:rPr>
                <w:rFonts w:cs="Arial"/>
              </w:rPr>
              <w:t>3,401</w:t>
            </w:r>
          </w:p>
        </w:tc>
        <w:tc>
          <w:tcPr>
            <w:tcW w:w="1440" w:type="dxa"/>
          </w:tcPr>
          <w:p w14:paraId="4CF65846" w14:textId="131E9CE3" w:rsidR="00AE6942" w:rsidRDefault="00AE6942" w:rsidP="00AE6942">
            <w:pPr>
              <w:spacing w:after="60"/>
              <w:jc w:val="right"/>
              <w:rPr>
                <w:rFonts w:cs="Arial"/>
              </w:rPr>
            </w:pPr>
            <w:r>
              <w:rPr>
                <w:rFonts w:cs="Arial"/>
              </w:rPr>
              <w:t>2,879</w:t>
            </w:r>
          </w:p>
        </w:tc>
        <w:tc>
          <w:tcPr>
            <w:tcW w:w="1525" w:type="dxa"/>
          </w:tcPr>
          <w:p w14:paraId="21A54E5F" w14:textId="18757507" w:rsidR="00AE6942" w:rsidRDefault="00AE6942" w:rsidP="00AE6942">
            <w:pPr>
              <w:spacing w:after="60"/>
              <w:jc w:val="right"/>
            </w:pPr>
            <w:r w:rsidRPr="00D77F98">
              <w:t>2</w:t>
            </w:r>
            <w:r>
              <w:t>,</w:t>
            </w:r>
            <w:r w:rsidRPr="00D77F98">
              <w:t>768</w:t>
            </w:r>
          </w:p>
        </w:tc>
        <w:tc>
          <w:tcPr>
            <w:tcW w:w="1445" w:type="dxa"/>
          </w:tcPr>
          <w:p w14:paraId="5DBC5D4A" w14:textId="14D74109" w:rsidR="00AE6942" w:rsidRDefault="00AE6942" w:rsidP="00AE6942">
            <w:pPr>
              <w:spacing w:after="60"/>
              <w:jc w:val="right"/>
              <w:rPr>
                <w:rFonts w:cs="Arial"/>
              </w:rPr>
            </w:pPr>
          </w:p>
        </w:tc>
      </w:tr>
      <w:tr w:rsidR="00AE6942" w14:paraId="5786113E" w14:textId="77777777" w:rsidTr="00365596">
        <w:tc>
          <w:tcPr>
            <w:tcW w:w="4230" w:type="dxa"/>
          </w:tcPr>
          <w:p w14:paraId="0EA0ED85" w14:textId="77777777" w:rsidR="00AE6942" w:rsidRPr="00F0121D" w:rsidRDefault="00AE6942" w:rsidP="00AE6942">
            <w:pPr>
              <w:spacing w:after="60"/>
              <w:rPr>
                <w:rFonts w:cs="Arial"/>
                <w:b/>
                <w:bCs/>
                <w:color w:val="FF3399"/>
                <w:sz w:val="22"/>
                <w:szCs w:val="22"/>
              </w:rPr>
            </w:pPr>
            <w:r w:rsidRPr="002E5269">
              <w:rPr>
                <w:rFonts w:cs="Arial"/>
              </w:rPr>
              <w:t xml:space="preserve"># </w:t>
            </w:r>
            <w:proofErr w:type="gramStart"/>
            <w:r w:rsidRPr="002E5269">
              <w:rPr>
                <w:rFonts w:cs="Arial"/>
              </w:rPr>
              <w:t>of</w:t>
            </w:r>
            <w:proofErr w:type="gramEnd"/>
            <w:r>
              <w:rPr>
                <w:rFonts w:cs="Arial"/>
                <w:b/>
                <w:bCs/>
                <w:color w:val="FF3399"/>
                <w:sz w:val="22"/>
                <w:szCs w:val="22"/>
              </w:rPr>
              <w:t xml:space="preserve"> </w:t>
            </w:r>
            <w:r w:rsidRPr="002E5269">
              <w:rPr>
                <w:rFonts w:cs="Arial"/>
              </w:rPr>
              <w:t>routine</w:t>
            </w:r>
            <w:r>
              <w:rPr>
                <w:rFonts w:cs="Arial"/>
              </w:rPr>
              <w:t xml:space="preserve"> and scheduled preventive maintenance work orders – Capitol Mall</w:t>
            </w:r>
          </w:p>
        </w:tc>
        <w:tc>
          <w:tcPr>
            <w:tcW w:w="1440" w:type="dxa"/>
          </w:tcPr>
          <w:p w14:paraId="4EC4B09A" w14:textId="6D1748BC" w:rsidR="00AE6942" w:rsidRDefault="00AE6942" w:rsidP="00AE6942">
            <w:pPr>
              <w:spacing w:after="60"/>
              <w:jc w:val="right"/>
              <w:rPr>
                <w:rFonts w:cs="Arial"/>
                <w:szCs w:val="20"/>
              </w:rPr>
            </w:pPr>
            <w:r>
              <w:rPr>
                <w:rFonts w:cs="Arial"/>
              </w:rPr>
              <w:t>1,357</w:t>
            </w:r>
          </w:p>
        </w:tc>
        <w:tc>
          <w:tcPr>
            <w:tcW w:w="1440" w:type="dxa"/>
          </w:tcPr>
          <w:p w14:paraId="6AB7E101" w14:textId="314E412B" w:rsidR="00AE6942" w:rsidRDefault="00AE6942" w:rsidP="00AE6942">
            <w:pPr>
              <w:spacing w:after="60"/>
              <w:jc w:val="right"/>
              <w:rPr>
                <w:rFonts w:cs="Arial"/>
              </w:rPr>
            </w:pPr>
            <w:r>
              <w:rPr>
                <w:rFonts w:cs="Arial"/>
              </w:rPr>
              <w:t>1,402</w:t>
            </w:r>
          </w:p>
        </w:tc>
        <w:tc>
          <w:tcPr>
            <w:tcW w:w="1525" w:type="dxa"/>
          </w:tcPr>
          <w:p w14:paraId="2B3FD422" w14:textId="2226E59D" w:rsidR="00AE6942" w:rsidRDefault="00AE6942" w:rsidP="00AE6942">
            <w:pPr>
              <w:spacing w:after="60"/>
              <w:jc w:val="right"/>
            </w:pPr>
            <w:r w:rsidRPr="00D77F98">
              <w:t>1</w:t>
            </w:r>
            <w:r>
              <w:t>,</w:t>
            </w:r>
            <w:r w:rsidRPr="00D77F98">
              <w:t>574</w:t>
            </w:r>
          </w:p>
        </w:tc>
        <w:tc>
          <w:tcPr>
            <w:tcW w:w="1445" w:type="dxa"/>
          </w:tcPr>
          <w:p w14:paraId="4AB9DDFD" w14:textId="5EBBBE6A" w:rsidR="00AE6942" w:rsidRDefault="00AE6942" w:rsidP="00AE6942">
            <w:pPr>
              <w:spacing w:after="60"/>
              <w:jc w:val="right"/>
              <w:rPr>
                <w:rFonts w:cs="Arial"/>
              </w:rPr>
            </w:pPr>
          </w:p>
        </w:tc>
      </w:tr>
      <w:tr w:rsidR="00AE6942" w14:paraId="1AE35044" w14:textId="77777777" w:rsidTr="00133BD1">
        <w:trPr>
          <w:trHeight w:val="683"/>
        </w:trPr>
        <w:tc>
          <w:tcPr>
            <w:tcW w:w="4230" w:type="dxa"/>
          </w:tcPr>
          <w:p w14:paraId="4D506BA9" w14:textId="1C09AF50" w:rsidR="00AE6942" w:rsidRDefault="00AE6942" w:rsidP="00AE6942">
            <w:pPr>
              <w:spacing w:after="60"/>
              <w:rPr>
                <w:rFonts w:cs="Arial"/>
              </w:rPr>
            </w:pPr>
            <w:r w:rsidRPr="00F0121D">
              <w:rPr>
                <w:rFonts w:cs="Arial"/>
                <w:b/>
                <w:bCs/>
                <w:color w:val="FF3399"/>
                <w:sz w:val="22"/>
                <w:szCs w:val="22"/>
              </w:rPr>
              <w:t>*</w:t>
            </w:r>
            <w:r>
              <w:rPr>
                <w:rFonts w:cs="Arial"/>
                <w:b/>
                <w:bCs/>
                <w:color w:val="FF3399"/>
                <w:sz w:val="22"/>
                <w:szCs w:val="22"/>
              </w:rPr>
              <w:t>*</w:t>
            </w:r>
            <w:r>
              <w:rPr>
                <w:rFonts w:cs="Arial"/>
              </w:rPr>
              <w:t># of demand maintenance work orders resolved at the Chinden Campus (requests from tenants)</w:t>
            </w:r>
          </w:p>
        </w:tc>
        <w:tc>
          <w:tcPr>
            <w:tcW w:w="1440" w:type="dxa"/>
          </w:tcPr>
          <w:p w14:paraId="213F2111" w14:textId="49438D74" w:rsidR="00AE6942" w:rsidRDefault="00AE6942" w:rsidP="00AE6942">
            <w:pPr>
              <w:spacing w:after="60"/>
              <w:jc w:val="right"/>
              <w:rPr>
                <w:rFonts w:cs="Arial"/>
                <w:szCs w:val="20"/>
              </w:rPr>
            </w:pPr>
            <w:bookmarkStart w:id="12" w:name="_Hlk14169711"/>
            <w:r w:rsidRPr="00F0121D">
              <w:rPr>
                <w:rFonts w:cs="Arial"/>
                <w:b/>
                <w:bCs/>
                <w:color w:val="FF3399"/>
                <w:sz w:val="22"/>
                <w:szCs w:val="22"/>
              </w:rPr>
              <w:t>*</w:t>
            </w:r>
            <w:r>
              <w:rPr>
                <w:rFonts w:cs="Arial"/>
                <w:b/>
                <w:bCs/>
                <w:color w:val="FF3399"/>
                <w:sz w:val="22"/>
                <w:szCs w:val="22"/>
              </w:rPr>
              <w:t>*</w:t>
            </w:r>
            <w:bookmarkEnd w:id="12"/>
            <w:r>
              <w:rPr>
                <w:rFonts w:cs="Arial"/>
                <w:b/>
                <w:bCs/>
                <w:color w:val="FF3399"/>
                <w:sz w:val="22"/>
                <w:szCs w:val="22"/>
              </w:rPr>
              <w:t>*</w:t>
            </w:r>
            <w:r>
              <w:rPr>
                <w:rFonts w:cs="Arial"/>
              </w:rPr>
              <w:t>93</w:t>
            </w:r>
          </w:p>
        </w:tc>
        <w:tc>
          <w:tcPr>
            <w:tcW w:w="1440" w:type="dxa"/>
          </w:tcPr>
          <w:p w14:paraId="0DE44785" w14:textId="3F9677AD" w:rsidR="00AE6942" w:rsidRDefault="00AE6942" w:rsidP="00AE6942">
            <w:pPr>
              <w:spacing w:after="60"/>
              <w:jc w:val="right"/>
              <w:rPr>
                <w:rFonts w:cs="Arial"/>
              </w:rPr>
            </w:pPr>
            <w:r>
              <w:rPr>
                <w:rFonts w:cs="Arial"/>
              </w:rPr>
              <w:t>848</w:t>
            </w:r>
          </w:p>
        </w:tc>
        <w:tc>
          <w:tcPr>
            <w:tcW w:w="1525" w:type="dxa"/>
          </w:tcPr>
          <w:p w14:paraId="09987197" w14:textId="0A7A0E34" w:rsidR="00AE6942" w:rsidRDefault="00AE6942" w:rsidP="00AE6942">
            <w:pPr>
              <w:spacing w:after="60"/>
              <w:jc w:val="right"/>
            </w:pPr>
            <w:r>
              <w:rPr>
                <w:rFonts w:cs="Arial"/>
              </w:rPr>
              <w:t>614</w:t>
            </w:r>
          </w:p>
        </w:tc>
        <w:tc>
          <w:tcPr>
            <w:tcW w:w="1445" w:type="dxa"/>
          </w:tcPr>
          <w:p w14:paraId="384A7124" w14:textId="2A020A9A" w:rsidR="00AE6942" w:rsidRDefault="00AE6942" w:rsidP="00AE6942">
            <w:pPr>
              <w:spacing w:after="60"/>
              <w:jc w:val="right"/>
              <w:rPr>
                <w:rFonts w:cs="Arial"/>
              </w:rPr>
            </w:pPr>
          </w:p>
        </w:tc>
      </w:tr>
      <w:tr w:rsidR="00AE6942" w14:paraId="6E0BBEEF" w14:textId="77777777" w:rsidTr="00365596">
        <w:tc>
          <w:tcPr>
            <w:tcW w:w="4230" w:type="dxa"/>
          </w:tcPr>
          <w:p w14:paraId="1D8B008B" w14:textId="77777777" w:rsidR="00AE6942" w:rsidRDefault="00AE6942" w:rsidP="00AE6942">
            <w:pPr>
              <w:spacing w:after="60"/>
              <w:rPr>
                <w:rFonts w:cs="Arial"/>
              </w:rPr>
            </w:pPr>
            <w:r w:rsidRPr="002E5269">
              <w:rPr>
                <w:rFonts w:cs="Arial"/>
              </w:rPr>
              <w:t xml:space="preserve"># </w:t>
            </w:r>
            <w:proofErr w:type="gramStart"/>
            <w:r w:rsidRPr="002E5269">
              <w:rPr>
                <w:rFonts w:cs="Arial"/>
              </w:rPr>
              <w:t>of</w:t>
            </w:r>
            <w:proofErr w:type="gramEnd"/>
            <w:r>
              <w:rPr>
                <w:rFonts w:cs="Arial"/>
                <w:b/>
                <w:bCs/>
                <w:color w:val="FF3399"/>
                <w:sz w:val="22"/>
                <w:szCs w:val="22"/>
              </w:rPr>
              <w:t xml:space="preserve"> </w:t>
            </w:r>
            <w:r w:rsidRPr="002E5269">
              <w:rPr>
                <w:rFonts w:cs="Arial"/>
              </w:rPr>
              <w:t>routine</w:t>
            </w:r>
            <w:r>
              <w:rPr>
                <w:rFonts w:cs="Arial"/>
              </w:rPr>
              <w:t xml:space="preserve"> and scheduled preventive maintenance work orders – Chinden Campus</w:t>
            </w:r>
          </w:p>
        </w:tc>
        <w:tc>
          <w:tcPr>
            <w:tcW w:w="1440" w:type="dxa"/>
          </w:tcPr>
          <w:p w14:paraId="78A0A50A" w14:textId="077F9904" w:rsidR="00AE6942" w:rsidRDefault="00AE6942" w:rsidP="00AE6942">
            <w:pPr>
              <w:spacing w:after="60"/>
              <w:jc w:val="right"/>
              <w:rPr>
                <w:rFonts w:cs="Arial"/>
                <w:szCs w:val="20"/>
              </w:rPr>
            </w:pPr>
            <w:r>
              <w:rPr>
                <w:rFonts w:cs="Arial"/>
                <w:szCs w:val="20"/>
              </w:rPr>
              <w:t>No Report</w:t>
            </w:r>
          </w:p>
        </w:tc>
        <w:tc>
          <w:tcPr>
            <w:tcW w:w="1440" w:type="dxa"/>
          </w:tcPr>
          <w:p w14:paraId="45E87AF3" w14:textId="451DE3CD" w:rsidR="00AE6942" w:rsidRDefault="00AE6942" w:rsidP="00AE6942">
            <w:pPr>
              <w:spacing w:after="60"/>
              <w:jc w:val="right"/>
              <w:rPr>
                <w:rFonts w:cs="Arial"/>
              </w:rPr>
            </w:pPr>
            <w:r>
              <w:rPr>
                <w:rFonts w:cs="Arial"/>
              </w:rPr>
              <w:t>4,966</w:t>
            </w:r>
          </w:p>
        </w:tc>
        <w:tc>
          <w:tcPr>
            <w:tcW w:w="1525" w:type="dxa"/>
          </w:tcPr>
          <w:p w14:paraId="02C1A21C" w14:textId="26B915E7" w:rsidR="00AE6942" w:rsidRDefault="00AE6942" w:rsidP="00AE6942">
            <w:pPr>
              <w:spacing w:after="60"/>
              <w:jc w:val="right"/>
            </w:pPr>
            <w:r>
              <w:rPr>
                <w:rFonts w:cs="Arial"/>
              </w:rPr>
              <w:t>5,300</w:t>
            </w:r>
          </w:p>
        </w:tc>
        <w:tc>
          <w:tcPr>
            <w:tcW w:w="1445" w:type="dxa"/>
          </w:tcPr>
          <w:p w14:paraId="5974B9E0" w14:textId="76804FBE" w:rsidR="00AE6942" w:rsidRDefault="00AE6942" w:rsidP="00AE6942">
            <w:pPr>
              <w:spacing w:after="60"/>
              <w:jc w:val="right"/>
              <w:rPr>
                <w:rFonts w:cs="Arial"/>
              </w:rPr>
            </w:pPr>
          </w:p>
        </w:tc>
      </w:tr>
      <w:tr w:rsidR="00AE6942" w14:paraId="196DB3A1" w14:textId="77777777" w:rsidTr="00365596">
        <w:tc>
          <w:tcPr>
            <w:tcW w:w="4230" w:type="dxa"/>
          </w:tcPr>
          <w:p w14:paraId="290C04BA" w14:textId="7D4DA8B3" w:rsidR="00AE6942" w:rsidRDefault="00AE6942" w:rsidP="00AE6942">
            <w:pPr>
              <w:spacing w:after="60"/>
              <w:rPr>
                <w:rFonts w:cs="Arial"/>
              </w:rPr>
            </w:pPr>
            <w:r>
              <w:rPr>
                <w:rFonts w:cs="Arial"/>
                <w:b/>
                <w:u w:val="single"/>
              </w:rPr>
              <w:t>Security Operations Division</w:t>
            </w:r>
            <w:r>
              <w:rPr>
                <w:rFonts w:cs="Arial"/>
                <w:b/>
              </w:rPr>
              <w:t>:</w:t>
            </w:r>
          </w:p>
        </w:tc>
        <w:tc>
          <w:tcPr>
            <w:tcW w:w="1440" w:type="dxa"/>
          </w:tcPr>
          <w:p w14:paraId="4D1E1821" w14:textId="77777777" w:rsidR="00AE6942" w:rsidRDefault="00AE6942" w:rsidP="00AE6942">
            <w:pPr>
              <w:spacing w:after="60"/>
              <w:jc w:val="right"/>
              <w:rPr>
                <w:rFonts w:cs="Arial"/>
              </w:rPr>
            </w:pPr>
          </w:p>
        </w:tc>
        <w:tc>
          <w:tcPr>
            <w:tcW w:w="1440" w:type="dxa"/>
          </w:tcPr>
          <w:p w14:paraId="16908B8C" w14:textId="77777777" w:rsidR="00AE6942" w:rsidRDefault="00AE6942" w:rsidP="00AE6942">
            <w:pPr>
              <w:spacing w:after="60"/>
              <w:jc w:val="right"/>
            </w:pPr>
          </w:p>
        </w:tc>
        <w:tc>
          <w:tcPr>
            <w:tcW w:w="1525" w:type="dxa"/>
          </w:tcPr>
          <w:p w14:paraId="4246405E" w14:textId="77777777" w:rsidR="00AE6942" w:rsidRDefault="00AE6942" w:rsidP="00AE6942">
            <w:pPr>
              <w:spacing w:after="60"/>
              <w:jc w:val="right"/>
              <w:rPr>
                <w:rFonts w:cs="Arial"/>
              </w:rPr>
            </w:pPr>
          </w:p>
        </w:tc>
        <w:tc>
          <w:tcPr>
            <w:tcW w:w="1445" w:type="dxa"/>
          </w:tcPr>
          <w:p w14:paraId="1C202D11" w14:textId="77777777" w:rsidR="00AE6942" w:rsidRDefault="00AE6942" w:rsidP="00AE6942">
            <w:pPr>
              <w:jc w:val="right"/>
            </w:pPr>
          </w:p>
        </w:tc>
      </w:tr>
      <w:tr w:rsidR="00AE6942" w:rsidRPr="00822F43" w14:paraId="66343097" w14:textId="77777777" w:rsidTr="00365596">
        <w:tc>
          <w:tcPr>
            <w:tcW w:w="4230" w:type="dxa"/>
          </w:tcPr>
          <w:p w14:paraId="53A8D1A1"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Capitol Mall parking passes issued</w:t>
            </w:r>
          </w:p>
        </w:tc>
        <w:tc>
          <w:tcPr>
            <w:tcW w:w="1440" w:type="dxa"/>
          </w:tcPr>
          <w:p w14:paraId="0E7F029B" w14:textId="2589FE02" w:rsidR="00AE6942" w:rsidRDefault="00AE6942" w:rsidP="00AE6942">
            <w:pPr>
              <w:spacing w:after="60"/>
              <w:jc w:val="right"/>
              <w:rPr>
                <w:rFonts w:cs="Arial"/>
                <w:szCs w:val="20"/>
              </w:rPr>
            </w:pPr>
            <w:r>
              <w:rPr>
                <w:rFonts w:cs="Arial"/>
              </w:rPr>
              <w:t>1,833</w:t>
            </w:r>
          </w:p>
        </w:tc>
        <w:tc>
          <w:tcPr>
            <w:tcW w:w="1440" w:type="dxa"/>
          </w:tcPr>
          <w:p w14:paraId="3993A41D" w14:textId="39E26A52" w:rsidR="00AE6942" w:rsidRDefault="00AE6942" w:rsidP="00AE6942">
            <w:pPr>
              <w:spacing w:after="60"/>
              <w:jc w:val="right"/>
              <w:rPr>
                <w:rFonts w:cs="Arial"/>
              </w:rPr>
            </w:pPr>
            <w:r>
              <w:t>1,755</w:t>
            </w:r>
          </w:p>
        </w:tc>
        <w:tc>
          <w:tcPr>
            <w:tcW w:w="1525" w:type="dxa"/>
          </w:tcPr>
          <w:p w14:paraId="700BC207" w14:textId="3E158C3A" w:rsidR="00AE6942" w:rsidRDefault="00AE6942" w:rsidP="00AE6942">
            <w:pPr>
              <w:spacing w:after="60"/>
              <w:jc w:val="right"/>
            </w:pPr>
            <w:r w:rsidRPr="00822F43">
              <w:rPr>
                <w:rFonts w:cs="Arial"/>
                <w:szCs w:val="22"/>
              </w:rPr>
              <w:t>1,417</w:t>
            </w:r>
          </w:p>
        </w:tc>
        <w:tc>
          <w:tcPr>
            <w:tcW w:w="1445" w:type="dxa"/>
          </w:tcPr>
          <w:p w14:paraId="0E1F6A0D" w14:textId="5DDEE8AE" w:rsidR="00AE6942" w:rsidRPr="00822F43" w:rsidRDefault="00AE6942" w:rsidP="00AE6942">
            <w:pPr>
              <w:jc w:val="right"/>
              <w:rPr>
                <w:rFonts w:cs="Arial"/>
                <w:szCs w:val="22"/>
              </w:rPr>
            </w:pPr>
          </w:p>
        </w:tc>
      </w:tr>
      <w:tr w:rsidR="00AE6942" w14:paraId="6A73C6BA" w14:textId="77777777" w:rsidTr="00365596">
        <w:tc>
          <w:tcPr>
            <w:tcW w:w="4230" w:type="dxa"/>
          </w:tcPr>
          <w:p w14:paraId="7B38EFB6"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temporary parking passes issued</w:t>
            </w:r>
          </w:p>
        </w:tc>
        <w:tc>
          <w:tcPr>
            <w:tcW w:w="1440" w:type="dxa"/>
          </w:tcPr>
          <w:p w14:paraId="525117AC" w14:textId="5BB16F00" w:rsidR="00AE6942" w:rsidRDefault="00AE6942" w:rsidP="00AE6942">
            <w:pPr>
              <w:spacing w:after="60"/>
              <w:jc w:val="right"/>
              <w:rPr>
                <w:rFonts w:cs="Arial"/>
                <w:szCs w:val="20"/>
              </w:rPr>
            </w:pPr>
            <w:r>
              <w:rPr>
                <w:rFonts w:cs="Arial"/>
              </w:rPr>
              <w:t>1,653</w:t>
            </w:r>
          </w:p>
        </w:tc>
        <w:tc>
          <w:tcPr>
            <w:tcW w:w="1440" w:type="dxa"/>
          </w:tcPr>
          <w:p w14:paraId="0C05F362" w14:textId="40FC3C59" w:rsidR="00AE6942" w:rsidRDefault="00AE6942" w:rsidP="00AE6942">
            <w:pPr>
              <w:spacing w:after="60"/>
              <w:jc w:val="right"/>
              <w:rPr>
                <w:rFonts w:cs="Arial"/>
              </w:rPr>
            </w:pPr>
            <w:r>
              <w:t>1,242</w:t>
            </w:r>
          </w:p>
        </w:tc>
        <w:tc>
          <w:tcPr>
            <w:tcW w:w="1525" w:type="dxa"/>
          </w:tcPr>
          <w:p w14:paraId="5B56BE88" w14:textId="27A40B02" w:rsidR="00AE6942" w:rsidRDefault="00AE6942" w:rsidP="00AE6942">
            <w:pPr>
              <w:spacing w:after="60"/>
              <w:jc w:val="right"/>
            </w:pPr>
            <w:r>
              <w:rPr>
                <w:rFonts w:cs="Arial"/>
              </w:rPr>
              <w:t>527</w:t>
            </w:r>
          </w:p>
        </w:tc>
        <w:tc>
          <w:tcPr>
            <w:tcW w:w="1445" w:type="dxa"/>
          </w:tcPr>
          <w:p w14:paraId="29D84FA2" w14:textId="2078C160" w:rsidR="00AE6942" w:rsidRDefault="00AE6942" w:rsidP="00AE6942">
            <w:pPr>
              <w:spacing w:after="60"/>
              <w:jc w:val="right"/>
              <w:rPr>
                <w:rFonts w:cs="Arial"/>
              </w:rPr>
            </w:pPr>
          </w:p>
        </w:tc>
      </w:tr>
      <w:tr w:rsidR="00AE6942" w14:paraId="0717698E" w14:textId="77777777" w:rsidTr="00365596">
        <w:tc>
          <w:tcPr>
            <w:tcW w:w="4230" w:type="dxa"/>
          </w:tcPr>
          <w:p w14:paraId="769BB558" w14:textId="77777777" w:rsidR="00AE6942" w:rsidRDefault="00AE6942" w:rsidP="00AE6942">
            <w:pPr>
              <w:spacing w:after="60"/>
              <w:rPr>
                <w:rFonts w:cs="Arial"/>
              </w:rPr>
            </w:pPr>
            <w:r>
              <w:rPr>
                <w:rFonts w:cs="Arial"/>
              </w:rPr>
              <w:t xml:space="preserve"># </w:t>
            </w:r>
            <w:proofErr w:type="gramStart"/>
            <w:r>
              <w:rPr>
                <w:rFonts w:cs="Arial"/>
              </w:rPr>
              <w:t>of</w:t>
            </w:r>
            <w:proofErr w:type="gramEnd"/>
            <w:r>
              <w:rPr>
                <w:rFonts w:cs="Arial"/>
              </w:rPr>
              <w:t xml:space="preserve"> parking permits issued for meetings</w:t>
            </w:r>
          </w:p>
        </w:tc>
        <w:tc>
          <w:tcPr>
            <w:tcW w:w="1440" w:type="dxa"/>
          </w:tcPr>
          <w:p w14:paraId="4E88E0C3" w14:textId="5B471C0C" w:rsidR="00AE6942" w:rsidRDefault="00AE6942" w:rsidP="00AE6942">
            <w:pPr>
              <w:spacing w:after="60"/>
              <w:jc w:val="right"/>
              <w:rPr>
                <w:rFonts w:cs="Arial"/>
                <w:szCs w:val="20"/>
              </w:rPr>
            </w:pPr>
            <w:r>
              <w:rPr>
                <w:rFonts w:cs="Arial"/>
              </w:rPr>
              <w:t>6,715</w:t>
            </w:r>
          </w:p>
        </w:tc>
        <w:tc>
          <w:tcPr>
            <w:tcW w:w="1440" w:type="dxa"/>
          </w:tcPr>
          <w:p w14:paraId="742372FA" w14:textId="520BEDC5" w:rsidR="00AE6942" w:rsidRDefault="00AE6942" w:rsidP="00AE6942">
            <w:pPr>
              <w:spacing w:after="60"/>
              <w:jc w:val="right"/>
              <w:rPr>
                <w:rFonts w:cs="Arial"/>
              </w:rPr>
            </w:pPr>
            <w:r>
              <w:t>5,662</w:t>
            </w:r>
          </w:p>
        </w:tc>
        <w:tc>
          <w:tcPr>
            <w:tcW w:w="1525" w:type="dxa"/>
          </w:tcPr>
          <w:p w14:paraId="0EFECE5E" w14:textId="2EAD909C" w:rsidR="00AE6942" w:rsidRDefault="00AE6942" w:rsidP="00AE6942">
            <w:pPr>
              <w:spacing w:after="60"/>
              <w:jc w:val="right"/>
            </w:pPr>
            <w:r>
              <w:rPr>
                <w:rFonts w:cs="Arial"/>
              </w:rPr>
              <w:t>587</w:t>
            </w:r>
          </w:p>
        </w:tc>
        <w:tc>
          <w:tcPr>
            <w:tcW w:w="1445" w:type="dxa"/>
          </w:tcPr>
          <w:p w14:paraId="603FB534" w14:textId="556D68E8" w:rsidR="00AE6942" w:rsidRDefault="00AE6942" w:rsidP="00AE6942">
            <w:pPr>
              <w:spacing w:after="60"/>
              <w:jc w:val="right"/>
              <w:rPr>
                <w:rFonts w:cs="Arial"/>
              </w:rPr>
            </w:pPr>
          </w:p>
        </w:tc>
      </w:tr>
      <w:tr w:rsidR="00AE6942" w14:paraId="1AB7543C" w14:textId="77777777" w:rsidTr="00B91D4C">
        <w:tc>
          <w:tcPr>
            <w:tcW w:w="10080" w:type="dxa"/>
            <w:gridSpan w:val="5"/>
          </w:tcPr>
          <w:p w14:paraId="3CC2DD7A" w14:textId="58212237" w:rsidR="00AE6942" w:rsidRPr="0036301D" w:rsidRDefault="00AE6942" w:rsidP="00AE6942">
            <w:pPr>
              <w:jc w:val="both"/>
              <w:rPr>
                <w:rFonts w:cs="Arial"/>
                <w:b/>
                <w:bCs/>
                <w:sz w:val="22"/>
                <w:szCs w:val="22"/>
              </w:rPr>
            </w:pPr>
            <w:r w:rsidRPr="00651EFF">
              <w:rPr>
                <w:rFonts w:cs="Arial"/>
                <w:b/>
                <w:bCs/>
                <w:szCs w:val="20"/>
              </w:rPr>
              <w:t>Key Services Explanatory Notes:</w:t>
            </w:r>
          </w:p>
        </w:tc>
      </w:tr>
      <w:tr w:rsidR="00AE6942" w14:paraId="4347812F" w14:textId="77777777" w:rsidTr="00B91D4C">
        <w:tc>
          <w:tcPr>
            <w:tcW w:w="10080" w:type="dxa"/>
            <w:gridSpan w:val="5"/>
          </w:tcPr>
          <w:p w14:paraId="28392203" w14:textId="77777777" w:rsidR="00AE6942" w:rsidRPr="00B53C0A" w:rsidRDefault="00AE6942" w:rsidP="00AE6942">
            <w:r>
              <w:rPr>
                <w:rFonts w:cs="Arial"/>
                <w:b/>
                <w:bCs/>
                <w:color w:val="FF3399"/>
                <w:sz w:val="22"/>
                <w:szCs w:val="22"/>
              </w:rPr>
              <w:t>*</w:t>
            </w:r>
            <w:r w:rsidRPr="00B53C0A">
              <w:t>Implementation of a new project management/fiscal system has drawn out and delayed closing of projects as data was transferred to the new system.</w:t>
            </w:r>
            <w:r>
              <w:t xml:space="preserve"> </w:t>
            </w:r>
            <w:r w:rsidRPr="00B53C0A">
              <w:t>This also affects the dollar value of funding from all sources, as projects that are virtually complete remain in the system.  This will reduce as the transition is completed.</w:t>
            </w:r>
          </w:p>
          <w:p w14:paraId="41D3753B" w14:textId="77777777" w:rsidR="00AE6942" w:rsidRDefault="00AE6942" w:rsidP="00AE6942">
            <w:r>
              <w:rPr>
                <w:rFonts w:cs="Arial"/>
                <w:b/>
                <w:bCs/>
                <w:color w:val="FF3399"/>
                <w:sz w:val="22"/>
                <w:szCs w:val="22"/>
              </w:rPr>
              <w:lastRenderedPageBreak/>
              <w:t>*</w:t>
            </w:r>
            <w:r w:rsidRPr="00F0121D">
              <w:rPr>
                <w:rFonts w:cs="Arial"/>
                <w:b/>
                <w:bCs/>
                <w:color w:val="FF3399"/>
                <w:sz w:val="22"/>
                <w:szCs w:val="22"/>
              </w:rPr>
              <w:t>*</w:t>
            </w:r>
            <w:r>
              <w:t xml:space="preserve">This is the number of orders that was submitted on-line by tenants and does not include demand work that was phoned in. No report data will be populated in future updates for on-demand work orders for maintenance, grounds, security, and janitorial. </w:t>
            </w:r>
          </w:p>
          <w:p w14:paraId="213B9347" w14:textId="133F7339" w:rsidR="00AE6942" w:rsidRDefault="00AE6942" w:rsidP="00AE6942">
            <w:pPr>
              <w:rPr>
                <w:rFonts w:ascii="Calibri" w:hAnsi="Calibri"/>
                <w:szCs w:val="22"/>
              </w:rPr>
            </w:pPr>
            <w:r>
              <w:t>The number of work orders nor the frequency will be the same at each campus. The Capitol Mall has approximately 2400 ASSETS and the Chinden Campus approximately 6100. Chinden is also required to meet DEQ, DIG Line, and SPCC requirements so there are many additional tasks at that site.  Assets are combined or separate and create a TASK. HPI is responsible for certain maintenance in Buildings 1,3,5,7, and Café on the Chinden Campus--1002 assets, approximately 45% of total tasks</w:t>
            </w:r>
          </w:p>
          <w:p w14:paraId="06714A99" w14:textId="22535AA4" w:rsidR="00AE6942" w:rsidRPr="00350F70" w:rsidRDefault="00AE6942" w:rsidP="00AE6942">
            <w:pPr>
              <w:rPr>
                <w:rFonts w:ascii="Calibri" w:hAnsi="Calibri"/>
                <w:szCs w:val="22"/>
              </w:rPr>
            </w:pPr>
            <w:r w:rsidRPr="00F0121D">
              <w:rPr>
                <w:rFonts w:cs="Arial"/>
                <w:b/>
                <w:bCs/>
                <w:color w:val="FF3399"/>
                <w:sz w:val="22"/>
                <w:szCs w:val="22"/>
              </w:rPr>
              <w:t>*</w:t>
            </w:r>
            <w:r>
              <w:rPr>
                <w:rFonts w:cs="Arial"/>
                <w:b/>
                <w:bCs/>
                <w:color w:val="FF3399"/>
                <w:sz w:val="22"/>
                <w:szCs w:val="22"/>
              </w:rPr>
              <w:t>*</w:t>
            </w:r>
            <w:r w:rsidRPr="00F0121D">
              <w:rPr>
                <w:rFonts w:cs="Arial"/>
                <w:b/>
                <w:bCs/>
                <w:color w:val="FF3399"/>
                <w:sz w:val="22"/>
                <w:szCs w:val="22"/>
              </w:rPr>
              <w:t>*</w:t>
            </w:r>
            <w:r>
              <w:t xml:space="preserve">An on-line work order system for the Chinden Campus had not yet been set up at this point. This number represents work requested and completed since the form went live for Building 2. (5/6/2019 to 6/30/2019) </w:t>
            </w:r>
          </w:p>
        </w:tc>
      </w:tr>
    </w:tbl>
    <w:p w14:paraId="422F30E9" w14:textId="77777777" w:rsidR="003B4DE5" w:rsidRDefault="003B4DE5" w:rsidP="00A1689F">
      <w:pPr>
        <w:rPr>
          <w:rFonts w:cs="Arial"/>
          <w:b/>
          <w:sz w:val="24"/>
          <w:highlight w:val="yellow"/>
        </w:rPr>
      </w:pPr>
      <w:bookmarkStart w:id="13" w:name="_Hlk13576051"/>
      <w:bookmarkStart w:id="14" w:name="_Hlk11137127"/>
      <w:bookmarkEnd w:id="5"/>
    </w:p>
    <w:bookmarkEnd w:id="13"/>
    <w:bookmarkEnd w:id="14"/>
    <w:p w14:paraId="3F16534D" w14:textId="77777777" w:rsidR="005F38C5" w:rsidRDefault="005F38C5" w:rsidP="00E378D9">
      <w:pPr>
        <w:rPr>
          <w:rFonts w:cs="Arial"/>
          <w:b/>
          <w:bCs/>
          <w:sz w:val="24"/>
        </w:rPr>
      </w:pPr>
    </w:p>
    <w:p w14:paraId="56867C47" w14:textId="6F90CDD9" w:rsidR="00E378D9" w:rsidRPr="00A1689F" w:rsidRDefault="00E64870" w:rsidP="00E378D9">
      <w:pPr>
        <w:rPr>
          <w:rFonts w:cs="Arial"/>
          <w:b/>
          <w:i/>
          <w:color w:val="FF0000"/>
          <w:sz w:val="24"/>
        </w:rPr>
      </w:pPr>
      <w:r>
        <w:rPr>
          <w:rFonts w:cs="Arial"/>
          <w:b/>
          <w:bCs/>
          <w:sz w:val="24"/>
        </w:rPr>
        <w:t>FY2021</w:t>
      </w:r>
      <w:r w:rsidR="00365596" w:rsidRPr="00A1689F">
        <w:rPr>
          <w:rFonts w:cs="Arial"/>
          <w:b/>
          <w:bCs/>
          <w:sz w:val="24"/>
        </w:rPr>
        <w:t xml:space="preserve"> Performance Highlights</w:t>
      </w:r>
    </w:p>
    <w:p w14:paraId="005A83CB" w14:textId="77777777" w:rsidR="002D5799" w:rsidRDefault="002D5799" w:rsidP="00F708A6">
      <w:pPr>
        <w:rPr>
          <w:rFonts w:cs="Arial"/>
          <w:sz w:val="24"/>
        </w:rPr>
      </w:pPr>
    </w:p>
    <w:p w14:paraId="2B7EA79D" w14:textId="77777777" w:rsidR="007A2DE6" w:rsidRPr="00FE1FBC" w:rsidRDefault="007A2DE6" w:rsidP="00F708A6">
      <w:pPr>
        <w:rPr>
          <w:rFonts w:cs="Arial"/>
          <w:b/>
          <w:szCs w:val="20"/>
          <w:u w:val="single"/>
        </w:rPr>
      </w:pPr>
      <w:r w:rsidRPr="00FE1FBC">
        <w:rPr>
          <w:rFonts w:cs="Arial"/>
          <w:b/>
          <w:szCs w:val="20"/>
          <w:u w:val="single"/>
        </w:rPr>
        <w:t>Division of Insurance and Internal Support</w:t>
      </w:r>
    </w:p>
    <w:p w14:paraId="34F0F39A" w14:textId="77777777" w:rsidR="007A2DE6" w:rsidRPr="00FE1FBC" w:rsidRDefault="007A2DE6" w:rsidP="00F708A6">
      <w:pPr>
        <w:rPr>
          <w:rFonts w:cs="Arial"/>
          <w:szCs w:val="20"/>
        </w:rPr>
      </w:pPr>
    </w:p>
    <w:p w14:paraId="51BF157E" w14:textId="77777777" w:rsidR="00CF584A" w:rsidRPr="00D4338A" w:rsidRDefault="00CF584A" w:rsidP="007A2DE6">
      <w:pPr>
        <w:rPr>
          <w:b/>
          <w:iCs/>
          <w:szCs w:val="20"/>
        </w:rPr>
      </w:pPr>
      <w:bookmarkStart w:id="15" w:name="_Hlk47100026"/>
      <w:r w:rsidRPr="00D4338A">
        <w:rPr>
          <w:b/>
          <w:iCs/>
          <w:szCs w:val="20"/>
        </w:rPr>
        <w:t>Office of Group Insurance</w:t>
      </w:r>
      <w:r w:rsidR="0028397A">
        <w:rPr>
          <w:b/>
          <w:iCs/>
          <w:szCs w:val="20"/>
        </w:rPr>
        <w:t xml:space="preserve"> (OGI)</w:t>
      </w:r>
    </w:p>
    <w:p w14:paraId="1595C3E4" w14:textId="77777777" w:rsidR="008B5DB7" w:rsidRDefault="008B5DB7" w:rsidP="008B5DB7">
      <w:pPr>
        <w:jc w:val="both"/>
      </w:pPr>
    </w:p>
    <w:p w14:paraId="2D88AFE9" w14:textId="77777777" w:rsidR="008B5DB7" w:rsidRDefault="008B5DB7" w:rsidP="006B365C">
      <w:pPr>
        <w:pStyle w:val="ListParagraph"/>
        <w:numPr>
          <w:ilvl w:val="0"/>
          <w:numId w:val="1"/>
        </w:numPr>
        <w:ind w:left="432" w:hanging="342"/>
        <w:jc w:val="both"/>
      </w:pPr>
      <w:r>
        <w:t>OGI continued to make efforts to remove barriers to care for participants in the state’s health plan by providing an in-network vision benefit with reduced costs to members and updating the dental contract to allow for two cleanings per year opposed to one every six months. In the medical plan, a new Pharmacy Benefit Manager (PBM) was implemented as well as a Choice Docs program for the PPO plan members which will allow them to reduce their copays for primary and specialty providers when they choose to see a Choice Doc doctor.</w:t>
      </w:r>
    </w:p>
    <w:p w14:paraId="6470E83C" w14:textId="77777777" w:rsidR="00217510" w:rsidRDefault="00217510" w:rsidP="00FB1EAB">
      <w:pPr>
        <w:pStyle w:val="ListParagraph"/>
        <w:ind w:left="432"/>
        <w:jc w:val="both"/>
      </w:pPr>
    </w:p>
    <w:p w14:paraId="61950C83" w14:textId="2C122338" w:rsidR="008B5DB7" w:rsidRDefault="008B5DB7" w:rsidP="00FB1EAB">
      <w:pPr>
        <w:pStyle w:val="ListParagraph"/>
        <w:numPr>
          <w:ilvl w:val="0"/>
          <w:numId w:val="1"/>
        </w:numPr>
        <w:ind w:left="432"/>
      </w:pPr>
      <w:r w:rsidRPr="008B5DB7">
        <w:t xml:space="preserve">With additional funding from the Legislature, OGI retained a consultant to facilitate an evaluation of the medical and dental plan funding model. The consultant conducted several meetings with a team of industry professionals appointed by the Governor for this specific purpose. The final report was shared with the legislature, Group Insurance Advisory </w:t>
      </w:r>
      <w:r w:rsidR="00C92668" w:rsidRPr="008B5DB7">
        <w:t>Committee,</w:t>
      </w:r>
      <w:r w:rsidRPr="008B5DB7">
        <w:t xml:space="preserve"> and other stakeholders.  </w:t>
      </w:r>
    </w:p>
    <w:p w14:paraId="5E0454A3" w14:textId="672FE188" w:rsidR="00D64D45" w:rsidRDefault="00D64D45" w:rsidP="00FB1EAB">
      <w:pPr>
        <w:pStyle w:val="ListParagraph"/>
        <w:ind w:left="432"/>
      </w:pPr>
    </w:p>
    <w:p w14:paraId="32EC02F6" w14:textId="66FD72DF" w:rsidR="00D64D45" w:rsidRDefault="00D64D45" w:rsidP="00FB1EAB">
      <w:pPr>
        <w:pStyle w:val="ListParagraph"/>
        <w:numPr>
          <w:ilvl w:val="0"/>
          <w:numId w:val="1"/>
        </w:numPr>
        <w:ind w:left="432"/>
      </w:pPr>
      <w:r w:rsidRPr="00D64D45">
        <w:t>OGI continued to prioritize member engagement and education about the benefit plans by sharing monthly benefit highlight information via email and on the Office of Group Insurance website.</w:t>
      </w:r>
    </w:p>
    <w:p w14:paraId="242CD165" w14:textId="3FD63D1C" w:rsidR="00D64D45" w:rsidRDefault="00D64D45" w:rsidP="008B5DB7"/>
    <w:bookmarkEnd w:id="15"/>
    <w:p w14:paraId="3376C324" w14:textId="77777777" w:rsidR="00CF584A" w:rsidRPr="00D4338A" w:rsidRDefault="00CF584A" w:rsidP="007A2DE6">
      <w:pPr>
        <w:rPr>
          <w:b/>
          <w:iCs/>
          <w:szCs w:val="20"/>
        </w:rPr>
      </w:pPr>
      <w:r w:rsidRPr="00D4338A">
        <w:rPr>
          <w:b/>
          <w:iCs/>
          <w:szCs w:val="20"/>
        </w:rPr>
        <w:t>Office of Risk Management</w:t>
      </w:r>
    </w:p>
    <w:p w14:paraId="6E2900EF" w14:textId="77777777" w:rsidR="007C7129" w:rsidRDefault="007C7129" w:rsidP="007A2DE6">
      <w:pPr>
        <w:rPr>
          <w:iCs/>
          <w:szCs w:val="20"/>
        </w:rPr>
      </w:pPr>
    </w:p>
    <w:p w14:paraId="65B5E94D" w14:textId="77777777" w:rsidR="008E2BEC" w:rsidRPr="008E2BEC" w:rsidRDefault="008E2BEC" w:rsidP="00FB1EAB">
      <w:pPr>
        <w:pStyle w:val="ListParagraph"/>
        <w:numPr>
          <w:ilvl w:val="0"/>
          <w:numId w:val="35"/>
        </w:numPr>
        <w:ind w:left="432"/>
        <w:rPr>
          <w:iCs/>
        </w:rPr>
      </w:pPr>
      <w:r w:rsidRPr="008E2BEC">
        <w:rPr>
          <w:iCs/>
        </w:rPr>
        <w:t xml:space="preserve">Despite the challenges associated with visiting locations during active Covid 19 suggested restrictions, Risk Management performed loss control visits to 16 major state buildings.  Risk Management and its consultants created and prioritized 67 related property protection and life safety recommendations for risk improvement. </w:t>
      </w:r>
    </w:p>
    <w:p w14:paraId="0EC41135" w14:textId="61A27B6B" w:rsidR="008E2BEC" w:rsidRPr="008E2BEC" w:rsidRDefault="008E2BEC" w:rsidP="00FB1EAB">
      <w:pPr>
        <w:pStyle w:val="ListParagraph"/>
        <w:ind w:left="432"/>
        <w:rPr>
          <w:iCs/>
        </w:rPr>
      </w:pPr>
    </w:p>
    <w:p w14:paraId="12D4D6C1" w14:textId="78BAB9DF" w:rsidR="008E2BEC" w:rsidRPr="008E2BEC" w:rsidRDefault="008E2BEC" w:rsidP="00FB1EAB">
      <w:pPr>
        <w:pStyle w:val="ListParagraph"/>
        <w:numPr>
          <w:ilvl w:val="0"/>
          <w:numId w:val="35"/>
        </w:numPr>
        <w:ind w:left="432"/>
        <w:rPr>
          <w:iCs/>
        </w:rPr>
      </w:pPr>
      <w:r w:rsidRPr="008E2BEC">
        <w:rPr>
          <w:iCs/>
        </w:rPr>
        <w:t xml:space="preserve">Near the end of </w:t>
      </w:r>
      <w:r w:rsidR="00345812">
        <w:rPr>
          <w:iCs/>
        </w:rPr>
        <w:t>FY 2022</w:t>
      </w:r>
      <w:r w:rsidRPr="008E2BEC">
        <w:rPr>
          <w:iCs/>
        </w:rPr>
        <w:t>, Risk Management filled the position of Loss Control Program Manager.  This hire was delayed most of the fiscal year due to Covid 19 considerations.  Over the next year, the Loss Control Program Manager will analyze past loss trends and current risk improvement recommendations to prioritize out-reach to the leadership of the agencies most likely to experience, and be able to reduce, the likelihood and impact of potential losses.</w:t>
      </w:r>
    </w:p>
    <w:p w14:paraId="0A3F5BF2" w14:textId="77777777" w:rsidR="008E2BEC" w:rsidRPr="008E2BEC" w:rsidRDefault="008E2BEC" w:rsidP="008E2BEC">
      <w:pPr>
        <w:pStyle w:val="ListParagraph"/>
        <w:rPr>
          <w:iCs/>
        </w:rPr>
      </w:pPr>
    </w:p>
    <w:p w14:paraId="3BB6FE60" w14:textId="77777777" w:rsidR="008E2BEC" w:rsidRPr="008E2BEC" w:rsidRDefault="008E2BEC" w:rsidP="00FB1EAB">
      <w:pPr>
        <w:pStyle w:val="ListParagraph"/>
        <w:numPr>
          <w:ilvl w:val="0"/>
          <w:numId w:val="35"/>
        </w:numPr>
        <w:ind w:left="432"/>
        <w:rPr>
          <w:iCs/>
        </w:rPr>
      </w:pPr>
      <w:r w:rsidRPr="008E2BEC">
        <w:rPr>
          <w:iCs/>
        </w:rPr>
        <w:t>Risk Management worked with universities to explain significant risks to personal safety of students and the public at large and to implement actions to reduce exposures.</w:t>
      </w:r>
    </w:p>
    <w:p w14:paraId="764969D6" w14:textId="77777777" w:rsidR="008E2BEC" w:rsidRPr="008E2BEC" w:rsidRDefault="008E2BEC" w:rsidP="00FB1EAB">
      <w:pPr>
        <w:pStyle w:val="ListParagraph"/>
        <w:ind w:left="432"/>
        <w:rPr>
          <w:iCs/>
        </w:rPr>
      </w:pPr>
    </w:p>
    <w:p w14:paraId="796E2316" w14:textId="095AC2DF" w:rsidR="008E2BEC" w:rsidRPr="008E2BEC" w:rsidRDefault="008E2BEC" w:rsidP="00FB1EAB">
      <w:pPr>
        <w:pStyle w:val="ListParagraph"/>
        <w:numPr>
          <w:ilvl w:val="0"/>
          <w:numId w:val="35"/>
        </w:numPr>
        <w:ind w:left="432"/>
        <w:rPr>
          <w:iCs/>
        </w:rPr>
      </w:pPr>
      <w:r w:rsidRPr="008E2BEC">
        <w:rPr>
          <w:iCs/>
        </w:rPr>
        <w:t xml:space="preserve">In </w:t>
      </w:r>
      <w:r w:rsidR="00345812">
        <w:rPr>
          <w:iCs/>
        </w:rPr>
        <w:t>FY 2022</w:t>
      </w:r>
      <w:r w:rsidRPr="008E2BEC">
        <w:rPr>
          <w:iCs/>
        </w:rPr>
        <w:t xml:space="preserve">, Risk Management partnered with the Department of Human Resources and the Attorney General’s Office to establish incentives for agencies to consider loss control measures when facing </w:t>
      </w:r>
      <w:r w:rsidRPr="008E2BEC">
        <w:rPr>
          <w:iCs/>
        </w:rPr>
        <w:lastRenderedPageBreak/>
        <w:t>employment practices liability (EPL) litigation.  Risk Management now provides coverage for wage and benefits claims and Agencies retain the first $25,000 of EPL claims.</w:t>
      </w:r>
    </w:p>
    <w:p w14:paraId="1144F603" w14:textId="77777777" w:rsidR="008E2BEC" w:rsidRPr="008E2BEC" w:rsidRDefault="008E2BEC" w:rsidP="00FB1EAB">
      <w:pPr>
        <w:pStyle w:val="ListParagraph"/>
        <w:ind w:left="432"/>
        <w:rPr>
          <w:iCs/>
        </w:rPr>
      </w:pPr>
    </w:p>
    <w:p w14:paraId="1D9E7DAD" w14:textId="6654B63A" w:rsidR="008E2BEC" w:rsidRPr="008E2BEC" w:rsidRDefault="008E2BEC" w:rsidP="00FB1EAB">
      <w:pPr>
        <w:pStyle w:val="ListParagraph"/>
        <w:numPr>
          <w:ilvl w:val="0"/>
          <w:numId w:val="35"/>
        </w:numPr>
        <w:ind w:left="432"/>
        <w:rPr>
          <w:iCs/>
        </w:rPr>
      </w:pPr>
      <w:r w:rsidRPr="008E2BEC">
        <w:rPr>
          <w:iCs/>
        </w:rPr>
        <w:t xml:space="preserve">With the implementation of a new Risk Management Information </w:t>
      </w:r>
      <w:r w:rsidR="00C92668" w:rsidRPr="008E2BEC">
        <w:rPr>
          <w:iCs/>
        </w:rPr>
        <w:t>System,</w:t>
      </w:r>
      <w:r w:rsidRPr="008E2BEC">
        <w:rPr>
          <w:iCs/>
        </w:rPr>
        <w:t xml:space="preserve"> we have had the opportunity to revisit the liability premium distribution model.  Agencies showing a lower claims count, smaller losses and lower underwriting exposures will recognize decreased liability premium FY 2023. </w:t>
      </w:r>
    </w:p>
    <w:p w14:paraId="6F32052A" w14:textId="77777777" w:rsidR="007C7129" w:rsidRPr="00931D75" w:rsidRDefault="007C7129" w:rsidP="007A2DE6">
      <w:pPr>
        <w:rPr>
          <w:iCs/>
          <w:szCs w:val="20"/>
        </w:rPr>
      </w:pPr>
    </w:p>
    <w:p w14:paraId="6CFD05E8" w14:textId="0D313E60" w:rsidR="00CF584A" w:rsidRDefault="00CF584A" w:rsidP="007A2DE6">
      <w:pPr>
        <w:rPr>
          <w:b/>
          <w:iCs/>
          <w:szCs w:val="20"/>
        </w:rPr>
      </w:pPr>
      <w:r w:rsidRPr="00931D75">
        <w:rPr>
          <w:b/>
          <w:iCs/>
          <w:szCs w:val="20"/>
        </w:rPr>
        <w:t>Industrial Special Indemnity Fund</w:t>
      </w:r>
    </w:p>
    <w:p w14:paraId="35329A7B" w14:textId="77777777" w:rsidR="005F7730" w:rsidRPr="00931D75" w:rsidRDefault="005F7730" w:rsidP="007A2DE6">
      <w:pPr>
        <w:rPr>
          <w:b/>
          <w:iCs/>
          <w:szCs w:val="20"/>
        </w:rPr>
      </w:pPr>
    </w:p>
    <w:p w14:paraId="518933DF" w14:textId="48933625" w:rsidR="008E2BEC" w:rsidRPr="000A4161" w:rsidRDefault="008E2BEC" w:rsidP="001D3972">
      <w:pPr>
        <w:pStyle w:val="ListParagraph"/>
        <w:ind w:left="1440"/>
        <w:mirrorIndents/>
        <w:rPr>
          <w:bCs/>
          <w:iCs/>
        </w:rPr>
      </w:pPr>
      <w:r w:rsidRPr="000A4161">
        <w:rPr>
          <w:bCs/>
          <w:iCs/>
        </w:rPr>
        <w:t xml:space="preserve">Given the potential monetary ramifications of an injured worker being awarded lifetime benefits, the </w:t>
      </w:r>
      <w:r w:rsidR="006B365C" w:rsidRPr="000A4161">
        <w:rPr>
          <w:bCs/>
          <w:iCs/>
        </w:rPr>
        <w:t xml:space="preserve">  </w:t>
      </w:r>
      <w:r w:rsidRPr="000A4161">
        <w:rPr>
          <w:bCs/>
          <w:iCs/>
        </w:rPr>
        <w:t>ISIF thoroughly evaluates all claims.  The ISIF further analyzes which claims to fully defend up to and through a hearing before the Industrial Commission.  In FY21, the ISIF fully defended 15 cases.  The ISIF prevailed at hearing on 3 of these claims and another 10 were dismissed prior to hearing.</w:t>
      </w:r>
    </w:p>
    <w:p w14:paraId="2E726087" w14:textId="77777777" w:rsidR="00852EE6" w:rsidRPr="00931D75" w:rsidRDefault="00852EE6" w:rsidP="006B365C">
      <w:pPr>
        <w:rPr>
          <w:iCs/>
          <w:szCs w:val="20"/>
        </w:rPr>
      </w:pPr>
    </w:p>
    <w:p w14:paraId="74EDD542" w14:textId="74FCFC99" w:rsidR="00CF584A" w:rsidRDefault="00CF584A" w:rsidP="006B365C">
      <w:pPr>
        <w:rPr>
          <w:b/>
          <w:iCs/>
          <w:szCs w:val="20"/>
        </w:rPr>
      </w:pPr>
      <w:r w:rsidRPr="00931D75">
        <w:rPr>
          <w:b/>
          <w:iCs/>
          <w:szCs w:val="20"/>
        </w:rPr>
        <w:t>Postal Services</w:t>
      </w:r>
      <w:r w:rsidR="00276BA2" w:rsidRPr="00931D75">
        <w:rPr>
          <w:b/>
          <w:iCs/>
          <w:szCs w:val="20"/>
        </w:rPr>
        <w:t xml:space="preserve"> / </w:t>
      </w:r>
      <w:r w:rsidR="00D5304D" w:rsidRPr="00931D75">
        <w:rPr>
          <w:b/>
          <w:iCs/>
          <w:szCs w:val="20"/>
        </w:rPr>
        <w:t>Printing Services</w:t>
      </w:r>
    </w:p>
    <w:p w14:paraId="28737E82" w14:textId="71C8FDB1" w:rsidR="00FB1EAB" w:rsidRDefault="00FB1EAB" w:rsidP="006B365C">
      <w:pPr>
        <w:rPr>
          <w:b/>
          <w:iCs/>
          <w:szCs w:val="20"/>
        </w:rPr>
      </w:pPr>
    </w:p>
    <w:p w14:paraId="35928BF3" w14:textId="77777777" w:rsidR="00FB1EAB" w:rsidRPr="006B365C" w:rsidRDefault="00FB1EAB" w:rsidP="006B365C">
      <w:pPr>
        <w:pStyle w:val="ListParagraph"/>
        <w:numPr>
          <w:ilvl w:val="0"/>
          <w:numId w:val="36"/>
        </w:numPr>
        <w:ind w:left="360"/>
        <w:rPr>
          <w:bCs/>
          <w:iCs/>
          <w:szCs w:val="20"/>
        </w:rPr>
      </w:pPr>
      <w:r w:rsidRPr="006B365C">
        <w:rPr>
          <w:bCs/>
          <w:iCs/>
          <w:szCs w:val="20"/>
        </w:rPr>
        <w:t>Over the last year, Central Postal saved agencies an estimated $382,000 in postage by providing interoffice mail services.</w:t>
      </w:r>
    </w:p>
    <w:p w14:paraId="520FC2F7" w14:textId="77777777" w:rsidR="00FB1EAB" w:rsidRPr="006B365C" w:rsidRDefault="00FB1EAB" w:rsidP="006B365C">
      <w:pPr>
        <w:pStyle w:val="ListParagraph"/>
        <w:ind w:left="360" w:hanging="270"/>
        <w:rPr>
          <w:bCs/>
          <w:iCs/>
          <w:szCs w:val="20"/>
        </w:rPr>
      </w:pPr>
    </w:p>
    <w:p w14:paraId="41B767D4" w14:textId="3FF95CD9" w:rsidR="00FB1EAB" w:rsidRPr="006B365C" w:rsidRDefault="00FB1EAB" w:rsidP="006B365C">
      <w:pPr>
        <w:pStyle w:val="ListParagraph"/>
        <w:numPr>
          <w:ilvl w:val="0"/>
          <w:numId w:val="36"/>
        </w:numPr>
        <w:ind w:left="360"/>
        <w:rPr>
          <w:bCs/>
          <w:iCs/>
          <w:szCs w:val="20"/>
        </w:rPr>
      </w:pPr>
      <w:r w:rsidRPr="006B365C">
        <w:rPr>
          <w:bCs/>
          <w:iCs/>
          <w:szCs w:val="20"/>
        </w:rPr>
        <w:t xml:space="preserve">By processing First-Class typed letters using the postal bar code sorter, agencies have saved a combined total of $924,000 in FY21 in USPS discounts versus sending out all letters at the individual First-Class rate. This figure does not include the package discounts, flat discounts, and postage meter leasing charges. As more agencies utilize Central Postal Services for </w:t>
      </w:r>
      <w:r w:rsidR="00C92668" w:rsidRPr="006B365C">
        <w:rPr>
          <w:bCs/>
          <w:iCs/>
          <w:szCs w:val="20"/>
        </w:rPr>
        <w:t>ALL</w:t>
      </w:r>
      <w:r w:rsidRPr="006B365C">
        <w:rPr>
          <w:bCs/>
          <w:iCs/>
          <w:szCs w:val="20"/>
        </w:rPr>
        <w:t xml:space="preserve"> their mailing needs, additional savings will be obtained.</w:t>
      </w:r>
    </w:p>
    <w:p w14:paraId="341711A6" w14:textId="77777777" w:rsidR="00FB1EAB" w:rsidRPr="006B365C" w:rsidRDefault="00FB1EAB" w:rsidP="006B365C">
      <w:pPr>
        <w:pStyle w:val="ListParagraph"/>
        <w:ind w:left="360" w:hanging="270"/>
        <w:rPr>
          <w:bCs/>
          <w:iCs/>
          <w:szCs w:val="20"/>
        </w:rPr>
      </w:pPr>
    </w:p>
    <w:p w14:paraId="740CDAC7" w14:textId="77777777" w:rsidR="00FB1EAB" w:rsidRPr="006B365C" w:rsidRDefault="00FB1EAB" w:rsidP="006B365C">
      <w:pPr>
        <w:pStyle w:val="ListParagraph"/>
        <w:numPr>
          <w:ilvl w:val="0"/>
          <w:numId w:val="36"/>
        </w:numPr>
        <w:ind w:left="360"/>
        <w:rPr>
          <w:bCs/>
          <w:iCs/>
          <w:szCs w:val="20"/>
        </w:rPr>
      </w:pPr>
      <w:r w:rsidRPr="006B365C">
        <w:rPr>
          <w:bCs/>
          <w:iCs/>
          <w:szCs w:val="20"/>
        </w:rPr>
        <w:t>Central Postal has grown the Postal Annex at the Chinden Campus, 8 agencies, with more to move on campus this year. This location serves as the Shipping/Receiving location for all agencies on campus and is staffed by 2 full time employees.</w:t>
      </w:r>
    </w:p>
    <w:p w14:paraId="2C31FD74" w14:textId="77777777" w:rsidR="00FB1EAB" w:rsidRPr="006B365C" w:rsidRDefault="00FB1EAB" w:rsidP="006B365C">
      <w:pPr>
        <w:pStyle w:val="ListParagraph"/>
        <w:ind w:left="360" w:hanging="270"/>
        <w:rPr>
          <w:bCs/>
          <w:iCs/>
          <w:szCs w:val="20"/>
        </w:rPr>
      </w:pPr>
    </w:p>
    <w:p w14:paraId="46B95F8B" w14:textId="58A31448" w:rsidR="00FB1EAB" w:rsidRPr="006B365C" w:rsidRDefault="00FB1EAB" w:rsidP="006B365C">
      <w:pPr>
        <w:pStyle w:val="ListParagraph"/>
        <w:numPr>
          <w:ilvl w:val="0"/>
          <w:numId w:val="36"/>
        </w:numPr>
        <w:ind w:left="360" w:hanging="270"/>
        <w:rPr>
          <w:bCs/>
          <w:iCs/>
          <w:szCs w:val="20"/>
        </w:rPr>
      </w:pPr>
      <w:r w:rsidRPr="006B365C">
        <w:rPr>
          <w:bCs/>
          <w:iCs/>
          <w:szCs w:val="20"/>
        </w:rPr>
        <w:t>The joint-document management system is scheduled to roll out this year</w:t>
      </w:r>
      <w:r w:rsidR="003A7E87">
        <w:rPr>
          <w:bCs/>
          <w:iCs/>
          <w:szCs w:val="20"/>
        </w:rPr>
        <w:t xml:space="preserve">. </w:t>
      </w:r>
      <w:r w:rsidRPr="006B365C">
        <w:rPr>
          <w:bCs/>
          <w:iCs/>
          <w:szCs w:val="20"/>
        </w:rPr>
        <w:t>This system will allow agency users to perform a wide variety of services on their own. They will have the ability to upload their address lists and document templates to the system, create a document template, merge documents, and cleanse addresses for accuracy. They will also have the option to email the document, have the document printed and mailed, or both. This system can apply 2D bar code placement on the printed pages that will allow the inserting machines in Central Postal to track the inserting jobs, ensure that the correct pages are inserted into the envelopes, and provide closed-loop verification of mailing in real time for the customer. Customers will be able to view every step in the process in real time, from creating the document, printing the document, inserting the document, as well as the entire flow through the mail stream in the USPS system including delivery to the recipient’s door.</w:t>
      </w:r>
    </w:p>
    <w:p w14:paraId="631B4A59" w14:textId="77777777" w:rsidR="00276BA2" w:rsidRPr="00931D75" w:rsidRDefault="00276BA2" w:rsidP="007A2DE6">
      <w:pPr>
        <w:rPr>
          <w:iCs/>
          <w:szCs w:val="20"/>
        </w:rPr>
      </w:pPr>
    </w:p>
    <w:p w14:paraId="2FA7D471" w14:textId="77777777" w:rsidR="00DA70AC" w:rsidRPr="00931D75" w:rsidRDefault="00DA70AC" w:rsidP="00DA70AC">
      <w:pPr>
        <w:jc w:val="both"/>
        <w:rPr>
          <w:rFonts w:ascii="Calibri" w:eastAsiaTheme="minorHAnsi" w:hAnsi="Calibri" w:cs="Calibri"/>
        </w:rPr>
      </w:pPr>
    </w:p>
    <w:p w14:paraId="34D85575" w14:textId="7ED2C1CF" w:rsidR="00276BA2" w:rsidRPr="00931D75" w:rsidRDefault="00F47CF6" w:rsidP="00DA70AC">
      <w:pPr>
        <w:jc w:val="both"/>
        <w:rPr>
          <w:b/>
          <w:iCs/>
          <w:szCs w:val="20"/>
          <w:u w:val="single"/>
        </w:rPr>
      </w:pPr>
      <w:r w:rsidRPr="00931D75">
        <w:rPr>
          <w:b/>
          <w:iCs/>
          <w:szCs w:val="20"/>
          <w:u w:val="single"/>
        </w:rPr>
        <w:t>Division of Security Operations</w:t>
      </w:r>
    </w:p>
    <w:p w14:paraId="6A532C90" w14:textId="77777777" w:rsidR="00276BA2" w:rsidRPr="00931D75" w:rsidRDefault="00276BA2" w:rsidP="00DA70AC">
      <w:pPr>
        <w:jc w:val="both"/>
        <w:rPr>
          <w:iCs/>
          <w:szCs w:val="20"/>
        </w:rPr>
      </w:pPr>
    </w:p>
    <w:p w14:paraId="5D9873D2" w14:textId="43FA7D00" w:rsidR="00102758" w:rsidRPr="00931D75" w:rsidRDefault="00102758" w:rsidP="00DA70AC">
      <w:pPr>
        <w:pStyle w:val="ListParagraph"/>
        <w:numPr>
          <w:ilvl w:val="0"/>
          <w:numId w:val="28"/>
        </w:numPr>
        <w:ind w:left="360"/>
        <w:jc w:val="both"/>
        <w:rPr>
          <w:szCs w:val="20"/>
        </w:rPr>
      </w:pPr>
      <w:r w:rsidRPr="00931D75">
        <w:t>In partnership with I</w:t>
      </w:r>
      <w:r w:rsidR="0037312B">
        <w:t xml:space="preserve">daho </w:t>
      </w:r>
      <w:r w:rsidRPr="00931D75">
        <w:t>S</w:t>
      </w:r>
      <w:r w:rsidR="0037312B">
        <w:t>tate Police</w:t>
      </w:r>
      <w:r w:rsidRPr="00931D75">
        <w:t xml:space="preserve">, created </w:t>
      </w:r>
      <w:r w:rsidR="00FB1EAB">
        <w:t xml:space="preserve">a </w:t>
      </w:r>
      <w:r w:rsidRPr="00931D75">
        <w:t xml:space="preserve">formal </w:t>
      </w:r>
      <w:r w:rsidR="0037312B">
        <w:t>S</w:t>
      </w:r>
      <w:r w:rsidRPr="00931D75">
        <w:t>ecurity OPplan for 202</w:t>
      </w:r>
      <w:r w:rsidR="00FB1EAB">
        <w:t xml:space="preserve">1 </w:t>
      </w:r>
      <w:r w:rsidRPr="00931D75">
        <w:t>Legislative Session</w:t>
      </w:r>
      <w:r w:rsidR="0037312B">
        <w:t>.</w:t>
      </w:r>
    </w:p>
    <w:p w14:paraId="3CA025F1" w14:textId="77777777" w:rsidR="00102758" w:rsidRPr="00931D75" w:rsidRDefault="00102758" w:rsidP="00DA70AC">
      <w:pPr>
        <w:pStyle w:val="ListParagraph"/>
        <w:ind w:left="360"/>
        <w:jc w:val="both"/>
        <w:rPr>
          <w:rFonts w:ascii="Calibri" w:hAnsi="Calibri" w:cs="Calibri"/>
        </w:rPr>
      </w:pPr>
    </w:p>
    <w:p w14:paraId="66DC628B" w14:textId="395AB8E9" w:rsidR="00102758" w:rsidRPr="00931D75" w:rsidRDefault="00102758" w:rsidP="00DA70AC">
      <w:pPr>
        <w:pStyle w:val="ListParagraph"/>
        <w:numPr>
          <w:ilvl w:val="0"/>
          <w:numId w:val="28"/>
        </w:numPr>
        <w:ind w:left="360"/>
        <w:jc w:val="both"/>
        <w:rPr>
          <w:rFonts w:cs="Arial"/>
        </w:rPr>
      </w:pPr>
      <w:r w:rsidRPr="00931D75">
        <w:t xml:space="preserve">Developed and delivered updated Emergency Response Guidebook for the Capitol </w:t>
      </w:r>
      <w:r w:rsidR="0037312B">
        <w:t>B</w:t>
      </w:r>
      <w:r w:rsidRPr="00931D75">
        <w:t>uilding</w:t>
      </w:r>
      <w:r w:rsidR="0037312B">
        <w:t>.</w:t>
      </w:r>
    </w:p>
    <w:p w14:paraId="2FBD6017" w14:textId="77777777" w:rsidR="00102758" w:rsidRPr="00931D75" w:rsidRDefault="00102758" w:rsidP="00DA70AC">
      <w:pPr>
        <w:pStyle w:val="ListParagraph"/>
        <w:jc w:val="both"/>
      </w:pPr>
    </w:p>
    <w:p w14:paraId="0F1C13EC" w14:textId="0D1EE0A9" w:rsidR="00102758" w:rsidRPr="00931D75" w:rsidRDefault="00102758" w:rsidP="00DA70AC">
      <w:pPr>
        <w:pStyle w:val="ListParagraph"/>
        <w:numPr>
          <w:ilvl w:val="0"/>
          <w:numId w:val="28"/>
        </w:numPr>
        <w:ind w:left="360"/>
        <w:jc w:val="both"/>
        <w:rPr>
          <w:rFonts w:ascii="Calibri" w:hAnsi="Calibri" w:cs="Calibri"/>
        </w:rPr>
      </w:pPr>
      <w:r w:rsidRPr="00931D75">
        <w:t>Renewed cont</w:t>
      </w:r>
      <w:r w:rsidR="0037312B">
        <w:t>r</w:t>
      </w:r>
      <w:r w:rsidRPr="00931D75">
        <w:t xml:space="preserve">act with </w:t>
      </w:r>
      <w:r w:rsidRPr="00931D75">
        <w:rPr>
          <w:b/>
          <w:bCs/>
        </w:rPr>
        <w:t>CBI Security Services</w:t>
      </w:r>
      <w:r w:rsidRPr="00931D75">
        <w:t>, beginning August 202</w:t>
      </w:r>
      <w:r w:rsidR="006B365C">
        <w:t>1</w:t>
      </w:r>
      <w:r w:rsidRPr="00931D75">
        <w:t xml:space="preserve"> for </w:t>
      </w:r>
      <w:r w:rsidR="00535C6C">
        <w:t xml:space="preserve">the </w:t>
      </w:r>
      <w:r w:rsidRPr="00931D75">
        <w:t>Capitol Mall</w:t>
      </w:r>
      <w:r w:rsidR="00535C6C">
        <w:t>.</w:t>
      </w:r>
    </w:p>
    <w:p w14:paraId="4334F5BD" w14:textId="77777777" w:rsidR="00102758" w:rsidRPr="00931D75" w:rsidRDefault="00102758" w:rsidP="00DA70AC">
      <w:pPr>
        <w:jc w:val="both"/>
        <w:rPr>
          <w:rFonts w:ascii="Calibri" w:hAnsi="Calibri" w:cs="Calibri"/>
        </w:rPr>
      </w:pPr>
    </w:p>
    <w:p w14:paraId="61C4258E" w14:textId="6AA77A8D" w:rsidR="00102758" w:rsidRPr="00931D75" w:rsidRDefault="00102758" w:rsidP="00DA70AC">
      <w:pPr>
        <w:pStyle w:val="ListParagraph"/>
        <w:numPr>
          <w:ilvl w:val="0"/>
          <w:numId w:val="28"/>
        </w:numPr>
        <w:ind w:left="360"/>
        <w:jc w:val="both"/>
      </w:pPr>
      <w:r w:rsidRPr="00931D75">
        <w:t xml:space="preserve">Completed Access Control system installation in Postal Services, State Board of Education, and </w:t>
      </w:r>
      <w:r w:rsidR="00535C6C">
        <w:t xml:space="preserve">the </w:t>
      </w:r>
      <w:r w:rsidRPr="00931D75">
        <w:t>Division of Career and Technical Education</w:t>
      </w:r>
      <w:r w:rsidR="00535C6C">
        <w:t>.</w:t>
      </w:r>
      <w:r w:rsidRPr="00931D75">
        <w:t xml:space="preserve"> </w:t>
      </w:r>
    </w:p>
    <w:p w14:paraId="3CE1A6E2" w14:textId="77777777" w:rsidR="00102758" w:rsidRPr="00931D75" w:rsidRDefault="00102758" w:rsidP="00DA70AC">
      <w:pPr>
        <w:jc w:val="both"/>
      </w:pPr>
    </w:p>
    <w:p w14:paraId="37CBEDF7" w14:textId="361572FA" w:rsidR="00102758" w:rsidRPr="00931D75" w:rsidRDefault="00102758" w:rsidP="00DA70AC">
      <w:pPr>
        <w:pStyle w:val="ListParagraph"/>
        <w:numPr>
          <w:ilvl w:val="0"/>
          <w:numId w:val="28"/>
        </w:numPr>
        <w:ind w:left="360"/>
        <w:jc w:val="both"/>
      </w:pPr>
      <w:r w:rsidRPr="00931D75">
        <w:t>Completed both the Evaluation Phase and the Execution Phase of the Security Strategic Plan</w:t>
      </w:r>
      <w:r w:rsidR="00535C6C">
        <w:t>.</w:t>
      </w:r>
    </w:p>
    <w:p w14:paraId="2574E99C" w14:textId="77777777" w:rsidR="00102758" w:rsidRPr="00931D75" w:rsidRDefault="00102758" w:rsidP="00DA70AC">
      <w:pPr>
        <w:pStyle w:val="ListParagraph"/>
        <w:jc w:val="both"/>
      </w:pPr>
    </w:p>
    <w:p w14:paraId="7287A61E" w14:textId="4F40929F" w:rsidR="007A2DE6" w:rsidRDefault="007A2DE6" w:rsidP="007A2DE6">
      <w:pPr>
        <w:rPr>
          <w:rFonts w:cs="Arial"/>
          <w:b/>
          <w:szCs w:val="20"/>
          <w:u w:val="single"/>
        </w:rPr>
      </w:pPr>
      <w:r w:rsidRPr="00931D75">
        <w:rPr>
          <w:rFonts w:cs="Arial"/>
          <w:b/>
          <w:szCs w:val="20"/>
          <w:u w:val="single"/>
        </w:rPr>
        <w:t>Division of Purchasing</w:t>
      </w:r>
    </w:p>
    <w:p w14:paraId="7B45C589" w14:textId="3EB80890" w:rsidR="006B365C" w:rsidRDefault="006B365C" w:rsidP="007A2DE6">
      <w:pPr>
        <w:rPr>
          <w:rFonts w:cs="Arial"/>
          <w:b/>
          <w:szCs w:val="20"/>
          <w:u w:val="single"/>
        </w:rPr>
      </w:pPr>
    </w:p>
    <w:p w14:paraId="352D5674" w14:textId="5178EBA8" w:rsidR="006B365C" w:rsidRPr="006B365C" w:rsidRDefault="006B365C" w:rsidP="007A2DE6">
      <w:pPr>
        <w:rPr>
          <w:rFonts w:cs="Arial"/>
          <w:b/>
          <w:szCs w:val="20"/>
        </w:rPr>
      </w:pPr>
      <w:r w:rsidRPr="006B365C">
        <w:rPr>
          <w:rFonts w:cs="Arial"/>
          <w:b/>
          <w:szCs w:val="20"/>
        </w:rPr>
        <w:t>State Purchasing</w:t>
      </w:r>
    </w:p>
    <w:p w14:paraId="58FCC010" w14:textId="77777777" w:rsidR="00C02111" w:rsidRPr="00931D75" w:rsidRDefault="00C02111" w:rsidP="00C02111">
      <w:pPr>
        <w:rPr>
          <w:rFonts w:cs="Arial"/>
          <w:szCs w:val="22"/>
        </w:rPr>
      </w:pPr>
    </w:p>
    <w:p w14:paraId="39E7DAC5" w14:textId="77777777" w:rsidR="006B365C" w:rsidRDefault="006B365C" w:rsidP="006B365C">
      <w:pPr>
        <w:pStyle w:val="ListParagraph"/>
        <w:numPr>
          <w:ilvl w:val="0"/>
          <w:numId w:val="38"/>
        </w:numPr>
        <w:ind w:left="360"/>
      </w:pPr>
      <w:r>
        <w:t>Purchasing completed a re-organization of its purchasing/contracting staff into two primary teams: a Procurement Team and a Contract Administration Team.  New supervisors were onboarded into vacant positions for both teams in January 2021.  The objective of the re-organization is to streamline the procurement process and dedicate more time to proactive contract administration activities.</w:t>
      </w:r>
    </w:p>
    <w:p w14:paraId="0EC08126" w14:textId="77777777" w:rsidR="006B365C" w:rsidRDefault="006B365C" w:rsidP="006A2BF5">
      <w:pPr>
        <w:pStyle w:val="ListParagraph"/>
        <w:ind w:left="360"/>
      </w:pPr>
    </w:p>
    <w:p w14:paraId="0A275085" w14:textId="77777777" w:rsidR="006B365C" w:rsidRDefault="006B365C" w:rsidP="006B365C">
      <w:pPr>
        <w:pStyle w:val="ListParagraph"/>
        <w:numPr>
          <w:ilvl w:val="0"/>
          <w:numId w:val="38"/>
        </w:numPr>
        <w:ind w:left="360"/>
      </w:pPr>
      <w:r>
        <w:t>Purchasing has continued to work closely with the Luma implementation team, developing process improvements that will be incorporated into the procurement module of the Luma system.</w:t>
      </w:r>
    </w:p>
    <w:p w14:paraId="2148BD42" w14:textId="77777777" w:rsidR="006B365C" w:rsidRDefault="006B365C" w:rsidP="006A2BF5">
      <w:pPr>
        <w:pStyle w:val="ListParagraph"/>
        <w:ind w:left="360"/>
      </w:pPr>
    </w:p>
    <w:p w14:paraId="7E9156A1" w14:textId="77777777" w:rsidR="006B365C" w:rsidRDefault="006B365C" w:rsidP="006B365C">
      <w:pPr>
        <w:pStyle w:val="ListParagraph"/>
        <w:numPr>
          <w:ilvl w:val="0"/>
          <w:numId w:val="38"/>
        </w:numPr>
        <w:ind w:left="360"/>
      </w:pPr>
      <w:r>
        <w:t xml:space="preserve">Purchasing continued to support agencies as they responded to new and changing needs related to the COVID 19 pandemic, including ongoing efforts to expand virtual capabilities. </w:t>
      </w:r>
    </w:p>
    <w:p w14:paraId="28B54D89" w14:textId="77777777" w:rsidR="006B365C" w:rsidRDefault="006B365C" w:rsidP="006A2BF5">
      <w:pPr>
        <w:pStyle w:val="ListParagraph"/>
        <w:ind w:left="360"/>
      </w:pPr>
    </w:p>
    <w:p w14:paraId="4E6C3BBD" w14:textId="77777777" w:rsidR="006B365C" w:rsidRDefault="006B365C" w:rsidP="006B365C">
      <w:pPr>
        <w:pStyle w:val="ListParagraph"/>
        <w:numPr>
          <w:ilvl w:val="0"/>
          <w:numId w:val="38"/>
        </w:numPr>
        <w:ind w:left="360"/>
      </w:pPr>
      <w:r>
        <w:t xml:space="preserve">Purchasing issued many important contracts in FY21 including a new X-Ray scanning machine for Central Postal, Connection and Intervention Stations for IDOC, and Technology Integrator for IIC. </w:t>
      </w:r>
    </w:p>
    <w:p w14:paraId="293C99A1" w14:textId="77777777" w:rsidR="006B365C" w:rsidRDefault="006B365C" w:rsidP="006A2BF5">
      <w:pPr>
        <w:pStyle w:val="ListParagraph"/>
        <w:ind w:left="360"/>
      </w:pPr>
    </w:p>
    <w:p w14:paraId="14DE7268" w14:textId="77777777" w:rsidR="006B365C" w:rsidRDefault="006B365C" w:rsidP="006B365C">
      <w:pPr>
        <w:pStyle w:val="ListParagraph"/>
        <w:numPr>
          <w:ilvl w:val="0"/>
          <w:numId w:val="38"/>
        </w:numPr>
        <w:ind w:left="360"/>
      </w:pPr>
      <w:r>
        <w:t xml:space="preserve">Purchasing continues to develop its buyer certification program after a delay related to re-vamping existing training to accommodate more virtual training in response to the pandemic.  </w:t>
      </w:r>
    </w:p>
    <w:p w14:paraId="34D7CD1C" w14:textId="77777777" w:rsidR="006B365C" w:rsidRDefault="006B365C" w:rsidP="006A2BF5">
      <w:pPr>
        <w:pStyle w:val="ListParagraph"/>
        <w:ind w:left="360"/>
      </w:pPr>
    </w:p>
    <w:p w14:paraId="55E47008" w14:textId="77777777" w:rsidR="006B365C" w:rsidRDefault="006B365C" w:rsidP="006B365C">
      <w:pPr>
        <w:pStyle w:val="ListParagraph"/>
        <w:numPr>
          <w:ilvl w:val="0"/>
          <w:numId w:val="38"/>
        </w:numPr>
        <w:ind w:left="360"/>
      </w:pPr>
      <w:r>
        <w:t xml:space="preserve">Purchasing moved from the Borah Building to Room 100 in the LBJ Building, joining most of the Department of Administration.  </w:t>
      </w:r>
    </w:p>
    <w:p w14:paraId="3677B605" w14:textId="77777777" w:rsidR="00B16C95" w:rsidRPr="00931D75" w:rsidRDefault="00B16C95" w:rsidP="00B16C95">
      <w:pPr>
        <w:rPr>
          <w:rFonts w:eastAsiaTheme="minorHAnsi"/>
        </w:rPr>
      </w:pPr>
    </w:p>
    <w:p w14:paraId="2A52185B" w14:textId="5624AD2A" w:rsidR="00CF584A" w:rsidRPr="00931D75" w:rsidRDefault="00CF584A" w:rsidP="007A2DE6">
      <w:pPr>
        <w:rPr>
          <w:b/>
          <w:iCs/>
          <w:szCs w:val="20"/>
        </w:rPr>
      </w:pPr>
      <w:bookmarkStart w:id="16" w:name="_Hlk13643385"/>
      <w:r w:rsidRPr="00931D75">
        <w:rPr>
          <w:b/>
          <w:iCs/>
          <w:szCs w:val="20"/>
        </w:rPr>
        <w:t>Federal Surplus Properties</w:t>
      </w:r>
      <w:r w:rsidR="00535C6C">
        <w:rPr>
          <w:b/>
          <w:iCs/>
          <w:szCs w:val="20"/>
        </w:rPr>
        <w:t xml:space="preserve"> (FSP)</w:t>
      </w:r>
    </w:p>
    <w:bookmarkEnd w:id="16"/>
    <w:p w14:paraId="2A7D2610" w14:textId="77777777" w:rsidR="007A2DE6" w:rsidRPr="00931D75" w:rsidRDefault="007A2DE6" w:rsidP="007A2DE6">
      <w:pPr>
        <w:rPr>
          <w:iCs/>
        </w:rPr>
      </w:pPr>
    </w:p>
    <w:p w14:paraId="0CA04B28" w14:textId="623CF3E7" w:rsidR="006A2BF5" w:rsidRDefault="006A2BF5" w:rsidP="006A2BF5">
      <w:pPr>
        <w:pStyle w:val="ListParagraph"/>
        <w:numPr>
          <w:ilvl w:val="0"/>
          <w:numId w:val="39"/>
        </w:numPr>
        <w:ind w:left="360"/>
      </w:pPr>
      <w:r>
        <w:t xml:space="preserve">In FY21 FSP donated 7,950 items to 138 various public agencies, nonprofit </w:t>
      </w:r>
      <w:r w:rsidR="00C92668">
        <w:t>organizations,</w:t>
      </w:r>
      <w:r>
        <w:t xml:space="preserve"> and shelters.  Approximate market value for all items was $1,386,422 with FSP charging donees only $406,229 to cover operating costs.  This saved the agencies and political subdivisions about $1 million for equipment, machinery, tools, furniture and many more items necessary for their operations.  A great portion of the savings represented taxpayer dollars.</w:t>
      </w:r>
    </w:p>
    <w:p w14:paraId="7C6FF19A" w14:textId="77777777" w:rsidR="006A2BF5" w:rsidRDefault="006A2BF5" w:rsidP="006A2BF5">
      <w:pPr>
        <w:pStyle w:val="ListParagraph"/>
        <w:ind w:left="360"/>
      </w:pPr>
    </w:p>
    <w:p w14:paraId="6D94AA5D" w14:textId="77777777" w:rsidR="006A2BF5" w:rsidRDefault="006A2BF5" w:rsidP="006A2BF5">
      <w:pPr>
        <w:pStyle w:val="ListParagraph"/>
        <w:numPr>
          <w:ilvl w:val="0"/>
          <w:numId w:val="39"/>
        </w:numPr>
        <w:ind w:left="360"/>
      </w:pPr>
      <w:r>
        <w:t>This year FSP has seen a huge increase in the number of items donated to Boy/Girl Scout Troops within Idaho.  In FY21 FSP donated 726 items to the Scouts.  This equated to over a 300% increase in items donated compared to the year prior.  The combined market value of the items the Scouts were able to receive was $37,015.  After the service and handling fees were paid the Scouts realized a savings of approximately 75% versus buying these items on the open market.</w:t>
      </w:r>
    </w:p>
    <w:p w14:paraId="7B5890B7" w14:textId="77777777" w:rsidR="006A2BF5" w:rsidRDefault="006A2BF5" w:rsidP="006A2BF5">
      <w:pPr>
        <w:pStyle w:val="ListParagraph"/>
        <w:ind w:left="360"/>
      </w:pPr>
    </w:p>
    <w:p w14:paraId="0FB4C215" w14:textId="77777777" w:rsidR="006A2BF5" w:rsidRDefault="006A2BF5" w:rsidP="006A2BF5">
      <w:pPr>
        <w:pStyle w:val="ListParagraph"/>
        <w:numPr>
          <w:ilvl w:val="0"/>
          <w:numId w:val="39"/>
        </w:numPr>
        <w:ind w:left="360"/>
      </w:pPr>
      <w:r>
        <w:t xml:space="preserve">During FY21, FSP has screened 64 fixed price vehicles (a 58% increase over last year) and was able to get 16 of those vehicles to public agencies.  These vehicles are generally newer and fancier than the vehicles we </w:t>
      </w:r>
      <w:proofErr w:type="gramStart"/>
      <w:r>
        <w:t>are able to</w:t>
      </w:r>
      <w:proofErr w:type="gramEnd"/>
      <w:r>
        <w:t xml:space="preserve"> obtain through the surplus program and are in high demand by public agencies.  By obtaining the vehicles through fixed price versus the open market, FSP </w:t>
      </w:r>
      <w:proofErr w:type="gramStart"/>
      <w:r>
        <w:t>is able to</w:t>
      </w:r>
      <w:proofErr w:type="gramEnd"/>
      <w:r>
        <w:t xml:space="preserve"> save each tax supported agency thousands of dollars in cost.</w:t>
      </w:r>
    </w:p>
    <w:p w14:paraId="24864E03" w14:textId="77777777" w:rsidR="006A2BF5" w:rsidRDefault="006A2BF5" w:rsidP="006A2BF5">
      <w:pPr>
        <w:pStyle w:val="ListParagraph"/>
        <w:ind w:left="360"/>
      </w:pPr>
    </w:p>
    <w:p w14:paraId="4F6B8D46" w14:textId="75FAA2A5" w:rsidR="006A2BF5" w:rsidRDefault="006A2BF5" w:rsidP="006A2BF5">
      <w:pPr>
        <w:pStyle w:val="ListParagraph"/>
        <w:numPr>
          <w:ilvl w:val="0"/>
          <w:numId w:val="39"/>
        </w:numPr>
        <w:ind w:left="360"/>
      </w:pPr>
      <w:r>
        <w:t xml:space="preserve">FSP has been working diligently to create standard operating procedures for the separate work centers within Federal Surplus.  This includes Bureau Chief, Office Administration, Property Management and Warehousing.  Over the past year, FSP has created (from scratch), tested and implemented 27 SOP’s.  These </w:t>
      </w:r>
      <w:r w:rsidR="00C92668">
        <w:t>SOPs</w:t>
      </w:r>
      <w:r>
        <w:t xml:space="preserve"> are critical to the continuity of operations during absences of personnel and to ensure requirements are being met.</w:t>
      </w:r>
    </w:p>
    <w:p w14:paraId="69EC4322" w14:textId="77777777" w:rsidR="00752BC2" w:rsidRDefault="00752BC2" w:rsidP="00752BC2">
      <w:pPr>
        <w:pStyle w:val="ListParagraph"/>
      </w:pPr>
    </w:p>
    <w:p w14:paraId="32C4CF00" w14:textId="77777777" w:rsidR="007A2DE6" w:rsidRPr="00931D75" w:rsidRDefault="007A2DE6" w:rsidP="007A2DE6">
      <w:pPr>
        <w:rPr>
          <w:rFonts w:cs="Arial"/>
          <w:b/>
          <w:szCs w:val="20"/>
          <w:u w:val="single"/>
        </w:rPr>
      </w:pPr>
      <w:r w:rsidRPr="00931D75">
        <w:rPr>
          <w:rFonts w:cs="Arial"/>
          <w:b/>
          <w:szCs w:val="20"/>
          <w:u w:val="single"/>
        </w:rPr>
        <w:t>Division of Public Works</w:t>
      </w:r>
    </w:p>
    <w:p w14:paraId="1C456A46" w14:textId="77777777" w:rsidR="005F7730" w:rsidRDefault="005F7730" w:rsidP="00CF584A">
      <w:pPr>
        <w:rPr>
          <w:b/>
          <w:iCs/>
          <w:szCs w:val="20"/>
        </w:rPr>
      </w:pPr>
    </w:p>
    <w:p w14:paraId="6E01DCE5" w14:textId="715D1D99" w:rsidR="002268E4" w:rsidRPr="00931D75" w:rsidRDefault="002268E4" w:rsidP="00CF584A">
      <w:pPr>
        <w:rPr>
          <w:b/>
          <w:iCs/>
          <w:szCs w:val="20"/>
        </w:rPr>
      </w:pPr>
      <w:r w:rsidRPr="00931D75">
        <w:rPr>
          <w:b/>
          <w:iCs/>
          <w:szCs w:val="20"/>
        </w:rPr>
        <w:t>Design and Construction</w:t>
      </w:r>
    </w:p>
    <w:p w14:paraId="58843CB8" w14:textId="77777777" w:rsidR="002268E4" w:rsidRPr="00931D75" w:rsidRDefault="002268E4" w:rsidP="00CF584A">
      <w:pPr>
        <w:rPr>
          <w:iCs/>
          <w:szCs w:val="20"/>
        </w:rPr>
      </w:pPr>
    </w:p>
    <w:p w14:paraId="1E2C91D7" w14:textId="77777777" w:rsidR="00CA58C3" w:rsidRPr="001D3972" w:rsidRDefault="00CA58C3" w:rsidP="00CA58C3">
      <w:pPr>
        <w:pStyle w:val="ListParagraph"/>
        <w:numPr>
          <w:ilvl w:val="0"/>
          <w:numId w:val="8"/>
        </w:numPr>
        <w:ind w:left="360"/>
        <w:jc w:val="both"/>
      </w:pPr>
      <w:r w:rsidRPr="001D3972">
        <w:t>A tour was conducted of facilities in southwest Idaho in May and the Magic Valley in July and will be conducted in north Idaho in September with members of the Permanent Building Funding Advisory Council (PBFAC), and area legislators. Starting in April, and during the pandemic, PBFAC meetings were held virtually.</w:t>
      </w:r>
    </w:p>
    <w:p w14:paraId="2EE3B0C9" w14:textId="77777777" w:rsidR="00CA58C3" w:rsidRPr="001D3972" w:rsidRDefault="00CA58C3" w:rsidP="00CA58C3">
      <w:pPr>
        <w:pStyle w:val="ListParagraph"/>
        <w:ind w:left="360"/>
        <w:jc w:val="both"/>
      </w:pPr>
    </w:p>
    <w:p w14:paraId="7001D407" w14:textId="77777777" w:rsidR="00CA58C3" w:rsidRPr="001D3972" w:rsidRDefault="00CA58C3" w:rsidP="00CA58C3">
      <w:pPr>
        <w:pStyle w:val="ListParagraph"/>
        <w:numPr>
          <w:ilvl w:val="0"/>
          <w:numId w:val="8"/>
        </w:numPr>
        <w:ind w:left="360"/>
        <w:jc w:val="both"/>
      </w:pPr>
      <w:r w:rsidRPr="001D3972">
        <w:t>Construction work progressed throughout the reporting period at the Chinden Campus. Current remodels in Building 4 will provide office space the Department of Finance and newly formed IDOPL, which is currently operating out of the swing space in Building 6.  Additionally, a partial first floor remodel of Building 8 is under construction to provide space for OEM’s Emergency Operations Center.</w:t>
      </w:r>
    </w:p>
    <w:p w14:paraId="112FF58D" w14:textId="77777777" w:rsidR="00CA58C3" w:rsidRPr="001D3972" w:rsidRDefault="00CA58C3" w:rsidP="00CA58C3">
      <w:pPr>
        <w:jc w:val="both"/>
      </w:pPr>
    </w:p>
    <w:p w14:paraId="77EBD000" w14:textId="77777777" w:rsidR="00CA58C3" w:rsidRPr="001D3972" w:rsidRDefault="00CA58C3" w:rsidP="00CA58C3">
      <w:pPr>
        <w:pStyle w:val="ListParagraph"/>
        <w:numPr>
          <w:ilvl w:val="0"/>
          <w:numId w:val="8"/>
        </w:numPr>
        <w:ind w:left="360"/>
        <w:jc w:val="both"/>
      </w:pPr>
      <w:r w:rsidRPr="001D3972">
        <w:t>DPW manages facilities construction for state agencies. The division administers a rotating list of projects with close to 540 active projects in various stages from pre-design to post-construction. The combined value of these projects currently exceeds $500 million. The following list is a sample of some of the major projects that have recently been completed:</w:t>
      </w:r>
    </w:p>
    <w:p w14:paraId="2C978F88" w14:textId="77777777" w:rsidR="00CA58C3" w:rsidRPr="001D3972" w:rsidRDefault="00CA58C3" w:rsidP="00CA58C3">
      <w:pPr>
        <w:jc w:val="both"/>
      </w:pPr>
    </w:p>
    <w:p w14:paraId="4D6A0DE0" w14:textId="77777777" w:rsidR="00CA58C3" w:rsidRPr="001D3972" w:rsidRDefault="00CA58C3" w:rsidP="00CA58C3">
      <w:pPr>
        <w:tabs>
          <w:tab w:val="left" w:pos="7200"/>
        </w:tabs>
        <w:ind w:left="360"/>
        <w:jc w:val="both"/>
      </w:pPr>
      <w:r w:rsidRPr="001D3972">
        <w:t xml:space="preserve">BSU: Material Sciences Research Building                                                       $48.3 million  </w:t>
      </w:r>
    </w:p>
    <w:p w14:paraId="78A3306D" w14:textId="77777777" w:rsidR="00CA58C3" w:rsidRPr="001D3972" w:rsidRDefault="00CA58C3" w:rsidP="00CA58C3">
      <w:pPr>
        <w:tabs>
          <w:tab w:val="left" w:pos="7200"/>
        </w:tabs>
        <w:ind w:left="360"/>
        <w:jc w:val="both"/>
      </w:pPr>
      <w:r w:rsidRPr="001D3972">
        <w:t>IDOC: Community Reentry Center, Twin Falls</w:t>
      </w:r>
      <w:r w:rsidRPr="001D3972">
        <w:tab/>
        <w:t>$ 9.1 million</w:t>
      </w:r>
    </w:p>
    <w:p w14:paraId="2785AE93" w14:textId="77777777" w:rsidR="00CA58C3" w:rsidRPr="001D3972" w:rsidRDefault="00CA58C3" w:rsidP="00CA58C3">
      <w:pPr>
        <w:tabs>
          <w:tab w:val="left" w:pos="7200"/>
        </w:tabs>
        <w:ind w:left="360"/>
        <w:jc w:val="both"/>
      </w:pPr>
      <w:r w:rsidRPr="001D3972">
        <w:t>ISU: Renovate Davis Field, Pocatello</w:t>
      </w:r>
      <w:r w:rsidRPr="001D3972">
        <w:tab/>
        <w:t>$ 7.1 million</w:t>
      </w:r>
    </w:p>
    <w:p w14:paraId="4E87034F" w14:textId="77777777" w:rsidR="00CA58C3" w:rsidRPr="001D3972" w:rsidRDefault="00CA58C3" w:rsidP="00CA58C3">
      <w:pPr>
        <w:tabs>
          <w:tab w:val="left" w:pos="7200"/>
        </w:tabs>
        <w:ind w:left="360"/>
        <w:jc w:val="both"/>
      </w:pPr>
      <w:r w:rsidRPr="001D3972">
        <w:t>UI: Seed Potato Germplasm Facility, Moscow</w:t>
      </w:r>
      <w:r w:rsidRPr="001D3972">
        <w:tab/>
        <w:t>$ 5.2 million</w:t>
      </w:r>
    </w:p>
    <w:p w14:paraId="2C96D999" w14:textId="77777777" w:rsidR="00CA58C3" w:rsidRPr="001D3972" w:rsidRDefault="00CA58C3" w:rsidP="00CA58C3">
      <w:pPr>
        <w:tabs>
          <w:tab w:val="left" w:pos="7200"/>
        </w:tabs>
        <w:ind w:left="360"/>
        <w:jc w:val="both"/>
      </w:pPr>
      <w:r w:rsidRPr="001D3972">
        <w:t>DHW:  Adolescent Psychiatric Treatment Center, Nampa</w:t>
      </w:r>
      <w:r w:rsidRPr="001D3972">
        <w:tab/>
        <w:t>$11.2 million</w:t>
      </w:r>
    </w:p>
    <w:p w14:paraId="32268BA3" w14:textId="77777777" w:rsidR="00CA58C3" w:rsidRPr="001D3972" w:rsidRDefault="00CA58C3" w:rsidP="00CA58C3">
      <w:pPr>
        <w:tabs>
          <w:tab w:val="left" w:pos="7200"/>
        </w:tabs>
        <w:ind w:left="360"/>
        <w:jc w:val="both"/>
      </w:pPr>
      <w:r w:rsidRPr="001D3972">
        <w:t>ITD: District 2 Administrative Building Remodel</w:t>
      </w:r>
      <w:r w:rsidRPr="001D3972">
        <w:tab/>
        <w:t>$ 2.3 million</w:t>
      </w:r>
    </w:p>
    <w:p w14:paraId="0BC7C9E1" w14:textId="77777777" w:rsidR="00CA58C3" w:rsidRPr="001D3972" w:rsidRDefault="00CA58C3" w:rsidP="00CA58C3">
      <w:pPr>
        <w:ind w:left="360"/>
        <w:jc w:val="both"/>
      </w:pPr>
      <w:r w:rsidRPr="001D3972">
        <w:t>ISHS: Historic Renovations, Stricker Ranch/Rock Creek</w:t>
      </w:r>
      <w:r w:rsidRPr="001D3972">
        <w:tab/>
      </w:r>
      <w:r w:rsidRPr="001D3972">
        <w:tab/>
      </w:r>
      <w:r w:rsidRPr="001D3972">
        <w:tab/>
        <w:t>$    500,000</w:t>
      </w:r>
    </w:p>
    <w:p w14:paraId="0A98722A" w14:textId="77777777" w:rsidR="00CA58C3" w:rsidRPr="001D3972" w:rsidRDefault="00CA58C3" w:rsidP="00CA58C3">
      <w:pPr>
        <w:ind w:left="360"/>
        <w:jc w:val="both"/>
      </w:pPr>
    </w:p>
    <w:p w14:paraId="15607C4B" w14:textId="77777777" w:rsidR="00CA58C3" w:rsidRPr="001D3972" w:rsidRDefault="00CA58C3" w:rsidP="00CA58C3">
      <w:pPr>
        <w:ind w:left="360"/>
        <w:jc w:val="both"/>
      </w:pPr>
      <w:r w:rsidRPr="001D3972">
        <w:t>There are several more major projects under construction, including:</w:t>
      </w:r>
    </w:p>
    <w:p w14:paraId="318D0437" w14:textId="77777777" w:rsidR="00CA58C3" w:rsidRPr="001D3972" w:rsidRDefault="00CA58C3" w:rsidP="00CA58C3">
      <w:pPr>
        <w:tabs>
          <w:tab w:val="left" w:pos="7200"/>
        </w:tabs>
        <w:ind w:left="360"/>
        <w:jc w:val="both"/>
      </w:pPr>
      <w:r w:rsidRPr="001D3972">
        <w:br/>
        <w:t>IDVS: New Veterans Home, Post Falls                                                          </w:t>
      </w:r>
      <w:r w:rsidRPr="001D3972">
        <w:tab/>
        <w:t>$ 7.2 million</w:t>
      </w:r>
    </w:p>
    <w:p w14:paraId="09E789F3" w14:textId="77777777" w:rsidR="00CA58C3" w:rsidRPr="001D3972" w:rsidRDefault="00CA58C3" w:rsidP="00CA58C3">
      <w:pPr>
        <w:tabs>
          <w:tab w:val="left" w:pos="7200"/>
        </w:tabs>
        <w:ind w:left="360"/>
        <w:jc w:val="both"/>
      </w:pPr>
      <w:r w:rsidRPr="001D3972">
        <w:t>AG: Pathology Lab and Office Space</w:t>
      </w:r>
      <w:r w:rsidRPr="001D3972">
        <w:tab/>
        <w:t>$ 9.9 million</w:t>
      </w:r>
    </w:p>
    <w:p w14:paraId="12A3EC32" w14:textId="77777777" w:rsidR="00CA58C3" w:rsidRPr="001D3972" w:rsidRDefault="00CA58C3" w:rsidP="00CA58C3">
      <w:pPr>
        <w:tabs>
          <w:tab w:val="left" w:pos="7200"/>
        </w:tabs>
        <w:ind w:left="360"/>
        <w:jc w:val="both"/>
      </w:pPr>
      <w:r w:rsidRPr="001D3972">
        <w:t>IDOC: Facility Expansion, St. Anthony</w:t>
      </w:r>
      <w:r w:rsidRPr="001D3972">
        <w:tab/>
        <w:t>$ 7.9 million</w:t>
      </w:r>
    </w:p>
    <w:p w14:paraId="35A9077E" w14:textId="77777777" w:rsidR="00CA58C3" w:rsidRPr="001D3972" w:rsidRDefault="00CA58C3" w:rsidP="00CA58C3">
      <w:pPr>
        <w:tabs>
          <w:tab w:val="left" w:pos="7200"/>
        </w:tabs>
        <w:ind w:left="360"/>
        <w:jc w:val="both"/>
      </w:pPr>
      <w:r w:rsidRPr="001D3972">
        <w:t>MIL: Site Utilities, Jerome County Readiness Center</w:t>
      </w:r>
      <w:r w:rsidRPr="001D3972">
        <w:tab/>
        <w:t>$ 2.3 million</w:t>
      </w:r>
    </w:p>
    <w:p w14:paraId="309131A2" w14:textId="77777777" w:rsidR="00CA58C3" w:rsidRPr="001D3972" w:rsidRDefault="00CA58C3" w:rsidP="00CA58C3">
      <w:pPr>
        <w:tabs>
          <w:tab w:val="left" w:pos="7200"/>
        </w:tabs>
        <w:ind w:left="360"/>
        <w:jc w:val="both"/>
      </w:pPr>
      <w:r w:rsidRPr="001D3972">
        <w:t>ISU: Cadaver Lab Expansion, Meridian</w:t>
      </w:r>
      <w:r w:rsidRPr="001D3972">
        <w:tab/>
        <w:t>$ 6.8 million</w:t>
      </w:r>
    </w:p>
    <w:p w14:paraId="0B1265D3" w14:textId="77777777" w:rsidR="007C69BC" w:rsidRPr="00931D75" w:rsidRDefault="007C69BC" w:rsidP="007C69BC"/>
    <w:p w14:paraId="17DADB69" w14:textId="77777777" w:rsidR="00794BA8" w:rsidRPr="00931D75" w:rsidRDefault="00794BA8" w:rsidP="00794BA8">
      <w:pPr>
        <w:jc w:val="both"/>
        <w:rPr>
          <w:b/>
        </w:rPr>
      </w:pPr>
      <w:r w:rsidRPr="00931D75">
        <w:rPr>
          <w:b/>
        </w:rPr>
        <w:t>Statewide Leasing Program</w:t>
      </w:r>
    </w:p>
    <w:p w14:paraId="4220139A" w14:textId="77777777" w:rsidR="00794BA8" w:rsidRPr="00931D75" w:rsidRDefault="00794BA8" w:rsidP="00794BA8">
      <w:pPr>
        <w:jc w:val="both"/>
        <w:rPr>
          <w:rFonts w:ascii="Calibri" w:hAnsi="Calibri"/>
          <w:szCs w:val="22"/>
        </w:rPr>
      </w:pPr>
      <w:bookmarkStart w:id="17" w:name="_Hlk16582930"/>
    </w:p>
    <w:bookmarkEnd w:id="17"/>
    <w:p w14:paraId="7F754CDC" w14:textId="77777777" w:rsidR="00CA58C3" w:rsidRPr="001D3972" w:rsidRDefault="00CA58C3" w:rsidP="00CA58C3">
      <w:pPr>
        <w:numPr>
          <w:ilvl w:val="0"/>
          <w:numId w:val="14"/>
        </w:numPr>
        <w:ind w:left="360"/>
        <w:jc w:val="both"/>
        <w:rPr>
          <w:rFonts w:cs="Arial"/>
          <w:szCs w:val="22"/>
        </w:rPr>
      </w:pPr>
      <w:r w:rsidRPr="001D3972">
        <w:t xml:space="preserve">The two-member staff is currently administering a leasing portfolio of 380 leases, consisting of 1,888,414 sq. ft. in 50 cities, for 58 different agencies and commissions. </w:t>
      </w:r>
    </w:p>
    <w:p w14:paraId="521297B8" w14:textId="77777777" w:rsidR="00CA58C3" w:rsidRPr="001D3972" w:rsidRDefault="00CA58C3" w:rsidP="00CA58C3">
      <w:pPr>
        <w:jc w:val="both"/>
        <w:rPr>
          <w:rFonts w:ascii="Calibri" w:hAnsi="Calibri" w:cs="Calibri"/>
        </w:rPr>
      </w:pPr>
    </w:p>
    <w:p w14:paraId="2E535B2A" w14:textId="77777777" w:rsidR="00CA58C3" w:rsidRPr="001D3972" w:rsidRDefault="00CA58C3" w:rsidP="00CA58C3">
      <w:pPr>
        <w:numPr>
          <w:ilvl w:val="0"/>
          <w:numId w:val="14"/>
        </w:numPr>
        <w:ind w:left="360"/>
        <w:jc w:val="both"/>
        <w:rPr>
          <w:rFonts w:cs="Arial"/>
        </w:rPr>
      </w:pPr>
      <w:r w:rsidRPr="001D3972">
        <w:t>In the past fiscal year, the program negotiated 73 leases, consisting of 298,781 square feet representing a total contract value of $12,578,396.</w:t>
      </w:r>
    </w:p>
    <w:p w14:paraId="4EDD349F" w14:textId="77777777" w:rsidR="00CA58C3" w:rsidRPr="001D3972" w:rsidRDefault="00CA58C3" w:rsidP="00CA58C3">
      <w:pPr>
        <w:jc w:val="both"/>
        <w:rPr>
          <w:rFonts w:ascii="Calibri" w:hAnsi="Calibri" w:cs="Calibri"/>
        </w:rPr>
      </w:pPr>
    </w:p>
    <w:p w14:paraId="173893DA" w14:textId="77777777" w:rsidR="00CA58C3" w:rsidRPr="001D3972" w:rsidRDefault="00CA58C3" w:rsidP="00CA58C3">
      <w:pPr>
        <w:numPr>
          <w:ilvl w:val="0"/>
          <w:numId w:val="14"/>
        </w:numPr>
        <w:ind w:left="360"/>
        <w:jc w:val="both"/>
        <w:rPr>
          <w:rFonts w:ascii="Cambria" w:hAnsi="Cambria"/>
          <w:color w:val="1F497D"/>
        </w:rPr>
      </w:pPr>
      <w:r w:rsidRPr="001D3972">
        <w:t>The program continues to assist with moving agencies to the Chinden Campus, tracking, negotiating, and creating leases and co-location agreements for state agencies and commissions.</w:t>
      </w:r>
    </w:p>
    <w:p w14:paraId="708CCEBC" w14:textId="77777777" w:rsidR="00CA58C3" w:rsidRPr="001D3972" w:rsidRDefault="00CA58C3" w:rsidP="00CA58C3">
      <w:pPr>
        <w:jc w:val="both"/>
        <w:rPr>
          <w:highlight w:val="yellow"/>
        </w:rPr>
      </w:pPr>
    </w:p>
    <w:p w14:paraId="3B214106" w14:textId="77777777" w:rsidR="00946BD4" w:rsidRPr="001D3972" w:rsidRDefault="00946BD4" w:rsidP="00946BD4">
      <w:pPr>
        <w:jc w:val="both"/>
      </w:pPr>
    </w:p>
    <w:p w14:paraId="05C843EC" w14:textId="77777777" w:rsidR="00CF584A" w:rsidRPr="001D3972" w:rsidRDefault="00CF584A" w:rsidP="00CF584A">
      <w:pPr>
        <w:rPr>
          <w:b/>
          <w:iCs/>
          <w:szCs w:val="20"/>
        </w:rPr>
      </w:pPr>
      <w:bookmarkStart w:id="18" w:name="_Hlk47100237"/>
      <w:r w:rsidRPr="001D3972">
        <w:rPr>
          <w:b/>
          <w:iCs/>
          <w:szCs w:val="20"/>
        </w:rPr>
        <w:t>Facilities Services</w:t>
      </w:r>
    </w:p>
    <w:p w14:paraId="6EE265CF" w14:textId="77777777" w:rsidR="00C679BD" w:rsidRPr="001D3972" w:rsidRDefault="00C679BD" w:rsidP="00CF584A">
      <w:pPr>
        <w:rPr>
          <w:iCs/>
          <w:szCs w:val="20"/>
        </w:rPr>
      </w:pPr>
    </w:p>
    <w:p w14:paraId="70D17E7F" w14:textId="77777777" w:rsidR="00931D75" w:rsidRPr="001D3972" w:rsidRDefault="00931D75" w:rsidP="00931D75">
      <w:pPr>
        <w:rPr>
          <w:u w:val="single"/>
        </w:rPr>
      </w:pPr>
      <w:r w:rsidRPr="001D3972">
        <w:rPr>
          <w:u w:val="single"/>
        </w:rPr>
        <w:t>Capitol Mall</w:t>
      </w:r>
    </w:p>
    <w:p w14:paraId="4AB51AF2" w14:textId="77777777" w:rsidR="00CA58C3" w:rsidRPr="001D3972" w:rsidRDefault="00CA58C3" w:rsidP="00CA58C3">
      <w:pPr>
        <w:numPr>
          <w:ilvl w:val="0"/>
          <w:numId w:val="14"/>
        </w:numPr>
        <w:ind w:left="360"/>
        <w:jc w:val="both"/>
      </w:pPr>
      <w:r w:rsidRPr="001D3972">
        <w:t xml:space="preserve">Completed many small remodel projects, including abatement and flooring replacement projects, which included projects for DOA, Vo-Tech, and State Treasurer. </w:t>
      </w:r>
    </w:p>
    <w:p w14:paraId="20D7A004" w14:textId="77777777" w:rsidR="00CA58C3" w:rsidRPr="001D3972" w:rsidRDefault="00CA58C3" w:rsidP="00CA58C3">
      <w:pPr>
        <w:ind w:left="360"/>
        <w:jc w:val="both"/>
      </w:pPr>
      <w:r w:rsidRPr="001D3972">
        <w:t xml:space="preserve"> </w:t>
      </w:r>
    </w:p>
    <w:p w14:paraId="0B2274BA" w14:textId="77777777" w:rsidR="00CA58C3" w:rsidRPr="001D3972" w:rsidRDefault="00CA58C3" w:rsidP="00CA58C3">
      <w:pPr>
        <w:numPr>
          <w:ilvl w:val="0"/>
          <w:numId w:val="14"/>
        </w:numPr>
        <w:ind w:left="360"/>
        <w:jc w:val="both"/>
      </w:pPr>
      <w:r w:rsidRPr="001D3972">
        <w:t xml:space="preserve">PBF funded projects included completion of Family restrooms in JRW, the start of a complete water and restroom renovation project in LBJ, a family restroom project in the </w:t>
      </w:r>
      <w:proofErr w:type="gramStart"/>
      <w:r w:rsidRPr="001D3972">
        <w:t>Library</w:t>
      </w:r>
      <w:proofErr w:type="gramEnd"/>
      <w:r w:rsidRPr="001D3972">
        <w:t xml:space="preserve"> building, and the start of a major repair project in Parking Garage #1</w:t>
      </w:r>
    </w:p>
    <w:p w14:paraId="43E4AAAF" w14:textId="77777777" w:rsidR="00CA58C3" w:rsidRPr="001D3972" w:rsidRDefault="00CA58C3" w:rsidP="00CA58C3">
      <w:pPr>
        <w:ind w:left="360"/>
        <w:jc w:val="both"/>
      </w:pPr>
    </w:p>
    <w:p w14:paraId="3674CE5F" w14:textId="77777777" w:rsidR="00CA58C3" w:rsidRPr="001D3972" w:rsidRDefault="00CA58C3" w:rsidP="00CA58C3">
      <w:pPr>
        <w:numPr>
          <w:ilvl w:val="0"/>
          <w:numId w:val="14"/>
        </w:numPr>
        <w:ind w:left="360"/>
        <w:jc w:val="both"/>
      </w:pPr>
      <w:r w:rsidRPr="001D3972">
        <w:lastRenderedPageBreak/>
        <w:t xml:space="preserve">An energy savings project was performed for SCO. An $11,000 Idaho Power rebate provided </w:t>
      </w:r>
      <w:proofErr w:type="gramStart"/>
      <w:r w:rsidRPr="001D3972">
        <w:t>a majority of</w:t>
      </w:r>
      <w:proofErr w:type="gramEnd"/>
      <w:r w:rsidRPr="001D3972">
        <w:t xml:space="preserve"> the funding</w:t>
      </w:r>
      <w:r w:rsidRPr="001D3972">
        <w:rPr>
          <w:rStyle w:val="CommentReference"/>
        </w:rPr>
        <w:t>.</w:t>
      </w:r>
    </w:p>
    <w:p w14:paraId="3A1DE156" w14:textId="77777777" w:rsidR="00CA58C3" w:rsidRPr="001D3972" w:rsidRDefault="00CA58C3" w:rsidP="00CA58C3">
      <w:pPr>
        <w:ind w:left="360"/>
        <w:jc w:val="both"/>
      </w:pPr>
    </w:p>
    <w:p w14:paraId="275A7D61" w14:textId="77777777" w:rsidR="00CA58C3" w:rsidRPr="001D3972" w:rsidRDefault="00CA58C3" w:rsidP="00CA58C3">
      <w:pPr>
        <w:numPr>
          <w:ilvl w:val="0"/>
          <w:numId w:val="14"/>
        </w:numPr>
        <w:ind w:left="360"/>
        <w:jc w:val="both"/>
        <w:rPr>
          <w:u w:val="single"/>
        </w:rPr>
      </w:pPr>
      <w:bookmarkStart w:id="19" w:name="_Hlk78448641"/>
      <w:r w:rsidRPr="001D3972">
        <w:t>Throughout FY21, Facility Services continued enhanced cleaning and air filtration at all CM buildings. HVAC air filtration schedules have been decreased to assist with summer power consumption, however going forward filters used at all locations will be MERV-11 where possible</w:t>
      </w:r>
      <w:bookmarkEnd w:id="19"/>
      <w:r w:rsidRPr="001D3972">
        <w:t>.</w:t>
      </w:r>
    </w:p>
    <w:p w14:paraId="5588C39C" w14:textId="77777777" w:rsidR="00CA58C3" w:rsidRPr="001D3972" w:rsidRDefault="00CA58C3" w:rsidP="00CA58C3">
      <w:pPr>
        <w:rPr>
          <w:u w:val="single"/>
        </w:rPr>
      </w:pPr>
    </w:p>
    <w:p w14:paraId="7AC51B8C" w14:textId="77777777" w:rsidR="00CA58C3" w:rsidRPr="001D3972" w:rsidRDefault="00CA58C3" w:rsidP="00CA58C3">
      <w:pPr>
        <w:rPr>
          <w:szCs w:val="20"/>
          <w:u w:val="single"/>
        </w:rPr>
      </w:pPr>
      <w:r w:rsidRPr="001D3972">
        <w:rPr>
          <w:u w:val="single"/>
        </w:rPr>
        <w:t>Chinden Campus</w:t>
      </w:r>
    </w:p>
    <w:p w14:paraId="76BECEEE" w14:textId="21B0F7BA" w:rsidR="00CA58C3" w:rsidRPr="001D3972" w:rsidRDefault="00CA58C3" w:rsidP="00CA58C3">
      <w:pPr>
        <w:pStyle w:val="ListParagraph"/>
        <w:numPr>
          <w:ilvl w:val="0"/>
          <w:numId w:val="14"/>
        </w:numPr>
        <w:ind w:left="360"/>
        <w:jc w:val="both"/>
      </w:pPr>
      <w:r w:rsidRPr="001D3972">
        <w:t>Many small remodel and projects were completed at the Chinden Campus, including the creation of a Conferen</w:t>
      </w:r>
      <w:r w:rsidR="005946AA">
        <w:t>ce</w:t>
      </w:r>
      <w:r w:rsidRPr="001D3972">
        <w:t xml:space="preserve"> Center in Building 6, which will accommodate approximately 450 people.</w:t>
      </w:r>
    </w:p>
    <w:p w14:paraId="11157115" w14:textId="77777777" w:rsidR="00CA58C3" w:rsidRPr="001D3972" w:rsidRDefault="00CA58C3" w:rsidP="00CA58C3">
      <w:pPr>
        <w:pStyle w:val="ListParagraph"/>
        <w:ind w:left="360"/>
        <w:jc w:val="both"/>
      </w:pPr>
    </w:p>
    <w:p w14:paraId="7E9FE667" w14:textId="77777777" w:rsidR="00CA58C3" w:rsidRPr="001D3972" w:rsidRDefault="00CA58C3" w:rsidP="00CA58C3">
      <w:pPr>
        <w:pStyle w:val="ListParagraph"/>
        <w:numPr>
          <w:ilvl w:val="0"/>
          <w:numId w:val="14"/>
        </w:numPr>
        <w:ind w:left="360"/>
        <w:jc w:val="both"/>
      </w:pPr>
      <w:r w:rsidRPr="001D3972">
        <w:t xml:space="preserve">A private lease was terminated and Building 4 was </w:t>
      </w:r>
      <w:proofErr w:type="gramStart"/>
      <w:r w:rsidRPr="001D3972">
        <w:t>returned back</w:t>
      </w:r>
      <w:proofErr w:type="gramEnd"/>
      <w:r w:rsidRPr="001D3972">
        <w:t xml:space="preserve"> to the State in December 2020.  The building is currently being remodeled for use by Professional Licenses and Dept. of Finance.</w:t>
      </w:r>
    </w:p>
    <w:p w14:paraId="5756EAF6" w14:textId="77777777" w:rsidR="00CA58C3" w:rsidRPr="001D3972" w:rsidRDefault="00CA58C3" w:rsidP="00CA58C3">
      <w:pPr>
        <w:jc w:val="both"/>
      </w:pPr>
    </w:p>
    <w:p w14:paraId="3C80CEC9" w14:textId="77777777" w:rsidR="00CA58C3" w:rsidRPr="001D3972" w:rsidRDefault="00CA58C3" w:rsidP="00CA58C3">
      <w:pPr>
        <w:pStyle w:val="ListParagraph"/>
        <w:numPr>
          <w:ilvl w:val="0"/>
          <w:numId w:val="14"/>
        </w:numPr>
        <w:ind w:left="360"/>
        <w:jc w:val="both"/>
      </w:pPr>
      <w:r w:rsidRPr="001D3972">
        <w:t>Professional Licenses relocated to swing space in Building 6 from the JRW building until their new space in Building 4 is completed.</w:t>
      </w:r>
    </w:p>
    <w:p w14:paraId="3489D2AE" w14:textId="77777777" w:rsidR="00CA58C3" w:rsidRPr="001D3972" w:rsidRDefault="00CA58C3" w:rsidP="00CA58C3">
      <w:pPr>
        <w:jc w:val="both"/>
      </w:pPr>
    </w:p>
    <w:p w14:paraId="26643900" w14:textId="77777777" w:rsidR="00CA58C3" w:rsidRPr="001D3972" w:rsidRDefault="00CA58C3" w:rsidP="00CA58C3">
      <w:pPr>
        <w:numPr>
          <w:ilvl w:val="0"/>
          <w:numId w:val="14"/>
        </w:numPr>
        <w:ind w:left="360"/>
        <w:jc w:val="both"/>
      </w:pPr>
      <w:r w:rsidRPr="001D3972">
        <w:t>For the majority of FY21 FS continued enhanced cleaning and air filtration at all CC buildings. HVAC air filtration schedules have been decreased to assist with summer power consumption, however going forward filters used at all locations will be MERV-11 where possible</w:t>
      </w:r>
    </w:p>
    <w:p w14:paraId="6DEB7C08" w14:textId="77777777" w:rsidR="00CA58C3" w:rsidRPr="001D3972" w:rsidRDefault="00CA58C3" w:rsidP="00CA58C3">
      <w:pPr>
        <w:ind w:left="360"/>
        <w:jc w:val="both"/>
      </w:pPr>
    </w:p>
    <w:p w14:paraId="7E02203C" w14:textId="77777777" w:rsidR="00CA58C3" w:rsidRPr="00AD0268" w:rsidRDefault="00CA58C3" w:rsidP="00CA58C3">
      <w:pPr>
        <w:jc w:val="both"/>
      </w:pPr>
      <w:r w:rsidRPr="001D3972">
        <w:t>Note:  All projects addressed are above and beyond the routine maintenance performed at the campuses.</w:t>
      </w:r>
    </w:p>
    <w:p w14:paraId="63DDAA60" w14:textId="71BC3D5F" w:rsidR="00C30DDD" w:rsidRDefault="00C30DDD" w:rsidP="00C30DDD">
      <w:pPr>
        <w:pStyle w:val="ListParagraph"/>
        <w:ind w:left="360"/>
        <w:contextualSpacing w:val="0"/>
        <w:jc w:val="both"/>
      </w:pPr>
    </w:p>
    <w:p w14:paraId="5D8B4F62" w14:textId="77777777" w:rsidR="00E64870" w:rsidRDefault="00E64870" w:rsidP="00C30DDD">
      <w:pPr>
        <w:pStyle w:val="ListParagraph"/>
        <w:ind w:left="360"/>
        <w:contextualSpacing w:val="0"/>
        <w:jc w:val="both"/>
      </w:pPr>
    </w:p>
    <w:bookmarkEnd w:id="18"/>
    <w:p w14:paraId="4E6D6F23" w14:textId="77777777" w:rsidR="00250391" w:rsidRDefault="00250391" w:rsidP="00B066B0">
      <w:pPr>
        <w:rPr>
          <w:rFonts w:cs="Arial"/>
          <w:b/>
          <w:i/>
          <w:color w:val="000080"/>
          <w:sz w:val="28"/>
          <w:szCs w:val="28"/>
        </w:rPr>
      </w:pPr>
      <w:r w:rsidRPr="004B2482">
        <w:rPr>
          <w:rFonts w:cs="Arial"/>
          <w:b/>
          <w:i/>
          <w:color w:val="000080"/>
          <w:sz w:val="28"/>
          <w:szCs w:val="28"/>
        </w:rPr>
        <w:t>Part II – Performance Measures</w:t>
      </w:r>
    </w:p>
    <w:p w14:paraId="574D6063" w14:textId="77777777" w:rsidR="00CF052D" w:rsidRPr="006E5920" w:rsidRDefault="00CF052D" w:rsidP="00B32553">
      <w:pPr>
        <w:rPr>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296"/>
        <w:gridCol w:w="724"/>
        <w:gridCol w:w="1285"/>
        <w:gridCol w:w="1170"/>
        <w:gridCol w:w="1143"/>
        <w:gridCol w:w="1197"/>
        <w:gridCol w:w="1265"/>
      </w:tblGrid>
      <w:tr w:rsidR="00FF3DF1" w:rsidRPr="00CF052D" w14:paraId="3C5B2C83" w14:textId="77777777" w:rsidTr="00AE6942">
        <w:trPr>
          <w:cantSplit/>
          <w:tblHeader/>
        </w:trPr>
        <w:tc>
          <w:tcPr>
            <w:tcW w:w="402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E77AB87" w14:textId="77777777" w:rsidR="00FF3DF1" w:rsidRPr="00CF052D" w:rsidRDefault="00FF3DF1" w:rsidP="00FF3DF1">
            <w:pPr>
              <w:rPr>
                <w:rFonts w:cs="Arial"/>
                <w:b/>
                <w:bCs/>
                <w:color w:val="FFFFFF"/>
              </w:rPr>
            </w:pPr>
            <w:bookmarkStart w:id="20" w:name="_Hlk13564650"/>
            <w:r w:rsidRPr="00CF052D">
              <w:rPr>
                <w:rFonts w:cs="Arial"/>
                <w:b/>
                <w:bCs/>
                <w:color w:val="FFFFFF"/>
              </w:rPr>
              <w:t>Performance Measure</w:t>
            </w:r>
          </w:p>
        </w:tc>
        <w:tc>
          <w:tcPr>
            <w:tcW w:w="1285" w:type="dxa"/>
            <w:tcBorders>
              <w:top w:val="single" w:sz="4" w:space="0" w:color="auto"/>
              <w:left w:val="single" w:sz="4" w:space="0" w:color="auto"/>
              <w:bottom w:val="single" w:sz="4" w:space="0" w:color="auto"/>
              <w:right w:val="single" w:sz="4" w:space="0" w:color="auto"/>
            </w:tcBorders>
            <w:shd w:val="clear" w:color="auto" w:fill="000080"/>
            <w:vAlign w:val="bottom"/>
          </w:tcPr>
          <w:p w14:paraId="5FFC33A8" w14:textId="1409C0AC" w:rsidR="00FF3DF1" w:rsidRPr="00CF052D" w:rsidRDefault="00345812" w:rsidP="00FF3DF1">
            <w:pPr>
              <w:jc w:val="center"/>
              <w:rPr>
                <w:rFonts w:cs="Arial"/>
                <w:b/>
                <w:bCs/>
                <w:color w:val="FFFFFF"/>
              </w:rPr>
            </w:pPr>
            <w:r>
              <w:rPr>
                <w:rFonts w:cs="Arial"/>
                <w:b/>
                <w:bCs/>
                <w:color w:val="FFFFFF"/>
              </w:rPr>
              <w:t>FY 2019</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9569729" w14:textId="33FF7305" w:rsidR="00FF3DF1" w:rsidRPr="00CF052D" w:rsidRDefault="00345812" w:rsidP="00FF3DF1">
            <w:pPr>
              <w:jc w:val="center"/>
              <w:rPr>
                <w:rFonts w:cs="Arial"/>
                <w:b/>
                <w:bCs/>
                <w:color w:val="FFFFFF"/>
              </w:rPr>
            </w:pPr>
            <w:r>
              <w:rPr>
                <w:rFonts w:cs="Arial"/>
                <w:b/>
                <w:bCs/>
                <w:color w:val="FFFFFF"/>
              </w:rPr>
              <w:t>FY 2020</w:t>
            </w:r>
          </w:p>
        </w:tc>
        <w:tc>
          <w:tcPr>
            <w:tcW w:w="1143" w:type="dxa"/>
            <w:tcBorders>
              <w:top w:val="single" w:sz="4" w:space="0" w:color="auto"/>
              <w:left w:val="single" w:sz="4" w:space="0" w:color="auto"/>
              <w:bottom w:val="single" w:sz="4" w:space="0" w:color="auto"/>
              <w:right w:val="single" w:sz="4" w:space="0" w:color="auto"/>
            </w:tcBorders>
            <w:shd w:val="clear" w:color="auto" w:fill="000080"/>
            <w:vAlign w:val="bottom"/>
          </w:tcPr>
          <w:p w14:paraId="39F1E5A6" w14:textId="2353C6F1" w:rsidR="00FF3DF1" w:rsidRPr="00CF052D" w:rsidRDefault="00345812" w:rsidP="00FF3DF1">
            <w:pPr>
              <w:jc w:val="center"/>
              <w:rPr>
                <w:rFonts w:cs="Arial"/>
                <w:b/>
                <w:bCs/>
                <w:color w:val="FFFFFF"/>
              </w:rPr>
            </w:pPr>
            <w:r>
              <w:rPr>
                <w:rFonts w:cs="Arial"/>
                <w:b/>
                <w:bCs/>
                <w:color w:val="FFFFFF"/>
              </w:rPr>
              <w:t>FY 2021</w:t>
            </w:r>
          </w:p>
        </w:tc>
        <w:tc>
          <w:tcPr>
            <w:tcW w:w="1197" w:type="dxa"/>
            <w:tcBorders>
              <w:top w:val="single" w:sz="4" w:space="0" w:color="auto"/>
              <w:left w:val="single" w:sz="4" w:space="0" w:color="auto"/>
              <w:bottom w:val="single" w:sz="4" w:space="0" w:color="auto"/>
              <w:right w:val="single" w:sz="4" w:space="0" w:color="auto"/>
            </w:tcBorders>
            <w:shd w:val="clear" w:color="auto" w:fill="000080"/>
            <w:vAlign w:val="bottom"/>
          </w:tcPr>
          <w:p w14:paraId="1003DE69" w14:textId="6B35608E" w:rsidR="00FF3DF1" w:rsidRPr="00CF052D" w:rsidRDefault="00345812" w:rsidP="00FF3DF1">
            <w:pPr>
              <w:jc w:val="center"/>
              <w:rPr>
                <w:rFonts w:cs="Arial"/>
                <w:b/>
                <w:bCs/>
                <w:color w:val="FFFFFF"/>
              </w:rPr>
            </w:pPr>
            <w:r>
              <w:rPr>
                <w:rFonts w:cs="Arial"/>
                <w:b/>
                <w:bCs/>
                <w:color w:val="FFFFFF"/>
              </w:rPr>
              <w:t>FY 2022</w:t>
            </w:r>
          </w:p>
        </w:tc>
        <w:tc>
          <w:tcPr>
            <w:tcW w:w="1265" w:type="dxa"/>
            <w:tcBorders>
              <w:top w:val="single" w:sz="4" w:space="0" w:color="auto"/>
              <w:left w:val="single" w:sz="4" w:space="0" w:color="auto"/>
              <w:bottom w:val="single" w:sz="4" w:space="0" w:color="auto"/>
              <w:right w:val="single" w:sz="4" w:space="0" w:color="auto"/>
            </w:tcBorders>
            <w:shd w:val="clear" w:color="auto" w:fill="000080"/>
            <w:vAlign w:val="bottom"/>
          </w:tcPr>
          <w:p w14:paraId="7F781218" w14:textId="37F62FF0" w:rsidR="00FF3DF1" w:rsidRPr="00CF052D" w:rsidRDefault="00345812" w:rsidP="00FF3DF1">
            <w:pPr>
              <w:jc w:val="center"/>
              <w:rPr>
                <w:rFonts w:cs="Arial"/>
                <w:b/>
                <w:bCs/>
                <w:color w:val="FFFFFF"/>
              </w:rPr>
            </w:pPr>
            <w:r>
              <w:rPr>
                <w:rFonts w:cs="Arial"/>
                <w:b/>
                <w:bCs/>
                <w:color w:val="FFFFFF"/>
              </w:rPr>
              <w:t>FY 2023</w:t>
            </w:r>
          </w:p>
        </w:tc>
      </w:tr>
      <w:tr w:rsidR="00601E5B" w:rsidRPr="00CF052D" w14:paraId="242FCE0E" w14:textId="77777777" w:rsidTr="00FA4169">
        <w:trPr>
          <w:cantSplit/>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0C778EE" w14:textId="7F73AAA8" w:rsidR="00601E5B" w:rsidRPr="00CF052D" w:rsidRDefault="00601E5B" w:rsidP="00817BB6">
            <w:pPr>
              <w:jc w:val="center"/>
              <w:rPr>
                <w:rFonts w:cs="Arial"/>
                <w:szCs w:val="20"/>
              </w:rPr>
            </w:pPr>
            <w:r w:rsidRPr="00CF052D">
              <w:rPr>
                <w:rFonts w:cs="Arial"/>
                <w:szCs w:val="20"/>
              </w:rPr>
              <w:t xml:space="preserve">Goal 1 – </w:t>
            </w:r>
            <w:r w:rsidR="00830F80">
              <w:rPr>
                <w:rFonts w:cs="Arial"/>
                <w:szCs w:val="20"/>
              </w:rPr>
              <w:t xml:space="preserve">Division of Insurance and Internal Support; </w:t>
            </w:r>
            <w:r w:rsidRPr="00CF052D">
              <w:rPr>
                <w:rFonts w:cs="Arial"/>
                <w:szCs w:val="20"/>
              </w:rPr>
              <w:t>Office of Risk Management</w:t>
            </w:r>
          </w:p>
          <w:p w14:paraId="4F77060C" w14:textId="07885BD2" w:rsidR="00687ABB" w:rsidRPr="00F0121D" w:rsidRDefault="002717C6" w:rsidP="00F0121D">
            <w:pPr>
              <w:jc w:val="center"/>
              <w:rPr>
                <w:rFonts w:cs="Arial"/>
                <w:szCs w:val="20"/>
              </w:rPr>
            </w:pPr>
            <w:r w:rsidRPr="00C30DDD">
              <w:rPr>
                <w:rFonts w:cs="Arial"/>
                <w:b/>
                <w:bCs/>
                <w:szCs w:val="20"/>
              </w:rPr>
              <w:t>Reduce 5-year rolling property claim payments by 20% by end of FY 2023.</w:t>
            </w:r>
            <w:r w:rsidRPr="00280076">
              <w:t> </w:t>
            </w:r>
          </w:p>
        </w:tc>
      </w:tr>
      <w:bookmarkEnd w:id="20"/>
      <w:tr w:rsidR="00AE6942" w:rsidRPr="00CF052D" w14:paraId="02CF8A75" w14:textId="77777777" w:rsidTr="00AE6942">
        <w:trPr>
          <w:cantSplit/>
          <w:trHeight w:val="557"/>
        </w:trPr>
        <w:tc>
          <w:tcPr>
            <w:tcW w:w="3296" w:type="dxa"/>
            <w:vMerge w:val="restart"/>
            <w:tcBorders>
              <w:top w:val="single" w:sz="4" w:space="0" w:color="auto"/>
              <w:left w:val="single" w:sz="4" w:space="0" w:color="auto"/>
              <w:bottom w:val="single" w:sz="4" w:space="0" w:color="auto"/>
              <w:right w:val="single" w:sz="4" w:space="0" w:color="auto"/>
            </w:tcBorders>
            <w:hideMark/>
          </w:tcPr>
          <w:p w14:paraId="1ADFB064" w14:textId="711F1BB4" w:rsidR="00AE6942" w:rsidRPr="002717C6" w:rsidRDefault="00AE6942" w:rsidP="00AE6942">
            <w:pPr>
              <w:pStyle w:val="ListParagraph"/>
              <w:numPr>
                <w:ilvl w:val="0"/>
                <w:numId w:val="2"/>
              </w:numPr>
              <w:ind w:left="342"/>
              <w:rPr>
                <w:rFonts w:cs="Arial"/>
                <w:bCs/>
                <w:szCs w:val="20"/>
              </w:rPr>
            </w:pPr>
            <w:r w:rsidRPr="002717C6">
              <w:rPr>
                <w:rFonts w:cs="Arial"/>
                <w:bCs/>
                <w:szCs w:val="20"/>
              </w:rPr>
              <w:t>Reduce property claim costs by 5% annually through FY23.</w:t>
            </w:r>
          </w:p>
          <w:p w14:paraId="247B87F9" w14:textId="6C0F7DED" w:rsidR="00AE6942" w:rsidRPr="00B54CE6" w:rsidRDefault="00AE6942" w:rsidP="00AE6942">
            <w:pPr>
              <w:pStyle w:val="ListParagraph"/>
              <w:ind w:left="342"/>
              <w:rPr>
                <w:rFonts w:cs="Arial"/>
                <w:bCs/>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C1514" w14:textId="730EED4A" w:rsidR="00AE6942" w:rsidRPr="00CF052D" w:rsidRDefault="00AE6942" w:rsidP="00AE6942">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4AEB2" w14:textId="77777777" w:rsidR="00AE6942" w:rsidRDefault="00AE6942" w:rsidP="00AE6942">
            <w:pPr>
              <w:rPr>
                <w:rFonts w:ascii="Calibri" w:hAnsi="Calibri"/>
                <w:szCs w:val="22"/>
              </w:rPr>
            </w:pPr>
            <w:r>
              <w:t xml:space="preserve">$971,419.43 </w:t>
            </w:r>
          </w:p>
          <w:p w14:paraId="7A616DE3" w14:textId="3115D635" w:rsidR="00AE6942" w:rsidRPr="00CF052D" w:rsidRDefault="00AE6942" w:rsidP="00AE6942">
            <w:pPr>
              <w:jc w:val="center"/>
              <w:rPr>
                <w:rFonts w:cs="Arial"/>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EA8DE" w14:textId="77777777" w:rsidR="00AE6942" w:rsidRPr="007C452A" w:rsidRDefault="00AE6942" w:rsidP="00AE6942">
            <w:pPr>
              <w:rPr>
                <w:rFonts w:ascii="Calibri" w:eastAsia="Calibri" w:hAnsi="Calibri" w:cs="Calibri"/>
                <w:sz w:val="22"/>
                <w:szCs w:val="22"/>
              </w:rPr>
            </w:pPr>
            <w:r w:rsidRPr="007C452A">
              <w:rPr>
                <w:rFonts w:ascii="Calibri" w:eastAsia="Calibri" w:hAnsi="Calibri" w:cs="Calibri"/>
                <w:color w:val="000000"/>
                <w:sz w:val="22"/>
                <w:szCs w:val="22"/>
              </w:rPr>
              <w:t>$1,128,356</w:t>
            </w:r>
          </w:p>
          <w:p w14:paraId="06C1A490" w14:textId="7FE1546A" w:rsidR="00AE6942" w:rsidRPr="00CF052D" w:rsidRDefault="00AE6942" w:rsidP="00AE6942">
            <w:pPr>
              <w:jc w:val="center"/>
              <w:rPr>
                <w:rFonts w:cs="Arial"/>
              </w:rPr>
            </w:pPr>
            <w:r w:rsidRPr="0046409B">
              <w:rPr>
                <w:rFonts w:cs="Arial"/>
                <w:color w:val="FF0000"/>
              </w:rPr>
              <w:t>*</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06BCF" w14:textId="77777777" w:rsidR="00AE6942" w:rsidRPr="00C23B24" w:rsidRDefault="00AE6942" w:rsidP="00AE6942">
            <w:pPr>
              <w:jc w:val="center"/>
              <w:rPr>
                <w:rFonts w:cs="Arial"/>
              </w:rPr>
            </w:pPr>
            <w:r w:rsidRPr="00C23B24">
              <w:rPr>
                <w:rFonts w:cs="Arial"/>
              </w:rPr>
              <w:t>$2,118,852</w:t>
            </w:r>
          </w:p>
          <w:p w14:paraId="4DD2EEF8" w14:textId="2DE49D12" w:rsidR="00AE6942" w:rsidRPr="00CF052D" w:rsidRDefault="00AE6942" w:rsidP="00AE6942">
            <w:pPr>
              <w:jc w:val="center"/>
              <w:rPr>
                <w:rFonts w:cs="Arial"/>
              </w:rPr>
            </w:pPr>
            <w:r w:rsidRPr="0046409B">
              <w:rPr>
                <w:rFonts w:cs="Arial"/>
                <w:color w:val="FF0000"/>
              </w:rPr>
              <w:t>**</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684F3" w14:textId="06AFFB4C"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7247C" w14:textId="4995EA24" w:rsidR="00AE6942" w:rsidRPr="00CF052D" w:rsidRDefault="00AE6942" w:rsidP="00AE6942">
            <w:pPr>
              <w:jc w:val="center"/>
              <w:rPr>
                <w:rFonts w:cs="Arial"/>
              </w:rPr>
            </w:pPr>
          </w:p>
        </w:tc>
      </w:tr>
      <w:tr w:rsidR="00AE6942" w:rsidRPr="00CF052D" w14:paraId="7E95C606" w14:textId="77777777" w:rsidTr="00AE6942">
        <w:trPr>
          <w:cantSplit/>
          <w:trHeight w:val="70"/>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6EFF6312"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8AF10" w14:textId="77777777" w:rsidR="00AE6942" w:rsidRPr="00CF052D" w:rsidRDefault="00AE6942" w:rsidP="00AE6942">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4B0DD97" w14:textId="4F41BF6A" w:rsidR="00AE6942" w:rsidRPr="00CF052D" w:rsidRDefault="00AE6942" w:rsidP="00AE6942">
            <w:pPr>
              <w:jc w:val="center"/>
              <w:rPr>
                <w:rFonts w:cs="Arial"/>
                <w:i/>
                <w:sz w:val="16"/>
                <w:szCs w:val="16"/>
                <w:highlight w:val="lightGray"/>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591A41" w14:textId="77777777" w:rsidR="00AE6942" w:rsidRDefault="00AE6942" w:rsidP="00AE6942">
            <w:pPr>
              <w:jc w:val="center"/>
              <w:rPr>
                <w:rFonts w:cs="Arial"/>
                <w:i/>
                <w:sz w:val="16"/>
                <w:szCs w:val="16"/>
              </w:rPr>
            </w:pPr>
          </w:p>
          <w:p w14:paraId="7D50F3CB" w14:textId="77777777" w:rsidR="00AE6942" w:rsidRPr="0023669E" w:rsidRDefault="00AE6942" w:rsidP="00AE6942">
            <w:pPr>
              <w:jc w:val="center"/>
              <w:rPr>
                <w:rFonts w:cs="Arial"/>
                <w:i/>
                <w:sz w:val="16"/>
                <w:szCs w:val="16"/>
              </w:rPr>
            </w:pPr>
            <w:r w:rsidRPr="0023669E">
              <w:rPr>
                <w:rFonts w:cs="Arial"/>
                <w:i/>
                <w:sz w:val="16"/>
                <w:szCs w:val="16"/>
              </w:rPr>
              <w:t>$922,848</w:t>
            </w:r>
          </w:p>
          <w:p w14:paraId="2031CF76" w14:textId="12E7D5A4" w:rsidR="00AE6942" w:rsidRPr="00CF052D" w:rsidRDefault="00AE6942" w:rsidP="00AE6942">
            <w:pPr>
              <w:jc w:val="center"/>
              <w:rPr>
                <w:rFonts w:cs="Arial"/>
                <w:i/>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0A108" w14:textId="25A5BE31" w:rsidR="00AE6942" w:rsidRPr="00CF052D" w:rsidRDefault="00AE6942" w:rsidP="00AE6942">
            <w:pPr>
              <w:jc w:val="center"/>
              <w:rPr>
                <w:rFonts w:cs="Arial"/>
                <w:i/>
                <w:sz w:val="16"/>
                <w:szCs w:val="16"/>
              </w:rPr>
            </w:pPr>
            <w:r>
              <w:rPr>
                <w:rFonts w:cs="Arial"/>
                <w:i/>
                <w:sz w:val="16"/>
                <w:szCs w:val="16"/>
              </w:rPr>
              <w:t>$874,277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8E76" w14:textId="627E12A0" w:rsidR="00AE6942" w:rsidRPr="00CF052D" w:rsidRDefault="00AE6942" w:rsidP="00AE6942">
            <w:pPr>
              <w:jc w:val="center"/>
              <w:rPr>
                <w:rFonts w:cs="Arial"/>
                <w:i/>
                <w:sz w:val="16"/>
                <w:szCs w:val="16"/>
              </w:rPr>
            </w:pPr>
            <w:r w:rsidRPr="00903656">
              <w:rPr>
                <w:rFonts w:cs="Arial"/>
                <w:i/>
                <w:sz w:val="16"/>
                <w:szCs w:val="16"/>
              </w:rPr>
              <w:t>$777,135.54</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C4DEA" w14:textId="7DD417D0" w:rsidR="00AE6942" w:rsidRPr="00CF052D" w:rsidRDefault="00AE6942" w:rsidP="00AE6942">
            <w:pPr>
              <w:jc w:val="center"/>
              <w:rPr>
                <w:rFonts w:cs="Arial"/>
                <w:i/>
                <w:sz w:val="16"/>
                <w:szCs w:val="16"/>
              </w:rPr>
            </w:pPr>
          </w:p>
        </w:tc>
      </w:tr>
      <w:tr w:rsidR="00AE6942" w:rsidRPr="00CF052D" w14:paraId="217361A8" w14:textId="77777777" w:rsidTr="00FA4169">
        <w:trPr>
          <w:cantSplit/>
          <w:trHeight w:val="737"/>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608E93" w14:textId="77777777" w:rsidR="00AE6942" w:rsidRPr="00CF052D" w:rsidRDefault="00AE6942" w:rsidP="00AE6942">
            <w:pPr>
              <w:jc w:val="center"/>
              <w:rPr>
                <w:rFonts w:cs="Arial"/>
                <w:szCs w:val="20"/>
              </w:rPr>
            </w:pPr>
            <w:r w:rsidRPr="00CF052D">
              <w:rPr>
                <w:rFonts w:cs="Arial"/>
                <w:szCs w:val="20"/>
              </w:rPr>
              <w:t xml:space="preserve">Goal </w:t>
            </w:r>
            <w:r>
              <w:rPr>
                <w:rFonts w:cs="Arial"/>
                <w:szCs w:val="20"/>
              </w:rPr>
              <w:t>2</w:t>
            </w:r>
            <w:r w:rsidRPr="00CF052D">
              <w:rPr>
                <w:rFonts w:cs="Arial"/>
                <w:szCs w:val="20"/>
              </w:rPr>
              <w:t xml:space="preserve"> – Division of Public Works</w:t>
            </w:r>
            <w:r w:rsidRPr="00F0121D">
              <w:rPr>
                <w:rFonts w:cs="Arial"/>
                <w:color w:val="FF3399"/>
                <w:sz w:val="22"/>
                <w:szCs w:val="22"/>
              </w:rPr>
              <w:t>**</w:t>
            </w:r>
          </w:p>
          <w:p w14:paraId="2D4A9643" w14:textId="1EFCA363" w:rsidR="00AE6942" w:rsidRPr="00830F80" w:rsidRDefault="00AE6942" w:rsidP="00AE6942">
            <w:pPr>
              <w:jc w:val="center"/>
              <w:rPr>
                <w:rFonts w:cs="Arial"/>
                <w:b/>
                <w:bCs/>
                <w:szCs w:val="20"/>
              </w:rPr>
            </w:pPr>
            <w:r w:rsidRPr="00830F80">
              <w:rPr>
                <w:rFonts w:cs="Arial"/>
                <w:b/>
                <w:bCs/>
                <w:szCs w:val="20"/>
              </w:rPr>
              <w:t>Reduce the average length of time between project bid date and issuing a Notice to Proceed, authorizing construction</w:t>
            </w:r>
            <w:r>
              <w:rPr>
                <w:rFonts w:cs="Arial"/>
                <w:b/>
                <w:bCs/>
                <w:szCs w:val="20"/>
              </w:rPr>
              <w:t xml:space="preserve"> to an average of 30 days</w:t>
            </w:r>
            <w:r w:rsidRPr="00830F80">
              <w:rPr>
                <w:rFonts w:cs="Arial"/>
                <w:b/>
                <w:bCs/>
                <w:szCs w:val="20"/>
              </w:rPr>
              <w:t>.</w:t>
            </w:r>
          </w:p>
        </w:tc>
      </w:tr>
      <w:tr w:rsidR="00AE6942" w:rsidRPr="00CF052D" w14:paraId="6289C202"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62763149" w14:textId="77777777" w:rsidR="00AE6942" w:rsidRPr="00B54CE6" w:rsidRDefault="00AE6942" w:rsidP="00AE6942">
            <w:pPr>
              <w:pStyle w:val="ListParagraph"/>
              <w:numPr>
                <w:ilvl w:val="0"/>
                <w:numId w:val="2"/>
              </w:numPr>
              <w:ind w:left="342"/>
              <w:rPr>
                <w:rFonts w:cs="Arial"/>
                <w:bCs/>
                <w:szCs w:val="20"/>
              </w:rPr>
            </w:pPr>
            <w:r w:rsidRPr="00B54CE6">
              <w:rPr>
                <w:rFonts w:cs="Arial"/>
                <w:bCs/>
                <w:szCs w:val="20"/>
              </w:rPr>
              <w:t>Reduce the average number of days between project bid date and issuing Notice to Proceed by 5% per year until benchmark has been reached.</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DB3C1" w14:textId="77777777" w:rsidR="00AE6942" w:rsidRPr="00CF052D" w:rsidRDefault="00AE6942" w:rsidP="00AE6942">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5E515" w14:textId="72E4DE59" w:rsidR="00AE6942" w:rsidRPr="00CF052D" w:rsidRDefault="00AE6942" w:rsidP="00AE6942">
            <w:pPr>
              <w:jc w:val="center"/>
              <w:rPr>
                <w:rFonts w:cs="Arial"/>
              </w:rPr>
            </w:pPr>
            <w:r>
              <w:rPr>
                <w:rFonts w:cs="Arial"/>
              </w:rPr>
              <w:t>37 days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214BE" w14:textId="5132F56A" w:rsidR="00AE6942" w:rsidRPr="00CF052D" w:rsidRDefault="00AE6942" w:rsidP="00AE6942">
            <w:pPr>
              <w:jc w:val="center"/>
              <w:rPr>
                <w:rFonts w:cs="Arial"/>
              </w:rPr>
            </w:pPr>
            <w:r>
              <w:rPr>
                <w:rFonts w:cs="Arial"/>
              </w:rPr>
              <w:t>36.4</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2AD1D" w14:textId="2AFDD1BB" w:rsidR="00AE6942" w:rsidRPr="00CF052D" w:rsidRDefault="00AE6942" w:rsidP="00AE6942">
            <w:pPr>
              <w:jc w:val="center"/>
              <w:rPr>
                <w:rFonts w:cs="Arial"/>
              </w:rPr>
            </w:pPr>
            <w:r>
              <w:rPr>
                <w:rFonts w:cs="Arial"/>
                <w:szCs w:val="20"/>
              </w:rPr>
              <w:t>48.8</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8278C" w14:textId="67CB7603"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02FF" w14:textId="16AB61E5" w:rsidR="00AE6942" w:rsidRPr="00CF052D" w:rsidRDefault="00AE6942" w:rsidP="00AE6942">
            <w:pPr>
              <w:jc w:val="center"/>
              <w:rPr>
                <w:rFonts w:cs="Arial"/>
              </w:rPr>
            </w:pPr>
          </w:p>
        </w:tc>
      </w:tr>
      <w:tr w:rsidR="00AE6942" w:rsidRPr="00CF052D" w14:paraId="12F29C00"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59E4AA9B"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1DB05" w14:textId="77777777" w:rsidR="00AE6942" w:rsidRPr="00CF052D" w:rsidRDefault="00AE6942" w:rsidP="00AE6942">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C1913" w14:textId="582F0933" w:rsidR="00AE6942" w:rsidRPr="00CF052D" w:rsidRDefault="00AE6942" w:rsidP="00AE6942">
            <w:pPr>
              <w:jc w:val="center"/>
              <w:rPr>
                <w:rFonts w:cs="Arial"/>
                <w:i/>
                <w:sz w:val="16"/>
                <w:szCs w:val="16"/>
              </w:rPr>
            </w:pPr>
            <w:r>
              <w:rPr>
                <w:rFonts w:cs="Arial"/>
                <w:i/>
                <w:sz w:val="16"/>
                <w:szCs w:val="16"/>
              </w:rPr>
              <w:t>37.1 days</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AA19B" w14:textId="1F80D1FB" w:rsidR="00AE6942" w:rsidRPr="00CF052D" w:rsidRDefault="00AE6942" w:rsidP="00AE6942">
            <w:pPr>
              <w:jc w:val="center"/>
              <w:rPr>
                <w:rFonts w:cs="Arial"/>
                <w:i/>
                <w:sz w:val="16"/>
                <w:szCs w:val="16"/>
              </w:rPr>
            </w:pPr>
            <w:r>
              <w:rPr>
                <w:rFonts w:cs="Arial"/>
                <w:i/>
                <w:sz w:val="16"/>
                <w:szCs w:val="16"/>
              </w:rPr>
              <w:t>35.2 days</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67785" w14:textId="2C04459A" w:rsidR="00AE6942" w:rsidRPr="00CF052D" w:rsidRDefault="00AE6942" w:rsidP="00AE6942">
            <w:pPr>
              <w:jc w:val="center"/>
              <w:rPr>
                <w:rFonts w:cs="Arial"/>
                <w:i/>
                <w:sz w:val="16"/>
                <w:szCs w:val="16"/>
              </w:rPr>
            </w:pPr>
            <w:r>
              <w:rPr>
                <w:rFonts w:cs="Arial"/>
                <w:i/>
                <w:sz w:val="16"/>
                <w:szCs w:val="16"/>
              </w:rPr>
              <w:t>34.6 days</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41CB4" w14:textId="3AEF005C" w:rsidR="00AE6942" w:rsidRPr="00CF052D" w:rsidRDefault="00AE6942" w:rsidP="00AE6942">
            <w:pPr>
              <w:jc w:val="center"/>
              <w:rPr>
                <w:rFonts w:cs="Arial"/>
                <w:i/>
                <w:sz w:val="16"/>
                <w:szCs w:val="16"/>
              </w:rPr>
            </w:pPr>
            <w:r>
              <w:rPr>
                <w:rFonts w:cs="Arial"/>
                <w:i/>
                <w:sz w:val="16"/>
                <w:szCs w:val="16"/>
              </w:rPr>
              <w:t>34.6 days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E1B1B" w14:textId="644EB1BC" w:rsidR="00AE6942" w:rsidRPr="00CF052D" w:rsidRDefault="00AE6942" w:rsidP="00AE6942">
            <w:pPr>
              <w:jc w:val="center"/>
              <w:rPr>
                <w:rFonts w:cs="Arial"/>
                <w:i/>
                <w:sz w:val="16"/>
                <w:szCs w:val="16"/>
              </w:rPr>
            </w:pPr>
          </w:p>
        </w:tc>
      </w:tr>
      <w:tr w:rsidR="00AE6942" w:rsidRPr="00CF052D" w14:paraId="41CB6022" w14:textId="77777777" w:rsidTr="001061C0">
        <w:trPr>
          <w:cantSplit/>
          <w:trHeight w:val="440"/>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576087" w14:textId="65492F66" w:rsidR="00AE6942" w:rsidRPr="00CF052D" w:rsidRDefault="00AE6942" w:rsidP="00AE6942">
            <w:pPr>
              <w:jc w:val="center"/>
              <w:rPr>
                <w:rFonts w:cs="Arial"/>
                <w:szCs w:val="20"/>
              </w:rPr>
            </w:pPr>
            <w:bookmarkStart w:id="21" w:name="_Hlk13564005"/>
            <w:r w:rsidRPr="00CF052D">
              <w:rPr>
                <w:rFonts w:cs="Arial"/>
                <w:szCs w:val="20"/>
              </w:rPr>
              <w:t xml:space="preserve">Goal </w:t>
            </w:r>
            <w:r>
              <w:rPr>
                <w:rFonts w:cs="Arial"/>
                <w:szCs w:val="20"/>
              </w:rPr>
              <w:t>3</w:t>
            </w:r>
            <w:r w:rsidRPr="00CF052D">
              <w:rPr>
                <w:rFonts w:cs="Arial"/>
                <w:szCs w:val="20"/>
              </w:rPr>
              <w:t xml:space="preserve"> – </w:t>
            </w:r>
            <w:r>
              <w:rPr>
                <w:rFonts w:cs="Arial"/>
                <w:szCs w:val="20"/>
              </w:rPr>
              <w:t>Division of Public Works; Facilities Services</w:t>
            </w:r>
          </w:p>
          <w:p w14:paraId="56857DB5" w14:textId="56F17BA1" w:rsidR="00AE6942" w:rsidRPr="00327B2F" w:rsidRDefault="00AE6942" w:rsidP="00AE6942">
            <w:pPr>
              <w:ind w:left="720" w:hanging="720"/>
              <w:jc w:val="both"/>
              <w:rPr>
                <w:rFonts w:cs="Arial"/>
                <w:b/>
                <w:bCs/>
                <w:szCs w:val="20"/>
              </w:rPr>
            </w:pPr>
            <w:r w:rsidRPr="00327B2F">
              <w:rPr>
                <w:rFonts w:cs="Arial"/>
                <w:b/>
                <w:bCs/>
                <w:szCs w:val="20"/>
              </w:rPr>
              <w:t xml:space="preserve">Reduce the back log of deferred maintenance and repair items for the Capitol Mall (including the Idaho Falls and Lewiston </w:t>
            </w:r>
            <w:r w:rsidRPr="00830F80">
              <w:rPr>
                <w:rFonts w:cs="Arial"/>
                <w:b/>
                <w:bCs/>
                <w:szCs w:val="20"/>
              </w:rPr>
              <w:t>S</w:t>
            </w:r>
            <w:r w:rsidRPr="00327B2F">
              <w:rPr>
                <w:rFonts w:cs="Arial"/>
                <w:b/>
                <w:bCs/>
                <w:szCs w:val="20"/>
              </w:rPr>
              <w:t xml:space="preserve">tate </w:t>
            </w:r>
            <w:r w:rsidRPr="00830F80">
              <w:rPr>
                <w:rFonts w:cs="Arial"/>
                <w:b/>
                <w:bCs/>
                <w:szCs w:val="20"/>
              </w:rPr>
              <w:t>O</w:t>
            </w:r>
            <w:r w:rsidRPr="00327B2F">
              <w:rPr>
                <w:rFonts w:cs="Arial"/>
                <w:b/>
                <w:bCs/>
                <w:szCs w:val="20"/>
              </w:rPr>
              <w:t xml:space="preserve">ffice </w:t>
            </w:r>
            <w:r w:rsidRPr="00830F80">
              <w:rPr>
                <w:rFonts w:cs="Arial"/>
                <w:b/>
                <w:bCs/>
                <w:szCs w:val="20"/>
              </w:rPr>
              <w:t>B</w:t>
            </w:r>
            <w:r w:rsidRPr="00327B2F">
              <w:rPr>
                <w:rFonts w:cs="Arial"/>
                <w:b/>
                <w:bCs/>
                <w:szCs w:val="20"/>
              </w:rPr>
              <w:t>uildings) and the Chinden Campus.</w:t>
            </w:r>
          </w:p>
          <w:p w14:paraId="331EDB2F" w14:textId="4C2585A9" w:rsidR="00AE6942" w:rsidRPr="00CF052D" w:rsidRDefault="00AE6942" w:rsidP="00AE6942">
            <w:pPr>
              <w:jc w:val="center"/>
              <w:rPr>
                <w:rFonts w:cs="Arial"/>
                <w:szCs w:val="20"/>
              </w:rPr>
            </w:pPr>
          </w:p>
        </w:tc>
      </w:tr>
      <w:bookmarkEnd w:id="21"/>
      <w:tr w:rsidR="00AE6942" w:rsidRPr="00CF052D" w14:paraId="471AD133"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3233DA36" w14:textId="6E3F8A9D" w:rsidR="00AE6942" w:rsidRPr="00830F80" w:rsidRDefault="00AE6942" w:rsidP="00AE6942">
            <w:pPr>
              <w:pStyle w:val="ListParagraph"/>
              <w:numPr>
                <w:ilvl w:val="0"/>
                <w:numId w:val="2"/>
              </w:numPr>
              <w:ind w:left="342"/>
              <w:rPr>
                <w:rFonts w:cs="Arial"/>
                <w:bCs/>
                <w:szCs w:val="20"/>
              </w:rPr>
            </w:pPr>
            <w:r w:rsidRPr="00830F80">
              <w:rPr>
                <w:rFonts w:cs="Arial"/>
                <w:bCs/>
                <w:szCs w:val="20"/>
              </w:rPr>
              <w:t>Reduce the total average Facility Cost Index by 5% per year for all facilities until the benchmark has been reached for each facility. This amount would need to be adjusted for cost escalation, inflation, etc. each consecutive year.</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705A3" w14:textId="77777777" w:rsidR="00AE6942" w:rsidRPr="00CF052D" w:rsidRDefault="00AE6942" w:rsidP="00AE6942">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004A5" w14:textId="475F195D" w:rsidR="00AE6942" w:rsidRPr="00CF052D" w:rsidRDefault="00AE6942" w:rsidP="00AE6942">
            <w:pPr>
              <w:jc w:val="center"/>
              <w:rPr>
                <w:rFonts w:cs="Arial"/>
              </w:rPr>
            </w:pPr>
            <w:r>
              <w:rPr>
                <w:rFonts w:cs="Arial"/>
              </w:rPr>
              <w: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F2441" w14:textId="265CE97E" w:rsidR="00AE6942" w:rsidRPr="00CF052D" w:rsidRDefault="00AE6942" w:rsidP="00AE6942">
            <w:pPr>
              <w:jc w:val="center"/>
              <w:rPr>
                <w:rFonts w:cs="Arial"/>
              </w:rPr>
            </w:pPr>
            <w:r w:rsidRPr="00F0121D">
              <w:rPr>
                <w:rFonts w:cs="Arial"/>
                <w:color w:val="FF3399"/>
                <w:sz w:val="22"/>
                <w:szCs w:val="22"/>
              </w:rPr>
              <w:t>*</w:t>
            </w:r>
            <w:r>
              <w:rPr>
                <w:rFonts w:cs="Arial"/>
                <w:color w:val="FF3399"/>
                <w:sz w:val="22"/>
                <w:szCs w:val="22"/>
              </w:rPr>
              <w:t>*</w:t>
            </w:r>
            <w:r w:rsidRPr="00F0121D">
              <w:rPr>
                <w:rFonts w:cs="Arial"/>
                <w:color w:val="FF3399"/>
                <w:sz w:val="22"/>
                <w:szCs w:val="22"/>
              </w:rPr>
              <w:t>*</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EA42F" w14:textId="7336618D" w:rsidR="00AE6942" w:rsidRPr="00CF052D" w:rsidRDefault="00AE6942" w:rsidP="00AE6942">
            <w:pPr>
              <w:jc w:val="center"/>
              <w:rPr>
                <w:rFonts w:cs="Arial"/>
              </w:rPr>
            </w:pP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D7F5B" w14:textId="1F2AFF1F"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BAF8E" w14:textId="7F012D46" w:rsidR="00AE6942" w:rsidRPr="00CF052D" w:rsidRDefault="00AE6942" w:rsidP="00AE6942">
            <w:pPr>
              <w:jc w:val="center"/>
              <w:rPr>
                <w:rFonts w:cs="Arial"/>
              </w:rPr>
            </w:pPr>
          </w:p>
        </w:tc>
      </w:tr>
      <w:tr w:rsidR="00AE6942" w:rsidRPr="00CF052D" w14:paraId="6EB62A3F"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6AD8599B"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28579" w14:textId="77777777" w:rsidR="00AE6942" w:rsidRPr="00CF052D" w:rsidRDefault="00AE6942" w:rsidP="00AE6942">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737AA" w14:textId="47551A69" w:rsidR="00AE6942" w:rsidRPr="00CF052D" w:rsidRDefault="00AE6942" w:rsidP="00AE6942">
            <w:pPr>
              <w:jc w:val="center"/>
              <w:rPr>
                <w:rFonts w:cs="Arial"/>
                <w:i/>
                <w:sz w:val="16"/>
                <w:szCs w:val="16"/>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F6440" w14:textId="26E2F8ED" w:rsidR="00AE6942" w:rsidRPr="00CF052D" w:rsidRDefault="00AE6942" w:rsidP="00AE6942">
            <w:pPr>
              <w:jc w:val="center"/>
              <w:rPr>
                <w:rFonts w:cs="Arial"/>
                <w:i/>
                <w:sz w:val="16"/>
                <w:szCs w:val="16"/>
              </w:rPr>
            </w:pPr>
            <w:r>
              <w:rPr>
                <w:rFonts w:cs="Arial"/>
                <w:i/>
                <w:sz w:val="16"/>
                <w:szCs w:val="16"/>
              </w:rPr>
              <w:t>-----</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5CFE1" w14:textId="6C745A36" w:rsidR="00AE6942" w:rsidRPr="00CF052D" w:rsidRDefault="00AE6942" w:rsidP="00AE6942">
            <w:pPr>
              <w:jc w:val="center"/>
              <w:rPr>
                <w:rFonts w:cs="Arial"/>
                <w:i/>
                <w:sz w:val="16"/>
                <w:szCs w:val="16"/>
              </w:rPr>
            </w:pPr>
            <w:r>
              <w:rPr>
                <w:rFonts w:cs="Arial"/>
                <w:i/>
                <w:sz w:val="16"/>
                <w:szCs w:val="16"/>
              </w:rPr>
              <w:t>N/A</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4C268" w14:textId="46B5B9B6" w:rsidR="00AE6942" w:rsidRPr="00CF052D" w:rsidRDefault="00AE6942" w:rsidP="00AE6942">
            <w:pPr>
              <w:jc w:val="center"/>
              <w:rPr>
                <w:rFonts w:cs="Arial"/>
                <w:i/>
                <w:sz w:val="16"/>
                <w:szCs w:val="16"/>
              </w:rPr>
            </w:pPr>
            <w:r>
              <w:rPr>
                <w:rFonts w:cs="Arial"/>
                <w:i/>
                <w:sz w:val="16"/>
                <w:szCs w:val="16"/>
              </w:rPr>
              <w:t>N/A</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D730" w14:textId="11C96097" w:rsidR="00AE6942" w:rsidRPr="00CF052D" w:rsidRDefault="00AE6942" w:rsidP="00AE6942">
            <w:pPr>
              <w:jc w:val="center"/>
              <w:rPr>
                <w:rFonts w:cs="Arial"/>
                <w:i/>
                <w:sz w:val="16"/>
                <w:szCs w:val="16"/>
              </w:rPr>
            </w:pPr>
          </w:p>
        </w:tc>
      </w:tr>
      <w:tr w:rsidR="00AE6942" w:rsidRPr="00CF052D" w14:paraId="57E57F1C" w14:textId="77777777" w:rsidTr="001061C0">
        <w:trPr>
          <w:cantSplit/>
          <w:trHeight w:val="935"/>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EE7E7C" w14:textId="003E47B5" w:rsidR="00AE6942" w:rsidRPr="00830F80" w:rsidRDefault="00AE6942" w:rsidP="00AE6942">
            <w:pPr>
              <w:tabs>
                <w:tab w:val="left" w:pos="720"/>
              </w:tabs>
              <w:jc w:val="center"/>
              <w:rPr>
                <w:rFonts w:cs="Arial"/>
                <w:szCs w:val="20"/>
              </w:rPr>
            </w:pPr>
            <w:bookmarkStart w:id="22" w:name="_Hlk518993314"/>
            <w:bookmarkStart w:id="23" w:name="_Hlk46322952"/>
            <w:bookmarkStart w:id="24" w:name="_Hlk48550140"/>
            <w:r w:rsidRPr="00EF27AC">
              <w:rPr>
                <w:rFonts w:cs="Arial"/>
                <w:szCs w:val="20"/>
              </w:rPr>
              <w:lastRenderedPageBreak/>
              <w:t>Goal 4 – Division of Insurance and Internal Support; Postal Services</w:t>
            </w:r>
          </w:p>
          <w:p w14:paraId="696EBA14" w14:textId="76F8276B" w:rsidR="00AE6942" w:rsidRPr="00CF052D" w:rsidRDefault="00AE6942" w:rsidP="00AE6942">
            <w:pPr>
              <w:tabs>
                <w:tab w:val="left" w:pos="720"/>
              </w:tabs>
              <w:contextualSpacing/>
              <w:jc w:val="both"/>
              <w:rPr>
                <w:rFonts w:cs="Arial"/>
                <w:szCs w:val="20"/>
              </w:rPr>
            </w:pPr>
            <w:r w:rsidRPr="000764D1">
              <w:rPr>
                <w:rFonts w:cs="Arial"/>
                <w:b/>
                <w:bCs/>
                <w:szCs w:val="20"/>
              </w:rPr>
              <w:t xml:space="preserve">Increase the number of pieces processed by the state’s Postal Services at the Chinden Campus which will reduce the amount of time spent delivering mail to state agencies.  </w:t>
            </w:r>
          </w:p>
        </w:tc>
      </w:tr>
      <w:bookmarkEnd w:id="22"/>
      <w:bookmarkEnd w:id="23"/>
      <w:bookmarkEnd w:id="24"/>
      <w:tr w:rsidR="00AE6942" w:rsidRPr="00CF052D" w14:paraId="522D9A02"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19B3A7D8" w14:textId="1CFEA45E" w:rsidR="00AE6942" w:rsidRPr="000764D1" w:rsidRDefault="00AE6942" w:rsidP="00AE6942">
            <w:pPr>
              <w:pStyle w:val="ListParagraph"/>
              <w:keepNext/>
              <w:numPr>
                <w:ilvl w:val="0"/>
                <w:numId w:val="2"/>
              </w:numPr>
              <w:ind w:left="346"/>
              <w:rPr>
                <w:rFonts w:eastAsia="Calibri" w:cs="Arial"/>
                <w:szCs w:val="20"/>
              </w:rPr>
            </w:pPr>
            <w:r>
              <w:rPr>
                <w:rFonts w:eastAsia="Calibri" w:cs="Arial"/>
                <w:szCs w:val="20"/>
              </w:rPr>
              <w:t>Postal Services will reduce time spent on delivery by an average of 70 minutes per year (10 minutes per route) for the next four years. Baseline FY20.</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AC633" w14:textId="77777777" w:rsidR="00AE6942" w:rsidRPr="00CF052D" w:rsidRDefault="00AE6942" w:rsidP="00AE6942">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2619E" w14:textId="48057B12" w:rsidR="00AE6942" w:rsidRPr="00CF052D" w:rsidRDefault="00AE6942" w:rsidP="00AE6942">
            <w:pPr>
              <w:jc w:val="center"/>
              <w:rPr>
                <w:rFonts w:cs="Arial"/>
              </w:rPr>
            </w:pPr>
            <w:r>
              <w:rPr>
                <w:rFonts w:cs="Arial"/>
              </w:rPr>
              <w: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7A661" w14:textId="154F4798" w:rsidR="00AE6942" w:rsidRPr="00CF052D" w:rsidRDefault="00AE6942" w:rsidP="00AE6942">
            <w:pPr>
              <w:jc w:val="center"/>
              <w:rPr>
                <w:rFonts w:cs="Arial"/>
              </w:rPr>
            </w:pPr>
            <w:r>
              <w:rPr>
                <w:rFonts w:cs="Arial"/>
              </w:rPr>
              <w:t>33 hours</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6AD5F" w14:textId="1D7A54D5" w:rsidR="00AE6942" w:rsidRPr="00CF052D" w:rsidRDefault="00AE6942" w:rsidP="00AE6942">
            <w:pPr>
              <w:jc w:val="center"/>
              <w:rPr>
                <w:rFonts w:cs="Arial"/>
              </w:rPr>
            </w:pPr>
            <w:r>
              <w:rPr>
                <w:rFonts w:cs="Arial"/>
              </w:rPr>
              <w:t xml:space="preserve">32 </w:t>
            </w:r>
            <w:proofErr w:type="gramStart"/>
            <w:r>
              <w:rPr>
                <w:rFonts w:cs="Arial"/>
              </w:rPr>
              <w:t xml:space="preserve">hours  </w:t>
            </w:r>
            <w:r w:rsidRPr="001D3972">
              <w:rPr>
                <w:rFonts w:cs="Arial"/>
                <w:color w:val="FF33CC"/>
              </w:rPr>
              <w:t>*</w:t>
            </w:r>
            <w:proofErr w:type="gramEnd"/>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5D44D" w14:textId="6604ED06"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E700D" w14:textId="2DAA62B2" w:rsidR="00AE6942" w:rsidRPr="00CF052D" w:rsidRDefault="00AE6942" w:rsidP="00AE6942">
            <w:pPr>
              <w:jc w:val="center"/>
              <w:rPr>
                <w:rFonts w:cs="Arial"/>
              </w:rPr>
            </w:pPr>
          </w:p>
        </w:tc>
      </w:tr>
      <w:tr w:rsidR="00AE6942" w:rsidRPr="00CF052D" w14:paraId="2DC74740"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tcPr>
          <w:p w14:paraId="42666A71"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E4AE3" w14:textId="2EE65098" w:rsidR="00AE6942" w:rsidRPr="00CF052D" w:rsidRDefault="00AE6942" w:rsidP="00AE6942">
            <w:pPr>
              <w:jc w:val="center"/>
              <w:rPr>
                <w:rFonts w:cs="Arial"/>
                <w:i/>
                <w:sz w:val="16"/>
                <w:szCs w:val="16"/>
              </w:rPr>
            </w:pPr>
            <w:r>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DE80" w14:textId="79153535" w:rsidR="00AE6942" w:rsidRPr="00CF052D" w:rsidRDefault="00AE6942" w:rsidP="00AE6942">
            <w:pPr>
              <w:jc w:val="center"/>
              <w:rPr>
                <w:rFonts w:cs="Arial"/>
                <w:i/>
                <w:sz w:val="16"/>
                <w:szCs w:val="16"/>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AE0B" w14:textId="3DA73D8C" w:rsidR="00AE6942" w:rsidRPr="00CF052D" w:rsidRDefault="00AE6942" w:rsidP="00AE6942">
            <w:pPr>
              <w:jc w:val="center"/>
              <w:rPr>
                <w:rFonts w:cs="Arial"/>
                <w:i/>
                <w:sz w:val="16"/>
                <w:szCs w:val="16"/>
              </w:rPr>
            </w:pPr>
            <w:r>
              <w:rPr>
                <w:rFonts w:cs="Arial"/>
                <w:i/>
                <w:sz w:val="16"/>
                <w:szCs w:val="16"/>
              </w:rPr>
              <w:t>-----</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91CC" w14:textId="53F0F11C" w:rsidR="00AE6942" w:rsidRPr="00CF052D" w:rsidRDefault="00AE6942" w:rsidP="00AE6942">
            <w:pPr>
              <w:jc w:val="center"/>
              <w:rPr>
                <w:rFonts w:cs="Arial"/>
                <w:i/>
                <w:sz w:val="16"/>
                <w:szCs w:val="16"/>
              </w:rPr>
            </w:pPr>
            <w:r>
              <w:rPr>
                <w:rFonts w:cs="Arial"/>
                <w:i/>
                <w:sz w:val="16"/>
                <w:szCs w:val="16"/>
              </w:rPr>
              <w:t xml:space="preserve">31 </w:t>
            </w:r>
            <w:proofErr w:type="spellStart"/>
            <w:r>
              <w:rPr>
                <w:rFonts w:cs="Arial"/>
                <w:i/>
                <w:sz w:val="16"/>
                <w:szCs w:val="16"/>
              </w:rPr>
              <w:t>hr</w:t>
            </w:r>
            <w:proofErr w:type="spellEnd"/>
            <w:r>
              <w:rPr>
                <w:rFonts w:cs="Arial"/>
                <w:i/>
                <w:sz w:val="16"/>
                <w:szCs w:val="16"/>
              </w:rPr>
              <w:t>; 50 min</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E029F" w14:textId="5D5EA36D" w:rsidR="00AE6942" w:rsidRPr="00CF052D" w:rsidRDefault="00AE6942" w:rsidP="00AE6942">
            <w:pPr>
              <w:jc w:val="center"/>
              <w:rPr>
                <w:rFonts w:cs="Arial"/>
                <w:i/>
                <w:sz w:val="16"/>
                <w:szCs w:val="16"/>
              </w:rPr>
            </w:pPr>
            <w:r>
              <w:rPr>
                <w:rFonts w:cs="Arial"/>
                <w:i/>
                <w:sz w:val="16"/>
                <w:szCs w:val="16"/>
              </w:rPr>
              <w:t xml:space="preserve">30 </w:t>
            </w:r>
            <w:proofErr w:type="spellStart"/>
            <w:r>
              <w:rPr>
                <w:rFonts w:cs="Arial"/>
                <w:i/>
                <w:sz w:val="16"/>
                <w:szCs w:val="16"/>
              </w:rPr>
              <w:t>hr</w:t>
            </w:r>
            <w:proofErr w:type="spellEnd"/>
            <w:r>
              <w:rPr>
                <w:rFonts w:cs="Arial"/>
                <w:i/>
                <w:sz w:val="16"/>
                <w:szCs w:val="16"/>
              </w:rPr>
              <w:t>; 40 min</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A7E" w14:textId="31A00B85" w:rsidR="00AE6942" w:rsidRPr="00CF052D" w:rsidRDefault="00AE6942" w:rsidP="00AE6942">
            <w:pPr>
              <w:jc w:val="center"/>
              <w:rPr>
                <w:rFonts w:cs="Arial"/>
                <w:i/>
                <w:sz w:val="16"/>
                <w:szCs w:val="16"/>
              </w:rPr>
            </w:pPr>
          </w:p>
        </w:tc>
      </w:tr>
      <w:tr w:rsidR="00AE6942" w:rsidRPr="00CF052D" w14:paraId="09853768" w14:textId="77777777" w:rsidTr="000764D1">
        <w:trPr>
          <w:cantSplit/>
          <w:trHeight w:val="935"/>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B0E71A" w14:textId="6387EAB1" w:rsidR="00AE6942" w:rsidRPr="00830F80" w:rsidRDefault="00AE6942" w:rsidP="00AE6942">
            <w:pPr>
              <w:tabs>
                <w:tab w:val="left" w:pos="720"/>
              </w:tabs>
              <w:jc w:val="center"/>
              <w:rPr>
                <w:rFonts w:cs="Arial"/>
                <w:szCs w:val="20"/>
              </w:rPr>
            </w:pPr>
            <w:r w:rsidRPr="00EF27AC">
              <w:rPr>
                <w:rFonts w:cs="Arial"/>
                <w:szCs w:val="20"/>
              </w:rPr>
              <w:t>Goal 5 – Division of Insurance and Internal Support; Copy Center</w:t>
            </w:r>
          </w:p>
          <w:p w14:paraId="1C9E8C9D" w14:textId="192898B9" w:rsidR="00AE6942" w:rsidRPr="00CF052D" w:rsidRDefault="00AE6942" w:rsidP="00AE6942">
            <w:pPr>
              <w:tabs>
                <w:tab w:val="left" w:pos="720"/>
              </w:tabs>
              <w:contextualSpacing/>
              <w:jc w:val="both"/>
              <w:rPr>
                <w:rFonts w:cs="Arial"/>
                <w:szCs w:val="20"/>
              </w:rPr>
            </w:pPr>
            <w:r w:rsidRPr="00D166E3">
              <w:rPr>
                <w:rFonts w:cs="Arial"/>
                <w:b/>
                <w:bCs/>
                <w:szCs w:val="20"/>
              </w:rPr>
              <w:t>Decrease the number of days to perform Copy Center jobs for state agencies while increasing number of jobs printed during non-business hours.</w:t>
            </w:r>
          </w:p>
        </w:tc>
      </w:tr>
      <w:tr w:rsidR="00AE6942" w:rsidRPr="00CF052D" w14:paraId="2D95860F"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56AB587D" w14:textId="231EC7CA" w:rsidR="00AE6942" w:rsidRPr="00D166E3" w:rsidRDefault="00AE6942" w:rsidP="00AE6942">
            <w:pPr>
              <w:pStyle w:val="ListParagraph"/>
              <w:numPr>
                <w:ilvl w:val="0"/>
                <w:numId w:val="2"/>
              </w:numPr>
              <w:ind w:left="300" w:hanging="300"/>
              <w:jc w:val="both"/>
              <w:rPr>
                <w:rFonts w:eastAsia="Calibri" w:cs="Arial"/>
                <w:szCs w:val="20"/>
              </w:rPr>
            </w:pPr>
            <w:r w:rsidRPr="00D166E3">
              <w:rPr>
                <w:rFonts w:eastAsia="Calibri" w:cs="Arial"/>
                <w:szCs w:val="20"/>
              </w:rPr>
              <w:t>Reduce the average processing time between order received and delivered by an average of four hours per year for three years.</w:t>
            </w:r>
            <w:r>
              <w:rPr>
                <w:rFonts w:eastAsia="Calibri" w:cs="Arial"/>
                <w:szCs w:val="20"/>
              </w:rPr>
              <w:t xml:space="preserve"> Baseline FY20.</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E86BC" w14:textId="77777777" w:rsidR="00AE6942" w:rsidRPr="00CF052D" w:rsidRDefault="00AE6942" w:rsidP="00AE6942">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38D2C" w14:textId="6F0DA67C" w:rsidR="00AE6942" w:rsidRPr="00CF052D" w:rsidRDefault="00AE6942" w:rsidP="00AE6942">
            <w:pPr>
              <w:jc w:val="center"/>
              <w:rPr>
                <w:rFonts w:cs="Arial"/>
              </w:rPr>
            </w:pPr>
            <w:r>
              <w:rPr>
                <w:rFonts w:cs="Arial"/>
              </w:rPr>
              <w: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BB7A3" w14:textId="79B8E293" w:rsidR="00AE6942" w:rsidRPr="00CF052D" w:rsidRDefault="00AE6942" w:rsidP="00AE6942">
            <w:pPr>
              <w:jc w:val="center"/>
              <w:rPr>
                <w:rFonts w:cs="Arial"/>
              </w:rPr>
            </w:pPr>
            <w:r>
              <w:rPr>
                <w:rFonts w:cs="Arial"/>
              </w:rPr>
              <w:t xml:space="preserve">2 days; 2 </w:t>
            </w:r>
            <w:proofErr w:type="spellStart"/>
            <w:r>
              <w:rPr>
                <w:rFonts w:cs="Arial"/>
              </w:rPr>
              <w:t>hrs</w:t>
            </w:r>
            <w:proofErr w:type="spellEnd"/>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0BC36" w14:textId="44D9182A" w:rsidR="00AE6942" w:rsidRPr="00CF052D" w:rsidRDefault="00AE6942" w:rsidP="00AE6942">
            <w:pPr>
              <w:jc w:val="center"/>
              <w:rPr>
                <w:rFonts w:cs="Arial"/>
              </w:rPr>
            </w:pPr>
            <w:r>
              <w:rPr>
                <w:rFonts w:cs="Arial"/>
              </w:rPr>
              <w:t xml:space="preserve">1 day; 14 </w:t>
            </w:r>
            <w:proofErr w:type="spellStart"/>
            <w:r>
              <w:rPr>
                <w:rFonts w:cs="Arial"/>
              </w:rPr>
              <w:t>hrs</w:t>
            </w:r>
            <w:proofErr w:type="spellEnd"/>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12ED8" w14:textId="73745BAE"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EFC65" w14:textId="7C990021" w:rsidR="00AE6942" w:rsidRPr="00CF052D" w:rsidRDefault="00AE6942" w:rsidP="00AE6942">
            <w:pPr>
              <w:jc w:val="center"/>
              <w:rPr>
                <w:rFonts w:cs="Arial"/>
              </w:rPr>
            </w:pPr>
          </w:p>
        </w:tc>
      </w:tr>
      <w:tr w:rsidR="00AE6942" w:rsidRPr="00CF052D" w14:paraId="0F96C2A1"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5C44BF58"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D8143" w14:textId="77777777" w:rsidR="00AE6942" w:rsidRPr="00CF052D" w:rsidRDefault="00AE6942" w:rsidP="00AE6942">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4CF92" w14:textId="5780D959" w:rsidR="00AE6942" w:rsidRPr="00CF052D" w:rsidRDefault="00AE6942" w:rsidP="00AE6942">
            <w:pPr>
              <w:jc w:val="center"/>
              <w:rPr>
                <w:rFonts w:cs="Arial"/>
                <w:i/>
                <w:sz w:val="16"/>
                <w:szCs w:val="16"/>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BBA8E" w14:textId="051F2039" w:rsidR="00AE6942" w:rsidRPr="00CF052D" w:rsidRDefault="00AE6942" w:rsidP="00AE6942">
            <w:pPr>
              <w:jc w:val="center"/>
              <w:rPr>
                <w:rFonts w:cs="Arial"/>
                <w:i/>
                <w:sz w:val="16"/>
                <w:szCs w:val="16"/>
              </w:rPr>
            </w:pPr>
            <w:r>
              <w:rPr>
                <w:rFonts w:cs="Arial"/>
                <w:i/>
                <w:sz w:val="16"/>
                <w:szCs w:val="16"/>
              </w:rPr>
              <w:t>-----</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09AFF" w14:textId="1623EBF9" w:rsidR="00AE6942" w:rsidRPr="00CF052D" w:rsidRDefault="00AE6942" w:rsidP="00AE6942">
            <w:pPr>
              <w:jc w:val="center"/>
              <w:rPr>
                <w:rFonts w:cs="Arial"/>
                <w:i/>
                <w:sz w:val="16"/>
                <w:szCs w:val="16"/>
              </w:rPr>
            </w:pPr>
            <w:r>
              <w:rPr>
                <w:rFonts w:cs="Arial"/>
                <w:i/>
                <w:sz w:val="16"/>
                <w:szCs w:val="16"/>
              </w:rPr>
              <w:t xml:space="preserve">1 day; 22 </w:t>
            </w:r>
            <w:proofErr w:type="spellStart"/>
            <w:r>
              <w:rPr>
                <w:rFonts w:cs="Arial"/>
                <w:i/>
                <w:sz w:val="16"/>
                <w:szCs w:val="16"/>
              </w:rPr>
              <w:t>hrs</w:t>
            </w:r>
            <w:proofErr w:type="spellEnd"/>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7186F" w14:textId="7B206AF2" w:rsidR="00AE6942" w:rsidRPr="00CF052D" w:rsidRDefault="00AE6942" w:rsidP="00AE6942">
            <w:pPr>
              <w:jc w:val="center"/>
              <w:rPr>
                <w:rFonts w:cs="Arial"/>
                <w:i/>
                <w:sz w:val="16"/>
                <w:szCs w:val="16"/>
              </w:rPr>
            </w:pPr>
            <w:r w:rsidRPr="00935B44">
              <w:rPr>
                <w:rFonts w:cs="Arial"/>
                <w:i/>
                <w:sz w:val="16"/>
                <w:szCs w:val="16"/>
              </w:rPr>
              <w:t>1 day; 18 hours</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10E1A" w14:textId="77D7B65D" w:rsidR="00AE6942" w:rsidRPr="00935B44" w:rsidRDefault="00AE6942" w:rsidP="00AE6942">
            <w:pPr>
              <w:jc w:val="center"/>
              <w:rPr>
                <w:rFonts w:cs="Arial"/>
                <w:i/>
                <w:sz w:val="16"/>
                <w:szCs w:val="16"/>
              </w:rPr>
            </w:pPr>
          </w:p>
        </w:tc>
      </w:tr>
      <w:tr w:rsidR="00AE6942" w:rsidRPr="00CF052D" w14:paraId="517A9C15"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tcPr>
          <w:p w14:paraId="25B56365" w14:textId="0AD4328A" w:rsidR="00AE6942" w:rsidRPr="00D166E3" w:rsidRDefault="00AE6942" w:rsidP="00AE6942">
            <w:pPr>
              <w:pStyle w:val="ListParagraph"/>
              <w:numPr>
                <w:ilvl w:val="0"/>
                <w:numId w:val="2"/>
              </w:numPr>
              <w:ind w:left="300" w:hanging="300"/>
              <w:jc w:val="both"/>
              <w:rPr>
                <w:rFonts w:eastAsia="Calibri" w:cs="Arial"/>
                <w:szCs w:val="20"/>
              </w:rPr>
            </w:pPr>
            <w:r w:rsidRPr="00D166E3">
              <w:rPr>
                <w:rFonts w:eastAsia="Calibri" w:cs="Arial"/>
                <w:szCs w:val="20"/>
              </w:rPr>
              <w:t>Increase the number of jobs printed during non-business hours by 20% of all orders by FY24.  Baseline will be established in FY20 and increased 5% each year thereafter until benchmark is reached.</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2E96A" w14:textId="77777777" w:rsidR="00AE6942" w:rsidRPr="00CF052D" w:rsidRDefault="00AE6942" w:rsidP="00AE6942">
            <w:pPr>
              <w:jc w:val="center"/>
              <w:rPr>
                <w:rFonts w:cs="Arial"/>
              </w:rPr>
            </w:pPr>
            <w:r>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6B89" w14:textId="25B3CEA9" w:rsidR="00AE6942" w:rsidRPr="00CF052D" w:rsidRDefault="00AE6942" w:rsidP="00AE6942">
            <w:pPr>
              <w:jc w:val="center"/>
              <w:rPr>
                <w:rFonts w:cs="Arial"/>
              </w:rPr>
            </w:pPr>
            <w:r>
              <w:rPr>
                <w:rFonts w:cs="Arial"/>
              </w:rPr>
              <w: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7536B" w14:textId="7E0BEFE6" w:rsidR="00AE6942" w:rsidRPr="00CF052D" w:rsidRDefault="00AE6942" w:rsidP="00AE6942">
            <w:pPr>
              <w:jc w:val="center"/>
              <w:rPr>
                <w:rFonts w:cs="Arial"/>
              </w:rPr>
            </w:pPr>
            <w:r>
              <w:rPr>
                <w:rFonts w:cs="Arial"/>
              </w:rPr>
              <w:t>2%</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7F209" w14:textId="2AFF47D6" w:rsidR="00AE6942" w:rsidRPr="00CF052D" w:rsidRDefault="00AE6942" w:rsidP="00AE6942">
            <w:pPr>
              <w:jc w:val="center"/>
              <w:rPr>
                <w:rFonts w:cs="Arial"/>
              </w:rPr>
            </w:pPr>
            <w:r>
              <w:rPr>
                <w:rFonts w:cs="Arial"/>
              </w:rPr>
              <w:t>5%</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D05A9" w14:textId="0F408675"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ED552" w14:textId="77777777" w:rsidR="00AE6942" w:rsidRPr="00CF052D" w:rsidRDefault="00AE6942" w:rsidP="00AE6942">
            <w:pPr>
              <w:jc w:val="center"/>
              <w:rPr>
                <w:rFonts w:cs="Arial"/>
              </w:rPr>
            </w:pPr>
          </w:p>
        </w:tc>
      </w:tr>
      <w:tr w:rsidR="00AE6942" w:rsidRPr="00CF052D" w14:paraId="50E72F92"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tcPr>
          <w:p w14:paraId="67C2B4AF"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A7C5C" w14:textId="77777777" w:rsidR="00AE6942" w:rsidRPr="00CF052D" w:rsidRDefault="00AE6942" w:rsidP="00AE6942">
            <w:pPr>
              <w:jc w:val="center"/>
              <w:rPr>
                <w:rFonts w:cs="Arial"/>
                <w:i/>
                <w:sz w:val="16"/>
                <w:szCs w:val="16"/>
              </w:rPr>
            </w:pPr>
            <w:r>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1A6A5" w14:textId="1E73AB32" w:rsidR="00AE6942" w:rsidRPr="00CF052D" w:rsidRDefault="00AE6942" w:rsidP="00AE6942">
            <w:pPr>
              <w:jc w:val="center"/>
              <w:rPr>
                <w:rFonts w:cs="Arial"/>
                <w:i/>
                <w:sz w:val="16"/>
                <w:szCs w:val="16"/>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DDE1" w14:textId="567B5775" w:rsidR="00AE6942" w:rsidRPr="00CF052D" w:rsidRDefault="00AE6942" w:rsidP="00AE6942">
            <w:pPr>
              <w:jc w:val="center"/>
              <w:rPr>
                <w:rFonts w:cs="Arial"/>
                <w:i/>
                <w:sz w:val="16"/>
                <w:szCs w:val="16"/>
              </w:rPr>
            </w:pPr>
            <w:r>
              <w:rPr>
                <w:rFonts w:cs="Arial"/>
                <w:i/>
                <w:sz w:val="16"/>
                <w:szCs w:val="16"/>
              </w:rPr>
              <w:t>-----</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70E0E" w14:textId="54D7097B" w:rsidR="00AE6942" w:rsidRPr="00CF052D" w:rsidRDefault="00AE6942" w:rsidP="00AE6942">
            <w:pPr>
              <w:jc w:val="center"/>
              <w:rPr>
                <w:rFonts w:cs="Arial"/>
                <w:i/>
                <w:sz w:val="16"/>
                <w:szCs w:val="16"/>
              </w:rPr>
            </w:pPr>
            <w:r>
              <w:rPr>
                <w:rFonts w:cs="Arial"/>
                <w:i/>
                <w:sz w:val="16"/>
                <w:szCs w:val="16"/>
              </w:rPr>
              <w:t>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F8BE" w14:textId="589395B0" w:rsidR="00AE6942" w:rsidRPr="00CF052D" w:rsidRDefault="00AE6942" w:rsidP="00AE6942">
            <w:pPr>
              <w:jc w:val="center"/>
              <w:rPr>
                <w:rFonts w:cs="Arial"/>
                <w:i/>
                <w:sz w:val="16"/>
                <w:szCs w:val="16"/>
              </w:rPr>
            </w:pPr>
            <w:r>
              <w:rPr>
                <w:rFonts w:cs="Arial"/>
                <w:i/>
                <w:sz w:val="16"/>
                <w:szCs w:val="16"/>
              </w:rPr>
              <w:t>7%</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D59B4" w14:textId="67F52EF9" w:rsidR="00AE6942" w:rsidRPr="00CF052D" w:rsidRDefault="00AE6942" w:rsidP="00AE6942">
            <w:pPr>
              <w:jc w:val="center"/>
              <w:rPr>
                <w:rFonts w:cs="Arial"/>
                <w:i/>
                <w:sz w:val="16"/>
                <w:szCs w:val="16"/>
              </w:rPr>
            </w:pPr>
          </w:p>
        </w:tc>
      </w:tr>
      <w:tr w:rsidR="00AE6942" w:rsidRPr="00CF052D" w14:paraId="3945DCA7" w14:textId="77777777" w:rsidTr="00A80ED5">
        <w:trPr>
          <w:cantSplit/>
          <w:trHeight w:val="935"/>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5DB3D4" w14:textId="43E5A523" w:rsidR="00AE6942" w:rsidRPr="00830F80" w:rsidRDefault="00AE6942" w:rsidP="00AE6942">
            <w:pPr>
              <w:tabs>
                <w:tab w:val="left" w:pos="720"/>
              </w:tabs>
              <w:jc w:val="center"/>
              <w:rPr>
                <w:rFonts w:cs="Arial"/>
                <w:szCs w:val="20"/>
              </w:rPr>
            </w:pPr>
            <w:r w:rsidRPr="00830F80">
              <w:rPr>
                <w:rFonts w:cs="Arial"/>
                <w:szCs w:val="20"/>
              </w:rPr>
              <w:t xml:space="preserve">Goal </w:t>
            </w:r>
            <w:r>
              <w:rPr>
                <w:rFonts w:cs="Arial"/>
                <w:szCs w:val="20"/>
              </w:rPr>
              <w:t xml:space="preserve">6 </w:t>
            </w:r>
            <w:r w:rsidRPr="00830F80">
              <w:rPr>
                <w:rFonts w:cs="Arial"/>
                <w:szCs w:val="20"/>
              </w:rPr>
              <w:t xml:space="preserve">– Division of </w:t>
            </w:r>
            <w:r>
              <w:rPr>
                <w:rFonts w:cs="Arial"/>
                <w:szCs w:val="20"/>
              </w:rPr>
              <w:t>Purchasing</w:t>
            </w:r>
            <w:r w:rsidRPr="00830F80">
              <w:rPr>
                <w:rFonts w:cs="Arial"/>
                <w:szCs w:val="20"/>
              </w:rPr>
              <w:t xml:space="preserve">; </w:t>
            </w:r>
            <w:r>
              <w:rPr>
                <w:rFonts w:cs="Arial"/>
                <w:szCs w:val="20"/>
              </w:rPr>
              <w:t>Federal Surplus Property</w:t>
            </w:r>
          </w:p>
          <w:p w14:paraId="2CE03A7E" w14:textId="77777777" w:rsidR="00AE6942" w:rsidRPr="00D166E3" w:rsidRDefault="00AE6942" w:rsidP="00AE6942">
            <w:pPr>
              <w:tabs>
                <w:tab w:val="left" w:pos="720"/>
              </w:tabs>
              <w:contextualSpacing/>
              <w:jc w:val="both"/>
              <w:rPr>
                <w:rFonts w:cs="Arial"/>
                <w:b/>
                <w:bCs/>
                <w:szCs w:val="20"/>
              </w:rPr>
            </w:pPr>
            <w:r w:rsidRPr="00D166E3">
              <w:rPr>
                <w:rFonts w:cs="Arial"/>
                <w:b/>
                <w:bCs/>
                <w:szCs w:val="20"/>
              </w:rPr>
              <w:t>Increase the number of qualifying entities utilizing the Federal Surplus Properties program to maximize the value of existing resources and reduce overall costs to state and other public agencies.</w:t>
            </w:r>
          </w:p>
          <w:p w14:paraId="2FC87BE5" w14:textId="664CD6FB" w:rsidR="00AE6942" w:rsidRPr="00CF052D" w:rsidRDefault="00AE6942" w:rsidP="00AE6942">
            <w:pPr>
              <w:tabs>
                <w:tab w:val="left" w:pos="720"/>
              </w:tabs>
              <w:contextualSpacing/>
              <w:jc w:val="both"/>
              <w:rPr>
                <w:rFonts w:cs="Arial"/>
                <w:szCs w:val="20"/>
              </w:rPr>
            </w:pPr>
          </w:p>
        </w:tc>
      </w:tr>
      <w:tr w:rsidR="00AE6942" w:rsidRPr="00CF052D" w14:paraId="0EEBBF5C"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5CA13D09" w14:textId="5DAEB552" w:rsidR="00AE6942" w:rsidRPr="00F81641" w:rsidRDefault="00AE6942" w:rsidP="00AE6942">
            <w:pPr>
              <w:pStyle w:val="ListParagraph"/>
              <w:numPr>
                <w:ilvl w:val="0"/>
                <w:numId w:val="2"/>
              </w:numPr>
              <w:ind w:left="300" w:hanging="300"/>
              <w:jc w:val="both"/>
              <w:rPr>
                <w:rFonts w:eastAsia="Calibri" w:cs="Arial"/>
                <w:szCs w:val="20"/>
              </w:rPr>
            </w:pPr>
            <w:r w:rsidRPr="00F81641">
              <w:rPr>
                <w:rFonts w:eastAsia="Calibri" w:cs="Arial"/>
                <w:szCs w:val="20"/>
              </w:rPr>
              <w:t>Federal Surplus Properties increases the annual number of registered and/or active donees by 5% each year until benchmark is reached by FY23.  Baseline established in FY19.</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F7775" w14:textId="77777777" w:rsidR="00AE6942" w:rsidRPr="00CF052D" w:rsidRDefault="00AE6942" w:rsidP="00AE6942">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6A0A4" w14:textId="5439615E" w:rsidR="00AE6942" w:rsidRPr="00CF052D" w:rsidRDefault="00AE6942" w:rsidP="00AE6942">
            <w:pPr>
              <w:jc w:val="center"/>
              <w:rPr>
                <w:rFonts w:cs="Arial"/>
              </w:rPr>
            </w:pPr>
            <w:r>
              <w:rPr>
                <w:rFonts w:cs="Arial"/>
              </w:rPr>
              <w:t>141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D84F4" w14:textId="38592F03" w:rsidR="00AE6942" w:rsidRPr="00CF052D" w:rsidRDefault="00AE6942" w:rsidP="00AE6942">
            <w:pPr>
              <w:jc w:val="center"/>
              <w:rPr>
                <w:rFonts w:cs="Arial"/>
              </w:rPr>
            </w:pPr>
            <w:r>
              <w:rPr>
                <w:rFonts w:cs="Arial"/>
              </w:rPr>
              <w:t>129</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24228" w14:textId="506D5417" w:rsidR="00AE6942" w:rsidRPr="00CF052D" w:rsidRDefault="00AE6942" w:rsidP="00AE6942">
            <w:pPr>
              <w:jc w:val="center"/>
              <w:rPr>
                <w:rFonts w:cs="Arial"/>
              </w:rPr>
            </w:pPr>
            <w:r>
              <w:rPr>
                <w:rFonts w:cs="Arial"/>
              </w:rPr>
              <w:t>138</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D73E" w14:textId="6CAA516F" w:rsidR="00AE6942" w:rsidRPr="00CF052D" w:rsidRDefault="00AE6942" w:rsidP="00AE6942">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E2FC7" w14:textId="79B37B0D" w:rsidR="00AE6942" w:rsidRPr="00CF052D" w:rsidRDefault="00AE6942" w:rsidP="00AE6942">
            <w:pPr>
              <w:jc w:val="center"/>
              <w:rPr>
                <w:rFonts w:cs="Arial"/>
              </w:rPr>
            </w:pPr>
          </w:p>
        </w:tc>
      </w:tr>
      <w:tr w:rsidR="00AE6942" w:rsidRPr="00CF052D" w14:paraId="1A13FA9C"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0518ECA4" w14:textId="77777777" w:rsidR="00AE6942" w:rsidRPr="00CF052D" w:rsidRDefault="00AE6942" w:rsidP="00AE6942">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AF63E" w14:textId="77777777" w:rsidR="00AE6942" w:rsidRPr="00CF052D" w:rsidRDefault="00AE6942" w:rsidP="00AE6942">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577DF" w14:textId="0D3FD392" w:rsidR="00AE6942" w:rsidRPr="00CF052D" w:rsidRDefault="00AE6942" w:rsidP="00AE6942">
            <w:pPr>
              <w:jc w:val="center"/>
              <w:rPr>
                <w:rFonts w:cs="Arial"/>
                <w:i/>
                <w:sz w:val="16"/>
                <w:szCs w:val="16"/>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48D90" w14:textId="64A43A04" w:rsidR="00AE6942" w:rsidRPr="00CF052D" w:rsidRDefault="00AE6942" w:rsidP="00AE6942">
            <w:pPr>
              <w:jc w:val="center"/>
              <w:rPr>
                <w:rFonts w:cs="Arial"/>
                <w:i/>
                <w:sz w:val="16"/>
                <w:szCs w:val="16"/>
              </w:rPr>
            </w:pPr>
            <w:r>
              <w:rPr>
                <w:rFonts w:cs="Arial"/>
                <w:i/>
                <w:sz w:val="16"/>
                <w:szCs w:val="16"/>
              </w:rPr>
              <w:t>148</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7A85A" w14:textId="0B528B37" w:rsidR="00AE6942" w:rsidRPr="00CF052D" w:rsidRDefault="00AE6942" w:rsidP="00AE6942">
            <w:pPr>
              <w:jc w:val="center"/>
              <w:rPr>
                <w:rFonts w:cs="Arial"/>
                <w:i/>
                <w:sz w:val="16"/>
                <w:szCs w:val="16"/>
              </w:rPr>
            </w:pPr>
            <w:r>
              <w:rPr>
                <w:rFonts w:cs="Arial"/>
                <w:i/>
                <w:sz w:val="16"/>
                <w:szCs w:val="16"/>
              </w:rPr>
              <w:t>155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252C6" w14:textId="78B375B3" w:rsidR="00AE6942" w:rsidRPr="00CF052D" w:rsidRDefault="00AE6942" w:rsidP="00AE6942">
            <w:pPr>
              <w:jc w:val="center"/>
              <w:rPr>
                <w:rFonts w:cs="Arial"/>
                <w:i/>
                <w:sz w:val="16"/>
                <w:szCs w:val="16"/>
              </w:rPr>
            </w:pPr>
            <w:r>
              <w:rPr>
                <w:rFonts w:cs="Arial"/>
                <w:i/>
                <w:sz w:val="16"/>
                <w:szCs w:val="16"/>
              </w:rPr>
              <w:t>163</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33C0" w14:textId="1BA8D608" w:rsidR="00AE6942" w:rsidRPr="00CF052D" w:rsidRDefault="00AE6942" w:rsidP="00AE6942">
            <w:pPr>
              <w:jc w:val="center"/>
              <w:rPr>
                <w:rFonts w:cs="Arial"/>
                <w:i/>
                <w:sz w:val="16"/>
                <w:szCs w:val="16"/>
              </w:rPr>
            </w:pPr>
          </w:p>
        </w:tc>
      </w:tr>
      <w:tr w:rsidR="00AE6942" w:rsidRPr="00CF052D" w14:paraId="02C35133" w14:textId="77777777" w:rsidTr="00AE6942">
        <w:trPr>
          <w:cantSplit/>
          <w:tblHeader/>
        </w:trPr>
        <w:tc>
          <w:tcPr>
            <w:tcW w:w="402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0431E2B9" w14:textId="77777777" w:rsidR="00AE6942" w:rsidRPr="00CF052D" w:rsidRDefault="00AE6942" w:rsidP="00AE6942">
            <w:pPr>
              <w:jc w:val="center"/>
              <w:rPr>
                <w:rFonts w:cs="Arial"/>
                <w:b/>
                <w:bCs/>
                <w:color w:val="FFFFFF"/>
              </w:rPr>
            </w:pPr>
            <w:bookmarkStart w:id="25" w:name="_Hlk13565519"/>
            <w:bookmarkStart w:id="26" w:name="_Hlk518995368"/>
            <w:bookmarkStart w:id="27" w:name="_Hlk47100506"/>
            <w:r w:rsidRPr="00CF052D">
              <w:rPr>
                <w:rFonts w:cs="Arial"/>
                <w:b/>
                <w:bCs/>
                <w:color w:val="FFFFFF"/>
              </w:rPr>
              <w:t>New Performance Measure</w:t>
            </w:r>
          </w:p>
        </w:tc>
        <w:tc>
          <w:tcPr>
            <w:tcW w:w="1285" w:type="dxa"/>
            <w:tcBorders>
              <w:top w:val="single" w:sz="4" w:space="0" w:color="auto"/>
              <w:left w:val="single" w:sz="4" w:space="0" w:color="auto"/>
              <w:bottom w:val="single" w:sz="4" w:space="0" w:color="auto"/>
              <w:right w:val="single" w:sz="4" w:space="0" w:color="auto"/>
            </w:tcBorders>
            <w:shd w:val="clear" w:color="auto" w:fill="000080"/>
            <w:vAlign w:val="bottom"/>
          </w:tcPr>
          <w:p w14:paraId="08D39154" w14:textId="104931E3" w:rsidR="00AE6942" w:rsidRPr="00CF052D" w:rsidRDefault="00AE6942" w:rsidP="00AE6942">
            <w:pPr>
              <w:jc w:val="center"/>
              <w:rPr>
                <w:rFonts w:cs="Arial"/>
                <w:b/>
                <w:bCs/>
                <w:color w:val="FFFFFF"/>
              </w:rPr>
            </w:pPr>
            <w:r>
              <w:rPr>
                <w:rFonts w:cs="Arial"/>
                <w:b/>
                <w:bCs/>
                <w:color w:val="FFFFFF"/>
              </w:rPr>
              <w:t>FY 2019</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377AE6E2" w14:textId="56A322E6" w:rsidR="00AE6942" w:rsidRPr="00CF052D" w:rsidRDefault="00AE6942" w:rsidP="00AE6942">
            <w:pPr>
              <w:jc w:val="center"/>
              <w:rPr>
                <w:rFonts w:cs="Arial"/>
                <w:b/>
                <w:bCs/>
                <w:color w:val="FFFFFF"/>
              </w:rPr>
            </w:pPr>
            <w:r>
              <w:rPr>
                <w:rFonts w:cs="Arial"/>
                <w:b/>
                <w:bCs/>
                <w:color w:val="FFFFFF"/>
              </w:rPr>
              <w:t>FY 2020</w:t>
            </w:r>
          </w:p>
        </w:tc>
        <w:tc>
          <w:tcPr>
            <w:tcW w:w="1143" w:type="dxa"/>
            <w:tcBorders>
              <w:top w:val="single" w:sz="4" w:space="0" w:color="auto"/>
              <w:left w:val="single" w:sz="4" w:space="0" w:color="auto"/>
              <w:bottom w:val="single" w:sz="4" w:space="0" w:color="auto"/>
              <w:right w:val="single" w:sz="4" w:space="0" w:color="auto"/>
            </w:tcBorders>
            <w:shd w:val="clear" w:color="auto" w:fill="000080"/>
            <w:vAlign w:val="bottom"/>
          </w:tcPr>
          <w:p w14:paraId="00F83BC1" w14:textId="01022ED5" w:rsidR="00AE6942" w:rsidRPr="00CF052D" w:rsidRDefault="00AE6942" w:rsidP="00AE6942">
            <w:pPr>
              <w:jc w:val="center"/>
              <w:rPr>
                <w:rFonts w:cs="Arial"/>
                <w:b/>
                <w:bCs/>
                <w:color w:val="FFFFFF"/>
              </w:rPr>
            </w:pPr>
            <w:r>
              <w:rPr>
                <w:rFonts w:cs="Arial"/>
                <w:b/>
                <w:bCs/>
                <w:color w:val="FFFFFF"/>
              </w:rPr>
              <w:t>FY 2021</w:t>
            </w:r>
          </w:p>
        </w:tc>
        <w:tc>
          <w:tcPr>
            <w:tcW w:w="1197" w:type="dxa"/>
            <w:tcBorders>
              <w:top w:val="single" w:sz="4" w:space="0" w:color="auto"/>
              <w:left w:val="single" w:sz="4" w:space="0" w:color="auto"/>
              <w:bottom w:val="single" w:sz="4" w:space="0" w:color="auto"/>
              <w:right w:val="single" w:sz="4" w:space="0" w:color="auto"/>
            </w:tcBorders>
            <w:shd w:val="clear" w:color="auto" w:fill="000080"/>
            <w:vAlign w:val="bottom"/>
          </w:tcPr>
          <w:p w14:paraId="4E1911CF" w14:textId="2475AC6B" w:rsidR="00AE6942" w:rsidRPr="00CF052D" w:rsidRDefault="00AE6942" w:rsidP="00AE6942">
            <w:pPr>
              <w:jc w:val="center"/>
              <w:rPr>
                <w:rFonts w:cs="Arial"/>
                <w:b/>
                <w:bCs/>
                <w:color w:val="FFFFFF"/>
              </w:rPr>
            </w:pPr>
            <w:r>
              <w:rPr>
                <w:rFonts w:cs="Arial"/>
                <w:b/>
                <w:bCs/>
                <w:color w:val="FFFFFF"/>
              </w:rPr>
              <w:t>FY 2022</w:t>
            </w:r>
          </w:p>
        </w:tc>
        <w:tc>
          <w:tcPr>
            <w:tcW w:w="1265" w:type="dxa"/>
            <w:tcBorders>
              <w:top w:val="single" w:sz="4" w:space="0" w:color="auto"/>
              <w:left w:val="single" w:sz="4" w:space="0" w:color="auto"/>
              <w:bottom w:val="single" w:sz="4" w:space="0" w:color="auto"/>
              <w:right w:val="single" w:sz="4" w:space="0" w:color="auto"/>
            </w:tcBorders>
            <w:shd w:val="clear" w:color="auto" w:fill="000080"/>
            <w:vAlign w:val="bottom"/>
          </w:tcPr>
          <w:p w14:paraId="32CD22F8" w14:textId="16FDA611" w:rsidR="00AE6942" w:rsidRPr="00CF052D" w:rsidRDefault="00AE6942" w:rsidP="00AE6942">
            <w:pPr>
              <w:jc w:val="center"/>
              <w:rPr>
                <w:rFonts w:cs="Arial"/>
                <w:b/>
                <w:bCs/>
                <w:color w:val="FFFFFF"/>
              </w:rPr>
            </w:pPr>
            <w:r>
              <w:rPr>
                <w:rFonts w:cs="Arial"/>
                <w:b/>
                <w:bCs/>
                <w:color w:val="FFFFFF"/>
              </w:rPr>
              <w:t>FY 2023</w:t>
            </w:r>
          </w:p>
        </w:tc>
      </w:tr>
      <w:bookmarkEnd w:id="25"/>
      <w:tr w:rsidR="00AE6942" w:rsidRPr="00CF052D" w14:paraId="74B09DCC" w14:textId="77777777" w:rsidTr="00FA4169">
        <w:trPr>
          <w:cantSplit/>
          <w:trHeight w:val="458"/>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0EC17C" w14:textId="4F11EA0E" w:rsidR="00AE6942" w:rsidRPr="00CF052D" w:rsidRDefault="00AE6942" w:rsidP="00AE6942">
            <w:pPr>
              <w:jc w:val="center"/>
              <w:rPr>
                <w:rFonts w:cs="Arial"/>
                <w:szCs w:val="20"/>
              </w:rPr>
            </w:pPr>
            <w:r>
              <w:br w:type="page"/>
            </w:r>
            <w:r w:rsidRPr="00CF052D">
              <w:rPr>
                <w:rFonts w:cs="Arial"/>
                <w:szCs w:val="20"/>
              </w:rPr>
              <w:t xml:space="preserve">Goal </w:t>
            </w:r>
            <w:r>
              <w:rPr>
                <w:rFonts w:cs="Arial"/>
                <w:szCs w:val="20"/>
              </w:rPr>
              <w:t>7</w:t>
            </w:r>
            <w:r w:rsidRPr="00CF052D">
              <w:rPr>
                <w:rFonts w:cs="Arial"/>
                <w:szCs w:val="20"/>
              </w:rPr>
              <w:t xml:space="preserve"> – Division of Purchasing</w:t>
            </w:r>
          </w:p>
          <w:p w14:paraId="43216F1E" w14:textId="77777777" w:rsidR="00AE6942" w:rsidRPr="00CF052D" w:rsidRDefault="00AE6942" w:rsidP="00AE6942">
            <w:pPr>
              <w:jc w:val="center"/>
              <w:rPr>
                <w:rFonts w:eastAsia="Calibri" w:cs="Arial"/>
                <w:szCs w:val="20"/>
              </w:rPr>
            </w:pPr>
            <w:r w:rsidRPr="004144D8">
              <w:rPr>
                <w:rFonts w:cs="Arial"/>
                <w:b/>
                <w:bCs/>
                <w:szCs w:val="20"/>
              </w:rPr>
              <w:t>Implement an in-state purchasing certification program</w:t>
            </w:r>
            <w:r w:rsidRPr="00CF052D">
              <w:rPr>
                <w:rFonts w:cs="Arial"/>
                <w:szCs w:val="20"/>
              </w:rPr>
              <w:t>.</w:t>
            </w:r>
          </w:p>
        </w:tc>
      </w:tr>
      <w:bookmarkEnd w:id="26"/>
      <w:bookmarkEnd w:id="27"/>
      <w:tr w:rsidR="00FE538F" w:rsidRPr="00CF052D" w14:paraId="464447E4"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36A29B63" w14:textId="748CD0C2" w:rsidR="00FE538F" w:rsidRPr="00F81641" w:rsidRDefault="00FE538F" w:rsidP="00FE538F">
            <w:pPr>
              <w:pStyle w:val="ListParagraph"/>
              <w:numPr>
                <w:ilvl w:val="0"/>
                <w:numId w:val="2"/>
              </w:numPr>
              <w:ind w:left="300" w:hanging="300"/>
              <w:jc w:val="both"/>
              <w:rPr>
                <w:rFonts w:eastAsia="Calibri" w:cs="Arial"/>
                <w:szCs w:val="20"/>
              </w:rPr>
            </w:pPr>
            <w:r w:rsidRPr="00F81641">
              <w:rPr>
                <w:rFonts w:eastAsia="Calibri" w:cs="Arial"/>
                <w:szCs w:val="20"/>
              </w:rPr>
              <w:t>Increase number of in-state certifications for individuals with delegated authority each year beginning in FY20 until benchmark is reached</w:t>
            </w:r>
            <w:r>
              <w:rPr>
                <w:rFonts w:eastAsia="Calibri" w:cs="Arial"/>
                <w:szCs w:val="20"/>
              </w:rPr>
              <w:t xml:space="preserve"> in FY23</w:t>
            </w:r>
            <w:r w:rsidRPr="00F81641">
              <w:rPr>
                <w:rFonts w:eastAsia="Calibri" w:cs="Arial"/>
                <w:szCs w:val="20"/>
              </w:rPr>
              <w:t>.  Baseline and annual measures will be established in FY20.</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FFD9C" w14:textId="77777777" w:rsidR="00FE538F" w:rsidRPr="00CF052D" w:rsidRDefault="00FE538F" w:rsidP="00FE538F">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0F894" w14:textId="0FF49087" w:rsidR="00FE538F" w:rsidRPr="00CF052D" w:rsidRDefault="00FE538F" w:rsidP="00FE538F">
            <w:pPr>
              <w:jc w:val="center"/>
              <w:rPr>
                <w:rFonts w:cs="Arial"/>
              </w:rPr>
            </w:pPr>
            <w:r>
              <w:rPr>
                <w:rFonts w:cs="Arial"/>
              </w:rPr>
              <w: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D145E" w14:textId="34593920" w:rsidR="00FE538F" w:rsidRPr="00CF052D" w:rsidRDefault="00FE538F" w:rsidP="00FE538F">
            <w:pPr>
              <w:jc w:val="center"/>
              <w:rPr>
                <w:rFonts w:cs="Arial"/>
              </w:rPr>
            </w:pPr>
            <w:r w:rsidRPr="00F0121D">
              <w:rPr>
                <w:rFonts w:cs="Arial"/>
                <w:color w:val="FF3399"/>
                <w:sz w:val="22"/>
                <w:szCs w:val="22"/>
              </w:rPr>
              <w:t>*</w:t>
            </w:r>
            <w:r>
              <w:rPr>
                <w:rFonts w:cs="Arial"/>
                <w:color w:val="FF3399"/>
                <w:sz w:val="22"/>
                <w:szCs w:val="22"/>
              </w:rPr>
              <w:t>**</w:t>
            </w:r>
            <w:r w:rsidRPr="00F0121D">
              <w:rPr>
                <w:rFonts w:cs="Arial"/>
                <w:color w:val="FF3399"/>
                <w:sz w:val="22"/>
                <w:szCs w:val="22"/>
              </w:rPr>
              <w:t>*</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32261" w14:textId="5DF14F4C" w:rsidR="00FE538F" w:rsidRPr="00CF052D" w:rsidRDefault="00FE538F" w:rsidP="00FE538F">
            <w:pPr>
              <w:jc w:val="center"/>
              <w:rPr>
                <w:rFonts w:cs="Arial"/>
              </w:rPr>
            </w:pPr>
            <w:r>
              <w:rPr>
                <w:rFonts w:cs="Arial"/>
              </w:rPr>
              <w:t>0</w:t>
            </w:r>
            <w:r w:rsidRPr="009D257A">
              <w:rPr>
                <w:rFonts w:cs="Arial"/>
                <w:color w:val="FF3399"/>
              </w:rPr>
              <w:t>****</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AC0FA" w14:textId="4C477228" w:rsidR="00FE538F" w:rsidRPr="00CF052D" w:rsidRDefault="00FE538F" w:rsidP="00FE538F">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9F337" w14:textId="5A26C9F7" w:rsidR="00FE538F" w:rsidRPr="00CF052D" w:rsidRDefault="00FE538F" w:rsidP="00FE538F">
            <w:pPr>
              <w:jc w:val="center"/>
              <w:rPr>
                <w:rFonts w:cs="Arial"/>
              </w:rPr>
            </w:pPr>
          </w:p>
        </w:tc>
      </w:tr>
      <w:tr w:rsidR="00FE538F" w:rsidRPr="00CF052D" w14:paraId="1502E85D"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4486D789" w14:textId="77777777" w:rsidR="00FE538F" w:rsidRPr="00CF052D" w:rsidRDefault="00FE538F" w:rsidP="00FE538F">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77738" w14:textId="77777777" w:rsidR="00FE538F" w:rsidRPr="00CF052D" w:rsidRDefault="00FE538F" w:rsidP="00FE538F">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547A8" w14:textId="0D7C0C2D" w:rsidR="00FE538F" w:rsidRPr="00CF052D" w:rsidRDefault="00FE538F" w:rsidP="00FE538F">
            <w:pPr>
              <w:jc w:val="center"/>
              <w:rPr>
                <w:rFonts w:cs="Arial"/>
                <w:i/>
                <w:sz w:val="16"/>
                <w:szCs w:val="16"/>
              </w:rPr>
            </w:pPr>
            <w:r>
              <w:rPr>
                <w:rFonts w:cs="Arial"/>
                <w:i/>
                <w:sz w:val="16"/>
                <w:szCs w:val="16"/>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AC73C" w14:textId="6AEBCD99" w:rsidR="00FE538F" w:rsidRPr="00CF052D" w:rsidRDefault="00FE538F" w:rsidP="00FE538F">
            <w:pPr>
              <w:jc w:val="center"/>
              <w:rPr>
                <w:rFonts w:cs="Arial"/>
                <w:i/>
                <w:sz w:val="16"/>
                <w:szCs w:val="16"/>
              </w:rPr>
            </w:pPr>
            <w:r>
              <w:rPr>
                <w:rFonts w:cs="Arial"/>
                <w:i/>
                <w:sz w:val="16"/>
                <w:szCs w:val="16"/>
              </w:rPr>
              <w:t>-----</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FC0C" w14:textId="733B49B6" w:rsidR="00FE538F" w:rsidRPr="00CF052D" w:rsidRDefault="00FE538F" w:rsidP="00FE538F">
            <w:pPr>
              <w:jc w:val="center"/>
              <w:rPr>
                <w:rFonts w:cs="Arial"/>
                <w:i/>
                <w:sz w:val="16"/>
                <w:szCs w:val="16"/>
              </w:rPr>
            </w:pPr>
            <w:r>
              <w:rPr>
                <w:rFonts w:cs="Arial"/>
                <w:i/>
                <w:sz w:val="16"/>
                <w:szCs w:val="16"/>
              </w:rPr>
              <w:t>35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73B7E" w14:textId="4487B0F2" w:rsidR="00FE538F" w:rsidRPr="00CF052D" w:rsidRDefault="00FE538F" w:rsidP="00FE538F">
            <w:pPr>
              <w:jc w:val="center"/>
              <w:rPr>
                <w:rFonts w:cs="Arial"/>
                <w:i/>
                <w:sz w:val="16"/>
                <w:szCs w:val="16"/>
              </w:rPr>
            </w:pPr>
            <w:r>
              <w:rPr>
                <w:rFonts w:cs="Arial"/>
                <w:i/>
                <w:sz w:val="16"/>
                <w:szCs w:val="16"/>
              </w:rPr>
              <w:t>40</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102B" w14:textId="0F769241" w:rsidR="00FE538F" w:rsidRPr="00CF052D" w:rsidRDefault="00FE538F" w:rsidP="00FE538F">
            <w:pPr>
              <w:jc w:val="center"/>
              <w:rPr>
                <w:rFonts w:cs="Arial"/>
                <w:i/>
                <w:sz w:val="16"/>
                <w:szCs w:val="16"/>
              </w:rPr>
            </w:pPr>
          </w:p>
        </w:tc>
      </w:tr>
      <w:tr w:rsidR="00FE538F" w:rsidRPr="00CF052D" w14:paraId="0DA54A9F" w14:textId="77777777" w:rsidTr="00D228C2">
        <w:trPr>
          <w:cantSplit/>
          <w:trHeight w:val="710"/>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98E7BE" w14:textId="5B19EBCA" w:rsidR="00FE538F" w:rsidRPr="00CF052D" w:rsidRDefault="00FE538F" w:rsidP="00FE538F">
            <w:pPr>
              <w:jc w:val="center"/>
              <w:rPr>
                <w:rFonts w:cs="Arial"/>
                <w:szCs w:val="20"/>
              </w:rPr>
            </w:pPr>
            <w:bookmarkStart w:id="28" w:name="_Hlk13565261"/>
            <w:r w:rsidRPr="00CF052D">
              <w:rPr>
                <w:rFonts w:cs="Arial"/>
                <w:szCs w:val="20"/>
              </w:rPr>
              <w:t xml:space="preserve">Goal </w:t>
            </w:r>
            <w:r>
              <w:rPr>
                <w:rFonts w:cs="Arial"/>
                <w:szCs w:val="20"/>
              </w:rPr>
              <w:t>8</w:t>
            </w:r>
            <w:r w:rsidRPr="00CF052D">
              <w:rPr>
                <w:rFonts w:cs="Arial"/>
                <w:szCs w:val="20"/>
              </w:rPr>
              <w:t xml:space="preserve"> – </w:t>
            </w:r>
            <w:r>
              <w:rPr>
                <w:rFonts w:cs="Arial"/>
                <w:szCs w:val="20"/>
              </w:rPr>
              <w:t xml:space="preserve">Division of Insurance and Internal Support; </w:t>
            </w:r>
            <w:r w:rsidRPr="00CF052D">
              <w:rPr>
                <w:rFonts w:cs="Arial"/>
                <w:szCs w:val="20"/>
              </w:rPr>
              <w:t>Office of Group Insurance</w:t>
            </w:r>
            <w:r>
              <w:rPr>
                <w:rFonts w:cs="Arial"/>
                <w:szCs w:val="20"/>
              </w:rPr>
              <w:t xml:space="preserve"> </w:t>
            </w:r>
          </w:p>
          <w:p w14:paraId="23FF2118" w14:textId="77777777" w:rsidR="00FE538F" w:rsidRPr="004144D8" w:rsidRDefault="00FE538F" w:rsidP="00FE538F">
            <w:pPr>
              <w:jc w:val="center"/>
              <w:rPr>
                <w:rFonts w:cs="Arial"/>
                <w:b/>
                <w:bCs/>
                <w:szCs w:val="20"/>
              </w:rPr>
            </w:pPr>
            <w:r w:rsidRPr="004144D8">
              <w:rPr>
                <w:rFonts w:cs="Arial"/>
                <w:b/>
                <w:bCs/>
                <w:szCs w:val="20"/>
              </w:rPr>
              <w:t>Examine the State’s Group Insurance Program administration costs to establish a benchmark and minimize annual variability.</w:t>
            </w:r>
          </w:p>
        </w:tc>
      </w:tr>
      <w:bookmarkEnd w:id="28"/>
      <w:tr w:rsidR="00FE538F" w:rsidRPr="00CF052D" w14:paraId="48070B07"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192C7262" w14:textId="77777777" w:rsidR="00FE538F" w:rsidRPr="00B54CE6" w:rsidRDefault="00FE538F" w:rsidP="00FE538F">
            <w:pPr>
              <w:pStyle w:val="ListParagraph"/>
              <w:numPr>
                <w:ilvl w:val="0"/>
                <w:numId w:val="2"/>
              </w:numPr>
              <w:ind w:left="342"/>
              <w:rPr>
                <w:rFonts w:cs="Arial"/>
                <w:bCs/>
                <w:szCs w:val="20"/>
              </w:rPr>
            </w:pPr>
            <w:r w:rsidRPr="00B54CE6">
              <w:rPr>
                <w:rFonts w:cs="Arial"/>
                <w:bCs/>
                <w:szCs w:val="20"/>
              </w:rPr>
              <w:t>Program operating costs increase by no more than 3% annually.</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CCB0E" w14:textId="77777777" w:rsidR="00FE538F" w:rsidRPr="00CF052D" w:rsidRDefault="00FE538F" w:rsidP="00FE538F">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6AD6E" w14:textId="30124F3B" w:rsidR="00FE538F" w:rsidRPr="00CF052D" w:rsidRDefault="00FE538F" w:rsidP="00FE538F">
            <w:pPr>
              <w:jc w:val="center"/>
              <w:rPr>
                <w:rFonts w:cs="Arial"/>
              </w:rPr>
            </w:pPr>
            <w:r>
              <w:rPr>
                <w:rFonts w:cs="Arial"/>
              </w:rPr>
              <w:t>$3.50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82A88" w14:textId="497655D0" w:rsidR="00FE538F" w:rsidRPr="00CF052D" w:rsidRDefault="00FE538F" w:rsidP="00FE538F">
            <w:pPr>
              <w:jc w:val="center"/>
              <w:rPr>
                <w:rFonts w:cs="Arial"/>
              </w:rPr>
            </w:pPr>
            <w:r>
              <w:rPr>
                <w:rFonts w:cs="Arial"/>
              </w:rPr>
              <w:t>$3.58</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46784" w14:textId="5BC6DC0F" w:rsidR="00FE538F" w:rsidRPr="00CF052D" w:rsidRDefault="00FE538F" w:rsidP="00FE538F">
            <w:pPr>
              <w:jc w:val="center"/>
              <w:rPr>
                <w:rFonts w:cs="Arial"/>
              </w:rPr>
            </w:pPr>
            <w:r>
              <w:rPr>
                <w:rFonts w:cs="Arial"/>
              </w:rPr>
              <w:t xml:space="preserve">$5.30 </w:t>
            </w:r>
            <w:r w:rsidRPr="000F2317">
              <w:rPr>
                <w:rFonts w:cs="Arial"/>
                <w:color w:val="FF33CC"/>
              </w:rPr>
              <w:t>******</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41110" w14:textId="00514F02" w:rsidR="00FE538F" w:rsidRPr="00CF052D" w:rsidRDefault="00FE538F" w:rsidP="00FE538F">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F720C" w14:textId="3CBC81E7" w:rsidR="00FE538F" w:rsidRPr="00CF052D" w:rsidRDefault="00FE538F" w:rsidP="00FE538F">
            <w:pPr>
              <w:jc w:val="center"/>
              <w:rPr>
                <w:rFonts w:cs="Arial"/>
              </w:rPr>
            </w:pPr>
          </w:p>
        </w:tc>
      </w:tr>
      <w:tr w:rsidR="00FE538F" w:rsidRPr="00CF052D" w14:paraId="7478E3D1"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513EEF1F" w14:textId="77777777" w:rsidR="00FE538F" w:rsidRPr="00CF052D" w:rsidRDefault="00FE538F" w:rsidP="00FE538F">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86175" w14:textId="77777777" w:rsidR="00FE538F" w:rsidRPr="00CF052D" w:rsidRDefault="00FE538F" w:rsidP="00FE538F">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FC69C" w14:textId="76F520EF" w:rsidR="00FE538F" w:rsidRPr="00CF052D" w:rsidRDefault="00FE538F" w:rsidP="00FE538F">
            <w:pPr>
              <w:jc w:val="center"/>
              <w:rPr>
                <w:rFonts w:cs="Arial"/>
                <w:i/>
                <w:sz w:val="16"/>
                <w:szCs w:val="16"/>
              </w:rPr>
            </w:pPr>
            <w:r>
              <w:rPr>
                <w:rFonts w:cs="Arial"/>
                <w:i/>
                <w:sz w:val="16"/>
                <w:szCs w:val="16"/>
              </w:rPr>
              <w:t>&lt;=$3.61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300F2" w14:textId="34FD69D6" w:rsidR="00FE538F" w:rsidRPr="00CF052D" w:rsidRDefault="00FE538F" w:rsidP="00FE538F">
            <w:pPr>
              <w:jc w:val="center"/>
              <w:rPr>
                <w:rFonts w:cs="Arial"/>
                <w:i/>
                <w:sz w:val="16"/>
                <w:szCs w:val="16"/>
              </w:rPr>
            </w:pPr>
            <w:r>
              <w:rPr>
                <w:rFonts w:cs="Arial"/>
                <w:i/>
                <w:sz w:val="16"/>
                <w:szCs w:val="16"/>
              </w:rPr>
              <w:t>&lt;=3.61</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83F8C" w14:textId="78D1F7B4" w:rsidR="00FE538F" w:rsidRPr="00CF052D" w:rsidRDefault="00FE538F" w:rsidP="00FE538F">
            <w:pPr>
              <w:jc w:val="center"/>
              <w:rPr>
                <w:rFonts w:cs="Arial"/>
                <w:i/>
                <w:sz w:val="16"/>
                <w:szCs w:val="16"/>
              </w:rPr>
            </w:pPr>
            <w:r>
              <w:rPr>
                <w:rFonts w:cs="Arial"/>
                <w:i/>
                <w:sz w:val="16"/>
                <w:szCs w:val="16"/>
              </w:rPr>
              <w:t>&lt;=3.69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AAC76" w14:textId="2A18A0BD" w:rsidR="00FE538F" w:rsidRPr="00CF052D" w:rsidRDefault="00FE538F" w:rsidP="00FE538F">
            <w:pPr>
              <w:jc w:val="center"/>
              <w:rPr>
                <w:rFonts w:cs="Arial"/>
                <w:i/>
                <w:sz w:val="16"/>
                <w:szCs w:val="16"/>
              </w:rPr>
            </w:pPr>
            <w:r w:rsidRPr="004259F9">
              <w:rPr>
                <w:rFonts w:cs="Arial"/>
                <w:i/>
                <w:sz w:val="16"/>
                <w:szCs w:val="16"/>
              </w:rPr>
              <w:t>&lt;=3.71</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6F318" w14:textId="149FD975" w:rsidR="00FE538F" w:rsidRPr="00CF052D" w:rsidRDefault="00FE538F" w:rsidP="00FE538F">
            <w:pPr>
              <w:jc w:val="center"/>
              <w:rPr>
                <w:rFonts w:cs="Arial"/>
                <w:i/>
                <w:sz w:val="16"/>
                <w:szCs w:val="16"/>
              </w:rPr>
            </w:pPr>
          </w:p>
        </w:tc>
      </w:tr>
      <w:tr w:rsidR="00FE538F" w:rsidRPr="00CF052D" w14:paraId="44C78F84" w14:textId="77777777" w:rsidTr="00FA4169">
        <w:trPr>
          <w:cantSplit/>
          <w:trHeight w:val="728"/>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C8ABC1" w14:textId="6E4F4092" w:rsidR="00FE538F" w:rsidRPr="00CF052D" w:rsidRDefault="00FE538F" w:rsidP="00FE538F">
            <w:pPr>
              <w:jc w:val="center"/>
              <w:rPr>
                <w:rFonts w:cs="Arial"/>
                <w:szCs w:val="20"/>
              </w:rPr>
            </w:pPr>
            <w:bookmarkStart w:id="29" w:name="_Hlk46324935"/>
            <w:r w:rsidRPr="00CF052D">
              <w:rPr>
                <w:rFonts w:cs="Arial"/>
                <w:szCs w:val="20"/>
              </w:rPr>
              <w:lastRenderedPageBreak/>
              <w:t xml:space="preserve">Goal </w:t>
            </w:r>
            <w:r>
              <w:rPr>
                <w:rFonts w:cs="Arial"/>
                <w:szCs w:val="20"/>
              </w:rPr>
              <w:t>9</w:t>
            </w:r>
            <w:r w:rsidRPr="00CF052D">
              <w:rPr>
                <w:rFonts w:cs="Arial"/>
                <w:szCs w:val="20"/>
              </w:rPr>
              <w:t xml:space="preserve"> – </w:t>
            </w:r>
            <w:r>
              <w:rPr>
                <w:rFonts w:cs="Arial"/>
                <w:szCs w:val="20"/>
              </w:rPr>
              <w:t xml:space="preserve">Division of Insurance and Internal Support; </w:t>
            </w:r>
            <w:r w:rsidRPr="00CF052D">
              <w:rPr>
                <w:rFonts w:cs="Arial"/>
                <w:szCs w:val="20"/>
              </w:rPr>
              <w:t>Second Injury Fund</w:t>
            </w:r>
          </w:p>
          <w:p w14:paraId="1971FB6F" w14:textId="77777777" w:rsidR="00FE538F" w:rsidRPr="004144D8" w:rsidRDefault="00FE538F" w:rsidP="00FE538F">
            <w:pPr>
              <w:jc w:val="center"/>
              <w:rPr>
                <w:rFonts w:cs="Arial"/>
                <w:b/>
                <w:bCs/>
                <w:szCs w:val="20"/>
              </w:rPr>
            </w:pPr>
            <w:r w:rsidRPr="004144D8">
              <w:rPr>
                <w:rFonts w:cs="Arial"/>
                <w:b/>
                <w:bCs/>
                <w:szCs w:val="20"/>
              </w:rPr>
              <w:t>Enhance awareness of role, function, and processes of the Industrial Special Indemnity Fund (ISIF) for workers compensation practitioners and specialists.</w:t>
            </w:r>
          </w:p>
        </w:tc>
      </w:tr>
      <w:tr w:rsidR="00FE538F" w:rsidRPr="00CF052D" w14:paraId="169AA8BD" w14:textId="77777777" w:rsidTr="00AE6942">
        <w:trPr>
          <w:cantSplit/>
          <w:trHeight w:val="288"/>
        </w:trPr>
        <w:tc>
          <w:tcPr>
            <w:tcW w:w="3296" w:type="dxa"/>
            <w:vMerge w:val="restart"/>
            <w:tcBorders>
              <w:top w:val="single" w:sz="4" w:space="0" w:color="auto"/>
              <w:left w:val="single" w:sz="4" w:space="0" w:color="auto"/>
              <w:bottom w:val="single" w:sz="4" w:space="0" w:color="auto"/>
              <w:right w:val="single" w:sz="4" w:space="0" w:color="auto"/>
            </w:tcBorders>
            <w:hideMark/>
          </w:tcPr>
          <w:p w14:paraId="6CD0734E" w14:textId="7AAC4256" w:rsidR="00FE538F" w:rsidRPr="008031E7" w:rsidRDefault="00FE538F" w:rsidP="00FE538F">
            <w:pPr>
              <w:pStyle w:val="ListParagraph"/>
              <w:numPr>
                <w:ilvl w:val="0"/>
                <w:numId w:val="2"/>
              </w:numPr>
              <w:ind w:left="342"/>
              <w:rPr>
                <w:rFonts w:cs="Arial"/>
                <w:bCs/>
                <w:szCs w:val="20"/>
              </w:rPr>
            </w:pPr>
            <w:r w:rsidRPr="008031E7">
              <w:rPr>
                <w:rFonts w:cs="Arial"/>
                <w:szCs w:val="20"/>
              </w:rPr>
              <w:t>On an annual basis, attend at least 3 workers’ compensation industry meetings or seminars, where there are opportunities to share information.  Provide formal presentations as requested.</w:t>
            </w:r>
          </w:p>
          <w:p w14:paraId="36D98BA7" w14:textId="0ED3C244" w:rsidR="00FE538F" w:rsidRPr="00B54CE6" w:rsidRDefault="00FE538F" w:rsidP="00FE538F">
            <w:pPr>
              <w:pStyle w:val="ListParagraph"/>
              <w:ind w:left="342"/>
              <w:rPr>
                <w:rFonts w:cs="Arial"/>
                <w:bCs/>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F5132" w14:textId="77777777" w:rsidR="00FE538F" w:rsidRPr="00CF052D" w:rsidRDefault="00FE538F" w:rsidP="00FE538F">
            <w:pPr>
              <w:jc w:val="center"/>
              <w:rPr>
                <w:rFonts w:cs="Arial"/>
              </w:rPr>
            </w:pPr>
            <w:r w:rsidRPr="00CF052D">
              <w:rPr>
                <w:rFonts w:cs="Arial"/>
              </w:rPr>
              <w:t>actual</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AC899" w14:textId="283DE08B" w:rsidR="00FE538F" w:rsidRPr="00CF052D" w:rsidRDefault="00FE538F" w:rsidP="00FE538F">
            <w:pPr>
              <w:jc w:val="center"/>
              <w:rPr>
                <w:rFonts w:cs="Arial"/>
              </w:rPr>
            </w:pPr>
            <w:r>
              <w:rPr>
                <w:rFonts w:cs="Arial"/>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E82D3" w14:textId="68DC0B90" w:rsidR="00FE538F" w:rsidRPr="00CF052D" w:rsidRDefault="00FE538F" w:rsidP="00FE538F">
            <w:pPr>
              <w:jc w:val="center"/>
              <w:rPr>
                <w:rFonts w:cs="Arial"/>
              </w:rPr>
            </w:pPr>
            <w:r>
              <w:rPr>
                <w:rFonts w:cs="Arial"/>
              </w:rPr>
              <w:t>3</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DD28F" w14:textId="5CB46FB3" w:rsidR="00FE538F" w:rsidRPr="00CF052D" w:rsidRDefault="00FE538F" w:rsidP="00FE538F">
            <w:pPr>
              <w:jc w:val="center"/>
              <w:rPr>
                <w:rFonts w:cs="Arial"/>
              </w:rPr>
            </w:pPr>
            <w:r>
              <w:rPr>
                <w:rFonts w:cs="Arial"/>
              </w:rPr>
              <w:t>3</w:t>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3A62C" w14:textId="3F5985AF" w:rsidR="00FE538F" w:rsidRPr="00CF052D" w:rsidRDefault="00FE538F" w:rsidP="00FE538F">
            <w:pPr>
              <w:jc w:val="center"/>
              <w:rPr>
                <w:rFonts w:cs="Arial"/>
              </w:rPr>
            </w:pP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AA0E2" w14:textId="69738F2F" w:rsidR="00FE538F" w:rsidRPr="00CF052D" w:rsidRDefault="00FE538F" w:rsidP="00FE538F">
            <w:pPr>
              <w:jc w:val="center"/>
              <w:rPr>
                <w:rFonts w:cs="Arial"/>
              </w:rPr>
            </w:pPr>
          </w:p>
        </w:tc>
      </w:tr>
      <w:tr w:rsidR="00FE538F" w:rsidRPr="00CF052D" w14:paraId="18CB665D" w14:textId="77777777" w:rsidTr="00AE6942">
        <w:trPr>
          <w:cantSplit/>
          <w:trHeight w:val="288"/>
        </w:trPr>
        <w:tc>
          <w:tcPr>
            <w:tcW w:w="3296" w:type="dxa"/>
            <w:vMerge/>
            <w:tcBorders>
              <w:top w:val="single" w:sz="4" w:space="0" w:color="auto"/>
              <w:left w:val="single" w:sz="4" w:space="0" w:color="auto"/>
              <w:bottom w:val="single" w:sz="4" w:space="0" w:color="auto"/>
              <w:right w:val="single" w:sz="4" w:space="0" w:color="auto"/>
            </w:tcBorders>
            <w:vAlign w:val="center"/>
            <w:hideMark/>
          </w:tcPr>
          <w:p w14:paraId="46481BB3" w14:textId="77777777" w:rsidR="00FE538F" w:rsidRPr="00CF052D" w:rsidRDefault="00FE538F" w:rsidP="00FE538F">
            <w:pPr>
              <w:rPr>
                <w:rFonts w:cs="Arial"/>
                <w:bCs/>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B6EFA" w14:textId="77777777" w:rsidR="00FE538F" w:rsidRPr="00CF052D" w:rsidRDefault="00FE538F" w:rsidP="00FE538F">
            <w:pPr>
              <w:jc w:val="center"/>
              <w:rPr>
                <w:rFonts w:cs="Arial"/>
                <w:i/>
                <w:sz w:val="16"/>
                <w:szCs w:val="16"/>
              </w:rPr>
            </w:pPr>
            <w:r w:rsidRPr="00CF052D">
              <w:rPr>
                <w:rFonts w:cs="Arial"/>
                <w:i/>
                <w:sz w:val="16"/>
                <w:szCs w:val="16"/>
              </w:rPr>
              <w:t>target</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D5B90" w14:textId="112DFE72" w:rsidR="00FE538F" w:rsidRPr="00CF052D" w:rsidRDefault="00FE538F" w:rsidP="00FE538F">
            <w:pPr>
              <w:jc w:val="center"/>
              <w:rPr>
                <w:rFonts w:cs="Arial"/>
                <w:i/>
                <w:sz w:val="16"/>
                <w:szCs w:val="16"/>
              </w:rPr>
            </w:pPr>
            <w:r>
              <w:rPr>
                <w:rFonts w:cs="Arial"/>
                <w:i/>
                <w:sz w:val="16"/>
                <w:szCs w:val="16"/>
              </w:rPr>
              <w:t>&gt;=2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E8EFD" w14:textId="2C871BC7" w:rsidR="00FE538F" w:rsidRPr="00CF052D" w:rsidRDefault="00FE538F" w:rsidP="00FE538F">
            <w:pPr>
              <w:jc w:val="center"/>
              <w:rPr>
                <w:rFonts w:cs="Arial"/>
                <w:i/>
                <w:sz w:val="16"/>
                <w:szCs w:val="16"/>
              </w:rPr>
            </w:pPr>
            <w:r>
              <w:rPr>
                <w:rFonts w:cs="Arial"/>
                <w:i/>
                <w:sz w:val="16"/>
                <w:szCs w:val="16"/>
              </w:rPr>
              <w:t>&gt;=2</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0340F" w14:textId="56417C41" w:rsidR="00FE538F" w:rsidRPr="00CF052D" w:rsidRDefault="00FE538F" w:rsidP="00FE538F">
            <w:pPr>
              <w:jc w:val="center"/>
              <w:rPr>
                <w:rFonts w:cs="Arial"/>
                <w:i/>
                <w:sz w:val="16"/>
                <w:szCs w:val="16"/>
              </w:rPr>
            </w:pPr>
            <w:r w:rsidRPr="00635B3D">
              <w:rPr>
                <w:rFonts w:cs="Arial"/>
                <w:i/>
                <w:sz w:val="16"/>
                <w:szCs w:val="16"/>
              </w:rPr>
              <w:t>&gt;=2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A0D7A" w14:textId="2948B716" w:rsidR="00FE538F" w:rsidRPr="00CF052D" w:rsidRDefault="00FE538F" w:rsidP="00FE538F">
            <w:pPr>
              <w:jc w:val="center"/>
              <w:rPr>
                <w:rFonts w:cs="Arial"/>
                <w:i/>
                <w:sz w:val="16"/>
                <w:szCs w:val="16"/>
              </w:rPr>
            </w:pPr>
            <w:r w:rsidRPr="008031E7">
              <w:rPr>
                <w:rFonts w:cs="Arial"/>
                <w:i/>
                <w:sz w:val="16"/>
                <w:szCs w:val="16"/>
              </w:rPr>
              <w:t>&gt;=3</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3B59F" w14:textId="3F3A7E91" w:rsidR="00FE538F" w:rsidRPr="005D16B5" w:rsidRDefault="00FE538F" w:rsidP="00FE538F">
            <w:pPr>
              <w:jc w:val="center"/>
              <w:rPr>
                <w:rFonts w:cs="Arial"/>
                <w:i/>
                <w:color w:val="FF0000"/>
                <w:sz w:val="16"/>
                <w:szCs w:val="16"/>
              </w:rPr>
            </w:pPr>
          </w:p>
        </w:tc>
      </w:tr>
    </w:tbl>
    <w:p w14:paraId="4E22A9D8" w14:textId="77777777" w:rsidR="00732A14" w:rsidRDefault="00732A14" w:rsidP="00FF3DF1">
      <w:pPr>
        <w:rPr>
          <w:rFonts w:cs="Arial"/>
          <w:b/>
          <w:bCs/>
        </w:rPr>
      </w:pPr>
      <w:bookmarkStart w:id="30" w:name="OLE_LINK3"/>
      <w:bookmarkStart w:id="31" w:name="OLE_LINK4"/>
      <w:bookmarkEnd w:id="29"/>
    </w:p>
    <w:p w14:paraId="7CA8F32D" w14:textId="77777777" w:rsidR="00BC4F30" w:rsidRDefault="00FF3DF1" w:rsidP="00BC4F30">
      <w:pPr>
        <w:rPr>
          <w:rFonts w:cs="Arial"/>
          <w:i/>
          <w:sz w:val="24"/>
        </w:rPr>
      </w:pPr>
      <w:bookmarkStart w:id="32" w:name="_Hlk13564700"/>
      <w:r w:rsidRPr="00FE1FBC">
        <w:rPr>
          <w:rFonts w:cs="Arial"/>
          <w:b/>
          <w:bCs/>
          <w:sz w:val="24"/>
        </w:rPr>
        <w:t>Performance Measure Explanatory Notes</w:t>
      </w:r>
      <w:bookmarkEnd w:id="30"/>
      <w:bookmarkEnd w:id="31"/>
      <w:bookmarkEnd w:id="32"/>
    </w:p>
    <w:p w14:paraId="6F5F300B" w14:textId="354BB845" w:rsidR="00B257E3" w:rsidRPr="00CF20D3" w:rsidRDefault="00B257E3" w:rsidP="00B257E3">
      <w:pPr>
        <w:ind w:left="1080"/>
        <w:contextualSpacing/>
        <w:jc w:val="both"/>
        <w:rPr>
          <w:rFonts w:ascii="Calibri" w:eastAsia="Calibri" w:hAnsi="Calibri" w:cs="Calibri"/>
          <w:szCs w:val="20"/>
        </w:rPr>
      </w:pPr>
      <w:r w:rsidRPr="00B257E3">
        <w:rPr>
          <w:rFonts w:ascii="Calibri" w:eastAsia="Calibri" w:hAnsi="Calibri" w:cs="Calibri"/>
          <w:color w:val="FF33CC"/>
          <w:szCs w:val="20"/>
        </w:rPr>
        <w:t>*</w:t>
      </w:r>
      <w:r w:rsidRPr="00CF20D3">
        <w:rPr>
          <w:rFonts w:ascii="Calibri" w:eastAsia="Calibri" w:hAnsi="Calibri" w:cs="Calibri"/>
          <w:szCs w:val="20"/>
        </w:rPr>
        <w:t>I</w:t>
      </w:r>
      <w:r w:rsidR="00096639">
        <w:rPr>
          <w:rFonts w:ascii="Calibri" w:eastAsia="Calibri" w:hAnsi="Calibri" w:cs="Calibri"/>
          <w:szCs w:val="20"/>
        </w:rPr>
        <w:t>n</w:t>
      </w:r>
      <w:r w:rsidRPr="00CF20D3">
        <w:rPr>
          <w:rFonts w:ascii="Calibri" w:eastAsia="Calibri" w:hAnsi="Calibri" w:cs="Calibri"/>
          <w:szCs w:val="20"/>
        </w:rPr>
        <w:t xml:space="preserve"> FY 19 there were no large property losses paid.  In FY 20 there was 1 large water loss reported in the amount of $589,000.  If we remove the large loss to smooth the result, FY 20 ending would be $539,356. </w:t>
      </w:r>
    </w:p>
    <w:p w14:paraId="31C2FF1F" w14:textId="16AEEB46" w:rsidR="00B257E3" w:rsidRPr="00CF20D3" w:rsidRDefault="00B257E3" w:rsidP="00B257E3">
      <w:pPr>
        <w:ind w:left="1080"/>
        <w:contextualSpacing/>
        <w:jc w:val="both"/>
        <w:rPr>
          <w:rFonts w:ascii="Calibri" w:eastAsia="Calibri" w:hAnsi="Calibri" w:cs="Calibri"/>
          <w:szCs w:val="20"/>
        </w:rPr>
      </w:pPr>
      <w:r w:rsidRPr="00B257E3">
        <w:rPr>
          <w:rFonts w:ascii="Calibri" w:eastAsia="Calibri" w:hAnsi="Calibri" w:cs="Calibri"/>
          <w:color w:val="FF33CC"/>
          <w:szCs w:val="20"/>
        </w:rPr>
        <w:t>**</w:t>
      </w:r>
      <w:r w:rsidRPr="00CF20D3">
        <w:rPr>
          <w:rFonts w:ascii="Calibri" w:eastAsia="Calibri" w:hAnsi="Calibri" w:cs="Calibri"/>
          <w:szCs w:val="20"/>
        </w:rPr>
        <w:t>The actual amount for FY21 is not available at the time this report is due (8/</w:t>
      </w:r>
      <w:r w:rsidR="00096639">
        <w:rPr>
          <w:rFonts w:ascii="Calibri" w:eastAsia="Calibri" w:hAnsi="Calibri" w:cs="Calibri"/>
          <w:szCs w:val="20"/>
        </w:rPr>
        <w:t>27</w:t>
      </w:r>
      <w:r w:rsidRPr="00CF20D3">
        <w:rPr>
          <w:rFonts w:ascii="Calibri" w:eastAsia="Calibri" w:hAnsi="Calibri" w:cs="Calibri"/>
          <w:szCs w:val="20"/>
        </w:rPr>
        <w:t>/2</w:t>
      </w:r>
      <w:r w:rsidR="00096639">
        <w:rPr>
          <w:rFonts w:ascii="Calibri" w:eastAsia="Calibri" w:hAnsi="Calibri" w:cs="Calibri"/>
          <w:szCs w:val="20"/>
        </w:rPr>
        <w:t>1</w:t>
      </w:r>
      <w:r w:rsidRPr="00CF20D3">
        <w:rPr>
          <w:rFonts w:ascii="Calibri" w:eastAsia="Calibri" w:hAnsi="Calibri" w:cs="Calibri"/>
          <w:szCs w:val="20"/>
        </w:rPr>
        <w:t xml:space="preserve">). There are still </w:t>
      </w:r>
      <w:r w:rsidR="00096639">
        <w:rPr>
          <w:rFonts w:ascii="Calibri" w:eastAsia="Calibri" w:hAnsi="Calibri" w:cs="Calibri"/>
          <w:szCs w:val="20"/>
        </w:rPr>
        <w:t>o</w:t>
      </w:r>
      <w:r w:rsidRPr="00CF20D3">
        <w:rPr>
          <w:rFonts w:ascii="Calibri" w:eastAsia="Calibri" w:hAnsi="Calibri" w:cs="Calibri"/>
          <w:szCs w:val="20"/>
        </w:rPr>
        <w:t>pen claims i</w:t>
      </w:r>
      <w:r w:rsidR="002D09C4">
        <w:rPr>
          <w:rFonts w:ascii="Calibri" w:eastAsia="Calibri" w:hAnsi="Calibri" w:cs="Calibri"/>
          <w:szCs w:val="20"/>
        </w:rPr>
        <w:t>n</w:t>
      </w:r>
      <w:r w:rsidRPr="00CF20D3">
        <w:rPr>
          <w:rFonts w:ascii="Calibri" w:eastAsia="Calibri" w:hAnsi="Calibri" w:cs="Calibri"/>
          <w:szCs w:val="20"/>
        </w:rPr>
        <w:t xml:space="preserve"> process. It takes about 6 months after the end of the fiscal year to realize a fully mature claim payout on property. The FY21 total measure will be reported next year.  </w:t>
      </w:r>
    </w:p>
    <w:p w14:paraId="20C21C1C" w14:textId="77777777" w:rsidR="00B257E3" w:rsidRPr="00CF20D3" w:rsidRDefault="00B257E3" w:rsidP="00B257E3">
      <w:pPr>
        <w:ind w:left="1080"/>
        <w:contextualSpacing/>
        <w:jc w:val="both"/>
        <w:rPr>
          <w:rFonts w:ascii="Calibri" w:eastAsia="Calibri" w:hAnsi="Calibri" w:cs="Calibri"/>
          <w:szCs w:val="20"/>
        </w:rPr>
      </w:pPr>
      <w:r w:rsidRPr="00B257E3">
        <w:rPr>
          <w:rFonts w:ascii="Calibri" w:eastAsia="Calibri" w:hAnsi="Calibri" w:cs="Calibri"/>
          <w:color w:val="FF33CC"/>
          <w:szCs w:val="20"/>
        </w:rPr>
        <w:t>***</w:t>
      </w:r>
      <w:r w:rsidRPr="00CF20D3">
        <w:rPr>
          <w:rFonts w:ascii="Calibri" w:eastAsia="Calibri" w:hAnsi="Calibri" w:cs="Calibri"/>
          <w:szCs w:val="20"/>
        </w:rPr>
        <w:t>Not being able to meet the goal for delivery times was due to 2 agencies moving from downtown to other areas in town, requiring additional driving. (Art Commission and SILC).</w:t>
      </w:r>
    </w:p>
    <w:p w14:paraId="51BD1B76" w14:textId="77777777" w:rsidR="00B257E3" w:rsidRDefault="00B257E3" w:rsidP="00B257E3">
      <w:pPr>
        <w:ind w:left="1080"/>
        <w:contextualSpacing/>
        <w:jc w:val="both"/>
        <w:rPr>
          <w:rFonts w:ascii="Calibri" w:eastAsia="Calibri" w:hAnsi="Calibri" w:cs="Calibri"/>
          <w:szCs w:val="20"/>
        </w:rPr>
      </w:pPr>
      <w:r w:rsidRPr="00B257E3">
        <w:rPr>
          <w:rFonts w:ascii="Calibri" w:eastAsia="Calibri" w:hAnsi="Calibri" w:cs="Calibri"/>
          <w:color w:val="FF33CC"/>
          <w:szCs w:val="20"/>
        </w:rPr>
        <w:t>****</w:t>
      </w:r>
      <w:r w:rsidRPr="00CF20D3">
        <w:rPr>
          <w:rFonts w:ascii="Calibri" w:eastAsia="Calibri" w:hAnsi="Calibri" w:cs="Calibri"/>
          <w:szCs w:val="20"/>
        </w:rPr>
        <w:t>Processing of Copy Center jobs was missed with the document management system still not being installed.  Next year should be on target.</w:t>
      </w:r>
    </w:p>
    <w:p w14:paraId="5ED36E09" w14:textId="5AB671D1" w:rsidR="00B257E3" w:rsidRDefault="00B257E3" w:rsidP="00B257E3">
      <w:pPr>
        <w:ind w:left="1080"/>
        <w:contextualSpacing/>
        <w:jc w:val="both"/>
        <w:rPr>
          <w:rFonts w:ascii="Calibri" w:eastAsia="Calibri" w:hAnsi="Calibri" w:cs="Calibri"/>
          <w:szCs w:val="20"/>
        </w:rPr>
      </w:pPr>
      <w:r w:rsidRPr="00B257E3">
        <w:rPr>
          <w:rFonts w:ascii="Calibri" w:eastAsia="Calibri" w:hAnsi="Calibri" w:cs="Calibri"/>
          <w:color w:val="FF33CC"/>
          <w:szCs w:val="20"/>
        </w:rPr>
        <w:t>*****</w:t>
      </w:r>
      <w:r>
        <w:rPr>
          <w:rFonts w:ascii="Calibri" w:eastAsia="Calibri" w:hAnsi="Calibri" w:cs="Calibri"/>
          <w:szCs w:val="20"/>
        </w:rPr>
        <w:t xml:space="preserve"> Certification of state employees through DOP’s training program was delayed while DOP worked to convert live trainings into virtual trainings in response to the pandemic.  The recorded live classes have been well received and DOP is continuing to move in the direction of on-demand online training to make trainings more accessible to state employees.  DOP anticipates starting to certify employees in late 2021.  </w:t>
      </w:r>
    </w:p>
    <w:p w14:paraId="1DC3E551" w14:textId="77777777" w:rsidR="000F2317" w:rsidRPr="000F2317" w:rsidRDefault="000F2317" w:rsidP="000F2317">
      <w:pPr>
        <w:ind w:left="1080"/>
        <w:contextualSpacing/>
        <w:jc w:val="both"/>
        <w:rPr>
          <w:rFonts w:ascii="Calibri" w:eastAsia="Calibri" w:hAnsi="Calibri" w:cs="Calibri"/>
          <w:szCs w:val="20"/>
        </w:rPr>
      </w:pPr>
      <w:r w:rsidRPr="000F2317">
        <w:rPr>
          <w:rFonts w:ascii="Calibri" w:eastAsia="Calibri" w:hAnsi="Calibri" w:cs="Calibri"/>
          <w:color w:val="FF33CC"/>
          <w:szCs w:val="20"/>
        </w:rPr>
        <w:t>******</w:t>
      </w:r>
      <w:r>
        <w:rPr>
          <w:rFonts w:ascii="Calibri" w:eastAsia="Calibri" w:hAnsi="Calibri" w:cs="Calibri"/>
          <w:color w:val="FF33CC"/>
          <w:szCs w:val="20"/>
        </w:rPr>
        <w:t xml:space="preserve"> </w:t>
      </w:r>
      <w:r w:rsidRPr="000F2317">
        <w:rPr>
          <w:rFonts w:ascii="Calibri" w:eastAsia="Calibri" w:hAnsi="Calibri" w:cs="Calibri"/>
          <w:szCs w:val="20"/>
        </w:rPr>
        <w:t xml:space="preserve">Our Admin fee for FY21 was $5.30, but we need to break it down: Base Admin Fee $3.60, additional appropriation received $1.54 for Self-Insurance Study and $0.23 for the office remodel. </w:t>
      </w:r>
    </w:p>
    <w:p w14:paraId="4CEC8584" w14:textId="77777777" w:rsidR="00BC65D1" w:rsidRPr="004216C2" w:rsidRDefault="00BC65D1" w:rsidP="007F6F79">
      <w:pPr>
        <w:tabs>
          <w:tab w:val="left" w:pos="540"/>
        </w:tabs>
        <w:ind w:left="540" w:hanging="540"/>
        <w:jc w:val="both"/>
        <w:rPr>
          <w:rFonts w:cs="Arial"/>
          <w:bCs/>
          <w:szCs w:val="20"/>
        </w:rPr>
      </w:pPr>
      <w:r w:rsidRPr="004216C2">
        <w:rPr>
          <w:rFonts w:cs="Arial"/>
          <w:bCs/>
          <w:szCs w:val="20"/>
        </w:rPr>
        <w:t xml:space="preserve"> </w:t>
      </w: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369"/>
      </w:tblGrid>
      <w:tr w:rsidR="00CC1626" w:rsidRPr="002B33EB" w14:paraId="7549FF1A" w14:textId="77777777" w:rsidTr="006B1825">
        <w:trPr>
          <w:trHeight w:val="2146"/>
          <w:jc w:val="center"/>
        </w:trPr>
        <w:tc>
          <w:tcPr>
            <w:tcW w:w="7369" w:type="dxa"/>
            <w:tcBorders>
              <w:top w:val="threeDEmboss" w:sz="24" w:space="0" w:color="333399"/>
              <w:left w:val="threeDEmboss" w:sz="24" w:space="0" w:color="333399"/>
              <w:bottom w:val="threeDEmboss" w:sz="24" w:space="0" w:color="333399"/>
              <w:right w:val="threeDEmboss" w:sz="24" w:space="0" w:color="333399"/>
            </w:tcBorders>
          </w:tcPr>
          <w:p w14:paraId="0B6F9754" w14:textId="30C2D753" w:rsidR="00CC1626" w:rsidRDefault="00F0121D" w:rsidP="00FE1FBC">
            <w:pPr>
              <w:spacing w:before="120"/>
              <w:jc w:val="center"/>
              <w:rPr>
                <w:rFonts w:cs="Arial"/>
              </w:rPr>
            </w:pPr>
            <w:r>
              <w:rPr>
                <w:rFonts w:cs="Arial"/>
                <w:color w:val="FF3399"/>
                <w:sz w:val="22"/>
                <w:szCs w:val="22"/>
              </w:rPr>
              <w:tab/>
            </w:r>
            <w:r w:rsidR="00CC1626">
              <w:rPr>
                <w:rFonts w:cs="Arial"/>
                <w:b/>
                <w:bCs/>
              </w:rPr>
              <w:t>For More Information Contact</w:t>
            </w:r>
          </w:p>
          <w:p w14:paraId="199D58D8" w14:textId="77777777" w:rsidR="0000449B" w:rsidRPr="0000449B" w:rsidRDefault="0000449B" w:rsidP="0000449B">
            <w:pPr>
              <w:ind w:left="252"/>
              <w:rPr>
                <w:rFonts w:cs="Arial"/>
                <w:noProof/>
              </w:rPr>
            </w:pPr>
            <w:r w:rsidRPr="0000449B">
              <w:rPr>
                <w:rFonts w:cs="Arial"/>
                <w:noProof/>
              </w:rPr>
              <w:t>Kimberly Rau, Executive Assistant/Program Specialist</w:t>
            </w:r>
          </w:p>
          <w:p w14:paraId="44661C3A" w14:textId="77777777" w:rsidR="0000449B" w:rsidRPr="0000449B" w:rsidRDefault="0000449B" w:rsidP="0000449B">
            <w:pPr>
              <w:ind w:left="252"/>
              <w:rPr>
                <w:rFonts w:cs="Arial"/>
                <w:noProof/>
              </w:rPr>
            </w:pPr>
            <w:r w:rsidRPr="0000449B">
              <w:rPr>
                <w:rFonts w:cs="Arial"/>
                <w:noProof/>
              </w:rPr>
              <w:t>Administration, Department of</w:t>
            </w:r>
          </w:p>
          <w:p w14:paraId="1C55BB08" w14:textId="77777777" w:rsidR="0000449B" w:rsidRPr="0000449B" w:rsidRDefault="0000449B" w:rsidP="0000449B">
            <w:pPr>
              <w:ind w:left="252"/>
              <w:rPr>
                <w:rFonts w:cs="Arial"/>
                <w:noProof/>
              </w:rPr>
            </w:pPr>
            <w:r w:rsidRPr="0000449B">
              <w:rPr>
                <w:rFonts w:cs="Arial"/>
                <w:noProof/>
              </w:rPr>
              <w:t>650 W State Street, Rm 100</w:t>
            </w:r>
          </w:p>
          <w:p w14:paraId="1FF4F335" w14:textId="77777777" w:rsidR="0000449B" w:rsidRPr="0000449B" w:rsidRDefault="0000449B" w:rsidP="0000449B">
            <w:pPr>
              <w:ind w:left="252"/>
              <w:rPr>
                <w:rFonts w:cs="Arial"/>
                <w:noProof/>
              </w:rPr>
            </w:pPr>
            <w:r w:rsidRPr="0000449B">
              <w:rPr>
                <w:rFonts w:cs="Arial"/>
                <w:noProof/>
              </w:rPr>
              <w:t>PO Box 83720</w:t>
            </w:r>
          </w:p>
          <w:p w14:paraId="1322EECE" w14:textId="77777777" w:rsidR="0000449B" w:rsidRPr="0000449B" w:rsidRDefault="0000449B" w:rsidP="0000449B">
            <w:pPr>
              <w:ind w:left="252"/>
              <w:rPr>
                <w:rFonts w:cs="Arial"/>
                <w:noProof/>
              </w:rPr>
            </w:pPr>
            <w:r w:rsidRPr="0000449B">
              <w:rPr>
                <w:rFonts w:cs="Arial"/>
                <w:noProof/>
              </w:rPr>
              <w:t>Boise, ID  83720-0003</w:t>
            </w:r>
          </w:p>
          <w:p w14:paraId="3E30114E" w14:textId="77777777" w:rsidR="0000449B" w:rsidRPr="0000449B" w:rsidRDefault="0000449B" w:rsidP="0000449B">
            <w:pPr>
              <w:ind w:left="252"/>
              <w:rPr>
                <w:rFonts w:cs="Arial"/>
                <w:noProof/>
              </w:rPr>
            </w:pPr>
            <w:r w:rsidRPr="0000449B">
              <w:rPr>
                <w:rFonts w:cs="Arial"/>
                <w:noProof/>
              </w:rPr>
              <w:t>Phone:  332-1826</w:t>
            </w:r>
          </w:p>
          <w:p w14:paraId="1B7F14B4" w14:textId="53C42F6A" w:rsidR="00CC1626" w:rsidRPr="005C374B" w:rsidRDefault="0000449B" w:rsidP="0000449B">
            <w:pPr>
              <w:spacing w:after="120"/>
              <w:ind w:left="252"/>
              <w:rPr>
                <w:rFonts w:cs="Arial"/>
                <w:szCs w:val="17"/>
                <w:lang w:val="fr-FR"/>
              </w:rPr>
            </w:pPr>
            <w:r w:rsidRPr="0000449B">
              <w:rPr>
                <w:rFonts w:cs="Arial"/>
                <w:noProof/>
              </w:rPr>
              <w:t xml:space="preserve">E-mail :  </w:t>
            </w:r>
            <w:hyperlink r:id="rId8" w:history="1">
              <w:r w:rsidRPr="0000449B">
                <w:rPr>
                  <w:rStyle w:val="Hyperlink"/>
                  <w:rFonts w:cs="Arial"/>
                  <w:noProof/>
                </w:rPr>
                <w:t xml:space="preserve">kim.rau@adm.idaho.gov  </w:t>
              </w:r>
            </w:hyperlink>
            <w:r w:rsidRPr="0000449B">
              <w:rPr>
                <w:rFonts w:cs="Arial"/>
                <w:noProof/>
              </w:rPr>
              <w:t xml:space="preserve"> </w:t>
            </w:r>
          </w:p>
        </w:tc>
      </w:tr>
    </w:tbl>
    <w:p w14:paraId="32CC6DC0" w14:textId="77777777" w:rsidR="00CC1626" w:rsidRDefault="00CC1626" w:rsidP="006B1825">
      <w:pPr>
        <w:rPr>
          <w:lang w:val="fr-FR"/>
        </w:rPr>
      </w:pPr>
    </w:p>
    <w:sectPr w:rsidR="00CC1626" w:rsidSect="006B365C">
      <w:headerReference w:type="default" r:id="rId9"/>
      <w:footerReference w:type="default" r:id="rId10"/>
      <w:pgSz w:w="12240" w:h="15840"/>
      <w:pgMar w:top="1080" w:right="1080" w:bottom="720" w:left="126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EB76" w14:textId="77777777" w:rsidR="007B0B44" w:rsidRDefault="007B0B44">
      <w:r>
        <w:separator/>
      </w:r>
    </w:p>
  </w:endnote>
  <w:endnote w:type="continuationSeparator" w:id="0">
    <w:p w14:paraId="0EE52600" w14:textId="77777777" w:rsidR="007B0B44" w:rsidRDefault="007B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BEED" w14:textId="52C72317" w:rsidR="0059471B" w:rsidRDefault="0059471B" w:rsidP="00392172">
    <w:pPr>
      <w:pStyle w:val="Footer"/>
      <w:tabs>
        <w:tab w:val="clear" w:pos="8640"/>
        <w:tab w:val="right" w:pos="10080"/>
      </w:tabs>
      <w:rPr>
        <w:rFonts w:cs="Arial"/>
        <w:szCs w:val="20"/>
      </w:rPr>
    </w:pPr>
  </w:p>
  <w:p w14:paraId="1A11819C" w14:textId="2B3C6B53" w:rsidR="0059471B" w:rsidRPr="00DB3F7F" w:rsidRDefault="0059471B" w:rsidP="00392172">
    <w:pPr>
      <w:pStyle w:val="Footer"/>
      <w:tabs>
        <w:tab w:val="clear" w:pos="8640"/>
        <w:tab w:val="right" w:pos="10080"/>
      </w:tabs>
      <w:rPr>
        <w:rFonts w:cs="Arial"/>
        <w:szCs w:val="20"/>
      </w:rPr>
    </w:pPr>
    <w:r w:rsidRPr="00DB3F7F">
      <w:rPr>
        <w:rFonts w:cs="Arial"/>
        <w:szCs w:val="20"/>
      </w:rPr>
      <w:t>State of Idaho</w:t>
    </w:r>
    <w:r w:rsidRPr="00DB3F7F">
      <w:rPr>
        <w:rFonts w:cs="Arial"/>
        <w:szCs w:val="20"/>
      </w:rPr>
      <w:tab/>
    </w:r>
    <w:r w:rsidRPr="00DB3F7F">
      <w:rPr>
        <w:rFonts w:cs="Arial"/>
        <w:szCs w:val="20"/>
      </w:rPr>
      <w:tab/>
    </w:r>
    <w:r w:rsidRPr="00DB3F7F">
      <w:rPr>
        <w:rStyle w:val="PageNumber"/>
        <w:rFonts w:cs="Arial"/>
        <w:szCs w:val="20"/>
      </w:rPr>
      <w:fldChar w:fldCharType="begin"/>
    </w:r>
    <w:r w:rsidRPr="00DB3F7F">
      <w:rPr>
        <w:rStyle w:val="PageNumber"/>
        <w:rFonts w:cs="Arial"/>
        <w:szCs w:val="20"/>
      </w:rPr>
      <w:instrText xml:space="preserve"> PAGE </w:instrText>
    </w:r>
    <w:r w:rsidRPr="00DB3F7F">
      <w:rPr>
        <w:rStyle w:val="PageNumber"/>
        <w:rFonts w:cs="Arial"/>
        <w:szCs w:val="20"/>
      </w:rPr>
      <w:fldChar w:fldCharType="separate"/>
    </w:r>
    <w:r>
      <w:rPr>
        <w:rStyle w:val="PageNumber"/>
        <w:rFonts w:cs="Arial"/>
        <w:noProof/>
        <w:szCs w:val="20"/>
      </w:rPr>
      <w:t>9</w:t>
    </w:r>
    <w:r w:rsidRPr="00DB3F7F">
      <w:rPr>
        <w:rStyle w:val="PageNumbe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EC6C" w14:textId="77777777" w:rsidR="007B0B44" w:rsidRDefault="007B0B44">
      <w:r>
        <w:separator/>
      </w:r>
    </w:p>
  </w:footnote>
  <w:footnote w:type="continuationSeparator" w:id="0">
    <w:p w14:paraId="2889BF4F" w14:textId="77777777" w:rsidR="007B0B44" w:rsidRDefault="007B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9471B" w14:paraId="4669E676" w14:textId="77777777" w:rsidTr="004216C2">
      <w:tc>
        <w:tcPr>
          <w:tcW w:w="10080" w:type="dxa"/>
          <w:shd w:val="clear" w:color="auto" w:fill="000080"/>
        </w:tcPr>
        <w:p w14:paraId="679B2867" w14:textId="77777777" w:rsidR="0059471B" w:rsidRPr="00586606" w:rsidRDefault="0059471B" w:rsidP="00550A47">
          <w:pPr>
            <w:tabs>
              <w:tab w:val="right" w:pos="9852"/>
            </w:tabs>
            <w:rPr>
              <w:rFonts w:cs="Arial"/>
              <w:color w:val="FFFFFF"/>
              <w:sz w:val="24"/>
            </w:rPr>
          </w:pPr>
          <w:r w:rsidRPr="00586606">
            <w:rPr>
              <w:rFonts w:cs="Arial"/>
              <w:b/>
              <w:bCs/>
              <w:noProof/>
              <w:color w:val="FFFFFF"/>
              <w:sz w:val="24"/>
            </w:rPr>
            <w:t>Administration, Department of</w:t>
          </w:r>
          <w:r w:rsidRPr="00586606">
            <w:rPr>
              <w:rFonts w:cs="Arial"/>
              <w:b/>
              <w:bCs/>
              <w:color w:val="FFFFFF"/>
              <w:sz w:val="24"/>
            </w:rPr>
            <w:tab/>
          </w:r>
          <w:r w:rsidRPr="00586606">
            <w:rPr>
              <w:rFonts w:cs="Arial"/>
              <w:color w:val="FFFFFF"/>
              <w:sz w:val="24"/>
            </w:rPr>
            <w:t>Performance Report</w:t>
          </w:r>
        </w:p>
      </w:tc>
    </w:tr>
    <w:tr w:rsidR="0059471B" w14:paraId="107CA2C1" w14:textId="77777777" w:rsidTr="004216C2">
      <w:trPr>
        <w:trHeight w:hRule="exact" w:val="90"/>
      </w:trPr>
      <w:tc>
        <w:tcPr>
          <w:tcW w:w="10080" w:type="dxa"/>
          <w:tcBorders>
            <w:top w:val="nil"/>
            <w:bottom w:val="single" w:sz="4" w:space="0" w:color="auto"/>
          </w:tcBorders>
        </w:tcPr>
        <w:p w14:paraId="67BB1E0C" w14:textId="77777777" w:rsidR="0059471B" w:rsidRDefault="0059471B" w:rsidP="00B60A5B"/>
      </w:tc>
    </w:tr>
    <w:tr w:rsidR="0059471B" w14:paraId="7CF7C901" w14:textId="77777777" w:rsidTr="004216C2">
      <w:tc>
        <w:tcPr>
          <w:tcW w:w="10080" w:type="dxa"/>
          <w:tcBorders>
            <w:top w:val="single" w:sz="4" w:space="0" w:color="auto"/>
            <w:bottom w:val="nil"/>
          </w:tcBorders>
          <w:shd w:val="clear" w:color="auto" w:fill="000080"/>
        </w:tcPr>
        <w:p w14:paraId="187C8B46" w14:textId="77777777" w:rsidR="0059471B" w:rsidRDefault="0059471B" w:rsidP="00B60A5B"/>
      </w:tc>
    </w:tr>
  </w:tbl>
  <w:p w14:paraId="48E71DA1" w14:textId="77777777" w:rsidR="0059471B" w:rsidRPr="001E7000" w:rsidRDefault="0059471B" w:rsidP="001E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02D"/>
    <w:multiLevelType w:val="hybridMultilevel"/>
    <w:tmpl w:val="63BA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438D"/>
    <w:multiLevelType w:val="hybridMultilevel"/>
    <w:tmpl w:val="75B2A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F665B9"/>
    <w:multiLevelType w:val="hybridMultilevel"/>
    <w:tmpl w:val="048A8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50A6"/>
    <w:multiLevelType w:val="hybridMultilevel"/>
    <w:tmpl w:val="8E9219A4"/>
    <w:lvl w:ilvl="0" w:tplc="7E4E1492">
      <w:start w:val="1"/>
      <w:numFmt w:val="decimal"/>
      <w:lvlText w:val="%1."/>
      <w:lvlJc w:val="left"/>
      <w:pPr>
        <w:ind w:left="360" w:hanging="360"/>
      </w:pPr>
      <w:rPr>
        <w:rFonts w:asciiTheme="minorHAnsi" w:hAnsiTheme="minorHAns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C5564"/>
    <w:multiLevelType w:val="hybridMultilevel"/>
    <w:tmpl w:val="4FB08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A247C"/>
    <w:multiLevelType w:val="hybridMultilevel"/>
    <w:tmpl w:val="4BB81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F15B5A"/>
    <w:multiLevelType w:val="hybridMultilevel"/>
    <w:tmpl w:val="9F8E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A0AA2"/>
    <w:multiLevelType w:val="hybridMultilevel"/>
    <w:tmpl w:val="494E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021FF"/>
    <w:multiLevelType w:val="hybridMultilevel"/>
    <w:tmpl w:val="9004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E5DB9"/>
    <w:multiLevelType w:val="hybridMultilevel"/>
    <w:tmpl w:val="AC66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7A05E7"/>
    <w:multiLevelType w:val="hybridMultilevel"/>
    <w:tmpl w:val="2F40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D22B25"/>
    <w:multiLevelType w:val="hybridMultilevel"/>
    <w:tmpl w:val="B4687E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C4ABA"/>
    <w:multiLevelType w:val="hybridMultilevel"/>
    <w:tmpl w:val="FB84961E"/>
    <w:lvl w:ilvl="0" w:tplc="7B304F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413A5"/>
    <w:multiLevelType w:val="hybridMultilevel"/>
    <w:tmpl w:val="A81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31018"/>
    <w:multiLevelType w:val="hybridMultilevel"/>
    <w:tmpl w:val="5D1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104B2"/>
    <w:multiLevelType w:val="hybridMultilevel"/>
    <w:tmpl w:val="7D06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88064B"/>
    <w:multiLevelType w:val="hybridMultilevel"/>
    <w:tmpl w:val="A3520614"/>
    <w:lvl w:ilvl="0" w:tplc="243676E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2D48D2"/>
    <w:multiLevelType w:val="hybridMultilevel"/>
    <w:tmpl w:val="218C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A5BF7"/>
    <w:multiLevelType w:val="hybridMultilevel"/>
    <w:tmpl w:val="B160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927B04"/>
    <w:multiLevelType w:val="hybridMultilevel"/>
    <w:tmpl w:val="39644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8E0B20"/>
    <w:multiLevelType w:val="hybridMultilevel"/>
    <w:tmpl w:val="ED74140E"/>
    <w:lvl w:ilvl="0" w:tplc="4010172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A4750"/>
    <w:multiLevelType w:val="hybridMultilevel"/>
    <w:tmpl w:val="17022B9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7F92CDD"/>
    <w:multiLevelType w:val="hybridMultilevel"/>
    <w:tmpl w:val="B92A2744"/>
    <w:lvl w:ilvl="0" w:tplc="F8D0E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350F9D"/>
    <w:multiLevelType w:val="hybridMultilevel"/>
    <w:tmpl w:val="A9F476D6"/>
    <w:lvl w:ilvl="0" w:tplc="7B304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0615F"/>
    <w:multiLevelType w:val="hybridMultilevel"/>
    <w:tmpl w:val="77649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F36CEE"/>
    <w:multiLevelType w:val="hybridMultilevel"/>
    <w:tmpl w:val="53405914"/>
    <w:lvl w:ilvl="0" w:tplc="C088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5B7389"/>
    <w:multiLevelType w:val="hybridMultilevel"/>
    <w:tmpl w:val="4D0C2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0C7"/>
    <w:multiLevelType w:val="hybridMultilevel"/>
    <w:tmpl w:val="DFC0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EE2C1F"/>
    <w:multiLevelType w:val="hybridMultilevel"/>
    <w:tmpl w:val="BFCE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7236C5"/>
    <w:multiLevelType w:val="hybridMultilevel"/>
    <w:tmpl w:val="37AC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294A10"/>
    <w:multiLevelType w:val="hybridMultilevel"/>
    <w:tmpl w:val="14F689A0"/>
    <w:lvl w:ilvl="0" w:tplc="7B304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11180"/>
    <w:multiLevelType w:val="hybridMultilevel"/>
    <w:tmpl w:val="FA646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2A0AED"/>
    <w:multiLevelType w:val="hybridMultilevel"/>
    <w:tmpl w:val="3F66A3E0"/>
    <w:lvl w:ilvl="0" w:tplc="5E8ED3E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6C3296"/>
    <w:multiLevelType w:val="hybridMultilevel"/>
    <w:tmpl w:val="DDE0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6C2D7B"/>
    <w:multiLevelType w:val="hybridMultilevel"/>
    <w:tmpl w:val="DAEC5374"/>
    <w:lvl w:ilvl="0" w:tplc="0F708A20">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654810"/>
    <w:multiLevelType w:val="hybridMultilevel"/>
    <w:tmpl w:val="8F2649FE"/>
    <w:lvl w:ilvl="0" w:tplc="7B304F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B80EBE"/>
    <w:multiLevelType w:val="hybridMultilevel"/>
    <w:tmpl w:val="4AC0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724416">
    <w:abstractNumId w:val="2"/>
  </w:num>
  <w:num w:numId="2" w16cid:durableId="1833132285">
    <w:abstractNumId w:val="21"/>
  </w:num>
  <w:num w:numId="3" w16cid:durableId="1721325923">
    <w:abstractNumId w:val="31"/>
  </w:num>
  <w:num w:numId="4" w16cid:durableId="1068069151">
    <w:abstractNumId w:val="33"/>
  </w:num>
  <w:num w:numId="5" w16cid:durableId="1268274002">
    <w:abstractNumId w:val="4"/>
  </w:num>
  <w:num w:numId="6" w16cid:durableId="997029629">
    <w:abstractNumId w:val="18"/>
  </w:num>
  <w:num w:numId="7" w16cid:durableId="2059435502">
    <w:abstractNumId w:val="19"/>
  </w:num>
  <w:num w:numId="8" w16cid:durableId="1743679253">
    <w:abstractNumId w:val="1"/>
  </w:num>
  <w:num w:numId="9" w16cid:durableId="754786039">
    <w:abstractNumId w:val="26"/>
  </w:num>
  <w:num w:numId="10" w16cid:durableId="1457019133">
    <w:abstractNumId w:val="28"/>
  </w:num>
  <w:num w:numId="11" w16cid:durableId="2129273358">
    <w:abstractNumId w:val="16"/>
  </w:num>
  <w:num w:numId="12" w16cid:durableId="376900431">
    <w:abstractNumId w:val="11"/>
  </w:num>
  <w:num w:numId="13" w16cid:durableId="182672688">
    <w:abstractNumId w:val="29"/>
  </w:num>
  <w:num w:numId="14" w16cid:durableId="1915165793">
    <w:abstractNumId w:val="5"/>
  </w:num>
  <w:num w:numId="15" w16cid:durableId="2033871622">
    <w:abstractNumId w:val="14"/>
  </w:num>
  <w:num w:numId="16" w16cid:durableId="1909682333">
    <w:abstractNumId w:val="6"/>
  </w:num>
  <w:num w:numId="17" w16cid:durableId="2115320907">
    <w:abstractNumId w:val="10"/>
  </w:num>
  <w:num w:numId="18" w16cid:durableId="69734594">
    <w:abstractNumId w:val="13"/>
  </w:num>
  <w:num w:numId="19" w16cid:durableId="1540432097">
    <w:abstractNumId w:val="5"/>
  </w:num>
  <w:num w:numId="20" w16cid:durableId="615334977">
    <w:abstractNumId w:val="8"/>
  </w:num>
  <w:num w:numId="21" w16cid:durableId="905918954">
    <w:abstractNumId w:val="3"/>
  </w:num>
  <w:num w:numId="22" w16cid:durableId="1171721736">
    <w:abstractNumId w:val="25"/>
  </w:num>
  <w:num w:numId="23" w16cid:durableId="548880748">
    <w:abstractNumId w:val="20"/>
  </w:num>
  <w:num w:numId="24" w16cid:durableId="429815293">
    <w:abstractNumId w:val="22"/>
  </w:num>
  <w:num w:numId="25" w16cid:durableId="1668753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9258027">
    <w:abstractNumId w:val="34"/>
  </w:num>
  <w:num w:numId="27" w16cid:durableId="1183781359">
    <w:abstractNumId w:val="27"/>
  </w:num>
  <w:num w:numId="28" w16cid:durableId="1520120283">
    <w:abstractNumId w:val="26"/>
  </w:num>
  <w:num w:numId="29" w16cid:durableId="786243153">
    <w:abstractNumId w:val="9"/>
  </w:num>
  <w:num w:numId="30" w16cid:durableId="2088839060">
    <w:abstractNumId w:val="24"/>
  </w:num>
  <w:num w:numId="31" w16cid:durableId="353191298">
    <w:abstractNumId w:val="15"/>
  </w:num>
  <w:num w:numId="32" w16cid:durableId="989215693">
    <w:abstractNumId w:val="17"/>
  </w:num>
  <w:num w:numId="33" w16cid:durableId="269435010">
    <w:abstractNumId w:val="7"/>
  </w:num>
  <w:num w:numId="34" w16cid:durableId="247157389">
    <w:abstractNumId w:val="10"/>
  </w:num>
  <w:num w:numId="35" w16cid:durableId="1985624372">
    <w:abstractNumId w:val="0"/>
  </w:num>
  <w:num w:numId="36" w16cid:durableId="1884904552">
    <w:abstractNumId w:val="36"/>
  </w:num>
  <w:num w:numId="37" w16cid:durableId="105588732">
    <w:abstractNumId w:val="30"/>
  </w:num>
  <w:num w:numId="38" w16cid:durableId="1936791649">
    <w:abstractNumId w:val="23"/>
  </w:num>
  <w:num w:numId="39" w16cid:durableId="2066292308">
    <w:abstractNumId w:val="35"/>
  </w:num>
  <w:num w:numId="40" w16cid:durableId="91909923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79"/>
    <w:rsid w:val="00001DB1"/>
    <w:rsid w:val="000022AF"/>
    <w:rsid w:val="00002C89"/>
    <w:rsid w:val="00002F00"/>
    <w:rsid w:val="000038D5"/>
    <w:rsid w:val="00004387"/>
    <w:rsid w:val="0000449B"/>
    <w:rsid w:val="00005DA6"/>
    <w:rsid w:val="000066FC"/>
    <w:rsid w:val="0001064A"/>
    <w:rsid w:val="00010698"/>
    <w:rsid w:val="0001124B"/>
    <w:rsid w:val="000113F2"/>
    <w:rsid w:val="000116CB"/>
    <w:rsid w:val="00012602"/>
    <w:rsid w:val="00012999"/>
    <w:rsid w:val="0001317C"/>
    <w:rsid w:val="00013902"/>
    <w:rsid w:val="00014FC7"/>
    <w:rsid w:val="000157AE"/>
    <w:rsid w:val="00017F07"/>
    <w:rsid w:val="00020797"/>
    <w:rsid w:val="000221E8"/>
    <w:rsid w:val="0002267E"/>
    <w:rsid w:val="000227EE"/>
    <w:rsid w:val="00022CA1"/>
    <w:rsid w:val="000233DE"/>
    <w:rsid w:val="000255B3"/>
    <w:rsid w:val="000258B1"/>
    <w:rsid w:val="000258DB"/>
    <w:rsid w:val="00027AF0"/>
    <w:rsid w:val="000300D4"/>
    <w:rsid w:val="00031037"/>
    <w:rsid w:val="0003651B"/>
    <w:rsid w:val="00042C18"/>
    <w:rsid w:val="000448B5"/>
    <w:rsid w:val="00045787"/>
    <w:rsid w:val="00046B00"/>
    <w:rsid w:val="0004761D"/>
    <w:rsid w:val="00052DED"/>
    <w:rsid w:val="00053496"/>
    <w:rsid w:val="000566F8"/>
    <w:rsid w:val="00057576"/>
    <w:rsid w:val="00057BCE"/>
    <w:rsid w:val="00061E18"/>
    <w:rsid w:val="00062CF6"/>
    <w:rsid w:val="00063000"/>
    <w:rsid w:val="0006334D"/>
    <w:rsid w:val="0006690D"/>
    <w:rsid w:val="00067251"/>
    <w:rsid w:val="00070073"/>
    <w:rsid w:val="00070797"/>
    <w:rsid w:val="000709A3"/>
    <w:rsid w:val="00071DE7"/>
    <w:rsid w:val="00072355"/>
    <w:rsid w:val="00072B3B"/>
    <w:rsid w:val="00072CEE"/>
    <w:rsid w:val="00074B95"/>
    <w:rsid w:val="0007503B"/>
    <w:rsid w:val="000764D1"/>
    <w:rsid w:val="0007699C"/>
    <w:rsid w:val="00076D50"/>
    <w:rsid w:val="000777C9"/>
    <w:rsid w:val="0008037D"/>
    <w:rsid w:val="000803BC"/>
    <w:rsid w:val="00081116"/>
    <w:rsid w:val="00081B18"/>
    <w:rsid w:val="00082B36"/>
    <w:rsid w:val="00083258"/>
    <w:rsid w:val="000852B5"/>
    <w:rsid w:val="00085370"/>
    <w:rsid w:val="00085DCC"/>
    <w:rsid w:val="00087371"/>
    <w:rsid w:val="00087B90"/>
    <w:rsid w:val="00090835"/>
    <w:rsid w:val="00093CF1"/>
    <w:rsid w:val="000944FD"/>
    <w:rsid w:val="0009597A"/>
    <w:rsid w:val="00096639"/>
    <w:rsid w:val="00097424"/>
    <w:rsid w:val="000A131A"/>
    <w:rsid w:val="000A1682"/>
    <w:rsid w:val="000A34A1"/>
    <w:rsid w:val="000A3B86"/>
    <w:rsid w:val="000A4161"/>
    <w:rsid w:val="000A4A54"/>
    <w:rsid w:val="000A6C0E"/>
    <w:rsid w:val="000B0A32"/>
    <w:rsid w:val="000B21D4"/>
    <w:rsid w:val="000B2BBE"/>
    <w:rsid w:val="000B41B7"/>
    <w:rsid w:val="000B4E99"/>
    <w:rsid w:val="000B5366"/>
    <w:rsid w:val="000B5455"/>
    <w:rsid w:val="000C02FF"/>
    <w:rsid w:val="000C1A61"/>
    <w:rsid w:val="000C2580"/>
    <w:rsid w:val="000C3BA2"/>
    <w:rsid w:val="000C591F"/>
    <w:rsid w:val="000C67CB"/>
    <w:rsid w:val="000C6CA3"/>
    <w:rsid w:val="000C76BA"/>
    <w:rsid w:val="000D2C44"/>
    <w:rsid w:val="000D42D5"/>
    <w:rsid w:val="000E157E"/>
    <w:rsid w:val="000E1C64"/>
    <w:rsid w:val="000E4828"/>
    <w:rsid w:val="000E6CE3"/>
    <w:rsid w:val="000E6E92"/>
    <w:rsid w:val="000E7E19"/>
    <w:rsid w:val="000E7EC9"/>
    <w:rsid w:val="000E7F0C"/>
    <w:rsid w:val="000F049A"/>
    <w:rsid w:val="000F0A66"/>
    <w:rsid w:val="000F0F27"/>
    <w:rsid w:val="000F1709"/>
    <w:rsid w:val="000F1ED3"/>
    <w:rsid w:val="000F2317"/>
    <w:rsid w:val="000F3104"/>
    <w:rsid w:val="000F35AE"/>
    <w:rsid w:val="000F3C0A"/>
    <w:rsid w:val="000F4C58"/>
    <w:rsid w:val="000F54B9"/>
    <w:rsid w:val="000F5500"/>
    <w:rsid w:val="000F6422"/>
    <w:rsid w:val="000F7EC4"/>
    <w:rsid w:val="0010226A"/>
    <w:rsid w:val="00102758"/>
    <w:rsid w:val="001028B4"/>
    <w:rsid w:val="001029CA"/>
    <w:rsid w:val="00102D32"/>
    <w:rsid w:val="00103ED0"/>
    <w:rsid w:val="00105E03"/>
    <w:rsid w:val="001061C0"/>
    <w:rsid w:val="00106320"/>
    <w:rsid w:val="00106707"/>
    <w:rsid w:val="0010717E"/>
    <w:rsid w:val="00107678"/>
    <w:rsid w:val="00107A29"/>
    <w:rsid w:val="00107F6F"/>
    <w:rsid w:val="00112A65"/>
    <w:rsid w:val="0011461D"/>
    <w:rsid w:val="00114ED3"/>
    <w:rsid w:val="00115F5D"/>
    <w:rsid w:val="00116D7D"/>
    <w:rsid w:val="001176E4"/>
    <w:rsid w:val="00120C5F"/>
    <w:rsid w:val="00121DF1"/>
    <w:rsid w:val="00124033"/>
    <w:rsid w:val="00124F6F"/>
    <w:rsid w:val="0012602F"/>
    <w:rsid w:val="00126F15"/>
    <w:rsid w:val="00133BD1"/>
    <w:rsid w:val="001352C6"/>
    <w:rsid w:val="001368E1"/>
    <w:rsid w:val="00137DD5"/>
    <w:rsid w:val="00137E38"/>
    <w:rsid w:val="00137FF1"/>
    <w:rsid w:val="001413C9"/>
    <w:rsid w:val="0014146A"/>
    <w:rsid w:val="00141A8D"/>
    <w:rsid w:val="00141C72"/>
    <w:rsid w:val="0014468D"/>
    <w:rsid w:val="00144992"/>
    <w:rsid w:val="00144CCE"/>
    <w:rsid w:val="001460E1"/>
    <w:rsid w:val="001476CD"/>
    <w:rsid w:val="00147D74"/>
    <w:rsid w:val="001504F2"/>
    <w:rsid w:val="00150DF9"/>
    <w:rsid w:val="00151776"/>
    <w:rsid w:val="0015188B"/>
    <w:rsid w:val="0015280A"/>
    <w:rsid w:val="00154295"/>
    <w:rsid w:val="00157CE7"/>
    <w:rsid w:val="001608BE"/>
    <w:rsid w:val="00161E34"/>
    <w:rsid w:val="00163800"/>
    <w:rsid w:val="00163CE0"/>
    <w:rsid w:val="00164891"/>
    <w:rsid w:val="0016746F"/>
    <w:rsid w:val="0017010F"/>
    <w:rsid w:val="00170CE5"/>
    <w:rsid w:val="00171B1A"/>
    <w:rsid w:val="0017350F"/>
    <w:rsid w:val="00173825"/>
    <w:rsid w:val="00173A54"/>
    <w:rsid w:val="00174A9F"/>
    <w:rsid w:val="00175BAA"/>
    <w:rsid w:val="00175C14"/>
    <w:rsid w:val="00175E0C"/>
    <w:rsid w:val="00175F2C"/>
    <w:rsid w:val="00176256"/>
    <w:rsid w:val="00177B25"/>
    <w:rsid w:val="00180859"/>
    <w:rsid w:val="00181321"/>
    <w:rsid w:val="00181EBB"/>
    <w:rsid w:val="00183544"/>
    <w:rsid w:val="00183D88"/>
    <w:rsid w:val="00186039"/>
    <w:rsid w:val="00186C67"/>
    <w:rsid w:val="00186E4A"/>
    <w:rsid w:val="00187844"/>
    <w:rsid w:val="0019104F"/>
    <w:rsid w:val="0019375D"/>
    <w:rsid w:val="00195A57"/>
    <w:rsid w:val="00196E4E"/>
    <w:rsid w:val="00197246"/>
    <w:rsid w:val="001979B2"/>
    <w:rsid w:val="00197F3A"/>
    <w:rsid w:val="001A0829"/>
    <w:rsid w:val="001A3761"/>
    <w:rsid w:val="001A4FCE"/>
    <w:rsid w:val="001A6E9B"/>
    <w:rsid w:val="001A72B4"/>
    <w:rsid w:val="001B0BE5"/>
    <w:rsid w:val="001B0EC7"/>
    <w:rsid w:val="001B188B"/>
    <w:rsid w:val="001B1ACC"/>
    <w:rsid w:val="001B1F02"/>
    <w:rsid w:val="001B2B89"/>
    <w:rsid w:val="001B421E"/>
    <w:rsid w:val="001B6D9C"/>
    <w:rsid w:val="001B7B8E"/>
    <w:rsid w:val="001C1A51"/>
    <w:rsid w:val="001C1B4B"/>
    <w:rsid w:val="001C2E80"/>
    <w:rsid w:val="001C5096"/>
    <w:rsid w:val="001C63B5"/>
    <w:rsid w:val="001C67D8"/>
    <w:rsid w:val="001C6ECA"/>
    <w:rsid w:val="001C7476"/>
    <w:rsid w:val="001C7861"/>
    <w:rsid w:val="001D0015"/>
    <w:rsid w:val="001D17AF"/>
    <w:rsid w:val="001D1C1F"/>
    <w:rsid w:val="001D3972"/>
    <w:rsid w:val="001D53A9"/>
    <w:rsid w:val="001E1122"/>
    <w:rsid w:val="001E145C"/>
    <w:rsid w:val="001E1AD0"/>
    <w:rsid w:val="001E1C8A"/>
    <w:rsid w:val="001E3518"/>
    <w:rsid w:val="001E3624"/>
    <w:rsid w:val="001E5245"/>
    <w:rsid w:val="001E6C6E"/>
    <w:rsid w:val="001E7000"/>
    <w:rsid w:val="001F03F0"/>
    <w:rsid w:val="001F0476"/>
    <w:rsid w:val="001F1706"/>
    <w:rsid w:val="001F4065"/>
    <w:rsid w:val="001F4796"/>
    <w:rsid w:val="001F579C"/>
    <w:rsid w:val="001F5888"/>
    <w:rsid w:val="001F762B"/>
    <w:rsid w:val="00201C1C"/>
    <w:rsid w:val="002023E2"/>
    <w:rsid w:val="00205355"/>
    <w:rsid w:val="002057AA"/>
    <w:rsid w:val="00207F73"/>
    <w:rsid w:val="002114B8"/>
    <w:rsid w:val="00213302"/>
    <w:rsid w:val="00217510"/>
    <w:rsid w:val="002204E0"/>
    <w:rsid w:val="0022088E"/>
    <w:rsid w:val="002210CF"/>
    <w:rsid w:val="00221DC3"/>
    <w:rsid w:val="002228F5"/>
    <w:rsid w:val="002230F1"/>
    <w:rsid w:val="0022382C"/>
    <w:rsid w:val="00223974"/>
    <w:rsid w:val="00223E62"/>
    <w:rsid w:val="00224263"/>
    <w:rsid w:val="00224593"/>
    <w:rsid w:val="0022494D"/>
    <w:rsid w:val="00224A6E"/>
    <w:rsid w:val="00224D71"/>
    <w:rsid w:val="00225428"/>
    <w:rsid w:val="002268E4"/>
    <w:rsid w:val="002273EC"/>
    <w:rsid w:val="00227D5B"/>
    <w:rsid w:val="0023099C"/>
    <w:rsid w:val="0023159B"/>
    <w:rsid w:val="00232CB2"/>
    <w:rsid w:val="002339EE"/>
    <w:rsid w:val="0023535F"/>
    <w:rsid w:val="0023669E"/>
    <w:rsid w:val="00237612"/>
    <w:rsid w:val="00240A87"/>
    <w:rsid w:val="00242911"/>
    <w:rsid w:val="00244FA1"/>
    <w:rsid w:val="00246513"/>
    <w:rsid w:val="002467E9"/>
    <w:rsid w:val="00246948"/>
    <w:rsid w:val="00250391"/>
    <w:rsid w:val="0025288C"/>
    <w:rsid w:val="00252E06"/>
    <w:rsid w:val="0025573A"/>
    <w:rsid w:val="0025680E"/>
    <w:rsid w:val="00256D9F"/>
    <w:rsid w:val="0025755B"/>
    <w:rsid w:val="00257F97"/>
    <w:rsid w:val="002632DF"/>
    <w:rsid w:val="002641E5"/>
    <w:rsid w:val="0026563D"/>
    <w:rsid w:val="002657AB"/>
    <w:rsid w:val="00266550"/>
    <w:rsid w:val="00266C2F"/>
    <w:rsid w:val="002708F1"/>
    <w:rsid w:val="00270932"/>
    <w:rsid w:val="002717C6"/>
    <w:rsid w:val="00271BC4"/>
    <w:rsid w:val="002743B5"/>
    <w:rsid w:val="00274AE8"/>
    <w:rsid w:val="002767C9"/>
    <w:rsid w:val="00276BA2"/>
    <w:rsid w:val="002779E1"/>
    <w:rsid w:val="00280251"/>
    <w:rsid w:val="0028075B"/>
    <w:rsid w:val="00282E75"/>
    <w:rsid w:val="00283677"/>
    <w:rsid w:val="0028397A"/>
    <w:rsid w:val="00285B31"/>
    <w:rsid w:val="00287F8C"/>
    <w:rsid w:val="002924E1"/>
    <w:rsid w:val="002926F5"/>
    <w:rsid w:val="00292888"/>
    <w:rsid w:val="00295575"/>
    <w:rsid w:val="00295AF5"/>
    <w:rsid w:val="0029773F"/>
    <w:rsid w:val="00297AC8"/>
    <w:rsid w:val="002A08D6"/>
    <w:rsid w:val="002A3321"/>
    <w:rsid w:val="002A4348"/>
    <w:rsid w:val="002A4955"/>
    <w:rsid w:val="002A50DB"/>
    <w:rsid w:val="002A510D"/>
    <w:rsid w:val="002A7E3D"/>
    <w:rsid w:val="002B060D"/>
    <w:rsid w:val="002B3B2F"/>
    <w:rsid w:val="002B56F8"/>
    <w:rsid w:val="002B5A85"/>
    <w:rsid w:val="002B718E"/>
    <w:rsid w:val="002C0F7A"/>
    <w:rsid w:val="002C28E3"/>
    <w:rsid w:val="002C3BB7"/>
    <w:rsid w:val="002C5EF9"/>
    <w:rsid w:val="002C6155"/>
    <w:rsid w:val="002D09C4"/>
    <w:rsid w:val="002D0B80"/>
    <w:rsid w:val="002D0CBF"/>
    <w:rsid w:val="002D18CF"/>
    <w:rsid w:val="002D2951"/>
    <w:rsid w:val="002D4ADD"/>
    <w:rsid w:val="002D5799"/>
    <w:rsid w:val="002D7914"/>
    <w:rsid w:val="002E061D"/>
    <w:rsid w:val="002E07F0"/>
    <w:rsid w:val="002E5269"/>
    <w:rsid w:val="002E7ED4"/>
    <w:rsid w:val="002F06C6"/>
    <w:rsid w:val="002F0EE3"/>
    <w:rsid w:val="002F174F"/>
    <w:rsid w:val="002F1DB4"/>
    <w:rsid w:val="002F27AF"/>
    <w:rsid w:val="002F2A21"/>
    <w:rsid w:val="002F2C2B"/>
    <w:rsid w:val="002F2F6E"/>
    <w:rsid w:val="002F4E16"/>
    <w:rsid w:val="002F641B"/>
    <w:rsid w:val="003044C1"/>
    <w:rsid w:val="00305C62"/>
    <w:rsid w:val="00305EDA"/>
    <w:rsid w:val="003064B6"/>
    <w:rsid w:val="00307C10"/>
    <w:rsid w:val="00311A31"/>
    <w:rsid w:val="00311D8C"/>
    <w:rsid w:val="003138DD"/>
    <w:rsid w:val="00315EF0"/>
    <w:rsid w:val="003166D0"/>
    <w:rsid w:val="00320870"/>
    <w:rsid w:val="00321EDA"/>
    <w:rsid w:val="00321FA6"/>
    <w:rsid w:val="003233D7"/>
    <w:rsid w:val="00323BBA"/>
    <w:rsid w:val="003244DE"/>
    <w:rsid w:val="00324987"/>
    <w:rsid w:val="003253A1"/>
    <w:rsid w:val="00325695"/>
    <w:rsid w:val="003268EF"/>
    <w:rsid w:val="003270B0"/>
    <w:rsid w:val="00327B2F"/>
    <w:rsid w:val="003305FD"/>
    <w:rsid w:val="00332037"/>
    <w:rsid w:val="00332D0B"/>
    <w:rsid w:val="00332E08"/>
    <w:rsid w:val="00333031"/>
    <w:rsid w:val="003330C4"/>
    <w:rsid w:val="003347E5"/>
    <w:rsid w:val="003353D7"/>
    <w:rsid w:val="00336965"/>
    <w:rsid w:val="00336B86"/>
    <w:rsid w:val="00341244"/>
    <w:rsid w:val="00343021"/>
    <w:rsid w:val="0034562C"/>
    <w:rsid w:val="00345812"/>
    <w:rsid w:val="00345A17"/>
    <w:rsid w:val="00346354"/>
    <w:rsid w:val="003471EA"/>
    <w:rsid w:val="003479F1"/>
    <w:rsid w:val="00350338"/>
    <w:rsid w:val="00350F70"/>
    <w:rsid w:val="00351C9D"/>
    <w:rsid w:val="00351D25"/>
    <w:rsid w:val="00351F0C"/>
    <w:rsid w:val="003566BB"/>
    <w:rsid w:val="0035690C"/>
    <w:rsid w:val="003600C5"/>
    <w:rsid w:val="003601B1"/>
    <w:rsid w:val="0036096B"/>
    <w:rsid w:val="00362973"/>
    <w:rsid w:val="0036301D"/>
    <w:rsid w:val="00363D3F"/>
    <w:rsid w:val="00364EB4"/>
    <w:rsid w:val="00365596"/>
    <w:rsid w:val="00371CB2"/>
    <w:rsid w:val="003728D1"/>
    <w:rsid w:val="00372CAC"/>
    <w:rsid w:val="00372FDC"/>
    <w:rsid w:val="0037312B"/>
    <w:rsid w:val="0037400A"/>
    <w:rsid w:val="00374686"/>
    <w:rsid w:val="003747B3"/>
    <w:rsid w:val="00376A87"/>
    <w:rsid w:val="00377C43"/>
    <w:rsid w:val="00380D4B"/>
    <w:rsid w:val="003817CA"/>
    <w:rsid w:val="00381DCC"/>
    <w:rsid w:val="00382145"/>
    <w:rsid w:val="00382F47"/>
    <w:rsid w:val="003844CB"/>
    <w:rsid w:val="003854DB"/>
    <w:rsid w:val="00385787"/>
    <w:rsid w:val="00386DA5"/>
    <w:rsid w:val="00387B14"/>
    <w:rsid w:val="00387DD8"/>
    <w:rsid w:val="003902A1"/>
    <w:rsid w:val="00391AE4"/>
    <w:rsid w:val="00391BCF"/>
    <w:rsid w:val="00392172"/>
    <w:rsid w:val="00394A87"/>
    <w:rsid w:val="00394DC6"/>
    <w:rsid w:val="003A11F2"/>
    <w:rsid w:val="003A2AAB"/>
    <w:rsid w:val="003A4109"/>
    <w:rsid w:val="003A4EB0"/>
    <w:rsid w:val="003A5139"/>
    <w:rsid w:val="003A64BE"/>
    <w:rsid w:val="003A7E87"/>
    <w:rsid w:val="003B066F"/>
    <w:rsid w:val="003B08D8"/>
    <w:rsid w:val="003B0B3A"/>
    <w:rsid w:val="003B1AF7"/>
    <w:rsid w:val="003B2D3B"/>
    <w:rsid w:val="003B3783"/>
    <w:rsid w:val="003B4DA3"/>
    <w:rsid w:val="003B4DE5"/>
    <w:rsid w:val="003B5E80"/>
    <w:rsid w:val="003B7381"/>
    <w:rsid w:val="003C0AD9"/>
    <w:rsid w:val="003C194E"/>
    <w:rsid w:val="003C2C02"/>
    <w:rsid w:val="003C4F55"/>
    <w:rsid w:val="003C519D"/>
    <w:rsid w:val="003C58D0"/>
    <w:rsid w:val="003C6AAF"/>
    <w:rsid w:val="003D051E"/>
    <w:rsid w:val="003D0577"/>
    <w:rsid w:val="003D0CEE"/>
    <w:rsid w:val="003D0ECE"/>
    <w:rsid w:val="003D2872"/>
    <w:rsid w:val="003D30F6"/>
    <w:rsid w:val="003D4BE5"/>
    <w:rsid w:val="003D76C5"/>
    <w:rsid w:val="003E1495"/>
    <w:rsid w:val="003E1973"/>
    <w:rsid w:val="003E2BEF"/>
    <w:rsid w:val="003F32EF"/>
    <w:rsid w:val="003F4BD4"/>
    <w:rsid w:val="003F61F6"/>
    <w:rsid w:val="003F6C8D"/>
    <w:rsid w:val="003F7539"/>
    <w:rsid w:val="003F7B77"/>
    <w:rsid w:val="004011F6"/>
    <w:rsid w:val="004017F2"/>
    <w:rsid w:val="004019E6"/>
    <w:rsid w:val="00404386"/>
    <w:rsid w:val="00404FFF"/>
    <w:rsid w:val="00406D84"/>
    <w:rsid w:val="00406F09"/>
    <w:rsid w:val="00407186"/>
    <w:rsid w:val="00407BDA"/>
    <w:rsid w:val="00407DF7"/>
    <w:rsid w:val="004104EC"/>
    <w:rsid w:val="004113C0"/>
    <w:rsid w:val="004144D8"/>
    <w:rsid w:val="004162E4"/>
    <w:rsid w:val="00416486"/>
    <w:rsid w:val="00417318"/>
    <w:rsid w:val="004216C2"/>
    <w:rsid w:val="00421BD5"/>
    <w:rsid w:val="004237FA"/>
    <w:rsid w:val="004259F9"/>
    <w:rsid w:val="0042607D"/>
    <w:rsid w:val="0042688F"/>
    <w:rsid w:val="0042718C"/>
    <w:rsid w:val="004300C7"/>
    <w:rsid w:val="00431EAF"/>
    <w:rsid w:val="00433D12"/>
    <w:rsid w:val="0043455F"/>
    <w:rsid w:val="00434A36"/>
    <w:rsid w:val="004351DE"/>
    <w:rsid w:val="00435E5F"/>
    <w:rsid w:val="004362F8"/>
    <w:rsid w:val="00436F43"/>
    <w:rsid w:val="00437CBE"/>
    <w:rsid w:val="00440171"/>
    <w:rsid w:val="00441CC2"/>
    <w:rsid w:val="00441D2D"/>
    <w:rsid w:val="00442656"/>
    <w:rsid w:val="00442E88"/>
    <w:rsid w:val="00445EFA"/>
    <w:rsid w:val="00446A00"/>
    <w:rsid w:val="00446F18"/>
    <w:rsid w:val="00447CC4"/>
    <w:rsid w:val="004547CC"/>
    <w:rsid w:val="004548A0"/>
    <w:rsid w:val="00454CCB"/>
    <w:rsid w:val="0045654A"/>
    <w:rsid w:val="00456948"/>
    <w:rsid w:val="00456C45"/>
    <w:rsid w:val="00457E23"/>
    <w:rsid w:val="00460AFA"/>
    <w:rsid w:val="00460DE7"/>
    <w:rsid w:val="00461C94"/>
    <w:rsid w:val="00464E1B"/>
    <w:rsid w:val="00466C40"/>
    <w:rsid w:val="00467503"/>
    <w:rsid w:val="004679C9"/>
    <w:rsid w:val="00470547"/>
    <w:rsid w:val="00470CE5"/>
    <w:rsid w:val="004720DD"/>
    <w:rsid w:val="004726EF"/>
    <w:rsid w:val="00472F19"/>
    <w:rsid w:val="00474864"/>
    <w:rsid w:val="00474C48"/>
    <w:rsid w:val="00474C62"/>
    <w:rsid w:val="00476DE1"/>
    <w:rsid w:val="0047767E"/>
    <w:rsid w:val="0048055E"/>
    <w:rsid w:val="00480591"/>
    <w:rsid w:val="00480ADD"/>
    <w:rsid w:val="00482E90"/>
    <w:rsid w:val="00484D5A"/>
    <w:rsid w:val="00492570"/>
    <w:rsid w:val="00492AB5"/>
    <w:rsid w:val="004932BC"/>
    <w:rsid w:val="00497793"/>
    <w:rsid w:val="00497D53"/>
    <w:rsid w:val="00497E9A"/>
    <w:rsid w:val="004A0A2F"/>
    <w:rsid w:val="004A1EE7"/>
    <w:rsid w:val="004A4737"/>
    <w:rsid w:val="004A53A1"/>
    <w:rsid w:val="004A57B7"/>
    <w:rsid w:val="004A6374"/>
    <w:rsid w:val="004A73A1"/>
    <w:rsid w:val="004B175D"/>
    <w:rsid w:val="004B18D2"/>
    <w:rsid w:val="004B386A"/>
    <w:rsid w:val="004B76E3"/>
    <w:rsid w:val="004C1711"/>
    <w:rsid w:val="004C22AE"/>
    <w:rsid w:val="004C56C0"/>
    <w:rsid w:val="004D02A0"/>
    <w:rsid w:val="004D440D"/>
    <w:rsid w:val="004D6B7E"/>
    <w:rsid w:val="004E038B"/>
    <w:rsid w:val="004E0762"/>
    <w:rsid w:val="004E1A54"/>
    <w:rsid w:val="004E2626"/>
    <w:rsid w:val="004E2CE6"/>
    <w:rsid w:val="004E3490"/>
    <w:rsid w:val="004E3D15"/>
    <w:rsid w:val="004E4C39"/>
    <w:rsid w:val="004E4C3E"/>
    <w:rsid w:val="004E5D17"/>
    <w:rsid w:val="004E63A8"/>
    <w:rsid w:val="004E6F76"/>
    <w:rsid w:val="004F18DD"/>
    <w:rsid w:val="004F1E09"/>
    <w:rsid w:val="004F2E5A"/>
    <w:rsid w:val="004F4213"/>
    <w:rsid w:val="004F42E1"/>
    <w:rsid w:val="004F550A"/>
    <w:rsid w:val="004F692D"/>
    <w:rsid w:val="004F6CC3"/>
    <w:rsid w:val="004F7A9D"/>
    <w:rsid w:val="00501715"/>
    <w:rsid w:val="00502498"/>
    <w:rsid w:val="00502663"/>
    <w:rsid w:val="0050638B"/>
    <w:rsid w:val="00507B4B"/>
    <w:rsid w:val="00510CE7"/>
    <w:rsid w:val="00510FE2"/>
    <w:rsid w:val="005118C0"/>
    <w:rsid w:val="00512048"/>
    <w:rsid w:val="005122C8"/>
    <w:rsid w:val="00512DFC"/>
    <w:rsid w:val="00513CC7"/>
    <w:rsid w:val="005144A5"/>
    <w:rsid w:val="00516E53"/>
    <w:rsid w:val="00517FBC"/>
    <w:rsid w:val="0052114A"/>
    <w:rsid w:val="00522577"/>
    <w:rsid w:val="00522611"/>
    <w:rsid w:val="00522968"/>
    <w:rsid w:val="005232C6"/>
    <w:rsid w:val="00523AB2"/>
    <w:rsid w:val="005253E3"/>
    <w:rsid w:val="005270AA"/>
    <w:rsid w:val="00527EF6"/>
    <w:rsid w:val="00531578"/>
    <w:rsid w:val="00532FBA"/>
    <w:rsid w:val="005333F6"/>
    <w:rsid w:val="00535710"/>
    <w:rsid w:val="00535C6C"/>
    <w:rsid w:val="005364D8"/>
    <w:rsid w:val="00536C7B"/>
    <w:rsid w:val="00536F37"/>
    <w:rsid w:val="00540206"/>
    <w:rsid w:val="00541B39"/>
    <w:rsid w:val="00543E56"/>
    <w:rsid w:val="005443F2"/>
    <w:rsid w:val="00544663"/>
    <w:rsid w:val="0054519C"/>
    <w:rsid w:val="005455ED"/>
    <w:rsid w:val="005460F0"/>
    <w:rsid w:val="00546423"/>
    <w:rsid w:val="00546D77"/>
    <w:rsid w:val="005470DE"/>
    <w:rsid w:val="00550A47"/>
    <w:rsid w:val="00550FDB"/>
    <w:rsid w:val="00552709"/>
    <w:rsid w:val="00552B76"/>
    <w:rsid w:val="00553100"/>
    <w:rsid w:val="0055341A"/>
    <w:rsid w:val="0055459C"/>
    <w:rsid w:val="005559B6"/>
    <w:rsid w:val="005566AE"/>
    <w:rsid w:val="00560089"/>
    <w:rsid w:val="005633DD"/>
    <w:rsid w:val="00564820"/>
    <w:rsid w:val="00564B26"/>
    <w:rsid w:val="005675E2"/>
    <w:rsid w:val="0056771B"/>
    <w:rsid w:val="00567D94"/>
    <w:rsid w:val="00567F88"/>
    <w:rsid w:val="00570CA0"/>
    <w:rsid w:val="005734F9"/>
    <w:rsid w:val="00576A3F"/>
    <w:rsid w:val="00577B07"/>
    <w:rsid w:val="00577D51"/>
    <w:rsid w:val="00581C04"/>
    <w:rsid w:val="00581E78"/>
    <w:rsid w:val="00583EA4"/>
    <w:rsid w:val="0058478C"/>
    <w:rsid w:val="00585C12"/>
    <w:rsid w:val="00586337"/>
    <w:rsid w:val="00586606"/>
    <w:rsid w:val="00586F73"/>
    <w:rsid w:val="0059032F"/>
    <w:rsid w:val="00593115"/>
    <w:rsid w:val="0059368E"/>
    <w:rsid w:val="005946AA"/>
    <w:rsid w:val="0059471B"/>
    <w:rsid w:val="00596C05"/>
    <w:rsid w:val="005A108E"/>
    <w:rsid w:val="005A364E"/>
    <w:rsid w:val="005A3A90"/>
    <w:rsid w:val="005A5AC8"/>
    <w:rsid w:val="005A757A"/>
    <w:rsid w:val="005B0EAD"/>
    <w:rsid w:val="005B1A06"/>
    <w:rsid w:val="005B2791"/>
    <w:rsid w:val="005B3088"/>
    <w:rsid w:val="005B36EC"/>
    <w:rsid w:val="005B4A07"/>
    <w:rsid w:val="005B4DCF"/>
    <w:rsid w:val="005B5B12"/>
    <w:rsid w:val="005B60B8"/>
    <w:rsid w:val="005B694A"/>
    <w:rsid w:val="005B6C2B"/>
    <w:rsid w:val="005B7AAC"/>
    <w:rsid w:val="005B7B19"/>
    <w:rsid w:val="005C0564"/>
    <w:rsid w:val="005C107B"/>
    <w:rsid w:val="005C14A2"/>
    <w:rsid w:val="005C2EB0"/>
    <w:rsid w:val="005C374B"/>
    <w:rsid w:val="005C4A79"/>
    <w:rsid w:val="005C5FDA"/>
    <w:rsid w:val="005C6810"/>
    <w:rsid w:val="005C78D7"/>
    <w:rsid w:val="005D16B5"/>
    <w:rsid w:val="005D1B99"/>
    <w:rsid w:val="005D23D1"/>
    <w:rsid w:val="005D4D84"/>
    <w:rsid w:val="005D7997"/>
    <w:rsid w:val="005E12CB"/>
    <w:rsid w:val="005E218A"/>
    <w:rsid w:val="005E29C0"/>
    <w:rsid w:val="005E2EFB"/>
    <w:rsid w:val="005E4673"/>
    <w:rsid w:val="005E4B6E"/>
    <w:rsid w:val="005E5155"/>
    <w:rsid w:val="005E5C9A"/>
    <w:rsid w:val="005E656D"/>
    <w:rsid w:val="005E6CE9"/>
    <w:rsid w:val="005E745A"/>
    <w:rsid w:val="005E7631"/>
    <w:rsid w:val="005E7677"/>
    <w:rsid w:val="005E7F64"/>
    <w:rsid w:val="005F3602"/>
    <w:rsid w:val="005F38C5"/>
    <w:rsid w:val="005F4369"/>
    <w:rsid w:val="005F4BFE"/>
    <w:rsid w:val="005F4F32"/>
    <w:rsid w:val="005F7730"/>
    <w:rsid w:val="00600004"/>
    <w:rsid w:val="00600E52"/>
    <w:rsid w:val="006011AD"/>
    <w:rsid w:val="0060180E"/>
    <w:rsid w:val="00601E5B"/>
    <w:rsid w:val="00602DCE"/>
    <w:rsid w:val="00603592"/>
    <w:rsid w:val="006043F4"/>
    <w:rsid w:val="00604989"/>
    <w:rsid w:val="00606FB2"/>
    <w:rsid w:val="00607643"/>
    <w:rsid w:val="00607744"/>
    <w:rsid w:val="00610BC8"/>
    <w:rsid w:val="006124EB"/>
    <w:rsid w:val="00614940"/>
    <w:rsid w:val="006164C6"/>
    <w:rsid w:val="00616E6B"/>
    <w:rsid w:val="006174D3"/>
    <w:rsid w:val="00620274"/>
    <w:rsid w:val="00620282"/>
    <w:rsid w:val="00621B91"/>
    <w:rsid w:val="0062282C"/>
    <w:rsid w:val="00622874"/>
    <w:rsid w:val="00624094"/>
    <w:rsid w:val="0062430C"/>
    <w:rsid w:val="006247C4"/>
    <w:rsid w:val="00624E4B"/>
    <w:rsid w:val="0062603A"/>
    <w:rsid w:val="006263BD"/>
    <w:rsid w:val="006266E0"/>
    <w:rsid w:val="006304EF"/>
    <w:rsid w:val="00630E0E"/>
    <w:rsid w:val="00634654"/>
    <w:rsid w:val="006353E9"/>
    <w:rsid w:val="00635B3D"/>
    <w:rsid w:val="00635F35"/>
    <w:rsid w:val="00636C3A"/>
    <w:rsid w:val="00636FFB"/>
    <w:rsid w:val="00637900"/>
    <w:rsid w:val="0064053A"/>
    <w:rsid w:val="006405FC"/>
    <w:rsid w:val="00641606"/>
    <w:rsid w:val="00641D45"/>
    <w:rsid w:val="006431A9"/>
    <w:rsid w:val="00643EEB"/>
    <w:rsid w:val="00644D2C"/>
    <w:rsid w:val="00644FE8"/>
    <w:rsid w:val="00645B68"/>
    <w:rsid w:val="00645CFA"/>
    <w:rsid w:val="00645FD4"/>
    <w:rsid w:val="00647A4C"/>
    <w:rsid w:val="00650E30"/>
    <w:rsid w:val="006515AB"/>
    <w:rsid w:val="00651EFF"/>
    <w:rsid w:val="0065559B"/>
    <w:rsid w:val="00656516"/>
    <w:rsid w:val="00660AE2"/>
    <w:rsid w:val="00663025"/>
    <w:rsid w:val="00663C54"/>
    <w:rsid w:val="006642E9"/>
    <w:rsid w:val="00670385"/>
    <w:rsid w:val="00671669"/>
    <w:rsid w:val="00673310"/>
    <w:rsid w:val="00673C92"/>
    <w:rsid w:val="00674F1A"/>
    <w:rsid w:val="00675278"/>
    <w:rsid w:val="00680994"/>
    <w:rsid w:val="00681A7F"/>
    <w:rsid w:val="00682A01"/>
    <w:rsid w:val="006834B7"/>
    <w:rsid w:val="00683BFB"/>
    <w:rsid w:val="00683C7B"/>
    <w:rsid w:val="00686C82"/>
    <w:rsid w:val="00686D3F"/>
    <w:rsid w:val="00686D9C"/>
    <w:rsid w:val="00686F51"/>
    <w:rsid w:val="00687909"/>
    <w:rsid w:val="00687ABB"/>
    <w:rsid w:val="00690151"/>
    <w:rsid w:val="00695514"/>
    <w:rsid w:val="00696A86"/>
    <w:rsid w:val="00697ABB"/>
    <w:rsid w:val="006A03E5"/>
    <w:rsid w:val="006A0473"/>
    <w:rsid w:val="006A11C5"/>
    <w:rsid w:val="006A15B0"/>
    <w:rsid w:val="006A1812"/>
    <w:rsid w:val="006A2BF5"/>
    <w:rsid w:val="006A3CC0"/>
    <w:rsid w:val="006A3FEA"/>
    <w:rsid w:val="006A43F5"/>
    <w:rsid w:val="006A4457"/>
    <w:rsid w:val="006A75AE"/>
    <w:rsid w:val="006B0A14"/>
    <w:rsid w:val="006B0C36"/>
    <w:rsid w:val="006B0F68"/>
    <w:rsid w:val="006B1146"/>
    <w:rsid w:val="006B1574"/>
    <w:rsid w:val="006B1825"/>
    <w:rsid w:val="006B27F4"/>
    <w:rsid w:val="006B338C"/>
    <w:rsid w:val="006B365C"/>
    <w:rsid w:val="006B3D22"/>
    <w:rsid w:val="006B4749"/>
    <w:rsid w:val="006B67DE"/>
    <w:rsid w:val="006C0D79"/>
    <w:rsid w:val="006C0FAC"/>
    <w:rsid w:val="006C132F"/>
    <w:rsid w:val="006C28AC"/>
    <w:rsid w:val="006C3D90"/>
    <w:rsid w:val="006C52BC"/>
    <w:rsid w:val="006C657D"/>
    <w:rsid w:val="006D0DE0"/>
    <w:rsid w:val="006D1C38"/>
    <w:rsid w:val="006D23BD"/>
    <w:rsid w:val="006D2C32"/>
    <w:rsid w:val="006D3302"/>
    <w:rsid w:val="006D49DF"/>
    <w:rsid w:val="006D5BC4"/>
    <w:rsid w:val="006D7FEA"/>
    <w:rsid w:val="006E1618"/>
    <w:rsid w:val="006E2B8C"/>
    <w:rsid w:val="006E2DFD"/>
    <w:rsid w:val="006E3DE9"/>
    <w:rsid w:val="006E4802"/>
    <w:rsid w:val="006E5488"/>
    <w:rsid w:val="006E5536"/>
    <w:rsid w:val="006E5920"/>
    <w:rsid w:val="006E62D0"/>
    <w:rsid w:val="006E6B73"/>
    <w:rsid w:val="006E6D6A"/>
    <w:rsid w:val="006E72E7"/>
    <w:rsid w:val="006E7E8E"/>
    <w:rsid w:val="006F03B9"/>
    <w:rsid w:val="006F1464"/>
    <w:rsid w:val="006F18F7"/>
    <w:rsid w:val="006F2825"/>
    <w:rsid w:val="006F2A41"/>
    <w:rsid w:val="006F2FA8"/>
    <w:rsid w:val="006F313F"/>
    <w:rsid w:val="006F519C"/>
    <w:rsid w:val="006F5840"/>
    <w:rsid w:val="00701477"/>
    <w:rsid w:val="00702B4B"/>
    <w:rsid w:val="0070506E"/>
    <w:rsid w:val="00705976"/>
    <w:rsid w:val="007060CC"/>
    <w:rsid w:val="00707D4A"/>
    <w:rsid w:val="0071047E"/>
    <w:rsid w:val="00710AC2"/>
    <w:rsid w:val="00710D9B"/>
    <w:rsid w:val="00712835"/>
    <w:rsid w:val="00712D63"/>
    <w:rsid w:val="00716C51"/>
    <w:rsid w:val="00717997"/>
    <w:rsid w:val="0072205A"/>
    <w:rsid w:val="007228EB"/>
    <w:rsid w:val="00722AA4"/>
    <w:rsid w:val="00722DEB"/>
    <w:rsid w:val="00723EA1"/>
    <w:rsid w:val="00724B0B"/>
    <w:rsid w:val="00725779"/>
    <w:rsid w:val="00725C28"/>
    <w:rsid w:val="00727954"/>
    <w:rsid w:val="00727C56"/>
    <w:rsid w:val="00730473"/>
    <w:rsid w:val="00731782"/>
    <w:rsid w:val="00732A14"/>
    <w:rsid w:val="00732ECC"/>
    <w:rsid w:val="0073660B"/>
    <w:rsid w:val="00737723"/>
    <w:rsid w:val="007407A9"/>
    <w:rsid w:val="007423A6"/>
    <w:rsid w:val="007430AE"/>
    <w:rsid w:val="00743983"/>
    <w:rsid w:val="007462CC"/>
    <w:rsid w:val="00746C4A"/>
    <w:rsid w:val="00746C64"/>
    <w:rsid w:val="00747C78"/>
    <w:rsid w:val="007508A7"/>
    <w:rsid w:val="00751ECC"/>
    <w:rsid w:val="00752033"/>
    <w:rsid w:val="007522CD"/>
    <w:rsid w:val="00752BC2"/>
    <w:rsid w:val="007536B8"/>
    <w:rsid w:val="007547E7"/>
    <w:rsid w:val="00755D48"/>
    <w:rsid w:val="00756467"/>
    <w:rsid w:val="00757265"/>
    <w:rsid w:val="007600E3"/>
    <w:rsid w:val="00760300"/>
    <w:rsid w:val="00760F34"/>
    <w:rsid w:val="007626B6"/>
    <w:rsid w:val="007626E6"/>
    <w:rsid w:val="00762B4C"/>
    <w:rsid w:val="00763D42"/>
    <w:rsid w:val="007641D6"/>
    <w:rsid w:val="00765AA2"/>
    <w:rsid w:val="00766291"/>
    <w:rsid w:val="00766EA3"/>
    <w:rsid w:val="0076741F"/>
    <w:rsid w:val="0076770C"/>
    <w:rsid w:val="00767BD2"/>
    <w:rsid w:val="00771399"/>
    <w:rsid w:val="0077175E"/>
    <w:rsid w:val="007717A7"/>
    <w:rsid w:val="00775011"/>
    <w:rsid w:val="007752D1"/>
    <w:rsid w:val="00780C26"/>
    <w:rsid w:val="00782A5E"/>
    <w:rsid w:val="007840C6"/>
    <w:rsid w:val="00784843"/>
    <w:rsid w:val="00784A3A"/>
    <w:rsid w:val="00785BA9"/>
    <w:rsid w:val="00787D26"/>
    <w:rsid w:val="007920BD"/>
    <w:rsid w:val="00792ADA"/>
    <w:rsid w:val="0079359B"/>
    <w:rsid w:val="00794BA8"/>
    <w:rsid w:val="00796A10"/>
    <w:rsid w:val="007978E1"/>
    <w:rsid w:val="007A0B42"/>
    <w:rsid w:val="007A16FD"/>
    <w:rsid w:val="007A2A22"/>
    <w:rsid w:val="007A2DE6"/>
    <w:rsid w:val="007A40DD"/>
    <w:rsid w:val="007A466E"/>
    <w:rsid w:val="007A4AEB"/>
    <w:rsid w:val="007A4D0C"/>
    <w:rsid w:val="007A60F6"/>
    <w:rsid w:val="007A6426"/>
    <w:rsid w:val="007A729E"/>
    <w:rsid w:val="007A7432"/>
    <w:rsid w:val="007A794E"/>
    <w:rsid w:val="007B0B44"/>
    <w:rsid w:val="007B0E93"/>
    <w:rsid w:val="007B1AC9"/>
    <w:rsid w:val="007B200D"/>
    <w:rsid w:val="007B5079"/>
    <w:rsid w:val="007B5992"/>
    <w:rsid w:val="007B7976"/>
    <w:rsid w:val="007C0F37"/>
    <w:rsid w:val="007C14C1"/>
    <w:rsid w:val="007C1C87"/>
    <w:rsid w:val="007C27C9"/>
    <w:rsid w:val="007C2EF7"/>
    <w:rsid w:val="007C5B44"/>
    <w:rsid w:val="007C67BC"/>
    <w:rsid w:val="007C69BC"/>
    <w:rsid w:val="007C7129"/>
    <w:rsid w:val="007D0299"/>
    <w:rsid w:val="007D2471"/>
    <w:rsid w:val="007D25F3"/>
    <w:rsid w:val="007D3EEF"/>
    <w:rsid w:val="007D52FF"/>
    <w:rsid w:val="007D6072"/>
    <w:rsid w:val="007E07B8"/>
    <w:rsid w:val="007E1F22"/>
    <w:rsid w:val="007E308C"/>
    <w:rsid w:val="007E402E"/>
    <w:rsid w:val="007E4AFB"/>
    <w:rsid w:val="007E5E7E"/>
    <w:rsid w:val="007E6EF5"/>
    <w:rsid w:val="007E746B"/>
    <w:rsid w:val="007F0B6A"/>
    <w:rsid w:val="007F1D3F"/>
    <w:rsid w:val="007F233D"/>
    <w:rsid w:val="007F3144"/>
    <w:rsid w:val="007F3E6A"/>
    <w:rsid w:val="007F56E0"/>
    <w:rsid w:val="007F5796"/>
    <w:rsid w:val="007F5892"/>
    <w:rsid w:val="007F6F79"/>
    <w:rsid w:val="0080017E"/>
    <w:rsid w:val="008022C6"/>
    <w:rsid w:val="00802482"/>
    <w:rsid w:val="008031E7"/>
    <w:rsid w:val="00804DBE"/>
    <w:rsid w:val="00805FAA"/>
    <w:rsid w:val="00806643"/>
    <w:rsid w:val="00807232"/>
    <w:rsid w:val="00810F0D"/>
    <w:rsid w:val="0081167F"/>
    <w:rsid w:val="008116BA"/>
    <w:rsid w:val="00816F23"/>
    <w:rsid w:val="00816F8E"/>
    <w:rsid w:val="00817BB6"/>
    <w:rsid w:val="00820D13"/>
    <w:rsid w:val="00820E9D"/>
    <w:rsid w:val="00822068"/>
    <w:rsid w:val="008224D7"/>
    <w:rsid w:val="00822F43"/>
    <w:rsid w:val="0082326B"/>
    <w:rsid w:val="00823796"/>
    <w:rsid w:val="008238DD"/>
    <w:rsid w:val="00823D7B"/>
    <w:rsid w:val="00824838"/>
    <w:rsid w:val="00824BE3"/>
    <w:rsid w:val="00825985"/>
    <w:rsid w:val="00826A81"/>
    <w:rsid w:val="0083050C"/>
    <w:rsid w:val="00830BC4"/>
    <w:rsid w:val="00830F80"/>
    <w:rsid w:val="00832552"/>
    <w:rsid w:val="008328BD"/>
    <w:rsid w:val="00832EB6"/>
    <w:rsid w:val="00833790"/>
    <w:rsid w:val="008339B8"/>
    <w:rsid w:val="00833B7E"/>
    <w:rsid w:val="00834ACC"/>
    <w:rsid w:val="00834F51"/>
    <w:rsid w:val="00836D3B"/>
    <w:rsid w:val="00837C10"/>
    <w:rsid w:val="008465B4"/>
    <w:rsid w:val="008465E9"/>
    <w:rsid w:val="00846B24"/>
    <w:rsid w:val="008503BA"/>
    <w:rsid w:val="00852EE6"/>
    <w:rsid w:val="0085619F"/>
    <w:rsid w:val="008571E3"/>
    <w:rsid w:val="008577AC"/>
    <w:rsid w:val="00860218"/>
    <w:rsid w:val="00860A57"/>
    <w:rsid w:val="008634B6"/>
    <w:rsid w:val="00864350"/>
    <w:rsid w:val="00864A8E"/>
    <w:rsid w:val="008651A9"/>
    <w:rsid w:val="00866DF0"/>
    <w:rsid w:val="008700D7"/>
    <w:rsid w:val="008707B1"/>
    <w:rsid w:val="00870E08"/>
    <w:rsid w:val="0087118B"/>
    <w:rsid w:val="008714EA"/>
    <w:rsid w:val="00872382"/>
    <w:rsid w:val="00872828"/>
    <w:rsid w:val="00872859"/>
    <w:rsid w:val="0087289E"/>
    <w:rsid w:val="00872F41"/>
    <w:rsid w:val="00875814"/>
    <w:rsid w:val="00875E59"/>
    <w:rsid w:val="008769FC"/>
    <w:rsid w:val="00877423"/>
    <w:rsid w:val="00877A8B"/>
    <w:rsid w:val="00881146"/>
    <w:rsid w:val="008827E9"/>
    <w:rsid w:val="00882961"/>
    <w:rsid w:val="00884695"/>
    <w:rsid w:val="008860E0"/>
    <w:rsid w:val="00887F92"/>
    <w:rsid w:val="008913F6"/>
    <w:rsid w:val="0089165B"/>
    <w:rsid w:val="008917BF"/>
    <w:rsid w:val="00891CC6"/>
    <w:rsid w:val="00892365"/>
    <w:rsid w:val="008937A8"/>
    <w:rsid w:val="00894138"/>
    <w:rsid w:val="00894E82"/>
    <w:rsid w:val="00895BEE"/>
    <w:rsid w:val="0089627E"/>
    <w:rsid w:val="00896471"/>
    <w:rsid w:val="008967E5"/>
    <w:rsid w:val="008A00D5"/>
    <w:rsid w:val="008A0DE7"/>
    <w:rsid w:val="008A0FEE"/>
    <w:rsid w:val="008A1382"/>
    <w:rsid w:val="008A165A"/>
    <w:rsid w:val="008A1CE5"/>
    <w:rsid w:val="008A32D3"/>
    <w:rsid w:val="008A4780"/>
    <w:rsid w:val="008A4840"/>
    <w:rsid w:val="008A4BC9"/>
    <w:rsid w:val="008B08C7"/>
    <w:rsid w:val="008B0F4D"/>
    <w:rsid w:val="008B2043"/>
    <w:rsid w:val="008B23D2"/>
    <w:rsid w:val="008B3534"/>
    <w:rsid w:val="008B5DB7"/>
    <w:rsid w:val="008B60D2"/>
    <w:rsid w:val="008C0622"/>
    <w:rsid w:val="008C1014"/>
    <w:rsid w:val="008C1E40"/>
    <w:rsid w:val="008C39BE"/>
    <w:rsid w:val="008C542E"/>
    <w:rsid w:val="008C54F5"/>
    <w:rsid w:val="008C607F"/>
    <w:rsid w:val="008C6143"/>
    <w:rsid w:val="008C6761"/>
    <w:rsid w:val="008D03DF"/>
    <w:rsid w:val="008D375E"/>
    <w:rsid w:val="008D5BD1"/>
    <w:rsid w:val="008D6546"/>
    <w:rsid w:val="008D6C6C"/>
    <w:rsid w:val="008E0B47"/>
    <w:rsid w:val="008E15AF"/>
    <w:rsid w:val="008E1E61"/>
    <w:rsid w:val="008E2BEC"/>
    <w:rsid w:val="008E4CA4"/>
    <w:rsid w:val="008E5751"/>
    <w:rsid w:val="008E7A9F"/>
    <w:rsid w:val="008F1333"/>
    <w:rsid w:val="008F136F"/>
    <w:rsid w:val="008F281A"/>
    <w:rsid w:val="008F33C8"/>
    <w:rsid w:val="008F4802"/>
    <w:rsid w:val="008F4962"/>
    <w:rsid w:val="008F53D6"/>
    <w:rsid w:val="008F72F5"/>
    <w:rsid w:val="008F746E"/>
    <w:rsid w:val="0090010C"/>
    <w:rsid w:val="00901CE4"/>
    <w:rsid w:val="009025B9"/>
    <w:rsid w:val="00902F9A"/>
    <w:rsid w:val="00903656"/>
    <w:rsid w:val="00906ECC"/>
    <w:rsid w:val="009074F7"/>
    <w:rsid w:val="00910BAB"/>
    <w:rsid w:val="00910D79"/>
    <w:rsid w:val="00911196"/>
    <w:rsid w:val="00912D2E"/>
    <w:rsid w:val="00912DDF"/>
    <w:rsid w:val="009134D7"/>
    <w:rsid w:val="0091398B"/>
    <w:rsid w:val="009139B6"/>
    <w:rsid w:val="00914AEC"/>
    <w:rsid w:val="00916306"/>
    <w:rsid w:val="009166CB"/>
    <w:rsid w:val="00916952"/>
    <w:rsid w:val="009176F7"/>
    <w:rsid w:val="00920375"/>
    <w:rsid w:val="00920AD6"/>
    <w:rsid w:val="009217E6"/>
    <w:rsid w:val="009235E6"/>
    <w:rsid w:val="00923E43"/>
    <w:rsid w:val="00924737"/>
    <w:rsid w:val="00925673"/>
    <w:rsid w:val="0092779B"/>
    <w:rsid w:val="00930FBD"/>
    <w:rsid w:val="00931682"/>
    <w:rsid w:val="00931D75"/>
    <w:rsid w:val="009322D7"/>
    <w:rsid w:val="00935B44"/>
    <w:rsid w:val="00935C98"/>
    <w:rsid w:val="009361BB"/>
    <w:rsid w:val="00936470"/>
    <w:rsid w:val="009405C6"/>
    <w:rsid w:val="0094080E"/>
    <w:rsid w:val="00940CF6"/>
    <w:rsid w:val="00941C0D"/>
    <w:rsid w:val="00942440"/>
    <w:rsid w:val="0094611E"/>
    <w:rsid w:val="00946188"/>
    <w:rsid w:val="00946431"/>
    <w:rsid w:val="00946BD4"/>
    <w:rsid w:val="0094766B"/>
    <w:rsid w:val="009500EE"/>
    <w:rsid w:val="00950E89"/>
    <w:rsid w:val="00952F2F"/>
    <w:rsid w:val="00953ADE"/>
    <w:rsid w:val="00953B93"/>
    <w:rsid w:val="0095533F"/>
    <w:rsid w:val="009568BA"/>
    <w:rsid w:val="0096535C"/>
    <w:rsid w:val="00965838"/>
    <w:rsid w:val="00966077"/>
    <w:rsid w:val="00966A75"/>
    <w:rsid w:val="00967D6F"/>
    <w:rsid w:val="009708F6"/>
    <w:rsid w:val="00972131"/>
    <w:rsid w:val="009733C9"/>
    <w:rsid w:val="00974D91"/>
    <w:rsid w:val="0097707E"/>
    <w:rsid w:val="009776FD"/>
    <w:rsid w:val="0098014F"/>
    <w:rsid w:val="00980D70"/>
    <w:rsid w:val="0098189C"/>
    <w:rsid w:val="00982DC3"/>
    <w:rsid w:val="00983382"/>
    <w:rsid w:val="009857DB"/>
    <w:rsid w:val="00985CE0"/>
    <w:rsid w:val="00987B44"/>
    <w:rsid w:val="009903BC"/>
    <w:rsid w:val="00994D5E"/>
    <w:rsid w:val="00995B32"/>
    <w:rsid w:val="009A0F9A"/>
    <w:rsid w:val="009A17F4"/>
    <w:rsid w:val="009A3613"/>
    <w:rsid w:val="009A4A32"/>
    <w:rsid w:val="009A515C"/>
    <w:rsid w:val="009A5BFA"/>
    <w:rsid w:val="009A60B1"/>
    <w:rsid w:val="009A7444"/>
    <w:rsid w:val="009A7E31"/>
    <w:rsid w:val="009B0493"/>
    <w:rsid w:val="009B109D"/>
    <w:rsid w:val="009B135C"/>
    <w:rsid w:val="009B3D60"/>
    <w:rsid w:val="009B5834"/>
    <w:rsid w:val="009B61BA"/>
    <w:rsid w:val="009B6BB2"/>
    <w:rsid w:val="009B6F31"/>
    <w:rsid w:val="009B7647"/>
    <w:rsid w:val="009B773D"/>
    <w:rsid w:val="009C1405"/>
    <w:rsid w:val="009C4A47"/>
    <w:rsid w:val="009C4E74"/>
    <w:rsid w:val="009C63DD"/>
    <w:rsid w:val="009C6736"/>
    <w:rsid w:val="009C6CC9"/>
    <w:rsid w:val="009C7CC3"/>
    <w:rsid w:val="009C7EE5"/>
    <w:rsid w:val="009C7F1D"/>
    <w:rsid w:val="009D0770"/>
    <w:rsid w:val="009D1A3D"/>
    <w:rsid w:val="009D1AF5"/>
    <w:rsid w:val="009D1C88"/>
    <w:rsid w:val="009D257A"/>
    <w:rsid w:val="009D444C"/>
    <w:rsid w:val="009D45AD"/>
    <w:rsid w:val="009D5D8D"/>
    <w:rsid w:val="009D6705"/>
    <w:rsid w:val="009E3031"/>
    <w:rsid w:val="009E32F2"/>
    <w:rsid w:val="009E39C9"/>
    <w:rsid w:val="009E51BD"/>
    <w:rsid w:val="009E6344"/>
    <w:rsid w:val="009E6F4C"/>
    <w:rsid w:val="009E7BCE"/>
    <w:rsid w:val="009F06AC"/>
    <w:rsid w:val="009F2312"/>
    <w:rsid w:val="009F2AA6"/>
    <w:rsid w:val="009F35DF"/>
    <w:rsid w:val="009F3E91"/>
    <w:rsid w:val="009F4146"/>
    <w:rsid w:val="009F503E"/>
    <w:rsid w:val="009F5052"/>
    <w:rsid w:val="009F6A9B"/>
    <w:rsid w:val="00A00E02"/>
    <w:rsid w:val="00A026A7"/>
    <w:rsid w:val="00A04A36"/>
    <w:rsid w:val="00A04B00"/>
    <w:rsid w:val="00A04CED"/>
    <w:rsid w:val="00A050E2"/>
    <w:rsid w:val="00A075CB"/>
    <w:rsid w:val="00A07E10"/>
    <w:rsid w:val="00A105E4"/>
    <w:rsid w:val="00A11FDB"/>
    <w:rsid w:val="00A12395"/>
    <w:rsid w:val="00A1353A"/>
    <w:rsid w:val="00A1664D"/>
    <w:rsid w:val="00A1689F"/>
    <w:rsid w:val="00A17711"/>
    <w:rsid w:val="00A17A05"/>
    <w:rsid w:val="00A17E28"/>
    <w:rsid w:val="00A206DA"/>
    <w:rsid w:val="00A21076"/>
    <w:rsid w:val="00A211E0"/>
    <w:rsid w:val="00A21228"/>
    <w:rsid w:val="00A21C3B"/>
    <w:rsid w:val="00A23B57"/>
    <w:rsid w:val="00A24C7D"/>
    <w:rsid w:val="00A257A0"/>
    <w:rsid w:val="00A25D96"/>
    <w:rsid w:val="00A2710B"/>
    <w:rsid w:val="00A2711B"/>
    <w:rsid w:val="00A30768"/>
    <w:rsid w:val="00A315F3"/>
    <w:rsid w:val="00A317C1"/>
    <w:rsid w:val="00A317D4"/>
    <w:rsid w:val="00A31A88"/>
    <w:rsid w:val="00A31B3D"/>
    <w:rsid w:val="00A33CB8"/>
    <w:rsid w:val="00A36CAB"/>
    <w:rsid w:val="00A4017E"/>
    <w:rsid w:val="00A42A43"/>
    <w:rsid w:val="00A4482D"/>
    <w:rsid w:val="00A44841"/>
    <w:rsid w:val="00A4626C"/>
    <w:rsid w:val="00A46A0C"/>
    <w:rsid w:val="00A47491"/>
    <w:rsid w:val="00A476D4"/>
    <w:rsid w:val="00A47C5C"/>
    <w:rsid w:val="00A47FCE"/>
    <w:rsid w:val="00A51CAA"/>
    <w:rsid w:val="00A522E6"/>
    <w:rsid w:val="00A52DE0"/>
    <w:rsid w:val="00A52EF7"/>
    <w:rsid w:val="00A53B32"/>
    <w:rsid w:val="00A5410F"/>
    <w:rsid w:val="00A54CA8"/>
    <w:rsid w:val="00A5537C"/>
    <w:rsid w:val="00A5586B"/>
    <w:rsid w:val="00A578C3"/>
    <w:rsid w:val="00A6054D"/>
    <w:rsid w:val="00A627E0"/>
    <w:rsid w:val="00A64F1B"/>
    <w:rsid w:val="00A653DD"/>
    <w:rsid w:val="00A654C7"/>
    <w:rsid w:val="00A6552F"/>
    <w:rsid w:val="00A657ED"/>
    <w:rsid w:val="00A66717"/>
    <w:rsid w:val="00A66801"/>
    <w:rsid w:val="00A67130"/>
    <w:rsid w:val="00A71C22"/>
    <w:rsid w:val="00A74564"/>
    <w:rsid w:val="00A74FD7"/>
    <w:rsid w:val="00A7695A"/>
    <w:rsid w:val="00A80ED5"/>
    <w:rsid w:val="00A8240A"/>
    <w:rsid w:val="00A82D5D"/>
    <w:rsid w:val="00A83716"/>
    <w:rsid w:val="00A8382D"/>
    <w:rsid w:val="00A838D6"/>
    <w:rsid w:val="00A83B64"/>
    <w:rsid w:val="00A84072"/>
    <w:rsid w:val="00A84D96"/>
    <w:rsid w:val="00A87E21"/>
    <w:rsid w:val="00A90147"/>
    <w:rsid w:val="00A91025"/>
    <w:rsid w:val="00A92E57"/>
    <w:rsid w:val="00A93187"/>
    <w:rsid w:val="00A95400"/>
    <w:rsid w:val="00A97690"/>
    <w:rsid w:val="00AA1D51"/>
    <w:rsid w:val="00AA2617"/>
    <w:rsid w:val="00AA3088"/>
    <w:rsid w:val="00AA3F1E"/>
    <w:rsid w:val="00AA44E4"/>
    <w:rsid w:val="00AA6830"/>
    <w:rsid w:val="00AA7C99"/>
    <w:rsid w:val="00AB02F3"/>
    <w:rsid w:val="00AB2216"/>
    <w:rsid w:val="00AB3A98"/>
    <w:rsid w:val="00AB4150"/>
    <w:rsid w:val="00AB4153"/>
    <w:rsid w:val="00AB4F74"/>
    <w:rsid w:val="00AB7750"/>
    <w:rsid w:val="00AB7C47"/>
    <w:rsid w:val="00AC0CE3"/>
    <w:rsid w:val="00AC393F"/>
    <w:rsid w:val="00AC3E16"/>
    <w:rsid w:val="00AC4FDB"/>
    <w:rsid w:val="00AC5F97"/>
    <w:rsid w:val="00AC6907"/>
    <w:rsid w:val="00AD44CF"/>
    <w:rsid w:val="00AD6216"/>
    <w:rsid w:val="00AD6986"/>
    <w:rsid w:val="00AE27C4"/>
    <w:rsid w:val="00AE27EB"/>
    <w:rsid w:val="00AE4441"/>
    <w:rsid w:val="00AE4FA9"/>
    <w:rsid w:val="00AE5638"/>
    <w:rsid w:val="00AE6334"/>
    <w:rsid w:val="00AE6942"/>
    <w:rsid w:val="00AE6E00"/>
    <w:rsid w:val="00AF0FA5"/>
    <w:rsid w:val="00AF1B03"/>
    <w:rsid w:val="00AF56FB"/>
    <w:rsid w:val="00AF5CCF"/>
    <w:rsid w:val="00AF6AE4"/>
    <w:rsid w:val="00AF7B1B"/>
    <w:rsid w:val="00AF7DDB"/>
    <w:rsid w:val="00B00F51"/>
    <w:rsid w:val="00B01998"/>
    <w:rsid w:val="00B03896"/>
    <w:rsid w:val="00B0545F"/>
    <w:rsid w:val="00B066B0"/>
    <w:rsid w:val="00B06C8F"/>
    <w:rsid w:val="00B13E84"/>
    <w:rsid w:val="00B14405"/>
    <w:rsid w:val="00B160FF"/>
    <w:rsid w:val="00B16C95"/>
    <w:rsid w:val="00B170FD"/>
    <w:rsid w:val="00B1745B"/>
    <w:rsid w:val="00B17B7E"/>
    <w:rsid w:val="00B206FC"/>
    <w:rsid w:val="00B21B86"/>
    <w:rsid w:val="00B2368C"/>
    <w:rsid w:val="00B23C8F"/>
    <w:rsid w:val="00B257E3"/>
    <w:rsid w:val="00B27CFF"/>
    <w:rsid w:val="00B302C1"/>
    <w:rsid w:val="00B3156C"/>
    <w:rsid w:val="00B3205F"/>
    <w:rsid w:val="00B32553"/>
    <w:rsid w:val="00B329D3"/>
    <w:rsid w:val="00B32A7A"/>
    <w:rsid w:val="00B33AD1"/>
    <w:rsid w:val="00B357F3"/>
    <w:rsid w:val="00B37FA4"/>
    <w:rsid w:val="00B4056F"/>
    <w:rsid w:val="00B40A40"/>
    <w:rsid w:val="00B42328"/>
    <w:rsid w:val="00B43AD2"/>
    <w:rsid w:val="00B43F44"/>
    <w:rsid w:val="00B44679"/>
    <w:rsid w:val="00B45D07"/>
    <w:rsid w:val="00B45EC1"/>
    <w:rsid w:val="00B47423"/>
    <w:rsid w:val="00B47F65"/>
    <w:rsid w:val="00B50B08"/>
    <w:rsid w:val="00B511C4"/>
    <w:rsid w:val="00B52023"/>
    <w:rsid w:val="00B525B7"/>
    <w:rsid w:val="00B53C0A"/>
    <w:rsid w:val="00B54479"/>
    <w:rsid w:val="00B54CE6"/>
    <w:rsid w:val="00B55F4C"/>
    <w:rsid w:val="00B57A71"/>
    <w:rsid w:val="00B60A5B"/>
    <w:rsid w:val="00B612C2"/>
    <w:rsid w:val="00B62FA1"/>
    <w:rsid w:val="00B63015"/>
    <w:rsid w:val="00B63895"/>
    <w:rsid w:val="00B639C1"/>
    <w:rsid w:val="00B63F97"/>
    <w:rsid w:val="00B64ED3"/>
    <w:rsid w:val="00B66B42"/>
    <w:rsid w:val="00B673B3"/>
    <w:rsid w:val="00B7091A"/>
    <w:rsid w:val="00B70F27"/>
    <w:rsid w:val="00B72BAA"/>
    <w:rsid w:val="00B73845"/>
    <w:rsid w:val="00B740FD"/>
    <w:rsid w:val="00B74686"/>
    <w:rsid w:val="00B74AA9"/>
    <w:rsid w:val="00B75DFE"/>
    <w:rsid w:val="00B7786A"/>
    <w:rsid w:val="00B826B4"/>
    <w:rsid w:val="00B829BF"/>
    <w:rsid w:val="00B835F0"/>
    <w:rsid w:val="00B84F95"/>
    <w:rsid w:val="00B85C4F"/>
    <w:rsid w:val="00B85E2E"/>
    <w:rsid w:val="00B90400"/>
    <w:rsid w:val="00B91D4C"/>
    <w:rsid w:val="00B92F48"/>
    <w:rsid w:val="00B93F5C"/>
    <w:rsid w:val="00B941D6"/>
    <w:rsid w:val="00B9423F"/>
    <w:rsid w:val="00B9477B"/>
    <w:rsid w:val="00B9490D"/>
    <w:rsid w:val="00B94AD4"/>
    <w:rsid w:val="00B9736F"/>
    <w:rsid w:val="00BA0F5F"/>
    <w:rsid w:val="00BA1F50"/>
    <w:rsid w:val="00BA292A"/>
    <w:rsid w:val="00BA2BFD"/>
    <w:rsid w:val="00BA3A60"/>
    <w:rsid w:val="00BA5A82"/>
    <w:rsid w:val="00BA74EC"/>
    <w:rsid w:val="00BB0268"/>
    <w:rsid w:val="00BB14C1"/>
    <w:rsid w:val="00BB1743"/>
    <w:rsid w:val="00BB184D"/>
    <w:rsid w:val="00BB2AFA"/>
    <w:rsid w:val="00BB41FB"/>
    <w:rsid w:val="00BB4810"/>
    <w:rsid w:val="00BB4D69"/>
    <w:rsid w:val="00BB58C9"/>
    <w:rsid w:val="00BB79BE"/>
    <w:rsid w:val="00BB7EC3"/>
    <w:rsid w:val="00BC0289"/>
    <w:rsid w:val="00BC0964"/>
    <w:rsid w:val="00BC13E7"/>
    <w:rsid w:val="00BC377A"/>
    <w:rsid w:val="00BC47C0"/>
    <w:rsid w:val="00BC4F30"/>
    <w:rsid w:val="00BC65D1"/>
    <w:rsid w:val="00BD50F8"/>
    <w:rsid w:val="00BD5EE6"/>
    <w:rsid w:val="00BD7647"/>
    <w:rsid w:val="00BD794B"/>
    <w:rsid w:val="00BE0221"/>
    <w:rsid w:val="00BE08F2"/>
    <w:rsid w:val="00BE0C05"/>
    <w:rsid w:val="00BF074D"/>
    <w:rsid w:val="00BF4269"/>
    <w:rsid w:val="00BF5EA9"/>
    <w:rsid w:val="00BF60C4"/>
    <w:rsid w:val="00C00E84"/>
    <w:rsid w:val="00C01689"/>
    <w:rsid w:val="00C016F3"/>
    <w:rsid w:val="00C02111"/>
    <w:rsid w:val="00C02252"/>
    <w:rsid w:val="00C04330"/>
    <w:rsid w:val="00C058EF"/>
    <w:rsid w:val="00C06905"/>
    <w:rsid w:val="00C06B72"/>
    <w:rsid w:val="00C10F0A"/>
    <w:rsid w:val="00C10FA1"/>
    <w:rsid w:val="00C12475"/>
    <w:rsid w:val="00C12903"/>
    <w:rsid w:val="00C13D22"/>
    <w:rsid w:val="00C141F6"/>
    <w:rsid w:val="00C15698"/>
    <w:rsid w:val="00C16229"/>
    <w:rsid w:val="00C1651D"/>
    <w:rsid w:val="00C16A08"/>
    <w:rsid w:val="00C16B01"/>
    <w:rsid w:val="00C16D98"/>
    <w:rsid w:val="00C223D2"/>
    <w:rsid w:val="00C224D7"/>
    <w:rsid w:val="00C22665"/>
    <w:rsid w:val="00C26168"/>
    <w:rsid w:val="00C30B7E"/>
    <w:rsid w:val="00C30DC6"/>
    <w:rsid w:val="00C30DDD"/>
    <w:rsid w:val="00C32465"/>
    <w:rsid w:val="00C336F9"/>
    <w:rsid w:val="00C34504"/>
    <w:rsid w:val="00C3494B"/>
    <w:rsid w:val="00C3615F"/>
    <w:rsid w:val="00C368F3"/>
    <w:rsid w:val="00C37EE4"/>
    <w:rsid w:val="00C408AC"/>
    <w:rsid w:val="00C41C32"/>
    <w:rsid w:val="00C41E39"/>
    <w:rsid w:val="00C458DA"/>
    <w:rsid w:val="00C460C4"/>
    <w:rsid w:val="00C47827"/>
    <w:rsid w:val="00C47939"/>
    <w:rsid w:val="00C47DA8"/>
    <w:rsid w:val="00C503DE"/>
    <w:rsid w:val="00C52DD5"/>
    <w:rsid w:val="00C53A8D"/>
    <w:rsid w:val="00C5409B"/>
    <w:rsid w:val="00C547A3"/>
    <w:rsid w:val="00C55B47"/>
    <w:rsid w:val="00C5631A"/>
    <w:rsid w:val="00C5773E"/>
    <w:rsid w:val="00C5782B"/>
    <w:rsid w:val="00C57DD8"/>
    <w:rsid w:val="00C61F78"/>
    <w:rsid w:val="00C623A3"/>
    <w:rsid w:val="00C62F92"/>
    <w:rsid w:val="00C639C2"/>
    <w:rsid w:val="00C63ABC"/>
    <w:rsid w:val="00C63E96"/>
    <w:rsid w:val="00C6449A"/>
    <w:rsid w:val="00C648F5"/>
    <w:rsid w:val="00C64E39"/>
    <w:rsid w:val="00C64FF1"/>
    <w:rsid w:val="00C659A1"/>
    <w:rsid w:val="00C66334"/>
    <w:rsid w:val="00C66A27"/>
    <w:rsid w:val="00C679BD"/>
    <w:rsid w:val="00C7013E"/>
    <w:rsid w:val="00C70244"/>
    <w:rsid w:val="00C72A3D"/>
    <w:rsid w:val="00C74422"/>
    <w:rsid w:val="00C74EFC"/>
    <w:rsid w:val="00C7707B"/>
    <w:rsid w:val="00C7790D"/>
    <w:rsid w:val="00C77A20"/>
    <w:rsid w:val="00C82D2E"/>
    <w:rsid w:val="00C846B6"/>
    <w:rsid w:val="00C865F3"/>
    <w:rsid w:val="00C90E2D"/>
    <w:rsid w:val="00C92668"/>
    <w:rsid w:val="00C939F0"/>
    <w:rsid w:val="00C94395"/>
    <w:rsid w:val="00C9485D"/>
    <w:rsid w:val="00C95E3C"/>
    <w:rsid w:val="00C961CE"/>
    <w:rsid w:val="00C96BB3"/>
    <w:rsid w:val="00CA000D"/>
    <w:rsid w:val="00CA0203"/>
    <w:rsid w:val="00CA0E12"/>
    <w:rsid w:val="00CA2BD3"/>
    <w:rsid w:val="00CA3CF7"/>
    <w:rsid w:val="00CA434B"/>
    <w:rsid w:val="00CA58C3"/>
    <w:rsid w:val="00CA6A8C"/>
    <w:rsid w:val="00CB110A"/>
    <w:rsid w:val="00CB2982"/>
    <w:rsid w:val="00CB374F"/>
    <w:rsid w:val="00CB41D4"/>
    <w:rsid w:val="00CB44E6"/>
    <w:rsid w:val="00CB4A22"/>
    <w:rsid w:val="00CB4C57"/>
    <w:rsid w:val="00CB5182"/>
    <w:rsid w:val="00CB581B"/>
    <w:rsid w:val="00CB69F3"/>
    <w:rsid w:val="00CB6F25"/>
    <w:rsid w:val="00CC1626"/>
    <w:rsid w:val="00CC2E87"/>
    <w:rsid w:val="00CC3938"/>
    <w:rsid w:val="00CC3CA0"/>
    <w:rsid w:val="00CC4A15"/>
    <w:rsid w:val="00CC4CB5"/>
    <w:rsid w:val="00CC7CE2"/>
    <w:rsid w:val="00CD147D"/>
    <w:rsid w:val="00CD15A7"/>
    <w:rsid w:val="00CD26DC"/>
    <w:rsid w:val="00CD280C"/>
    <w:rsid w:val="00CD2BE7"/>
    <w:rsid w:val="00CD49C6"/>
    <w:rsid w:val="00CD5E91"/>
    <w:rsid w:val="00CD6107"/>
    <w:rsid w:val="00CD6F2D"/>
    <w:rsid w:val="00CE1799"/>
    <w:rsid w:val="00CE5883"/>
    <w:rsid w:val="00CE60CD"/>
    <w:rsid w:val="00CE736C"/>
    <w:rsid w:val="00CE7D72"/>
    <w:rsid w:val="00CF052D"/>
    <w:rsid w:val="00CF07AE"/>
    <w:rsid w:val="00CF0EE8"/>
    <w:rsid w:val="00CF2732"/>
    <w:rsid w:val="00CF39AE"/>
    <w:rsid w:val="00CF4840"/>
    <w:rsid w:val="00CF584A"/>
    <w:rsid w:val="00CF5DEA"/>
    <w:rsid w:val="00D0176F"/>
    <w:rsid w:val="00D01B15"/>
    <w:rsid w:val="00D022B8"/>
    <w:rsid w:val="00D02AFC"/>
    <w:rsid w:val="00D03C6F"/>
    <w:rsid w:val="00D04B57"/>
    <w:rsid w:val="00D0590E"/>
    <w:rsid w:val="00D06C9A"/>
    <w:rsid w:val="00D071A3"/>
    <w:rsid w:val="00D1055A"/>
    <w:rsid w:val="00D11C4D"/>
    <w:rsid w:val="00D13DEC"/>
    <w:rsid w:val="00D1417B"/>
    <w:rsid w:val="00D15139"/>
    <w:rsid w:val="00D166E3"/>
    <w:rsid w:val="00D172F1"/>
    <w:rsid w:val="00D179E0"/>
    <w:rsid w:val="00D17D17"/>
    <w:rsid w:val="00D20129"/>
    <w:rsid w:val="00D208D9"/>
    <w:rsid w:val="00D21CBC"/>
    <w:rsid w:val="00D2201E"/>
    <w:rsid w:val="00D22472"/>
    <w:rsid w:val="00D228C2"/>
    <w:rsid w:val="00D22DFB"/>
    <w:rsid w:val="00D2302E"/>
    <w:rsid w:val="00D2317A"/>
    <w:rsid w:val="00D245B5"/>
    <w:rsid w:val="00D246C8"/>
    <w:rsid w:val="00D25A0A"/>
    <w:rsid w:val="00D26E40"/>
    <w:rsid w:val="00D27309"/>
    <w:rsid w:val="00D277D0"/>
    <w:rsid w:val="00D322DA"/>
    <w:rsid w:val="00D33144"/>
    <w:rsid w:val="00D34126"/>
    <w:rsid w:val="00D358C2"/>
    <w:rsid w:val="00D35950"/>
    <w:rsid w:val="00D359F4"/>
    <w:rsid w:val="00D4338A"/>
    <w:rsid w:val="00D43402"/>
    <w:rsid w:val="00D4350B"/>
    <w:rsid w:val="00D439D9"/>
    <w:rsid w:val="00D43EF9"/>
    <w:rsid w:val="00D4450F"/>
    <w:rsid w:val="00D44830"/>
    <w:rsid w:val="00D46A48"/>
    <w:rsid w:val="00D506C5"/>
    <w:rsid w:val="00D51B3E"/>
    <w:rsid w:val="00D524C2"/>
    <w:rsid w:val="00D52C88"/>
    <w:rsid w:val="00D52EBE"/>
    <w:rsid w:val="00D5304D"/>
    <w:rsid w:val="00D5332A"/>
    <w:rsid w:val="00D540BC"/>
    <w:rsid w:val="00D55EF9"/>
    <w:rsid w:val="00D56047"/>
    <w:rsid w:val="00D563F2"/>
    <w:rsid w:val="00D56770"/>
    <w:rsid w:val="00D571B5"/>
    <w:rsid w:val="00D576EE"/>
    <w:rsid w:val="00D60D9B"/>
    <w:rsid w:val="00D60F33"/>
    <w:rsid w:val="00D62CB0"/>
    <w:rsid w:val="00D6331B"/>
    <w:rsid w:val="00D641D5"/>
    <w:rsid w:val="00D64D45"/>
    <w:rsid w:val="00D66C3B"/>
    <w:rsid w:val="00D677FF"/>
    <w:rsid w:val="00D726D7"/>
    <w:rsid w:val="00D75536"/>
    <w:rsid w:val="00D76567"/>
    <w:rsid w:val="00D76987"/>
    <w:rsid w:val="00D776C3"/>
    <w:rsid w:val="00D800E1"/>
    <w:rsid w:val="00D813C9"/>
    <w:rsid w:val="00D8388F"/>
    <w:rsid w:val="00D848F8"/>
    <w:rsid w:val="00D86AC5"/>
    <w:rsid w:val="00D9047B"/>
    <w:rsid w:val="00D915CC"/>
    <w:rsid w:val="00D92979"/>
    <w:rsid w:val="00D92E6B"/>
    <w:rsid w:val="00D93211"/>
    <w:rsid w:val="00D95BEE"/>
    <w:rsid w:val="00D97A75"/>
    <w:rsid w:val="00DA15F1"/>
    <w:rsid w:val="00DA1DE0"/>
    <w:rsid w:val="00DA1E00"/>
    <w:rsid w:val="00DA3C0C"/>
    <w:rsid w:val="00DA70AC"/>
    <w:rsid w:val="00DA74C8"/>
    <w:rsid w:val="00DB15E1"/>
    <w:rsid w:val="00DB2C8C"/>
    <w:rsid w:val="00DB3389"/>
    <w:rsid w:val="00DB3F7F"/>
    <w:rsid w:val="00DB4E3D"/>
    <w:rsid w:val="00DB5411"/>
    <w:rsid w:val="00DB6789"/>
    <w:rsid w:val="00DB6F59"/>
    <w:rsid w:val="00DC065B"/>
    <w:rsid w:val="00DC0E7B"/>
    <w:rsid w:val="00DC119F"/>
    <w:rsid w:val="00DC184D"/>
    <w:rsid w:val="00DC2463"/>
    <w:rsid w:val="00DC3B28"/>
    <w:rsid w:val="00DC6B5F"/>
    <w:rsid w:val="00DC74B9"/>
    <w:rsid w:val="00DC770B"/>
    <w:rsid w:val="00DC7FB3"/>
    <w:rsid w:val="00DD03DA"/>
    <w:rsid w:val="00DD051D"/>
    <w:rsid w:val="00DD19B6"/>
    <w:rsid w:val="00DD4A4C"/>
    <w:rsid w:val="00DD6014"/>
    <w:rsid w:val="00DD68D1"/>
    <w:rsid w:val="00DD734D"/>
    <w:rsid w:val="00DD78D2"/>
    <w:rsid w:val="00DE0A4E"/>
    <w:rsid w:val="00DE109F"/>
    <w:rsid w:val="00DE119F"/>
    <w:rsid w:val="00DE175A"/>
    <w:rsid w:val="00DE32C9"/>
    <w:rsid w:val="00DE4F61"/>
    <w:rsid w:val="00DF2F08"/>
    <w:rsid w:val="00DF319F"/>
    <w:rsid w:val="00DF38FE"/>
    <w:rsid w:val="00DF3AA9"/>
    <w:rsid w:val="00DF76DD"/>
    <w:rsid w:val="00DF7A3F"/>
    <w:rsid w:val="00E01E25"/>
    <w:rsid w:val="00E03073"/>
    <w:rsid w:val="00E04067"/>
    <w:rsid w:val="00E04AC3"/>
    <w:rsid w:val="00E06954"/>
    <w:rsid w:val="00E11949"/>
    <w:rsid w:val="00E1612F"/>
    <w:rsid w:val="00E16E1F"/>
    <w:rsid w:val="00E208E6"/>
    <w:rsid w:val="00E219C3"/>
    <w:rsid w:val="00E219C7"/>
    <w:rsid w:val="00E2277C"/>
    <w:rsid w:val="00E2749F"/>
    <w:rsid w:val="00E27856"/>
    <w:rsid w:val="00E27B8A"/>
    <w:rsid w:val="00E30C15"/>
    <w:rsid w:val="00E311B2"/>
    <w:rsid w:val="00E33E35"/>
    <w:rsid w:val="00E3448D"/>
    <w:rsid w:val="00E34553"/>
    <w:rsid w:val="00E3589B"/>
    <w:rsid w:val="00E360A2"/>
    <w:rsid w:val="00E362AB"/>
    <w:rsid w:val="00E366EE"/>
    <w:rsid w:val="00E368D5"/>
    <w:rsid w:val="00E36DC5"/>
    <w:rsid w:val="00E36F7F"/>
    <w:rsid w:val="00E378D9"/>
    <w:rsid w:val="00E3790F"/>
    <w:rsid w:val="00E37E7D"/>
    <w:rsid w:val="00E420B3"/>
    <w:rsid w:val="00E42758"/>
    <w:rsid w:val="00E45376"/>
    <w:rsid w:val="00E460E9"/>
    <w:rsid w:val="00E462D3"/>
    <w:rsid w:val="00E521EB"/>
    <w:rsid w:val="00E54891"/>
    <w:rsid w:val="00E55E05"/>
    <w:rsid w:val="00E56D77"/>
    <w:rsid w:val="00E575AC"/>
    <w:rsid w:val="00E57BA9"/>
    <w:rsid w:val="00E60A29"/>
    <w:rsid w:val="00E60BA9"/>
    <w:rsid w:val="00E61B33"/>
    <w:rsid w:val="00E62B07"/>
    <w:rsid w:val="00E64870"/>
    <w:rsid w:val="00E706DA"/>
    <w:rsid w:val="00E709F9"/>
    <w:rsid w:val="00E7281D"/>
    <w:rsid w:val="00E741F9"/>
    <w:rsid w:val="00E74845"/>
    <w:rsid w:val="00E811EC"/>
    <w:rsid w:val="00E81B3B"/>
    <w:rsid w:val="00E82464"/>
    <w:rsid w:val="00E82B98"/>
    <w:rsid w:val="00E82EB9"/>
    <w:rsid w:val="00E8398A"/>
    <w:rsid w:val="00E83C4D"/>
    <w:rsid w:val="00E90DA9"/>
    <w:rsid w:val="00E917A0"/>
    <w:rsid w:val="00E91E25"/>
    <w:rsid w:val="00E92457"/>
    <w:rsid w:val="00E92529"/>
    <w:rsid w:val="00E93DBD"/>
    <w:rsid w:val="00E94128"/>
    <w:rsid w:val="00E95723"/>
    <w:rsid w:val="00E96355"/>
    <w:rsid w:val="00E96409"/>
    <w:rsid w:val="00E96FA7"/>
    <w:rsid w:val="00EA0141"/>
    <w:rsid w:val="00EA10CD"/>
    <w:rsid w:val="00EA2055"/>
    <w:rsid w:val="00EA2237"/>
    <w:rsid w:val="00EA2F2B"/>
    <w:rsid w:val="00EA322D"/>
    <w:rsid w:val="00EA3E66"/>
    <w:rsid w:val="00EA49D3"/>
    <w:rsid w:val="00EA5BD4"/>
    <w:rsid w:val="00EA6232"/>
    <w:rsid w:val="00EA6824"/>
    <w:rsid w:val="00EA6CBE"/>
    <w:rsid w:val="00EA74DF"/>
    <w:rsid w:val="00EA750B"/>
    <w:rsid w:val="00EA79BC"/>
    <w:rsid w:val="00EB0482"/>
    <w:rsid w:val="00EB1F67"/>
    <w:rsid w:val="00EB2FE6"/>
    <w:rsid w:val="00EB4E25"/>
    <w:rsid w:val="00EB4EC9"/>
    <w:rsid w:val="00EB5FF2"/>
    <w:rsid w:val="00EB6F51"/>
    <w:rsid w:val="00EC0281"/>
    <w:rsid w:val="00EC1064"/>
    <w:rsid w:val="00EC28CE"/>
    <w:rsid w:val="00EC2FDC"/>
    <w:rsid w:val="00EC3500"/>
    <w:rsid w:val="00EC3FBC"/>
    <w:rsid w:val="00EC4709"/>
    <w:rsid w:val="00EC4DA1"/>
    <w:rsid w:val="00EC620A"/>
    <w:rsid w:val="00EC623F"/>
    <w:rsid w:val="00EC6EED"/>
    <w:rsid w:val="00EC7F69"/>
    <w:rsid w:val="00ED41B0"/>
    <w:rsid w:val="00ED4DC2"/>
    <w:rsid w:val="00ED58AB"/>
    <w:rsid w:val="00ED7FD6"/>
    <w:rsid w:val="00EE0EB1"/>
    <w:rsid w:val="00EE4007"/>
    <w:rsid w:val="00EE566E"/>
    <w:rsid w:val="00EE5B84"/>
    <w:rsid w:val="00EE6117"/>
    <w:rsid w:val="00EE6300"/>
    <w:rsid w:val="00EE67D1"/>
    <w:rsid w:val="00EF1F4D"/>
    <w:rsid w:val="00EF27AC"/>
    <w:rsid w:val="00EF3487"/>
    <w:rsid w:val="00EF3B8A"/>
    <w:rsid w:val="00EF55F1"/>
    <w:rsid w:val="00EF565D"/>
    <w:rsid w:val="00EF5ECE"/>
    <w:rsid w:val="00EF6085"/>
    <w:rsid w:val="00F004DC"/>
    <w:rsid w:val="00F00694"/>
    <w:rsid w:val="00F0121D"/>
    <w:rsid w:val="00F01FE9"/>
    <w:rsid w:val="00F042E6"/>
    <w:rsid w:val="00F06907"/>
    <w:rsid w:val="00F1055C"/>
    <w:rsid w:val="00F12E74"/>
    <w:rsid w:val="00F141F4"/>
    <w:rsid w:val="00F15A84"/>
    <w:rsid w:val="00F168B1"/>
    <w:rsid w:val="00F16AA9"/>
    <w:rsid w:val="00F1726B"/>
    <w:rsid w:val="00F20BCE"/>
    <w:rsid w:val="00F2128C"/>
    <w:rsid w:val="00F22E60"/>
    <w:rsid w:val="00F260D2"/>
    <w:rsid w:val="00F26BDD"/>
    <w:rsid w:val="00F271D9"/>
    <w:rsid w:val="00F30ACC"/>
    <w:rsid w:val="00F30CF4"/>
    <w:rsid w:val="00F315AE"/>
    <w:rsid w:val="00F31B8B"/>
    <w:rsid w:val="00F34EC9"/>
    <w:rsid w:val="00F35A66"/>
    <w:rsid w:val="00F35CED"/>
    <w:rsid w:val="00F40B73"/>
    <w:rsid w:val="00F420E7"/>
    <w:rsid w:val="00F42BDC"/>
    <w:rsid w:val="00F42F2D"/>
    <w:rsid w:val="00F46E6C"/>
    <w:rsid w:val="00F47852"/>
    <w:rsid w:val="00F47B49"/>
    <w:rsid w:val="00F47CF6"/>
    <w:rsid w:val="00F47E79"/>
    <w:rsid w:val="00F525BB"/>
    <w:rsid w:val="00F537D3"/>
    <w:rsid w:val="00F53ECC"/>
    <w:rsid w:val="00F53F60"/>
    <w:rsid w:val="00F56714"/>
    <w:rsid w:val="00F61635"/>
    <w:rsid w:val="00F61848"/>
    <w:rsid w:val="00F61857"/>
    <w:rsid w:val="00F61BC1"/>
    <w:rsid w:val="00F61D06"/>
    <w:rsid w:val="00F62BBE"/>
    <w:rsid w:val="00F639A5"/>
    <w:rsid w:val="00F64E05"/>
    <w:rsid w:val="00F708A6"/>
    <w:rsid w:val="00F72CDA"/>
    <w:rsid w:val="00F739F3"/>
    <w:rsid w:val="00F73B4C"/>
    <w:rsid w:val="00F7584D"/>
    <w:rsid w:val="00F75B3B"/>
    <w:rsid w:val="00F7674E"/>
    <w:rsid w:val="00F81641"/>
    <w:rsid w:val="00F816C2"/>
    <w:rsid w:val="00F81A1A"/>
    <w:rsid w:val="00F83794"/>
    <w:rsid w:val="00F843F8"/>
    <w:rsid w:val="00F91182"/>
    <w:rsid w:val="00F92A6C"/>
    <w:rsid w:val="00F9407D"/>
    <w:rsid w:val="00F94FF9"/>
    <w:rsid w:val="00F9534C"/>
    <w:rsid w:val="00F965D0"/>
    <w:rsid w:val="00F97AAD"/>
    <w:rsid w:val="00FA350B"/>
    <w:rsid w:val="00FA40EF"/>
    <w:rsid w:val="00FA4169"/>
    <w:rsid w:val="00FA5766"/>
    <w:rsid w:val="00FA5C8F"/>
    <w:rsid w:val="00FA5EDB"/>
    <w:rsid w:val="00FA65E6"/>
    <w:rsid w:val="00FA6B78"/>
    <w:rsid w:val="00FB0103"/>
    <w:rsid w:val="00FB138C"/>
    <w:rsid w:val="00FB1EAB"/>
    <w:rsid w:val="00FB2882"/>
    <w:rsid w:val="00FB4144"/>
    <w:rsid w:val="00FB4340"/>
    <w:rsid w:val="00FB5C19"/>
    <w:rsid w:val="00FC1CBE"/>
    <w:rsid w:val="00FC2443"/>
    <w:rsid w:val="00FC28ED"/>
    <w:rsid w:val="00FC29EF"/>
    <w:rsid w:val="00FC3E12"/>
    <w:rsid w:val="00FC45FA"/>
    <w:rsid w:val="00FC4D26"/>
    <w:rsid w:val="00FC5EA6"/>
    <w:rsid w:val="00FC647C"/>
    <w:rsid w:val="00FC6B0A"/>
    <w:rsid w:val="00FC6F8A"/>
    <w:rsid w:val="00FC74C7"/>
    <w:rsid w:val="00FC7CC9"/>
    <w:rsid w:val="00FD3C4A"/>
    <w:rsid w:val="00FD49C6"/>
    <w:rsid w:val="00FD529A"/>
    <w:rsid w:val="00FE0717"/>
    <w:rsid w:val="00FE17CA"/>
    <w:rsid w:val="00FE1FBC"/>
    <w:rsid w:val="00FE5112"/>
    <w:rsid w:val="00FE538F"/>
    <w:rsid w:val="00FE5803"/>
    <w:rsid w:val="00FE7E56"/>
    <w:rsid w:val="00FF116F"/>
    <w:rsid w:val="00FF1259"/>
    <w:rsid w:val="00FF15F7"/>
    <w:rsid w:val="00FF1F5A"/>
    <w:rsid w:val="00FF3DF1"/>
    <w:rsid w:val="00FF44C8"/>
    <w:rsid w:val="00FF58A5"/>
    <w:rsid w:val="00FF5C72"/>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717B2"/>
  <w15:docId w15:val="{1DC8A4A0-7894-41B2-8B35-F8C4AA8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4D1"/>
    <w:rPr>
      <w:rFonts w:ascii="Arial" w:hAnsi="Arial"/>
      <w:szCs w:val="24"/>
    </w:rPr>
  </w:style>
  <w:style w:type="paragraph" w:styleId="Heading1">
    <w:name w:val="heading 1"/>
    <w:basedOn w:val="Normal"/>
    <w:next w:val="Normal"/>
    <w:qFormat/>
    <w:rsid w:val="00910D79"/>
    <w:pPr>
      <w:keepNext/>
      <w:outlineLvl w:val="0"/>
    </w:pPr>
    <w:rPr>
      <w:rFonts w:cs="Arial"/>
      <w:b/>
      <w:bCs/>
      <w:color w:val="FF0000"/>
      <w:sz w:val="40"/>
    </w:rPr>
  </w:style>
  <w:style w:type="paragraph" w:styleId="Heading2">
    <w:name w:val="heading 2"/>
    <w:basedOn w:val="Normal"/>
    <w:next w:val="Normal"/>
    <w:qFormat/>
    <w:rsid w:val="00910D7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0D79"/>
    <w:pPr>
      <w:tabs>
        <w:tab w:val="center" w:pos="4320"/>
        <w:tab w:val="right" w:pos="8640"/>
      </w:tabs>
    </w:pPr>
  </w:style>
  <w:style w:type="paragraph" w:styleId="Footer">
    <w:name w:val="footer"/>
    <w:basedOn w:val="Normal"/>
    <w:rsid w:val="00910D79"/>
    <w:pPr>
      <w:tabs>
        <w:tab w:val="center" w:pos="4320"/>
        <w:tab w:val="right" w:pos="8640"/>
      </w:tabs>
    </w:pPr>
  </w:style>
  <w:style w:type="paragraph" w:styleId="HTMLPreformatted">
    <w:name w:val="HTML Preformatted"/>
    <w:basedOn w:val="Normal"/>
    <w:link w:val="HTMLPreformattedChar"/>
    <w:rsid w:val="00ED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basedOn w:val="DefaultParagraphFont"/>
    <w:rsid w:val="004351DE"/>
    <w:rPr>
      <w:color w:val="0000FF"/>
      <w:u w:val="single"/>
    </w:rPr>
  </w:style>
  <w:style w:type="paragraph" w:styleId="BodyText">
    <w:name w:val="Body Text"/>
    <w:basedOn w:val="Normal"/>
    <w:rsid w:val="004351DE"/>
    <w:rPr>
      <w:szCs w:val="20"/>
    </w:rPr>
  </w:style>
  <w:style w:type="paragraph" w:customStyle="1" w:styleId="Default">
    <w:name w:val="Default"/>
    <w:rsid w:val="004351DE"/>
    <w:pPr>
      <w:autoSpaceDE w:val="0"/>
      <w:autoSpaceDN w:val="0"/>
      <w:adjustRightInd w:val="0"/>
    </w:pPr>
    <w:rPr>
      <w:rFonts w:ascii="Arial" w:hAnsi="Arial" w:cs="Arial"/>
      <w:color w:val="000000"/>
      <w:sz w:val="24"/>
      <w:szCs w:val="24"/>
    </w:rPr>
  </w:style>
  <w:style w:type="character" w:customStyle="1" w:styleId="HTMLPreformattedChar">
    <w:name w:val="HTML Preformatted Char"/>
    <w:basedOn w:val="DefaultParagraphFont"/>
    <w:link w:val="HTMLPreformatted"/>
    <w:rsid w:val="002F2C2B"/>
    <w:rPr>
      <w:rFonts w:ascii="Courier New" w:hAnsi="Courier New" w:cs="Courier New"/>
      <w:lang w:val="en-US" w:eastAsia="en-US" w:bidi="ar-SA"/>
    </w:rPr>
  </w:style>
  <w:style w:type="character" w:styleId="PageNumber">
    <w:name w:val="page number"/>
    <w:basedOn w:val="DefaultParagraphFont"/>
    <w:rsid w:val="00980D70"/>
  </w:style>
  <w:style w:type="character" w:styleId="FollowedHyperlink">
    <w:name w:val="FollowedHyperlink"/>
    <w:basedOn w:val="DefaultParagraphFont"/>
    <w:rsid w:val="006B1574"/>
    <w:rPr>
      <w:color w:val="606420"/>
      <w:u w:val="single"/>
    </w:rPr>
  </w:style>
  <w:style w:type="paragraph" w:styleId="NoSpacing">
    <w:name w:val="No Spacing"/>
    <w:uiPriority w:val="1"/>
    <w:qFormat/>
    <w:rsid w:val="00553100"/>
    <w:rPr>
      <w:sz w:val="24"/>
      <w:szCs w:val="24"/>
    </w:rPr>
  </w:style>
  <w:style w:type="paragraph" w:styleId="ListParagraph">
    <w:name w:val="List Paragraph"/>
    <w:basedOn w:val="Normal"/>
    <w:uiPriority w:val="34"/>
    <w:qFormat/>
    <w:rsid w:val="00C66A27"/>
    <w:pPr>
      <w:ind w:left="720"/>
      <w:contextualSpacing/>
    </w:pPr>
  </w:style>
  <w:style w:type="character" w:customStyle="1" w:styleId="HeaderChar">
    <w:name w:val="Header Char"/>
    <w:basedOn w:val="DefaultParagraphFont"/>
    <w:link w:val="Header"/>
    <w:rsid w:val="00E60A29"/>
    <w:rPr>
      <w:sz w:val="24"/>
      <w:szCs w:val="24"/>
    </w:rPr>
  </w:style>
  <w:style w:type="paragraph" w:styleId="BalloonText">
    <w:name w:val="Balloon Text"/>
    <w:basedOn w:val="Normal"/>
    <w:link w:val="BalloonTextChar"/>
    <w:rsid w:val="00382F47"/>
    <w:rPr>
      <w:rFonts w:ascii="Tahoma" w:hAnsi="Tahoma" w:cs="Tahoma"/>
      <w:sz w:val="16"/>
      <w:szCs w:val="16"/>
    </w:rPr>
  </w:style>
  <w:style w:type="character" w:customStyle="1" w:styleId="BalloonTextChar">
    <w:name w:val="Balloon Text Char"/>
    <w:basedOn w:val="DefaultParagraphFont"/>
    <w:link w:val="BalloonText"/>
    <w:rsid w:val="00382F47"/>
    <w:rPr>
      <w:rFonts w:ascii="Tahoma" w:hAnsi="Tahoma" w:cs="Tahoma"/>
      <w:sz w:val="16"/>
      <w:szCs w:val="16"/>
    </w:rPr>
  </w:style>
  <w:style w:type="table" w:styleId="TableGrid">
    <w:name w:val="Table Grid"/>
    <w:basedOn w:val="TableNormal"/>
    <w:rsid w:val="00747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C64"/>
    <w:pPr>
      <w:spacing w:before="100" w:beforeAutospacing="1" w:after="100" w:afterAutospacing="1"/>
    </w:pPr>
    <w:rPr>
      <w:rFonts w:eastAsiaTheme="minorEastAsia"/>
    </w:rPr>
  </w:style>
  <w:style w:type="character" w:styleId="Strong">
    <w:name w:val="Strong"/>
    <w:basedOn w:val="DefaultParagraphFont"/>
    <w:qFormat/>
    <w:rsid w:val="00B32553"/>
    <w:rPr>
      <w:b/>
      <w:bCs/>
    </w:rPr>
  </w:style>
  <w:style w:type="character" w:customStyle="1" w:styleId="fca80b2707-9c4c-40d0-8f9b-73e6bca10456-2">
    <w:name w:val="fca80b2707-9c4c-40d0-8f9b-73e6bca10456-2"/>
    <w:basedOn w:val="DefaultParagraphFont"/>
    <w:rsid w:val="00C16D98"/>
  </w:style>
  <w:style w:type="character" w:styleId="CommentReference">
    <w:name w:val="annotation reference"/>
    <w:basedOn w:val="DefaultParagraphFont"/>
    <w:semiHidden/>
    <w:unhideWhenUsed/>
    <w:rsid w:val="00CA58C3"/>
    <w:rPr>
      <w:sz w:val="16"/>
      <w:szCs w:val="16"/>
    </w:rPr>
  </w:style>
  <w:style w:type="character" w:styleId="UnresolvedMention">
    <w:name w:val="Unresolved Mention"/>
    <w:basedOn w:val="DefaultParagraphFont"/>
    <w:uiPriority w:val="99"/>
    <w:semiHidden/>
    <w:unhideWhenUsed/>
    <w:rsid w:val="0000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495">
      <w:bodyDiv w:val="1"/>
      <w:marLeft w:val="0"/>
      <w:marRight w:val="0"/>
      <w:marTop w:val="0"/>
      <w:marBottom w:val="0"/>
      <w:divBdr>
        <w:top w:val="none" w:sz="0" w:space="0" w:color="auto"/>
        <w:left w:val="none" w:sz="0" w:space="0" w:color="auto"/>
        <w:bottom w:val="none" w:sz="0" w:space="0" w:color="auto"/>
        <w:right w:val="none" w:sz="0" w:space="0" w:color="auto"/>
      </w:divBdr>
    </w:div>
    <w:div w:id="29844227">
      <w:bodyDiv w:val="1"/>
      <w:marLeft w:val="0"/>
      <w:marRight w:val="0"/>
      <w:marTop w:val="0"/>
      <w:marBottom w:val="0"/>
      <w:divBdr>
        <w:top w:val="none" w:sz="0" w:space="0" w:color="auto"/>
        <w:left w:val="none" w:sz="0" w:space="0" w:color="auto"/>
        <w:bottom w:val="none" w:sz="0" w:space="0" w:color="auto"/>
        <w:right w:val="none" w:sz="0" w:space="0" w:color="auto"/>
      </w:divBdr>
    </w:div>
    <w:div w:id="58720954">
      <w:bodyDiv w:val="1"/>
      <w:marLeft w:val="0"/>
      <w:marRight w:val="0"/>
      <w:marTop w:val="0"/>
      <w:marBottom w:val="0"/>
      <w:divBdr>
        <w:top w:val="none" w:sz="0" w:space="0" w:color="auto"/>
        <w:left w:val="none" w:sz="0" w:space="0" w:color="auto"/>
        <w:bottom w:val="none" w:sz="0" w:space="0" w:color="auto"/>
        <w:right w:val="none" w:sz="0" w:space="0" w:color="auto"/>
      </w:divBdr>
    </w:div>
    <w:div w:id="64499893">
      <w:bodyDiv w:val="1"/>
      <w:marLeft w:val="0"/>
      <w:marRight w:val="0"/>
      <w:marTop w:val="0"/>
      <w:marBottom w:val="0"/>
      <w:divBdr>
        <w:top w:val="none" w:sz="0" w:space="0" w:color="auto"/>
        <w:left w:val="none" w:sz="0" w:space="0" w:color="auto"/>
        <w:bottom w:val="none" w:sz="0" w:space="0" w:color="auto"/>
        <w:right w:val="none" w:sz="0" w:space="0" w:color="auto"/>
      </w:divBdr>
    </w:div>
    <w:div w:id="71437221">
      <w:bodyDiv w:val="1"/>
      <w:marLeft w:val="0"/>
      <w:marRight w:val="0"/>
      <w:marTop w:val="0"/>
      <w:marBottom w:val="0"/>
      <w:divBdr>
        <w:top w:val="none" w:sz="0" w:space="0" w:color="auto"/>
        <w:left w:val="none" w:sz="0" w:space="0" w:color="auto"/>
        <w:bottom w:val="none" w:sz="0" w:space="0" w:color="auto"/>
        <w:right w:val="none" w:sz="0" w:space="0" w:color="auto"/>
      </w:divBdr>
    </w:div>
    <w:div w:id="95096975">
      <w:bodyDiv w:val="1"/>
      <w:marLeft w:val="0"/>
      <w:marRight w:val="0"/>
      <w:marTop w:val="0"/>
      <w:marBottom w:val="0"/>
      <w:divBdr>
        <w:top w:val="none" w:sz="0" w:space="0" w:color="auto"/>
        <w:left w:val="none" w:sz="0" w:space="0" w:color="auto"/>
        <w:bottom w:val="none" w:sz="0" w:space="0" w:color="auto"/>
        <w:right w:val="none" w:sz="0" w:space="0" w:color="auto"/>
      </w:divBdr>
    </w:div>
    <w:div w:id="108201819">
      <w:bodyDiv w:val="1"/>
      <w:marLeft w:val="0"/>
      <w:marRight w:val="0"/>
      <w:marTop w:val="0"/>
      <w:marBottom w:val="0"/>
      <w:divBdr>
        <w:top w:val="none" w:sz="0" w:space="0" w:color="auto"/>
        <w:left w:val="none" w:sz="0" w:space="0" w:color="auto"/>
        <w:bottom w:val="none" w:sz="0" w:space="0" w:color="auto"/>
        <w:right w:val="none" w:sz="0" w:space="0" w:color="auto"/>
      </w:divBdr>
    </w:div>
    <w:div w:id="114911647">
      <w:bodyDiv w:val="1"/>
      <w:marLeft w:val="0"/>
      <w:marRight w:val="0"/>
      <w:marTop w:val="0"/>
      <w:marBottom w:val="0"/>
      <w:divBdr>
        <w:top w:val="none" w:sz="0" w:space="0" w:color="auto"/>
        <w:left w:val="none" w:sz="0" w:space="0" w:color="auto"/>
        <w:bottom w:val="none" w:sz="0" w:space="0" w:color="auto"/>
        <w:right w:val="none" w:sz="0" w:space="0" w:color="auto"/>
      </w:divBdr>
    </w:div>
    <w:div w:id="123893638">
      <w:bodyDiv w:val="1"/>
      <w:marLeft w:val="0"/>
      <w:marRight w:val="0"/>
      <w:marTop w:val="0"/>
      <w:marBottom w:val="0"/>
      <w:divBdr>
        <w:top w:val="none" w:sz="0" w:space="0" w:color="auto"/>
        <w:left w:val="none" w:sz="0" w:space="0" w:color="auto"/>
        <w:bottom w:val="none" w:sz="0" w:space="0" w:color="auto"/>
        <w:right w:val="none" w:sz="0" w:space="0" w:color="auto"/>
      </w:divBdr>
    </w:div>
    <w:div w:id="136648176">
      <w:bodyDiv w:val="1"/>
      <w:marLeft w:val="0"/>
      <w:marRight w:val="0"/>
      <w:marTop w:val="0"/>
      <w:marBottom w:val="0"/>
      <w:divBdr>
        <w:top w:val="none" w:sz="0" w:space="0" w:color="auto"/>
        <w:left w:val="none" w:sz="0" w:space="0" w:color="auto"/>
        <w:bottom w:val="none" w:sz="0" w:space="0" w:color="auto"/>
        <w:right w:val="none" w:sz="0" w:space="0" w:color="auto"/>
      </w:divBdr>
    </w:div>
    <w:div w:id="148012557">
      <w:bodyDiv w:val="1"/>
      <w:marLeft w:val="0"/>
      <w:marRight w:val="0"/>
      <w:marTop w:val="0"/>
      <w:marBottom w:val="0"/>
      <w:divBdr>
        <w:top w:val="none" w:sz="0" w:space="0" w:color="auto"/>
        <w:left w:val="none" w:sz="0" w:space="0" w:color="auto"/>
        <w:bottom w:val="none" w:sz="0" w:space="0" w:color="auto"/>
        <w:right w:val="none" w:sz="0" w:space="0" w:color="auto"/>
      </w:divBdr>
    </w:div>
    <w:div w:id="150560392">
      <w:bodyDiv w:val="1"/>
      <w:marLeft w:val="0"/>
      <w:marRight w:val="0"/>
      <w:marTop w:val="0"/>
      <w:marBottom w:val="0"/>
      <w:divBdr>
        <w:top w:val="none" w:sz="0" w:space="0" w:color="auto"/>
        <w:left w:val="none" w:sz="0" w:space="0" w:color="auto"/>
        <w:bottom w:val="none" w:sz="0" w:space="0" w:color="auto"/>
        <w:right w:val="none" w:sz="0" w:space="0" w:color="auto"/>
      </w:divBdr>
    </w:div>
    <w:div w:id="154762513">
      <w:bodyDiv w:val="1"/>
      <w:marLeft w:val="0"/>
      <w:marRight w:val="0"/>
      <w:marTop w:val="0"/>
      <w:marBottom w:val="0"/>
      <w:divBdr>
        <w:top w:val="none" w:sz="0" w:space="0" w:color="auto"/>
        <w:left w:val="none" w:sz="0" w:space="0" w:color="auto"/>
        <w:bottom w:val="none" w:sz="0" w:space="0" w:color="auto"/>
        <w:right w:val="none" w:sz="0" w:space="0" w:color="auto"/>
      </w:divBdr>
    </w:div>
    <w:div w:id="158542735">
      <w:bodyDiv w:val="1"/>
      <w:marLeft w:val="0"/>
      <w:marRight w:val="0"/>
      <w:marTop w:val="0"/>
      <w:marBottom w:val="0"/>
      <w:divBdr>
        <w:top w:val="none" w:sz="0" w:space="0" w:color="auto"/>
        <w:left w:val="none" w:sz="0" w:space="0" w:color="auto"/>
        <w:bottom w:val="none" w:sz="0" w:space="0" w:color="auto"/>
        <w:right w:val="none" w:sz="0" w:space="0" w:color="auto"/>
      </w:divBdr>
    </w:div>
    <w:div w:id="182135529">
      <w:bodyDiv w:val="1"/>
      <w:marLeft w:val="0"/>
      <w:marRight w:val="0"/>
      <w:marTop w:val="0"/>
      <w:marBottom w:val="0"/>
      <w:divBdr>
        <w:top w:val="none" w:sz="0" w:space="0" w:color="auto"/>
        <w:left w:val="none" w:sz="0" w:space="0" w:color="auto"/>
        <w:bottom w:val="none" w:sz="0" w:space="0" w:color="auto"/>
        <w:right w:val="none" w:sz="0" w:space="0" w:color="auto"/>
      </w:divBdr>
    </w:div>
    <w:div w:id="182207929">
      <w:bodyDiv w:val="1"/>
      <w:marLeft w:val="0"/>
      <w:marRight w:val="0"/>
      <w:marTop w:val="0"/>
      <w:marBottom w:val="0"/>
      <w:divBdr>
        <w:top w:val="none" w:sz="0" w:space="0" w:color="auto"/>
        <w:left w:val="none" w:sz="0" w:space="0" w:color="auto"/>
        <w:bottom w:val="none" w:sz="0" w:space="0" w:color="auto"/>
        <w:right w:val="none" w:sz="0" w:space="0" w:color="auto"/>
      </w:divBdr>
    </w:div>
    <w:div w:id="182524315">
      <w:bodyDiv w:val="1"/>
      <w:marLeft w:val="0"/>
      <w:marRight w:val="0"/>
      <w:marTop w:val="0"/>
      <w:marBottom w:val="0"/>
      <w:divBdr>
        <w:top w:val="none" w:sz="0" w:space="0" w:color="auto"/>
        <w:left w:val="none" w:sz="0" w:space="0" w:color="auto"/>
        <w:bottom w:val="none" w:sz="0" w:space="0" w:color="auto"/>
        <w:right w:val="none" w:sz="0" w:space="0" w:color="auto"/>
      </w:divBdr>
    </w:div>
    <w:div w:id="192306055">
      <w:bodyDiv w:val="1"/>
      <w:marLeft w:val="0"/>
      <w:marRight w:val="0"/>
      <w:marTop w:val="0"/>
      <w:marBottom w:val="0"/>
      <w:divBdr>
        <w:top w:val="none" w:sz="0" w:space="0" w:color="auto"/>
        <w:left w:val="none" w:sz="0" w:space="0" w:color="auto"/>
        <w:bottom w:val="none" w:sz="0" w:space="0" w:color="auto"/>
        <w:right w:val="none" w:sz="0" w:space="0" w:color="auto"/>
      </w:divBdr>
    </w:div>
    <w:div w:id="197666587">
      <w:bodyDiv w:val="1"/>
      <w:marLeft w:val="0"/>
      <w:marRight w:val="0"/>
      <w:marTop w:val="0"/>
      <w:marBottom w:val="0"/>
      <w:divBdr>
        <w:top w:val="none" w:sz="0" w:space="0" w:color="auto"/>
        <w:left w:val="none" w:sz="0" w:space="0" w:color="auto"/>
        <w:bottom w:val="none" w:sz="0" w:space="0" w:color="auto"/>
        <w:right w:val="none" w:sz="0" w:space="0" w:color="auto"/>
      </w:divBdr>
    </w:div>
    <w:div w:id="198518731">
      <w:bodyDiv w:val="1"/>
      <w:marLeft w:val="0"/>
      <w:marRight w:val="0"/>
      <w:marTop w:val="0"/>
      <w:marBottom w:val="0"/>
      <w:divBdr>
        <w:top w:val="none" w:sz="0" w:space="0" w:color="auto"/>
        <w:left w:val="none" w:sz="0" w:space="0" w:color="auto"/>
        <w:bottom w:val="none" w:sz="0" w:space="0" w:color="auto"/>
        <w:right w:val="none" w:sz="0" w:space="0" w:color="auto"/>
      </w:divBdr>
    </w:div>
    <w:div w:id="206601982">
      <w:bodyDiv w:val="1"/>
      <w:marLeft w:val="0"/>
      <w:marRight w:val="0"/>
      <w:marTop w:val="0"/>
      <w:marBottom w:val="0"/>
      <w:divBdr>
        <w:top w:val="none" w:sz="0" w:space="0" w:color="auto"/>
        <w:left w:val="none" w:sz="0" w:space="0" w:color="auto"/>
        <w:bottom w:val="none" w:sz="0" w:space="0" w:color="auto"/>
        <w:right w:val="none" w:sz="0" w:space="0" w:color="auto"/>
      </w:divBdr>
    </w:div>
    <w:div w:id="211116626">
      <w:bodyDiv w:val="1"/>
      <w:marLeft w:val="0"/>
      <w:marRight w:val="0"/>
      <w:marTop w:val="0"/>
      <w:marBottom w:val="0"/>
      <w:divBdr>
        <w:top w:val="none" w:sz="0" w:space="0" w:color="auto"/>
        <w:left w:val="none" w:sz="0" w:space="0" w:color="auto"/>
        <w:bottom w:val="none" w:sz="0" w:space="0" w:color="auto"/>
        <w:right w:val="none" w:sz="0" w:space="0" w:color="auto"/>
      </w:divBdr>
    </w:div>
    <w:div w:id="239951633">
      <w:bodyDiv w:val="1"/>
      <w:marLeft w:val="0"/>
      <w:marRight w:val="0"/>
      <w:marTop w:val="0"/>
      <w:marBottom w:val="0"/>
      <w:divBdr>
        <w:top w:val="none" w:sz="0" w:space="0" w:color="auto"/>
        <w:left w:val="none" w:sz="0" w:space="0" w:color="auto"/>
        <w:bottom w:val="none" w:sz="0" w:space="0" w:color="auto"/>
        <w:right w:val="none" w:sz="0" w:space="0" w:color="auto"/>
      </w:divBdr>
    </w:div>
    <w:div w:id="255217196">
      <w:bodyDiv w:val="1"/>
      <w:marLeft w:val="0"/>
      <w:marRight w:val="0"/>
      <w:marTop w:val="0"/>
      <w:marBottom w:val="0"/>
      <w:divBdr>
        <w:top w:val="none" w:sz="0" w:space="0" w:color="auto"/>
        <w:left w:val="none" w:sz="0" w:space="0" w:color="auto"/>
        <w:bottom w:val="none" w:sz="0" w:space="0" w:color="auto"/>
        <w:right w:val="none" w:sz="0" w:space="0" w:color="auto"/>
      </w:divBdr>
    </w:div>
    <w:div w:id="335810714">
      <w:bodyDiv w:val="1"/>
      <w:marLeft w:val="0"/>
      <w:marRight w:val="0"/>
      <w:marTop w:val="0"/>
      <w:marBottom w:val="0"/>
      <w:divBdr>
        <w:top w:val="none" w:sz="0" w:space="0" w:color="auto"/>
        <w:left w:val="none" w:sz="0" w:space="0" w:color="auto"/>
        <w:bottom w:val="none" w:sz="0" w:space="0" w:color="auto"/>
        <w:right w:val="none" w:sz="0" w:space="0" w:color="auto"/>
      </w:divBdr>
    </w:div>
    <w:div w:id="356930415">
      <w:bodyDiv w:val="1"/>
      <w:marLeft w:val="0"/>
      <w:marRight w:val="0"/>
      <w:marTop w:val="0"/>
      <w:marBottom w:val="0"/>
      <w:divBdr>
        <w:top w:val="none" w:sz="0" w:space="0" w:color="auto"/>
        <w:left w:val="none" w:sz="0" w:space="0" w:color="auto"/>
        <w:bottom w:val="none" w:sz="0" w:space="0" w:color="auto"/>
        <w:right w:val="none" w:sz="0" w:space="0" w:color="auto"/>
      </w:divBdr>
    </w:div>
    <w:div w:id="370224387">
      <w:bodyDiv w:val="1"/>
      <w:marLeft w:val="0"/>
      <w:marRight w:val="0"/>
      <w:marTop w:val="0"/>
      <w:marBottom w:val="0"/>
      <w:divBdr>
        <w:top w:val="none" w:sz="0" w:space="0" w:color="auto"/>
        <w:left w:val="none" w:sz="0" w:space="0" w:color="auto"/>
        <w:bottom w:val="none" w:sz="0" w:space="0" w:color="auto"/>
        <w:right w:val="none" w:sz="0" w:space="0" w:color="auto"/>
      </w:divBdr>
    </w:div>
    <w:div w:id="371661508">
      <w:bodyDiv w:val="1"/>
      <w:marLeft w:val="0"/>
      <w:marRight w:val="0"/>
      <w:marTop w:val="0"/>
      <w:marBottom w:val="0"/>
      <w:divBdr>
        <w:top w:val="none" w:sz="0" w:space="0" w:color="auto"/>
        <w:left w:val="none" w:sz="0" w:space="0" w:color="auto"/>
        <w:bottom w:val="none" w:sz="0" w:space="0" w:color="auto"/>
        <w:right w:val="none" w:sz="0" w:space="0" w:color="auto"/>
      </w:divBdr>
    </w:div>
    <w:div w:id="382679490">
      <w:bodyDiv w:val="1"/>
      <w:marLeft w:val="0"/>
      <w:marRight w:val="0"/>
      <w:marTop w:val="0"/>
      <w:marBottom w:val="0"/>
      <w:divBdr>
        <w:top w:val="none" w:sz="0" w:space="0" w:color="auto"/>
        <w:left w:val="none" w:sz="0" w:space="0" w:color="auto"/>
        <w:bottom w:val="none" w:sz="0" w:space="0" w:color="auto"/>
        <w:right w:val="none" w:sz="0" w:space="0" w:color="auto"/>
      </w:divBdr>
    </w:div>
    <w:div w:id="409079071">
      <w:bodyDiv w:val="1"/>
      <w:marLeft w:val="0"/>
      <w:marRight w:val="0"/>
      <w:marTop w:val="0"/>
      <w:marBottom w:val="0"/>
      <w:divBdr>
        <w:top w:val="none" w:sz="0" w:space="0" w:color="auto"/>
        <w:left w:val="none" w:sz="0" w:space="0" w:color="auto"/>
        <w:bottom w:val="none" w:sz="0" w:space="0" w:color="auto"/>
        <w:right w:val="none" w:sz="0" w:space="0" w:color="auto"/>
      </w:divBdr>
    </w:div>
    <w:div w:id="414742258">
      <w:bodyDiv w:val="1"/>
      <w:marLeft w:val="0"/>
      <w:marRight w:val="0"/>
      <w:marTop w:val="0"/>
      <w:marBottom w:val="0"/>
      <w:divBdr>
        <w:top w:val="none" w:sz="0" w:space="0" w:color="auto"/>
        <w:left w:val="none" w:sz="0" w:space="0" w:color="auto"/>
        <w:bottom w:val="none" w:sz="0" w:space="0" w:color="auto"/>
        <w:right w:val="none" w:sz="0" w:space="0" w:color="auto"/>
      </w:divBdr>
    </w:div>
    <w:div w:id="484514243">
      <w:bodyDiv w:val="1"/>
      <w:marLeft w:val="0"/>
      <w:marRight w:val="0"/>
      <w:marTop w:val="0"/>
      <w:marBottom w:val="0"/>
      <w:divBdr>
        <w:top w:val="none" w:sz="0" w:space="0" w:color="auto"/>
        <w:left w:val="none" w:sz="0" w:space="0" w:color="auto"/>
        <w:bottom w:val="none" w:sz="0" w:space="0" w:color="auto"/>
        <w:right w:val="none" w:sz="0" w:space="0" w:color="auto"/>
      </w:divBdr>
    </w:div>
    <w:div w:id="511459299">
      <w:bodyDiv w:val="1"/>
      <w:marLeft w:val="0"/>
      <w:marRight w:val="0"/>
      <w:marTop w:val="0"/>
      <w:marBottom w:val="0"/>
      <w:divBdr>
        <w:top w:val="none" w:sz="0" w:space="0" w:color="auto"/>
        <w:left w:val="none" w:sz="0" w:space="0" w:color="auto"/>
        <w:bottom w:val="none" w:sz="0" w:space="0" w:color="auto"/>
        <w:right w:val="none" w:sz="0" w:space="0" w:color="auto"/>
      </w:divBdr>
    </w:div>
    <w:div w:id="529077012">
      <w:bodyDiv w:val="1"/>
      <w:marLeft w:val="0"/>
      <w:marRight w:val="0"/>
      <w:marTop w:val="0"/>
      <w:marBottom w:val="0"/>
      <w:divBdr>
        <w:top w:val="none" w:sz="0" w:space="0" w:color="auto"/>
        <w:left w:val="none" w:sz="0" w:space="0" w:color="auto"/>
        <w:bottom w:val="none" w:sz="0" w:space="0" w:color="auto"/>
        <w:right w:val="none" w:sz="0" w:space="0" w:color="auto"/>
      </w:divBdr>
    </w:div>
    <w:div w:id="543370772">
      <w:bodyDiv w:val="1"/>
      <w:marLeft w:val="0"/>
      <w:marRight w:val="0"/>
      <w:marTop w:val="0"/>
      <w:marBottom w:val="0"/>
      <w:divBdr>
        <w:top w:val="none" w:sz="0" w:space="0" w:color="auto"/>
        <w:left w:val="none" w:sz="0" w:space="0" w:color="auto"/>
        <w:bottom w:val="none" w:sz="0" w:space="0" w:color="auto"/>
        <w:right w:val="none" w:sz="0" w:space="0" w:color="auto"/>
      </w:divBdr>
    </w:div>
    <w:div w:id="544215675">
      <w:bodyDiv w:val="1"/>
      <w:marLeft w:val="0"/>
      <w:marRight w:val="0"/>
      <w:marTop w:val="0"/>
      <w:marBottom w:val="0"/>
      <w:divBdr>
        <w:top w:val="none" w:sz="0" w:space="0" w:color="auto"/>
        <w:left w:val="none" w:sz="0" w:space="0" w:color="auto"/>
        <w:bottom w:val="none" w:sz="0" w:space="0" w:color="auto"/>
        <w:right w:val="none" w:sz="0" w:space="0" w:color="auto"/>
      </w:divBdr>
    </w:div>
    <w:div w:id="563638613">
      <w:bodyDiv w:val="1"/>
      <w:marLeft w:val="0"/>
      <w:marRight w:val="0"/>
      <w:marTop w:val="0"/>
      <w:marBottom w:val="0"/>
      <w:divBdr>
        <w:top w:val="none" w:sz="0" w:space="0" w:color="auto"/>
        <w:left w:val="none" w:sz="0" w:space="0" w:color="auto"/>
        <w:bottom w:val="none" w:sz="0" w:space="0" w:color="auto"/>
        <w:right w:val="none" w:sz="0" w:space="0" w:color="auto"/>
      </w:divBdr>
    </w:div>
    <w:div w:id="568810186">
      <w:bodyDiv w:val="1"/>
      <w:marLeft w:val="0"/>
      <w:marRight w:val="0"/>
      <w:marTop w:val="0"/>
      <w:marBottom w:val="0"/>
      <w:divBdr>
        <w:top w:val="none" w:sz="0" w:space="0" w:color="auto"/>
        <w:left w:val="none" w:sz="0" w:space="0" w:color="auto"/>
        <w:bottom w:val="none" w:sz="0" w:space="0" w:color="auto"/>
        <w:right w:val="none" w:sz="0" w:space="0" w:color="auto"/>
      </w:divBdr>
    </w:div>
    <w:div w:id="596906251">
      <w:bodyDiv w:val="1"/>
      <w:marLeft w:val="0"/>
      <w:marRight w:val="0"/>
      <w:marTop w:val="0"/>
      <w:marBottom w:val="0"/>
      <w:divBdr>
        <w:top w:val="none" w:sz="0" w:space="0" w:color="auto"/>
        <w:left w:val="none" w:sz="0" w:space="0" w:color="auto"/>
        <w:bottom w:val="none" w:sz="0" w:space="0" w:color="auto"/>
        <w:right w:val="none" w:sz="0" w:space="0" w:color="auto"/>
      </w:divBdr>
    </w:div>
    <w:div w:id="644239337">
      <w:bodyDiv w:val="1"/>
      <w:marLeft w:val="0"/>
      <w:marRight w:val="0"/>
      <w:marTop w:val="0"/>
      <w:marBottom w:val="0"/>
      <w:divBdr>
        <w:top w:val="none" w:sz="0" w:space="0" w:color="auto"/>
        <w:left w:val="none" w:sz="0" w:space="0" w:color="auto"/>
        <w:bottom w:val="none" w:sz="0" w:space="0" w:color="auto"/>
        <w:right w:val="none" w:sz="0" w:space="0" w:color="auto"/>
      </w:divBdr>
    </w:div>
    <w:div w:id="649595755">
      <w:bodyDiv w:val="1"/>
      <w:marLeft w:val="0"/>
      <w:marRight w:val="0"/>
      <w:marTop w:val="0"/>
      <w:marBottom w:val="0"/>
      <w:divBdr>
        <w:top w:val="none" w:sz="0" w:space="0" w:color="auto"/>
        <w:left w:val="none" w:sz="0" w:space="0" w:color="auto"/>
        <w:bottom w:val="none" w:sz="0" w:space="0" w:color="auto"/>
        <w:right w:val="none" w:sz="0" w:space="0" w:color="auto"/>
      </w:divBdr>
    </w:div>
    <w:div w:id="653023939">
      <w:bodyDiv w:val="1"/>
      <w:marLeft w:val="0"/>
      <w:marRight w:val="0"/>
      <w:marTop w:val="0"/>
      <w:marBottom w:val="0"/>
      <w:divBdr>
        <w:top w:val="none" w:sz="0" w:space="0" w:color="auto"/>
        <w:left w:val="none" w:sz="0" w:space="0" w:color="auto"/>
        <w:bottom w:val="none" w:sz="0" w:space="0" w:color="auto"/>
        <w:right w:val="none" w:sz="0" w:space="0" w:color="auto"/>
      </w:divBdr>
    </w:div>
    <w:div w:id="656497028">
      <w:bodyDiv w:val="1"/>
      <w:marLeft w:val="0"/>
      <w:marRight w:val="0"/>
      <w:marTop w:val="0"/>
      <w:marBottom w:val="0"/>
      <w:divBdr>
        <w:top w:val="none" w:sz="0" w:space="0" w:color="auto"/>
        <w:left w:val="none" w:sz="0" w:space="0" w:color="auto"/>
        <w:bottom w:val="none" w:sz="0" w:space="0" w:color="auto"/>
        <w:right w:val="none" w:sz="0" w:space="0" w:color="auto"/>
      </w:divBdr>
    </w:div>
    <w:div w:id="678000240">
      <w:bodyDiv w:val="1"/>
      <w:marLeft w:val="0"/>
      <w:marRight w:val="0"/>
      <w:marTop w:val="0"/>
      <w:marBottom w:val="0"/>
      <w:divBdr>
        <w:top w:val="none" w:sz="0" w:space="0" w:color="auto"/>
        <w:left w:val="none" w:sz="0" w:space="0" w:color="auto"/>
        <w:bottom w:val="none" w:sz="0" w:space="0" w:color="auto"/>
        <w:right w:val="none" w:sz="0" w:space="0" w:color="auto"/>
      </w:divBdr>
    </w:div>
    <w:div w:id="712770122">
      <w:bodyDiv w:val="1"/>
      <w:marLeft w:val="0"/>
      <w:marRight w:val="0"/>
      <w:marTop w:val="0"/>
      <w:marBottom w:val="0"/>
      <w:divBdr>
        <w:top w:val="none" w:sz="0" w:space="0" w:color="auto"/>
        <w:left w:val="none" w:sz="0" w:space="0" w:color="auto"/>
        <w:bottom w:val="none" w:sz="0" w:space="0" w:color="auto"/>
        <w:right w:val="none" w:sz="0" w:space="0" w:color="auto"/>
      </w:divBdr>
    </w:div>
    <w:div w:id="718162630">
      <w:bodyDiv w:val="1"/>
      <w:marLeft w:val="0"/>
      <w:marRight w:val="0"/>
      <w:marTop w:val="0"/>
      <w:marBottom w:val="0"/>
      <w:divBdr>
        <w:top w:val="none" w:sz="0" w:space="0" w:color="auto"/>
        <w:left w:val="none" w:sz="0" w:space="0" w:color="auto"/>
        <w:bottom w:val="none" w:sz="0" w:space="0" w:color="auto"/>
        <w:right w:val="none" w:sz="0" w:space="0" w:color="auto"/>
      </w:divBdr>
    </w:div>
    <w:div w:id="718895525">
      <w:bodyDiv w:val="1"/>
      <w:marLeft w:val="0"/>
      <w:marRight w:val="0"/>
      <w:marTop w:val="0"/>
      <w:marBottom w:val="0"/>
      <w:divBdr>
        <w:top w:val="none" w:sz="0" w:space="0" w:color="auto"/>
        <w:left w:val="none" w:sz="0" w:space="0" w:color="auto"/>
        <w:bottom w:val="none" w:sz="0" w:space="0" w:color="auto"/>
        <w:right w:val="none" w:sz="0" w:space="0" w:color="auto"/>
      </w:divBdr>
    </w:div>
    <w:div w:id="745498029">
      <w:bodyDiv w:val="1"/>
      <w:marLeft w:val="0"/>
      <w:marRight w:val="0"/>
      <w:marTop w:val="0"/>
      <w:marBottom w:val="0"/>
      <w:divBdr>
        <w:top w:val="none" w:sz="0" w:space="0" w:color="auto"/>
        <w:left w:val="none" w:sz="0" w:space="0" w:color="auto"/>
        <w:bottom w:val="none" w:sz="0" w:space="0" w:color="auto"/>
        <w:right w:val="none" w:sz="0" w:space="0" w:color="auto"/>
      </w:divBdr>
    </w:div>
    <w:div w:id="813333617">
      <w:bodyDiv w:val="1"/>
      <w:marLeft w:val="0"/>
      <w:marRight w:val="0"/>
      <w:marTop w:val="0"/>
      <w:marBottom w:val="0"/>
      <w:divBdr>
        <w:top w:val="none" w:sz="0" w:space="0" w:color="auto"/>
        <w:left w:val="none" w:sz="0" w:space="0" w:color="auto"/>
        <w:bottom w:val="none" w:sz="0" w:space="0" w:color="auto"/>
        <w:right w:val="none" w:sz="0" w:space="0" w:color="auto"/>
      </w:divBdr>
    </w:div>
    <w:div w:id="820736294">
      <w:bodyDiv w:val="1"/>
      <w:marLeft w:val="0"/>
      <w:marRight w:val="0"/>
      <w:marTop w:val="0"/>
      <w:marBottom w:val="0"/>
      <w:divBdr>
        <w:top w:val="none" w:sz="0" w:space="0" w:color="auto"/>
        <w:left w:val="none" w:sz="0" w:space="0" w:color="auto"/>
        <w:bottom w:val="none" w:sz="0" w:space="0" w:color="auto"/>
        <w:right w:val="none" w:sz="0" w:space="0" w:color="auto"/>
      </w:divBdr>
    </w:div>
    <w:div w:id="906645052">
      <w:bodyDiv w:val="1"/>
      <w:marLeft w:val="0"/>
      <w:marRight w:val="0"/>
      <w:marTop w:val="0"/>
      <w:marBottom w:val="0"/>
      <w:divBdr>
        <w:top w:val="none" w:sz="0" w:space="0" w:color="auto"/>
        <w:left w:val="none" w:sz="0" w:space="0" w:color="auto"/>
        <w:bottom w:val="none" w:sz="0" w:space="0" w:color="auto"/>
        <w:right w:val="none" w:sz="0" w:space="0" w:color="auto"/>
      </w:divBdr>
    </w:div>
    <w:div w:id="949046613">
      <w:bodyDiv w:val="1"/>
      <w:marLeft w:val="0"/>
      <w:marRight w:val="0"/>
      <w:marTop w:val="0"/>
      <w:marBottom w:val="0"/>
      <w:divBdr>
        <w:top w:val="none" w:sz="0" w:space="0" w:color="auto"/>
        <w:left w:val="none" w:sz="0" w:space="0" w:color="auto"/>
        <w:bottom w:val="none" w:sz="0" w:space="0" w:color="auto"/>
        <w:right w:val="none" w:sz="0" w:space="0" w:color="auto"/>
      </w:divBdr>
    </w:div>
    <w:div w:id="985545331">
      <w:bodyDiv w:val="1"/>
      <w:marLeft w:val="0"/>
      <w:marRight w:val="0"/>
      <w:marTop w:val="0"/>
      <w:marBottom w:val="0"/>
      <w:divBdr>
        <w:top w:val="none" w:sz="0" w:space="0" w:color="auto"/>
        <w:left w:val="none" w:sz="0" w:space="0" w:color="auto"/>
        <w:bottom w:val="none" w:sz="0" w:space="0" w:color="auto"/>
        <w:right w:val="none" w:sz="0" w:space="0" w:color="auto"/>
      </w:divBdr>
    </w:div>
    <w:div w:id="986400666">
      <w:bodyDiv w:val="1"/>
      <w:marLeft w:val="0"/>
      <w:marRight w:val="0"/>
      <w:marTop w:val="0"/>
      <w:marBottom w:val="0"/>
      <w:divBdr>
        <w:top w:val="none" w:sz="0" w:space="0" w:color="auto"/>
        <w:left w:val="none" w:sz="0" w:space="0" w:color="auto"/>
        <w:bottom w:val="none" w:sz="0" w:space="0" w:color="auto"/>
        <w:right w:val="none" w:sz="0" w:space="0" w:color="auto"/>
      </w:divBdr>
    </w:div>
    <w:div w:id="999163776">
      <w:bodyDiv w:val="1"/>
      <w:marLeft w:val="0"/>
      <w:marRight w:val="0"/>
      <w:marTop w:val="0"/>
      <w:marBottom w:val="0"/>
      <w:divBdr>
        <w:top w:val="none" w:sz="0" w:space="0" w:color="auto"/>
        <w:left w:val="none" w:sz="0" w:space="0" w:color="auto"/>
        <w:bottom w:val="none" w:sz="0" w:space="0" w:color="auto"/>
        <w:right w:val="none" w:sz="0" w:space="0" w:color="auto"/>
      </w:divBdr>
    </w:div>
    <w:div w:id="1015110444">
      <w:bodyDiv w:val="1"/>
      <w:marLeft w:val="0"/>
      <w:marRight w:val="0"/>
      <w:marTop w:val="0"/>
      <w:marBottom w:val="0"/>
      <w:divBdr>
        <w:top w:val="none" w:sz="0" w:space="0" w:color="auto"/>
        <w:left w:val="none" w:sz="0" w:space="0" w:color="auto"/>
        <w:bottom w:val="none" w:sz="0" w:space="0" w:color="auto"/>
        <w:right w:val="none" w:sz="0" w:space="0" w:color="auto"/>
      </w:divBdr>
    </w:div>
    <w:div w:id="1023819188">
      <w:bodyDiv w:val="1"/>
      <w:marLeft w:val="0"/>
      <w:marRight w:val="0"/>
      <w:marTop w:val="0"/>
      <w:marBottom w:val="0"/>
      <w:divBdr>
        <w:top w:val="none" w:sz="0" w:space="0" w:color="auto"/>
        <w:left w:val="none" w:sz="0" w:space="0" w:color="auto"/>
        <w:bottom w:val="none" w:sz="0" w:space="0" w:color="auto"/>
        <w:right w:val="none" w:sz="0" w:space="0" w:color="auto"/>
      </w:divBdr>
    </w:div>
    <w:div w:id="1032803073">
      <w:bodyDiv w:val="1"/>
      <w:marLeft w:val="0"/>
      <w:marRight w:val="0"/>
      <w:marTop w:val="0"/>
      <w:marBottom w:val="0"/>
      <w:divBdr>
        <w:top w:val="none" w:sz="0" w:space="0" w:color="auto"/>
        <w:left w:val="none" w:sz="0" w:space="0" w:color="auto"/>
        <w:bottom w:val="none" w:sz="0" w:space="0" w:color="auto"/>
        <w:right w:val="none" w:sz="0" w:space="0" w:color="auto"/>
      </w:divBdr>
    </w:div>
    <w:div w:id="1044914155">
      <w:bodyDiv w:val="1"/>
      <w:marLeft w:val="0"/>
      <w:marRight w:val="0"/>
      <w:marTop w:val="0"/>
      <w:marBottom w:val="0"/>
      <w:divBdr>
        <w:top w:val="none" w:sz="0" w:space="0" w:color="auto"/>
        <w:left w:val="none" w:sz="0" w:space="0" w:color="auto"/>
        <w:bottom w:val="none" w:sz="0" w:space="0" w:color="auto"/>
        <w:right w:val="none" w:sz="0" w:space="0" w:color="auto"/>
      </w:divBdr>
    </w:div>
    <w:div w:id="1061951655">
      <w:bodyDiv w:val="1"/>
      <w:marLeft w:val="0"/>
      <w:marRight w:val="0"/>
      <w:marTop w:val="0"/>
      <w:marBottom w:val="0"/>
      <w:divBdr>
        <w:top w:val="none" w:sz="0" w:space="0" w:color="auto"/>
        <w:left w:val="none" w:sz="0" w:space="0" w:color="auto"/>
        <w:bottom w:val="none" w:sz="0" w:space="0" w:color="auto"/>
        <w:right w:val="none" w:sz="0" w:space="0" w:color="auto"/>
      </w:divBdr>
    </w:div>
    <w:div w:id="1095899046">
      <w:bodyDiv w:val="1"/>
      <w:marLeft w:val="0"/>
      <w:marRight w:val="0"/>
      <w:marTop w:val="0"/>
      <w:marBottom w:val="0"/>
      <w:divBdr>
        <w:top w:val="none" w:sz="0" w:space="0" w:color="auto"/>
        <w:left w:val="none" w:sz="0" w:space="0" w:color="auto"/>
        <w:bottom w:val="none" w:sz="0" w:space="0" w:color="auto"/>
        <w:right w:val="none" w:sz="0" w:space="0" w:color="auto"/>
      </w:divBdr>
    </w:div>
    <w:div w:id="1149512871">
      <w:bodyDiv w:val="1"/>
      <w:marLeft w:val="0"/>
      <w:marRight w:val="0"/>
      <w:marTop w:val="0"/>
      <w:marBottom w:val="0"/>
      <w:divBdr>
        <w:top w:val="none" w:sz="0" w:space="0" w:color="auto"/>
        <w:left w:val="none" w:sz="0" w:space="0" w:color="auto"/>
        <w:bottom w:val="none" w:sz="0" w:space="0" w:color="auto"/>
        <w:right w:val="none" w:sz="0" w:space="0" w:color="auto"/>
      </w:divBdr>
    </w:div>
    <w:div w:id="1152869968">
      <w:bodyDiv w:val="1"/>
      <w:marLeft w:val="0"/>
      <w:marRight w:val="0"/>
      <w:marTop w:val="0"/>
      <w:marBottom w:val="0"/>
      <w:divBdr>
        <w:top w:val="none" w:sz="0" w:space="0" w:color="auto"/>
        <w:left w:val="none" w:sz="0" w:space="0" w:color="auto"/>
        <w:bottom w:val="none" w:sz="0" w:space="0" w:color="auto"/>
        <w:right w:val="none" w:sz="0" w:space="0" w:color="auto"/>
      </w:divBdr>
    </w:div>
    <w:div w:id="1156458601">
      <w:bodyDiv w:val="1"/>
      <w:marLeft w:val="0"/>
      <w:marRight w:val="0"/>
      <w:marTop w:val="0"/>
      <w:marBottom w:val="0"/>
      <w:divBdr>
        <w:top w:val="none" w:sz="0" w:space="0" w:color="auto"/>
        <w:left w:val="none" w:sz="0" w:space="0" w:color="auto"/>
        <w:bottom w:val="none" w:sz="0" w:space="0" w:color="auto"/>
        <w:right w:val="none" w:sz="0" w:space="0" w:color="auto"/>
      </w:divBdr>
    </w:div>
    <w:div w:id="1174299178">
      <w:bodyDiv w:val="1"/>
      <w:marLeft w:val="0"/>
      <w:marRight w:val="0"/>
      <w:marTop w:val="0"/>
      <w:marBottom w:val="0"/>
      <w:divBdr>
        <w:top w:val="none" w:sz="0" w:space="0" w:color="auto"/>
        <w:left w:val="none" w:sz="0" w:space="0" w:color="auto"/>
        <w:bottom w:val="none" w:sz="0" w:space="0" w:color="auto"/>
        <w:right w:val="none" w:sz="0" w:space="0" w:color="auto"/>
      </w:divBdr>
    </w:div>
    <w:div w:id="1210191243">
      <w:bodyDiv w:val="1"/>
      <w:marLeft w:val="0"/>
      <w:marRight w:val="0"/>
      <w:marTop w:val="0"/>
      <w:marBottom w:val="0"/>
      <w:divBdr>
        <w:top w:val="none" w:sz="0" w:space="0" w:color="auto"/>
        <w:left w:val="none" w:sz="0" w:space="0" w:color="auto"/>
        <w:bottom w:val="none" w:sz="0" w:space="0" w:color="auto"/>
        <w:right w:val="none" w:sz="0" w:space="0" w:color="auto"/>
      </w:divBdr>
    </w:div>
    <w:div w:id="1222138522">
      <w:bodyDiv w:val="1"/>
      <w:marLeft w:val="0"/>
      <w:marRight w:val="0"/>
      <w:marTop w:val="0"/>
      <w:marBottom w:val="0"/>
      <w:divBdr>
        <w:top w:val="none" w:sz="0" w:space="0" w:color="auto"/>
        <w:left w:val="none" w:sz="0" w:space="0" w:color="auto"/>
        <w:bottom w:val="none" w:sz="0" w:space="0" w:color="auto"/>
        <w:right w:val="none" w:sz="0" w:space="0" w:color="auto"/>
      </w:divBdr>
    </w:div>
    <w:div w:id="1231846869">
      <w:bodyDiv w:val="1"/>
      <w:marLeft w:val="0"/>
      <w:marRight w:val="0"/>
      <w:marTop w:val="0"/>
      <w:marBottom w:val="0"/>
      <w:divBdr>
        <w:top w:val="none" w:sz="0" w:space="0" w:color="auto"/>
        <w:left w:val="none" w:sz="0" w:space="0" w:color="auto"/>
        <w:bottom w:val="none" w:sz="0" w:space="0" w:color="auto"/>
        <w:right w:val="none" w:sz="0" w:space="0" w:color="auto"/>
      </w:divBdr>
    </w:div>
    <w:div w:id="1261377874">
      <w:bodyDiv w:val="1"/>
      <w:marLeft w:val="0"/>
      <w:marRight w:val="0"/>
      <w:marTop w:val="0"/>
      <w:marBottom w:val="0"/>
      <w:divBdr>
        <w:top w:val="none" w:sz="0" w:space="0" w:color="auto"/>
        <w:left w:val="none" w:sz="0" w:space="0" w:color="auto"/>
        <w:bottom w:val="none" w:sz="0" w:space="0" w:color="auto"/>
        <w:right w:val="none" w:sz="0" w:space="0" w:color="auto"/>
      </w:divBdr>
    </w:div>
    <w:div w:id="1262879271">
      <w:bodyDiv w:val="1"/>
      <w:marLeft w:val="0"/>
      <w:marRight w:val="0"/>
      <w:marTop w:val="0"/>
      <w:marBottom w:val="0"/>
      <w:divBdr>
        <w:top w:val="none" w:sz="0" w:space="0" w:color="auto"/>
        <w:left w:val="none" w:sz="0" w:space="0" w:color="auto"/>
        <w:bottom w:val="none" w:sz="0" w:space="0" w:color="auto"/>
        <w:right w:val="none" w:sz="0" w:space="0" w:color="auto"/>
      </w:divBdr>
    </w:div>
    <w:div w:id="1285113022">
      <w:bodyDiv w:val="1"/>
      <w:marLeft w:val="0"/>
      <w:marRight w:val="0"/>
      <w:marTop w:val="0"/>
      <w:marBottom w:val="0"/>
      <w:divBdr>
        <w:top w:val="none" w:sz="0" w:space="0" w:color="auto"/>
        <w:left w:val="none" w:sz="0" w:space="0" w:color="auto"/>
        <w:bottom w:val="none" w:sz="0" w:space="0" w:color="auto"/>
        <w:right w:val="none" w:sz="0" w:space="0" w:color="auto"/>
      </w:divBdr>
    </w:div>
    <w:div w:id="1286427141">
      <w:bodyDiv w:val="1"/>
      <w:marLeft w:val="0"/>
      <w:marRight w:val="0"/>
      <w:marTop w:val="0"/>
      <w:marBottom w:val="0"/>
      <w:divBdr>
        <w:top w:val="none" w:sz="0" w:space="0" w:color="auto"/>
        <w:left w:val="none" w:sz="0" w:space="0" w:color="auto"/>
        <w:bottom w:val="none" w:sz="0" w:space="0" w:color="auto"/>
        <w:right w:val="none" w:sz="0" w:space="0" w:color="auto"/>
      </w:divBdr>
    </w:div>
    <w:div w:id="1330523766">
      <w:bodyDiv w:val="1"/>
      <w:marLeft w:val="0"/>
      <w:marRight w:val="0"/>
      <w:marTop w:val="0"/>
      <w:marBottom w:val="0"/>
      <w:divBdr>
        <w:top w:val="none" w:sz="0" w:space="0" w:color="auto"/>
        <w:left w:val="none" w:sz="0" w:space="0" w:color="auto"/>
        <w:bottom w:val="none" w:sz="0" w:space="0" w:color="auto"/>
        <w:right w:val="none" w:sz="0" w:space="0" w:color="auto"/>
      </w:divBdr>
    </w:div>
    <w:div w:id="1330788983">
      <w:bodyDiv w:val="1"/>
      <w:marLeft w:val="0"/>
      <w:marRight w:val="0"/>
      <w:marTop w:val="0"/>
      <w:marBottom w:val="0"/>
      <w:divBdr>
        <w:top w:val="none" w:sz="0" w:space="0" w:color="auto"/>
        <w:left w:val="none" w:sz="0" w:space="0" w:color="auto"/>
        <w:bottom w:val="none" w:sz="0" w:space="0" w:color="auto"/>
        <w:right w:val="none" w:sz="0" w:space="0" w:color="auto"/>
      </w:divBdr>
    </w:div>
    <w:div w:id="1334912819">
      <w:bodyDiv w:val="1"/>
      <w:marLeft w:val="0"/>
      <w:marRight w:val="0"/>
      <w:marTop w:val="0"/>
      <w:marBottom w:val="0"/>
      <w:divBdr>
        <w:top w:val="none" w:sz="0" w:space="0" w:color="auto"/>
        <w:left w:val="none" w:sz="0" w:space="0" w:color="auto"/>
        <w:bottom w:val="none" w:sz="0" w:space="0" w:color="auto"/>
        <w:right w:val="none" w:sz="0" w:space="0" w:color="auto"/>
      </w:divBdr>
    </w:div>
    <w:div w:id="1353260559">
      <w:bodyDiv w:val="1"/>
      <w:marLeft w:val="0"/>
      <w:marRight w:val="0"/>
      <w:marTop w:val="0"/>
      <w:marBottom w:val="0"/>
      <w:divBdr>
        <w:top w:val="none" w:sz="0" w:space="0" w:color="auto"/>
        <w:left w:val="none" w:sz="0" w:space="0" w:color="auto"/>
        <w:bottom w:val="none" w:sz="0" w:space="0" w:color="auto"/>
        <w:right w:val="none" w:sz="0" w:space="0" w:color="auto"/>
      </w:divBdr>
    </w:div>
    <w:div w:id="1387027779">
      <w:bodyDiv w:val="1"/>
      <w:marLeft w:val="0"/>
      <w:marRight w:val="0"/>
      <w:marTop w:val="0"/>
      <w:marBottom w:val="0"/>
      <w:divBdr>
        <w:top w:val="none" w:sz="0" w:space="0" w:color="auto"/>
        <w:left w:val="none" w:sz="0" w:space="0" w:color="auto"/>
        <w:bottom w:val="none" w:sz="0" w:space="0" w:color="auto"/>
        <w:right w:val="none" w:sz="0" w:space="0" w:color="auto"/>
      </w:divBdr>
    </w:div>
    <w:div w:id="1431974683">
      <w:bodyDiv w:val="1"/>
      <w:marLeft w:val="0"/>
      <w:marRight w:val="0"/>
      <w:marTop w:val="0"/>
      <w:marBottom w:val="0"/>
      <w:divBdr>
        <w:top w:val="none" w:sz="0" w:space="0" w:color="auto"/>
        <w:left w:val="none" w:sz="0" w:space="0" w:color="auto"/>
        <w:bottom w:val="none" w:sz="0" w:space="0" w:color="auto"/>
        <w:right w:val="none" w:sz="0" w:space="0" w:color="auto"/>
      </w:divBdr>
    </w:div>
    <w:div w:id="1433166371">
      <w:bodyDiv w:val="1"/>
      <w:marLeft w:val="0"/>
      <w:marRight w:val="0"/>
      <w:marTop w:val="0"/>
      <w:marBottom w:val="0"/>
      <w:divBdr>
        <w:top w:val="none" w:sz="0" w:space="0" w:color="auto"/>
        <w:left w:val="none" w:sz="0" w:space="0" w:color="auto"/>
        <w:bottom w:val="none" w:sz="0" w:space="0" w:color="auto"/>
        <w:right w:val="none" w:sz="0" w:space="0" w:color="auto"/>
      </w:divBdr>
    </w:div>
    <w:div w:id="1468356997">
      <w:bodyDiv w:val="1"/>
      <w:marLeft w:val="0"/>
      <w:marRight w:val="0"/>
      <w:marTop w:val="0"/>
      <w:marBottom w:val="0"/>
      <w:divBdr>
        <w:top w:val="none" w:sz="0" w:space="0" w:color="auto"/>
        <w:left w:val="none" w:sz="0" w:space="0" w:color="auto"/>
        <w:bottom w:val="none" w:sz="0" w:space="0" w:color="auto"/>
        <w:right w:val="none" w:sz="0" w:space="0" w:color="auto"/>
      </w:divBdr>
    </w:div>
    <w:div w:id="1500733430">
      <w:bodyDiv w:val="1"/>
      <w:marLeft w:val="0"/>
      <w:marRight w:val="0"/>
      <w:marTop w:val="0"/>
      <w:marBottom w:val="0"/>
      <w:divBdr>
        <w:top w:val="none" w:sz="0" w:space="0" w:color="auto"/>
        <w:left w:val="none" w:sz="0" w:space="0" w:color="auto"/>
        <w:bottom w:val="none" w:sz="0" w:space="0" w:color="auto"/>
        <w:right w:val="none" w:sz="0" w:space="0" w:color="auto"/>
      </w:divBdr>
    </w:div>
    <w:div w:id="1512186609">
      <w:bodyDiv w:val="1"/>
      <w:marLeft w:val="0"/>
      <w:marRight w:val="0"/>
      <w:marTop w:val="0"/>
      <w:marBottom w:val="0"/>
      <w:divBdr>
        <w:top w:val="none" w:sz="0" w:space="0" w:color="auto"/>
        <w:left w:val="none" w:sz="0" w:space="0" w:color="auto"/>
        <w:bottom w:val="none" w:sz="0" w:space="0" w:color="auto"/>
        <w:right w:val="none" w:sz="0" w:space="0" w:color="auto"/>
      </w:divBdr>
    </w:div>
    <w:div w:id="1532450774">
      <w:bodyDiv w:val="1"/>
      <w:marLeft w:val="0"/>
      <w:marRight w:val="0"/>
      <w:marTop w:val="0"/>
      <w:marBottom w:val="0"/>
      <w:divBdr>
        <w:top w:val="none" w:sz="0" w:space="0" w:color="auto"/>
        <w:left w:val="none" w:sz="0" w:space="0" w:color="auto"/>
        <w:bottom w:val="none" w:sz="0" w:space="0" w:color="auto"/>
        <w:right w:val="none" w:sz="0" w:space="0" w:color="auto"/>
      </w:divBdr>
    </w:div>
    <w:div w:id="1575698090">
      <w:bodyDiv w:val="1"/>
      <w:marLeft w:val="0"/>
      <w:marRight w:val="0"/>
      <w:marTop w:val="0"/>
      <w:marBottom w:val="0"/>
      <w:divBdr>
        <w:top w:val="none" w:sz="0" w:space="0" w:color="auto"/>
        <w:left w:val="none" w:sz="0" w:space="0" w:color="auto"/>
        <w:bottom w:val="none" w:sz="0" w:space="0" w:color="auto"/>
        <w:right w:val="none" w:sz="0" w:space="0" w:color="auto"/>
      </w:divBdr>
    </w:div>
    <w:div w:id="1613198444">
      <w:bodyDiv w:val="1"/>
      <w:marLeft w:val="0"/>
      <w:marRight w:val="0"/>
      <w:marTop w:val="0"/>
      <w:marBottom w:val="0"/>
      <w:divBdr>
        <w:top w:val="none" w:sz="0" w:space="0" w:color="auto"/>
        <w:left w:val="none" w:sz="0" w:space="0" w:color="auto"/>
        <w:bottom w:val="none" w:sz="0" w:space="0" w:color="auto"/>
        <w:right w:val="none" w:sz="0" w:space="0" w:color="auto"/>
      </w:divBdr>
    </w:div>
    <w:div w:id="1631397129">
      <w:bodyDiv w:val="1"/>
      <w:marLeft w:val="0"/>
      <w:marRight w:val="0"/>
      <w:marTop w:val="0"/>
      <w:marBottom w:val="0"/>
      <w:divBdr>
        <w:top w:val="none" w:sz="0" w:space="0" w:color="auto"/>
        <w:left w:val="none" w:sz="0" w:space="0" w:color="auto"/>
        <w:bottom w:val="none" w:sz="0" w:space="0" w:color="auto"/>
        <w:right w:val="none" w:sz="0" w:space="0" w:color="auto"/>
      </w:divBdr>
    </w:div>
    <w:div w:id="1631476565">
      <w:bodyDiv w:val="1"/>
      <w:marLeft w:val="0"/>
      <w:marRight w:val="0"/>
      <w:marTop w:val="0"/>
      <w:marBottom w:val="0"/>
      <w:divBdr>
        <w:top w:val="none" w:sz="0" w:space="0" w:color="auto"/>
        <w:left w:val="none" w:sz="0" w:space="0" w:color="auto"/>
        <w:bottom w:val="none" w:sz="0" w:space="0" w:color="auto"/>
        <w:right w:val="none" w:sz="0" w:space="0" w:color="auto"/>
      </w:divBdr>
    </w:div>
    <w:div w:id="1664384597">
      <w:bodyDiv w:val="1"/>
      <w:marLeft w:val="0"/>
      <w:marRight w:val="0"/>
      <w:marTop w:val="0"/>
      <w:marBottom w:val="0"/>
      <w:divBdr>
        <w:top w:val="none" w:sz="0" w:space="0" w:color="auto"/>
        <w:left w:val="none" w:sz="0" w:space="0" w:color="auto"/>
        <w:bottom w:val="none" w:sz="0" w:space="0" w:color="auto"/>
        <w:right w:val="none" w:sz="0" w:space="0" w:color="auto"/>
      </w:divBdr>
    </w:div>
    <w:div w:id="1679189594">
      <w:bodyDiv w:val="1"/>
      <w:marLeft w:val="0"/>
      <w:marRight w:val="0"/>
      <w:marTop w:val="0"/>
      <w:marBottom w:val="0"/>
      <w:divBdr>
        <w:top w:val="none" w:sz="0" w:space="0" w:color="auto"/>
        <w:left w:val="none" w:sz="0" w:space="0" w:color="auto"/>
        <w:bottom w:val="none" w:sz="0" w:space="0" w:color="auto"/>
        <w:right w:val="none" w:sz="0" w:space="0" w:color="auto"/>
      </w:divBdr>
    </w:div>
    <w:div w:id="1725981656">
      <w:bodyDiv w:val="1"/>
      <w:marLeft w:val="0"/>
      <w:marRight w:val="0"/>
      <w:marTop w:val="0"/>
      <w:marBottom w:val="0"/>
      <w:divBdr>
        <w:top w:val="none" w:sz="0" w:space="0" w:color="auto"/>
        <w:left w:val="none" w:sz="0" w:space="0" w:color="auto"/>
        <w:bottom w:val="none" w:sz="0" w:space="0" w:color="auto"/>
        <w:right w:val="none" w:sz="0" w:space="0" w:color="auto"/>
      </w:divBdr>
    </w:div>
    <w:div w:id="1771967129">
      <w:bodyDiv w:val="1"/>
      <w:marLeft w:val="0"/>
      <w:marRight w:val="0"/>
      <w:marTop w:val="0"/>
      <w:marBottom w:val="0"/>
      <w:divBdr>
        <w:top w:val="none" w:sz="0" w:space="0" w:color="auto"/>
        <w:left w:val="none" w:sz="0" w:space="0" w:color="auto"/>
        <w:bottom w:val="none" w:sz="0" w:space="0" w:color="auto"/>
        <w:right w:val="none" w:sz="0" w:space="0" w:color="auto"/>
      </w:divBdr>
    </w:div>
    <w:div w:id="1850244194">
      <w:bodyDiv w:val="1"/>
      <w:marLeft w:val="0"/>
      <w:marRight w:val="0"/>
      <w:marTop w:val="0"/>
      <w:marBottom w:val="0"/>
      <w:divBdr>
        <w:top w:val="none" w:sz="0" w:space="0" w:color="auto"/>
        <w:left w:val="none" w:sz="0" w:space="0" w:color="auto"/>
        <w:bottom w:val="none" w:sz="0" w:space="0" w:color="auto"/>
        <w:right w:val="none" w:sz="0" w:space="0" w:color="auto"/>
      </w:divBdr>
    </w:div>
    <w:div w:id="1853717149">
      <w:bodyDiv w:val="1"/>
      <w:marLeft w:val="0"/>
      <w:marRight w:val="0"/>
      <w:marTop w:val="0"/>
      <w:marBottom w:val="0"/>
      <w:divBdr>
        <w:top w:val="none" w:sz="0" w:space="0" w:color="auto"/>
        <w:left w:val="none" w:sz="0" w:space="0" w:color="auto"/>
        <w:bottom w:val="none" w:sz="0" w:space="0" w:color="auto"/>
        <w:right w:val="none" w:sz="0" w:space="0" w:color="auto"/>
      </w:divBdr>
    </w:div>
    <w:div w:id="1875727930">
      <w:bodyDiv w:val="1"/>
      <w:marLeft w:val="0"/>
      <w:marRight w:val="0"/>
      <w:marTop w:val="0"/>
      <w:marBottom w:val="0"/>
      <w:divBdr>
        <w:top w:val="none" w:sz="0" w:space="0" w:color="auto"/>
        <w:left w:val="none" w:sz="0" w:space="0" w:color="auto"/>
        <w:bottom w:val="none" w:sz="0" w:space="0" w:color="auto"/>
        <w:right w:val="none" w:sz="0" w:space="0" w:color="auto"/>
      </w:divBdr>
    </w:div>
    <w:div w:id="1877961027">
      <w:bodyDiv w:val="1"/>
      <w:marLeft w:val="0"/>
      <w:marRight w:val="0"/>
      <w:marTop w:val="0"/>
      <w:marBottom w:val="0"/>
      <w:divBdr>
        <w:top w:val="none" w:sz="0" w:space="0" w:color="auto"/>
        <w:left w:val="none" w:sz="0" w:space="0" w:color="auto"/>
        <w:bottom w:val="none" w:sz="0" w:space="0" w:color="auto"/>
        <w:right w:val="none" w:sz="0" w:space="0" w:color="auto"/>
      </w:divBdr>
    </w:div>
    <w:div w:id="1882861060">
      <w:bodyDiv w:val="1"/>
      <w:marLeft w:val="0"/>
      <w:marRight w:val="0"/>
      <w:marTop w:val="0"/>
      <w:marBottom w:val="0"/>
      <w:divBdr>
        <w:top w:val="none" w:sz="0" w:space="0" w:color="auto"/>
        <w:left w:val="none" w:sz="0" w:space="0" w:color="auto"/>
        <w:bottom w:val="none" w:sz="0" w:space="0" w:color="auto"/>
        <w:right w:val="none" w:sz="0" w:space="0" w:color="auto"/>
      </w:divBdr>
    </w:div>
    <w:div w:id="1934851966">
      <w:bodyDiv w:val="1"/>
      <w:marLeft w:val="0"/>
      <w:marRight w:val="0"/>
      <w:marTop w:val="0"/>
      <w:marBottom w:val="0"/>
      <w:divBdr>
        <w:top w:val="none" w:sz="0" w:space="0" w:color="auto"/>
        <w:left w:val="none" w:sz="0" w:space="0" w:color="auto"/>
        <w:bottom w:val="none" w:sz="0" w:space="0" w:color="auto"/>
        <w:right w:val="none" w:sz="0" w:space="0" w:color="auto"/>
      </w:divBdr>
    </w:div>
    <w:div w:id="1961956663">
      <w:bodyDiv w:val="1"/>
      <w:marLeft w:val="0"/>
      <w:marRight w:val="0"/>
      <w:marTop w:val="0"/>
      <w:marBottom w:val="0"/>
      <w:divBdr>
        <w:top w:val="none" w:sz="0" w:space="0" w:color="auto"/>
        <w:left w:val="none" w:sz="0" w:space="0" w:color="auto"/>
        <w:bottom w:val="none" w:sz="0" w:space="0" w:color="auto"/>
        <w:right w:val="none" w:sz="0" w:space="0" w:color="auto"/>
      </w:divBdr>
    </w:div>
    <w:div w:id="1963533692">
      <w:bodyDiv w:val="1"/>
      <w:marLeft w:val="0"/>
      <w:marRight w:val="0"/>
      <w:marTop w:val="0"/>
      <w:marBottom w:val="0"/>
      <w:divBdr>
        <w:top w:val="none" w:sz="0" w:space="0" w:color="auto"/>
        <w:left w:val="none" w:sz="0" w:space="0" w:color="auto"/>
        <w:bottom w:val="none" w:sz="0" w:space="0" w:color="auto"/>
        <w:right w:val="none" w:sz="0" w:space="0" w:color="auto"/>
      </w:divBdr>
    </w:div>
    <w:div w:id="1977564235">
      <w:bodyDiv w:val="1"/>
      <w:marLeft w:val="0"/>
      <w:marRight w:val="0"/>
      <w:marTop w:val="0"/>
      <w:marBottom w:val="0"/>
      <w:divBdr>
        <w:top w:val="none" w:sz="0" w:space="0" w:color="auto"/>
        <w:left w:val="none" w:sz="0" w:space="0" w:color="auto"/>
        <w:bottom w:val="none" w:sz="0" w:space="0" w:color="auto"/>
        <w:right w:val="none" w:sz="0" w:space="0" w:color="auto"/>
      </w:divBdr>
    </w:div>
    <w:div w:id="1998456565">
      <w:bodyDiv w:val="1"/>
      <w:marLeft w:val="0"/>
      <w:marRight w:val="0"/>
      <w:marTop w:val="0"/>
      <w:marBottom w:val="0"/>
      <w:divBdr>
        <w:top w:val="none" w:sz="0" w:space="0" w:color="auto"/>
        <w:left w:val="none" w:sz="0" w:space="0" w:color="auto"/>
        <w:bottom w:val="none" w:sz="0" w:space="0" w:color="auto"/>
        <w:right w:val="none" w:sz="0" w:space="0" w:color="auto"/>
      </w:divBdr>
    </w:div>
    <w:div w:id="1998803487">
      <w:bodyDiv w:val="1"/>
      <w:marLeft w:val="0"/>
      <w:marRight w:val="0"/>
      <w:marTop w:val="0"/>
      <w:marBottom w:val="0"/>
      <w:divBdr>
        <w:top w:val="none" w:sz="0" w:space="0" w:color="auto"/>
        <w:left w:val="none" w:sz="0" w:space="0" w:color="auto"/>
        <w:bottom w:val="none" w:sz="0" w:space="0" w:color="auto"/>
        <w:right w:val="none" w:sz="0" w:space="0" w:color="auto"/>
      </w:divBdr>
    </w:div>
    <w:div w:id="2070760219">
      <w:bodyDiv w:val="1"/>
      <w:marLeft w:val="0"/>
      <w:marRight w:val="0"/>
      <w:marTop w:val="0"/>
      <w:marBottom w:val="0"/>
      <w:divBdr>
        <w:top w:val="none" w:sz="0" w:space="0" w:color="auto"/>
        <w:left w:val="none" w:sz="0" w:space="0" w:color="auto"/>
        <w:bottom w:val="none" w:sz="0" w:space="0" w:color="auto"/>
        <w:right w:val="none" w:sz="0" w:space="0" w:color="auto"/>
      </w:divBdr>
    </w:div>
    <w:div w:id="2079668637">
      <w:bodyDiv w:val="1"/>
      <w:marLeft w:val="0"/>
      <w:marRight w:val="0"/>
      <w:marTop w:val="0"/>
      <w:marBottom w:val="0"/>
      <w:divBdr>
        <w:top w:val="none" w:sz="0" w:space="0" w:color="auto"/>
        <w:left w:val="none" w:sz="0" w:space="0" w:color="auto"/>
        <w:bottom w:val="none" w:sz="0" w:space="0" w:color="auto"/>
        <w:right w:val="none" w:sz="0" w:space="0" w:color="auto"/>
      </w:divBdr>
    </w:div>
    <w:div w:id="2091194112">
      <w:bodyDiv w:val="1"/>
      <w:marLeft w:val="0"/>
      <w:marRight w:val="0"/>
      <w:marTop w:val="0"/>
      <w:marBottom w:val="0"/>
      <w:divBdr>
        <w:top w:val="none" w:sz="0" w:space="0" w:color="auto"/>
        <w:left w:val="none" w:sz="0" w:space="0" w:color="auto"/>
        <w:bottom w:val="none" w:sz="0" w:space="0" w:color="auto"/>
        <w:right w:val="none" w:sz="0" w:space="0" w:color="auto"/>
      </w:divBdr>
    </w:div>
    <w:div w:id="209231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krau\AppData\Local\Microsoft\Windows\INetCache\Content.Outlook\F9KLO0JE\kim.rau@adm.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3D70B50-4337-4054-B781-718A31F6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4740</Words>
  <Characters>27023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Part 1 – Agency Profile</vt:lpstr>
    </vt:vector>
  </TitlesOfParts>
  <Company>Idaho Department of Administration</Company>
  <LinksUpToDate>false</LinksUpToDate>
  <CharactersWithSpaces>31700</CharactersWithSpaces>
  <SharedDoc>false</SharedDoc>
  <HLinks>
    <vt:vector size="6" baseType="variant">
      <vt:variant>
        <vt:i4>3276809</vt:i4>
      </vt:variant>
      <vt:variant>
        <vt:i4>3</vt:i4>
      </vt:variant>
      <vt:variant>
        <vt:i4>0</vt:i4>
      </vt:variant>
      <vt:variant>
        <vt:i4>5</vt:i4>
      </vt:variant>
      <vt:variant>
        <vt:lpwstr>mailto:jennifer.pike@adm.idaho.gov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Agency Profile</dc:title>
  <dc:subject/>
  <dc:creator>jchambers</dc:creator>
  <cp:keywords/>
  <dc:description/>
  <cp:lastModifiedBy>Theresa Arnold</cp:lastModifiedBy>
  <cp:revision>7</cp:revision>
  <cp:lastPrinted>2021-08-23T15:33:00Z</cp:lastPrinted>
  <dcterms:created xsi:type="dcterms:W3CDTF">2021-08-23T21:12:00Z</dcterms:created>
  <dcterms:modified xsi:type="dcterms:W3CDTF">2022-05-31T21:07:00Z</dcterms:modified>
</cp:coreProperties>
</file>