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BE065" w14:textId="77777777" w:rsidR="0062679A" w:rsidRPr="00487FCD" w:rsidRDefault="0062679A" w:rsidP="00BD4717">
      <w:pPr>
        <w:pStyle w:val="Heading1"/>
        <w:spacing w:before="0"/>
        <w:ind w:firstLine="720"/>
        <w:rPr>
          <w:rFonts w:ascii="Arial" w:hAnsi="Arial" w:cs="Arial"/>
          <w:i/>
          <w:color w:val="000080"/>
          <w:szCs w:val="24"/>
        </w:rPr>
      </w:pPr>
      <w:r w:rsidRPr="00487FCD">
        <w:rPr>
          <w:rFonts w:ascii="Arial" w:hAnsi="Arial" w:cs="Arial"/>
          <w:i/>
          <w:color w:val="000080"/>
          <w:szCs w:val="24"/>
        </w:rPr>
        <w:t>Part I – Agency Profile</w:t>
      </w:r>
    </w:p>
    <w:p w14:paraId="783C793A" w14:textId="1CAA412A" w:rsidR="0062679A" w:rsidRPr="00F853E2" w:rsidRDefault="00704F84" w:rsidP="0062679A">
      <w:pPr>
        <w:tabs>
          <w:tab w:val="left" w:pos="4095"/>
          <w:tab w:val="left" w:pos="4515"/>
        </w:tabs>
        <w:rPr>
          <w:b/>
          <w:bCs/>
          <w:color w:val="FFFFFF" w:themeColor="background1"/>
          <w:szCs w:val="16"/>
        </w:rPr>
      </w:pPr>
      <w:r>
        <w:rPr>
          <w:b/>
          <w:bCs/>
          <w:color w:val="FFFFFF" w:themeColor="background1"/>
          <w:szCs w:val="16"/>
        </w:rPr>
        <w:t>FY 2019</w:t>
      </w:r>
      <w:r w:rsidR="0062679A" w:rsidRPr="00F853E2">
        <w:rPr>
          <w:b/>
          <w:bCs/>
          <w:color w:val="FFFFFF" w:themeColor="background1"/>
          <w:szCs w:val="16"/>
        </w:rPr>
        <w:t xml:space="preserve"> – Dot is text</w:t>
      </w:r>
    </w:p>
    <w:p w14:paraId="00916930" w14:textId="77777777" w:rsidR="000B30BD" w:rsidRPr="00E80EE2" w:rsidRDefault="000B30BD" w:rsidP="00E80EE2">
      <w:r w:rsidRPr="00E80EE2">
        <w:rPr>
          <w:b/>
          <w:bCs/>
        </w:rPr>
        <w:t>Agency Overview</w:t>
      </w:r>
    </w:p>
    <w:p w14:paraId="657D0EEE" w14:textId="1FCADDD7" w:rsidR="00CA1B9B" w:rsidRPr="00E80EE2" w:rsidRDefault="005E0BEB" w:rsidP="00FC6B15">
      <w:pPr>
        <w:jc w:val="both"/>
        <w:rPr>
          <w:sz w:val="20"/>
        </w:rPr>
      </w:pPr>
      <w:r w:rsidRPr="00E80EE2">
        <w:rPr>
          <w:sz w:val="20"/>
        </w:rPr>
        <w:t>Boise State University is a public, metropolitan research university that foster</w:t>
      </w:r>
      <w:r w:rsidR="00DC1D40">
        <w:rPr>
          <w:sz w:val="20"/>
        </w:rPr>
        <w:t>s</w:t>
      </w:r>
      <w:r w:rsidRPr="00E80EE2">
        <w:rPr>
          <w:sz w:val="20"/>
        </w:rPr>
        <w:t xml:space="preserve"> student success in and after their college years, lifelong learning, community engagement, innovation and creativity.</w:t>
      </w:r>
      <w:r w:rsidR="0052002B">
        <w:rPr>
          <w:sz w:val="20"/>
        </w:rPr>
        <w:t xml:space="preserve"> </w:t>
      </w:r>
      <w:r w:rsidRPr="00E80EE2">
        <w:rPr>
          <w:sz w:val="20"/>
        </w:rPr>
        <w:t>Research and creative activity advance new knowledge and benefit students, the economy, the community, the state and the nation.</w:t>
      </w:r>
      <w:r w:rsidR="00955852">
        <w:rPr>
          <w:sz w:val="20"/>
        </w:rPr>
        <w:t xml:space="preserve"> </w:t>
      </w:r>
      <w:r w:rsidR="00955852">
        <w:rPr>
          <w:sz w:val="20"/>
          <w:szCs w:val="20"/>
        </w:rPr>
        <w:t xml:space="preserve">Boise State is </w:t>
      </w:r>
      <w:r w:rsidR="00DC1D40">
        <w:rPr>
          <w:sz w:val="20"/>
          <w:szCs w:val="20"/>
        </w:rPr>
        <w:t xml:space="preserve">a Carnegie </w:t>
      </w:r>
      <w:r w:rsidR="00955852">
        <w:rPr>
          <w:sz w:val="20"/>
          <w:szCs w:val="20"/>
        </w:rPr>
        <w:t>doctoral university with high research activity.</w:t>
      </w:r>
      <w:r w:rsidRPr="00E80EE2">
        <w:rPr>
          <w:sz w:val="20"/>
        </w:rPr>
        <w:t xml:space="preserve"> </w:t>
      </w:r>
      <w:r w:rsidR="00E67AA7">
        <w:rPr>
          <w:sz w:val="20"/>
        </w:rPr>
        <w:t xml:space="preserve"> </w:t>
      </w:r>
      <w:r w:rsidR="00DC1D40">
        <w:rPr>
          <w:sz w:val="20"/>
        </w:rPr>
        <w:t xml:space="preserve">We </w:t>
      </w:r>
      <w:r w:rsidR="00E67AA7" w:rsidRPr="00E67AA7">
        <w:rPr>
          <w:sz w:val="20"/>
        </w:rPr>
        <w:t xml:space="preserve">lead the way </w:t>
      </w:r>
      <w:r w:rsidR="00DC1D40">
        <w:rPr>
          <w:sz w:val="20"/>
        </w:rPr>
        <w:t xml:space="preserve">on </w:t>
      </w:r>
      <w:r w:rsidR="00E67AA7" w:rsidRPr="00E67AA7">
        <w:rPr>
          <w:sz w:val="20"/>
        </w:rPr>
        <w:t>Idaho's goal of ensuring that 60 percent of Idahoans have a college degree or certificate and produce more than 40 percent of all bachelor's degrees awarded by Idaho public universities.</w:t>
      </w:r>
    </w:p>
    <w:p w14:paraId="09B2BF05" w14:textId="77777777" w:rsidR="005E0BEB" w:rsidRPr="00E80EE2" w:rsidRDefault="005E0BEB" w:rsidP="00FC6B15">
      <w:pPr>
        <w:jc w:val="both"/>
        <w:rPr>
          <w:sz w:val="20"/>
        </w:rPr>
      </w:pPr>
    </w:p>
    <w:p w14:paraId="2956D9BE" w14:textId="4F155A2D" w:rsidR="00CA1B9B" w:rsidRPr="00E80EE2" w:rsidRDefault="00CA1B9B" w:rsidP="00FC6B15">
      <w:pPr>
        <w:jc w:val="both"/>
        <w:rPr>
          <w:sz w:val="20"/>
        </w:rPr>
      </w:pPr>
      <w:r w:rsidRPr="00E80EE2">
        <w:rPr>
          <w:sz w:val="20"/>
        </w:rPr>
        <w:t xml:space="preserve">Boise State University employs </w:t>
      </w:r>
      <w:r w:rsidR="000A0E60">
        <w:rPr>
          <w:sz w:val="20"/>
        </w:rPr>
        <w:t xml:space="preserve">just over </w:t>
      </w:r>
      <w:r w:rsidR="00570E10">
        <w:rPr>
          <w:sz w:val="20"/>
        </w:rPr>
        <w:t>3,</w:t>
      </w:r>
      <w:r w:rsidR="000A0E60">
        <w:rPr>
          <w:sz w:val="20"/>
        </w:rPr>
        <w:t>2</w:t>
      </w:r>
      <w:r w:rsidR="00570E10">
        <w:rPr>
          <w:sz w:val="20"/>
        </w:rPr>
        <w:t>00</w:t>
      </w:r>
      <w:r w:rsidRPr="00E80EE2">
        <w:rPr>
          <w:sz w:val="20"/>
        </w:rPr>
        <w:t xml:space="preserve"> full and part-time employees, including approximately 1,</w:t>
      </w:r>
      <w:r w:rsidR="00C1069B">
        <w:rPr>
          <w:sz w:val="20"/>
        </w:rPr>
        <w:t>75</w:t>
      </w:r>
      <w:r w:rsidR="00570E10">
        <w:rPr>
          <w:sz w:val="20"/>
        </w:rPr>
        <w:t>0</w:t>
      </w:r>
      <w:r w:rsidRPr="00E80EE2">
        <w:rPr>
          <w:sz w:val="20"/>
        </w:rPr>
        <w:t xml:space="preserve"> full-time professional and classified staff and</w:t>
      </w:r>
      <w:r w:rsidR="0052002B">
        <w:rPr>
          <w:sz w:val="20"/>
        </w:rPr>
        <w:t xml:space="preserve"> nearly 800 </w:t>
      </w:r>
      <w:r w:rsidRPr="00E80EE2">
        <w:rPr>
          <w:sz w:val="20"/>
        </w:rPr>
        <w:t>full-time</w:t>
      </w:r>
      <w:r w:rsidR="00570E10">
        <w:rPr>
          <w:sz w:val="20"/>
        </w:rPr>
        <w:t xml:space="preserve"> </w:t>
      </w:r>
      <w:r w:rsidR="00533DE7">
        <w:rPr>
          <w:sz w:val="20"/>
        </w:rPr>
        <w:t>instructional</w:t>
      </w:r>
      <w:r w:rsidRPr="00E80EE2">
        <w:rPr>
          <w:sz w:val="20"/>
        </w:rPr>
        <w:t xml:space="preserve"> faculty members. The main campus of Boise State University is located at 1910 University Drive</w:t>
      </w:r>
      <w:r w:rsidR="0052002B">
        <w:rPr>
          <w:sz w:val="20"/>
        </w:rPr>
        <w:t xml:space="preserve"> in</w:t>
      </w:r>
      <w:r w:rsidRPr="00E80EE2">
        <w:rPr>
          <w:sz w:val="20"/>
        </w:rPr>
        <w:t xml:space="preserve"> Boise</w:t>
      </w:r>
      <w:r w:rsidR="0052002B">
        <w:rPr>
          <w:sz w:val="20"/>
        </w:rPr>
        <w:t>,</w:t>
      </w:r>
      <w:r w:rsidRPr="00E80EE2">
        <w:rPr>
          <w:sz w:val="20"/>
        </w:rPr>
        <w:t xml:space="preserve"> Idaho.  Classes </w:t>
      </w:r>
      <w:r w:rsidR="00BB7A42">
        <w:rPr>
          <w:sz w:val="20"/>
        </w:rPr>
        <w:t xml:space="preserve">also </w:t>
      </w:r>
      <w:r w:rsidRPr="00E80EE2">
        <w:rPr>
          <w:sz w:val="20"/>
        </w:rPr>
        <w:t xml:space="preserve">are </w:t>
      </w:r>
      <w:r w:rsidR="00DC1D40">
        <w:rPr>
          <w:sz w:val="20"/>
        </w:rPr>
        <w:t xml:space="preserve">offered at </w:t>
      </w:r>
      <w:r w:rsidRPr="00E80EE2">
        <w:rPr>
          <w:sz w:val="20"/>
        </w:rPr>
        <w:t>Twin Falls</w:t>
      </w:r>
      <w:r w:rsidR="00F11AAA">
        <w:rPr>
          <w:sz w:val="20"/>
        </w:rPr>
        <w:t>’</w:t>
      </w:r>
      <w:r w:rsidR="00DC1D40">
        <w:rPr>
          <w:sz w:val="20"/>
        </w:rPr>
        <w:t xml:space="preserve"> </w:t>
      </w:r>
      <w:r w:rsidRPr="00E80EE2">
        <w:rPr>
          <w:sz w:val="20"/>
        </w:rPr>
        <w:t>CSI campus</w:t>
      </w:r>
      <w:r w:rsidR="00DC1D40">
        <w:rPr>
          <w:sz w:val="20"/>
        </w:rPr>
        <w:t>;</w:t>
      </w:r>
      <w:r w:rsidRPr="00E80EE2">
        <w:rPr>
          <w:sz w:val="20"/>
        </w:rPr>
        <w:t xml:space="preserve"> Coeur d’Alene</w:t>
      </w:r>
      <w:r w:rsidR="00DC1D40">
        <w:rPr>
          <w:sz w:val="20"/>
        </w:rPr>
        <w:t xml:space="preserve">’s </w:t>
      </w:r>
      <w:r w:rsidR="00440B86" w:rsidRPr="00E80EE2">
        <w:rPr>
          <w:sz w:val="20"/>
        </w:rPr>
        <w:t>North Idaho Coll</w:t>
      </w:r>
      <w:r w:rsidRPr="00E80EE2">
        <w:rPr>
          <w:sz w:val="20"/>
        </w:rPr>
        <w:t xml:space="preserve">ege, Micron Technology, </w:t>
      </w:r>
      <w:r w:rsidR="007209A5" w:rsidRPr="00E80EE2">
        <w:rPr>
          <w:sz w:val="20"/>
        </w:rPr>
        <w:t>downtown Boise (</w:t>
      </w:r>
      <w:proofErr w:type="spellStart"/>
      <w:r w:rsidR="007209A5" w:rsidRPr="00E80EE2">
        <w:rPr>
          <w:sz w:val="20"/>
        </w:rPr>
        <w:t>BoDo</w:t>
      </w:r>
      <w:proofErr w:type="spellEnd"/>
      <w:r w:rsidRPr="00E80EE2">
        <w:rPr>
          <w:sz w:val="20"/>
        </w:rPr>
        <w:t>)</w:t>
      </w:r>
      <w:r w:rsidR="00814FA1">
        <w:rPr>
          <w:sz w:val="20"/>
        </w:rPr>
        <w:t>,</w:t>
      </w:r>
      <w:r w:rsidRPr="00E80EE2">
        <w:rPr>
          <w:sz w:val="20"/>
        </w:rPr>
        <w:t xml:space="preserve"> and Boise State University </w:t>
      </w:r>
      <w:r w:rsidR="007F4032" w:rsidRPr="00E80EE2">
        <w:rPr>
          <w:sz w:val="20"/>
        </w:rPr>
        <w:t>at College of Western Idaho</w:t>
      </w:r>
      <w:r w:rsidRPr="00E80EE2">
        <w:rPr>
          <w:sz w:val="20"/>
        </w:rPr>
        <w:t>.  Boise State University provides a</w:t>
      </w:r>
      <w:r w:rsidR="00DC1D40">
        <w:rPr>
          <w:sz w:val="20"/>
        </w:rPr>
        <w:t xml:space="preserve">n impressive array of </w:t>
      </w:r>
      <w:r w:rsidRPr="00E80EE2">
        <w:rPr>
          <w:sz w:val="20"/>
        </w:rPr>
        <w:t>online courses and programs that are available across the state and nation.</w:t>
      </w:r>
    </w:p>
    <w:p w14:paraId="03EC06F9" w14:textId="77777777" w:rsidR="00CA1B9B" w:rsidRPr="00E80EE2" w:rsidRDefault="00CA1B9B" w:rsidP="00FC6B15">
      <w:pPr>
        <w:jc w:val="both"/>
        <w:rPr>
          <w:sz w:val="20"/>
        </w:rPr>
      </w:pPr>
    </w:p>
    <w:p w14:paraId="10D433BC" w14:textId="28EB0025" w:rsidR="00CA1B9B" w:rsidRPr="00E80EE2" w:rsidRDefault="00CA1B9B" w:rsidP="00FC6B15">
      <w:pPr>
        <w:jc w:val="both"/>
        <w:rPr>
          <w:sz w:val="20"/>
        </w:rPr>
      </w:pPr>
      <w:r w:rsidRPr="00E80EE2">
        <w:rPr>
          <w:sz w:val="20"/>
        </w:rPr>
        <w:t>Boise State University offers studies in nearly 200 fields of interest</w:t>
      </w:r>
      <w:r w:rsidR="00761A74" w:rsidRPr="00E80EE2">
        <w:rPr>
          <w:sz w:val="20"/>
        </w:rPr>
        <w:t xml:space="preserve"> </w:t>
      </w:r>
      <w:r w:rsidR="005D7677" w:rsidRPr="00E80EE2">
        <w:rPr>
          <w:sz w:val="20"/>
        </w:rPr>
        <w:t>in</w:t>
      </w:r>
      <w:r w:rsidR="003A3220">
        <w:rPr>
          <w:sz w:val="20"/>
        </w:rPr>
        <w:t xml:space="preserve"> </w:t>
      </w:r>
      <w:r w:rsidR="000A0E60">
        <w:rPr>
          <w:sz w:val="20"/>
        </w:rPr>
        <w:t>102</w:t>
      </w:r>
      <w:r w:rsidR="00761A74" w:rsidRPr="00E80EE2">
        <w:rPr>
          <w:sz w:val="20"/>
        </w:rPr>
        <w:t xml:space="preserve"> </w:t>
      </w:r>
      <w:proofErr w:type="gramStart"/>
      <w:r w:rsidR="00761A74" w:rsidRPr="00E80EE2">
        <w:rPr>
          <w:sz w:val="20"/>
        </w:rPr>
        <w:t>bachelor</w:t>
      </w:r>
      <w:proofErr w:type="gramEnd"/>
      <w:r w:rsidR="00761A74" w:rsidRPr="00E80EE2">
        <w:rPr>
          <w:sz w:val="20"/>
        </w:rPr>
        <w:t xml:space="preserve"> degree programs,</w:t>
      </w:r>
      <w:r w:rsidRPr="00E80EE2">
        <w:rPr>
          <w:sz w:val="20"/>
        </w:rPr>
        <w:t xml:space="preserve"> </w:t>
      </w:r>
      <w:r w:rsidR="00EE1F1E" w:rsidRPr="00E80EE2">
        <w:rPr>
          <w:sz w:val="20"/>
        </w:rPr>
        <w:t>6</w:t>
      </w:r>
      <w:r w:rsidR="002222E2">
        <w:rPr>
          <w:sz w:val="20"/>
        </w:rPr>
        <w:t>7</w:t>
      </w:r>
      <w:r w:rsidR="00761A74" w:rsidRPr="00E80EE2">
        <w:rPr>
          <w:sz w:val="20"/>
        </w:rPr>
        <w:t xml:space="preserve"> master’s</w:t>
      </w:r>
      <w:r w:rsidR="005D7677" w:rsidRPr="00E80EE2">
        <w:rPr>
          <w:sz w:val="20"/>
        </w:rPr>
        <w:t xml:space="preserve"> programs</w:t>
      </w:r>
      <w:r w:rsidR="003F76BE">
        <w:rPr>
          <w:sz w:val="20"/>
        </w:rPr>
        <w:t>, 2</w:t>
      </w:r>
      <w:r w:rsidR="00761A74" w:rsidRPr="00E80EE2">
        <w:rPr>
          <w:sz w:val="20"/>
        </w:rPr>
        <w:t xml:space="preserve"> education specialist</w:t>
      </w:r>
      <w:r w:rsidR="005D7677" w:rsidRPr="00E80EE2">
        <w:rPr>
          <w:sz w:val="20"/>
        </w:rPr>
        <w:t xml:space="preserve"> program</w:t>
      </w:r>
      <w:r w:rsidR="00F57B84">
        <w:rPr>
          <w:sz w:val="20"/>
        </w:rPr>
        <w:t>s</w:t>
      </w:r>
      <w:r w:rsidR="00761A74" w:rsidRPr="00E80EE2">
        <w:rPr>
          <w:sz w:val="20"/>
        </w:rPr>
        <w:t xml:space="preserve">, </w:t>
      </w:r>
      <w:r w:rsidRPr="00E80EE2">
        <w:rPr>
          <w:sz w:val="20"/>
        </w:rPr>
        <w:t xml:space="preserve">and </w:t>
      </w:r>
      <w:r w:rsidR="00430DF5">
        <w:rPr>
          <w:sz w:val="20"/>
        </w:rPr>
        <w:t>1</w:t>
      </w:r>
      <w:r w:rsidR="002222E2">
        <w:rPr>
          <w:sz w:val="20"/>
        </w:rPr>
        <w:t>3</w:t>
      </w:r>
      <w:r w:rsidR="00C82BA5" w:rsidRPr="00E80EE2">
        <w:rPr>
          <w:sz w:val="20"/>
        </w:rPr>
        <w:t xml:space="preserve"> </w:t>
      </w:r>
      <w:r w:rsidRPr="00E80EE2">
        <w:rPr>
          <w:sz w:val="20"/>
        </w:rPr>
        <w:t>doctoral programs</w:t>
      </w:r>
      <w:r w:rsidR="005D7677" w:rsidRPr="00E80EE2">
        <w:rPr>
          <w:sz w:val="20"/>
        </w:rPr>
        <w:t>.</w:t>
      </w:r>
      <w:r w:rsidR="00F55CD9" w:rsidRPr="00E80EE2">
        <w:rPr>
          <w:sz w:val="20"/>
        </w:rPr>
        <w:t xml:space="preserve"> </w:t>
      </w:r>
      <w:r w:rsidR="005D7677" w:rsidRPr="00E80EE2">
        <w:rPr>
          <w:sz w:val="20"/>
        </w:rPr>
        <w:t xml:space="preserve"> These are</w:t>
      </w:r>
      <w:r w:rsidRPr="00E80EE2">
        <w:rPr>
          <w:sz w:val="20"/>
        </w:rPr>
        <w:t xml:space="preserve"> </w:t>
      </w:r>
      <w:r w:rsidR="005D7677" w:rsidRPr="00E80EE2">
        <w:rPr>
          <w:sz w:val="20"/>
        </w:rPr>
        <w:t>delivered</w:t>
      </w:r>
      <w:r w:rsidRPr="00E80EE2">
        <w:rPr>
          <w:sz w:val="20"/>
        </w:rPr>
        <w:t xml:space="preserve"> through </w:t>
      </w:r>
      <w:r w:rsidR="00DC1D40">
        <w:rPr>
          <w:sz w:val="20"/>
        </w:rPr>
        <w:t xml:space="preserve">our </w:t>
      </w:r>
      <w:r w:rsidR="00761A74" w:rsidRPr="00E80EE2">
        <w:rPr>
          <w:sz w:val="20"/>
        </w:rPr>
        <w:t>College o</w:t>
      </w:r>
      <w:r w:rsidRPr="00E80EE2">
        <w:rPr>
          <w:sz w:val="20"/>
        </w:rPr>
        <w:t xml:space="preserve">f Arts and Sciences, </w:t>
      </w:r>
      <w:r w:rsidR="00220F16" w:rsidRPr="00E80EE2">
        <w:rPr>
          <w:sz w:val="20"/>
        </w:rPr>
        <w:t>College of Business and Economics,</w:t>
      </w:r>
      <w:r w:rsidR="00220F16">
        <w:rPr>
          <w:sz w:val="20"/>
        </w:rPr>
        <w:t xml:space="preserve"> </w:t>
      </w:r>
      <w:r w:rsidR="00220F16" w:rsidRPr="00E80EE2">
        <w:rPr>
          <w:sz w:val="20"/>
        </w:rPr>
        <w:t xml:space="preserve">College of Education, </w:t>
      </w:r>
      <w:r w:rsidRPr="00E80EE2">
        <w:rPr>
          <w:sz w:val="20"/>
        </w:rPr>
        <w:t xml:space="preserve">College of Engineering, College of Health Sciences, </w:t>
      </w:r>
      <w:r w:rsidR="00440B86" w:rsidRPr="00E80EE2">
        <w:rPr>
          <w:sz w:val="20"/>
        </w:rPr>
        <w:t>College of Innovation and Design, and School of Public Service.</w:t>
      </w:r>
    </w:p>
    <w:p w14:paraId="37D16C65" w14:textId="77777777" w:rsidR="00CA1B9B" w:rsidRPr="00E80EE2" w:rsidRDefault="00CA1B9B" w:rsidP="00FC6B15">
      <w:pPr>
        <w:jc w:val="both"/>
        <w:rPr>
          <w:sz w:val="20"/>
        </w:rPr>
      </w:pPr>
    </w:p>
    <w:p w14:paraId="783821E6" w14:textId="2963FC55" w:rsidR="000B30BD" w:rsidRPr="00E80EE2" w:rsidRDefault="00CA1B9B" w:rsidP="00FC6B15">
      <w:pPr>
        <w:jc w:val="both"/>
        <w:rPr>
          <w:b/>
          <w:bCs/>
          <w:sz w:val="16"/>
          <w:szCs w:val="20"/>
        </w:rPr>
      </w:pPr>
      <w:r w:rsidRPr="00E80EE2">
        <w:rPr>
          <w:sz w:val="20"/>
        </w:rPr>
        <w:t>Boise State University is governed by the Idaho State Board of Education</w:t>
      </w:r>
      <w:r w:rsidR="00BB7A42">
        <w:rPr>
          <w:sz w:val="20"/>
        </w:rPr>
        <w:t>,</w:t>
      </w:r>
      <w:r w:rsidRPr="00E80EE2">
        <w:rPr>
          <w:sz w:val="20"/>
        </w:rPr>
        <w:t xml:space="preserve"> which is statutorily designated as the Board of Trustees for the institution. Dr. </w:t>
      </w:r>
      <w:r w:rsidR="00675282">
        <w:rPr>
          <w:sz w:val="20"/>
        </w:rPr>
        <w:t>Marlene</w:t>
      </w:r>
      <w:r w:rsidR="002F08AD">
        <w:rPr>
          <w:sz w:val="20"/>
        </w:rPr>
        <w:t xml:space="preserve"> </w:t>
      </w:r>
      <w:r w:rsidR="00675282">
        <w:rPr>
          <w:sz w:val="20"/>
        </w:rPr>
        <w:t xml:space="preserve">Tromp </w:t>
      </w:r>
      <w:r w:rsidR="00123C47">
        <w:rPr>
          <w:sz w:val="20"/>
        </w:rPr>
        <w:t xml:space="preserve">is </w:t>
      </w:r>
      <w:r w:rsidR="00675282">
        <w:rPr>
          <w:sz w:val="20"/>
        </w:rPr>
        <w:t xml:space="preserve">President of Boise </w:t>
      </w:r>
      <w:r w:rsidR="00123C47">
        <w:rPr>
          <w:sz w:val="20"/>
        </w:rPr>
        <w:t>State University</w:t>
      </w:r>
      <w:r w:rsidR="00675282">
        <w:rPr>
          <w:sz w:val="20"/>
        </w:rPr>
        <w:t>.</w:t>
      </w:r>
    </w:p>
    <w:p w14:paraId="1C797223" w14:textId="77777777" w:rsidR="009D4822" w:rsidRPr="00E80EE2" w:rsidRDefault="009D4822" w:rsidP="00FC6B15">
      <w:pPr>
        <w:jc w:val="both"/>
        <w:rPr>
          <w:b/>
          <w:bCs/>
        </w:rPr>
      </w:pPr>
    </w:p>
    <w:p w14:paraId="7A1C6CAC" w14:textId="77777777" w:rsidR="009110C6" w:rsidRPr="00E80EE2" w:rsidRDefault="009110C6" w:rsidP="00FC6B15">
      <w:pPr>
        <w:jc w:val="both"/>
      </w:pPr>
      <w:r w:rsidRPr="00E80EE2">
        <w:rPr>
          <w:b/>
          <w:bCs/>
        </w:rPr>
        <w:t>Core Functions/Idaho Code</w:t>
      </w:r>
    </w:p>
    <w:p w14:paraId="2F81F906" w14:textId="4AF938A4" w:rsidR="009110C6" w:rsidRPr="00E80EE2" w:rsidRDefault="00CA1B9B" w:rsidP="00FC6B15">
      <w:pPr>
        <w:jc w:val="both"/>
        <w:rPr>
          <w:sz w:val="20"/>
        </w:rPr>
      </w:pPr>
      <w:r w:rsidRPr="00E80EE2">
        <w:rPr>
          <w:sz w:val="20"/>
        </w:rPr>
        <w:t>Boise State University is created by Idaho Code Title 33, Chapter 40.  Idaho Code 33-4001 provides the primary function of Boise State University to be that of “an institution of higher education” and “for the purposes of giving instruction in college courses…”  In addition, it provides the “standards of the courses and departments maintained in said university shall be at least equal to, or on a parity with those</w:t>
      </w:r>
      <w:r w:rsidR="00F57B84">
        <w:rPr>
          <w:sz w:val="20"/>
        </w:rPr>
        <w:t xml:space="preserve"> </w:t>
      </w:r>
      <w:r w:rsidRPr="00E80EE2">
        <w:rPr>
          <w:sz w:val="20"/>
        </w:rPr>
        <w:t xml:space="preserve">maintained in other similar colleges and universities in Idaho and other states,” and that the “courses </w:t>
      </w:r>
      <w:proofErr w:type="gramStart"/>
      <w:r w:rsidRPr="00E80EE2">
        <w:rPr>
          <w:sz w:val="20"/>
        </w:rPr>
        <w:t>offered</w:t>
      </w:r>
      <w:proofErr w:type="gramEnd"/>
      <w:r w:rsidRPr="00E80EE2">
        <w:rPr>
          <w:sz w:val="20"/>
        </w:rPr>
        <w:t xml:space="preserve"> and degrees granted at said university shall be determined by the board of trustees.”</w:t>
      </w:r>
    </w:p>
    <w:p w14:paraId="70D05040" w14:textId="77777777" w:rsidR="00E80EE2" w:rsidRDefault="00E80EE2" w:rsidP="00363975">
      <w:pPr>
        <w:pBdr>
          <w:left w:val="single" w:sz="4" w:space="4" w:color="auto"/>
        </w:pBdr>
        <w:jc w:val="both"/>
        <w:rPr>
          <w:b/>
          <w:bCs/>
        </w:rPr>
      </w:pPr>
    </w:p>
    <w:p w14:paraId="283B1C72" w14:textId="01E95E39" w:rsidR="009110C6" w:rsidRPr="00E80EE2" w:rsidRDefault="00E1470D" w:rsidP="00E80EE2">
      <w:pPr>
        <w:jc w:val="both"/>
        <w:rPr>
          <w:b/>
          <w:bCs/>
        </w:rPr>
      </w:pPr>
      <w:r w:rsidRPr="00E80EE2">
        <w:rPr>
          <w:b/>
          <w:bCs/>
        </w:rPr>
        <w:t>Revenue and Expenditures</w:t>
      </w:r>
    </w:p>
    <w:tbl>
      <w:tblPr>
        <w:tblW w:w="5000" w:type="pct"/>
        <w:tblBorders>
          <w:top w:val="double" w:sz="4" w:space="0" w:color="000080"/>
          <w:left w:val="double" w:sz="4" w:space="0" w:color="000080"/>
          <w:bottom w:val="double" w:sz="4" w:space="0" w:color="000080"/>
          <w:right w:val="double" w:sz="4" w:space="0" w:color="000080"/>
        </w:tblBorders>
        <w:tblLook w:val="0000" w:firstRow="0" w:lastRow="0" w:firstColumn="0" w:lastColumn="0" w:noHBand="0" w:noVBand="0"/>
      </w:tblPr>
      <w:tblGrid>
        <w:gridCol w:w="3420"/>
        <w:gridCol w:w="1975"/>
        <w:gridCol w:w="1530"/>
        <w:gridCol w:w="1530"/>
        <w:gridCol w:w="1605"/>
      </w:tblGrid>
      <w:tr w:rsidR="0062679A" w:rsidRPr="00E80EE2" w14:paraId="7B44CD29" w14:textId="77777777" w:rsidTr="00363975">
        <w:trPr>
          <w:trHeight w:val="259"/>
        </w:trPr>
        <w:tc>
          <w:tcPr>
            <w:tcW w:w="3420" w:type="dxa"/>
            <w:tcBorders>
              <w:top w:val="single" w:sz="4" w:space="0" w:color="auto"/>
              <w:left w:val="single" w:sz="4" w:space="0" w:color="auto"/>
              <w:bottom w:val="single" w:sz="4" w:space="0" w:color="auto"/>
              <w:right w:val="single" w:sz="4" w:space="0" w:color="auto"/>
            </w:tcBorders>
            <w:shd w:val="clear" w:color="auto" w:fill="000080"/>
          </w:tcPr>
          <w:p w14:paraId="7EBEFCE7" w14:textId="77777777" w:rsidR="0062679A" w:rsidRPr="00E80EE2" w:rsidRDefault="0062679A" w:rsidP="00E80EE2">
            <w:pPr>
              <w:rPr>
                <w:b/>
                <w:bCs/>
                <w:color w:val="FFFFFF"/>
                <w:sz w:val="20"/>
              </w:rPr>
            </w:pPr>
            <w:bookmarkStart w:id="0" w:name="OLE_LINK3"/>
            <w:bookmarkStart w:id="1" w:name="OLE_LINK4"/>
            <w:r w:rsidRPr="00E80EE2">
              <w:rPr>
                <w:b/>
                <w:bCs/>
                <w:color w:val="FFFFFF"/>
                <w:sz w:val="20"/>
              </w:rPr>
              <w:t xml:space="preserve">Operating Revenue </w:t>
            </w:r>
          </w:p>
        </w:tc>
        <w:tc>
          <w:tcPr>
            <w:tcW w:w="1975" w:type="dxa"/>
            <w:tcBorders>
              <w:top w:val="single" w:sz="4" w:space="0" w:color="auto"/>
              <w:left w:val="single" w:sz="4" w:space="0" w:color="auto"/>
              <w:bottom w:val="single" w:sz="4" w:space="0" w:color="auto"/>
            </w:tcBorders>
            <w:shd w:val="clear" w:color="auto" w:fill="000080"/>
          </w:tcPr>
          <w:p w14:paraId="040D957E" w14:textId="33C44752" w:rsidR="0062679A" w:rsidRPr="00E80EE2" w:rsidRDefault="00704F84" w:rsidP="00774866">
            <w:pPr>
              <w:jc w:val="right"/>
              <w:rPr>
                <w:b/>
                <w:bCs/>
                <w:color w:val="FFFFFF"/>
                <w:sz w:val="20"/>
              </w:rPr>
            </w:pPr>
            <w:r>
              <w:rPr>
                <w:b/>
                <w:bCs/>
                <w:color w:val="FFFFFF"/>
                <w:sz w:val="20"/>
              </w:rPr>
              <w:t>FY 2019</w:t>
            </w:r>
            <w:r w:rsidR="00551826">
              <w:rPr>
                <w:b/>
                <w:bCs/>
                <w:color w:val="FFFFFF"/>
                <w:sz w:val="20"/>
              </w:rPr>
              <w:t xml:space="preserve"> restated</w:t>
            </w:r>
            <w:r w:rsidR="00551826" w:rsidRPr="005C0D5C">
              <w:rPr>
                <w:rStyle w:val="EndnoteReference"/>
                <w:b/>
                <w:color w:val="FFFFFF" w:themeColor="background1"/>
                <w:sz w:val="20"/>
                <w:szCs w:val="20"/>
              </w:rPr>
              <w:endnoteReference w:id="1"/>
            </w:r>
          </w:p>
        </w:tc>
        <w:tc>
          <w:tcPr>
            <w:tcW w:w="1530" w:type="dxa"/>
            <w:tcBorders>
              <w:top w:val="single" w:sz="4" w:space="0" w:color="auto"/>
              <w:bottom w:val="single" w:sz="4" w:space="0" w:color="auto"/>
            </w:tcBorders>
            <w:shd w:val="clear" w:color="auto" w:fill="000080"/>
          </w:tcPr>
          <w:p w14:paraId="182CB8CD" w14:textId="4E633646" w:rsidR="0062679A" w:rsidRPr="00E80EE2" w:rsidRDefault="00704F84" w:rsidP="00774866">
            <w:pPr>
              <w:jc w:val="right"/>
              <w:rPr>
                <w:b/>
                <w:bCs/>
                <w:color w:val="FFFFFF"/>
                <w:sz w:val="20"/>
              </w:rPr>
            </w:pPr>
            <w:r>
              <w:rPr>
                <w:b/>
                <w:bCs/>
                <w:color w:val="FFFFFF"/>
                <w:sz w:val="20"/>
              </w:rPr>
              <w:t>FY 2020</w:t>
            </w:r>
          </w:p>
        </w:tc>
        <w:tc>
          <w:tcPr>
            <w:tcW w:w="1530" w:type="dxa"/>
            <w:tcBorders>
              <w:top w:val="single" w:sz="4" w:space="0" w:color="auto"/>
              <w:bottom w:val="single" w:sz="4" w:space="0" w:color="auto"/>
            </w:tcBorders>
            <w:shd w:val="clear" w:color="auto" w:fill="000080"/>
          </w:tcPr>
          <w:p w14:paraId="06BA5987" w14:textId="5F140859" w:rsidR="0062679A" w:rsidRPr="00E80EE2" w:rsidRDefault="00704F84" w:rsidP="00774866">
            <w:pPr>
              <w:jc w:val="right"/>
              <w:rPr>
                <w:b/>
                <w:bCs/>
                <w:color w:val="FFFFFF"/>
                <w:sz w:val="20"/>
              </w:rPr>
            </w:pPr>
            <w:r>
              <w:rPr>
                <w:b/>
                <w:bCs/>
                <w:color w:val="FFFFFF"/>
                <w:sz w:val="20"/>
              </w:rPr>
              <w:t>FY 2021</w:t>
            </w:r>
          </w:p>
        </w:tc>
        <w:tc>
          <w:tcPr>
            <w:tcW w:w="1605" w:type="dxa"/>
            <w:tcBorders>
              <w:top w:val="single" w:sz="4" w:space="0" w:color="auto"/>
              <w:bottom w:val="single" w:sz="4" w:space="0" w:color="auto"/>
            </w:tcBorders>
            <w:shd w:val="clear" w:color="auto" w:fill="000080"/>
          </w:tcPr>
          <w:p w14:paraId="4BA20401" w14:textId="481D27A2" w:rsidR="0062679A" w:rsidRPr="00E80EE2" w:rsidRDefault="00704F84" w:rsidP="00774866">
            <w:pPr>
              <w:jc w:val="right"/>
              <w:rPr>
                <w:b/>
                <w:bCs/>
                <w:color w:val="FFFFFF"/>
                <w:sz w:val="20"/>
              </w:rPr>
            </w:pPr>
            <w:r>
              <w:rPr>
                <w:b/>
                <w:bCs/>
                <w:color w:val="FFFFFF"/>
                <w:sz w:val="20"/>
              </w:rPr>
              <w:t>FY 2022</w:t>
            </w:r>
          </w:p>
        </w:tc>
      </w:tr>
      <w:bookmarkEnd w:id="0"/>
      <w:bookmarkEnd w:id="1"/>
      <w:tr w:rsidR="00811940" w:rsidRPr="00E80EE2" w14:paraId="4693E222" w14:textId="77777777" w:rsidTr="00363975">
        <w:trPr>
          <w:trHeight w:val="305"/>
        </w:trPr>
        <w:tc>
          <w:tcPr>
            <w:tcW w:w="3420" w:type="dxa"/>
            <w:tcBorders>
              <w:top w:val="single" w:sz="4" w:space="0" w:color="auto"/>
              <w:left w:val="single" w:sz="4" w:space="0" w:color="auto"/>
              <w:bottom w:val="nil"/>
              <w:right w:val="nil"/>
            </w:tcBorders>
            <w:vAlign w:val="bottom"/>
          </w:tcPr>
          <w:p w14:paraId="197FAA9D" w14:textId="77777777" w:rsidR="00811940" w:rsidRPr="00E80EE2" w:rsidRDefault="00811940" w:rsidP="00811940">
            <w:pPr>
              <w:rPr>
                <w:color w:val="000000"/>
                <w:sz w:val="18"/>
                <w:szCs w:val="20"/>
              </w:rPr>
            </w:pPr>
            <w:r w:rsidRPr="00E80EE2">
              <w:rPr>
                <w:color w:val="000000"/>
                <w:sz w:val="18"/>
                <w:szCs w:val="20"/>
              </w:rPr>
              <w:t>Student tuition and fees (Gross)</w:t>
            </w:r>
          </w:p>
        </w:tc>
        <w:tc>
          <w:tcPr>
            <w:tcW w:w="1975" w:type="dxa"/>
            <w:tcBorders>
              <w:top w:val="single" w:sz="4" w:space="0" w:color="auto"/>
              <w:left w:val="nil"/>
              <w:bottom w:val="nil"/>
              <w:right w:val="nil"/>
            </w:tcBorders>
            <w:vAlign w:val="center"/>
          </w:tcPr>
          <w:p w14:paraId="1BDE358E" w14:textId="2D45D83B" w:rsidR="00811940" w:rsidRPr="00E80EE2" w:rsidRDefault="00811940" w:rsidP="00811940">
            <w:pPr>
              <w:jc w:val="right"/>
              <w:rPr>
                <w:color w:val="000000"/>
                <w:sz w:val="18"/>
                <w:szCs w:val="20"/>
              </w:rPr>
            </w:pPr>
            <w:r>
              <w:rPr>
                <w:color w:val="000000"/>
                <w:sz w:val="18"/>
                <w:szCs w:val="20"/>
              </w:rPr>
              <w:t>1</w:t>
            </w:r>
            <w:r w:rsidRPr="002239F9">
              <w:rPr>
                <w:color w:val="000000"/>
                <w:sz w:val="18"/>
                <w:szCs w:val="20"/>
              </w:rPr>
              <w:t xml:space="preserve">82,232,202 </w:t>
            </w:r>
          </w:p>
        </w:tc>
        <w:tc>
          <w:tcPr>
            <w:tcW w:w="1530" w:type="dxa"/>
            <w:tcBorders>
              <w:top w:val="single" w:sz="4" w:space="0" w:color="auto"/>
              <w:left w:val="nil"/>
              <w:bottom w:val="nil"/>
              <w:right w:val="nil"/>
            </w:tcBorders>
            <w:vAlign w:val="center"/>
          </w:tcPr>
          <w:p w14:paraId="36B94355" w14:textId="6B8518DC" w:rsidR="00811940" w:rsidRPr="00E80EE2" w:rsidRDefault="00811940" w:rsidP="00811940">
            <w:pPr>
              <w:jc w:val="right"/>
              <w:rPr>
                <w:color w:val="000000"/>
                <w:sz w:val="18"/>
                <w:szCs w:val="20"/>
              </w:rPr>
            </w:pPr>
            <w:r w:rsidRPr="00DF2AC2">
              <w:rPr>
                <w:color w:val="000000"/>
                <w:sz w:val="18"/>
                <w:szCs w:val="20"/>
              </w:rPr>
              <w:t>198,262,256</w:t>
            </w:r>
          </w:p>
        </w:tc>
        <w:tc>
          <w:tcPr>
            <w:tcW w:w="1530" w:type="dxa"/>
            <w:tcBorders>
              <w:top w:val="single" w:sz="4" w:space="0" w:color="auto"/>
              <w:left w:val="nil"/>
              <w:bottom w:val="nil"/>
              <w:right w:val="nil"/>
            </w:tcBorders>
            <w:vAlign w:val="center"/>
          </w:tcPr>
          <w:p w14:paraId="7C58D6F0" w14:textId="6C17B06C" w:rsidR="00811940" w:rsidRPr="008B6187" w:rsidRDefault="00811940" w:rsidP="00811940">
            <w:pPr>
              <w:keepNext/>
              <w:jc w:val="right"/>
              <w:rPr>
                <w:color w:val="000000"/>
                <w:sz w:val="18"/>
                <w:szCs w:val="20"/>
              </w:rPr>
            </w:pPr>
            <w:r w:rsidRPr="0058159D">
              <w:rPr>
                <w:color w:val="000000"/>
                <w:sz w:val="18"/>
                <w:szCs w:val="20"/>
              </w:rPr>
              <w:t>200,760,211</w:t>
            </w:r>
          </w:p>
        </w:tc>
        <w:tc>
          <w:tcPr>
            <w:tcW w:w="1605" w:type="dxa"/>
            <w:tcBorders>
              <w:top w:val="single" w:sz="4" w:space="0" w:color="auto"/>
              <w:left w:val="nil"/>
              <w:bottom w:val="nil"/>
              <w:right w:val="single" w:sz="4" w:space="0" w:color="auto"/>
            </w:tcBorders>
            <w:vAlign w:val="center"/>
          </w:tcPr>
          <w:p w14:paraId="4163F6D4" w14:textId="53A40711" w:rsidR="00811940" w:rsidRPr="00DF2AC2" w:rsidRDefault="00811940" w:rsidP="00811940">
            <w:pPr>
              <w:keepNext/>
              <w:jc w:val="right"/>
              <w:rPr>
                <w:color w:val="000000"/>
                <w:sz w:val="18"/>
                <w:szCs w:val="20"/>
              </w:rPr>
            </w:pPr>
          </w:p>
        </w:tc>
      </w:tr>
      <w:tr w:rsidR="00811940" w:rsidRPr="00E80EE2" w14:paraId="3F2922E2" w14:textId="77777777" w:rsidTr="00363975">
        <w:trPr>
          <w:trHeight w:val="259"/>
        </w:trPr>
        <w:tc>
          <w:tcPr>
            <w:tcW w:w="3420" w:type="dxa"/>
            <w:tcBorders>
              <w:top w:val="nil"/>
              <w:left w:val="single" w:sz="4" w:space="0" w:color="auto"/>
              <w:bottom w:val="nil"/>
              <w:right w:val="nil"/>
            </w:tcBorders>
            <w:vAlign w:val="bottom"/>
          </w:tcPr>
          <w:p w14:paraId="32571230" w14:textId="77777777" w:rsidR="00811940" w:rsidRPr="00E80EE2" w:rsidRDefault="00811940" w:rsidP="00811940">
            <w:pPr>
              <w:rPr>
                <w:color w:val="000000"/>
                <w:sz w:val="18"/>
                <w:szCs w:val="20"/>
              </w:rPr>
            </w:pPr>
            <w:r w:rsidRPr="00E80EE2">
              <w:rPr>
                <w:color w:val="000000"/>
                <w:sz w:val="18"/>
                <w:szCs w:val="20"/>
              </w:rPr>
              <w:t>Scholarship discounts and allowances</w:t>
            </w:r>
          </w:p>
        </w:tc>
        <w:tc>
          <w:tcPr>
            <w:tcW w:w="1975" w:type="dxa"/>
            <w:tcBorders>
              <w:top w:val="nil"/>
              <w:left w:val="nil"/>
              <w:bottom w:val="nil"/>
              <w:right w:val="nil"/>
            </w:tcBorders>
            <w:vAlign w:val="center"/>
          </w:tcPr>
          <w:p w14:paraId="1FD24B95" w14:textId="63D80CDA" w:rsidR="00811940" w:rsidRPr="00E80EE2" w:rsidRDefault="00811940" w:rsidP="00811940">
            <w:pPr>
              <w:jc w:val="right"/>
              <w:rPr>
                <w:sz w:val="18"/>
                <w:szCs w:val="20"/>
              </w:rPr>
            </w:pPr>
            <w:r w:rsidRPr="002239F9">
              <w:rPr>
                <w:color w:val="000000"/>
                <w:sz w:val="18"/>
                <w:szCs w:val="20"/>
              </w:rPr>
              <w:t>(27,628,700)</w:t>
            </w:r>
          </w:p>
        </w:tc>
        <w:tc>
          <w:tcPr>
            <w:tcW w:w="1530" w:type="dxa"/>
            <w:tcBorders>
              <w:top w:val="nil"/>
              <w:left w:val="nil"/>
              <w:bottom w:val="nil"/>
              <w:right w:val="nil"/>
            </w:tcBorders>
            <w:vAlign w:val="center"/>
          </w:tcPr>
          <w:p w14:paraId="61AA62A0" w14:textId="7271FD81" w:rsidR="00811940" w:rsidRPr="00FA1C0C" w:rsidRDefault="00811940" w:rsidP="00811940">
            <w:pPr>
              <w:jc w:val="right"/>
              <w:rPr>
                <w:color w:val="000000"/>
                <w:sz w:val="18"/>
                <w:szCs w:val="20"/>
              </w:rPr>
            </w:pPr>
            <w:r w:rsidRPr="00DF2AC2">
              <w:rPr>
                <w:color w:val="000000"/>
                <w:sz w:val="18"/>
                <w:szCs w:val="20"/>
              </w:rPr>
              <w:t>(27,777,200)</w:t>
            </w:r>
          </w:p>
        </w:tc>
        <w:tc>
          <w:tcPr>
            <w:tcW w:w="1530" w:type="dxa"/>
            <w:tcBorders>
              <w:top w:val="nil"/>
              <w:left w:val="nil"/>
              <w:bottom w:val="nil"/>
              <w:right w:val="nil"/>
            </w:tcBorders>
            <w:vAlign w:val="center"/>
          </w:tcPr>
          <w:p w14:paraId="6096899C" w14:textId="1A1736CD" w:rsidR="00811940" w:rsidRPr="00FA1C0C" w:rsidRDefault="00811940" w:rsidP="00811940">
            <w:pPr>
              <w:keepNext/>
              <w:jc w:val="right"/>
              <w:rPr>
                <w:color w:val="000000"/>
                <w:sz w:val="18"/>
                <w:szCs w:val="20"/>
              </w:rPr>
            </w:pPr>
            <w:r w:rsidRPr="00297693">
              <w:rPr>
                <w:color w:val="000000"/>
                <w:sz w:val="18"/>
                <w:szCs w:val="20"/>
              </w:rPr>
              <w:t>(29,075,000)</w:t>
            </w:r>
          </w:p>
        </w:tc>
        <w:tc>
          <w:tcPr>
            <w:tcW w:w="1605" w:type="dxa"/>
            <w:tcBorders>
              <w:top w:val="nil"/>
              <w:left w:val="nil"/>
              <w:bottom w:val="nil"/>
              <w:right w:val="single" w:sz="4" w:space="0" w:color="auto"/>
            </w:tcBorders>
            <w:vAlign w:val="center"/>
          </w:tcPr>
          <w:p w14:paraId="2AFB1A89" w14:textId="2F1CF60F" w:rsidR="00811940" w:rsidRPr="00DF2AC2" w:rsidRDefault="00811940" w:rsidP="00811940">
            <w:pPr>
              <w:keepNext/>
              <w:jc w:val="right"/>
              <w:rPr>
                <w:color w:val="000000"/>
                <w:sz w:val="18"/>
                <w:szCs w:val="20"/>
              </w:rPr>
            </w:pPr>
          </w:p>
        </w:tc>
      </w:tr>
      <w:tr w:rsidR="00811940" w:rsidRPr="00E80EE2" w14:paraId="508392D0" w14:textId="77777777" w:rsidTr="00363975">
        <w:trPr>
          <w:trHeight w:val="259"/>
        </w:trPr>
        <w:tc>
          <w:tcPr>
            <w:tcW w:w="3420" w:type="dxa"/>
            <w:tcBorders>
              <w:top w:val="nil"/>
              <w:left w:val="single" w:sz="4" w:space="0" w:color="auto"/>
              <w:bottom w:val="nil"/>
              <w:right w:val="nil"/>
            </w:tcBorders>
            <w:vAlign w:val="bottom"/>
          </w:tcPr>
          <w:p w14:paraId="282C1564" w14:textId="77777777" w:rsidR="00811940" w:rsidRPr="00E80EE2" w:rsidRDefault="00811940" w:rsidP="00811940">
            <w:pPr>
              <w:rPr>
                <w:color w:val="000000"/>
                <w:sz w:val="18"/>
                <w:szCs w:val="20"/>
              </w:rPr>
            </w:pPr>
            <w:r w:rsidRPr="00E80EE2">
              <w:rPr>
                <w:color w:val="000000"/>
                <w:sz w:val="18"/>
                <w:szCs w:val="20"/>
              </w:rPr>
              <w:t>Federal grants and contracts</w:t>
            </w:r>
          </w:p>
        </w:tc>
        <w:tc>
          <w:tcPr>
            <w:tcW w:w="1975" w:type="dxa"/>
            <w:tcBorders>
              <w:top w:val="nil"/>
              <w:left w:val="nil"/>
              <w:bottom w:val="nil"/>
              <w:right w:val="nil"/>
            </w:tcBorders>
            <w:vAlign w:val="center"/>
          </w:tcPr>
          <w:p w14:paraId="0CE7E077" w14:textId="079E108C" w:rsidR="00811940" w:rsidRPr="00E80EE2" w:rsidRDefault="00811940" w:rsidP="00811940">
            <w:pPr>
              <w:jc w:val="right"/>
              <w:rPr>
                <w:sz w:val="18"/>
                <w:szCs w:val="20"/>
              </w:rPr>
            </w:pPr>
            <w:r w:rsidRPr="002239F9">
              <w:rPr>
                <w:color w:val="000000"/>
                <w:sz w:val="18"/>
                <w:szCs w:val="20"/>
              </w:rPr>
              <w:t>37,525,093</w:t>
            </w:r>
          </w:p>
        </w:tc>
        <w:tc>
          <w:tcPr>
            <w:tcW w:w="1530" w:type="dxa"/>
            <w:tcBorders>
              <w:top w:val="nil"/>
              <w:left w:val="nil"/>
              <w:bottom w:val="nil"/>
              <w:right w:val="nil"/>
            </w:tcBorders>
            <w:vAlign w:val="center"/>
          </w:tcPr>
          <w:p w14:paraId="369AF43F" w14:textId="55ED7591" w:rsidR="00811940" w:rsidRPr="00FA1C0C" w:rsidRDefault="00811940" w:rsidP="00811940">
            <w:pPr>
              <w:jc w:val="right"/>
              <w:rPr>
                <w:color w:val="000000"/>
                <w:sz w:val="18"/>
                <w:szCs w:val="20"/>
              </w:rPr>
            </w:pPr>
            <w:r w:rsidRPr="00DF2AC2">
              <w:rPr>
                <w:color w:val="000000"/>
                <w:sz w:val="18"/>
                <w:szCs w:val="20"/>
              </w:rPr>
              <w:t>40,464,905</w:t>
            </w:r>
          </w:p>
        </w:tc>
        <w:tc>
          <w:tcPr>
            <w:tcW w:w="1530" w:type="dxa"/>
            <w:tcBorders>
              <w:top w:val="nil"/>
              <w:left w:val="nil"/>
              <w:bottom w:val="nil"/>
              <w:right w:val="nil"/>
            </w:tcBorders>
            <w:vAlign w:val="center"/>
          </w:tcPr>
          <w:p w14:paraId="7198E582" w14:textId="11C42A0C" w:rsidR="00811940" w:rsidRPr="00FA1C0C" w:rsidRDefault="00811940" w:rsidP="00811940">
            <w:pPr>
              <w:keepNext/>
              <w:jc w:val="right"/>
              <w:rPr>
                <w:color w:val="000000"/>
                <w:sz w:val="18"/>
                <w:szCs w:val="20"/>
              </w:rPr>
            </w:pPr>
            <w:r w:rsidRPr="00297693">
              <w:rPr>
                <w:color w:val="000000"/>
                <w:sz w:val="18"/>
                <w:szCs w:val="20"/>
              </w:rPr>
              <w:t>46,090,662</w:t>
            </w:r>
          </w:p>
        </w:tc>
        <w:tc>
          <w:tcPr>
            <w:tcW w:w="1605" w:type="dxa"/>
            <w:tcBorders>
              <w:top w:val="nil"/>
              <w:left w:val="nil"/>
              <w:bottom w:val="nil"/>
              <w:right w:val="single" w:sz="4" w:space="0" w:color="auto"/>
            </w:tcBorders>
            <w:vAlign w:val="center"/>
          </w:tcPr>
          <w:p w14:paraId="30E7F0EE" w14:textId="179CA029" w:rsidR="00811940" w:rsidRPr="00DF2AC2" w:rsidRDefault="00811940" w:rsidP="00811940">
            <w:pPr>
              <w:keepNext/>
              <w:jc w:val="right"/>
              <w:rPr>
                <w:color w:val="000000"/>
                <w:sz w:val="18"/>
                <w:szCs w:val="20"/>
              </w:rPr>
            </w:pPr>
          </w:p>
        </w:tc>
      </w:tr>
      <w:tr w:rsidR="00811940" w:rsidRPr="00E80EE2" w14:paraId="01715AC8" w14:textId="77777777" w:rsidTr="00340A06">
        <w:trPr>
          <w:trHeight w:val="259"/>
        </w:trPr>
        <w:tc>
          <w:tcPr>
            <w:tcW w:w="3420" w:type="dxa"/>
            <w:tcBorders>
              <w:top w:val="nil"/>
              <w:left w:val="single" w:sz="4" w:space="0" w:color="auto"/>
              <w:bottom w:val="nil"/>
              <w:right w:val="nil"/>
            </w:tcBorders>
            <w:vAlign w:val="bottom"/>
          </w:tcPr>
          <w:p w14:paraId="62A41FE2" w14:textId="77777777" w:rsidR="00811940" w:rsidRPr="00E80EE2" w:rsidRDefault="00811940" w:rsidP="00811940">
            <w:pPr>
              <w:rPr>
                <w:color w:val="000000"/>
                <w:sz w:val="18"/>
                <w:szCs w:val="20"/>
              </w:rPr>
            </w:pPr>
            <w:r w:rsidRPr="00E80EE2">
              <w:rPr>
                <w:color w:val="000000"/>
                <w:sz w:val="18"/>
                <w:szCs w:val="20"/>
              </w:rPr>
              <w:t>State and local grants and contracts</w:t>
            </w:r>
          </w:p>
        </w:tc>
        <w:tc>
          <w:tcPr>
            <w:tcW w:w="1975" w:type="dxa"/>
            <w:tcBorders>
              <w:top w:val="nil"/>
              <w:left w:val="nil"/>
              <w:bottom w:val="nil"/>
              <w:right w:val="nil"/>
            </w:tcBorders>
            <w:vAlign w:val="center"/>
          </w:tcPr>
          <w:p w14:paraId="32186E70" w14:textId="2D8DD731" w:rsidR="00811940" w:rsidRPr="00E80EE2" w:rsidRDefault="00811940" w:rsidP="00811940">
            <w:pPr>
              <w:jc w:val="right"/>
              <w:rPr>
                <w:sz w:val="18"/>
                <w:szCs w:val="20"/>
              </w:rPr>
            </w:pPr>
            <w:r w:rsidRPr="002239F9">
              <w:rPr>
                <w:color w:val="000000"/>
                <w:sz w:val="18"/>
                <w:szCs w:val="20"/>
              </w:rPr>
              <w:t>6,929,166</w:t>
            </w:r>
          </w:p>
        </w:tc>
        <w:tc>
          <w:tcPr>
            <w:tcW w:w="1530" w:type="dxa"/>
            <w:tcBorders>
              <w:top w:val="nil"/>
              <w:left w:val="nil"/>
              <w:bottom w:val="nil"/>
              <w:right w:val="nil"/>
            </w:tcBorders>
            <w:vAlign w:val="center"/>
          </w:tcPr>
          <w:p w14:paraId="6E518C29" w14:textId="35853B8F" w:rsidR="00811940" w:rsidRPr="00FA1C0C" w:rsidRDefault="00811940" w:rsidP="00811940">
            <w:pPr>
              <w:jc w:val="right"/>
              <w:rPr>
                <w:color w:val="000000"/>
                <w:sz w:val="18"/>
                <w:szCs w:val="20"/>
              </w:rPr>
            </w:pPr>
            <w:r w:rsidRPr="00DF2AC2">
              <w:rPr>
                <w:color w:val="000000"/>
                <w:sz w:val="18"/>
                <w:szCs w:val="20"/>
              </w:rPr>
              <w:t>6,512,805</w:t>
            </w:r>
          </w:p>
        </w:tc>
        <w:tc>
          <w:tcPr>
            <w:tcW w:w="1530" w:type="dxa"/>
            <w:tcBorders>
              <w:top w:val="nil"/>
              <w:left w:val="nil"/>
              <w:bottom w:val="nil"/>
              <w:right w:val="nil"/>
            </w:tcBorders>
          </w:tcPr>
          <w:p w14:paraId="497AFA0E" w14:textId="534A9EBC" w:rsidR="00811940" w:rsidRPr="00FA1C0C" w:rsidRDefault="00811940" w:rsidP="00811940">
            <w:pPr>
              <w:keepNext/>
              <w:jc w:val="right"/>
              <w:rPr>
                <w:color w:val="000000"/>
                <w:sz w:val="18"/>
                <w:szCs w:val="20"/>
              </w:rPr>
            </w:pPr>
            <w:r w:rsidRPr="00297693">
              <w:rPr>
                <w:color w:val="000000"/>
                <w:sz w:val="18"/>
                <w:szCs w:val="20"/>
              </w:rPr>
              <w:t>8,312,869</w:t>
            </w:r>
          </w:p>
        </w:tc>
        <w:tc>
          <w:tcPr>
            <w:tcW w:w="1605" w:type="dxa"/>
            <w:tcBorders>
              <w:top w:val="nil"/>
              <w:left w:val="nil"/>
              <w:bottom w:val="nil"/>
              <w:right w:val="single" w:sz="4" w:space="0" w:color="auto"/>
            </w:tcBorders>
          </w:tcPr>
          <w:p w14:paraId="6AB3159E" w14:textId="0FCA0E70" w:rsidR="00811940" w:rsidRPr="00DF2AC2" w:rsidRDefault="00811940" w:rsidP="00811940">
            <w:pPr>
              <w:keepNext/>
              <w:jc w:val="right"/>
              <w:rPr>
                <w:color w:val="000000"/>
                <w:sz w:val="18"/>
                <w:szCs w:val="20"/>
              </w:rPr>
            </w:pPr>
          </w:p>
        </w:tc>
      </w:tr>
      <w:tr w:rsidR="00811940" w:rsidRPr="00E80EE2" w14:paraId="374E6343" w14:textId="77777777" w:rsidTr="00340A06">
        <w:trPr>
          <w:trHeight w:val="259"/>
        </w:trPr>
        <w:tc>
          <w:tcPr>
            <w:tcW w:w="3420" w:type="dxa"/>
            <w:tcBorders>
              <w:top w:val="nil"/>
              <w:left w:val="single" w:sz="4" w:space="0" w:color="auto"/>
              <w:bottom w:val="nil"/>
              <w:right w:val="nil"/>
            </w:tcBorders>
            <w:vAlign w:val="bottom"/>
          </w:tcPr>
          <w:p w14:paraId="74B45B48" w14:textId="77777777" w:rsidR="00811940" w:rsidRPr="00E80EE2" w:rsidRDefault="00811940" w:rsidP="00811940">
            <w:pPr>
              <w:rPr>
                <w:color w:val="000000"/>
                <w:sz w:val="18"/>
                <w:szCs w:val="20"/>
              </w:rPr>
            </w:pPr>
            <w:r w:rsidRPr="00E80EE2">
              <w:rPr>
                <w:color w:val="000000"/>
                <w:sz w:val="18"/>
                <w:szCs w:val="20"/>
              </w:rPr>
              <w:t>Private grants and contracts</w:t>
            </w:r>
          </w:p>
        </w:tc>
        <w:tc>
          <w:tcPr>
            <w:tcW w:w="1975" w:type="dxa"/>
            <w:tcBorders>
              <w:top w:val="nil"/>
              <w:left w:val="nil"/>
              <w:bottom w:val="nil"/>
              <w:right w:val="nil"/>
            </w:tcBorders>
            <w:vAlign w:val="center"/>
          </w:tcPr>
          <w:p w14:paraId="2806DCA7" w14:textId="70B87E91" w:rsidR="00811940" w:rsidRPr="00E80EE2" w:rsidRDefault="00811940" w:rsidP="00811940">
            <w:pPr>
              <w:jc w:val="right"/>
              <w:rPr>
                <w:sz w:val="18"/>
                <w:szCs w:val="20"/>
              </w:rPr>
            </w:pPr>
            <w:r w:rsidRPr="002239F9">
              <w:rPr>
                <w:color w:val="000000"/>
                <w:sz w:val="18"/>
                <w:szCs w:val="20"/>
              </w:rPr>
              <w:t>2,581,578</w:t>
            </w:r>
          </w:p>
        </w:tc>
        <w:tc>
          <w:tcPr>
            <w:tcW w:w="1530" w:type="dxa"/>
            <w:tcBorders>
              <w:top w:val="nil"/>
              <w:left w:val="nil"/>
              <w:bottom w:val="nil"/>
              <w:right w:val="nil"/>
            </w:tcBorders>
            <w:vAlign w:val="center"/>
          </w:tcPr>
          <w:p w14:paraId="2A4BBFEC" w14:textId="70DC6C92" w:rsidR="00811940" w:rsidRPr="00FA1C0C" w:rsidRDefault="00811940" w:rsidP="00811940">
            <w:pPr>
              <w:jc w:val="right"/>
              <w:rPr>
                <w:color w:val="000000"/>
                <w:sz w:val="18"/>
                <w:szCs w:val="20"/>
              </w:rPr>
            </w:pPr>
            <w:r w:rsidRPr="00DF2AC2">
              <w:rPr>
                <w:color w:val="000000"/>
                <w:sz w:val="18"/>
                <w:szCs w:val="20"/>
              </w:rPr>
              <w:t>2,991,720</w:t>
            </w:r>
          </w:p>
        </w:tc>
        <w:tc>
          <w:tcPr>
            <w:tcW w:w="1530" w:type="dxa"/>
            <w:tcBorders>
              <w:top w:val="nil"/>
              <w:left w:val="nil"/>
              <w:bottom w:val="nil"/>
              <w:right w:val="nil"/>
            </w:tcBorders>
          </w:tcPr>
          <w:p w14:paraId="370E7EA0" w14:textId="533E0C75" w:rsidR="00811940" w:rsidRPr="00FA1C0C" w:rsidRDefault="00811940" w:rsidP="00811940">
            <w:pPr>
              <w:keepNext/>
              <w:jc w:val="right"/>
              <w:rPr>
                <w:color w:val="000000"/>
                <w:sz w:val="18"/>
                <w:szCs w:val="20"/>
              </w:rPr>
            </w:pPr>
            <w:r w:rsidRPr="00297693">
              <w:rPr>
                <w:color w:val="000000"/>
                <w:sz w:val="18"/>
                <w:szCs w:val="20"/>
              </w:rPr>
              <w:t>3,246,982</w:t>
            </w:r>
          </w:p>
        </w:tc>
        <w:tc>
          <w:tcPr>
            <w:tcW w:w="1605" w:type="dxa"/>
            <w:tcBorders>
              <w:top w:val="nil"/>
              <w:left w:val="nil"/>
              <w:bottom w:val="nil"/>
              <w:right w:val="single" w:sz="4" w:space="0" w:color="auto"/>
            </w:tcBorders>
          </w:tcPr>
          <w:p w14:paraId="1DE8650D" w14:textId="2365B017" w:rsidR="00811940" w:rsidRPr="00DF2AC2" w:rsidRDefault="00811940" w:rsidP="00811940">
            <w:pPr>
              <w:keepNext/>
              <w:jc w:val="right"/>
              <w:rPr>
                <w:color w:val="000000"/>
                <w:sz w:val="18"/>
                <w:szCs w:val="20"/>
              </w:rPr>
            </w:pPr>
          </w:p>
        </w:tc>
      </w:tr>
      <w:tr w:rsidR="00811940" w:rsidRPr="00E80EE2" w14:paraId="4712BBB8" w14:textId="77777777" w:rsidTr="00340A06">
        <w:trPr>
          <w:trHeight w:val="259"/>
        </w:trPr>
        <w:tc>
          <w:tcPr>
            <w:tcW w:w="3420" w:type="dxa"/>
            <w:tcBorders>
              <w:top w:val="nil"/>
              <w:left w:val="single" w:sz="4" w:space="0" w:color="auto"/>
              <w:bottom w:val="nil"/>
              <w:right w:val="nil"/>
            </w:tcBorders>
            <w:vAlign w:val="bottom"/>
          </w:tcPr>
          <w:p w14:paraId="5542E285" w14:textId="77777777" w:rsidR="00811940" w:rsidRPr="00E80EE2" w:rsidRDefault="00811940" w:rsidP="00811940">
            <w:pPr>
              <w:rPr>
                <w:color w:val="000000"/>
                <w:sz w:val="18"/>
                <w:szCs w:val="20"/>
              </w:rPr>
            </w:pPr>
            <w:r w:rsidRPr="00E80EE2">
              <w:rPr>
                <w:color w:val="000000"/>
                <w:sz w:val="18"/>
                <w:szCs w:val="20"/>
              </w:rPr>
              <w:t>Sales and services of educational activities</w:t>
            </w:r>
          </w:p>
        </w:tc>
        <w:tc>
          <w:tcPr>
            <w:tcW w:w="1975" w:type="dxa"/>
            <w:tcBorders>
              <w:top w:val="nil"/>
              <w:left w:val="nil"/>
              <w:bottom w:val="nil"/>
              <w:right w:val="nil"/>
            </w:tcBorders>
            <w:vAlign w:val="center"/>
          </w:tcPr>
          <w:p w14:paraId="5E7F2813" w14:textId="0E70C23E" w:rsidR="00811940" w:rsidRPr="00E80EE2" w:rsidRDefault="00811940" w:rsidP="00811940">
            <w:pPr>
              <w:jc w:val="right"/>
              <w:rPr>
                <w:sz w:val="18"/>
                <w:szCs w:val="20"/>
              </w:rPr>
            </w:pPr>
            <w:r w:rsidRPr="002239F9">
              <w:rPr>
                <w:color w:val="000000"/>
                <w:sz w:val="18"/>
                <w:szCs w:val="20"/>
              </w:rPr>
              <w:t>8,264,779</w:t>
            </w:r>
          </w:p>
        </w:tc>
        <w:tc>
          <w:tcPr>
            <w:tcW w:w="1530" w:type="dxa"/>
            <w:tcBorders>
              <w:top w:val="nil"/>
              <w:left w:val="nil"/>
              <w:bottom w:val="nil"/>
              <w:right w:val="nil"/>
            </w:tcBorders>
            <w:vAlign w:val="center"/>
          </w:tcPr>
          <w:p w14:paraId="4F313CD7" w14:textId="16D880EB" w:rsidR="00811940" w:rsidRPr="00FA1C0C" w:rsidRDefault="00811940" w:rsidP="00811940">
            <w:pPr>
              <w:jc w:val="right"/>
              <w:rPr>
                <w:color w:val="000000"/>
                <w:sz w:val="18"/>
                <w:szCs w:val="20"/>
              </w:rPr>
            </w:pPr>
            <w:r w:rsidRPr="00DF2AC2">
              <w:rPr>
                <w:color w:val="000000"/>
                <w:sz w:val="18"/>
                <w:szCs w:val="20"/>
              </w:rPr>
              <w:t>7,778,456</w:t>
            </w:r>
          </w:p>
        </w:tc>
        <w:tc>
          <w:tcPr>
            <w:tcW w:w="1530" w:type="dxa"/>
            <w:tcBorders>
              <w:top w:val="nil"/>
              <w:left w:val="nil"/>
              <w:bottom w:val="nil"/>
              <w:right w:val="nil"/>
            </w:tcBorders>
          </w:tcPr>
          <w:p w14:paraId="2EF7D913" w14:textId="0AD67A49" w:rsidR="00811940" w:rsidRPr="00FA1C0C" w:rsidRDefault="00811940" w:rsidP="00811940">
            <w:pPr>
              <w:keepNext/>
              <w:jc w:val="right"/>
              <w:rPr>
                <w:color w:val="000000"/>
                <w:sz w:val="18"/>
                <w:szCs w:val="20"/>
              </w:rPr>
            </w:pPr>
            <w:r w:rsidRPr="00297693">
              <w:rPr>
                <w:color w:val="000000"/>
                <w:sz w:val="18"/>
                <w:szCs w:val="20"/>
              </w:rPr>
              <w:t>7,542,618</w:t>
            </w:r>
          </w:p>
        </w:tc>
        <w:tc>
          <w:tcPr>
            <w:tcW w:w="1605" w:type="dxa"/>
            <w:tcBorders>
              <w:top w:val="nil"/>
              <w:left w:val="nil"/>
              <w:bottom w:val="nil"/>
              <w:right w:val="single" w:sz="4" w:space="0" w:color="auto"/>
            </w:tcBorders>
          </w:tcPr>
          <w:p w14:paraId="33C5B5DD" w14:textId="3DDAAC3F" w:rsidR="00811940" w:rsidRPr="00DF2AC2" w:rsidRDefault="00811940" w:rsidP="00811940">
            <w:pPr>
              <w:keepNext/>
              <w:jc w:val="right"/>
              <w:rPr>
                <w:color w:val="000000"/>
                <w:sz w:val="18"/>
                <w:szCs w:val="20"/>
              </w:rPr>
            </w:pPr>
          </w:p>
        </w:tc>
      </w:tr>
      <w:tr w:rsidR="00811940" w:rsidRPr="00E80EE2" w14:paraId="2DB64E64" w14:textId="77777777" w:rsidTr="00340A06">
        <w:trPr>
          <w:trHeight w:val="259"/>
        </w:trPr>
        <w:tc>
          <w:tcPr>
            <w:tcW w:w="3420" w:type="dxa"/>
            <w:tcBorders>
              <w:top w:val="nil"/>
              <w:left w:val="single" w:sz="4" w:space="0" w:color="auto"/>
              <w:bottom w:val="nil"/>
              <w:right w:val="nil"/>
            </w:tcBorders>
            <w:vAlign w:val="bottom"/>
          </w:tcPr>
          <w:p w14:paraId="34B85B62" w14:textId="77777777" w:rsidR="00811940" w:rsidRPr="00E80EE2" w:rsidRDefault="00811940" w:rsidP="00811940">
            <w:pPr>
              <w:rPr>
                <w:color w:val="000000"/>
                <w:sz w:val="18"/>
                <w:szCs w:val="20"/>
              </w:rPr>
            </w:pPr>
            <w:r w:rsidRPr="00E80EE2">
              <w:rPr>
                <w:color w:val="000000"/>
                <w:sz w:val="18"/>
                <w:szCs w:val="20"/>
              </w:rPr>
              <w:t>Sales and services of auxiliary enterprises</w:t>
            </w:r>
          </w:p>
        </w:tc>
        <w:tc>
          <w:tcPr>
            <w:tcW w:w="1975" w:type="dxa"/>
            <w:tcBorders>
              <w:top w:val="nil"/>
              <w:left w:val="nil"/>
              <w:bottom w:val="nil"/>
              <w:right w:val="nil"/>
            </w:tcBorders>
            <w:vAlign w:val="center"/>
          </w:tcPr>
          <w:p w14:paraId="06FA96FE" w14:textId="611DFDDC" w:rsidR="00811940" w:rsidRPr="00E80EE2" w:rsidRDefault="00811940" w:rsidP="00811940">
            <w:pPr>
              <w:jc w:val="right"/>
              <w:rPr>
                <w:sz w:val="18"/>
                <w:szCs w:val="20"/>
              </w:rPr>
            </w:pPr>
            <w:r w:rsidRPr="002239F9">
              <w:rPr>
                <w:color w:val="000000"/>
                <w:sz w:val="18"/>
                <w:szCs w:val="20"/>
              </w:rPr>
              <w:t>64,037,202</w:t>
            </w:r>
          </w:p>
        </w:tc>
        <w:tc>
          <w:tcPr>
            <w:tcW w:w="1530" w:type="dxa"/>
            <w:tcBorders>
              <w:top w:val="nil"/>
              <w:left w:val="nil"/>
              <w:bottom w:val="nil"/>
              <w:right w:val="nil"/>
            </w:tcBorders>
            <w:vAlign w:val="center"/>
          </w:tcPr>
          <w:p w14:paraId="567F4425" w14:textId="56A0DBBA" w:rsidR="00811940" w:rsidRPr="00FA1C0C" w:rsidRDefault="00811940" w:rsidP="00811940">
            <w:pPr>
              <w:jc w:val="right"/>
              <w:rPr>
                <w:color w:val="000000"/>
                <w:sz w:val="18"/>
                <w:szCs w:val="20"/>
              </w:rPr>
            </w:pPr>
            <w:r w:rsidRPr="00DF2AC2">
              <w:rPr>
                <w:color w:val="000000"/>
                <w:sz w:val="18"/>
                <w:szCs w:val="20"/>
              </w:rPr>
              <w:t xml:space="preserve">56,868,054 </w:t>
            </w:r>
          </w:p>
        </w:tc>
        <w:tc>
          <w:tcPr>
            <w:tcW w:w="1530" w:type="dxa"/>
            <w:tcBorders>
              <w:top w:val="nil"/>
              <w:left w:val="nil"/>
              <w:bottom w:val="nil"/>
              <w:right w:val="nil"/>
            </w:tcBorders>
          </w:tcPr>
          <w:p w14:paraId="6B663048" w14:textId="741A639B" w:rsidR="00811940" w:rsidRPr="00FA1C0C" w:rsidRDefault="00811940" w:rsidP="00811940">
            <w:pPr>
              <w:keepNext/>
              <w:jc w:val="right"/>
              <w:rPr>
                <w:color w:val="000000"/>
                <w:sz w:val="18"/>
                <w:szCs w:val="20"/>
              </w:rPr>
            </w:pPr>
            <w:r w:rsidRPr="00297693">
              <w:rPr>
                <w:color w:val="000000"/>
                <w:sz w:val="18"/>
                <w:szCs w:val="20"/>
              </w:rPr>
              <w:t>35,204,126</w:t>
            </w:r>
          </w:p>
        </w:tc>
        <w:tc>
          <w:tcPr>
            <w:tcW w:w="1605" w:type="dxa"/>
            <w:tcBorders>
              <w:top w:val="nil"/>
              <w:left w:val="nil"/>
              <w:bottom w:val="nil"/>
              <w:right w:val="single" w:sz="4" w:space="0" w:color="auto"/>
            </w:tcBorders>
          </w:tcPr>
          <w:p w14:paraId="0AEFCDFC" w14:textId="26AFDC7C" w:rsidR="00811940" w:rsidRPr="00DF2AC2" w:rsidRDefault="00811940" w:rsidP="00811940">
            <w:pPr>
              <w:keepNext/>
              <w:jc w:val="right"/>
              <w:rPr>
                <w:color w:val="000000"/>
                <w:sz w:val="18"/>
                <w:szCs w:val="20"/>
              </w:rPr>
            </w:pPr>
          </w:p>
        </w:tc>
      </w:tr>
      <w:tr w:rsidR="00811940" w:rsidRPr="00E80EE2" w14:paraId="5E376130" w14:textId="77777777" w:rsidTr="00340A06">
        <w:trPr>
          <w:trHeight w:val="259"/>
        </w:trPr>
        <w:tc>
          <w:tcPr>
            <w:tcW w:w="3420" w:type="dxa"/>
            <w:tcBorders>
              <w:top w:val="nil"/>
              <w:left w:val="single" w:sz="4" w:space="0" w:color="auto"/>
              <w:bottom w:val="nil"/>
              <w:right w:val="nil"/>
            </w:tcBorders>
            <w:vAlign w:val="bottom"/>
          </w:tcPr>
          <w:p w14:paraId="45EA2BDE" w14:textId="77777777" w:rsidR="00811940" w:rsidRPr="00E80EE2" w:rsidRDefault="00811940" w:rsidP="00811940">
            <w:pPr>
              <w:rPr>
                <w:color w:val="000000"/>
                <w:sz w:val="18"/>
                <w:szCs w:val="20"/>
              </w:rPr>
            </w:pPr>
            <w:r w:rsidRPr="00E80EE2">
              <w:rPr>
                <w:color w:val="000000"/>
                <w:sz w:val="18"/>
                <w:szCs w:val="20"/>
              </w:rPr>
              <w:t>Other</w:t>
            </w:r>
          </w:p>
        </w:tc>
        <w:tc>
          <w:tcPr>
            <w:tcW w:w="1975" w:type="dxa"/>
            <w:tcBorders>
              <w:top w:val="nil"/>
              <w:left w:val="nil"/>
              <w:bottom w:val="nil"/>
              <w:right w:val="nil"/>
            </w:tcBorders>
            <w:vAlign w:val="center"/>
          </w:tcPr>
          <w:p w14:paraId="0CD18AEB" w14:textId="336C26DF" w:rsidR="00811940" w:rsidRPr="00EE7EFD" w:rsidRDefault="00811940" w:rsidP="00811940">
            <w:pPr>
              <w:jc w:val="right"/>
              <w:rPr>
                <w:color w:val="000000"/>
                <w:sz w:val="18"/>
                <w:szCs w:val="20"/>
                <w:u w:val="single"/>
              </w:rPr>
            </w:pPr>
            <w:r w:rsidRPr="00EE7EFD">
              <w:rPr>
                <w:color w:val="000000"/>
                <w:sz w:val="18"/>
                <w:szCs w:val="20"/>
                <w:u w:val="single"/>
              </w:rPr>
              <w:t>1,099,336</w:t>
            </w:r>
          </w:p>
        </w:tc>
        <w:tc>
          <w:tcPr>
            <w:tcW w:w="1530" w:type="dxa"/>
            <w:tcBorders>
              <w:top w:val="nil"/>
              <w:left w:val="nil"/>
              <w:bottom w:val="nil"/>
              <w:right w:val="nil"/>
            </w:tcBorders>
            <w:vAlign w:val="center"/>
          </w:tcPr>
          <w:p w14:paraId="5DCB0820" w14:textId="571C12B3" w:rsidR="00811940" w:rsidRPr="00EE7EFD" w:rsidRDefault="00811940" w:rsidP="00811940">
            <w:pPr>
              <w:jc w:val="right"/>
              <w:rPr>
                <w:color w:val="000000"/>
                <w:sz w:val="18"/>
                <w:szCs w:val="20"/>
                <w:u w:val="single"/>
              </w:rPr>
            </w:pPr>
            <w:r w:rsidRPr="00EE7EFD">
              <w:rPr>
                <w:color w:val="000000"/>
                <w:sz w:val="18"/>
                <w:szCs w:val="20"/>
                <w:u w:val="single"/>
              </w:rPr>
              <w:t>1,395,970</w:t>
            </w:r>
          </w:p>
        </w:tc>
        <w:tc>
          <w:tcPr>
            <w:tcW w:w="1530" w:type="dxa"/>
            <w:tcBorders>
              <w:top w:val="nil"/>
              <w:left w:val="nil"/>
              <w:bottom w:val="nil"/>
              <w:right w:val="nil"/>
            </w:tcBorders>
          </w:tcPr>
          <w:p w14:paraId="51039AA7" w14:textId="6B064720" w:rsidR="00811940" w:rsidRPr="00EE7EFD" w:rsidRDefault="00811940" w:rsidP="00811940">
            <w:pPr>
              <w:keepNext/>
              <w:jc w:val="right"/>
              <w:rPr>
                <w:color w:val="000000"/>
                <w:sz w:val="18"/>
                <w:szCs w:val="20"/>
                <w:u w:val="single"/>
              </w:rPr>
            </w:pPr>
            <w:r w:rsidRPr="00EE7EFD">
              <w:rPr>
                <w:color w:val="000000"/>
                <w:sz w:val="18"/>
                <w:szCs w:val="20"/>
                <w:u w:val="single"/>
              </w:rPr>
              <w:t>1,425,149</w:t>
            </w:r>
          </w:p>
        </w:tc>
        <w:tc>
          <w:tcPr>
            <w:tcW w:w="1605" w:type="dxa"/>
            <w:tcBorders>
              <w:top w:val="nil"/>
              <w:left w:val="nil"/>
              <w:bottom w:val="nil"/>
              <w:right w:val="single" w:sz="4" w:space="0" w:color="auto"/>
            </w:tcBorders>
          </w:tcPr>
          <w:p w14:paraId="33824AC3" w14:textId="46E5BEF2" w:rsidR="00811940" w:rsidRPr="00DF2AC2" w:rsidRDefault="00811940" w:rsidP="00811940">
            <w:pPr>
              <w:keepNext/>
              <w:jc w:val="right"/>
              <w:rPr>
                <w:color w:val="000000"/>
                <w:sz w:val="18"/>
                <w:szCs w:val="20"/>
              </w:rPr>
            </w:pPr>
          </w:p>
        </w:tc>
      </w:tr>
      <w:tr w:rsidR="00811940" w:rsidRPr="00E80EE2" w14:paraId="4E13F72F" w14:textId="77777777" w:rsidTr="00340A06">
        <w:trPr>
          <w:trHeight w:val="259"/>
        </w:trPr>
        <w:tc>
          <w:tcPr>
            <w:tcW w:w="3420" w:type="dxa"/>
            <w:tcBorders>
              <w:top w:val="nil"/>
              <w:left w:val="single" w:sz="4" w:space="0" w:color="auto"/>
              <w:bottom w:val="single" w:sz="4" w:space="0" w:color="auto"/>
              <w:right w:val="nil"/>
            </w:tcBorders>
            <w:vAlign w:val="bottom"/>
          </w:tcPr>
          <w:p w14:paraId="0D9847FB" w14:textId="77777777" w:rsidR="00811940" w:rsidRPr="00E80EE2" w:rsidRDefault="00811940" w:rsidP="00811940">
            <w:pPr>
              <w:ind w:firstLineChars="100" w:firstLine="180"/>
              <w:rPr>
                <w:color w:val="000000"/>
                <w:sz w:val="18"/>
                <w:szCs w:val="20"/>
              </w:rPr>
            </w:pPr>
            <w:r w:rsidRPr="00E80EE2">
              <w:rPr>
                <w:color w:val="000000"/>
                <w:sz w:val="18"/>
                <w:szCs w:val="20"/>
              </w:rPr>
              <w:t>Total operating revenues</w:t>
            </w:r>
            <w:r w:rsidRPr="00E80EE2">
              <w:rPr>
                <w:color w:val="000000"/>
                <w:sz w:val="18"/>
                <w:szCs w:val="20"/>
              </w:rPr>
              <w:tab/>
            </w:r>
          </w:p>
        </w:tc>
        <w:tc>
          <w:tcPr>
            <w:tcW w:w="1975" w:type="dxa"/>
            <w:tcBorders>
              <w:top w:val="nil"/>
              <w:left w:val="nil"/>
              <w:bottom w:val="single" w:sz="4" w:space="0" w:color="auto"/>
              <w:right w:val="nil"/>
            </w:tcBorders>
            <w:vAlign w:val="center"/>
          </w:tcPr>
          <w:p w14:paraId="40414710" w14:textId="6AE37841" w:rsidR="00811940" w:rsidRPr="00E80EE2" w:rsidRDefault="00811940" w:rsidP="00811940">
            <w:pPr>
              <w:jc w:val="right"/>
              <w:rPr>
                <w:color w:val="000000"/>
                <w:sz w:val="18"/>
                <w:szCs w:val="20"/>
              </w:rPr>
            </w:pPr>
            <w:r w:rsidRPr="002239F9">
              <w:rPr>
                <w:color w:val="000000"/>
                <w:sz w:val="18"/>
                <w:szCs w:val="20"/>
              </w:rPr>
              <w:t>275,040,656</w:t>
            </w:r>
          </w:p>
        </w:tc>
        <w:tc>
          <w:tcPr>
            <w:tcW w:w="1530" w:type="dxa"/>
            <w:tcBorders>
              <w:top w:val="nil"/>
              <w:left w:val="nil"/>
              <w:bottom w:val="single" w:sz="4" w:space="0" w:color="auto"/>
              <w:right w:val="nil"/>
            </w:tcBorders>
            <w:vAlign w:val="center"/>
          </w:tcPr>
          <w:p w14:paraId="23501A9D" w14:textId="33894987" w:rsidR="00811940" w:rsidRPr="00E80EE2" w:rsidRDefault="00811940" w:rsidP="00811940">
            <w:pPr>
              <w:jc w:val="right"/>
              <w:rPr>
                <w:color w:val="000000"/>
                <w:sz w:val="18"/>
                <w:szCs w:val="20"/>
              </w:rPr>
            </w:pPr>
            <w:r w:rsidRPr="00DF2AC2">
              <w:rPr>
                <w:color w:val="000000"/>
                <w:sz w:val="18"/>
                <w:szCs w:val="20"/>
              </w:rPr>
              <w:t>286,496,966</w:t>
            </w:r>
          </w:p>
        </w:tc>
        <w:tc>
          <w:tcPr>
            <w:tcW w:w="1530" w:type="dxa"/>
            <w:tcBorders>
              <w:top w:val="nil"/>
              <w:left w:val="nil"/>
              <w:bottom w:val="single" w:sz="4" w:space="0" w:color="auto"/>
              <w:right w:val="nil"/>
            </w:tcBorders>
          </w:tcPr>
          <w:p w14:paraId="5319BECB" w14:textId="34D699E2" w:rsidR="00811940" w:rsidRPr="008B6187" w:rsidRDefault="00811940" w:rsidP="00811940">
            <w:pPr>
              <w:keepNext/>
              <w:jc w:val="right"/>
              <w:rPr>
                <w:color w:val="000000"/>
                <w:sz w:val="18"/>
                <w:szCs w:val="20"/>
              </w:rPr>
            </w:pPr>
            <w:r w:rsidRPr="00297693">
              <w:rPr>
                <w:color w:val="000000"/>
                <w:sz w:val="18"/>
                <w:szCs w:val="20"/>
              </w:rPr>
              <w:t>273,507,617</w:t>
            </w:r>
          </w:p>
        </w:tc>
        <w:tc>
          <w:tcPr>
            <w:tcW w:w="1605" w:type="dxa"/>
            <w:tcBorders>
              <w:top w:val="nil"/>
              <w:left w:val="nil"/>
              <w:bottom w:val="single" w:sz="4" w:space="0" w:color="auto"/>
              <w:right w:val="single" w:sz="4" w:space="0" w:color="auto"/>
            </w:tcBorders>
          </w:tcPr>
          <w:p w14:paraId="21CB6E0F" w14:textId="19FE6BA2" w:rsidR="00811940" w:rsidRPr="00DF2AC2" w:rsidRDefault="00811940" w:rsidP="00811940">
            <w:pPr>
              <w:keepNext/>
              <w:jc w:val="right"/>
              <w:rPr>
                <w:color w:val="000000"/>
                <w:sz w:val="18"/>
                <w:szCs w:val="20"/>
              </w:rPr>
            </w:pPr>
          </w:p>
        </w:tc>
      </w:tr>
      <w:tr w:rsidR="00811940" w:rsidRPr="00E80EE2" w14:paraId="559EE5B3" w14:textId="77777777" w:rsidTr="00811940">
        <w:trPr>
          <w:trHeight w:val="259"/>
        </w:trPr>
        <w:tc>
          <w:tcPr>
            <w:tcW w:w="3420" w:type="dxa"/>
            <w:tcBorders>
              <w:top w:val="single" w:sz="4" w:space="0" w:color="auto"/>
              <w:left w:val="single" w:sz="4" w:space="0" w:color="auto"/>
              <w:bottom w:val="single" w:sz="4" w:space="0" w:color="auto"/>
              <w:right w:val="single" w:sz="4" w:space="0" w:color="auto"/>
            </w:tcBorders>
            <w:shd w:val="clear" w:color="auto" w:fill="000080"/>
          </w:tcPr>
          <w:p w14:paraId="6EFEA66E" w14:textId="77777777" w:rsidR="00811940" w:rsidRPr="00E80EE2" w:rsidRDefault="00811940" w:rsidP="00811940">
            <w:pPr>
              <w:keepNext/>
              <w:jc w:val="both"/>
              <w:rPr>
                <w:b/>
                <w:bCs/>
                <w:color w:val="FFFFFF"/>
                <w:sz w:val="20"/>
              </w:rPr>
            </w:pPr>
            <w:r w:rsidRPr="00E80EE2">
              <w:rPr>
                <w:b/>
                <w:bCs/>
                <w:color w:val="FFFFFF"/>
                <w:sz w:val="20"/>
              </w:rPr>
              <w:t>Operating Expenses</w:t>
            </w:r>
          </w:p>
        </w:tc>
        <w:tc>
          <w:tcPr>
            <w:tcW w:w="1975" w:type="dxa"/>
            <w:tcBorders>
              <w:top w:val="single" w:sz="4" w:space="0" w:color="auto"/>
              <w:left w:val="single" w:sz="4" w:space="0" w:color="auto"/>
              <w:bottom w:val="single" w:sz="4" w:space="0" w:color="auto"/>
              <w:right w:val="single" w:sz="4" w:space="0" w:color="auto"/>
            </w:tcBorders>
            <w:shd w:val="clear" w:color="auto" w:fill="000080"/>
          </w:tcPr>
          <w:p w14:paraId="6933A40D" w14:textId="67D082C0" w:rsidR="00811940" w:rsidRPr="00E80EE2" w:rsidRDefault="00811940" w:rsidP="00811940">
            <w:pPr>
              <w:keepNext/>
              <w:jc w:val="right"/>
              <w:rPr>
                <w:b/>
                <w:bCs/>
                <w:color w:val="FFFFFF"/>
                <w:sz w:val="20"/>
              </w:rPr>
            </w:pPr>
            <w:r>
              <w:rPr>
                <w:b/>
                <w:bCs/>
                <w:color w:val="FFFFFF"/>
                <w:sz w:val="20"/>
              </w:rPr>
              <w:t>FY 2019- restated</w:t>
            </w:r>
          </w:p>
        </w:tc>
        <w:tc>
          <w:tcPr>
            <w:tcW w:w="1530" w:type="dxa"/>
            <w:tcBorders>
              <w:top w:val="single" w:sz="4" w:space="0" w:color="auto"/>
              <w:left w:val="single" w:sz="4" w:space="0" w:color="auto"/>
              <w:bottom w:val="single" w:sz="4" w:space="0" w:color="auto"/>
              <w:right w:val="single" w:sz="4" w:space="0" w:color="auto"/>
            </w:tcBorders>
            <w:shd w:val="clear" w:color="auto" w:fill="000080"/>
          </w:tcPr>
          <w:p w14:paraId="7D2963A1" w14:textId="22DCC93D" w:rsidR="00811940" w:rsidRPr="00E80EE2" w:rsidRDefault="00811940" w:rsidP="00811940">
            <w:pPr>
              <w:keepNext/>
              <w:jc w:val="right"/>
              <w:rPr>
                <w:b/>
                <w:bCs/>
                <w:color w:val="FFFFFF"/>
                <w:sz w:val="20"/>
              </w:rPr>
            </w:pPr>
            <w:r>
              <w:rPr>
                <w:b/>
                <w:bCs/>
                <w:color w:val="FFFFFF"/>
                <w:sz w:val="20"/>
              </w:rPr>
              <w:t>FY 2020</w:t>
            </w:r>
          </w:p>
        </w:tc>
        <w:tc>
          <w:tcPr>
            <w:tcW w:w="1530" w:type="dxa"/>
            <w:tcBorders>
              <w:top w:val="single" w:sz="4" w:space="0" w:color="auto"/>
              <w:left w:val="single" w:sz="4" w:space="0" w:color="auto"/>
              <w:bottom w:val="single" w:sz="4" w:space="0" w:color="auto"/>
              <w:right w:val="single" w:sz="4" w:space="0" w:color="auto"/>
            </w:tcBorders>
            <w:shd w:val="clear" w:color="auto" w:fill="000080"/>
          </w:tcPr>
          <w:p w14:paraId="37E020AF" w14:textId="310F669C" w:rsidR="00811940" w:rsidRPr="00E80EE2" w:rsidRDefault="00811940" w:rsidP="00811940">
            <w:pPr>
              <w:keepNext/>
              <w:jc w:val="right"/>
              <w:rPr>
                <w:b/>
                <w:bCs/>
                <w:color w:val="FFFFFF"/>
                <w:sz w:val="20"/>
              </w:rPr>
            </w:pPr>
            <w:r>
              <w:rPr>
                <w:b/>
                <w:bCs/>
                <w:color w:val="FFFFFF"/>
                <w:sz w:val="20"/>
              </w:rPr>
              <w:t>FY 2021</w:t>
            </w:r>
          </w:p>
        </w:tc>
        <w:tc>
          <w:tcPr>
            <w:tcW w:w="1605" w:type="dxa"/>
            <w:tcBorders>
              <w:top w:val="single" w:sz="4" w:space="0" w:color="auto"/>
              <w:left w:val="single" w:sz="4" w:space="0" w:color="auto"/>
              <w:bottom w:val="single" w:sz="4" w:space="0" w:color="auto"/>
              <w:right w:val="single" w:sz="4" w:space="0" w:color="auto"/>
            </w:tcBorders>
            <w:shd w:val="clear" w:color="auto" w:fill="000080"/>
          </w:tcPr>
          <w:p w14:paraId="21B647E7" w14:textId="69C85487" w:rsidR="00811940" w:rsidRPr="00E80EE2" w:rsidRDefault="00811940" w:rsidP="00811940">
            <w:pPr>
              <w:keepNext/>
              <w:jc w:val="right"/>
              <w:rPr>
                <w:b/>
                <w:bCs/>
                <w:color w:val="FFFFFF"/>
                <w:sz w:val="20"/>
              </w:rPr>
            </w:pPr>
            <w:r>
              <w:rPr>
                <w:b/>
                <w:bCs/>
                <w:color w:val="FFFFFF"/>
                <w:sz w:val="20"/>
              </w:rPr>
              <w:t>FY 2022</w:t>
            </w:r>
          </w:p>
        </w:tc>
      </w:tr>
      <w:tr w:rsidR="00811940" w:rsidRPr="00E80EE2" w14:paraId="2603DD53" w14:textId="77777777" w:rsidTr="00F032BF">
        <w:trPr>
          <w:trHeight w:val="259"/>
        </w:trPr>
        <w:tc>
          <w:tcPr>
            <w:tcW w:w="3420" w:type="dxa"/>
            <w:tcBorders>
              <w:top w:val="single" w:sz="4" w:space="0" w:color="auto"/>
              <w:left w:val="single" w:sz="4" w:space="0" w:color="auto"/>
              <w:bottom w:val="nil"/>
              <w:right w:val="nil"/>
            </w:tcBorders>
          </w:tcPr>
          <w:p w14:paraId="4BDEEAE7" w14:textId="77777777" w:rsidR="00811940" w:rsidRPr="00E80EE2" w:rsidRDefault="00811940" w:rsidP="00811940">
            <w:pPr>
              <w:keepNext/>
              <w:rPr>
                <w:sz w:val="18"/>
                <w:szCs w:val="20"/>
              </w:rPr>
            </w:pPr>
            <w:r w:rsidRPr="00E80EE2">
              <w:rPr>
                <w:sz w:val="18"/>
                <w:szCs w:val="20"/>
              </w:rPr>
              <w:t>Instruction</w:t>
            </w:r>
          </w:p>
        </w:tc>
        <w:tc>
          <w:tcPr>
            <w:tcW w:w="1975" w:type="dxa"/>
            <w:tcBorders>
              <w:top w:val="single" w:sz="4" w:space="0" w:color="auto"/>
              <w:left w:val="nil"/>
              <w:bottom w:val="nil"/>
              <w:right w:val="nil"/>
            </w:tcBorders>
            <w:vAlign w:val="center"/>
          </w:tcPr>
          <w:p w14:paraId="79585698" w14:textId="1E530D4B" w:rsidR="00811940" w:rsidRPr="00E80EE2" w:rsidRDefault="00811940" w:rsidP="00811940">
            <w:pPr>
              <w:keepNext/>
              <w:jc w:val="right"/>
              <w:rPr>
                <w:sz w:val="18"/>
                <w:szCs w:val="20"/>
              </w:rPr>
            </w:pPr>
            <w:r w:rsidRPr="002239F9">
              <w:rPr>
                <w:color w:val="000000"/>
                <w:sz w:val="18"/>
                <w:szCs w:val="20"/>
              </w:rPr>
              <w:t xml:space="preserve">132,585,914 </w:t>
            </w:r>
          </w:p>
        </w:tc>
        <w:tc>
          <w:tcPr>
            <w:tcW w:w="1530" w:type="dxa"/>
            <w:tcBorders>
              <w:top w:val="single" w:sz="4" w:space="0" w:color="auto"/>
              <w:left w:val="nil"/>
              <w:bottom w:val="nil"/>
              <w:right w:val="nil"/>
            </w:tcBorders>
            <w:vAlign w:val="center"/>
          </w:tcPr>
          <w:p w14:paraId="4CFEFC48" w14:textId="7331B3D6" w:rsidR="00811940" w:rsidRPr="00E80EE2" w:rsidRDefault="00811940" w:rsidP="00811940">
            <w:pPr>
              <w:keepNext/>
              <w:jc w:val="right"/>
              <w:rPr>
                <w:sz w:val="18"/>
                <w:szCs w:val="20"/>
              </w:rPr>
            </w:pPr>
            <w:r w:rsidRPr="00FA1C0C">
              <w:rPr>
                <w:color w:val="000000"/>
                <w:sz w:val="18"/>
                <w:szCs w:val="20"/>
              </w:rPr>
              <w:t>139,307,732</w:t>
            </w:r>
          </w:p>
        </w:tc>
        <w:tc>
          <w:tcPr>
            <w:tcW w:w="1530" w:type="dxa"/>
            <w:tcBorders>
              <w:top w:val="single" w:sz="4" w:space="0" w:color="auto"/>
              <w:left w:val="nil"/>
              <w:bottom w:val="nil"/>
              <w:right w:val="nil"/>
            </w:tcBorders>
            <w:vAlign w:val="center"/>
          </w:tcPr>
          <w:p w14:paraId="6D2121C2" w14:textId="54CCFE6B" w:rsidR="00811940" w:rsidRPr="00FA1C0C" w:rsidRDefault="00811940" w:rsidP="00811940">
            <w:pPr>
              <w:keepNext/>
              <w:jc w:val="right"/>
              <w:rPr>
                <w:color w:val="000000"/>
                <w:sz w:val="18"/>
                <w:szCs w:val="20"/>
              </w:rPr>
            </w:pPr>
            <w:r w:rsidRPr="00297693">
              <w:rPr>
                <w:color w:val="000000"/>
                <w:sz w:val="18"/>
                <w:szCs w:val="20"/>
              </w:rPr>
              <w:t>137,476,195</w:t>
            </w:r>
          </w:p>
        </w:tc>
        <w:tc>
          <w:tcPr>
            <w:tcW w:w="1605" w:type="dxa"/>
            <w:tcBorders>
              <w:top w:val="single" w:sz="4" w:space="0" w:color="auto"/>
              <w:left w:val="nil"/>
              <w:bottom w:val="nil"/>
              <w:right w:val="single" w:sz="4" w:space="0" w:color="auto"/>
            </w:tcBorders>
            <w:shd w:val="clear" w:color="auto" w:fill="auto"/>
            <w:vAlign w:val="center"/>
          </w:tcPr>
          <w:p w14:paraId="6F7611FF" w14:textId="78C05556" w:rsidR="00811940" w:rsidRPr="00FA1C0C" w:rsidRDefault="00811940" w:rsidP="00811940">
            <w:pPr>
              <w:keepNext/>
              <w:jc w:val="right"/>
              <w:rPr>
                <w:color w:val="000000"/>
                <w:sz w:val="18"/>
                <w:szCs w:val="20"/>
              </w:rPr>
            </w:pPr>
          </w:p>
        </w:tc>
      </w:tr>
      <w:tr w:rsidR="00811940" w:rsidRPr="00E80EE2" w14:paraId="2A50A79C" w14:textId="77777777" w:rsidTr="00F032BF">
        <w:trPr>
          <w:trHeight w:val="259"/>
        </w:trPr>
        <w:tc>
          <w:tcPr>
            <w:tcW w:w="3420" w:type="dxa"/>
            <w:tcBorders>
              <w:top w:val="nil"/>
              <w:left w:val="single" w:sz="4" w:space="0" w:color="auto"/>
              <w:bottom w:val="nil"/>
              <w:right w:val="nil"/>
            </w:tcBorders>
          </w:tcPr>
          <w:p w14:paraId="1A773A35" w14:textId="6396A9CD" w:rsidR="00811940" w:rsidRPr="00E80EE2" w:rsidRDefault="00811940" w:rsidP="00811940">
            <w:pPr>
              <w:keepNext/>
              <w:rPr>
                <w:sz w:val="18"/>
                <w:szCs w:val="20"/>
              </w:rPr>
            </w:pPr>
            <w:r w:rsidRPr="00E80EE2">
              <w:rPr>
                <w:sz w:val="18"/>
                <w:szCs w:val="20"/>
              </w:rPr>
              <w:t>Research</w:t>
            </w:r>
          </w:p>
        </w:tc>
        <w:tc>
          <w:tcPr>
            <w:tcW w:w="1975" w:type="dxa"/>
            <w:tcBorders>
              <w:top w:val="nil"/>
              <w:left w:val="nil"/>
              <w:bottom w:val="nil"/>
              <w:right w:val="nil"/>
            </w:tcBorders>
            <w:vAlign w:val="center"/>
          </w:tcPr>
          <w:p w14:paraId="6B00CFFA" w14:textId="57493B71" w:rsidR="00811940" w:rsidRPr="005E28E7" w:rsidRDefault="00811940" w:rsidP="00811940">
            <w:pPr>
              <w:keepNext/>
              <w:jc w:val="right"/>
              <w:rPr>
                <w:sz w:val="18"/>
                <w:szCs w:val="20"/>
              </w:rPr>
            </w:pPr>
            <w:r w:rsidRPr="002239F9">
              <w:rPr>
                <w:color w:val="000000"/>
                <w:sz w:val="18"/>
                <w:szCs w:val="20"/>
              </w:rPr>
              <w:t xml:space="preserve">33,105,475 </w:t>
            </w:r>
          </w:p>
        </w:tc>
        <w:tc>
          <w:tcPr>
            <w:tcW w:w="1530" w:type="dxa"/>
            <w:tcBorders>
              <w:top w:val="nil"/>
              <w:left w:val="nil"/>
              <w:bottom w:val="nil"/>
              <w:right w:val="nil"/>
            </w:tcBorders>
            <w:vAlign w:val="center"/>
          </w:tcPr>
          <w:p w14:paraId="1937AA06" w14:textId="2F7A3F75" w:rsidR="00811940" w:rsidRPr="00452DFD" w:rsidRDefault="00811940" w:rsidP="00811940">
            <w:pPr>
              <w:keepNext/>
              <w:jc w:val="right"/>
              <w:rPr>
                <w:sz w:val="18"/>
                <w:szCs w:val="20"/>
              </w:rPr>
            </w:pPr>
            <w:r w:rsidRPr="00FA1C0C">
              <w:rPr>
                <w:color w:val="000000"/>
                <w:sz w:val="18"/>
                <w:szCs w:val="20"/>
              </w:rPr>
              <w:t>37,304,459</w:t>
            </w:r>
          </w:p>
        </w:tc>
        <w:tc>
          <w:tcPr>
            <w:tcW w:w="1530" w:type="dxa"/>
            <w:tcBorders>
              <w:top w:val="nil"/>
              <w:left w:val="nil"/>
              <w:bottom w:val="nil"/>
              <w:right w:val="nil"/>
            </w:tcBorders>
            <w:vAlign w:val="center"/>
          </w:tcPr>
          <w:p w14:paraId="078279EE" w14:textId="7FE14A6F" w:rsidR="00811940" w:rsidRPr="00FA1C0C" w:rsidRDefault="00811940" w:rsidP="00811940">
            <w:pPr>
              <w:keepNext/>
              <w:jc w:val="right"/>
              <w:rPr>
                <w:color w:val="000000"/>
                <w:sz w:val="18"/>
                <w:szCs w:val="20"/>
              </w:rPr>
            </w:pPr>
            <w:r w:rsidRPr="00297693">
              <w:rPr>
                <w:color w:val="000000"/>
                <w:sz w:val="18"/>
                <w:szCs w:val="20"/>
              </w:rPr>
              <w:t>38,261,728</w:t>
            </w:r>
          </w:p>
        </w:tc>
        <w:tc>
          <w:tcPr>
            <w:tcW w:w="1605" w:type="dxa"/>
            <w:tcBorders>
              <w:top w:val="nil"/>
              <w:left w:val="nil"/>
              <w:bottom w:val="nil"/>
              <w:right w:val="single" w:sz="4" w:space="0" w:color="auto"/>
            </w:tcBorders>
            <w:shd w:val="clear" w:color="auto" w:fill="auto"/>
            <w:vAlign w:val="center"/>
          </w:tcPr>
          <w:p w14:paraId="338C5975" w14:textId="60DC4AE9" w:rsidR="00811940" w:rsidRPr="00FA1C0C" w:rsidRDefault="00811940" w:rsidP="00811940">
            <w:pPr>
              <w:keepNext/>
              <w:jc w:val="right"/>
              <w:rPr>
                <w:color w:val="000000"/>
                <w:sz w:val="18"/>
                <w:szCs w:val="20"/>
              </w:rPr>
            </w:pPr>
          </w:p>
        </w:tc>
      </w:tr>
      <w:tr w:rsidR="00811940" w:rsidRPr="00E80EE2" w14:paraId="7AE5A62B" w14:textId="77777777" w:rsidTr="00811940">
        <w:trPr>
          <w:trHeight w:val="259"/>
        </w:trPr>
        <w:tc>
          <w:tcPr>
            <w:tcW w:w="3420" w:type="dxa"/>
            <w:tcBorders>
              <w:top w:val="nil"/>
              <w:left w:val="single" w:sz="4" w:space="0" w:color="auto"/>
              <w:bottom w:val="nil"/>
              <w:right w:val="nil"/>
            </w:tcBorders>
          </w:tcPr>
          <w:p w14:paraId="2102264A" w14:textId="0C192CCB" w:rsidR="00811940" w:rsidRPr="00E80EE2" w:rsidRDefault="00811940" w:rsidP="00811940">
            <w:pPr>
              <w:keepNext/>
              <w:rPr>
                <w:sz w:val="18"/>
                <w:szCs w:val="20"/>
              </w:rPr>
            </w:pPr>
            <w:r w:rsidRPr="00E80EE2">
              <w:rPr>
                <w:sz w:val="18"/>
                <w:szCs w:val="20"/>
              </w:rPr>
              <w:t>Public Service</w:t>
            </w:r>
          </w:p>
        </w:tc>
        <w:tc>
          <w:tcPr>
            <w:tcW w:w="1975" w:type="dxa"/>
            <w:tcBorders>
              <w:top w:val="nil"/>
              <w:left w:val="nil"/>
              <w:bottom w:val="nil"/>
              <w:right w:val="nil"/>
            </w:tcBorders>
            <w:vAlign w:val="center"/>
          </w:tcPr>
          <w:p w14:paraId="6A83A2C5" w14:textId="00F189DA" w:rsidR="00811940" w:rsidRPr="005E28E7" w:rsidRDefault="00811940" w:rsidP="00811940">
            <w:pPr>
              <w:keepNext/>
              <w:jc w:val="right"/>
              <w:rPr>
                <w:sz w:val="18"/>
                <w:szCs w:val="20"/>
              </w:rPr>
            </w:pPr>
            <w:r w:rsidRPr="002239F9">
              <w:rPr>
                <w:color w:val="000000"/>
                <w:sz w:val="18"/>
                <w:szCs w:val="20"/>
              </w:rPr>
              <w:t xml:space="preserve">19,480,045 </w:t>
            </w:r>
          </w:p>
        </w:tc>
        <w:tc>
          <w:tcPr>
            <w:tcW w:w="1530" w:type="dxa"/>
            <w:tcBorders>
              <w:top w:val="nil"/>
              <w:left w:val="nil"/>
              <w:bottom w:val="nil"/>
              <w:right w:val="nil"/>
            </w:tcBorders>
            <w:vAlign w:val="center"/>
          </w:tcPr>
          <w:p w14:paraId="5708611E" w14:textId="4D4217AF" w:rsidR="00811940" w:rsidRPr="00452DFD" w:rsidRDefault="00811940" w:rsidP="00811940">
            <w:pPr>
              <w:keepNext/>
              <w:jc w:val="right"/>
              <w:rPr>
                <w:sz w:val="18"/>
                <w:szCs w:val="20"/>
              </w:rPr>
            </w:pPr>
            <w:r w:rsidRPr="00FA1C0C">
              <w:rPr>
                <w:color w:val="000000"/>
                <w:sz w:val="18"/>
                <w:szCs w:val="20"/>
              </w:rPr>
              <w:t>21,034,497</w:t>
            </w:r>
          </w:p>
        </w:tc>
        <w:tc>
          <w:tcPr>
            <w:tcW w:w="1530" w:type="dxa"/>
            <w:tcBorders>
              <w:top w:val="nil"/>
              <w:left w:val="nil"/>
              <w:bottom w:val="nil"/>
              <w:right w:val="nil"/>
            </w:tcBorders>
            <w:vAlign w:val="center"/>
          </w:tcPr>
          <w:p w14:paraId="778297E8" w14:textId="7B9363D9" w:rsidR="00811940" w:rsidRPr="00FA1C0C" w:rsidRDefault="00811940" w:rsidP="00811940">
            <w:pPr>
              <w:keepNext/>
              <w:jc w:val="right"/>
              <w:rPr>
                <w:color w:val="000000"/>
                <w:sz w:val="18"/>
                <w:szCs w:val="20"/>
              </w:rPr>
            </w:pPr>
            <w:r w:rsidRPr="00297693">
              <w:rPr>
                <w:color w:val="000000"/>
                <w:sz w:val="18"/>
                <w:szCs w:val="20"/>
              </w:rPr>
              <w:t>24,565,873</w:t>
            </w:r>
          </w:p>
        </w:tc>
        <w:tc>
          <w:tcPr>
            <w:tcW w:w="1605" w:type="dxa"/>
            <w:tcBorders>
              <w:top w:val="nil"/>
              <w:left w:val="nil"/>
              <w:bottom w:val="nil"/>
              <w:right w:val="single" w:sz="4" w:space="0" w:color="auto"/>
            </w:tcBorders>
            <w:shd w:val="clear" w:color="auto" w:fill="auto"/>
            <w:vAlign w:val="center"/>
          </w:tcPr>
          <w:p w14:paraId="680AA194" w14:textId="410C44A6" w:rsidR="00811940" w:rsidRPr="00FA1C0C" w:rsidRDefault="00811940" w:rsidP="00811940">
            <w:pPr>
              <w:keepNext/>
              <w:jc w:val="right"/>
              <w:rPr>
                <w:color w:val="000000"/>
                <w:sz w:val="18"/>
                <w:szCs w:val="20"/>
              </w:rPr>
            </w:pPr>
          </w:p>
        </w:tc>
      </w:tr>
      <w:tr w:rsidR="00811940" w:rsidRPr="00E80EE2" w14:paraId="4CEA1F9F" w14:textId="77777777" w:rsidTr="00811940">
        <w:trPr>
          <w:trHeight w:val="259"/>
        </w:trPr>
        <w:tc>
          <w:tcPr>
            <w:tcW w:w="3420" w:type="dxa"/>
            <w:tcBorders>
              <w:top w:val="nil"/>
              <w:left w:val="single" w:sz="4" w:space="0" w:color="auto"/>
              <w:bottom w:val="single" w:sz="4" w:space="0" w:color="auto"/>
              <w:right w:val="nil"/>
            </w:tcBorders>
          </w:tcPr>
          <w:p w14:paraId="51B15188" w14:textId="06C16EE4" w:rsidR="00811940" w:rsidRPr="00E80EE2" w:rsidRDefault="00811940" w:rsidP="00811940">
            <w:pPr>
              <w:rPr>
                <w:sz w:val="18"/>
                <w:szCs w:val="20"/>
              </w:rPr>
            </w:pPr>
            <w:r w:rsidRPr="00E80EE2">
              <w:rPr>
                <w:sz w:val="18"/>
                <w:szCs w:val="20"/>
              </w:rPr>
              <w:t>Libraries</w:t>
            </w:r>
          </w:p>
        </w:tc>
        <w:tc>
          <w:tcPr>
            <w:tcW w:w="1975" w:type="dxa"/>
            <w:tcBorders>
              <w:top w:val="nil"/>
              <w:left w:val="nil"/>
              <w:bottom w:val="single" w:sz="4" w:space="0" w:color="auto"/>
              <w:right w:val="nil"/>
            </w:tcBorders>
            <w:vAlign w:val="center"/>
          </w:tcPr>
          <w:p w14:paraId="1A91A7B9" w14:textId="606A67E1" w:rsidR="00811940" w:rsidRPr="005E28E7" w:rsidRDefault="00811940" w:rsidP="00811940">
            <w:pPr>
              <w:jc w:val="right"/>
              <w:rPr>
                <w:sz w:val="18"/>
                <w:szCs w:val="20"/>
              </w:rPr>
            </w:pPr>
            <w:r w:rsidRPr="00FA1C0C">
              <w:rPr>
                <w:color w:val="000000"/>
                <w:sz w:val="18"/>
                <w:szCs w:val="20"/>
              </w:rPr>
              <w:t xml:space="preserve">5,896,359 </w:t>
            </w:r>
          </w:p>
        </w:tc>
        <w:tc>
          <w:tcPr>
            <w:tcW w:w="1530" w:type="dxa"/>
            <w:tcBorders>
              <w:top w:val="nil"/>
              <w:left w:val="nil"/>
              <w:bottom w:val="single" w:sz="4" w:space="0" w:color="auto"/>
              <w:right w:val="nil"/>
            </w:tcBorders>
            <w:vAlign w:val="center"/>
          </w:tcPr>
          <w:p w14:paraId="60DC2B76" w14:textId="6D1FF9E1" w:rsidR="00811940" w:rsidRPr="00452DFD" w:rsidRDefault="00811940" w:rsidP="00811940">
            <w:pPr>
              <w:jc w:val="right"/>
              <w:rPr>
                <w:sz w:val="18"/>
                <w:szCs w:val="20"/>
              </w:rPr>
            </w:pPr>
            <w:r w:rsidRPr="00FA1C0C">
              <w:rPr>
                <w:color w:val="000000"/>
                <w:sz w:val="18"/>
                <w:szCs w:val="20"/>
              </w:rPr>
              <w:t>5,924,455</w:t>
            </w:r>
          </w:p>
        </w:tc>
        <w:tc>
          <w:tcPr>
            <w:tcW w:w="1530" w:type="dxa"/>
            <w:tcBorders>
              <w:top w:val="nil"/>
              <w:left w:val="nil"/>
              <w:bottom w:val="single" w:sz="4" w:space="0" w:color="auto"/>
              <w:right w:val="nil"/>
            </w:tcBorders>
            <w:vAlign w:val="center"/>
          </w:tcPr>
          <w:p w14:paraId="797C441A" w14:textId="7EC21017" w:rsidR="00811940" w:rsidRPr="00FA1C0C" w:rsidRDefault="00811940" w:rsidP="00811940">
            <w:pPr>
              <w:keepNext/>
              <w:jc w:val="right"/>
              <w:rPr>
                <w:color w:val="000000"/>
                <w:sz w:val="18"/>
                <w:szCs w:val="20"/>
              </w:rPr>
            </w:pPr>
            <w:r w:rsidRPr="00297693">
              <w:rPr>
                <w:color w:val="000000"/>
                <w:sz w:val="18"/>
                <w:szCs w:val="20"/>
              </w:rPr>
              <w:t>5,900,730</w:t>
            </w:r>
          </w:p>
        </w:tc>
        <w:tc>
          <w:tcPr>
            <w:tcW w:w="1605" w:type="dxa"/>
            <w:tcBorders>
              <w:top w:val="nil"/>
              <w:left w:val="nil"/>
              <w:bottom w:val="single" w:sz="4" w:space="0" w:color="auto"/>
              <w:right w:val="single" w:sz="4" w:space="0" w:color="auto"/>
            </w:tcBorders>
            <w:shd w:val="clear" w:color="auto" w:fill="auto"/>
            <w:vAlign w:val="center"/>
          </w:tcPr>
          <w:p w14:paraId="2F4D8B6A" w14:textId="1D72BAAD" w:rsidR="00811940" w:rsidRPr="00FA1C0C" w:rsidRDefault="00811940" w:rsidP="00811940">
            <w:pPr>
              <w:keepNext/>
              <w:jc w:val="right"/>
              <w:rPr>
                <w:color w:val="000000"/>
                <w:sz w:val="18"/>
                <w:szCs w:val="20"/>
              </w:rPr>
            </w:pPr>
          </w:p>
        </w:tc>
      </w:tr>
      <w:tr w:rsidR="00811940" w:rsidRPr="00E80EE2" w14:paraId="5C702B6E" w14:textId="77777777" w:rsidTr="00811940">
        <w:trPr>
          <w:trHeight w:val="259"/>
        </w:trPr>
        <w:tc>
          <w:tcPr>
            <w:tcW w:w="3420" w:type="dxa"/>
            <w:tcBorders>
              <w:top w:val="single" w:sz="4" w:space="0" w:color="auto"/>
              <w:left w:val="single" w:sz="4" w:space="0" w:color="auto"/>
              <w:bottom w:val="nil"/>
              <w:right w:val="nil"/>
            </w:tcBorders>
          </w:tcPr>
          <w:p w14:paraId="32005F73" w14:textId="77777777" w:rsidR="00811940" w:rsidRPr="00E80EE2" w:rsidRDefault="00811940" w:rsidP="00811940">
            <w:pPr>
              <w:rPr>
                <w:sz w:val="18"/>
                <w:szCs w:val="20"/>
              </w:rPr>
            </w:pPr>
            <w:r w:rsidRPr="00E80EE2">
              <w:rPr>
                <w:sz w:val="18"/>
                <w:szCs w:val="20"/>
              </w:rPr>
              <w:lastRenderedPageBreak/>
              <w:t>Student Services</w:t>
            </w:r>
          </w:p>
        </w:tc>
        <w:tc>
          <w:tcPr>
            <w:tcW w:w="1975" w:type="dxa"/>
            <w:tcBorders>
              <w:top w:val="single" w:sz="4" w:space="0" w:color="auto"/>
              <w:left w:val="nil"/>
              <w:bottom w:val="nil"/>
              <w:right w:val="nil"/>
            </w:tcBorders>
            <w:vAlign w:val="center"/>
          </w:tcPr>
          <w:p w14:paraId="09ECD8D5" w14:textId="5679926C" w:rsidR="00811940" w:rsidRPr="00E80EE2" w:rsidRDefault="00811940" w:rsidP="00811940">
            <w:pPr>
              <w:jc w:val="right"/>
              <w:rPr>
                <w:sz w:val="18"/>
                <w:szCs w:val="20"/>
              </w:rPr>
            </w:pPr>
            <w:r w:rsidRPr="00B570EE">
              <w:rPr>
                <w:sz w:val="18"/>
                <w:szCs w:val="22"/>
              </w:rPr>
              <w:t xml:space="preserve">20,198,874 </w:t>
            </w:r>
          </w:p>
        </w:tc>
        <w:tc>
          <w:tcPr>
            <w:tcW w:w="1530" w:type="dxa"/>
            <w:tcBorders>
              <w:top w:val="single" w:sz="4" w:space="0" w:color="auto"/>
              <w:left w:val="nil"/>
              <w:bottom w:val="nil"/>
              <w:right w:val="nil"/>
            </w:tcBorders>
            <w:vAlign w:val="center"/>
          </w:tcPr>
          <w:p w14:paraId="5E470E89" w14:textId="10F31CD1" w:rsidR="00811940" w:rsidRPr="00E80EE2" w:rsidRDefault="00811940" w:rsidP="00811940">
            <w:pPr>
              <w:jc w:val="right"/>
              <w:rPr>
                <w:sz w:val="18"/>
                <w:szCs w:val="20"/>
              </w:rPr>
            </w:pPr>
            <w:r w:rsidRPr="00FA1C0C">
              <w:rPr>
                <w:color w:val="000000"/>
                <w:sz w:val="18"/>
                <w:szCs w:val="20"/>
              </w:rPr>
              <w:t>20,933,265</w:t>
            </w:r>
          </w:p>
        </w:tc>
        <w:tc>
          <w:tcPr>
            <w:tcW w:w="1530" w:type="dxa"/>
            <w:tcBorders>
              <w:top w:val="single" w:sz="4" w:space="0" w:color="auto"/>
              <w:left w:val="nil"/>
              <w:bottom w:val="nil"/>
              <w:right w:val="nil"/>
            </w:tcBorders>
            <w:vAlign w:val="center"/>
          </w:tcPr>
          <w:p w14:paraId="67058F95" w14:textId="59A540C3" w:rsidR="00811940" w:rsidRPr="008B6187" w:rsidRDefault="00811940" w:rsidP="00811940">
            <w:pPr>
              <w:jc w:val="right"/>
              <w:rPr>
                <w:sz w:val="18"/>
                <w:szCs w:val="20"/>
              </w:rPr>
            </w:pPr>
            <w:r w:rsidRPr="00297693">
              <w:rPr>
                <w:color w:val="000000"/>
                <w:sz w:val="18"/>
                <w:szCs w:val="20"/>
              </w:rPr>
              <w:t>18,539,063</w:t>
            </w:r>
          </w:p>
        </w:tc>
        <w:tc>
          <w:tcPr>
            <w:tcW w:w="1605" w:type="dxa"/>
            <w:tcBorders>
              <w:top w:val="single" w:sz="4" w:space="0" w:color="auto"/>
              <w:left w:val="nil"/>
              <w:bottom w:val="nil"/>
              <w:right w:val="single" w:sz="4" w:space="0" w:color="auto"/>
            </w:tcBorders>
            <w:shd w:val="clear" w:color="auto" w:fill="auto"/>
            <w:vAlign w:val="center"/>
          </w:tcPr>
          <w:p w14:paraId="0E1BF628" w14:textId="08D13BB1" w:rsidR="00811940" w:rsidRPr="00FA1C0C" w:rsidRDefault="00811940" w:rsidP="00811940">
            <w:pPr>
              <w:keepNext/>
              <w:jc w:val="right"/>
              <w:rPr>
                <w:color w:val="000000"/>
                <w:sz w:val="18"/>
                <w:szCs w:val="20"/>
              </w:rPr>
            </w:pPr>
          </w:p>
        </w:tc>
      </w:tr>
      <w:tr w:rsidR="00811940" w:rsidRPr="00E80EE2" w14:paraId="7B51DCCC" w14:textId="77777777" w:rsidTr="00F032BF">
        <w:trPr>
          <w:trHeight w:val="259"/>
        </w:trPr>
        <w:tc>
          <w:tcPr>
            <w:tcW w:w="3420" w:type="dxa"/>
            <w:tcBorders>
              <w:top w:val="nil"/>
              <w:left w:val="single" w:sz="4" w:space="0" w:color="auto"/>
              <w:bottom w:val="nil"/>
              <w:right w:val="nil"/>
            </w:tcBorders>
          </w:tcPr>
          <w:p w14:paraId="563EF998" w14:textId="77777777" w:rsidR="00811940" w:rsidRPr="00E80EE2" w:rsidRDefault="00811940" w:rsidP="00811940">
            <w:pPr>
              <w:rPr>
                <w:sz w:val="18"/>
                <w:szCs w:val="20"/>
              </w:rPr>
            </w:pPr>
            <w:r w:rsidRPr="00E80EE2">
              <w:rPr>
                <w:sz w:val="18"/>
                <w:szCs w:val="20"/>
              </w:rPr>
              <w:t>Operation &amp; Maintenance of plant</w:t>
            </w:r>
          </w:p>
        </w:tc>
        <w:tc>
          <w:tcPr>
            <w:tcW w:w="1975" w:type="dxa"/>
            <w:tcBorders>
              <w:top w:val="nil"/>
              <w:left w:val="nil"/>
              <w:bottom w:val="nil"/>
              <w:right w:val="nil"/>
            </w:tcBorders>
            <w:vAlign w:val="center"/>
          </w:tcPr>
          <w:p w14:paraId="63D5FF5E" w14:textId="33B25394" w:rsidR="00811940" w:rsidRPr="00E80EE2" w:rsidRDefault="00811940" w:rsidP="00811940">
            <w:pPr>
              <w:jc w:val="right"/>
              <w:rPr>
                <w:sz w:val="18"/>
                <w:szCs w:val="20"/>
              </w:rPr>
            </w:pPr>
            <w:r w:rsidRPr="00B570EE">
              <w:rPr>
                <w:sz w:val="18"/>
                <w:szCs w:val="22"/>
              </w:rPr>
              <w:t xml:space="preserve">21,641,435 </w:t>
            </w:r>
          </w:p>
        </w:tc>
        <w:tc>
          <w:tcPr>
            <w:tcW w:w="1530" w:type="dxa"/>
            <w:tcBorders>
              <w:top w:val="nil"/>
              <w:left w:val="nil"/>
              <w:bottom w:val="nil"/>
              <w:right w:val="nil"/>
            </w:tcBorders>
            <w:vAlign w:val="center"/>
          </w:tcPr>
          <w:p w14:paraId="23B2B289" w14:textId="5B3D2D54" w:rsidR="00811940" w:rsidRPr="00E80EE2" w:rsidRDefault="00811940" w:rsidP="00811940">
            <w:pPr>
              <w:jc w:val="right"/>
              <w:rPr>
                <w:sz w:val="18"/>
                <w:szCs w:val="20"/>
              </w:rPr>
            </w:pPr>
            <w:r w:rsidRPr="00FA1C0C">
              <w:rPr>
                <w:color w:val="000000"/>
                <w:sz w:val="18"/>
                <w:szCs w:val="20"/>
              </w:rPr>
              <w:t>27,359,524</w:t>
            </w:r>
          </w:p>
        </w:tc>
        <w:tc>
          <w:tcPr>
            <w:tcW w:w="1530" w:type="dxa"/>
            <w:tcBorders>
              <w:top w:val="nil"/>
              <w:left w:val="nil"/>
              <w:bottom w:val="nil"/>
              <w:right w:val="nil"/>
            </w:tcBorders>
            <w:vAlign w:val="center"/>
          </w:tcPr>
          <w:p w14:paraId="1977EF23" w14:textId="5500E42E" w:rsidR="00811940" w:rsidRPr="008B6187" w:rsidRDefault="00811940" w:rsidP="00811940">
            <w:pPr>
              <w:jc w:val="right"/>
              <w:rPr>
                <w:sz w:val="18"/>
                <w:szCs w:val="20"/>
              </w:rPr>
            </w:pPr>
            <w:r w:rsidRPr="00297693">
              <w:rPr>
                <w:color w:val="000000"/>
                <w:sz w:val="18"/>
                <w:szCs w:val="20"/>
              </w:rPr>
              <w:t>26,332,090</w:t>
            </w:r>
          </w:p>
        </w:tc>
        <w:tc>
          <w:tcPr>
            <w:tcW w:w="1605" w:type="dxa"/>
            <w:tcBorders>
              <w:top w:val="nil"/>
              <w:left w:val="nil"/>
              <w:bottom w:val="nil"/>
              <w:right w:val="single" w:sz="4" w:space="0" w:color="auto"/>
            </w:tcBorders>
            <w:shd w:val="clear" w:color="auto" w:fill="auto"/>
            <w:vAlign w:val="center"/>
          </w:tcPr>
          <w:p w14:paraId="09392FDD" w14:textId="31BC215F" w:rsidR="00811940" w:rsidRPr="00FA1C0C" w:rsidRDefault="00811940" w:rsidP="00811940">
            <w:pPr>
              <w:keepNext/>
              <w:jc w:val="right"/>
              <w:rPr>
                <w:color w:val="000000"/>
                <w:sz w:val="18"/>
                <w:szCs w:val="20"/>
              </w:rPr>
            </w:pPr>
          </w:p>
        </w:tc>
      </w:tr>
      <w:tr w:rsidR="00811940" w:rsidRPr="00E80EE2" w14:paraId="5601C7A7" w14:textId="77777777" w:rsidTr="00F032BF">
        <w:trPr>
          <w:trHeight w:val="259"/>
        </w:trPr>
        <w:tc>
          <w:tcPr>
            <w:tcW w:w="3420" w:type="dxa"/>
            <w:tcBorders>
              <w:top w:val="nil"/>
              <w:left w:val="single" w:sz="4" w:space="0" w:color="auto"/>
              <w:bottom w:val="nil"/>
              <w:right w:val="nil"/>
            </w:tcBorders>
          </w:tcPr>
          <w:p w14:paraId="0E908A27" w14:textId="77777777" w:rsidR="00811940" w:rsidRPr="00E80EE2" w:rsidRDefault="00811940" w:rsidP="00811940">
            <w:pPr>
              <w:rPr>
                <w:sz w:val="18"/>
                <w:szCs w:val="20"/>
              </w:rPr>
            </w:pPr>
            <w:r w:rsidRPr="00E80EE2">
              <w:rPr>
                <w:sz w:val="18"/>
                <w:szCs w:val="20"/>
              </w:rPr>
              <w:t>Institutional Support</w:t>
            </w:r>
          </w:p>
        </w:tc>
        <w:tc>
          <w:tcPr>
            <w:tcW w:w="1975" w:type="dxa"/>
            <w:tcBorders>
              <w:top w:val="nil"/>
              <w:left w:val="nil"/>
              <w:bottom w:val="nil"/>
              <w:right w:val="nil"/>
            </w:tcBorders>
            <w:vAlign w:val="center"/>
          </w:tcPr>
          <w:p w14:paraId="7A86A7E7" w14:textId="1E3E8B6F" w:rsidR="00811940" w:rsidRPr="00E80EE2" w:rsidRDefault="00811940" w:rsidP="00811940">
            <w:pPr>
              <w:jc w:val="right"/>
              <w:rPr>
                <w:sz w:val="18"/>
                <w:szCs w:val="20"/>
              </w:rPr>
            </w:pPr>
            <w:r w:rsidRPr="00B570EE">
              <w:rPr>
                <w:sz w:val="18"/>
                <w:szCs w:val="22"/>
              </w:rPr>
              <w:t xml:space="preserve">32,412,902 </w:t>
            </w:r>
          </w:p>
        </w:tc>
        <w:tc>
          <w:tcPr>
            <w:tcW w:w="1530" w:type="dxa"/>
            <w:tcBorders>
              <w:top w:val="nil"/>
              <w:left w:val="nil"/>
              <w:bottom w:val="nil"/>
              <w:right w:val="nil"/>
            </w:tcBorders>
            <w:vAlign w:val="center"/>
          </w:tcPr>
          <w:p w14:paraId="1AE44899" w14:textId="6077E92E" w:rsidR="00811940" w:rsidRPr="00E80EE2" w:rsidRDefault="00811940" w:rsidP="00811940">
            <w:pPr>
              <w:jc w:val="right"/>
              <w:rPr>
                <w:sz w:val="18"/>
                <w:szCs w:val="20"/>
              </w:rPr>
            </w:pPr>
            <w:r w:rsidRPr="00FA1C0C">
              <w:rPr>
                <w:color w:val="000000"/>
                <w:sz w:val="18"/>
                <w:szCs w:val="20"/>
              </w:rPr>
              <w:t xml:space="preserve">34,074,154 </w:t>
            </w:r>
          </w:p>
        </w:tc>
        <w:tc>
          <w:tcPr>
            <w:tcW w:w="1530" w:type="dxa"/>
            <w:tcBorders>
              <w:top w:val="nil"/>
              <w:left w:val="nil"/>
              <w:bottom w:val="nil"/>
              <w:right w:val="nil"/>
            </w:tcBorders>
            <w:vAlign w:val="center"/>
          </w:tcPr>
          <w:p w14:paraId="42C1DCD7" w14:textId="73396AF7" w:rsidR="00811940" w:rsidRPr="008B6187" w:rsidRDefault="00811940" w:rsidP="00811940">
            <w:pPr>
              <w:jc w:val="right"/>
              <w:rPr>
                <w:sz w:val="18"/>
                <w:szCs w:val="20"/>
              </w:rPr>
            </w:pPr>
            <w:r w:rsidRPr="00297693">
              <w:rPr>
                <w:color w:val="000000"/>
                <w:sz w:val="18"/>
                <w:szCs w:val="20"/>
              </w:rPr>
              <w:t>36,931,656</w:t>
            </w:r>
          </w:p>
        </w:tc>
        <w:tc>
          <w:tcPr>
            <w:tcW w:w="1605" w:type="dxa"/>
            <w:tcBorders>
              <w:top w:val="nil"/>
              <w:left w:val="nil"/>
              <w:bottom w:val="nil"/>
              <w:right w:val="single" w:sz="4" w:space="0" w:color="auto"/>
            </w:tcBorders>
            <w:shd w:val="clear" w:color="auto" w:fill="auto"/>
            <w:vAlign w:val="center"/>
          </w:tcPr>
          <w:p w14:paraId="7C2C70F9" w14:textId="0B8ECDBB" w:rsidR="00811940" w:rsidRPr="00FA1C0C" w:rsidRDefault="00811940" w:rsidP="00811940">
            <w:pPr>
              <w:keepNext/>
              <w:jc w:val="right"/>
              <w:rPr>
                <w:color w:val="000000"/>
                <w:sz w:val="18"/>
                <w:szCs w:val="20"/>
              </w:rPr>
            </w:pPr>
          </w:p>
        </w:tc>
      </w:tr>
      <w:tr w:rsidR="00811940" w:rsidRPr="00E80EE2" w14:paraId="776DEDEA" w14:textId="77777777" w:rsidTr="00F032BF">
        <w:trPr>
          <w:trHeight w:val="259"/>
        </w:trPr>
        <w:tc>
          <w:tcPr>
            <w:tcW w:w="3420" w:type="dxa"/>
            <w:tcBorders>
              <w:top w:val="nil"/>
              <w:left w:val="single" w:sz="4" w:space="0" w:color="auto"/>
              <w:bottom w:val="nil"/>
              <w:right w:val="nil"/>
            </w:tcBorders>
          </w:tcPr>
          <w:p w14:paraId="1D55395F" w14:textId="77777777" w:rsidR="00811940" w:rsidRPr="00E80EE2" w:rsidRDefault="00811940" w:rsidP="00811940">
            <w:pPr>
              <w:rPr>
                <w:sz w:val="18"/>
                <w:szCs w:val="20"/>
              </w:rPr>
            </w:pPr>
            <w:r w:rsidRPr="00E80EE2">
              <w:rPr>
                <w:sz w:val="18"/>
                <w:szCs w:val="20"/>
              </w:rPr>
              <w:t>Academic Support</w:t>
            </w:r>
          </w:p>
        </w:tc>
        <w:tc>
          <w:tcPr>
            <w:tcW w:w="1975" w:type="dxa"/>
            <w:tcBorders>
              <w:top w:val="nil"/>
              <w:left w:val="nil"/>
              <w:bottom w:val="nil"/>
              <w:right w:val="nil"/>
            </w:tcBorders>
            <w:vAlign w:val="center"/>
          </w:tcPr>
          <w:p w14:paraId="5739AFC9" w14:textId="7CC97D16" w:rsidR="00811940" w:rsidRPr="00E80EE2" w:rsidRDefault="00811940" w:rsidP="00811940">
            <w:pPr>
              <w:jc w:val="right"/>
              <w:rPr>
                <w:sz w:val="18"/>
                <w:szCs w:val="20"/>
              </w:rPr>
            </w:pPr>
            <w:r w:rsidRPr="00B570EE">
              <w:rPr>
                <w:sz w:val="18"/>
                <w:szCs w:val="22"/>
              </w:rPr>
              <w:t xml:space="preserve">31,183,237 </w:t>
            </w:r>
          </w:p>
        </w:tc>
        <w:tc>
          <w:tcPr>
            <w:tcW w:w="1530" w:type="dxa"/>
            <w:tcBorders>
              <w:top w:val="nil"/>
              <w:left w:val="nil"/>
              <w:bottom w:val="nil"/>
              <w:right w:val="nil"/>
            </w:tcBorders>
            <w:vAlign w:val="center"/>
          </w:tcPr>
          <w:p w14:paraId="5B19966C" w14:textId="58D0C2D5" w:rsidR="00811940" w:rsidRPr="00E80EE2" w:rsidRDefault="00811940" w:rsidP="00811940">
            <w:pPr>
              <w:jc w:val="right"/>
              <w:rPr>
                <w:sz w:val="18"/>
                <w:szCs w:val="20"/>
              </w:rPr>
            </w:pPr>
            <w:r w:rsidRPr="00FA1C0C">
              <w:rPr>
                <w:color w:val="000000"/>
                <w:sz w:val="18"/>
                <w:szCs w:val="20"/>
              </w:rPr>
              <w:t>32,434,522</w:t>
            </w:r>
          </w:p>
        </w:tc>
        <w:tc>
          <w:tcPr>
            <w:tcW w:w="1530" w:type="dxa"/>
            <w:tcBorders>
              <w:top w:val="nil"/>
              <w:left w:val="nil"/>
              <w:bottom w:val="nil"/>
              <w:right w:val="nil"/>
            </w:tcBorders>
            <w:vAlign w:val="center"/>
          </w:tcPr>
          <w:p w14:paraId="7FAC965B" w14:textId="5BCF395F" w:rsidR="00811940" w:rsidRPr="008B6187" w:rsidRDefault="00811940" w:rsidP="00811940">
            <w:pPr>
              <w:jc w:val="right"/>
              <w:rPr>
                <w:sz w:val="18"/>
                <w:szCs w:val="20"/>
              </w:rPr>
            </w:pPr>
            <w:r w:rsidRPr="00297693">
              <w:rPr>
                <w:color w:val="000000"/>
                <w:sz w:val="18"/>
                <w:szCs w:val="20"/>
              </w:rPr>
              <w:t>32,485,747</w:t>
            </w:r>
          </w:p>
        </w:tc>
        <w:tc>
          <w:tcPr>
            <w:tcW w:w="1605" w:type="dxa"/>
            <w:tcBorders>
              <w:top w:val="nil"/>
              <w:left w:val="nil"/>
              <w:bottom w:val="nil"/>
              <w:right w:val="single" w:sz="4" w:space="0" w:color="auto"/>
            </w:tcBorders>
            <w:shd w:val="clear" w:color="auto" w:fill="auto"/>
            <w:vAlign w:val="center"/>
          </w:tcPr>
          <w:p w14:paraId="4EC611F8" w14:textId="0A6BBB49" w:rsidR="00811940" w:rsidRPr="00FA1C0C" w:rsidRDefault="00811940" w:rsidP="00811940">
            <w:pPr>
              <w:keepNext/>
              <w:jc w:val="right"/>
              <w:rPr>
                <w:color w:val="000000"/>
                <w:sz w:val="18"/>
                <w:szCs w:val="20"/>
              </w:rPr>
            </w:pPr>
          </w:p>
        </w:tc>
      </w:tr>
      <w:tr w:rsidR="00811940" w:rsidRPr="00E80EE2" w14:paraId="22C09A31" w14:textId="77777777" w:rsidTr="00F032BF">
        <w:trPr>
          <w:trHeight w:val="259"/>
        </w:trPr>
        <w:tc>
          <w:tcPr>
            <w:tcW w:w="3420" w:type="dxa"/>
            <w:tcBorders>
              <w:top w:val="nil"/>
              <w:left w:val="single" w:sz="4" w:space="0" w:color="auto"/>
              <w:bottom w:val="nil"/>
              <w:right w:val="nil"/>
            </w:tcBorders>
          </w:tcPr>
          <w:p w14:paraId="4F4D2E68" w14:textId="77777777" w:rsidR="00811940" w:rsidRPr="00E80EE2" w:rsidRDefault="00811940" w:rsidP="00811940">
            <w:pPr>
              <w:rPr>
                <w:sz w:val="18"/>
                <w:szCs w:val="20"/>
              </w:rPr>
            </w:pPr>
            <w:r w:rsidRPr="00E80EE2">
              <w:rPr>
                <w:sz w:val="18"/>
                <w:szCs w:val="20"/>
              </w:rPr>
              <w:t>Auxiliary Enterprises</w:t>
            </w:r>
          </w:p>
        </w:tc>
        <w:tc>
          <w:tcPr>
            <w:tcW w:w="1975" w:type="dxa"/>
            <w:tcBorders>
              <w:top w:val="nil"/>
              <w:left w:val="nil"/>
              <w:bottom w:val="nil"/>
              <w:right w:val="nil"/>
            </w:tcBorders>
            <w:vAlign w:val="center"/>
          </w:tcPr>
          <w:p w14:paraId="7A4D037C" w14:textId="37D8E31B" w:rsidR="00811940" w:rsidRPr="00E80EE2" w:rsidRDefault="00811940" w:rsidP="00811940">
            <w:pPr>
              <w:jc w:val="right"/>
              <w:rPr>
                <w:sz w:val="18"/>
                <w:szCs w:val="20"/>
              </w:rPr>
            </w:pPr>
            <w:r w:rsidRPr="00B570EE">
              <w:rPr>
                <w:sz w:val="18"/>
                <w:szCs w:val="22"/>
              </w:rPr>
              <w:t xml:space="preserve">75,270,328 </w:t>
            </w:r>
          </w:p>
        </w:tc>
        <w:tc>
          <w:tcPr>
            <w:tcW w:w="1530" w:type="dxa"/>
            <w:tcBorders>
              <w:top w:val="nil"/>
              <w:left w:val="nil"/>
              <w:bottom w:val="nil"/>
              <w:right w:val="nil"/>
            </w:tcBorders>
            <w:vAlign w:val="center"/>
          </w:tcPr>
          <w:p w14:paraId="778BA055" w14:textId="168D4460" w:rsidR="00811940" w:rsidRPr="00E80EE2" w:rsidRDefault="00811940" w:rsidP="00811940">
            <w:pPr>
              <w:jc w:val="right"/>
              <w:rPr>
                <w:sz w:val="18"/>
                <w:szCs w:val="20"/>
              </w:rPr>
            </w:pPr>
            <w:r w:rsidRPr="00FA1C0C">
              <w:rPr>
                <w:color w:val="000000"/>
                <w:sz w:val="18"/>
                <w:szCs w:val="20"/>
              </w:rPr>
              <w:t>74,189,656</w:t>
            </w:r>
          </w:p>
        </w:tc>
        <w:tc>
          <w:tcPr>
            <w:tcW w:w="1530" w:type="dxa"/>
            <w:tcBorders>
              <w:top w:val="nil"/>
              <w:left w:val="nil"/>
              <w:bottom w:val="nil"/>
              <w:right w:val="nil"/>
            </w:tcBorders>
            <w:vAlign w:val="center"/>
          </w:tcPr>
          <w:p w14:paraId="4292D97C" w14:textId="4484C7E1" w:rsidR="00811940" w:rsidRPr="008B6187" w:rsidRDefault="00811940" w:rsidP="00811940">
            <w:pPr>
              <w:jc w:val="right"/>
              <w:rPr>
                <w:sz w:val="18"/>
                <w:szCs w:val="20"/>
              </w:rPr>
            </w:pPr>
            <w:r w:rsidRPr="00297693">
              <w:rPr>
                <w:color w:val="000000"/>
                <w:sz w:val="18"/>
                <w:szCs w:val="20"/>
              </w:rPr>
              <w:t>62,938,076</w:t>
            </w:r>
          </w:p>
        </w:tc>
        <w:tc>
          <w:tcPr>
            <w:tcW w:w="1605" w:type="dxa"/>
            <w:tcBorders>
              <w:top w:val="nil"/>
              <w:left w:val="nil"/>
              <w:bottom w:val="nil"/>
              <w:right w:val="single" w:sz="4" w:space="0" w:color="auto"/>
            </w:tcBorders>
            <w:shd w:val="clear" w:color="auto" w:fill="auto"/>
            <w:vAlign w:val="center"/>
          </w:tcPr>
          <w:p w14:paraId="71AD761C" w14:textId="54F96AEF" w:rsidR="00811940" w:rsidRPr="00FA1C0C" w:rsidRDefault="00811940" w:rsidP="00811940">
            <w:pPr>
              <w:keepNext/>
              <w:jc w:val="right"/>
              <w:rPr>
                <w:color w:val="000000"/>
                <w:sz w:val="18"/>
                <w:szCs w:val="20"/>
              </w:rPr>
            </w:pPr>
          </w:p>
        </w:tc>
      </w:tr>
      <w:tr w:rsidR="00811940" w:rsidRPr="00E80EE2" w14:paraId="03E475FE" w14:textId="77777777" w:rsidTr="00F032BF">
        <w:trPr>
          <w:trHeight w:val="259"/>
        </w:trPr>
        <w:tc>
          <w:tcPr>
            <w:tcW w:w="3420" w:type="dxa"/>
            <w:tcBorders>
              <w:top w:val="nil"/>
              <w:left w:val="single" w:sz="4" w:space="0" w:color="auto"/>
              <w:bottom w:val="nil"/>
              <w:right w:val="nil"/>
            </w:tcBorders>
          </w:tcPr>
          <w:p w14:paraId="51E80C30" w14:textId="77777777" w:rsidR="00811940" w:rsidRPr="00E80EE2" w:rsidRDefault="00811940" w:rsidP="00811940">
            <w:pPr>
              <w:rPr>
                <w:sz w:val="18"/>
                <w:szCs w:val="20"/>
              </w:rPr>
            </w:pPr>
            <w:r w:rsidRPr="00E80EE2">
              <w:rPr>
                <w:sz w:val="18"/>
                <w:szCs w:val="20"/>
              </w:rPr>
              <w:t>Scholarships and Fellowships</w:t>
            </w:r>
          </w:p>
        </w:tc>
        <w:tc>
          <w:tcPr>
            <w:tcW w:w="1975" w:type="dxa"/>
            <w:tcBorders>
              <w:top w:val="nil"/>
              <w:left w:val="nil"/>
              <w:bottom w:val="nil"/>
              <w:right w:val="nil"/>
            </w:tcBorders>
            <w:vAlign w:val="center"/>
          </w:tcPr>
          <w:p w14:paraId="36D6A87B" w14:textId="34F4D4A3" w:rsidR="00811940" w:rsidRPr="00E80EE2" w:rsidRDefault="00811940" w:rsidP="00811940">
            <w:pPr>
              <w:jc w:val="right"/>
              <w:rPr>
                <w:sz w:val="18"/>
                <w:szCs w:val="20"/>
              </w:rPr>
            </w:pPr>
            <w:r w:rsidRPr="00B570EE">
              <w:rPr>
                <w:sz w:val="18"/>
                <w:szCs w:val="22"/>
              </w:rPr>
              <w:t xml:space="preserve">11,972,205 </w:t>
            </w:r>
          </w:p>
        </w:tc>
        <w:tc>
          <w:tcPr>
            <w:tcW w:w="1530" w:type="dxa"/>
            <w:tcBorders>
              <w:top w:val="nil"/>
              <w:left w:val="nil"/>
              <w:bottom w:val="nil"/>
              <w:right w:val="nil"/>
            </w:tcBorders>
            <w:vAlign w:val="center"/>
          </w:tcPr>
          <w:p w14:paraId="640A552B" w14:textId="2F8E3926" w:rsidR="00811940" w:rsidRPr="00E80EE2" w:rsidRDefault="00811940" w:rsidP="00811940">
            <w:pPr>
              <w:jc w:val="right"/>
              <w:rPr>
                <w:sz w:val="18"/>
                <w:szCs w:val="20"/>
              </w:rPr>
            </w:pPr>
            <w:r w:rsidRPr="00FA1C0C">
              <w:rPr>
                <w:color w:val="000000"/>
                <w:sz w:val="18"/>
                <w:szCs w:val="20"/>
              </w:rPr>
              <w:t>18,384,851</w:t>
            </w:r>
          </w:p>
        </w:tc>
        <w:tc>
          <w:tcPr>
            <w:tcW w:w="1530" w:type="dxa"/>
            <w:tcBorders>
              <w:top w:val="nil"/>
              <w:left w:val="nil"/>
              <w:bottom w:val="nil"/>
              <w:right w:val="nil"/>
            </w:tcBorders>
            <w:vAlign w:val="center"/>
          </w:tcPr>
          <w:p w14:paraId="7B722E54" w14:textId="7E3328AA" w:rsidR="00811940" w:rsidRPr="008B6187" w:rsidRDefault="00811940" w:rsidP="00811940">
            <w:pPr>
              <w:jc w:val="right"/>
              <w:rPr>
                <w:sz w:val="18"/>
                <w:szCs w:val="20"/>
              </w:rPr>
            </w:pPr>
            <w:r w:rsidRPr="00297693">
              <w:rPr>
                <w:color w:val="000000"/>
                <w:sz w:val="18"/>
                <w:szCs w:val="20"/>
              </w:rPr>
              <w:t>18,218,665</w:t>
            </w:r>
          </w:p>
        </w:tc>
        <w:tc>
          <w:tcPr>
            <w:tcW w:w="1605" w:type="dxa"/>
            <w:tcBorders>
              <w:top w:val="nil"/>
              <w:left w:val="nil"/>
              <w:bottom w:val="nil"/>
              <w:right w:val="single" w:sz="4" w:space="0" w:color="auto"/>
            </w:tcBorders>
            <w:shd w:val="clear" w:color="auto" w:fill="auto"/>
            <w:vAlign w:val="center"/>
          </w:tcPr>
          <w:p w14:paraId="4256F78F" w14:textId="1133F79D" w:rsidR="00811940" w:rsidRPr="00FA1C0C" w:rsidRDefault="00811940" w:rsidP="00811940">
            <w:pPr>
              <w:keepNext/>
              <w:jc w:val="right"/>
              <w:rPr>
                <w:color w:val="000000"/>
                <w:sz w:val="18"/>
                <w:szCs w:val="20"/>
              </w:rPr>
            </w:pPr>
          </w:p>
        </w:tc>
      </w:tr>
      <w:tr w:rsidR="00811940" w:rsidRPr="00E80EE2" w14:paraId="06090CE5" w14:textId="77777777" w:rsidTr="00F032BF">
        <w:trPr>
          <w:trHeight w:val="259"/>
        </w:trPr>
        <w:tc>
          <w:tcPr>
            <w:tcW w:w="3420" w:type="dxa"/>
            <w:tcBorders>
              <w:top w:val="nil"/>
              <w:left w:val="single" w:sz="4" w:space="0" w:color="auto"/>
              <w:bottom w:val="nil"/>
              <w:right w:val="nil"/>
            </w:tcBorders>
          </w:tcPr>
          <w:p w14:paraId="6E8F3CF4" w14:textId="77777777" w:rsidR="00811940" w:rsidRPr="00E80EE2" w:rsidRDefault="00811940" w:rsidP="00811940">
            <w:pPr>
              <w:rPr>
                <w:sz w:val="18"/>
                <w:szCs w:val="20"/>
              </w:rPr>
            </w:pPr>
            <w:r w:rsidRPr="00E80EE2">
              <w:rPr>
                <w:sz w:val="18"/>
                <w:szCs w:val="20"/>
              </w:rPr>
              <w:t>Depreciation</w:t>
            </w:r>
          </w:p>
        </w:tc>
        <w:tc>
          <w:tcPr>
            <w:tcW w:w="1975" w:type="dxa"/>
            <w:tcBorders>
              <w:top w:val="nil"/>
              <w:left w:val="nil"/>
              <w:bottom w:val="nil"/>
              <w:right w:val="nil"/>
            </w:tcBorders>
            <w:vAlign w:val="center"/>
          </w:tcPr>
          <w:p w14:paraId="4C36EADD" w14:textId="0BABF500" w:rsidR="00811940" w:rsidRPr="00E80EE2" w:rsidRDefault="00811940" w:rsidP="00811940">
            <w:pPr>
              <w:jc w:val="right"/>
              <w:rPr>
                <w:sz w:val="18"/>
                <w:szCs w:val="20"/>
              </w:rPr>
            </w:pPr>
            <w:r w:rsidRPr="00B570EE">
              <w:rPr>
                <w:sz w:val="18"/>
                <w:szCs w:val="22"/>
              </w:rPr>
              <w:t xml:space="preserve">26,359,987 </w:t>
            </w:r>
          </w:p>
        </w:tc>
        <w:tc>
          <w:tcPr>
            <w:tcW w:w="1530" w:type="dxa"/>
            <w:tcBorders>
              <w:top w:val="nil"/>
              <w:left w:val="nil"/>
              <w:bottom w:val="nil"/>
              <w:right w:val="nil"/>
            </w:tcBorders>
            <w:vAlign w:val="center"/>
          </w:tcPr>
          <w:p w14:paraId="71DCFED8" w14:textId="5EE2C290" w:rsidR="00811940" w:rsidRPr="00E80EE2" w:rsidRDefault="00811940" w:rsidP="00811940">
            <w:pPr>
              <w:jc w:val="right"/>
              <w:rPr>
                <w:sz w:val="18"/>
                <w:szCs w:val="20"/>
              </w:rPr>
            </w:pPr>
            <w:r w:rsidRPr="00FA1C0C">
              <w:rPr>
                <w:color w:val="000000"/>
                <w:sz w:val="18"/>
                <w:szCs w:val="20"/>
              </w:rPr>
              <w:t xml:space="preserve">26,623,055 </w:t>
            </w:r>
          </w:p>
        </w:tc>
        <w:tc>
          <w:tcPr>
            <w:tcW w:w="1530" w:type="dxa"/>
            <w:tcBorders>
              <w:top w:val="nil"/>
              <w:left w:val="nil"/>
              <w:bottom w:val="nil"/>
              <w:right w:val="nil"/>
            </w:tcBorders>
            <w:vAlign w:val="center"/>
          </w:tcPr>
          <w:p w14:paraId="46298726" w14:textId="3C4EE5AE" w:rsidR="00811940" w:rsidRPr="008B6187" w:rsidRDefault="00811940" w:rsidP="00811940">
            <w:pPr>
              <w:jc w:val="right"/>
              <w:rPr>
                <w:sz w:val="18"/>
                <w:szCs w:val="20"/>
              </w:rPr>
            </w:pPr>
            <w:r w:rsidRPr="00297693">
              <w:rPr>
                <w:color w:val="000000"/>
                <w:sz w:val="18"/>
                <w:szCs w:val="20"/>
              </w:rPr>
              <w:t>26,667,709</w:t>
            </w:r>
          </w:p>
        </w:tc>
        <w:tc>
          <w:tcPr>
            <w:tcW w:w="1605" w:type="dxa"/>
            <w:tcBorders>
              <w:top w:val="nil"/>
              <w:left w:val="nil"/>
              <w:bottom w:val="nil"/>
              <w:right w:val="single" w:sz="4" w:space="0" w:color="auto"/>
            </w:tcBorders>
            <w:shd w:val="clear" w:color="auto" w:fill="auto"/>
            <w:vAlign w:val="center"/>
          </w:tcPr>
          <w:p w14:paraId="7C18D4A8" w14:textId="5DE13E60" w:rsidR="00811940" w:rsidRPr="00FA1C0C" w:rsidRDefault="00811940" w:rsidP="00811940">
            <w:pPr>
              <w:keepNext/>
              <w:jc w:val="right"/>
              <w:rPr>
                <w:color w:val="000000"/>
                <w:sz w:val="18"/>
                <w:szCs w:val="20"/>
              </w:rPr>
            </w:pPr>
          </w:p>
        </w:tc>
      </w:tr>
      <w:tr w:rsidR="00811940" w:rsidRPr="00E80EE2" w14:paraId="0332930F" w14:textId="77777777" w:rsidTr="00F032BF">
        <w:trPr>
          <w:trHeight w:val="259"/>
        </w:trPr>
        <w:tc>
          <w:tcPr>
            <w:tcW w:w="3420" w:type="dxa"/>
            <w:tcBorders>
              <w:top w:val="nil"/>
              <w:left w:val="single" w:sz="4" w:space="0" w:color="auto"/>
              <w:bottom w:val="nil"/>
              <w:right w:val="nil"/>
            </w:tcBorders>
          </w:tcPr>
          <w:p w14:paraId="24405DAC" w14:textId="77777777" w:rsidR="00811940" w:rsidRPr="00E80EE2" w:rsidRDefault="00811940" w:rsidP="00811940">
            <w:pPr>
              <w:ind w:left="720" w:hanging="558"/>
              <w:rPr>
                <w:sz w:val="18"/>
                <w:szCs w:val="20"/>
              </w:rPr>
            </w:pPr>
            <w:r w:rsidRPr="00E80EE2">
              <w:rPr>
                <w:sz w:val="18"/>
                <w:szCs w:val="20"/>
              </w:rPr>
              <w:t>Total operating expenses</w:t>
            </w:r>
          </w:p>
        </w:tc>
        <w:tc>
          <w:tcPr>
            <w:tcW w:w="1975" w:type="dxa"/>
            <w:tcBorders>
              <w:top w:val="nil"/>
              <w:left w:val="nil"/>
              <w:bottom w:val="nil"/>
              <w:right w:val="nil"/>
            </w:tcBorders>
            <w:vAlign w:val="center"/>
          </w:tcPr>
          <w:p w14:paraId="2B11BADF" w14:textId="39CE161C" w:rsidR="00811940" w:rsidRPr="00E80EE2" w:rsidRDefault="00811940" w:rsidP="00811940">
            <w:pPr>
              <w:jc w:val="right"/>
              <w:rPr>
                <w:sz w:val="18"/>
                <w:szCs w:val="20"/>
              </w:rPr>
            </w:pPr>
            <w:r w:rsidRPr="00B570EE">
              <w:rPr>
                <w:color w:val="000000"/>
                <w:sz w:val="18"/>
                <w:szCs w:val="22"/>
              </w:rPr>
              <w:t xml:space="preserve">410,106,761 </w:t>
            </w:r>
          </w:p>
        </w:tc>
        <w:tc>
          <w:tcPr>
            <w:tcW w:w="1530" w:type="dxa"/>
            <w:tcBorders>
              <w:top w:val="nil"/>
              <w:left w:val="nil"/>
              <w:bottom w:val="nil"/>
              <w:right w:val="nil"/>
            </w:tcBorders>
            <w:vAlign w:val="center"/>
          </w:tcPr>
          <w:p w14:paraId="623ACCF5" w14:textId="3232F81B" w:rsidR="00811940" w:rsidRPr="00E80EE2" w:rsidRDefault="00811940" w:rsidP="00811940">
            <w:pPr>
              <w:jc w:val="right"/>
              <w:rPr>
                <w:sz w:val="18"/>
                <w:szCs w:val="20"/>
              </w:rPr>
            </w:pPr>
            <w:r w:rsidRPr="00FA1C0C">
              <w:rPr>
                <w:color w:val="000000"/>
                <w:sz w:val="18"/>
                <w:szCs w:val="20"/>
              </w:rPr>
              <w:t>437,570,16</w:t>
            </w:r>
            <w:r>
              <w:rPr>
                <w:color w:val="000000"/>
                <w:sz w:val="18"/>
                <w:szCs w:val="20"/>
              </w:rPr>
              <w:t>8</w:t>
            </w:r>
            <w:r w:rsidRPr="00FA1C0C">
              <w:rPr>
                <w:color w:val="000000"/>
                <w:sz w:val="18"/>
                <w:szCs w:val="20"/>
              </w:rPr>
              <w:t xml:space="preserve"> </w:t>
            </w:r>
          </w:p>
        </w:tc>
        <w:tc>
          <w:tcPr>
            <w:tcW w:w="1530" w:type="dxa"/>
            <w:tcBorders>
              <w:top w:val="nil"/>
              <w:left w:val="nil"/>
              <w:bottom w:val="nil"/>
              <w:right w:val="nil"/>
            </w:tcBorders>
            <w:vAlign w:val="center"/>
          </w:tcPr>
          <w:p w14:paraId="04D5CBF1" w14:textId="6864E5AB" w:rsidR="00811940" w:rsidRPr="008B6187" w:rsidRDefault="00811940" w:rsidP="00811940">
            <w:pPr>
              <w:jc w:val="right"/>
              <w:rPr>
                <w:sz w:val="18"/>
                <w:szCs w:val="20"/>
              </w:rPr>
            </w:pPr>
            <w:r w:rsidRPr="000A478E">
              <w:rPr>
                <w:color w:val="000000"/>
                <w:sz w:val="18"/>
                <w:szCs w:val="20"/>
              </w:rPr>
              <w:t>428,317,532</w:t>
            </w:r>
          </w:p>
        </w:tc>
        <w:tc>
          <w:tcPr>
            <w:tcW w:w="1605" w:type="dxa"/>
            <w:tcBorders>
              <w:top w:val="nil"/>
              <w:left w:val="nil"/>
              <w:bottom w:val="nil"/>
              <w:right w:val="single" w:sz="4" w:space="0" w:color="auto"/>
            </w:tcBorders>
            <w:shd w:val="clear" w:color="000000" w:fill="auto"/>
            <w:vAlign w:val="center"/>
          </w:tcPr>
          <w:p w14:paraId="2BB22AE6" w14:textId="6CD22E04" w:rsidR="00811940" w:rsidRPr="00FA1C0C" w:rsidRDefault="00811940" w:rsidP="00811940">
            <w:pPr>
              <w:keepNext/>
              <w:jc w:val="right"/>
              <w:rPr>
                <w:color w:val="000000"/>
                <w:sz w:val="18"/>
                <w:szCs w:val="20"/>
              </w:rPr>
            </w:pPr>
          </w:p>
        </w:tc>
      </w:tr>
      <w:tr w:rsidR="00811940" w:rsidRPr="00E80EE2" w14:paraId="48B646A0" w14:textId="77777777" w:rsidTr="00F032BF">
        <w:trPr>
          <w:trHeight w:val="259"/>
        </w:trPr>
        <w:tc>
          <w:tcPr>
            <w:tcW w:w="3420" w:type="dxa"/>
            <w:tcBorders>
              <w:top w:val="nil"/>
              <w:left w:val="single" w:sz="4" w:space="0" w:color="auto"/>
              <w:bottom w:val="single" w:sz="4" w:space="0" w:color="auto"/>
              <w:right w:val="nil"/>
            </w:tcBorders>
          </w:tcPr>
          <w:p w14:paraId="464062C4" w14:textId="77777777" w:rsidR="00811940" w:rsidRPr="00E80EE2" w:rsidRDefault="00811940" w:rsidP="00811940">
            <w:pPr>
              <w:ind w:left="720" w:hanging="558"/>
              <w:rPr>
                <w:sz w:val="18"/>
                <w:szCs w:val="20"/>
              </w:rPr>
            </w:pPr>
            <w:r w:rsidRPr="00E80EE2">
              <w:rPr>
                <w:sz w:val="18"/>
                <w:szCs w:val="20"/>
              </w:rPr>
              <w:t>Operating income/(loss)</w:t>
            </w:r>
          </w:p>
        </w:tc>
        <w:tc>
          <w:tcPr>
            <w:tcW w:w="1975" w:type="dxa"/>
            <w:tcBorders>
              <w:top w:val="nil"/>
              <w:left w:val="nil"/>
              <w:bottom w:val="single" w:sz="4" w:space="0" w:color="auto"/>
              <w:right w:val="nil"/>
            </w:tcBorders>
            <w:vAlign w:val="center"/>
          </w:tcPr>
          <w:p w14:paraId="53826318" w14:textId="01CBC45D" w:rsidR="00811940" w:rsidRPr="00E80EE2" w:rsidRDefault="00811940" w:rsidP="00811940">
            <w:pPr>
              <w:jc w:val="right"/>
              <w:rPr>
                <w:sz w:val="18"/>
                <w:szCs w:val="20"/>
              </w:rPr>
            </w:pPr>
            <w:r>
              <w:rPr>
                <w:sz w:val="18"/>
                <w:szCs w:val="20"/>
              </w:rPr>
              <w:t>(135,066,105)</w:t>
            </w:r>
          </w:p>
        </w:tc>
        <w:tc>
          <w:tcPr>
            <w:tcW w:w="1530" w:type="dxa"/>
            <w:tcBorders>
              <w:top w:val="nil"/>
              <w:left w:val="nil"/>
              <w:bottom w:val="single" w:sz="4" w:space="0" w:color="auto"/>
              <w:right w:val="nil"/>
            </w:tcBorders>
            <w:vAlign w:val="center"/>
          </w:tcPr>
          <w:p w14:paraId="4C205FF7" w14:textId="0138E534" w:rsidR="00811940" w:rsidRPr="00E80EE2" w:rsidRDefault="00811940" w:rsidP="00811940">
            <w:pPr>
              <w:jc w:val="right"/>
              <w:rPr>
                <w:sz w:val="18"/>
                <w:szCs w:val="20"/>
              </w:rPr>
            </w:pPr>
            <w:r w:rsidRPr="00FA1C0C">
              <w:rPr>
                <w:color w:val="000000"/>
                <w:sz w:val="18"/>
                <w:szCs w:val="20"/>
              </w:rPr>
              <w:t>(151,073,20</w:t>
            </w:r>
            <w:r>
              <w:rPr>
                <w:color w:val="000000"/>
                <w:sz w:val="18"/>
                <w:szCs w:val="20"/>
              </w:rPr>
              <w:t>2</w:t>
            </w:r>
            <w:r w:rsidRPr="00FA1C0C">
              <w:rPr>
                <w:color w:val="000000"/>
                <w:sz w:val="18"/>
                <w:szCs w:val="20"/>
              </w:rPr>
              <w:t>)</w:t>
            </w:r>
          </w:p>
        </w:tc>
        <w:tc>
          <w:tcPr>
            <w:tcW w:w="1530" w:type="dxa"/>
            <w:tcBorders>
              <w:top w:val="nil"/>
              <w:left w:val="nil"/>
              <w:bottom w:val="single" w:sz="4" w:space="0" w:color="auto"/>
              <w:right w:val="nil"/>
            </w:tcBorders>
            <w:vAlign w:val="center"/>
          </w:tcPr>
          <w:p w14:paraId="110E752E" w14:textId="7EBD9EF5" w:rsidR="00811940" w:rsidRPr="008B6187" w:rsidRDefault="00811940" w:rsidP="00811940">
            <w:pPr>
              <w:jc w:val="right"/>
              <w:rPr>
                <w:sz w:val="18"/>
                <w:szCs w:val="20"/>
              </w:rPr>
            </w:pPr>
            <w:r>
              <w:rPr>
                <w:color w:val="000000"/>
                <w:sz w:val="18"/>
                <w:szCs w:val="20"/>
              </w:rPr>
              <w:t>(</w:t>
            </w:r>
            <w:r w:rsidRPr="000A478E">
              <w:rPr>
                <w:color w:val="000000"/>
                <w:sz w:val="18"/>
                <w:szCs w:val="20"/>
              </w:rPr>
              <w:t>154,809,915</w:t>
            </w:r>
            <w:r>
              <w:rPr>
                <w:color w:val="000000"/>
                <w:sz w:val="18"/>
                <w:szCs w:val="20"/>
              </w:rPr>
              <w:t>)</w:t>
            </w:r>
          </w:p>
        </w:tc>
        <w:tc>
          <w:tcPr>
            <w:tcW w:w="1605" w:type="dxa"/>
            <w:tcBorders>
              <w:top w:val="nil"/>
              <w:left w:val="nil"/>
              <w:bottom w:val="single" w:sz="4" w:space="0" w:color="auto"/>
              <w:right w:val="single" w:sz="4" w:space="0" w:color="auto"/>
            </w:tcBorders>
            <w:shd w:val="clear" w:color="000000" w:fill="auto"/>
            <w:vAlign w:val="center"/>
          </w:tcPr>
          <w:p w14:paraId="7A4900BC" w14:textId="2EE4BC2E" w:rsidR="00811940" w:rsidRPr="00FA1C0C" w:rsidRDefault="00811940" w:rsidP="00811940">
            <w:pPr>
              <w:keepNext/>
              <w:jc w:val="right"/>
              <w:rPr>
                <w:color w:val="000000"/>
                <w:sz w:val="18"/>
                <w:szCs w:val="20"/>
              </w:rPr>
            </w:pPr>
          </w:p>
        </w:tc>
      </w:tr>
      <w:tr w:rsidR="00811940" w:rsidRPr="00E80EE2" w14:paraId="2B56CAFF" w14:textId="77777777" w:rsidTr="00F032BF">
        <w:trPr>
          <w:trHeight w:val="259"/>
        </w:trPr>
        <w:tc>
          <w:tcPr>
            <w:tcW w:w="3420" w:type="dxa"/>
            <w:tcBorders>
              <w:top w:val="single" w:sz="4" w:space="0" w:color="auto"/>
              <w:left w:val="nil"/>
              <w:bottom w:val="single" w:sz="4" w:space="0" w:color="auto"/>
              <w:right w:val="single" w:sz="4" w:space="0" w:color="auto"/>
            </w:tcBorders>
            <w:shd w:val="clear" w:color="auto" w:fill="000080"/>
          </w:tcPr>
          <w:p w14:paraId="13C038E7" w14:textId="7FEE52CD" w:rsidR="00811940" w:rsidRPr="00E80EE2" w:rsidRDefault="00811940" w:rsidP="00811940">
            <w:pPr>
              <w:jc w:val="both"/>
              <w:rPr>
                <w:b/>
                <w:bCs/>
                <w:color w:val="FFFFFF"/>
                <w:sz w:val="20"/>
              </w:rPr>
            </w:pPr>
            <w:r w:rsidRPr="00E80EE2">
              <w:rPr>
                <w:b/>
                <w:bCs/>
                <w:color w:val="FFFFFF"/>
                <w:sz w:val="20"/>
              </w:rPr>
              <w:t>Non-operating revenues/(expenses)</w:t>
            </w:r>
          </w:p>
        </w:tc>
        <w:tc>
          <w:tcPr>
            <w:tcW w:w="1975" w:type="dxa"/>
            <w:tcBorders>
              <w:top w:val="single" w:sz="4" w:space="0" w:color="auto"/>
              <w:left w:val="single" w:sz="4" w:space="0" w:color="auto"/>
              <w:bottom w:val="single" w:sz="4" w:space="0" w:color="auto"/>
              <w:right w:val="single" w:sz="4" w:space="0" w:color="auto"/>
            </w:tcBorders>
            <w:shd w:val="clear" w:color="auto" w:fill="000080"/>
          </w:tcPr>
          <w:p w14:paraId="33FBE971" w14:textId="0124C609" w:rsidR="00811940" w:rsidRPr="00E80EE2" w:rsidRDefault="00811940" w:rsidP="00811940">
            <w:pPr>
              <w:jc w:val="right"/>
              <w:rPr>
                <w:b/>
                <w:bCs/>
                <w:color w:val="FFFFFF"/>
                <w:sz w:val="20"/>
              </w:rPr>
            </w:pPr>
            <w:r>
              <w:rPr>
                <w:b/>
                <w:bCs/>
                <w:color w:val="FFFFFF"/>
                <w:sz w:val="20"/>
              </w:rPr>
              <w:t>FY 2019- restated</w:t>
            </w:r>
          </w:p>
        </w:tc>
        <w:tc>
          <w:tcPr>
            <w:tcW w:w="1530" w:type="dxa"/>
            <w:tcBorders>
              <w:top w:val="single" w:sz="4" w:space="0" w:color="auto"/>
              <w:left w:val="single" w:sz="4" w:space="0" w:color="auto"/>
              <w:bottom w:val="single" w:sz="4" w:space="0" w:color="auto"/>
              <w:right w:val="single" w:sz="4" w:space="0" w:color="auto"/>
            </w:tcBorders>
            <w:shd w:val="clear" w:color="auto" w:fill="000080"/>
          </w:tcPr>
          <w:p w14:paraId="62375636" w14:textId="21EF1A55" w:rsidR="00811940" w:rsidRPr="00E80EE2" w:rsidRDefault="00811940" w:rsidP="00811940">
            <w:pPr>
              <w:jc w:val="right"/>
              <w:rPr>
                <w:b/>
                <w:bCs/>
                <w:color w:val="FFFFFF"/>
                <w:sz w:val="20"/>
              </w:rPr>
            </w:pPr>
            <w:r>
              <w:rPr>
                <w:b/>
                <w:bCs/>
                <w:color w:val="FFFFFF"/>
                <w:sz w:val="20"/>
              </w:rPr>
              <w:t>FY 2020</w:t>
            </w:r>
          </w:p>
        </w:tc>
        <w:tc>
          <w:tcPr>
            <w:tcW w:w="1530" w:type="dxa"/>
            <w:tcBorders>
              <w:top w:val="single" w:sz="4" w:space="0" w:color="auto"/>
              <w:left w:val="single" w:sz="4" w:space="0" w:color="auto"/>
              <w:bottom w:val="single" w:sz="4" w:space="0" w:color="auto"/>
              <w:right w:val="single" w:sz="4" w:space="0" w:color="auto"/>
            </w:tcBorders>
            <w:shd w:val="clear" w:color="auto" w:fill="000080"/>
          </w:tcPr>
          <w:p w14:paraId="7FF33E5D" w14:textId="7540CE39" w:rsidR="00811940" w:rsidRPr="00E80EE2" w:rsidRDefault="00811940" w:rsidP="00811940">
            <w:pPr>
              <w:jc w:val="right"/>
              <w:rPr>
                <w:b/>
                <w:bCs/>
                <w:color w:val="FFFFFF"/>
                <w:sz w:val="20"/>
              </w:rPr>
            </w:pPr>
            <w:r>
              <w:rPr>
                <w:b/>
                <w:bCs/>
                <w:color w:val="FFFFFF"/>
                <w:sz w:val="20"/>
              </w:rPr>
              <w:t>FY 2021</w:t>
            </w:r>
          </w:p>
        </w:tc>
        <w:tc>
          <w:tcPr>
            <w:tcW w:w="1605" w:type="dxa"/>
            <w:tcBorders>
              <w:top w:val="single" w:sz="4" w:space="0" w:color="auto"/>
              <w:left w:val="single" w:sz="4" w:space="0" w:color="auto"/>
              <w:bottom w:val="single" w:sz="4" w:space="0" w:color="auto"/>
              <w:right w:val="single" w:sz="4" w:space="0" w:color="auto"/>
            </w:tcBorders>
            <w:shd w:val="clear" w:color="auto" w:fill="000080"/>
          </w:tcPr>
          <w:p w14:paraId="68FBDD18" w14:textId="19A6E3FB" w:rsidR="00811940" w:rsidRPr="00E80EE2" w:rsidRDefault="00811940" w:rsidP="00811940">
            <w:pPr>
              <w:jc w:val="right"/>
              <w:rPr>
                <w:b/>
                <w:bCs/>
                <w:color w:val="FFFFFF"/>
                <w:sz w:val="20"/>
              </w:rPr>
            </w:pPr>
            <w:r>
              <w:rPr>
                <w:b/>
                <w:bCs/>
                <w:color w:val="FFFFFF"/>
                <w:sz w:val="20"/>
              </w:rPr>
              <w:t>FY 2022</w:t>
            </w:r>
          </w:p>
        </w:tc>
      </w:tr>
      <w:tr w:rsidR="00811940" w:rsidRPr="00E80EE2" w14:paraId="7E0E91A8" w14:textId="77777777" w:rsidTr="00F032BF">
        <w:trPr>
          <w:trHeight w:val="259"/>
        </w:trPr>
        <w:tc>
          <w:tcPr>
            <w:tcW w:w="3420" w:type="dxa"/>
            <w:tcBorders>
              <w:top w:val="single" w:sz="4" w:space="0" w:color="auto"/>
              <w:left w:val="single" w:sz="4" w:space="0" w:color="auto"/>
              <w:bottom w:val="nil"/>
              <w:right w:val="nil"/>
            </w:tcBorders>
          </w:tcPr>
          <w:p w14:paraId="3BB656AE" w14:textId="77777777" w:rsidR="00811940" w:rsidRPr="00E80EE2" w:rsidRDefault="00811940" w:rsidP="00811940">
            <w:pPr>
              <w:rPr>
                <w:sz w:val="18"/>
                <w:szCs w:val="20"/>
              </w:rPr>
            </w:pPr>
            <w:r w:rsidRPr="00E80EE2">
              <w:rPr>
                <w:sz w:val="18"/>
                <w:szCs w:val="20"/>
              </w:rPr>
              <w:t>State appropriation - general</w:t>
            </w:r>
          </w:p>
        </w:tc>
        <w:tc>
          <w:tcPr>
            <w:tcW w:w="1975" w:type="dxa"/>
            <w:tcBorders>
              <w:top w:val="single" w:sz="4" w:space="0" w:color="auto"/>
              <w:left w:val="nil"/>
              <w:bottom w:val="nil"/>
              <w:right w:val="nil"/>
            </w:tcBorders>
            <w:vAlign w:val="center"/>
          </w:tcPr>
          <w:p w14:paraId="3FD5810E" w14:textId="0F2EF28C" w:rsidR="00811940" w:rsidRPr="00E80EE2" w:rsidRDefault="00811940" w:rsidP="00811940">
            <w:pPr>
              <w:jc w:val="right"/>
              <w:rPr>
                <w:sz w:val="18"/>
                <w:szCs w:val="20"/>
              </w:rPr>
            </w:pPr>
            <w:r w:rsidRPr="00B570EE">
              <w:rPr>
                <w:sz w:val="18"/>
              </w:rPr>
              <w:t xml:space="preserve">101,955,031 </w:t>
            </w:r>
          </w:p>
        </w:tc>
        <w:tc>
          <w:tcPr>
            <w:tcW w:w="1530" w:type="dxa"/>
            <w:tcBorders>
              <w:top w:val="single" w:sz="4" w:space="0" w:color="auto"/>
              <w:left w:val="nil"/>
              <w:bottom w:val="nil"/>
              <w:right w:val="nil"/>
            </w:tcBorders>
            <w:vAlign w:val="center"/>
          </w:tcPr>
          <w:p w14:paraId="7CC4C91A" w14:textId="171BA8AC" w:rsidR="00811940" w:rsidRPr="00E80EE2" w:rsidRDefault="00811940" w:rsidP="00811940">
            <w:pPr>
              <w:jc w:val="right"/>
              <w:rPr>
                <w:sz w:val="18"/>
                <w:szCs w:val="20"/>
              </w:rPr>
            </w:pPr>
            <w:r w:rsidRPr="00844990">
              <w:rPr>
                <w:sz w:val="18"/>
              </w:rPr>
              <w:t>105,337,986</w:t>
            </w:r>
          </w:p>
        </w:tc>
        <w:tc>
          <w:tcPr>
            <w:tcW w:w="1530" w:type="dxa"/>
            <w:tcBorders>
              <w:top w:val="single" w:sz="4" w:space="0" w:color="auto"/>
              <w:left w:val="nil"/>
              <w:bottom w:val="nil"/>
              <w:right w:val="nil"/>
            </w:tcBorders>
            <w:vAlign w:val="center"/>
          </w:tcPr>
          <w:p w14:paraId="2463F48A" w14:textId="1B2290B9" w:rsidR="00811940" w:rsidRPr="00E80EE2" w:rsidRDefault="00811940" w:rsidP="00811940">
            <w:pPr>
              <w:jc w:val="right"/>
              <w:rPr>
                <w:sz w:val="18"/>
                <w:szCs w:val="20"/>
              </w:rPr>
            </w:pPr>
            <w:r w:rsidRPr="00297693">
              <w:rPr>
                <w:sz w:val="18"/>
              </w:rPr>
              <w:t>104,253,395</w:t>
            </w:r>
          </w:p>
        </w:tc>
        <w:tc>
          <w:tcPr>
            <w:tcW w:w="1605" w:type="dxa"/>
            <w:tcBorders>
              <w:top w:val="single" w:sz="4" w:space="0" w:color="auto"/>
              <w:left w:val="nil"/>
              <w:bottom w:val="nil"/>
              <w:right w:val="single" w:sz="4" w:space="0" w:color="auto"/>
            </w:tcBorders>
            <w:shd w:val="clear" w:color="auto" w:fill="auto"/>
            <w:vAlign w:val="center"/>
          </w:tcPr>
          <w:p w14:paraId="0BF51CAE" w14:textId="1552A5D4" w:rsidR="00811940" w:rsidRPr="00844990" w:rsidRDefault="00811940" w:rsidP="00811940">
            <w:pPr>
              <w:jc w:val="right"/>
              <w:rPr>
                <w:sz w:val="18"/>
              </w:rPr>
            </w:pPr>
          </w:p>
        </w:tc>
      </w:tr>
      <w:tr w:rsidR="00811940" w:rsidRPr="00E80EE2" w14:paraId="712CE303" w14:textId="77777777" w:rsidTr="00F032BF">
        <w:trPr>
          <w:trHeight w:val="259"/>
        </w:trPr>
        <w:tc>
          <w:tcPr>
            <w:tcW w:w="3420" w:type="dxa"/>
            <w:tcBorders>
              <w:top w:val="nil"/>
              <w:left w:val="single" w:sz="4" w:space="0" w:color="auto"/>
              <w:bottom w:val="nil"/>
              <w:right w:val="nil"/>
            </w:tcBorders>
          </w:tcPr>
          <w:p w14:paraId="0FF6DCDC" w14:textId="77777777" w:rsidR="00811940" w:rsidRPr="00E80EE2" w:rsidRDefault="00811940" w:rsidP="00811940">
            <w:pPr>
              <w:rPr>
                <w:sz w:val="18"/>
                <w:szCs w:val="20"/>
              </w:rPr>
            </w:pPr>
            <w:r w:rsidRPr="00E80EE2">
              <w:rPr>
                <w:sz w:val="18"/>
                <w:szCs w:val="20"/>
              </w:rPr>
              <w:t>State appropriation - maintenance</w:t>
            </w:r>
          </w:p>
        </w:tc>
        <w:tc>
          <w:tcPr>
            <w:tcW w:w="1975" w:type="dxa"/>
            <w:tcBorders>
              <w:top w:val="nil"/>
              <w:left w:val="nil"/>
              <w:bottom w:val="nil"/>
              <w:right w:val="nil"/>
            </w:tcBorders>
            <w:vAlign w:val="center"/>
          </w:tcPr>
          <w:p w14:paraId="58AFD0A6" w14:textId="1816D291" w:rsidR="00811940" w:rsidRPr="00E80EE2" w:rsidRDefault="00811940" w:rsidP="00811940">
            <w:pPr>
              <w:jc w:val="right"/>
              <w:rPr>
                <w:sz w:val="18"/>
                <w:szCs w:val="20"/>
              </w:rPr>
            </w:pPr>
            <w:r w:rsidRPr="00B570EE">
              <w:rPr>
                <w:sz w:val="18"/>
              </w:rPr>
              <w:t xml:space="preserve">837,657 </w:t>
            </w:r>
          </w:p>
        </w:tc>
        <w:tc>
          <w:tcPr>
            <w:tcW w:w="1530" w:type="dxa"/>
            <w:tcBorders>
              <w:top w:val="nil"/>
              <w:left w:val="nil"/>
              <w:bottom w:val="nil"/>
              <w:right w:val="nil"/>
            </w:tcBorders>
            <w:vAlign w:val="center"/>
          </w:tcPr>
          <w:p w14:paraId="6BE4457F" w14:textId="3E98B17C" w:rsidR="00811940" w:rsidRPr="00E80EE2" w:rsidRDefault="00811940" w:rsidP="00811940">
            <w:pPr>
              <w:jc w:val="right"/>
              <w:rPr>
                <w:sz w:val="18"/>
                <w:szCs w:val="20"/>
              </w:rPr>
            </w:pPr>
            <w:r w:rsidRPr="00844990">
              <w:rPr>
                <w:sz w:val="18"/>
              </w:rPr>
              <w:t>2,674,540</w:t>
            </w:r>
          </w:p>
        </w:tc>
        <w:tc>
          <w:tcPr>
            <w:tcW w:w="1530" w:type="dxa"/>
            <w:tcBorders>
              <w:top w:val="nil"/>
              <w:left w:val="nil"/>
              <w:bottom w:val="nil"/>
              <w:right w:val="nil"/>
            </w:tcBorders>
            <w:vAlign w:val="center"/>
          </w:tcPr>
          <w:p w14:paraId="2F4B0722" w14:textId="02DDAD5B" w:rsidR="00811940" w:rsidRPr="00E80EE2" w:rsidRDefault="00811940" w:rsidP="00811940">
            <w:pPr>
              <w:jc w:val="right"/>
              <w:rPr>
                <w:sz w:val="18"/>
                <w:szCs w:val="20"/>
              </w:rPr>
            </w:pPr>
            <w:r w:rsidRPr="00297693">
              <w:rPr>
                <w:sz w:val="18"/>
              </w:rPr>
              <w:t>2,854,992</w:t>
            </w:r>
          </w:p>
        </w:tc>
        <w:tc>
          <w:tcPr>
            <w:tcW w:w="1605" w:type="dxa"/>
            <w:tcBorders>
              <w:top w:val="nil"/>
              <w:left w:val="nil"/>
              <w:bottom w:val="nil"/>
              <w:right w:val="single" w:sz="4" w:space="0" w:color="auto"/>
            </w:tcBorders>
            <w:shd w:val="clear" w:color="auto" w:fill="auto"/>
            <w:vAlign w:val="center"/>
          </w:tcPr>
          <w:p w14:paraId="56F2CE12" w14:textId="11A060E6" w:rsidR="00811940" w:rsidRPr="00844990" w:rsidRDefault="00811940" w:rsidP="00811940">
            <w:pPr>
              <w:jc w:val="right"/>
              <w:rPr>
                <w:sz w:val="18"/>
              </w:rPr>
            </w:pPr>
          </w:p>
        </w:tc>
      </w:tr>
      <w:tr w:rsidR="00811940" w:rsidRPr="00E80EE2" w14:paraId="2827BC6B" w14:textId="77777777" w:rsidTr="00F032BF">
        <w:trPr>
          <w:trHeight w:val="259"/>
        </w:trPr>
        <w:tc>
          <w:tcPr>
            <w:tcW w:w="3420" w:type="dxa"/>
            <w:tcBorders>
              <w:top w:val="nil"/>
              <w:left w:val="single" w:sz="4" w:space="0" w:color="auto"/>
              <w:bottom w:val="nil"/>
              <w:right w:val="nil"/>
            </w:tcBorders>
          </w:tcPr>
          <w:p w14:paraId="620DE366" w14:textId="77777777" w:rsidR="00811940" w:rsidRPr="00E80EE2" w:rsidRDefault="00811940" w:rsidP="00811940">
            <w:pPr>
              <w:rPr>
                <w:sz w:val="18"/>
                <w:szCs w:val="20"/>
              </w:rPr>
            </w:pPr>
            <w:r w:rsidRPr="00E80EE2">
              <w:rPr>
                <w:sz w:val="18"/>
                <w:szCs w:val="20"/>
              </w:rPr>
              <w:t>Pell grants</w:t>
            </w:r>
          </w:p>
        </w:tc>
        <w:tc>
          <w:tcPr>
            <w:tcW w:w="1975" w:type="dxa"/>
            <w:tcBorders>
              <w:top w:val="nil"/>
              <w:left w:val="nil"/>
              <w:bottom w:val="nil"/>
              <w:right w:val="nil"/>
            </w:tcBorders>
            <w:vAlign w:val="center"/>
          </w:tcPr>
          <w:p w14:paraId="579329C0" w14:textId="0D501E3B" w:rsidR="00811940" w:rsidRPr="00E80EE2" w:rsidRDefault="00811940" w:rsidP="00811940">
            <w:pPr>
              <w:jc w:val="right"/>
              <w:rPr>
                <w:sz w:val="18"/>
                <w:szCs w:val="20"/>
              </w:rPr>
            </w:pPr>
            <w:r w:rsidRPr="00B570EE">
              <w:rPr>
                <w:sz w:val="18"/>
              </w:rPr>
              <w:t xml:space="preserve">22,702,825 </w:t>
            </w:r>
          </w:p>
        </w:tc>
        <w:tc>
          <w:tcPr>
            <w:tcW w:w="1530" w:type="dxa"/>
            <w:tcBorders>
              <w:top w:val="nil"/>
              <w:left w:val="nil"/>
              <w:bottom w:val="nil"/>
              <w:right w:val="nil"/>
            </w:tcBorders>
            <w:vAlign w:val="center"/>
          </w:tcPr>
          <w:p w14:paraId="43B59107" w14:textId="55A46A51" w:rsidR="00811940" w:rsidRPr="00E80EE2" w:rsidRDefault="00811940" w:rsidP="00811940">
            <w:pPr>
              <w:jc w:val="right"/>
              <w:rPr>
                <w:sz w:val="18"/>
                <w:szCs w:val="20"/>
              </w:rPr>
            </w:pPr>
            <w:r w:rsidRPr="00844990">
              <w:rPr>
                <w:sz w:val="18"/>
              </w:rPr>
              <w:t>22,185,765</w:t>
            </w:r>
          </w:p>
        </w:tc>
        <w:tc>
          <w:tcPr>
            <w:tcW w:w="1530" w:type="dxa"/>
            <w:tcBorders>
              <w:top w:val="nil"/>
              <w:left w:val="nil"/>
              <w:bottom w:val="nil"/>
              <w:right w:val="nil"/>
            </w:tcBorders>
            <w:vAlign w:val="center"/>
          </w:tcPr>
          <w:p w14:paraId="27899110" w14:textId="1F8F8EB1" w:rsidR="00811940" w:rsidRPr="00E80EE2" w:rsidRDefault="00811940" w:rsidP="00811940">
            <w:pPr>
              <w:jc w:val="right"/>
              <w:rPr>
                <w:sz w:val="18"/>
                <w:szCs w:val="20"/>
              </w:rPr>
            </w:pPr>
            <w:r w:rsidRPr="00297693">
              <w:rPr>
                <w:sz w:val="18"/>
              </w:rPr>
              <w:t>20,093,950</w:t>
            </w:r>
          </w:p>
        </w:tc>
        <w:tc>
          <w:tcPr>
            <w:tcW w:w="1605" w:type="dxa"/>
            <w:tcBorders>
              <w:top w:val="nil"/>
              <w:left w:val="nil"/>
              <w:bottom w:val="nil"/>
              <w:right w:val="single" w:sz="4" w:space="0" w:color="auto"/>
            </w:tcBorders>
            <w:shd w:val="clear" w:color="auto" w:fill="auto"/>
            <w:vAlign w:val="center"/>
          </w:tcPr>
          <w:p w14:paraId="285CDF5A" w14:textId="1C245F4A" w:rsidR="00811940" w:rsidRPr="00844990" w:rsidRDefault="00811940" w:rsidP="00811940">
            <w:pPr>
              <w:jc w:val="right"/>
              <w:rPr>
                <w:sz w:val="18"/>
              </w:rPr>
            </w:pPr>
          </w:p>
        </w:tc>
      </w:tr>
      <w:tr w:rsidR="00811940" w:rsidRPr="00E80EE2" w14:paraId="66F5B102" w14:textId="77777777" w:rsidTr="00F032BF">
        <w:trPr>
          <w:trHeight w:val="259"/>
        </w:trPr>
        <w:tc>
          <w:tcPr>
            <w:tcW w:w="3420" w:type="dxa"/>
            <w:tcBorders>
              <w:top w:val="nil"/>
              <w:left w:val="single" w:sz="4" w:space="0" w:color="auto"/>
              <w:bottom w:val="nil"/>
              <w:right w:val="nil"/>
            </w:tcBorders>
          </w:tcPr>
          <w:p w14:paraId="17740E45" w14:textId="77777777" w:rsidR="00811940" w:rsidRPr="00E80EE2" w:rsidRDefault="00811940" w:rsidP="00811940">
            <w:pPr>
              <w:rPr>
                <w:sz w:val="18"/>
                <w:szCs w:val="20"/>
              </w:rPr>
            </w:pPr>
            <w:r w:rsidRPr="00E80EE2">
              <w:rPr>
                <w:sz w:val="18"/>
                <w:szCs w:val="20"/>
              </w:rPr>
              <w:t>Gifts</w:t>
            </w:r>
          </w:p>
        </w:tc>
        <w:tc>
          <w:tcPr>
            <w:tcW w:w="1975" w:type="dxa"/>
            <w:tcBorders>
              <w:top w:val="nil"/>
              <w:left w:val="nil"/>
              <w:bottom w:val="nil"/>
              <w:right w:val="nil"/>
            </w:tcBorders>
            <w:vAlign w:val="center"/>
          </w:tcPr>
          <w:p w14:paraId="783FCC35" w14:textId="6161EEB8" w:rsidR="00811940" w:rsidRPr="00E80EE2" w:rsidRDefault="00811940" w:rsidP="00811940">
            <w:pPr>
              <w:jc w:val="right"/>
              <w:rPr>
                <w:sz w:val="18"/>
                <w:szCs w:val="20"/>
              </w:rPr>
            </w:pPr>
            <w:r w:rsidRPr="00B570EE">
              <w:rPr>
                <w:sz w:val="18"/>
              </w:rPr>
              <w:t xml:space="preserve">32,141,995 </w:t>
            </w:r>
          </w:p>
        </w:tc>
        <w:tc>
          <w:tcPr>
            <w:tcW w:w="1530" w:type="dxa"/>
            <w:tcBorders>
              <w:top w:val="nil"/>
              <w:left w:val="nil"/>
              <w:bottom w:val="nil"/>
              <w:right w:val="nil"/>
            </w:tcBorders>
            <w:vAlign w:val="center"/>
          </w:tcPr>
          <w:p w14:paraId="4289F63B" w14:textId="0510018F" w:rsidR="00811940" w:rsidRPr="00E80EE2" w:rsidRDefault="00811940" w:rsidP="00811940">
            <w:pPr>
              <w:jc w:val="right"/>
              <w:rPr>
                <w:sz w:val="18"/>
                <w:szCs w:val="20"/>
              </w:rPr>
            </w:pPr>
            <w:r w:rsidRPr="00844990">
              <w:rPr>
                <w:sz w:val="18"/>
              </w:rPr>
              <w:t>35,465,134</w:t>
            </w:r>
          </w:p>
        </w:tc>
        <w:tc>
          <w:tcPr>
            <w:tcW w:w="1530" w:type="dxa"/>
            <w:tcBorders>
              <w:top w:val="nil"/>
              <w:left w:val="nil"/>
              <w:bottom w:val="nil"/>
              <w:right w:val="nil"/>
            </w:tcBorders>
            <w:vAlign w:val="center"/>
          </w:tcPr>
          <w:p w14:paraId="41B7FB58" w14:textId="52186FF7" w:rsidR="00811940" w:rsidRPr="00E80EE2" w:rsidRDefault="00811940" w:rsidP="00811940">
            <w:pPr>
              <w:jc w:val="right"/>
              <w:rPr>
                <w:sz w:val="18"/>
                <w:szCs w:val="20"/>
              </w:rPr>
            </w:pPr>
            <w:r w:rsidRPr="00297693">
              <w:rPr>
                <w:sz w:val="18"/>
              </w:rPr>
              <w:t>27,123,074</w:t>
            </w:r>
          </w:p>
        </w:tc>
        <w:tc>
          <w:tcPr>
            <w:tcW w:w="1605" w:type="dxa"/>
            <w:tcBorders>
              <w:top w:val="nil"/>
              <w:left w:val="nil"/>
              <w:bottom w:val="nil"/>
              <w:right w:val="single" w:sz="4" w:space="0" w:color="auto"/>
            </w:tcBorders>
            <w:shd w:val="clear" w:color="auto" w:fill="auto"/>
            <w:vAlign w:val="center"/>
          </w:tcPr>
          <w:p w14:paraId="5446FBE2" w14:textId="500D96B0" w:rsidR="00811940" w:rsidRPr="00844990" w:rsidRDefault="00811940" w:rsidP="00811940">
            <w:pPr>
              <w:jc w:val="right"/>
              <w:rPr>
                <w:sz w:val="18"/>
              </w:rPr>
            </w:pPr>
          </w:p>
        </w:tc>
      </w:tr>
      <w:tr w:rsidR="00811940" w:rsidRPr="00E80EE2" w14:paraId="2EE73B7B" w14:textId="77777777" w:rsidTr="00F032BF">
        <w:trPr>
          <w:trHeight w:val="259"/>
        </w:trPr>
        <w:tc>
          <w:tcPr>
            <w:tcW w:w="3420" w:type="dxa"/>
            <w:tcBorders>
              <w:top w:val="nil"/>
              <w:left w:val="single" w:sz="4" w:space="0" w:color="auto"/>
              <w:bottom w:val="nil"/>
              <w:right w:val="nil"/>
            </w:tcBorders>
          </w:tcPr>
          <w:p w14:paraId="7A947523" w14:textId="77777777" w:rsidR="00811940" w:rsidRPr="00E80EE2" w:rsidRDefault="00811940" w:rsidP="00811940">
            <w:pPr>
              <w:rPr>
                <w:sz w:val="18"/>
                <w:szCs w:val="20"/>
              </w:rPr>
            </w:pPr>
            <w:r w:rsidRPr="00E80EE2">
              <w:rPr>
                <w:sz w:val="18"/>
                <w:szCs w:val="20"/>
              </w:rPr>
              <w:t>Net investment income</w:t>
            </w:r>
          </w:p>
        </w:tc>
        <w:tc>
          <w:tcPr>
            <w:tcW w:w="1975" w:type="dxa"/>
            <w:tcBorders>
              <w:top w:val="nil"/>
              <w:left w:val="nil"/>
              <w:bottom w:val="nil"/>
              <w:right w:val="nil"/>
            </w:tcBorders>
            <w:vAlign w:val="center"/>
          </w:tcPr>
          <w:p w14:paraId="00AF31EC" w14:textId="0E8C263C" w:rsidR="00811940" w:rsidRPr="00E80EE2" w:rsidRDefault="00811940" w:rsidP="00811940">
            <w:pPr>
              <w:jc w:val="right"/>
              <w:rPr>
                <w:sz w:val="18"/>
                <w:szCs w:val="20"/>
              </w:rPr>
            </w:pPr>
            <w:r w:rsidRPr="00B570EE">
              <w:rPr>
                <w:sz w:val="18"/>
              </w:rPr>
              <w:t xml:space="preserve">4,148,780 </w:t>
            </w:r>
          </w:p>
        </w:tc>
        <w:tc>
          <w:tcPr>
            <w:tcW w:w="1530" w:type="dxa"/>
            <w:tcBorders>
              <w:top w:val="nil"/>
              <w:left w:val="nil"/>
              <w:bottom w:val="nil"/>
              <w:right w:val="nil"/>
            </w:tcBorders>
            <w:vAlign w:val="center"/>
          </w:tcPr>
          <w:p w14:paraId="5C1AE208" w14:textId="31A3748F" w:rsidR="00811940" w:rsidRPr="00E80EE2" w:rsidRDefault="00811940" w:rsidP="00811940">
            <w:pPr>
              <w:jc w:val="right"/>
              <w:rPr>
                <w:sz w:val="18"/>
                <w:szCs w:val="20"/>
              </w:rPr>
            </w:pPr>
            <w:r w:rsidRPr="00844990">
              <w:rPr>
                <w:sz w:val="18"/>
              </w:rPr>
              <w:t>3,521,477</w:t>
            </w:r>
          </w:p>
        </w:tc>
        <w:tc>
          <w:tcPr>
            <w:tcW w:w="1530" w:type="dxa"/>
            <w:tcBorders>
              <w:top w:val="nil"/>
              <w:left w:val="nil"/>
              <w:bottom w:val="nil"/>
              <w:right w:val="nil"/>
            </w:tcBorders>
            <w:vAlign w:val="center"/>
          </w:tcPr>
          <w:p w14:paraId="0E5E28B3" w14:textId="66BB6498" w:rsidR="00811940" w:rsidRPr="00E80EE2" w:rsidRDefault="00811940" w:rsidP="00811940">
            <w:pPr>
              <w:jc w:val="right"/>
              <w:rPr>
                <w:sz w:val="18"/>
                <w:szCs w:val="20"/>
              </w:rPr>
            </w:pPr>
            <w:r w:rsidRPr="00297693">
              <w:rPr>
                <w:sz w:val="18"/>
              </w:rPr>
              <w:t>1,259,670</w:t>
            </w:r>
          </w:p>
        </w:tc>
        <w:tc>
          <w:tcPr>
            <w:tcW w:w="1605" w:type="dxa"/>
            <w:tcBorders>
              <w:top w:val="nil"/>
              <w:left w:val="nil"/>
              <w:bottom w:val="nil"/>
              <w:right w:val="single" w:sz="4" w:space="0" w:color="auto"/>
            </w:tcBorders>
            <w:shd w:val="clear" w:color="auto" w:fill="auto"/>
            <w:vAlign w:val="center"/>
          </w:tcPr>
          <w:p w14:paraId="4F79AAC9" w14:textId="267488F6" w:rsidR="00811940" w:rsidRPr="00844990" w:rsidRDefault="00811940" w:rsidP="00811940">
            <w:pPr>
              <w:jc w:val="right"/>
              <w:rPr>
                <w:sz w:val="18"/>
              </w:rPr>
            </w:pPr>
          </w:p>
        </w:tc>
      </w:tr>
      <w:tr w:rsidR="00811940" w:rsidRPr="00E80EE2" w14:paraId="5DC35297" w14:textId="77777777" w:rsidTr="00F032BF">
        <w:trPr>
          <w:trHeight w:val="259"/>
        </w:trPr>
        <w:tc>
          <w:tcPr>
            <w:tcW w:w="3420" w:type="dxa"/>
            <w:tcBorders>
              <w:top w:val="nil"/>
              <w:left w:val="single" w:sz="4" w:space="0" w:color="auto"/>
              <w:bottom w:val="nil"/>
              <w:right w:val="nil"/>
            </w:tcBorders>
          </w:tcPr>
          <w:p w14:paraId="77E1BC04" w14:textId="77777777" w:rsidR="00811940" w:rsidRPr="00E80EE2" w:rsidRDefault="00811940" w:rsidP="00811940">
            <w:pPr>
              <w:rPr>
                <w:sz w:val="18"/>
                <w:szCs w:val="20"/>
              </w:rPr>
            </w:pPr>
            <w:r w:rsidRPr="00E80EE2">
              <w:rPr>
                <w:sz w:val="18"/>
                <w:szCs w:val="20"/>
              </w:rPr>
              <w:t>Change in fair value of investments</w:t>
            </w:r>
          </w:p>
        </w:tc>
        <w:tc>
          <w:tcPr>
            <w:tcW w:w="1975" w:type="dxa"/>
            <w:tcBorders>
              <w:top w:val="nil"/>
              <w:left w:val="nil"/>
              <w:bottom w:val="nil"/>
              <w:right w:val="nil"/>
            </w:tcBorders>
            <w:vAlign w:val="center"/>
          </w:tcPr>
          <w:p w14:paraId="78BB8935" w14:textId="3E0F0278" w:rsidR="00811940" w:rsidRPr="00E80EE2" w:rsidRDefault="00811940" w:rsidP="00811940">
            <w:pPr>
              <w:jc w:val="right"/>
              <w:rPr>
                <w:sz w:val="18"/>
                <w:szCs w:val="20"/>
              </w:rPr>
            </w:pPr>
            <w:r w:rsidRPr="00B570EE">
              <w:rPr>
                <w:sz w:val="18"/>
              </w:rPr>
              <w:t xml:space="preserve">884,188 </w:t>
            </w:r>
          </w:p>
        </w:tc>
        <w:tc>
          <w:tcPr>
            <w:tcW w:w="1530" w:type="dxa"/>
            <w:tcBorders>
              <w:top w:val="nil"/>
              <w:left w:val="nil"/>
              <w:bottom w:val="nil"/>
              <w:right w:val="nil"/>
            </w:tcBorders>
            <w:vAlign w:val="center"/>
          </w:tcPr>
          <w:p w14:paraId="4D8BA3E0" w14:textId="60DE9AF8" w:rsidR="00811940" w:rsidRPr="00E80EE2" w:rsidRDefault="00811940" w:rsidP="00811940">
            <w:pPr>
              <w:jc w:val="right"/>
              <w:rPr>
                <w:sz w:val="18"/>
                <w:szCs w:val="20"/>
              </w:rPr>
            </w:pPr>
            <w:r w:rsidRPr="00844990">
              <w:rPr>
                <w:sz w:val="18"/>
              </w:rPr>
              <w:t>1,182,328</w:t>
            </w:r>
          </w:p>
        </w:tc>
        <w:tc>
          <w:tcPr>
            <w:tcW w:w="1530" w:type="dxa"/>
            <w:tcBorders>
              <w:top w:val="nil"/>
              <w:left w:val="nil"/>
              <w:bottom w:val="nil"/>
              <w:right w:val="nil"/>
            </w:tcBorders>
            <w:vAlign w:val="center"/>
          </w:tcPr>
          <w:p w14:paraId="011A9854" w14:textId="56EC1314" w:rsidR="00811940" w:rsidRPr="00E80EE2" w:rsidRDefault="00811940" w:rsidP="00811940">
            <w:pPr>
              <w:jc w:val="right"/>
              <w:rPr>
                <w:sz w:val="18"/>
                <w:szCs w:val="20"/>
              </w:rPr>
            </w:pPr>
            <w:r>
              <w:rPr>
                <w:sz w:val="18"/>
              </w:rPr>
              <w:t>(</w:t>
            </w:r>
            <w:r w:rsidRPr="00297693">
              <w:rPr>
                <w:sz w:val="18"/>
              </w:rPr>
              <w:t>689,048</w:t>
            </w:r>
            <w:r>
              <w:rPr>
                <w:sz w:val="18"/>
              </w:rPr>
              <w:t>)</w:t>
            </w:r>
          </w:p>
        </w:tc>
        <w:tc>
          <w:tcPr>
            <w:tcW w:w="1605" w:type="dxa"/>
            <w:tcBorders>
              <w:top w:val="nil"/>
              <w:left w:val="nil"/>
              <w:bottom w:val="nil"/>
              <w:right w:val="single" w:sz="4" w:space="0" w:color="auto"/>
            </w:tcBorders>
            <w:shd w:val="clear" w:color="auto" w:fill="auto"/>
            <w:vAlign w:val="center"/>
          </w:tcPr>
          <w:p w14:paraId="55A3B768" w14:textId="709CB6A7" w:rsidR="00811940" w:rsidRPr="00844990" w:rsidRDefault="00811940" w:rsidP="00811940">
            <w:pPr>
              <w:jc w:val="right"/>
              <w:rPr>
                <w:sz w:val="18"/>
              </w:rPr>
            </w:pPr>
          </w:p>
        </w:tc>
      </w:tr>
      <w:tr w:rsidR="00811940" w:rsidRPr="00E80EE2" w14:paraId="29FE735E" w14:textId="77777777" w:rsidTr="00F032BF">
        <w:trPr>
          <w:trHeight w:val="259"/>
        </w:trPr>
        <w:tc>
          <w:tcPr>
            <w:tcW w:w="3420" w:type="dxa"/>
            <w:tcBorders>
              <w:top w:val="nil"/>
              <w:left w:val="single" w:sz="4" w:space="0" w:color="auto"/>
              <w:bottom w:val="nil"/>
              <w:right w:val="nil"/>
            </w:tcBorders>
          </w:tcPr>
          <w:p w14:paraId="29446045" w14:textId="77777777" w:rsidR="00811940" w:rsidRPr="00E80EE2" w:rsidRDefault="00811940" w:rsidP="00811940">
            <w:pPr>
              <w:rPr>
                <w:sz w:val="18"/>
                <w:szCs w:val="20"/>
              </w:rPr>
            </w:pPr>
            <w:r w:rsidRPr="00E80EE2">
              <w:rPr>
                <w:sz w:val="18"/>
                <w:szCs w:val="20"/>
              </w:rPr>
              <w:t xml:space="preserve">Interest   </w:t>
            </w:r>
          </w:p>
        </w:tc>
        <w:tc>
          <w:tcPr>
            <w:tcW w:w="1975" w:type="dxa"/>
            <w:tcBorders>
              <w:top w:val="nil"/>
              <w:left w:val="nil"/>
              <w:bottom w:val="nil"/>
              <w:right w:val="nil"/>
            </w:tcBorders>
            <w:vAlign w:val="center"/>
          </w:tcPr>
          <w:p w14:paraId="1B3AEB7E" w14:textId="39A4D130" w:rsidR="00811940" w:rsidRPr="00E80EE2" w:rsidRDefault="00811940" w:rsidP="00811940">
            <w:pPr>
              <w:jc w:val="right"/>
              <w:rPr>
                <w:sz w:val="18"/>
                <w:szCs w:val="20"/>
              </w:rPr>
            </w:pPr>
            <w:r w:rsidRPr="00B570EE">
              <w:rPr>
                <w:sz w:val="18"/>
              </w:rPr>
              <w:t>(7,030,946)</w:t>
            </w:r>
          </w:p>
        </w:tc>
        <w:tc>
          <w:tcPr>
            <w:tcW w:w="1530" w:type="dxa"/>
            <w:tcBorders>
              <w:top w:val="nil"/>
              <w:left w:val="nil"/>
              <w:bottom w:val="nil"/>
              <w:right w:val="nil"/>
            </w:tcBorders>
            <w:vAlign w:val="center"/>
          </w:tcPr>
          <w:p w14:paraId="3E690F60" w14:textId="02FA0000" w:rsidR="00811940" w:rsidRPr="00E80EE2" w:rsidRDefault="00811940" w:rsidP="00811940">
            <w:pPr>
              <w:jc w:val="right"/>
              <w:rPr>
                <w:sz w:val="18"/>
                <w:szCs w:val="20"/>
              </w:rPr>
            </w:pPr>
            <w:r w:rsidRPr="00844990">
              <w:rPr>
                <w:sz w:val="18"/>
              </w:rPr>
              <w:t>(6,881,404)</w:t>
            </w:r>
          </w:p>
        </w:tc>
        <w:tc>
          <w:tcPr>
            <w:tcW w:w="1530" w:type="dxa"/>
            <w:tcBorders>
              <w:top w:val="nil"/>
              <w:left w:val="nil"/>
              <w:bottom w:val="nil"/>
              <w:right w:val="nil"/>
            </w:tcBorders>
            <w:vAlign w:val="center"/>
          </w:tcPr>
          <w:p w14:paraId="5F7F9E1B" w14:textId="4BDEA025" w:rsidR="00811940" w:rsidRPr="00E80EE2" w:rsidRDefault="00811940" w:rsidP="00811940">
            <w:pPr>
              <w:jc w:val="right"/>
              <w:rPr>
                <w:sz w:val="18"/>
                <w:szCs w:val="20"/>
              </w:rPr>
            </w:pPr>
            <w:r>
              <w:rPr>
                <w:sz w:val="18"/>
              </w:rPr>
              <w:t>(</w:t>
            </w:r>
            <w:r w:rsidRPr="00297693">
              <w:rPr>
                <w:sz w:val="18"/>
              </w:rPr>
              <w:t>5,715,724</w:t>
            </w:r>
            <w:r>
              <w:rPr>
                <w:sz w:val="18"/>
              </w:rPr>
              <w:t>)</w:t>
            </w:r>
          </w:p>
        </w:tc>
        <w:tc>
          <w:tcPr>
            <w:tcW w:w="1605" w:type="dxa"/>
            <w:tcBorders>
              <w:top w:val="nil"/>
              <w:left w:val="nil"/>
              <w:bottom w:val="nil"/>
              <w:right w:val="single" w:sz="4" w:space="0" w:color="auto"/>
            </w:tcBorders>
            <w:shd w:val="clear" w:color="auto" w:fill="auto"/>
            <w:vAlign w:val="center"/>
          </w:tcPr>
          <w:p w14:paraId="7C8A5C39" w14:textId="52B156A4" w:rsidR="00811940" w:rsidRPr="00844990" w:rsidRDefault="00811940" w:rsidP="00811940">
            <w:pPr>
              <w:jc w:val="right"/>
              <w:rPr>
                <w:sz w:val="18"/>
              </w:rPr>
            </w:pPr>
          </w:p>
        </w:tc>
      </w:tr>
      <w:tr w:rsidR="00811940" w:rsidRPr="00E80EE2" w14:paraId="023841A6" w14:textId="77777777" w:rsidTr="00F032BF">
        <w:trPr>
          <w:trHeight w:val="259"/>
        </w:trPr>
        <w:tc>
          <w:tcPr>
            <w:tcW w:w="3420" w:type="dxa"/>
            <w:tcBorders>
              <w:top w:val="nil"/>
              <w:left w:val="single" w:sz="4" w:space="0" w:color="auto"/>
              <w:bottom w:val="nil"/>
              <w:right w:val="nil"/>
            </w:tcBorders>
          </w:tcPr>
          <w:p w14:paraId="219C969F" w14:textId="77777777" w:rsidR="00811940" w:rsidRPr="00E80EE2" w:rsidRDefault="00811940" w:rsidP="00811940">
            <w:pPr>
              <w:rPr>
                <w:sz w:val="18"/>
                <w:szCs w:val="20"/>
              </w:rPr>
            </w:pPr>
            <w:r w:rsidRPr="00E80EE2">
              <w:rPr>
                <w:sz w:val="18"/>
                <w:szCs w:val="20"/>
              </w:rPr>
              <w:t>Gain/loss on retirement of assets</w:t>
            </w:r>
          </w:p>
        </w:tc>
        <w:tc>
          <w:tcPr>
            <w:tcW w:w="1975" w:type="dxa"/>
            <w:tcBorders>
              <w:top w:val="nil"/>
              <w:left w:val="nil"/>
              <w:bottom w:val="nil"/>
              <w:right w:val="nil"/>
            </w:tcBorders>
            <w:vAlign w:val="center"/>
          </w:tcPr>
          <w:p w14:paraId="07B56A41" w14:textId="36B2825D" w:rsidR="00811940" w:rsidRPr="00E80EE2" w:rsidRDefault="00811940" w:rsidP="00811940">
            <w:pPr>
              <w:jc w:val="right"/>
              <w:rPr>
                <w:sz w:val="18"/>
                <w:szCs w:val="20"/>
              </w:rPr>
            </w:pPr>
            <w:r w:rsidRPr="00B570EE">
              <w:rPr>
                <w:sz w:val="18"/>
              </w:rPr>
              <w:t>(258,821)</w:t>
            </w:r>
          </w:p>
        </w:tc>
        <w:tc>
          <w:tcPr>
            <w:tcW w:w="1530" w:type="dxa"/>
            <w:tcBorders>
              <w:top w:val="nil"/>
              <w:left w:val="nil"/>
              <w:bottom w:val="nil"/>
              <w:right w:val="nil"/>
            </w:tcBorders>
            <w:vAlign w:val="center"/>
          </w:tcPr>
          <w:p w14:paraId="55BA0286" w14:textId="793FE8DF" w:rsidR="00811940" w:rsidRPr="00E80EE2" w:rsidRDefault="00811940" w:rsidP="00811940">
            <w:pPr>
              <w:jc w:val="right"/>
              <w:rPr>
                <w:sz w:val="18"/>
                <w:szCs w:val="20"/>
              </w:rPr>
            </w:pPr>
            <w:r w:rsidRPr="00844990">
              <w:rPr>
                <w:sz w:val="18"/>
              </w:rPr>
              <w:t>(305,978)</w:t>
            </w:r>
          </w:p>
        </w:tc>
        <w:tc>
          <w:tcPr>
            <w:tcW w:w="1530" w:type="dxa"/>
            <w:tcBorders>
              <w:top w:val="nil"/>
              <w:left w:val="nil"/>
              <w:bottom w:val="nil"/>
              <w:right w:val="nil"/>
            </w:tcBorders>
            <w:vAlign w:val="center"/>
          </w:tcPr>
          <w:p w14:paraId="5BFFB063" w14:textId="23D5B0F8" w:rsidR="00811940" w:rsidRPr="00E80EE2" w:rsidRDefault="00811940" w:rsidP="00811940">
            <w:pPr>
              <w:jc w:val="right"/>
              <w:rPr>
                <w:sz w:val="18"/>
                <w:szCs w:val="20"/>
              </w:rPr>
            </w:pPr>
            <w:r>
              <w:rPr>
                <w:sz w:val="18"/>
              </w:rPr>
              <w:t>(</w:t>
            </w:r>
            <w:r w:rsidRPr="00297693">
              <w:rPr>
                <w:sz w:val="18"/>
              </w:rPr>
              <w:t>277,081</w:t>
            </w:r>
            <w:r>
              <w:rPr>
                <w:sz w:val="18"/>
              </w:rPr>
              <w:t>)</w:t>
            </w:r>
          </w:p>
        </w:tc>
        <w:tc>
          <w:tcPr>
            <w:tcW w:w="1605" w:type="dxa"/>
            <w:tcBorders>
              <w:top w:val="nil"/>
              <w:left w:val="nil"/>
              <w:bottom w:val="nil"/>
              <w:right w:val="single" w:sz="4" w:space="0" w:color="auto"/>
            </w:tcBorders>
            <w:shd w:val="clear" w:color="auto" w:fill="auto"/>
            <w:vAlign w:val="center"/>
          </w:tcPr>
          <w:p w14:paraId="60F96CD7" w14:textId="174AF14D" w:rsidR="00811940" w:rsidRPr="00844990" w:rsidRDefault="00811940" w:rsidP="00811940">
            <w:pPr>
              <w:jc w:val="right"/>
              <w:rPr>
                <w:sz w:val="18"/>
              </w:rPr>
            </w:pPr>
          </w:p>
        </w:tc>
      </w:tr>
      <w:tr w:rsidR="00811940" w:rsidRPr="00E80EE2" w14:paraId="7D711BC4" w14:textId="77777777" w:rsidTr="00F032BF">
        <w:trPr>
          <w:trHeight w:val="259"/>
        </w:trPr>
        <w:tc>
          <w:tcPr>
            <w:tcW w:w="3420" w:type="dxa"/>
            <w:tcBorders>
              <w:top w:val="nil"/>
              <w:left w:val="single" w:sz="4" w:space="0" w:color="auto"/>
              <w:bottom w:val="nil"/>
              <w:right w:val="nil"/>
            </w:tcBorders>
          </w:tcPr>
          <w:p w14:paraId="226347F1" w14:textId="2342C0A6" w:rsidR="00811940" w:rsidRDefault="00811940" w:rsidP="00811940">
            <w:pPr>
              <w:rPr>
                <w:sz w:val="18"/>
                <w:szCs w:val="20"/>
              </w:rPr>
            </w:pPr>
            <w:r>
              <w:rPr>
                <w:sz w:val="18"/>
                <w:szCs w:val="20"/>
              </w:rPr>
              <w:t>Federal Aid Grant Revenue</w:t>
            </w:r>
          </w:p>
        </w:tc>
        <w:tc>
          <w:tcPr>
            <w:tcW w:w="1975" w:type="dxa"/>
            <w:tcBorders>
              <w:top w:val="nil"/>
              <w:left w:val="nil"/>
              <w:bottom w:val="nil"/>
              <w:right w:val="nil"/>
            </w:tcBorders>
            <w:vAlign w:val="center"/>
          </w:tcPr>
          <w:p w14:paraId="55CBB547" w14:textId="77777777" w:rsidR="00811940" w:rsidRDefault="00811940" w:rsidP="00811940">
            <w:pPr>
              <w:jc w:val="right"/>
              <w:rPr>
                <w:sz w:val="18"/>
                <w:szCs w:val="20"/>
              </w:rPr>
            </w:pPr>
          </w:p>
        </w:tc>
        <w:tc>
          <w:tcPr>
            <w:tcW w:w="1530" w:type="dxa"/>
            <w:tcBorders>
              <w:top w:val="nil"/>
              <w:left w:val="nil"/>
              <w:bottom w:val="nil"/>
              <w:right w:val="nil"/>
            </w:tcBorders>
            <w:vAlign w:val="center"/>
          </w:tcPr>
          <w:p w14:paraId="02F63EA3" w14:textId="57F2DA9B" w:rsidR="00811940" w:rsidRPr="00B570EE" w:rsidRDefault="00811940" w:rsidP="00811940">
            <w:pPr>
              <w:jc w:val="right"/>
              <w:rPr>
                <w:sz w:val="18"/>
              </w:rPr>
            </w:pPr>
            <w:r w:rsidRPr="00844990">
              <w:rPr>
                <w:sz w:val="18"/>
              </w:rPr>
              <w:t>7,344,256</w:t>
            </w:r>
          </w:p>
        </w:tc>
        <w:tc>
          <w:tcPr>
            <w:tcW w:w="1530" w:type="dxa"/>
            <w:tcBorders>
              <w:top w:val="nil"/>
              <w:left w:val="nil"/>
              <w:bottom w:val="nil"/>
              <w:right w:val="nil"/>
            </w:tcBorders>
            <w:vAlign w:val="center"/>
          </w:tcPr>
          <w:p w14:paraId="3BCD9E86" w14:textId="1AB95536" w:rsidR="00811940" w:rsidRPr="00844990" w:rsidRDefault="00811940" w:rsidP="00811940">
            <w:pPr>
              <w:jc w:val="right"/>
              <w:rPr>
                <w:sz w:val="18"/>
              </w:rPr>
            </w:pPr>
            <w:r w:rsidRPr="00297693">
              <w:rPr>
                <w:sz w:val="18"/>
              </w:rPr>
              <w:t>30,876,959</w:t>
            </w:r>
          </w:p>
        </w:tc>
        <w:tc>
          <w:tcPr>
            <w:tcW w:w="1605" w:type="dxa"/>
            <w:tcBorders>
              <w:top w:val="nil"/>
              <w:left w:val="nil"/>
              <w:bottom w:val="nil"/>
              <w:right w:val="single" w:sz="4" w:space="0" w:color="auto"/>
            </w:tcBorders>
            <w:shd w:val="clear" w:color="auto" w:fill="auto"/>
            <w:vAlign w:val="center"/>
          </w:tcPr>
          <w:p w14:paraId="5A475412" w14:textId="4FEA6DE9" w:rsidR="00811940" w:rsidRPr="00297693" w:rsidRDefault="00811940" w:rsidP="00811940">
            <w:pPr>
              <w:jc w:val="right"/>
              <w:rPr>
                <w:sz w:val="18"/>
              </w:rPr>
            </w:pPr>
          </w:p>
        </w:tc>
      </w:tr>
      <w:tr w:rsidR="00811940" w:rsidRPr="00E80EE2" w14:paraId="3A0B4A83" w14:textId="77777777" w:rsidTr="00F032BF">
        <w:trPr>
          <w:trHeight w:val="259"/>
        </w:trPr>
        <w:tc>
          <w:tcPr>
            <w:tcW w:w="3420" w:type="dxa"/>
            <w:tcBorders>
              <w:top w:val="nil"/>
              <w:left w:val="single" w:sz="4" w:space="0" w:color="auto"/>
              <w:bottom w:val="nil"/>
              <w:right w:val="nil"/>
            </w:tcBorders>
          </w:tcPr>
          <w:p w14:paraId="556E38D6" w14:textId="2B6F6B34" w:rsidR="00811940" w:rsidRPr="00E80EE2" w:rsidRDefault="00811940" w:rsidP="00811940">
            <w:pPr>
              <w:rPr>
                <w:sz w:val="18"/>
                <w:szCs w:val="20"/>
              </w:rPr>
            </w:pPr>
            <w:r>
              <w:rPr>
                <w:sz w:val="18"/>
                <w:szCs w:val="20"/>
              </w:rPr>
              <w:t>Loss on Perkins federal capital contribution</w:t>
            </w:r>
          </w:p>
        </w:tc>
        <w:tc>
          <w:tcPr>
            <w:tcW w:w="1975" w:type="dxa"/>
            <w:tcBorders>
              <w:top w:val="nil"/>
              <w:left w:val="nil"/>
              <w:bottom w:val="nil"/>
              <w:right w:val="nil"/>
            </w:tcBorders>
            <w:vAlign w:val="center"/>
          </w:tcPr>
          <w:p w14:paraId="00873DE4" w14:textId="5306B77B" w:rsidR="00811940" w:rsidRDefault="00811940" w:rsidP="00811940">
            <w:pPr>
              <w:jc w:val="right"/>
              <w:rPr>
                <w:sz w:val="18"/>
                <w:szCs w:val="20"/>
              </w:rPr>
            </w:pPr>
            <w:r w:rsidRPr="00B570EE">
              <w:rPr>
                <w:sz w:val="18"/>
              </w:rPr>
              <w:t>(8,209,463)</w:t>
            </w:r>
          </w:p>
        </w:tc>
        <w:tc>
          <w:tcPr>
            <w:tcW w:w="1530" w:type="dxa"/>
            <w:tcBorders>
              <w:top w:val="nil"/>
              <w:left w:val="nil"/>
              <w:bottom w:val="nil"/>
              <w:right w:val="nil"/>
            </w:tcBorders>
            <w:vAlign w:val="center"/>
          </w:tcPr>
          <w:p w14:paraId="5F5E06A1" w14:textId="43B9D2BC" w:rsidR="00811940" w:rsidRPr="00452DFD" w:rsidRDefault="00811940" w:rsidP="00811940">
            <w:pPr>
              <w:jc w:val="right"/>
              <w:rPr>
                <w:sz w:val="18"/>
                <w:szCs w:val="20"/>
              </w:rPr>
            </w:pPr>
            <w:r w:rsidRPr="00844990">
              <w:rPr>
                <w:sz w:val="18"/>
              </w:rPr>
              <w:t>-</w:t>
            </w:r>
          </w:p>
        </w:tc>
        <w:tc>
          <w:tcPr>
            <w:tcW w:w="1530" w:type="dxa"/>
            <w:tcBorders>
              <w:top w:val="nil"/>
              <w:left w:val="nil"/>
              <w:bottom w:val="nil"/>
              <w:right w:val="nil"/>
            </w:tcBorders>
            <w:vAlign w:val="center"/>
          </w:tcPr>
          <w:p w14:paraId="35312E2D" w14:textId="4AD64319" w:rsidR="00811940" w:rsidRDefault="00811940" w:rsidP="00811940">
            <w:pPr>
              <w:jc w:val="right"/>
              <w:rPr>
                <w:sz w:val="18"/>
                <w:szCs w:val="20"/>
              </w:rPr>
            </w:pPr>
            <w:r w:rsidRPr="00844990">
              <w:rPr>
                <w:sz w:val="18"/>
              </w:rPr>
              <w:t>-</w:t>
            </w:r>
          </w:p>
        </w:tc>
        <w:tc>
          <w:tcPr>
            <w:tcW w:w="1605" w:type="dxa"/>
            <w:tcBorders>
              <w:top w:val="nil"/>
              <w:left w:val="nil"/>
              <w:bottom w:val="nil"/>
              <w:right w:val="single" w:sz="4" w:space="0" w:color="auto"/>
            </w:tcBorders>
            <w:shd w:val="clear" w:color="auto" w:fill="auto"/>
            <w:vAlign w:val="center"/>
          </w:tcPr>
          <w:p w14:paraId="3AC53191" w14:textId="3A6D0970" w:rsidR="00811940" w:rsidRPr="00844990" w:rsidRDefault="00811940" w:rsidP="00811940">
            <w:pPr>
              <w:jc w:val="right"/>
              <w:rPr>
                <w:sz w:val="18"/>
              </w:rPr>
            </w:pPr>
          </w:p>
        </w:tc>
      </w:tr>
      <w:tr w:rsidR="00811940" w:rsidRPr="00E80EE2" w14:paraId="01D81B7C" w14:textId="77777777" w:rsidTr="00F032BF">
        <w:trPr>
          <w:trHeight w:val="259"/>
        </w:trPr>
        <w:tc>
          <w:tcPr>
            <w:tcW w:w="3420" w:type="dxa"/>
            <w:tcBorders>
              <w:top w:val="nil"/>
              <w:left w:val="single" w:sz="4" w:space="0" w:color="auto"/>
              <w:bottom w:val="nil"/>
              <w:right w:val="nil"/>
            </w:tcBorders>
          </w:tcPr>
          <w:p w14:paraId="309493A8" w14:textId="28CB6E21" w:rsidR="00811940" w:rsidRDefault="00811940" w:rsidP="00811940">
            <w:pPr>
              <w:rPr>
                <w:sz w:val="18"/>
                <w:szCs w:val="20"/>
              </w:rPr>
            </w:pPr>
            <w:r w:rsidRPr="00E80EE2">
              <w:rPr>
                <w:sz w:val="18"/>
                <w:szCs w:val="20"/>
              </w:rPr>
              <w:t>Other non-operating revenue/(expense)</w:t>
            </w:r>
          </w:p>
        </w:tc>
        <w:tc>
          <w:tcPr>
            <w:tcW w:w="1975" w:type="dxa"/>
            <w:tcBorders>
              <w:top w:val="nil"/>
              <w:left w:val="nil"/>
              <w:bottom w:val="nil"/>
              <w:right w:val="nil"/>
            </w:tcBorders>
            <w:vAlign w:val="center"/>
          </w:tcPr>
          <w:p w14:paraId="4EF15E96" w14:textId="18D8F6E4" w:rsidR="00811940" w:rsidRDefault="00811940" w:rsidP="00811940">
            <w:pPr>
              <w:jc w:val="right"/>
              <w:rPr>
                <w:sz w:val="18"/>
                <w:szCs w:val="20"/>
              </w:rPr>
            </w:pPr>
            <w:r w:rsidRPr="00B570EE">
              <w:rPr>
                <w:sz w:val="18"/>
              </w:rPr>
              <w:t xml:space="preserve">330,110 </w:t>
            </w:r>
          </w:p>
        </w:tc>
        <w:tc>
          <w:tcPr>
            <w:tcW w:w="1530" w:type="dxa"/>
            <w:tcBorders>
              <w:top w:val="nil"/>
              <w:left w:val="nil"/>
              <w:bottom w:val="nil"/>
              <w:right w:val="nil"/>
            </w:tcBorders>
            <w:vAlign w:val="center"/>
          </w:tcPr>
          <w:p w14:paraId="1CC67012" w14:textId="56845661" w:rsidR="00811940" w:rsidRDefault="00811940" w:rsidP="00811940">
            <w:pPr>
              <w:jc w:val="right"/>
              <w:rPr>
                <w:sz w:val="18"/>
                <w:szCs w:val="20"/>
              </w:rPr>
            </w:pPr>
            <w:r w:rsidRPr="00844990">
              <w:rPr>
                <w:sz w:val="18"/>
              </w:rPr>
              <w:t>66,653</w:t>
            </w:r>
          </w:p>
        </w:tc>
        <w:tc>
          <w:tcPr>
            <w:tcW w:w="1530" w:type="dxa"/>
            <w:tcBorders>
              <w:top w:val="nil"/>
              <w:left w:val="nil"/>
              <w:bottom w:val="nil"/>
              <w:right w:val="nil"/>
            </w:tcBorders>
            <w:vAlign w:val="center"/>
          </w:tcPr>
          <w:p w14:paraId="03C61246" w14:textId="2DF2A101" w:rsidR="00811940" w:rsidRPr="00B570EE" w:rsidRDefault="00811940" w:rsidP="00811940">
            <w:pPr>
              <w:jc w:val="right"/>
              <w:rPr>
                <w:sz w:val="18"/>
              </w:rPr>
            </w:pPr>
            <w:r w:rsidRPr="00297693">
              <w:rPr>
                <w:sz w:val="18"/>
              </w:rPr>
              <w:t>558,173</w:t>
            </w:r>
          </w:p>
        </w:tc>
        <w:tc>
          <w:tcPr>
            <w:tcW w:w="1605" w:type="dxa"/>
            <w:tcBorders>
              <w:top w:val="nil"/>
              <w:left w:val="nil"/>
              <w:bottom w:val="nil"/>
              <w:right w:val="single" w:sz="4" w:space="0" w:color="auto"/>
            </w:tcBorders>
            <w:shd w:val="clear" w:color="auto" w:fill="auto"/>
            <w:vAlign w:val="center"/>
          </w:tcPr>
          <w:p w14:paraId="60B7AF97" w14:textId="387A5DF0" w:rsidR="00811940" w:rsidRPr="00844990" w:rsidRDefault="00811940" w:rsidP="00811940">
            <w:pPr>
              <w:jc w:val="right"/>
              <w:rPr>
                <w:sz w:val="18"/>
              </w:rPr>
            </w:pPr>
          </w:p>
        </w:tc>
      </w:tr>
      <w:tr w:rsidR="00811940" w:rsidRPr="00E80EE2" w14:paraId="79D211F9" w14:textId="77777777" w:rsidTr="00F032BF">
        <w:trPr>
          <w:trHeight w:val="259"/>
        </w:trPr>
        <w:tc>
          <w:tcPr>
            <w:tcW w:w="3420" w:type="dxa"/>
            <w:tcBorders>
              <w:top w:val="nil"/>
              <w:left w:val="single" w:sz="4" w:space="0" w:color="auto"/>
              <w:bottom w:val="single" w:sz="4" w:space="0" w:color="auto"/>
              <w:right w:val="nil"/>
            </w:tcBorders>
          </w:tcPr>
          <w:p w14:paraId="433B343A" w14:textId="2FBBD81D" w:rsidR="00811940" w:rsidRPr="00E80EE2" w:rsidRDefault="00811940" w:rsidP="00811940">
            <w:pPr>
              <w:rPr>
                <w:sz w:val="18"/>
                <w:szCs w:val="20"/>
              </w:rPr>
            </w:pPr>
            <w:r w:rsidRPr="00E80EE2">
              <w:rPr>
                <w:sz w:val="18"/>
                <w:szCs w:val="20"/>
              </w:rPr>
              <w:t>Net non-operating revenues/(expenses)</w:t>
            </w:r>
          </w:p>
        </w:tc>
        <w:tc>
          <w:tcPr>
            <w:tcW w:w="1975" w:type="dxa"/>
            <w:tcBorders>
              <w:top w:val="nil"/>
              <w:left w:val="nil"/>
              <w:bottom w:val="single" w:sz="4" w:space="0" w:color="auto"/>
              <w:right w:val="nil"/>
            </w:tcBorders>
            <w:vAlign w:val="center"/>
          </w:tcPr>
          <w:p w14:paraId="60167CD1" w14:textId="50176E11" w:rsidR="00811940" w:rsidRPr="00E80EE2" w:rsidRDefault="00811940" w:rsidP="00811940">
            <w:pPr>
              <w:jc w:val="right"/>
              <w:rPr>
                <w:sz w:val="18"/>
                <w:szCs w:val="20"/>
              </w:rPr>
            </w:pPr>
            <w:r w:rsidRPr="00B570EE">
              <w:rPr>
                <w:sz w:val="18"/>
              </w:rPr>
              <w:t xml:space="preserve">147,501,356 </w:t>
            </w:r>
          </w:p>
        </w:tc>
        <w:tc>
          <w:tcPr>
            <w:tcW w:w="1530" w:type="dxa"/>
            <w:tcBorders>
              <w:top w:val="nil"/>
              <w:left w:val="nil"/>
              <w:bottom w:val="single" w:sz="4" w:space="0" w:color="auto"/>
              <w:right w:val="nil"/>
            </w:tcBorders>
            <w:vAlign w:val="center"/>
          </w:tcPr>
          <w:p w14:paraId="59BF537D" w14:textId="2DE65FB0" w:rsidR="00811940" w:rsidRPr="00E80EE2" w:rsidRDefault="00811940" w:rsidP="00811940">
            <w:pPr>
              <w:jc w:val="right"/>
              <w:rPr>
                <w:sz w:val="18"/>
                <w:szCs w:val="20"/>
              </w:rPr>
            </w:pPr>
            <w:r w:rsidRPr="00844990">
              <w:rPr>
                <w:sz w:val="18"/>
              </w:rPr>
              <w:t>170,590,756</w:t>
            </w:r>
          </w:p>
        </w:tc>
        <w:tc>
          <w:tcPr>
            <w:tcW w:w="1530" w:type="dxa"/>
            <w:tcBorders>
              <w:top w:val="nil"/>
              <w:left w:val="nil"/>
              <w:bottom w:val="single" w:sz="4" w:space="0" w:color="auto"/>
              <w:right w:val="nil"/>
            </w:tcBorders>
            <w:vAlign w:val="center"/>
          </w:tcPr>
          <w:p w14:paraId="1BF2BC07" w14:textId="79F1B0C9" w:rsidR="00811940" w:rsidRPr="00E80EE2" w:rsidRDefault="00811940" w:rsidP="00811940">
            <w:pPr>
              <w:jc w:val="right"/>
              <w:rPr>
                <w:sz w:val="18"/>
                <w:szCs w:val="20"/>
              </w:rPr>
            </w:pPr>
            <w:r w:rsidRPr="00297693">
              <w:rPr>
                <w:sz w:val="18"/>
              </w:rPr>
              <w:t>180,338,360</w:t>
            </w:r>
          </w:p>
        </w:tc>
        <w:tc>
          <w:tcPr>
            <w:tcW w:w="1605" w:type="dxa"/>
            <w:tcBorders>
              <w:top w:val="nil"/>
              <w:left w:val="nil"/>
              <w:bottom w:val="single" w:sz="4" w:space="0" w:color="auto"/>
              <w:right w:val="single" w:sz="4" w:space="0" w:color="auto"/>
            </w:tcBorders>
            <w:shd w:val="clear" w:color="auto" w:fill="auto"/>
            <w:vAlign w:val="center"/>
          </w:tcPr>
          <w:p w14:paraId="37BB9FFB" w14:textId="2916FD86" w:rsidR="00811940" w:rsidRPr="00844990" w:rsidRDefault="00811940" w:rsidP="00811940">
            <w:pPr>
              <w:jc w:val="right"/>
              <w:rPr>
                <w:sz w:val="18"/>
              </w:rPr>
            </w:pPr>
          </w:p>
        </w:tc>
      </w:tr>
      <w:tr w:rsidR="00811940" w:rsidRPr="00E80EE2" w14:paraId="02839DEC" w14:textId="77777777" w:rsidTr="00F032BF">
        <w:trPr>
          <w:trHeight w:val="259"/>
        </w:trPr>
        <w:tc>
          <w:tcPr>
            <w:tcW w:w="3420" w:type="dxa"/>
            <w:tcBorders>
              <w:top w:val="single" w:sz="4" w:space="0" w:color="auto"/>
              <w:left w:val="single" w:sz="4" w:space="0" w:color="auto"/>
              <w:bottom w:val="single" w:sz="4" w:space="0" w:color="auto"/>
              <w:right w:val="single" w:sz="4" w:space="0" w:color="auto"/>
            </w:tcBorders>
            <w:shd w:val="clear" w:color="auto" w:fill="000080"/>
          </w:tcPr>
          <w:p w14:paraId="0B08830F" w14:textId="6CF34448" w:rsidR="00811940" w:rsidRPr="00E80EE2" w:rsidRDefault="00811940" w:rsidP="00811940">
            <w:pPr>
              <w:ind w:firstLine="162"/>
              <w:rPr>
                <w:sz w:val="18"/>
                <w:szCs w:val="20"/>
              </w:rPr>
            </w:pPr>
            <w:r w:rsidRPr="00E80EE2">
              <w:rPr>
                <w:b/>
                <w:color w:val="FFFFFF" w:themeColor="background1"/>
                <w:sz w:val="20"/>
                <w:szCs w:val="20"/>
              </w:rPr>
              <w:t>Other revenue and expenses</w:t>
            </w:r>
          </w:p>
        </w:tc>
        <w:tc>
          <w:tcPr>
            <w:tcW w:w="1975" w:type="dxa"/>
            <w:tcBorders>
              <w:top w:val="single" w:sz="4" w:space="0" w:color="auto"/>
              <w:left w:val="single" w:sz="4" w:space="0" w:color="auto"/>
              <w:bottom w:val="single" w:sz="4" w:space="0" w:color="auto"/>
              <w:right w:val="single" w:sz="4" w:space="0" w:color="auto"/>
            </w:tcBorders>
            <w:shd w:val="clear" w:color="auto" w:fill="000080"/>
            <w:vAlign w:val="center"/>
          </w:tcPr>
          <w:p w14:paraId="65525D73" w14:textId="0CE316EC" w:rsidR="00811940" w:rsidRPr="00E80EE2" w:rsidRDefault="00811940" w:rsidP="00811940">
            <w:pPr>
              <w:jc w:val="right"/>
              <w:rPr>
                <w:sz w:val="18"/>
                <w:szCs w:val="20"/>
              </w:rPr>
            </w:pPr>
            <w:r>
              <w:rPr>
                <w:b/>
                <w:bCs/>
                <w:color w:val="FFFFFF"/>
                <w:sz w:val="20"/>
              </w:rPr>
              <w:t>FY 2019- restated</w:t>
            </w:r>
          </w:p>
        </w:tc>
        <w:tc>
          <w:tcPr>
            <w:tcW w:w="1530" w:type="dxa"/>
            <w:tcBorders>
              <w:top w:val="single" w:sz="4" w:space="0" w:color="auto"/>
              <w:left w:val="single" w:sz="4" w:space="0" w:color="auto"/>
              <w:bottom w:val="single" w:sz="4" w:space="0" w:color="auto"/>
              <w:right w:val="single" w:sz="4" w:space="0" w:color="auto"/>
            </w:tcBorders>
            <w:shd w:val="clear" w:color="auto" w:fill="000080"/>
            <w:vAlign w:val="center"/>
          </w:tcPr>
          <w:p w14:paraId="23D7F83E" w14:textId="6AE68424" w:rsidR="00811940" w:rsidRPr="00E80EE2" w:rsidRDefault="00811940" w:rsidP="00811940">
            <w:pPr>
              <w:jc w:val="right"/>
              <w:rPr>
                <w:sz w:val="18"/>
                <w:szCs w:val="20"/>
              </w:rPr>
            </w:pPr>
            <w:r>
              <w:rPr>
                <w:b/>
                <w:bCs/>
                <w:color w:val="FFFFFF"/>
                <w:sz w:val="20"/>
              </w:rPr>
              <w:t>FY 2020</w:t>
            </w:r>
          </w:p>
        </w:tc>
        <w:tc>
          <w:tcPr>
            <w:tcW w:w="1530" w:type="dxa"/>
            <w:tcBorders>
              <w:top w:val="single" w:sz="4" w:space="0" w:color="auto"/>
              <w:left w:val="single" w:sz="4" w:space="0" w:color="auto"/>
              <w:bottom w:val="single" w:sz="4" w:space="0" w:color="auto"/>
              <w:right w:val="single" w:sz="4" w:space="0" w:color="auto"/>
            </w:tcBorders>
            <w:shd w:val="clear" w:color="auto" w:fill="000080"/>
            <w:vAlign w:val="center"/>
          </w:tcPr>
          <w:p w14:paraId="2F5B38D8" w14:textId="6F3C6130" w:rsidR="00811940" w:rsidRPr="00E80EE2" w:rsidRDefault="00811940" w:rsidP="00811940">
            <w:pPr>
              <w:jc w:val="right"/>
              <w:rPr>
                <w:sz w:val="18"/>
                <w:szCs w:val="20"/>
              </w:rPr>
            </w:pPr>
            <w:r>
              <w:rPr>
                <w:b/>
                <w:bCs/>
                <w:color w:val="FFFFFF"/>
                <w:sz w:val="20"/>
              </w:rPr>
              <w:t>FY 2021</w:t>
            </w:r>
          </w:p>
        </w:tc>
        <w:tc>
          <w:tcPr>
            <w:tcW w:w="1605" w:type="dxa"/>
            <w:tcBorders>
              <w:top w:val="single" w:sz="4" w:space="0" w:color="auto"/>
              <w:left w:val="single" w:sz="4" w:space="0" w:color="auto"/>
              <w:bottom w:val="single" w:sz="4" w:space="0" w:color="auto"/>
              <w:right w:val="single" w:sz="4" w:space="0" w:color="auto"/>
            </w:tcBorders>
            <w:shd w:val="clear" w:color="auto" w:fill="000080"/>
            <w:vAlign w:val="center"/>
          </w:tcPr>
          <w:p w14:paraId="516149B3" w14:textId="74938EDD" w:rsidR="00811940" w:rsidRPr="00844990" w:rsidRDefault="00811940" w:rsidP="00811940">
            <w:pPr>
              <w:jc w:val="center"/>
              <w:rPr>
                <w:sz w:val="18"/>
              </w:rPr>
            </w:pPr>
            <w:r>
              <w:rPr>
                <w:b/>
                <w:bCs/>
                <w:color w:val="FFFFFF"/>
                <w:sz w:val="20"/>
              </w:rPr>
              <w:t>FY 2022</w:t>
            </w:r>
          </w:p>
        </w:tc>
      </w:tr>
      <w:tr w:rsidR="00811940" w:rsidRPr="00E80EE2" w14:paraId="359BE8D2" w14:textId="77777777" w:rsidTr="00F032BF">
        <w:trPr>
          <w:trHeight w:val="259"/>
        </w:trPr>
        <w:tc>
          <w:tcPr>
            <w:tcW w:w="3420" w:type="dxa"/>
            <w:tcBorders>
              <w:top w:val="single" w:sz="4" w:space="0" w:color="auto"/>
              <w:left w:val="single" w:sz="4" w:space="0" w:color="auto"/>
              <w:bottom w:val="nil"/>
              <w:right w:val="nil"/>
            </w:tcBorders>
          </w:tcPr>
          <w:p w14:paraId="0E4E2B5F" w14:textId="1B5D629C" w:rsidR="00811940" w:rsidRPr="00E80EE2" w:rsidRDefault="00811940" w:rsidP="00811940">
            <w:pPr>
              <w:rPr>
                <w:b/>
                <w:color w:val="FFFFFF" w:themeColor="background1"/>
                <w:sz w:val="20"/>
                <w:szCs w:val="20"/>
              </w:rPr>
            </w:pPr>
            <w:r w:rsidRPr="00E80EE2">
              <w:rPr>
                <w:sz w:val="18"/>
                <w:szCs w:val="20"/>
              </w:rPr>
              <w:t>Capital appropriations</w:t>
            </w:r>
          </w:p>
        </w:tc>
        <w:tc>
          <w:tcPr>
            <w:tcW w:w="1975" w:type="dxa"/>
            <w:tcBorders>
              <w:top w:val="single" w:sz="4" w:space="0" w:color="auto"/>
              <w:left w:val="nil"/>
              <w:bottom w:val="nil"/>
              <w:right w:val="nil"/>
            </w:tcBorders>
            <w:vAlign w:val="center"/>
          </w:tcPr>
          <w:p w14:paraId="7B7D2A07" w14:textId="09406AAE" w:rsidR="00811940" w:rsidRPr="00E80EE2" w:rsidRDefault="00811940" w:rsidP="00811940">
            <w:pPr>
              <w:jc w:val="right"/>
              <w:rPr>
                <w:b/>
                <w:bCs/>
                <w:color w:val="FFFFFF"/>
                <w:sz w:val="20"/>
              </w:rPr>
            </w:pPr>
            <w:r w:rsidRPr="00B570EE">
              <w:rPr>
                <w:sz w:val="18"/>
              </w:rPr>
              <w:t xml:space="preserve">666,061 </w:t>
            </w:r>
          </w:p>
        </w:tc>
        <w:tc>
          <w:tcPr>
            <w:tcW w:w="1530" w:type="dxa"/>
            <w:tcBorders>
              <w:top w:val="single" w:sz="4" w:space="0" w:color="auto"/>
              <w:left w:val="nil"/>
              <w:bottom w:val="nil"/>
              <w:right w:val="nil"/>
            </w:tcBorders>
            <w:vAlign w:val="center"/>
          </w:tcPr>
          <w:p w14:paraId="0BC257E4" w14:textId="0749531B" w:rsidR="00811940" w:rsidRPr="00E80EE2" w:rsidRDefault="00811940" w:rsidP="00811940">
            <w:pPr>
              <w:jc w:val="right"/>
              <w:rPr>
                <w:b/>
                <w:bCs/>
                <w:color w:val="FFFFFF"/>
                <w:sz w:val="20"/>
              </w:rPr>
            </w:pPr>
            <w:r w:rsidRPr="00844990">
              <w:rPr>
                <w:sz w:val="18"/>
              </w:rPr>
              <w:t>5,707,955</w:t>
            </w:r>
          </w:p>
        </w:tc>
        <w:tc>
          <w:tcPr>
            <w:tcW w:w="1530" w:type="dxa"/>
            <w:tcBorders>
              <w:top w:val="single" w:sz="4" w:space="0" w:color="auto"/>
              <w:left w:val="nil"/>
              <w:bottom w:val="nil"/>
              <w:right w:val="nil"/>
            </w:tcBorders>
            <w:vAlign w:val="center"/>
          </w:tcPr>
          <w:p w14:paraId="39B2775B" w14:textId="2305E7A3" w:rsidR="00811940" w:rsidRPr="00E80EE2" w:rsidRDefault="00811940" w:rsidP="00811940">
            <w:pPr>
              <w:jc w:val="right"/>
              <w:rPr>
                <w:b/>
                <w:bCs/>
                <w:color w:val="FFFFFF"/>
                <w:sz w:val="20"/>
              </w:rPr>
            </w:pPr>
            <w:r w:rsidRPr="00297693">
              <w:rPr>
                <w:sz w:val="18"/>
              </w:rPr>
              <w:t>2,052,336</w:t>
            </w:r>
          </w:p>
        </w:tc>
        <w:tc>
          <w:tcPr>
            <w:tcW w:w="1605" w:type="dxa"/>
            <w:tcBorders>
              <w:top w:val="single" w:sz="4" w:space="0" w:color="auto"/>
              <w:left w:val="nil"/>
              <w:bottom w:val="nil"/>
              <w:right w:val="single" w:sz="4" w:space="0" w:color="auto"/>
            </w:tcBorders>
            <w:shd w:val="clear" w:color="auto" w:fill="auto"/>
            <w:vAlign w:val="center"/>
          </w:tcPr>
          <w:p w14:paraId="39690149" w14:textId="38117789" w:rsidR="00811940" w:rsidRPr="00297693" w:rsidRDefault="00811940" w:rsidP="00811940">
            <w:pPr>
              <w:jc w:val="right"/>
              <w:rPr>
                <w:sz w:val="18"/>
              </w:rPr>
            </w:pPr>
          </w:p>
        </w:tc>
      </w:tr>
      <w:tr w:rsidR="00811940" w:rsidRPr="00E80EE2" w14:paraId="4B6872D6" w14:textId="77777777" w:rsidTr="00F032BF">
        <w:trPr>
          <w:trHeight w:val="259"/>
        </w:trPr>
        <w:tc>
          <w:tcPr>
            <w:tcW w:w="3420" w:type="dxa"/>
            <w:tcBorders>
              <w:top w:val="nil"/>
              <w:left w:val="single" w:sz="4" w:space="0" w:color="auto"/>
              <w:bottom w:val="nil"/>
              <w:right w:val="nil"/>
            </w:tcBorders>
          </w:tcPr>
          <w:p w14:paraId="393FA12C" w14:textId="7901B901" w:rsidR="00811940" w:rsidRPr="00E80EE2" w:rsidRDefault="00811940" w:rsidP="00811940">
            <w:pPr>
              <w:rPr>
                <w:sz w:val="18"/>
                <w:szCs w:val="20"/>
              </w:rPr>
            </w:pPr>
            <w:r w:rsidRPr="00E80EE2">
              <w:rPr>
                <w:sz w:val="18"/>
                <w:szCs w:val="20"/>
              </w:rPr>
              <w:t>Capital gifts and grants</w:t>
            </w:r>
          </w:p>
        </w:tc>
        <w:tc>
          <w:tcPr>
            <w:tcW w:w="1975" w:type="dxa"/>
            <w:tcBorders>
              <w:top w:val="nil"/>
              <w:left w:val="nil"/>
              <w:bottom w:val="nil"/>
              <w:right w:val="nil"/>
            </w:tcBorders>
            <w:vAlign w:val="center"/>
          </w:tcPr>
          <w:p w14:paraId="3A8F9FF6" w14:textId="34940DDD" w:rsidR="00811940" w:rsidRPr="00E80EE2" w:rsidRDefault="00811940" w:rsidP="00811940">
            <w:pPr>
              <w:jc w:val="right"/>
              <w:rPr>
                <w:sz w:val="18"/>
                <w:szCs w:val="20"/>
              </w:rPr>
            </w:pPr>
            <w:r w:rsidRPr="00B570EE">
              <w:rPr>
                <w:sz w:val="18"/>
              </w:rPr>
              <w:t xml:space="preserve">15,825,339 </w:t>
            </w:r>
          </w:p>
        </w:tc>
        <w:tc>
          <w:tcPr>
            <w:tcW w:w="1530" w:type="dxa"/>
            <w:tcBorders>
              <w:top w:val="nil"/>
              <w:left w:val="nil"/>
              <w:bottom w:val="nil"/>
              <w:right w:val="nil"/>
            </w:tcBorders>
            <w:vAlign w:val="center"/>
          </w:tcPr>
          <w:p w14:paraId="32F864DA" w14:textId="2EE4B339" w:rsidR="00811940" w:rsidRPr="00E80EE2" w:rsidRDefault="00811940" w:rsidP="00811940">
            <w:pPr>
              <w:jc w:val="right"/>
              <w:rPr>
                <w:sz w:val="18"/>
                <w:szCs w:val="20"/>
              </w:rPr>
            </w:pPr>
            <w:r w:rsidRPr="00844990">
              <w:rPr>
                <w:sz w:val="18"/>
              </w:rPr>
              <w:t>7,351,466</w:t>
            </w:r>
          </w:p>
        </w:tc>
        <w:tc>
          <w:tcPr>
            <w:tcW w:w="1530" w:type="dxa"/>
            <w:tcBorders>
              <w:top w:val="nil"/>
              <w:left w:val="nil"/>
              <w:bottom w:val="nil"/>
              <w:right w:val="nil"/>
            </w:tcBorders>
            <w:vAlign w:val="center"/>
          </w:tcPr>
          <w:p w14:paraId="7E41D9C8" w14:textId="16BC66AE" w:rsidR="00811940" w:rsidRPr="00E80EE2" w:rsidRDefault="00811940" w:rsidP="00811940">
            <w:pPr>
              <w:jc w:val="right"/>
              <w:rPr>
                <w:sz w:val="18"/>
                <w:szCs w:val="20"/>
              </w:rPr>
            </w:pPr>
            <w:r w:rsidRPr="00297693">
              <w:rPr>
                <w:sz w:val="18"/>
              </w:rPr>
              <w:t>873,449</w:t>
            </w:r>
          </w:p>
        </w:tc>
        <w:tc>
          <w:tcPr>
            <w:tcW w:w="1605" w:type="dxa"/>
            <w:tcBorders>
              <w:top w:val="nil"/>
              <w:left w:val="nil"/>
              <w:bottom w:val="nil"/>
              <w:right w:val="single" w:sz="4" w:space="0" w:color="auto"/>
            </w:tcBorders>
            <w:shd w:val="clear" w:color="auto" w:fill="auto"/>
            <w:vAlign w:val="center"/>
          </w:tcPr>
          <w:p w14:paraId="2D369E01" w14:textId="484F980D" w:rsidR="00811940" w:rsidRPr="00844990" w:rsidRDefault="00811940" w:rsidP="00811940">
            <w:pPr>
              <w:jc w:val="right"/>
              <w:rPr>
                <w:sz w:val="18"/>
              </w:rPr>
            </w:pPr>
          </w:p>
        </w:tc>
      </w:tr>
      <w:tr w:rsidR="00811940" w:rsidRPr="00E80EE2" w14:paraId="023026BA" w14:textId="77777777" w:rsidTr="00F032BF">
        <w:trPr>
          <w:trHeight w:val="259"/>
        </w:trPr>
        <w:tc>
          <w:tcPr>
            <w:tcW w:w="3420" w:type="dxa"/>
            <w:tcBorders>
              <w:top w:val="nil"/>
              <w:left w:val="single" w:sz="4" w:space="0" w:color="auto"/>
              <w:bottom w:val="single" w:sz="4" w:space="0" w:color="auto"/>
              <w:right w:val="nil"/>
            </w:tcBorders>
          </w:tcPr>
          <w:p w14:paraId="010A53DD" w14:textId="33F426B7" w:rsidR="00811940" w:rsidRPr="00E80EE2" w:rsidRDefault="00811940" w:rsidP="00811940">
            <w:pPr>
              <w:rPr>
                <w:sz w:val="18"/>
                <w:szCs w:val="20"/>
              </w:rPr>
            </w:pPr>
            <w:r w:rsidRPr="00E80EE2">
              <w:rPr>
                <w:sz w:val="18"/>
                <w:szCs w:val="20"/>
              </w:rPr>
              <w:t>Total other revenues and expenses</w:t>
            </w:r>
          </w:p>
        </w:tc>
        <w:tc>
          <w:tcPr>
            <w:tcW w:w="1975" w:type="dxa"/>
            <w:tcBorders>
              <w:top w:val="nil"/>
              <w:left w:val="nil"/>
              <w:bottom w:val="single" w:sz="4" w:space="0" w:color="auto"/>
              <w:right w:val="nil"/>
            </w:tcBorders>
            <w:vAlign w:val="center"/>
          </w:tcPr>
          <w:p w14:paraId="7E3ABCD8" w14:textId="54BBD3F0" w:rsidR="00811940" w:rsidRPr="00E80EE2" w:rsidRDefault="00811940" w:rsidP="00811940">
            <w:pPr>
              <w:jc w:val="right"/>
              <w:rPr>
                <w:sz w:val="18"/>
                <w:szCs w:val="20"/>
              </w:rPr>
            </w:pPr>
            <w:r w:rsidRPr="00B570EE">
              <w:rPr>
                <w:sz w:val="18"/>
              </w:rPr>
              <w:t xml:space="preserve">16,491,400 </w:t>
            </w:r>
          </w:p>
        </w:tc>
        <w:tc>
          <w:tcPr>
            <w:tcW w:w="1530" w:type="dxa"/>
            <w:tcBorders>
              <w:top w:val="nil"/>
              <w:left w:val="nil"/>
              <w:bottom w:val="single" w:sz="4" w:space="0" w:color="auto"/>
              <w:right w:val="nil"/>
            </w:tcBorders>
            <w:vAlign w:val="center"/>
          </w:tcPr>
          <w:p w14:paraId="2E6BA2CE" w14:textId="44BE76E7" w:rsidR="00811940" w:rsidRPr="00E80EE2" w:rsidRDefault="00811940" w:rsidP="00811940">
            <w:pPr>
              <w:jc w:val="right"/>
              <w:rPr>
                <w:sz w:val="18"/>
                <w:szCs w:val="20"/>
              </w:rPr>
            </w:pPr>
            <w:r w:rsidRPr="00844990">
              <w:rPr>
                <w:sz w:val="18"/>
              </w:rPr>
              <w:t>13,059,421</w:t>
            </w:r>
          </w:p>
        </w:tc>
        <w:tc>
          <w:tcPr>
            <w:tcW w:w="1530" w:type="dxa"/>
            <w:tcBorders>
              <w:top w:val="nil"/>
              <w:left w:val="nil"/>
              <w:bottom w:val="single" w:sz="4" w:space="0" w:color="auto"/>
              <w:right w:val="nil"/>
            </w:tcBorders>
            <w:vAlign w:val="center"/>
          </w:tcPr>
          <w:p w14:paraId="725187BC" w14:textId="59E45827" w:rsidR="00811940" w:rsidRPr="00E80EE2" w:rsidRDefault="00811940" w:rsidP="00811940">
            <w:pPr>
              <w:jc w:val="right"/>
              <w:rPr>
                <w:sz w:val="18"/>
                <w:szCs w:val="20"/>
              </w:rPr>
            </w:pPr>
            <w:r w:rsidRPr="00297693">
              <w:rPr>
                <w:sz w:val="18"/>
              </w:rPr>
              <w:t>2,925,785</w:t>
            </w:r>
          </w:p>
        </w:tc>
        <w:tc>
          <w:tcPr>
            <w:tcW w:w="1605" w:type="dxa"/>
            <w:tcBorders>
              <w:top w:val="nil"/>
              <w:left w:val="nil"/>
              <w:bottom w:val="single" w:sz="4" w:space="0" w:color="auto"/>
              <w:right w:val="single" w:sz="4" w:space="0" w:color="auto"/>
            </w:tcBorders>
            <w:shd w:val="clear" w:color="auto" w:fill="auto"/>
            <w:vAlign w:val="center"/>
          </w:tcPr>
          <w:p w14:paraId="30286ABA" w14:textId="084B1855" w:rsidR="00811940" w:rsidRPr="00844990" w:rsidRDefault="00811940" w:rsidP="00811940">
            <w:pPr>
              <w:jc w:val="right"/>
              <w:rPr>
                <w:sz w:val="18"/>
              </w:rPr>
            </w:pPr>
          </w:p>
        </w:tc>
      </w:tr>
      <w:tr w:rsidR="00811940" w:rsidRPr="00E80EE2" w14:paraId="2858EF42" w14:textId="77777777" w:rsidTr="00704F84">
        <w:trPr>
          <w:trHeight w:val="259"/>
        </w:trPr>
        <w:tc>
          <w:tcPr>
            <w:tcW w:w="3420" w:type="dxa"/>
            <w:tcBorders>
              <w:top w:val="single" w:sz="4" w:space="0" w:color="auto"/>
              <w:left w:val="single" w:sz="4" w:space="0" w:color="auto"/>
              <w:bottom w:val="single" w:sz="4" w:space="0" w:color="auto"/>
              <w:right w:val="single" w:sz="4" w:space="0" w:color="auto"/>
            </w:tcBorders>
            <w:shd w:val="clear" w:color="auto" w:fill="000080"/>
          </w:tcPr>
          <w:p w14:paraId="0C4A4E82" w14:textId="40FC725C" w:rsidR="00811940" w:rsidRPr="00E80EE2" w:rsidRDefault="00811940" w:rsidP="00811940">
            <w:pPr>
              <w:ind w:firstLine="162"/>
              <w:rPr>
                <w:sz w:val="18"/>
                <w:szCs w:val="20"/>
              </w:rPr>
            </w:pPr>
          </w:p>
        </w:tc>
        <w:tc>
          <w:tcPr>
            <w:tcW w:w="1975" w:type="dxa"/>
            <w:tcBorders>
              <w:top w:val="single" w:sz="4" w:space="0" w:color="auto"/>
              <w:left w:val="single" w:sz="4" w:space="0" w:color="auto"/>
              <w:bottom w:val="single" w:sz="4" w:space="0" w:color="auto"/>
              <w:right w:val="single" w:sz="4" w:space="0" w:color="auto"/>
            </w:tcBorders>
            <w:shd w:val="clear" w:color="auto" w:fill="000080"/>
            <w:vAlign w:val="center"/>
          </w:tcPr>
          <w:p w14:paraId="3D150BAB" w14:textId="6F60CB81" w:rsidR="00811940" w:rsidRPr="00E80EE2" w:rsidRDefault="00811940" w:rsidP="00811940">
            <w:pPr>
              <w:jc w:val="right"/>
              <w:rPr>
                <w:sz w:val="18"/>
                <w:szCs w:val="20"/>
              </w:rPr>
            </w:pPr>
            <w:r>
              <w:rPr>
                <w:b/>
                <w:bCs/>
                <w:color w:val="FFFFFF"/>
                <w:sz w:val="20"/>
              </w:rPr>
              <w:t>FY 2019- restated</w:t>
            </w:r>
          </w:p>
        </w:tc>
        <w:tc>
          <w:tcPr>
            <w:tcW w:w="1530" w:type="dxa"/>
            <w:tcBorders>
              <w:top w:val="single" w:sz="4" w:space="0" w:color="auto"/>
              <w:left w:val="single" w:sz="4" w:space="0" w:color="auto"/>
              <w:bottom w:val="single" w:sz="4" w:space="0" w:color="auto"/>
              <w:right w:val="single" w:sz="4" w:space="0" w:color="auto"/>
            </w:tcBorders>
            <w:shd w:val="clear" w:color="auto" w:fill="000080"/>
            <w:vAlign w:val="center"/>
          </w:tcPr>
          <w:p w14:paraId="6B6D835F" w14:textId="4BB91AA4" w:rsidR="00811940" w:rsidRPr="00E80EE2" w:rsidRDefault="00811940" w:rsidP="00811940">
            <w:pPr>
              <w:jc w:val="right"/>
              <w:rPr>
                <w:sz w:val="18"/>
                <w:szCs w:val="20"/>
              </w:rPr>
            </w:pPr>
            <w:r>
              <w:rPr>
                <w:b/>
                <w:bCs/>
                <w:color w:val="FFFFFF"/>
                <w:sz w:val="20"/>
              </w:rPr>
              <w:t>FY 2020</w:t>
            </w:r>
          </w:p>
        </w:tc>
        <w:tc>
          <w:tcPr>
            <w:tcW w:w="1530" w:type="dxa"/>
            <w:tcBorders>
              <w:top w:val="single" w:sz="4" w:space="0" w:color="auto"/>
              <w:left w:val="single" w:sz="4" w:space="0" w:color="auto"/>
              <w:bottom w:val="single" w:sz="4" w:space="0" w:color="auto"/>
              <w:right w:val="single" w:sz="4" w:space="0" w:color="auto"/>
            </w:tcBorders>
            <w:shd w:val="clear" w:color="auto" w:fill="000080"/>
            <w:vAlign w:val="center"/>
          </w:tcPr>
          <w:p w14:paraId="6355D510" w14:textId="23C55A12" w:rsidR="00811940" w:rsidRPr="00E80EE2" w:rsidRDefault="00811940" w:rsidP="00811940">
            <w:pPr>
              <w:jc w:val="right"/>
              <w:rPr>
                <w:sz w:val="18"/>
                <w:szCs w:val="20"/>
              </w:rPr>
            </w:pPr>
            <w:r>
              <w:rPr>
                <w:b/>
                <w:bCs/>
                <w:color w:val="FFFFFF"/>
                <w:sz w:val="20"/>
              </w:rPr>
              <w:t>FY 2021</w:t>
            </w:r>
          </w:p>
        </w:tc>
        <w:tc>
          <w:tcPr>
            <w:tcW w:w="1605" w:type="dxa"/>
            <w:tcBorders>
              <w:top w:val="single" w:sz="4" w:space="0" w:color="auto"/>
              <w:left w:val="single" w:sz="4" w:space="0" w:color="auto"/>
              <w:bottom w:val="single" w:sz="4" w:space="0" w:color="auto"/>
              <w:right w:val="single" w:sz="4" w:space="0" w:color="auto"/>
            </w:tcBorders>
            <w:shd w:val="clear" w:color="auto" w:fill="000080"/>
            <w:vAlign w:val="center"/>
          </w:tcPr>
          <w:p w14:paraId="6F9A77F7" w14:textId="4AEDF12A" w:rsidR="00811940" w:rsidRPr="00844990" w:rsidRDefault="00811940" w:rsidP="00811940">
            <w:pPr>
              <w:jc w:val="center"/>
              <w:rPr>
                <w:sz w:val="18"/>
              </w:rPr>
            </w:pPr>
            <w:r>
              <w:rPr>
                <w:b/>
                <w:bCs/>
                <w:color w:val="FFFFFF"/>
                <w:sz w:val="20"/>
              </w:rPr>
              <w:t>FY 2022</w:t>
            </w:r>
          </w:p>
        </w:tc>
      </w:tr>
      <w:tr w:rsidR="00811940" w:rsidRPr="00E80EE2" w14:paraId="67E698E1" w14:textId="77777777" w:rsidTr="00704F84">
        <w:trPr>
          <w:trHeight w:val="259"/>
        </w:trPr>
        <w:tc>
          <w:tcPr>
            <w:tcW w:w="3420" w:type="dxa"/>
            <w:tcBorders>
              <w:top w:val="single" w:sz="4" w:space="0" w:color="auto"/>
              <w:left w:val="single" w:sz="4" w:space="0" w:color="auto"/>
              <w:bottom w:val="nil"/>
              <w:right w:val="nil"/>
            </w:tcBorders>
          </w:tcPr>
          <w:p w14:paraId="76DF83ED" w14:textId="7BF2864F" w:rsidR="00811940" w:rsidRPr="00E80EE2" w:rsidRDefault="00811940" w:rsidP="00811940">
            <w:pPr>
              <w:rPr>
                <w:sz w:val="20"/>
                <w:szCs w:val="20"/>
              </w:rPr>
            </w:pPr>
            <w:r w:rsidRPr="00E80EE2">
              <w:rPr>
                <w:sz w:val="18"/>
                <w:szCs w:val="20"/>
              </w:rPr>
              <w:t>Increase/decrease in net position</w:t>
            </w:r>
          </w:p>
        </w:tc>
        <w:tc>
          <w:tcPr>
            <w:tcW w:w="1975" w:type="dxa"/>
            <w:tcBorders>
              <w:top w:val="single" w:sz="4" w:space="0" w:color="auto"/>
              <w:left w:val="nil"/>
              <w:bottom w:val="nil"/>
              <w:right w:val="nil"/>
            </w:tcBorders>
            <w:vAlign w:val="center"/>
          </w:tcPr>
          <w:p w14:paraId="7B053475" w14:textId="32EAECEE" w:rsidR="00811940" w:rsidRPr="00E80EE2" w:rsidRDefault="00811940" w:rsidP="00811940">
            <w:pPr>
              <w:jc w:val="right"/>
              <w:rPr>
                <w:b/>
                <w:bCs/>
                <w:color w:val="FFFFFF"/>
                <w:sz w:val="20"/>
              </w:rPr>
            </w:pPr>
            <w:r w:rsidRPr="00B570EE">
              <w:rPr>
                <w:sz w:val="18"/>
              </w:rPr>
              <w:t xml:space="preserve">28,926,651 </w:t>
            </w:r>
          </w:p>
        </w:tc>
        <w:tc>
          <w:tcPr>
            <w:tcW w:w="1530" w:type="dxa"/>
            <w:tcBorders>
              <w:top w:val="single" w:sz="4" w:space="0" w:color="auto"/>
              <w:left w:val="nil"/>
              <w:bottom w:val="nil"/>
              <w:right w:val="nil"/>
            </w:tcBorders>
            <w:vAlign w:val="center"/>
          </w:tcPr>
          <w:p w14:paraId="11BA63B8" w14:textId="799033A2" w:rsidR="00811940" w:rsidRPr="00E80EE2" w:rsidRDefault="00811940" w:rsidP="00811940">
            <w:pPr>
              <w:jc w:val="right"/>
              <w:rPr>
                <w:b/>
                <w:bCs/>
                <w:color w:val="FFFFFF"/>
                <w:sz w:val="20"/>
              </w:rPr>
            </w:pPr>
            <w:r w:rsidRPr="00844990">
              <w:rPr>
                <w:sz w:val="18"/>
              </w:rPr>
              <w:t>32,576,97</w:t>
            </w:r>
            <w:r>
              <w:rPr>
                <w:sz w:val="18"/>
              </w:rPr>
              <w:t>5</w:t>
            </w:r>
          </w:p>
        </w:tc>
        <w:tc>
          <w:tcPr>
            <w:tcW w:w="1530" w:type="dxa"/>
            <w:tcBorders>
              <w:top w:val="single" w:sz="4" w:space="0" w:color="auto"/>
              <w:left w:val="nil"/>
              <w:bottom w:val="nil"/>
              <w:right w:val="nil"/>
            </w:tcBorders>
            <w:vAlign w:val="center"/>
          </w:tcPr>
          <w:p w14:paraId="36903D05" w14:textId="2C19D181" w:rsidR="00811940" w:rsidRPr="00E80EE2" w:rsidRDefault="00811940" w:rsidP="00811940">
            <w:pPr>
              <w:jc w:val="right"/>
              <w:rPr>
                <w:b/>
                <w:bCs/>
                <w:color w:val="FFFFFF"/>
                <w:sz w:val="20"/>
              </w:rPr>
            </w:pPr>
            <w:r w:rsidRPr="00297693">
              <w:rPr>
                <w:sz w:val="18"/>
              </w:rPr>
              <w:t>28,454,230</w:t>
            </w:r>
          </w:p>
        </w:tc>
        <w:tc>
          <w:tcPr>
            <w:tcW w:w="1605" w:type="dxa"/>
            <w:tcBorders>
              <w:top w:val="single" w:sz="4" w:space="0" w:color="auto"/>
              <w:left w:val="nil"/>
              <w:bottom w:val="nil"/>
              <w:right w:val="single" w:sz="4" w:space="0" w:color="auto"/>
            </w:tcBorders>
            <w:shd w:val="clear" w:color="auto" w:fill="auto"/>
            <w:vAlign w:val="center"/>
          </w:tcPr>
          <w:p w14:paraId="6DE0F7C0" w14:textId="157D0D70" w:rsidR="00811940" w:rsidRPr="00297693" w:rsidRDefault="00811940" w:rsidP="00811940">
            <w:pPr>
              <w:jc w:val="right"/>
              <w:rPr>
                <w:sz w:val="18"/>
              </w:rPr>
            </w:pPr>
          </w:p>
        </w:tc>
      </w:tr>
      <w:tr w:rsidR="00811940" w:rsidRPr="00E80EE2" w14:paraId="3F0610BD" w14:textId="77777777" w:rsidTr="00704F84">
        <w:trPr>
          <w:trHeight w:val="259"/>
        </w:trPr>
        <w:tc>
          <w:tcPr>
            <w:tcW w:w="3420" w:type="dxa"/>
            <w:tcBorders>
              <w:top w:val="nil"/>
              <w:left w:val="single" w:sz="4" w:space="0" w:color="auto"/>
              <w:bottom w:val="nil"/>
              <w:right w:val="nil"/>
            </w:tcBorders>
          </w:tcPr>
          <w:p w14:paraId="1483E108" w14:textId="51D291E6" w:rsidR="00811940" w:rsidRPr="00E80EE2" w:rsidRDefault="00811940" w:rsidP="00811940">
            <w:pPr>
              <w:rPr>
                <w:sz w:val="18"/>
                <w:szCs w:val="20"/>
              </w:rPr>
            </w:pPr>
            <w:r w:rsidRPr="00E80EE2">
              <w:rPr>
                <w:sz w:val="18"/>
                <w:szCs w:val="20"/>
              </w:rPr>
              <w:t>Net position - beginning of year</w:t>
            </w:r>
          </w:p>
        </w:tc>
        <w:tc>
          <w:tcPr>
            <w:tcW w:w="1975" w:type="dxa"/>
            <w:tcBorders>
              <w:top w:val="nil"/>
              <w:left w:val="nil"/>
              <w:bottom w:val="nil"/>
              <w:right w:val="nil"/>
            </w:tcBorders>
            <w:vAlign w:val="center"/>
          </w:tcPr>
          <w:p w14:paraId="4B6E94B2" w14:textId="7586FAE1" w:rsidR="00811940" w:rsidRPr="00E80EE2" w:rsidRDefault="00811940" w:rsidP="00811940">
            <w:pPr>
              <w:jc w:val="right"/>
              <w:rPr>
                <w:sz w:val="18"/>
                <w:szCs w:val="20"/>
              </w:rPr>
            </w:pPr>
            <w:r w:rsidRPr="00B570EE">
              <w:rPr>
                <w:sz w:val="18"/>
              </w:rPr>
              <w:t xml:space="preserve">434,468,553 </w:t>
            </w:r>
          </w:p>
        </w:tc>
        <w:tc>
          <w:tcPr>
            <w:tcW w:w="1530" w:type="dxa"/>
            <w:tcBorders>
              <w:top w:val="nil"/>
              <w:left w:val="nil"/>
              <w:bottom w:val="nil"/>
              <w:right w:val="nil"/>
            </w:tcBorders>
            <w:vAlign w:val="center"/>
          </w:tcPr>
          <w:p w14:paraId="6C4B3D63" w14:textId="565392B5" w:rsidR="00811940" w:rsidRPr="00E80EE2" w:rsidRDefault="00811940" w:rsidP="00811940">
            <w:pPr>
              <w:jc w:val="right"/>
              <w:rPr>
                <w:sz w:val="18"/>
                <w:szCs w:val="20"/>
              </w:rPr>
            </w:pPr>
            <w:r w:rsidRPr="00844990">
              <w:rPr>
                <w:sz w:val="18"/>
              </w:rPr>
              <w:t>463,395,204</w:t>
            </w:r>
          </w:p>
        </w:tc>
        <w:tc>
          <w:tcPr>
            <w:tcW w:w="1530" w:type="dxa"/>
            <w:tcBorders>
              <w:top w:val="nil"/>
              <w:left w:val="nil"/>
              <w:bottom w:val="nil"/>
              <w:right w:val="nil"/>
            </w:tcBorders>
            <w:vAlign w:val="center"/>
          </w:tcPr>
          <w:p w14:paraId="1D7EFF2B" w14:textId="5F300517" w:rsidR="00811940" w:rsidRPr="00E80EE2" w:rsidRDefault="00811940" w:rsidP="00811940">
            <w:pPr>
              <w:jc w:val="right"/>
              <w:rPr>
                <w:sz w:val="18"/>
                <w:szCs w:val="20"/>
              </w:rPr>
            </w:pPr>
            <w:r w:rsidRPr="00297693">
              <w:rPr>
                <w:sz w:val="18"/>
              </w:rPr>
              <w:t>495,972,179</w:t>
            </w:r>
          </w:p>
        </w:tc>
        <w:tc>
          <w:tcPr>
            <w:tcW w:w="1605" w:type="dxa"/>
            <w:tcBorders>
              <w:top w:val="nil"/>
              <w:left w:val="nil"/>
              <w:bottom w:val="nil"/>
              <w:right w:val="single" w:sz="4" w:space="0" w:color="auto"/>
            </w:tcBorders>
            <w:shd w:val="clear" w:color="auto" w:fill="auto"/>
            <w:vAlign w:val="center"/>
          </w:tcPr>
          <w:p w14:paraId="0B437E53" w14:textId="0B605B00" w:rsidR="00811940" w:rsidRPr="00844990" w:rsidRDefault="00811940" w:rsidP="00811940">
            <w:pPr>
              <w:jc w:val="right"/>
              <w:rPr>
                <w:sz w:val="18"/>
              </w:rPr>
            </w:pPr>
          </w:p>
        </w:tc>
      </w:tr>
      <w:tr w:rsidR="00811940" w:rsidRPr="00E80EE2" w14:paraId="2DB25E0C" w14:textId="77777777" w:rsidTr="00704F84">
        <w:trPr>
          <w:trHeight w:val="259"/>
        </w:trPr>
        <w:tc>
          <w:tcPr>
            <w:tcW w:w="3420" w:type="dxa"/>
            <w:tcBorders>
              <w:top w:val="nil"/>
              <w:left w:val="single" w:sz="4" w:space="0" w:color="auto"/>
              <w:bottom w:val="single" w:sz="4" w:space="0" w:color="auto"/>
              <w:right w:val="nil"/>
            </w:tcBorders>
          </w:tcPr>
          <w:p w14:paraId="66BCE80B" w14:textId="5B35044D" w:rsidR="00811940" w:rsidRPr="00E80EE2" w:rsidRDefault="00811940" w:rsidP="00811940">
            <w:pPr>
              <w:rPr>
                <w:sz w:val="18"/>
                <w:szCs w:val="20"/>
              </w:rPr>
            </w:pPr>
            <w:r w:rsidRPr="00E80EE2">
              <w:rPr>
                <w:sz w:val="18"/>
                <w:szCs w:val="20"/>
              </w:rPr>
              <w:t>Net position - end of year</w:t>
            </w:r>
          </w:p>
        </w:tc>
        <w:tc>
          <w:tcPr>
            <w:tcW w:w="1975" w:type="dxa"/>
            <w:tcBorders>
              <w:top w:val="nil"/>
              <w:left w:val="nil"/>
              <w:bottom w:val="single" w:sz="4" w:space="0" w:color="auto"/>
              <w:right w:val="nil"/>
            </w:tcBorders>
            <w:vAlign w:val="center"/>
          </w:tcPr>
          <w:p w14:paraId="79058481" w14:textId="50402D4E" w:rsidR="00811940" w:rsidRPr="00E80EE2" w:rsidRDefault="00811940" w:rsidP="00811940">
            <w:pPr>
              <w:jc w:val="right"/>
              <w:rPr>
                <w:sz w:val="18"/>
                <w:szCs w:val="20"/>
              </w:rPr>
            </w:pPr>
            <w:r w:rsidRPr="00B570EE">
              <w:rPr>
                <w:sz w:val="18"/>
              </w:rPr>
              <w:t xml:space="preserve">463,395,204 </w:t>
            </w:r>
          </w:p>
        </w:tc>
        <w:tc>
          <w:tcPr>
            <w:tcW w:w="1530" w:type="dxa"/>
            <w:tcBorders>
              <w:top w:val="nil"/>
              <w:left w:val="nil"/>
              <w:bottom w:val="single" w:sz="4" w:space="0" w:color="auto"/>
              <w:right w:val="nil"/>
            </w:tcBorders>
            <w:vAlign w:val="center"/>
          </w:tcPr>
          <w:p w14:paraId="63B93954" w14:textId="4916DD08" w:rsidR="00811940" w:rsidRPr="00E80EE2" w:rsidRDefault="00811940" w:rsidP="00811940">
            <w:pPr>
              <w:jc w:val="right"/>
              <w:rPr>
                <w:sz w:val="18"/>
                <w:szCs w:val="20"/>
              </w:rPr>
            </w:pPr>
            <w:r w:rsidRPr="00844990">
              <w:rPr>
                <w:sz w:val="18"/>
              </w:rPr>
              <w:t>495,972,17</w:t>
            </w:r>
            <w:r>
              <w:rPr>
                <w:sz w:val="18"/>
              </w:rPr>
              <w:t>9</w:t>
            </w:r>
          </w:p>
        </w:tc>
        <w:tc>
          <w:tcPr>
            <w:tcW w:w="1530" w:type="dxa"/>
            <w:tcBorders>
              <w:top w:val="nil"/>
              <w:left w:val="nil"/>
              <w:bottom w:val="single" w:sz="4" w:space="0" w:color="auto"/>
              <w:right w:val="nil"/>
            </w:tcBorders>
            <w:vAlign w:val="center"/>
          </w:tcPr>
          <w:p w14:paraId="53D93E15" w14:textId="0D2A51A1" w:rsidR="00811940" w:rsidRPr="00E80EE2" w:rsidRDefault="00811940" w:rsidP="00811940">
            <w:pPr>
              <w:jc w:val="right"/>
              <w:rPr>
                <w:sz w:val="18"/>
                <w:szCs w:val="20"/>
              </w:rPr>
            </w:pPr>
            <w:r w:rsidRPr="00297693">
              <w:rPr>
                <w:sz w:val="18"/>
              </w:rPr>
              <w:t>524,426,409</w:t>
            </w:r>
          </w:p>
        </w:tc>
        <w:tc>
          <w:tcPr>
            <w:tcW w:w="1605" w:type="dxa"/>
            <w:tcBorders>
              <w:top w:val="nil"/>
              <w:left w:val="nil"/>
              <w:bottom w:val="single" w:sz="4" w:space="0" w:color="auto"/>
              <w:right w:val="single" w:sz="4" w:space="0" w:color="auto"/>
            </w:tcBorders>
            <w:shd w:val="clear" w:color="auto" w:fill="auto"/>
            <w:vAlign w:val="center"/>
          </w:tcPr>
          <w:p w14:paraId="37E3EF44" w14:textId="75A03144" w:rsidR="00811940" w:rsidRPr="00844990" w:rsidRDefault="00811940" w:rsidP="00811940">
            <w:pPr>
              <w:jc w:val="right"/>
              <w:rPr>
                <w:sz w:val="18"/>
              </w:rPr>
            </w:pPr>
          </w:p>
        </w:tc>
      </w:tr>
    </w:tbl>
    <w:p w14:paraId="5FB908D5" w14:textId="3989D1D4" w:rsidR="00DE6D55" w:rsidRPr="00E80EE2" w:rsidRDefault="00DE6D55" w:rsidP="00E80EE2">
      <w:pPr>
        <w:tabs>
          <w:tab w:val="left" w:pos="990"/>
        </w:tabs>
        <w:rPr>
          <w:noProof/>
          <w:szCs w:val="20"/>
        </w:rPr>
      </w:pPr>
    </w:p>
    <w:p w14:paraId="56D3665B" w14:textId="77777777" w:rsidR="009110C6" w:rsidRPr="00E80EE2" w:rsidRDefault="009110C6" w:rsidP="00E80EE2">
      <w:pPr>
        <w:jc w:val="both"/>
        <w:rPr>
          <w:b/>
          <w:bCs/>
          <w:u w:val="single"/>
        </w:rPr>
      </w:pPr>
      <w:r w:rsidRPr="00E80EE2">
        <w:rPr>
          <w:b/>
          <w:bCs/>
        </w:rPr>
        <w:t>Profile of Cases Managed and/or Key Services Provided</w:t>
      </w:r>
    </w:p>
    <w:tbl>
      <w:tblPr>
        <w:tblW w:w="5000" w:type="pct"/>
        <w:tblLayout w:type="fixed"/>
        <w:tblCellMar>
          <w:top w:w="29" w:type="dxa"/>
        </w:tblCellMar>
        <w:tblLook w:val="06A0" w:firstRow="1" w:lastRow="0" w:firstColumn="1" w:lastColumn="0" w:noHBand="1" w:noVBand="1"/>
      </w:tblPr>
      <w:tblGrid>
        <w:gridCol w:w="4617"/>
        <w:gridCol w:w="1349"/>
        <w:gridCol w:w="1349"/>
        <w:gridCol w:w="1349"/>
        <w:gridCol w:w="1406"/>
      </w:tblGrid>
      <w:tr w:rsidR="00520183" w:rsidRPr="00E80EE2" w14:paraId="773D67DF" w14:textId="77777777" w:rsidTr="00520183">
        <w:trPr>
          <w:trHeight w:val="251"/>
          <w:tblHeader/>
        </w:trPr>
        <w:tc>
          <w:tcPr>
            <w:tcW w:w="4617" w:type="dxa"/>
            <w:tcBorders>
              <w:top w:val="single" w:sz="4" w:space="0" w:color="auto"/>
              <w:left w:val="single" w:sz="4" w:space="0" w:color="auto"/>
              <w:bottom w:val="single" w:sz="4" w:space="0" w:color="auto"/>
              <w:right w:val="single" w:sz="4" w:space="0" w:color="auto"/>
            </w:tcBorders>
            <w:shd w:val="clear" w:color="000000" w:fill="000080"/>
            <w:vAlign w:val="center"/>
            <w:hideMark/>
          </w:tcPr>
          <w:p w14:paraId="070A8F8C" w14:textId="77777777" w:rsidR="00520183" w:rsidRPr="00E80EE2" w:rsidRDefault="00520183" w:rsidP="00520183">
            <w:pPr>
              <w:jc w:val="center"/>
              <w:rPr>
                <w:b/>
                <w:bCs/>
                <w:color w:val="FFFFFF"/>
                <w:sz w:val="20"/>
                <w:szCs w:val="20"/>
              </w:rPr>
            </w:pPr>
            <w:r w:rsidRPr="00E80EE2">
              <w:rPr>
                <w:b/>
                <w:bCs/>
                <w:color w:val="FFFFFF"/>
                <w:sz w:val="20"/>
                <w:szCs w:val="20"/>
              </w:rPr>
              <w:t>Cases Managed and/or Key Services Provided</w:t>
            </w:r>
          </w:p>
        </w:tc>
        <w:tc>
          <w:tcPr>
            <w:tcW w:w="1349" w:type="dxa"/>
            <w:tcBorders>
              <w:top w:val="single" w:sz="4" w:space="0" w:color="auto"/>
              <w:left w:val="single" w:sz="4" w:space="0" w:color="auto"/>
              <w:bottom w:val="single" w:sz="4" w:space="0" w:color="auto"/>
              <w:right w:val="single" w:sz="4" w:space="0" w:color="auto"/>
            </w:tcBorders>
            <w:shd w:val="clear" w:color="000000" w:fill="000080"/>
            <w:vAlign w:val="center"/>
          </w:tcPr>
          <w:p w14:paraId="3B31A335" w14:textId="1AE17431" w:rsidR="00520183" w:rsidRPr="00E80EE2" w:rsidRDefault="00704F84" w:rsidP="00520183">
            <w:pPr>
              <w:jc w:val="center"/>
              <w:rPr>
                <w:b/>
                <w:bCs/>
                <w:color w:val="FFFFFF"/>
                <w:sz w:val="20"/>
                <w:szCs w:val="20"/>
              </w:rPr>
            </w:pPr>
            <w:r>
              <w:rPr>
                <w:b/>
                <w:bCs/>
                <w:color w:val="FFFFFF"/>
                <w:sz w:val="20"/>
                <w:szCs w:val="20"/>
              </w:rPr>
              <w:t>FY 2019</w:t>
            </w:r>
          </w:p>
        </w:tc>
        <w:tc>
          <w:tcPr>
            <w:tcW w:w="1349" w:type="dxa"/>
            <w:tcBorders>
              <w:top w:val="single" w:sz="4" w:space="0" w:color="auto"/>
              <w:left w:val="single" w:sz="4" w:space="0" w:color="auto"/>
              <w:bottom w:val="single" w:sz="4" w:space="0" w:color="auto"/>
              <w:right w:val="single" w:sz="4" w:space="0" w:color="auto"/>
            </w:tcBorders>
            <w:shd w:val="clear" w:color="000000" w:fill="000080"/>
            <w:vAlign w:val="center"/>
          </w:tcPr>
          <w:p w14:paraId="7A4F0EAD" w14:textId="5DA0C67E" w:rsidR="00520183" w:rsidRPr="00E80EE2" w:rsidRDefault="00704F84" w:rsidP="00520183">
            <w:pPr>
              <w:jc w:val="center"/>
              <w:rPr>
                <w:b/>
                <w:bCs/>
                <w:color w:val="FFFFFF"/>
                <w:sz w:val="20"/>
                <w:szCs w:val="20"/>
              </w:rPr>
            </w:pPr>
            <w:r>
              <w:rPr>
                <w:b/>
                <w:bCs/>
                <w:color w:val="FFFFFF"/>
                <w:sz w:val="20"/>
                <w:szCs w:val="20"/>
              </w:rPr>
              <w:t>FY 2020</w:t>
            </w:r>
          </w:p>
        </w:tc>
        <w:tc>
          <w:tcPr>
            <w:tcW w:w="1349" w:type="dxa"/>
            <w:tcBorders>
              <w:top w:val="single" w:sz="4" w:space="0" w:color="auto"/>
              <w:left w:val="single" w:sz="4" w:space="0" w:color="auto"/>
              <w:bottom w:val="single" w:sz="4" w:space="0" w:color="auto"/>
              <w:right w:val="single" w:sz="4" w:space="0" w:color="auto"/>
            </w:tcBorders>
            <w:shd w:val="clear" w:color="000000" w:fill="000080"/>
            <w:vAlign w:val="center"/>
          </w:tcPr>
          <w:p w14:paraId="45F30EAA" w14:textId="39AB45AF" w:rsidR="00520183" w:rsidRPr="00E80EE2" w:rsidRDefault="00704F84" w:rsidP="00520183">
            <w:pPr>
              <w:jc w:val="center"/>
              <w:rPr>
                <w:b/>
                <w:bCs/>
                <w:color w:val="FFFFFF"/>
                <w:sz w:val="20"/>
                <w:szCs w:val="20"/>
              </w:rPr>
            </w:pPr>
            <w:r>
              <w:rPr>
                <w:b/>
                <w:bCs/>
                <w:color w:val="FFFFFF"/>
                <w:sz w:val="20"/>
                <w:szCs w:val="20"/>
              </w:rPr>
              <w:t>FY 2021</w:t>
            </w:r>
          </w:p>
        </w:tc>
        <w:tc>
          <w:tcPr>
            <w:tcW w:w="1406" w:type="dxa"/>
            <w:tcBorders>
              <w:top w:val="single" w:sz="4" w:space="0" w:color="auto"/>
              <w:left w:val="single" w:sz="4" w:space="0" w:color="auto"/>
              <w:bottom w:val="single" w:sz="4" w:space="0" w:color="auto"/>
              <w:right w:val="single" w:sz="4" w:space="0" w:color="auto"/>
            </w:tcBorders>
            <w:shd w:val="clear" w:color="000000" w:fill="000080"/>
            <w:vAlign w:val="center"/>
          </w:tcPr>
          <w:p w14:paraId="18866780" w14:textId="0F49E157" w:rsidR="00520183" w:rsidRPr="00E80EE2" w:rsidRDefault="00704F84" w:rsidP="00520183">
            <w:pPr>
              <w:jc w:val="center"/>
              <w:rPr>
                <w:b/>
                <w:bCs/>
                <w:color w:val="FFFFFF"/>
                <w:sz w:val="20"/>
                <w:szCs w:val="20"/>
              </w:rPr>
            </w:pPr>
            <w:r>
              <w:rPr>
                <w:b/>
                <w:bCs/>
                <w:color w:val="FFFFFF"/>
                <w:sz w:val="20"/>
                <w:szCs w:val="20"/>
              </w:rPr>
              <w:t>FY 2022</w:t>
            </w:r>
          </w:p>
        </w:tc>
      </w:tr>
      <w:tr w:rsidR="00674F0C" w:rsidRPr="00E80EE2" w14:paraId="75F6FB7A" w14:textId="77777777" w:rsidTr="00520183">
        <w:tc>
          <w:tcPr>
            <w:tcW w:w="1007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3F411" w14:textId="29C696BB" w:rsidR="00674F0C" w:rsidRPr="00674F0C" w:rsidRDefault="00674F0C" w:rsidP="00674F0C">
            <w:pPr>
              <w:pStyle w:val="ListParagraph"/>
              <w:numPr>
                <w:ilvl w:val="0"/>
                <w:numId w:val="26"/>
              </w:numPr>
              <w:ind w:left="375"/>
              <w:rPr>
                <w:color w:val="000000"/>
                <w:sz w:val="20"/>
                <w:szCs w:val="20"/>
              </w:rPr>
            </w:pPr>
            <w:r w:rsidRPr="00674F0C">
              <w:rPr>
                <w:color w:val="000000"/>
                <w:sz w:val="20"/>
                <w:szCs w:val="20"/>
              </w:rPr>
              <w:t xml:space="preserve">Enrollments: </w:t>
            </w:r>
          </w:p>
        </w:tc>
      </w:tr>
      <w:tr w:rsidR="00674F0C" w:rsidRPr="00E80EE2" w14:paraId="42964BAA" w14:textId="77777777" w:rsidTr="00520183">
        <w:tc>
          <w:tcPr>
            <w:tcW w:w="1007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FDAB6" w14:textId="66C66C4C" w:rsidR="00674F0C" w:rsidRPr="00674F0C" w:rsidRDefault="00674F0C" w:rsidP="00674F0C">
            <w:pPr>
              <w:ind w:left="375"/>
              <w:rPr>
                <w:color w:val="000000"/>
                <w:sz w:val="20"/>
                <w:szCs w:val="20"/>
              </w:rPr>
            </w:pPr>
            <w:r w:rsidRPr="00674F0C">
              <w:rPr>
                <w:color w:val="000000"/>
                <w:sz w:val="20"/>
                <w:szCs w:val="20"/>
              </w:rPr>
              <w:t>Fall Enrollment on Fall Census Day (Oct. 15) includes degree seeking and non-degree seeking students</w:t>
            </w:r>
          </w:p>
        </w:tc>
      </w:tr>
      <w:tr w:rsidR="00811940" w:rsidRPr="00E80EE2" w14:paraId="49F083B4" w14:textId="77777777" w:rsidTr="00520183">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D086C" w14:textId="1B3F46FD" w:rsidR="00811940" w:rsidRPr="00674F0C" w:rsidRDefault="00811940" w:rsidP="00811940">
            <w:pPr>
              <w:ind w:left="375"/>
              <w:rPr>
                <w:color w:val="000000"/>
                <w:sz w:val="20"/>
                <w:szCs w:val="20"/>
              </w:rPr>
            </w:pPr>
            <w:r>
              <w:rPr>
                <w:color w:val="000000"/>
                <w:sz w:val="20"/>
                <w:szCs w:val="20"/>
              </w:rPr>
              <w:tab/>
            </w:r>
            <w:r w:rsidRPr="00674F0C">
              <w:rPr>
                <w:color w:val="000000"/>
                <w:sz w:val="20"/>
                <w:szCs w:val="20"/>
              </w:rPr>
              <w:t>Total</w:t>
            </w:r>
          </w:p>
        </w:tc>
        <w:tc>
          <w:tcPr>
            <w:tcW w:w="1349" w:type="dxa"/>
            <w:tcBorders>
              <w:top w:val="single" w:sz="4" w:space="0" w:color="auto"/>
              <w:left w:val="single" w:sz="4" w:space="0" w:color="auto"/>
              <w:bottom w:val="single" w:sz="4" w:space="0" w:color="auto"/>
              <w:right w:val="single" w:sz="4" w:space="0" w:color="auto"/>
            </w:tcBorders>
            <w:noWrap/>
          </w:tcPr>
          <w:p w14:paraId="0708EC5B" w14:textId="49E6F5F3" w:rsidR="00811940" w:rsidRPr="00674F0C" w:rsidRDefault="00811940" w:rsidP="00811940">
            <w:pPr>
              <w:jc w:val="center"/>
              <w:rPr>
                <w:color w:val="000000"/>
                <w:sz w:val="20"/>
                <w:szCs w:val="20"/>
              </w:rPr>
            </w:pPr>
            <w:r>
              <w:rPr>
                <w:color w:val="000000"/>
                <w:sz w:val="20"/>
                <w:szCs w:val="20"/>
              </w:rPr>
              <w:t>25,540</w:t>
            </w:r>
          </w:p>
        </w:tc>
        <w:tc>
          <w:tcPr>
            <w:tcW w:w="1349" w:type="dxa"/>
            <w:tcBorders>
              <w:top w:val="single" w:sz="4" w:space="0" w:color="auto"/>
              <w:left w:val="single" w:sz="4" w:space="0" w:color="auto"/>
              <w:bottom w:val="single" w:sz="4" w:space="0" w:color="auto"/>
              <w:right w:val="single" w:sz="4" w:space="0" w:color="auto"/>
            </w:tcBorders>
          </w:tcPr>
          <w:p w14:paraId="7C601FB8" w14:textId="3C7645A4" w:rsidR="00811940" w:rsidRPr="00674F0C" w:rsidRDefault="00811940" w:rsidP="00811940">
            <w:pPr>
              <w:jc w:val="center"/>
              <w:rPr>
                <w:color w:val="000000"/>
                <w:sz w:val="20"/>
                <w:szCs w:val="20"/>
              </w:rPr>
            </w:pPr>
            <w:r w:rsidRPr="00F62C9B">
              <w:rPr>
                <w:color w:val="000000"/>
                <w:sz w:val="20"/>
                <w:szCs w:val="20"/>
              </w:rPr>
              <w:t>26,272</w:t>
            </w:r>
          </w:p>
        </w:tc>
        <w:tc>
          <w:tcPr>
            <w:tcW w:w="1349" w:type="dxa"/>
            <w:tcBorders>
              <w:top w:val="single" w:sz="4" w:space="0" w:color="auto"/>
              <w:left w:val="single" w:sz="4" w:space="0" w:color="auto"/>
              <w:bottom w:val="single" w:sz="4" w:space="0" w:color="auto"/>
              <w:right w:val="single" w:sz="4" w:space="0" w:color="auto"/>
            </w:tcBorders>
          </w:tcPr>
          <w:p w14:paraId="0EADCCAF" w14:textId="205A80AB" w:rsidR="00811940" w:rsidRPr="00674F0C" w:rsidRDefault="00811940" w:rsidP="00811940">
            <w:pPr>
              <w:jc w:val="center"/>
              <w:rPr>
                <w:color w:val="000000"/>
                <w:sz w:val="20"/>
                <w:szCs w:val="20"/>
              </w:rPr>
            </w:pPr>
            <w:r>
              <w:rPr>
                <w:color w:val="000000"/>
                <w:sz w:val="20"/>
                <w:szCs w:val="20"/>
              </w:rPr>
              <w:t>24,103</w:t>
            </w:r>
          </w:p>
        </w:tc>
        <w:tc>
          <w:tcPr>
            <w:tcW w:w="1406" w:type="dxa"/>
            <w:tcBorders>
              <w:top w:val="single" w:sz="4" w:space="0" w:color="auto"/>
              <w:left w:val="single" w:sz="4" w:space="0" w:color="auto"/>
              <w:bottom w:val="single" w:sz="4" w:space="0" w:color="auto"/>
              <w:right w:val="single" w:sz="4" w:space="0" w:color="auto"/>
            </w:tcBorders>
          </w:tcPr>
          <w:p w14:paraId="3C920C59" w14:textId="2C168D60" w:rsidR="00811940" w:rsidRPr="00F62C9B" w:rsidRDefault="00811940" w:rsidP="00811940">
            <w:pPr>
              <w:jc w:val="center"/>
              <w:rPr>
                <w:color w:val="000000"/>
                <w:sz w:val="20"/>
                <w:szCs w:val="20"/>
              </w:rPr>
            </w:pPr>
          </w:p>
        </w:tc>
      </w:tr>
      <w:tr w:rsidR="00811940" w:rsidRPr="00E80EE2" w14:paraId="2601ECB5" w14:textId="77777777" w:rsidTr="00520183">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E59C7" w14:textId="65932A08" w:rsidR="00811940" w:rsidRPr="00674F0C" w:rsidRDefault="00811940" w:rsidP="00811940">
            <w:pPr>
              <w:ind w:left="375"/>
              <w:rPr>
                <w:color w:val="000000"/>
                <w:sz w:val="20"/>
                <w:szCs w:val="20"/>
              </w:rPr>
            </w:pPr>
            <w:r>
              <w:rPr>
                <w:color w:val="000000"/>
                <w:sz w:val="20"/>
                <w:szCs w:val="20"/>
              </w:rPr>
              <w:tab/>
            </w:r>
            <w:r w:rsidRPr="00674F0C">
              <w:rPr>
                <w:color w:val="000000"/>
                <w:sz w:val="20"/>
                <w:szCs w:val="20"/>
              </w:rPr>
              <w:t>Undergraduate</w:t>
            </w:r>
          </w:p>
        </w:tc>
        <w:tc>
          <w:tcPr>
            <w:tcW w:w="1349" w:type="dxa"/>
            <w:tcBorders>
              <w:top w:val="single" w:sz="4" w:space="0" w:color="auto"/>
              <w:left w:val="single" w:sz="4" w:space="0" w:color="auto"/>
              <w:bottom w:val="single" w:sz="4" w:space="0" w:color="auto"/>
              <w:right w:val="single" w:sz="4" w:space="0" w:color="auto"/>
            </w:tcBorders>
            <w:noWrap/>
          </w:tcPr>
          <w:p w14:paraId="58F6F18C" w14:textId="4B06DCAA" w:rsidR="00811940" w:rsidRPr="00674F0C" w:rsidRDefault="00811940" w:rsidP="00811940">
            <w:pPr>
              <w:jc w:val="center"/>
              <w:rPr>
                <w:color w:val="000000"/>
                <w:sz w:val="20"/>
                <w:szCs w:val="20"/>
              </w:rPr>
            </w:pPr>
            <w:r>
              <w:rPr>
                <w:color w:val="000000"/>
                <w:sz w:val="20"/>
                <w:szCs w:val="20"/>
              </w:rPr>
              <w:t>22,064</w:t>
            </w:r>
          </w:p>
        </w:tc>
        <w:tc>
          <w:tcPr>
            <w:tcW w:w="1349" w:type="dxa"/>
            <w:tcBorders>
              <w:top w:val="single" w:sz="4" w:space="0" w:color="auto"/>
              <w:left w:val="single" w:sz="4" w:space="0" w:color="auto"/>
              <w:bottom w:val="single" w:sz="4" w:space="0" w:color="auto"/>
              <w:right w:val="single" w:sz="4" w:space="0" w:color="auto"/>
            </w:tcBorders>
          </w:tcPr>
          <w:p w14:paraId="149D61ED" w14:textId="614C369B" w:rsidR="00811940" w:rsidRPr="00674F0C" w:rsidRDefault="00811940" w:rsidP="00811940">
            <w:pPr>
              <w:jc w:val="center"/>
              <w:rPr>
                <w:color w:val="000000"/>
                <w:sz w:val="20"/>
                <w:szCs w:val="20"/>
              </w:rPr>
            </w:pPr>
            <w:r w:rsidRPr="00F62C9B">
              <w:rPr>
                <w:color w:val="000000"/>
                <w:sz w:val="20"/>
                <w:szCs w:val="20"/>
              </w:rPr>
              <w:t>22,939</w:t>
            </w:r>
          </w:p>
        </w:tc>
        <w:tc>
          <w:tcPr>
            <w:tcW w:w="1349" w:type="dxa"/>
            <w:tcBorders>
              <w:top w:val="single" w:sz="4" w:space="0" w:color="auto"/>
              <w:left w:val="single" w:sz="4" w:space="0" w:color="auto"/>
              <w:bottom w:val="single" w:sz="4" w:space="0" w:color="auto"/>
              <w:right w:val="single" w:sz="4" w:space="0" w:color="auto"/>
            </w:tcBorders>
          </w:tcPr>
          <w:p w14:paraId="74C2814F" w14:textId="43D7B1C6" w:rsidR="00811940" w:rsidRPr="00674F0C" w:rsidRDefault="00811940" w:rsidP="00811940">
            <w:pPr>
              <w:jc w:val="center"/>
              <w:rPr>
                <w:color w:val="000000"/>
                <w:sz w:val="20"/>
                <w:szCs w:val="20"/>
              </w:rPr>
            </w:pPr>
            <w:r>
              <w:rPr>
                <w:color w:val="000000"/>
                <w:sz w:val="20"/>
                <w:szCs w:val="20"/>
              </w:rPr>
              <w:t>20,788</w:t>
            </w:r>
          </w:p>
        </w:tc>
        <w:tc>
          <w:tcPr>
            <w:tcW w:w="1406" w:type="dxa"/>
            <w:tcBorders>
              <w:top w:val="single" w:sz="4" w:space="0" w:color="auto"/>
              <w:left w:val="single" w:sz="4" w:space="0" w:color="auto"/>
              <w:bottom w:val="single" w:sz="4" w:space="0" w:color="auto"/>
              <w:right w:val="single" w:sz="4" w:space="0" w:color="auto"/>
            </w:tcBorders>
          </w:tcPr>
          <w:p w14:paraId="64E7A716" w14:textId="618D3EB1" w:rsidR="00811940" w:rsidRPr="00F62C9B" w:rsidRDefault="00811940" w:rsidP="00811940">
            <w:pPr>
              <w:jc w:val="center"/>
              <w:rPr>
                <w:color w:val="000000"/>
                <w:sz w:val="20"/>
                <w:szCs w:val="20"/>
              </w:rPr>
            </w:pPr>
          </w:p>
        </w:tc>
      </w:tr>
      <w:tr w:rsidR="00811940" w:rsidRPr="00E80EE2" w14:paraId="21CF6847" w14:textId="77777777" w:rsidTr="00520183">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BA470" w14:textId="59C051BE" w:rsidR="00811940" w:rsidRPr="00674F0C" w:rsidRDefault="00811940" w:rsidP="00811940">
            <w:pPr>
              <w:ind w:left="375"/>
              <w:rPr>
                <w:color w:val="000000"/>
                <w:sz w:val="20"/>
                <w:szCs w:val="20"/>
              </w:rPr>
            </w:pPr>
            <w:r>
              <w:rPr>
                <w:color w:val="000000"/>
                <w:sz w:val="20"/>
                <w:szCs w:val="20"/>
              </w:rPr>
              <w:tab/>
            </w:r>
            <w:r w:rsidRPr="00674F0C">
              <w:rPr>
                <w:color w:val="000000"/>
                <w:sz w:val="20"/>
                <w:szCs w:val="20"/>
              </w:rPr>
              <w:t>Graduate</w:t>
            </w:r>
          </w:p>
        </w:tc>
        <w:tc>
          <w:tcPr>
            <w:tcW w:w="1349" w:type="dxa"/>
            <w:tcBorders>
              <w:top w:val="single" w:sz="4" w:space="0" w:color="auto"/>
              <w:left w:val="single" w:sz="4" w:space="0" w:color="auto"/>
              <w:bottom w:val="single" w:sz="4" w:space="0" w:color="auto"/>
              <w:right w:val="single" w:sz="4" w:space="0" w:color="auto"/>
            </w:tcBorders>
            <w:noWrap/>
          </w:tcPr>
          <w:p w14:paraId="65D04330" w14:textId="44CBCE20" w:rsidR="00811940" w:rsidRPr="00674F0C" w:rsidRDefault="00811940" w:rsidP="00811940">
            <w:pPr>
              <w:jc w:val="center"/>
              <w:rPr>
                <w:color w:val="000000"/>
                <w:sz w:val="20"/>
                <w:szCs w:val="20"/>
              </w:rPr>
            </w:pPr>
            <w:r>
              <w:rPr>
                <w:color w:val="000000"/>
                <w:sz w:val="20"/>
                <w:szCs w:val="20"/>
              </w:rPr>
              <w:t>3,476</w:t>
            </w:r>
          </w:p>
        </w:tc>
        <w:tc>
          <w:tcPr>
            <w:tcW w:w="1349" w:type="dxa"/>
            <w:tcBorders>
              <w:top w:val="single" w:sz="4" w:space="0" w:color="auto"/>
              <w:left w:val="single" w:sz="4" w:space="0" w:color="auto"/>
              <w:bottom w:val="single" w:sz="4" w:space="0" w:color="auto"/>
              <w:right w:val="single" w:sz="4" w:space="0" w:color="auto"/>
            </w:tcBorders>
          </w:tcPr>
          <w:p w14:paraId="01AE74DD" w14:textId="59AF6941" w:rsidR="00811940" w:rsidRPr="00674F0C" w:rsidRDefault="00811940" w:rsidP="00811940">
            <w:pPr>
              <w:jc w:val="center"/>
              <w:rPr>
                <w:color w:val="000000"/>
                <w:sz w:val="20"/>
                <w:szCs w:val="20"/>
              </w:rPr>
            </w:pPr>
            <w:r w:rsidRPr="00F62C9B">
              <w:rPr>
                <w:color w:val="000000"/>
                <w:sz w:val="20"/>
                <w:szCs w:val="20"/>
              </w:rPr>
              <w:t>3,333</w:t>
            </w:r>
          </w:p>
        </w:tc>
        <w:tc>
          <w:tcPr>
            <w:tcW w:w="1349" w:type="dxa"/>
            <w:tcBorders>
              <w:top w:val="single" w:sz="4" w:space="0" w:color="auto"/>
              <w:left w:val="single" w:sz="4" w:space="0" w:color="auto"/>
              <w:bottom w:val="single" w:sz="4" w:space="0" w:color="auto"/>
              <w:right w:val="single" w:sz="4" w:space="0" w:color="auto"/>
            </w:tcBorders>
          </w:tcPr>
          <w:p w14:paraId="1CC5EF65" w14:textId="3965D554" w:rsidR="00811940" w:rsidRPr="00674F0C" w:rsidRDefault="00811940" w:rsidP="00811940">
            <w:pPr>
              <w:jc w:val="center"/>
              <w:rPr>
                <w:color w:val="000000"/>
                <w:sz w:val="20"/>
                <w:szCs w:val="20"/>
              </w:rPr>
            </w:pPr>
            <w:r>
              <w:rPr>
                <w:color w:val="000000"/>
                <w:sz w:val="20"/>
                <w:szCs w:val="20"/>
              </w:rPr>
              <w:t>3,315</w:t>
            </w:r>
          </w:p>
        </w:tc>
        <w:tc>
          <w:tcPr>
            <w:tcW w:w="1406" w:type="dxa"/>
            <w:tcBorders>
              <w:top w:val="single" w:sz="4" w:space="0" w:color="auto"/>
              <w:left w:val="single" w:sz="4" w:space="0" w:color="auto"/>
              <w:bottom w:val="single" w:sz="4" w:space="0" w:color="auto"/>
              <w:right w:val="single" w:sz="4" w:space="0" w:color="auto"/>
            </w:tcBorders>
          </w:tcPr>
          <w:p w14:paraId="707DB681" w14:textId="6ECA01A5" w:rsidR="00811940" w:rsidRPr="00F62C9B" w:rsidRDefault="00811940" w:rsidP="00811940">
            <w:pPr>
              <w:jc w:val="center"/>
              <w:rPr>
                <w:color w:val="000000"/>
                <w:sz w:val="20"/>
                <w:szCs w:val="20"/>
              </w:rPr>
            </w:pPr>
          </w:p>
        </w:tc>
      </w:tr>
      <w:tr w:rsidR="00811940" w:rsidRPr="00E80EE2" w14:paraId="283D37E7" w14:textId="77777777" w:rsidTr="00520183">
        <w:tc>
          <w:tcPr>
            <w:tcW w:w="1007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241A5" w14:textId="16C0798E" w:rsidR="00811940" w:rsidRPr="00F62C9B" w:rsidRDefault="00811940" w:rsidP="00811940">
            <w:pPr>
              <w:ind w:left="375"/>
              <w:rPr>
                <w:color w:val="000000"/>
                <w:sz w:val="20"/>
                <w:szCs w:val="20"/>
              </w:rPr>
            </w:pPr>
            <w:r w:rsidRPr="00F62C9B">
              <w:rPr>
                <w:sz w:val="20"/>
                <w:szCs w:val="20"/>
              </w:rPr>
              <w:t>Degree Seeking Student Enrollment on Fall Census Day (Oct. 15)</w:t>
            </w:r>
          </w:p>
        </w:tc>
      </w:tr>
      <w:tr w:rsidR="00811940" w:rsidRPr="00E80EE2" w14:paraId="4FD41182" w14:textId="77777777" w:rsidTr="00520183">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CCD84" w14:textId="420CC1E3" w:rsidR="00811940" w:rsidRPr="00674F0C" w:rsidRDefault="00811940" w:rsidP="00811940">
            <w:pPr>
              <w:ind w:left="375"/>
              <w:rPr>
                <w:sz w:val="20"/>
                <w:szCs w:val="20"/>
              </w:rPr>
            </w:pPr>
            <w:r>
              <w:rPr>
                <w:sz w:val="20"/>
                <w:szCs w:val="20"/>
              </w:rPr>
              <w:tab/>
            </w:r>
            <w:r w:rsidRPr="00674F0C">
              <w:rPr>
                <w:sz w:val="20"/>
                <w:szCs w:val="20"/>
              </w:rPr>
              <w:t>Total</w:t>
            </w:r>
          </w:p>
        </w:tc>
        <w:tc>
          <w:tcPr>
            <w:tcW w:w="1349" w:type="dxa"/>
            <w:tcBorders>
              <w:top w:val="single" w:sz="4" w:space="0" w:color="auto"/>
              <w:left w:val="single" w:sz="4" w:space="0" w:color="auto"/>
              <w:bottom w:val="single" w:sz="4" w:space="0" w:color="auto"/>
              <w:right w:val="single" w:sz="4" w:space="0" w:color="auto"/>
            </w:tcBorders>
            <w:noWrap/>
            <w:vAlign w:val="center"/>
          </w:tcPr>
          <w:p w14:paraId="3BA532C5" w14:textId="3DA5D2A8" w:rsidR="00811940" w:rsidRPr="00674F0C" w:rsidRDefault="00811940" w:rsidP="00811940">
            <w:pPr>
              <w:jc w:val="center"/>
              <w:rPr>
                <w:color w:val="000000"/>
                <w:sz w:val="20"/>
                <w:szCs w:val="20"/>
              </w:rPr>
            </w:pPr>
            <w:r>
              <w:rPr>
                <w:sz w:val="20"/>
                <w:szCs w:val="20"/>
              </w:rPr>
              <w:t>19,361</w:t>
            </w:r>
          </w:p>
        </w:tc>
        <w:tc>
          <w:tcPr>
            <w:tcW w:w="1349" w:type="dxa"/>
            <w:tcBorders>
              <w:top w:val="single" w:sz="4" w:space="0" w:color="auto"/>
              <w:left w:val="single" w:sz="4" w:space="0" w:color="auto"/>
              <w:bottom w:val="single" w:sz="4" w:space="0" w:color="auto"/>
              <w:right w:val="single" w:sz="4" w:space="0" w:color="auto"/>
            </w:tcBorders>
            <w:vAlign w:val="center"/>
          </w:tcPr>
          <w:p w14:paraId="4B998609" w14:textId="1D8F47E2" w:rsidR="00811940" w:rsidRPr="00674F0C" w:rsidRDefault="00811940" w:rsidP="00811940">
            <w:pPr>
              <w:jc w:val="center"/>
              <w:rPr>
                <w:color w:val="000000"/>
                <w:sz w:val="20"/>
                <w:szCs w:val="20"/>
              </w:rPr>
            </w:pPr>
            <w:r w:rsidRPr="00F62C9B">
              <w:rPr>
                <w:sz w:val="20"/>
                <w:szCs w:val="20"/>
              </w:rPr>
              <w:t>19,825</w:t>
            </w:r>
          </w:p>
        </w:tc>
        <w:tc>
          <w:tcPr>
            <w:tcW w:w="1349" w:type="dxa"/>
            <w:tcBorders>
              <w:top w:val="single" w:sz="4" w:space="0" w:color="auto"/>
              <w:left w:val="single" w:sz="4" w:space="0" w:color="auto"/>
              <w:bottom w:val="single" w:sz="4" w:space="0" w:color="auto"/>
              <w:right w:val="single" w:sz="4" w:space="0" w:color="auto"/>
            </w:tcBorders>
            <w:vAlign w:val="center"/>
          </w:tcPr>
          <w:p w14:paraId="5BB7D245" w14:textId="1CC55C35" w:rsidR="00811940" w:rsidRPr="00674F0C" w:rsidRDefault="00811940" w:rsidP="00811940">
            <w:pPr>
              <w:jc w:val="center"/>
              <w:rPr>
                <w:color w:val="000000"/>
                <w:sz w:val="20"/>
                <w:szCs w:val="20"/>
              </w:rPr>
            </w:pPr>
            <w:r>
              <w:rPr>
                <w:sz w:val="20"/>
                <w:szCs w:val="20"/>
              </w:rPr>
              <w:t>19,930</w:t>
            </w:r>
          </w:p>
        </w:tc>
        <w:tc>
          <w:tcPr>
            <w:tcW w:w="1406" w:type="dxa"/>
            <w:tcBorders>
              <w:top w:val="single" w:sz="4" w:space="0" w:color="auto"/>
              <w:left w:val="single" w:sz="4" w:space="0" w:color="auto"/>
              <w:bottom w:val="single" w:sz="4" w:space="0" w:color="auto"/>
              <w:right w:val="single" w:sz="4" w:space="0" w:color="auto"/>
            </w:tcBorders>
            <w:vAlign w:val="center"/>
          </w:tcPr>
          <w:p w14:paraId="360A9A73" w14:textId="70206099" w:rsidR="00811940" w:rsidRPr="00F62C9B" w:rsidRDefault="00811940" w:rsidP="00811940">
            <w:pPr>
              <w:jc w:val="center"/>
              <w:rPr>
                <w:sz w:val="20"/>
                <w:szCs w:val="20"/>
              </w:rPr>
            </w:pPr>
          </w:p>
        </w:tc>
      </w:tr>
      <w:tr w:rsidR="00811940" w:rsidRPr="00E80EE2" w14:paraId="140A231C" w14:textId="77777777" w:rsidTr="00520183">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EC77F" w14:textId="7E76EF76" w:rsidR="00811940" w:rsidRPr="00674F0C" w:rsidRDefault="00811940" w:rsidP="00811940">
            <w:pPr>
              <w:ind w:left="375"/>
              <w:rPr>
                <w:sz w:val="20"/>
                <w:szCs w:val="20"/>
              </w:rPr>
            </w:pPr>
            <w:r>
              <w:rPr>
                <w:sz w:val="20"/>
                <w:szCs w:val="20"/>
              </w:rPr>
              <w:tab/>
            </w:r>
            <w:r w:rsidRPr="00674F0C">
              <w:rPr>
                <w:sz w:val="20"/>
                <w:szCs w:val="20"/>
              </w:rPr>
              <w:t>Undergraduate</w:t>
            </w:r>
          </w:p>
        </w:tc>
        <w:tc>
          <w:tcPr>
            <w:tcW w:w="1349" w:type="dxa"/>
            <w:tcBorders>
              <w:top w:val="single" w:sz="4" w:space="0" w:color="auto"/>
              <w:left w:val="single" w:sz="4" w:space="0" w:color="auto"/>
              <w:bottom w:val="single" w:sz="4" w:space="0" w:color="auto"/>
              <w:right w:val="single" w:sz="4" w:space="0" w:color="auto"/>
            </w:tcBorders>
            <w:noWrap/>
            <w:vAlign w:val="center"/>
          </w:tcPr>
          <w:p w14:paraId="6DD82C73" w14:textId="5A6F0C15" w:rsidR="00811940" w:rsidRPr="00674F0C" w:rsidRDefault="00811940" w:rsidP="00811940">
            <w:pPr>
              <w:jc w:val="center"/>
              <w:rPr>
                <w:color w:val="000000"/>
                <w:sz w:val="20"/>
                <w:szCs w:val="20"/>
              </w:rPr>
            </w:pPr>
            <w:r>
              <w:rPr>
                <w:sz w:val="20"/>
                <w:szCs w:val="20"/>
              </w:rPr>
              <w:t>16,537</w:t>
            </w:r>
          </w:p>
        </w:tc>
        <w:tc>
          <w:tcPr>
            <w:tcW w:w="1349" w:type="dxa"/>
            <w:tcBorders>
              <w:top w:val="single" w:sz="4" w:space="0" w:color="auto"/>
              <w:left w:val="single" w:sz="4" w:space="0" w:color="auto"/>
              <w:bottom w:val="single" w:sz="4" w:space="0" w:color="auto"/>
              <w:right w:val="single" w:sz="4" w:space="0" w:color="auto"/>
            </w:tcBorders>
            <w:vAlign w:val="center"/>
          </w:tcPr>
          <w:p w14:paraId="192E2566" w14:textId="712F6F9F" w:rsidR="00811940" w:rsidRPr="00674F0C" w:rsidRDefault="00811940" w:rsidP="00811940">
            <w:pPr>
              <w:jc w:val="center"/>
              <w:rPr>
                <w:color w:val="000000"/>
                <w:sz w:val="20"/>
                <w:szCs w:val="20"/>
              </w:rPr>
            </w:pPr>
            <w:r w:rsidRPr="00F62C9B">
              <w:rPr>
                <w:sz w:val="20"/>
                <w:szCs w:val="20"/>
              </w:rPr>
              <w:t>16,898</w:t>
            </w:r>
          </w:p>
        </w:tc>
        <w:tc>
          <w:tcPr>
            <w:tcW w:w="1349" w:type="dxa"/>
            <w:tcBorders>
              <w:top w:val="single" w:sz="4" w:space="0" w:color="auto"/>
              <w:left w:val="single" w:sz="4" w:space="0" w:color="auto"/>
              <w:bottom w:val="single" w:sz="4" w:space="0" w:color="auto"/>
              <w:right w:val="single" w:sz="4" w:space="0" w:color="auto"/>
            </w:tcBorders>
            <w:vAlign w:val="center"/>
          </w:tcPr>
          <w:p w14:paraId="1A5D8A01" w14:textId="43DA197A" w:rsidR="00811940" w:rsidRPr="00674F0C" w:rsidRDefault="00811940" w:rsidP="00811940">
            <w:pPr>
              <w:jc w:val="center"/>
              <w:rPr>
                <w:sz w:val="20"/>
                <w:szCs w:val="20"/>
              </w:rPr>
            </w:pPr>
            <w:r>
              <w:rPr>
                <w:sz w:val="20"/>
                <w:szCs w:val="20"/>
              </w:rPr>
              <w:t>16,975</w:t>
            </w:r>
          </w:p>
        </w:tc>
        <w:tc>
          <w:tcPr>
            <w:tcW w:w="1406" w:type="dxa"/>
            <w:tcBorders>
              <w:top w:val="single" w:sz="4" w:space="0" w:color="auto"/>
              <w:left w:val="single" w:sz="4" w:space="0" w:color="auto"/>
              <w:bottom w:val="single" w:sz="4" w:space="0" w:color="auto"/>
              <w:right w:val="single" w:sz="4" w:space="0" w:color="auto"/>
            </w:tcBorders>
            <w:vAlign w:val="center"/>
          </w:tcPr>
          <w:p w14:paraId="11841AF0" w14:textId="33181A1F" w:rsidR="00811940" w:rsidRPr="00F62C9B" w:rsidRDefault="00811940" w:rsidP="00811940">
            <w:pPr>
              <w:jc w:val="center"/>
              <w:rPr>
                <w:sz w:val="20"/>
                <w:szCs w:val="20"/>
              </w:rPr>
            </w:pPr>
          </w:p>
        </w:tc>
      </w:tr>
      <w:tr w:rsidR="00811940" w:rsidRPr="00E80EE2" w14:paraId="63E114BC" w14:textId="77777777" w:rsidTr="00520183">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C22F2" w14:textId="33CD8571" w:rsidR="00811940" w:rsidRPr="00674F0C" w:rsidRDefault="00811940" w:rsidP="00811940">
            <w:pPr>
              <w:ind w:left="375"/>
              <w:rPr>
                <w:sz w:val="20"/>
                <w:szCs w:val="20"/>
              </w:rPr>
            </w:pPr>
            <w:r>
              <w:rPr>
                <w:sz w:val="20"/>
                <w:szCs w:val="20"/>
              </w:rPr>
              <w:tab/>
            </w:r>
            <w:r w:rsidRPr="00674F0C">
              <w:rPr>
                <w:sz w:val="20"/>
                <w:szCs w:val="20"/>
              </w:rPr>
              <w:t>Graduate</w:t>
            </w:r>
          </w:p>
        </w:tc>
        <w:tc>
          <w:tcPr>
            <w:tcW w:w="1349" w:type="dxa"/>
            <w:tcBorders>
              <w:top w:val="single" w:sz="4" w:space="0" w:color="auto"/>
              <w:left w:val="single" w:sz="4" w:space="0" w:color="auto"/>
              <w:bottom w:val="single" w:sz="4" w:space="0" w:color="auto"/>
              <w:right w:val="single" w:sz="4" w:space="0" w:color="auto"/>
            </w:tcBorders>
            <w:noWrap/>
            <w:vAlign w:val="center"/>
          </w:tcPr>
          <w:p w14:paraId="54858C5C" w14:textId="21103AC2" w:rsidR="00811940" w:rsidRPr="00674F0C" w:rsidRDefault="00811940" w:rsidP="00811940">
            <w:pPr>
              <w:jc w:val="center"/>
              <w:rPr>
                <w:color w:val="000000"/>
                <w:sz w:val="20"/>
                <w:szCs w:val="20"/>
              </w:rPr>
            </w:pPr>
            <w:r>
              <w:rPr>
                <w:sz w:val="20"/>
                <w:szCs w:val="20"/>
              </w:rPr>
              <w:t>2,824</w:t>
            </w:r>
          </w:p>
        </w:tc>
        <w:tc>
          <w:tcPr>
            <w:tcW w:w="1349" w:type="dxa"/>
            <w:tcBorders>
              <w:top w:val="single" w:sz="4" w:space="0" w:color="auto"/>
              <w:left w:val="single" w:sz="4" w:space="0" w:color="auto"/>
              <w:bottom w:val="single" w:sz="4" w:space="0" w:color="auto"/>
              <w:right w:val="single" w:sz="4" w:space="0" w:color="auto"/>
            </w:tcBorders>
            <w:vAlign w:val="center"/>
          </w:tcPr>
          <w:p w14:paraId="22667539" w14:textId="06AAEB5D" w:rsidR="00811940" w:rsidRPr="00674F0C" w:rsidRDefault="00811940" w:rsidP="00811940">
            <w:pPr>
              <w:jc w:val="center"/>
              <w:rPr>
                <w:color w:val="000000"/>
                <w:sz w:val="20"/>
                <w:szCs w:val="20"/>
              </w:rPr>
            </w:pPr>
            <w:r w:rsidRPr="00F62C9B">
              <w:rPr>
                <w:sz w:val="20"/>
                <w:szCs w:val="20"/>
              </w:rPr>
              <w:t>2,927</w:t>
            </w:r>
          </w:p>
        </w:tc>
        <w:tc>
          <w:tcPr>
            <w:tcW w:w="1349" w:type="dxa"/>
            <w:tcBorders>
              <w:top w:val="single" w:sz="4" w:space="0" w:color="auto"/>
              <w:left w:val="single" w:sz="4" w:space="0" w:color="auto"/>
              <w:bottom w:val="single" w:sz="4" w:space="0" w:color="auto"/>
              <w:right w:val="single" w:sz="4" w:space="0" w:color="auto"/>
            </w:tcBorders>
            <w:vAlign w:val="center"/>
          </w:tcPr>
          <w:p w14:paraId="4FABD057" w14:textId="6613FBD1" w:rsidR="00811940" w:rsidRPr="00674F0C" w:rsidRDefault="00811940" w:rsidP="00811940">
            <w:pPr>
              <w:jc w:val="center"/>
              <w:rPr>
                <w:sz w:val="20"/>
                <w:szCs w:val="20"/>
              </w:rPr>
            </w:pPr>
            <w:r>
              <w:rPr>
                <w:sz w:val="20"/>
                <w:szCs w:val="20"/>
              </w:rPr>
              <w:t>2,955</w:t>
            </w:r>
          </w:p>
        </w:tc>
        <w:tc>
          <w:tcPr>
            <w:tcW w:w="1406" w:type="dxa"/>
            <w:tcBorders>
              <w:top w:val="single" w:sz="4" w:space="0" w:color="auto"/>
              <w:left w:val="single" w:sz="4" w:space="0" w:color="auto"/>
              <w:bottom w:val="single" w:sz="4" w:space="0" w:color="auto"/>
              <w:right w:val="single" w:sz="4" w:space="0" w:color="auto"/>
            </w:tcBorders>
            <w:vAlign w:val="center"/>
          </w:tcPr>
          <w:p w14:paraId="0D648222" w14:textId="1E1E830F" w:rsidR="00811940" w:rsidRPr="00F62C9B" w:rsidRDefault="00811940" w:rsidP="00811940">
            <w:pPr>
              <w:jc w:val="center"/>
              <w:rPr>
                <w:sz w:val="20"/>
                <w:szCs w:val="20"/>
              </w:rPr>
            </w:pPr>
          </w:p>
        </w:tc>
      </w:tr>
      <w:tr w:rsidR="00811940" w:rsidRPr="00E80EE2" w14:paraId="647CBA7E" w14:textId="77777777" w:rsidTr="00520183">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BFFCC" w14:textId="73C942B0" w:rsidR="00811940" w:rsidRPr="00C73FF0" w:rsidRDefault="00811940" w:rsidP="00811940">
            <w:pPr>
              <w:rPr>
                <w:color w:val="000000"/>
                <w:sz w:val="20"/>
                <w:szCs w:val="20"/>
              </w:rPr>
            </w:pPr>
            <w:r w:rsidRPr="00C73FF0">
              <w:rPr>
                <w:color w:val="000000"/>
                <w:sz w:val="20"/>
                <w:szCs w:val="20"/>
              </w:rPr>
              <w:t xml:space="preserve">Annual Enrollment Total Headcount from PSR 1 Student Enrollment Report (End of Term; unduplicated count of students attending </w:t>
            </w:r>
            <w:proofErr w:type="spellStart"/>
            <w:r w:rsidRPr="00C73FF0">
              <w:rPr>
                <w:color w:val="000000"/>
                <w:sz w:val="20"/>
                <w:szCs w:val="20"/>
              </w:rPr>
              <w:t>Su</w:t>
            </w:r>
            <w:proofErr w:type="spellEnd"/>
            <w:r w:rsidRPr="00C73FF0">
              <w:rPr>
                <w:color w:val="000000"/>
                <w:sz w:val="20"/>
                <w:szCs w:val="20"/>
              </w:rPr>
              <w:t xml:space="preserve">, Fa, and/or </w:t>
            </w:r>
            <w:proofErr w:type="spellStart"/>
            <w:r w:rsidRPr="00C73FF0">
              <w:rPr>
                <w:color w:val="000000"/>
                <w:sz w:val="20"/>
                <w:szCs w:val="20"/>
              </w:rPr>
              <w:t>Spr</w:t>
            </w:r>
            <w:proofErr w:type="spellEnd"/>
            <w:r w:rsidRPr="00C73FF0">
              <w:rPr>
                <w:color w:val="000000"/>
                <w:sz w:val="20"/>
                <w:szCs w:val="20"/>
              </w:rPr>
              <w:t>)</w:t>
            </w:r>
          </w:p>
        </w:tc>
        <w:tc>
          <w:tcPr>
            <w:tcW w:w="1349" w:type="dxa"/>
            <w:tcBorders>
              <w:top w:val="single" w:sz="4" w:space="0" w:color="auto"/>
              <w:left w:val="single" w:sz="4" w:space="0" w:color="auto"/>
              <w:bottom w:val="single" w:sz="4" w:space="0" w:color="auto"/>
              <w:right w:val="single" w:sz="4" w:space="0" w:color="auto"/>
            </w:tcBorders>
            <w:noWrap/>
            <w:vAlign w:val="center"/>
          </w:tcPr>
          <w:p w14:paraId="67411B03" w14:textId="27B06123" w:rsidR="00811940" w:rsidRPr="00674F0C" w:rsidRDefault="00811940" w:rsidP="00811940">
            <w:pPr>
              <w:jc w:val="center"/>
              <w:rPr>
                <w:color w:val="000000"/>
                <w:sz w:val="20"/>
                <w:szCs w:val="20"/>
              </w:rPr>
            </w:pPr>
            <w:r>
              <w:rPr>
                <w:sz w:val="20"/>
                <w:szCs w:val="20"/>
              </w:rPr>
              <w:t>32,545</w:t>
            </w:r>
          </w:p>
        </w:tc>
        <w:tc>
          <w:tcPr>
            <w:tcW w:w="1349" w:type="dxa"/>
            <w:tcBorders>
              <w:top w:val="single" w:sz="4" w:space="0" w:color="auto"/>
              <w:left w:val="single" w:sz="4" w:space="0" w:color="auto"/>
              <w:bottom w:val="single" w:sz="4" w:space="0" w:color="auto"/>
              <w:right w:val="single" w:sz="4" w:space="0" w:color="auto"/>
            </w:tcBorders>
            <w:vAlign w:val="center"/>
          </w:tcPr>
          <w:p w14:paraId="47B61D21" w14:textId="348B37E2" w:rsidR="00811940" w:rsidRPr="00674F0C" w:rsidRDefault="00811940" w:rsidP="00811940">
            <w:pPr>
              <w:jc w:val="center"/>
              <w:rPr>
                <w:color w:val="000000"/>
                <w:sz w:val="20"/>
                <w:szCs w:val="20"/>
              </w:rPr>
            </w:pPr>
            <w:r w:rsidRPr="00F62C9B">
              <w:rPr>
                <w:sz w:val="20"/>
                <w:szCs w:val="20"/>
              </w:rPr>
              <w:t>33,274</w:t>
            </w:r>
          </w:p>
        </w:tc>
        <w:tc>
          <w:tcPr>
            <w:tcW w:w="1349" w:type="dxa"/>
            <w:tcBorders>
              <w:top w:val="single" w:sz="4" w:space="0" w:color="auto"/>
              <w:left w:val="single" w:sz="4" w:space="0" w:color="auto"/>
              <w:bottom w:val="single" w:sz="4" w:space="0" w:color="auto"/>
              <w:right w:val="single" w:sz="4" w:space="0" w:color="auto"/>
            </w:tcBorders>
            <w:vAlign w:val="center"/>
          </w:tcPr>
          <w:p w14:paraId="30884911" w14:textId="5BEBAD78" w:rsidR="00811940" w:rsidRPr="00674F0C" w:rsidRDefault="00811940" w:rsidP="00811940">
            <w:pPr>
              <w:jc w:val="center"/>
              <w:rPr>
                <w:sz w:val="20"/>
                <w:szCs w:val="20"/>
              </w:rPr>
            </w:pPr>
            <w:r>
              <w:rPr>
                <w:sz w:val="20"/>
                <w:szCs w:val="20"/>
              </w:rPr>
              <w:t>32,066</w:t>
            </w:r>
          </w:p>
        </w:tc>
        <w:tc>
          <w:tcPr>
            <w:tcW w:w="1406" w:type="dxa"/>
            <w:tcBorders>
              <w:top w:val="single" w:sz="4" w:space="0" w:color="auto"/>
              <w:left w:val="single" w:sz="4" w:space="0" w:color="auto"/>
              <w:bottom w:val="single" w:sz="4" w:space="0" w:color="auto"/>
              <w:right w:val="single" w:sz="4" w:space="0" w:color="auto"/>
            </w:tcBorders>
            <w:vAlign w:val="center"/>
          </w:tcPr>
          <w:p w14:paraId="7767CEFD" w14:textId="690525D3" w:rsidR="00811940" w:rsidRPr="00F62C9B" w:rsidRDefault="00811940" w:rsidP="00811940">
            <w:pPr>
              <w:jc w:val="center"/>
              <w:rPr>
                <w:sz w:val="20"/>
                <w:szCs w:val="20"/>
              </w:rPr>
            </w:pPr>
          </w:p>
        </w:tc>
      </w:tr>
      <w:tr w:rsidR="00811940" w:rsidRPr="00E80EE2" w14:paraId="3EEFF3A5" w14:textId="77777777" w:rsidTr="00520183">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EC6D7" w14:textId="6ADF8029" w:rsidR="00811940" w:rsidRPr="00674F0C" w:rsidRDefault="00811940" w:rsidP="00811940">
            <w:pPr>
              <w:rPr>
                <w:color w:val="000000"/>
                <w:sz w:val="20"/>
                <w:szCs w:val="20"/>
              </w:rPr>
            </w:pPr>
            <w:r>
              <w:rPr>
                <w:color w:val="000000"/>
                <w:sz w:val="20"/>
                <w:szCs w:val="20"/>
              </w:rPr>
              <w:lastRenderedPageBreak/>
              <w:tab/>
            </w:r>
            <w:r w:rsidRPr="00674F0C">
              <w:rPr>
                <w:color w:val="000000"/>
                <w:sz w:val="20"/>
                <w:szCs w:val="20"/>
              </w:rPr>
              <w:t>N</w:t>
            </w:r>
            <w:r>
              <w:rPr>
                <w:color w:val="000000"/>
                <w:sz w:val="20"/>
                <w:szCs w:val="20"/>
              </w:rPr>
              <w:t xml:space="preserve">on-Degree Seeking (Graduate and </w:t>
            </w:r>
            <w:r>
              <w:rPr>
                <w:color w:val="000000"/>
                <w:sz w:val="20"/>
                <w:szCs w:val="20"/>
              </w:rPr>
              <w:tab/>
            </w:r>
            <w:r w:rsidRPr="00674F0C">
              <w:rPr>
                <w:color w:val="000000"/>
                <w:sz w:val="20"/>
                <w:szCs w:val="20"/>
              </w:rPr>
              <w:t>Undergrad)</w:t>
            </w:r>
          </w:p>
        </w:tc>
        <w:tc>
          <w:tcPr>
            <w:tcW w:w="1349" w:type="dxa"/>
            <w:tcBorders>
              <w:top w:val="single" w:sz="4" w:space="0" w:color="auto"/>
              <w:left w:val="single" w:sz="4" w:space="0" w:color="auto"/>
              <w:bottom w:val="single" w:sz="4" w:space="0" w:color="auto"/>
              <w:right w:val="single" w:sz="4" w:space="0" w:color="auto"/>
            </w:tcBorders>
            <w:noWrap/>
            <w:vAlign w:val="center"/>
          </w:tcPr>
          <w:p w14:paraId="7F3F24F5" w14:textId="36C8339E" w:rsidR="00811940" w:rsidRPr="00674F0C" w:rsidRDefault="00811940" w:rsidP="00811940">
            <w:pPr>
              <w:jc w:val="center"/>
              <w:rPr>
                <w:color w:val="000000"/>
                <w:sz w:val="20"/>
                <w:szCs w:val="20"/>
              </w:rPr>
            </w:pPr>
            <w:r>
              <w:rPr>
                <w:sz w:val="20"/>
                <w:szCs w:val="20"/>
              </w:rPr>
              <w:t>3,813</w:t>
            </w:r>
          </w:p>
        </w:tc>
        <w:tc>
          <w:tcPr>
            <w:tcW w:w="1349" w:type="dxa"/>
            <w:tcBorders>
              <w:top w:val="single" w:sz="4" w:space="0" w:color="auto"/>
              <w:left w:val="single" w:sz="4" w:space="0" w:color="auto"/>
              <w:bottom w:val="single" w:sz="4" w:space="0" w:color="auto"/>
              <w:right w:val="single" w:sz="4" w:space="0" w:color="auto"/>
            </w:tcBorders>
            <w:vAlign w:val="center"/>
          </w:tcPr>
          <w:p w14:paraId="3479B8C6" w14:textId="39711355" w:rsidR="00811940" w:rsidRPr="00674F0C" w:rsidRDefault="00811940" w:rsidP="00811940">
            <w:pPr>
              <w:jc w:val="center"/>
              <w:rPr>
                <w:color w:val="000000"/>
                <w:sz w:val="20"/>
                <w:szCs w:val="20"/>
              </w:rPr>
            </w:pPr>
            <w:r w:rsidRPr="00F62C9B">
              <w:rPr>
                <w:sz w:val="20"/>
                <w:szCs w:val="20"/>
              </w:rPr>
              <w:t>3,341</w:t>
            </w:r>
          </w:p>
        </w:tc>
        <w:tc>
          <w:tcPr>
            <w:tcW w:w="1349" w:type="dxa"/>
            <w:tcBorders>
              <w:top w:val="single" w:sz="4" w:space="0" w:color="auto"/>
              <w:left w:val="single" w:sz="4" w:space="0" w:color="auto"/>
              <w:bottom w:val="single" w:sz="4" w:space="0" w:color="auto"/>
              <w:right w:val="single" w:sz="4" w:space="0" w:color="auto"/>
            </w:tcBorders>
            <w:vAlign w:val="center"/>
          </w:tcPr>
          <w:p w14:paraId="3CB261D1" w14:textId="41FF830A" w:rsidR="00811940" w:rsidRPr="00674F0C" w:rsidRDefault="00811940" w:rsidP="00811940">
            <w:pPr>
              <w:jc w:val="center"/>
              <w:rPr>
                <w:sz w:val="20"/>
                <w:szCs w:val="20"/>
              </w:rPr>
            </w:pPr>
            <w:r>
              <w:rPr>
                <w:sz w:val="20"/>
                <w:szCs w:val="20"/>
              </w:rPr>
              <w:t>2,585</w:t>
            </w:r>
          </w:p>
        </w:tc>
        <w:tc>
          <w:tcPr>
            <w:tcW w:w="1406" w:type="dxa"/>
            <w:tcBorders>
              <w:top w:val="single" w:sz="4" w:space="0" w:color="auto"/>
              <w:left w:val="single" w:sz="4" w:space="0" w:color="auto"/>
              <w:bottom w:val="single" w:sz="4" w:space="0" w:color="auto"/>
              <w:right w:val="single" w:sz="4" w:space="0" w:color="auto"/>
            </w:tcBorders>
            <w:vAlign w:val="center"/>
          </w:tcPr>
          <w:p w14:paraId="225F5942" w14:textId="636C2317" w:rsidR="00811940" w:rsidRPr="00F62C9B" w:rsidRDefault="00811940" w:rsidP="00811940">
            <w:pPr>
              <w:jc w:val="center"/>
              <w:rPr>
                <w:sz w:val="20"/>
                <w:szCs w:val="20"/>
              </w:rPr>
            </w:pPr>
          </w:p>
        </w:tc>
      </w:tr>
      <w:tr w:rsidR="00811940" w:rsidRPr="00E80EE2" w14:paraId="0177378B" w14:textId="77777777" w:rsidTr="00520183">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A8D74" w14:textId="18030281" w:rsidR="00811940" w:rsidRPr="00674F0C" w:rsidRDefault="00811940" w:rsidP="00811940">
            <w:pPr>
              <w:rPr>
                <w:color w:val="000000"/>
                <w:sz w:val="20"/>
                <w:szCs w:val="20"/>
              </w:rPr>
            </w:pPr>
            <w:r>
              <w:rPr>
                <w:color w:val="000000"/>
                <w:sz w:val="20"/>
                <w:szCs w:val="20"/>
              </w:rPr>
              <w:tab/>
            </w:r>
            <w:r w:rsidRPr="00674F0C">
              <w:rPr>
                <w:color w:val="000000"/>
                <w:sz w:val="20"/>
                <w:szCs w:val="20"/>
              </w:rPr>
              <w:t>Early College</w:t>
            </w:r>
          </w:p>
        </w:tc>
        <w:tc>
          <w:tcPr>
            <w:tcW w:w="1349" w:type="dxa"/>
            <w:tcBorders>
              <w:top w:val="single" w:sz="4" w:space="0" w:color="auto"/>
              <w:left w:val="single" w:sz="4" w:space="0" w:color="auto"/>
              <w:bottom w:val="single" w:sz="4" w:space="0" w:color="auto"/>
              <w:right w:val="single" w:sz="4" w:space="0" w:color="auto"/>
            </w:tcBorders>
            <w:noWrap/>
            <w:vAlign w:val="center"/>
          </w:tcPr>
          <w:p w14:paraId="11D18D56" w14:textId="0252E456" w:rsidR="00811940" w:rsidRPr="00674F0C" w:rsidRDefault="00811940" w:rsidP="00811940">
            <w:pPr>
              <w:jc w:val="center"/>
              <w:rPr>
                <w:color w:val="000000"/>
                <w:sz w:val="20"/>
                <w:szCs w:val="20"/>
              </w:rPr>
            </w:pPr>
            <w:r>
              <w:rPr>
                <w:sz w:val="20"/>
                <w:szCs w:val="20"/>
              </w:rPr>
              <w:t>6,570</w:t>
            </w:r>
          </w:p>
        </w:tc>
        <w:tc>
          <w:tcPr>
            <w:tcW w:w="1349" w:type="dxa"/>
            <w:tcBorders>
              <w:top w:val="single" w:sz="4" w:space="0" w:color="auto"/>
              <w:left w:val="single" w:sz="4" w:space="0" w:color="auto"/>
              <w:bottom w:val="single" w:sz="4" w:space="0" w:color="auto"/>
              <w:right w:val="single" w:sz="4" w:space="0" w:color="auto"/>
            </w:tcBorders>
            <w:vAlign w:val="center"/>
          </w:tcPr>
          <w:p w14:paraId="2F27C8D3" w14:textId="410E7894" w:rsidR="00811940" w:rsidRPr="00674F0C" w:rsidRDefault="00811940" w:rsidP="00811940">
            <w:pPr>
              <w:jc w:val="center"/>
              <w:rPr>
                <w:color w:val="000000"/>
                <w:sz w:val="20"/>
                <w:szCs w:val="20"/>
              </w:rPr>
            </w:pPr>
            <w:r w:rsidRPr="00F62C9B">
              <w:rPr>
                <w:sz w:val="20"/>
                <w:szCs w:val="20"/>
              </w:rPr>
              <w:t>7,061</w:t>
            </w:r>
          </w:p>
        </w:tc>
        <w:tc>
          <w:tcPr>
            <w:tcW w:w="1349" w:type="dxa"/>
            <w:tcBorders>
              <w:top w:val="single" w:sz="4" w:space="0" w:color="auto"/>
              <w:left w:val="single" w:sz="4" w:space="0" w:color="auto"/>
              <w:bottom w:val="single" w:sz="4" w:space="0" w:color="auto"/>
              <w:right w:val="single" w:sz="4" w:space="0" w:color="auto"/>
            </w:tcBorders>
            <w:vAlign w:val="center"/>
          </w:tcPr>
          <w:p w14:paraId="2450236A" w14:textId="6334AE97" w:rsidR="00811940" w:rsidRPr="00674F0C" w:rsidRDefault="00811940" w:rsidP="00811940">
            <w:pPr>
              <w:jc w:val="center"/>
              <w:rPr>
                <w:sz w:val="20"/>
                <w:szCs w:val="20"/>
              </w:rPr>
            </w:pPr>
            <w:r>
              <w:rPr>
                <w:sz w:val="20"/>
                <w:szCs w:val="20"/>
              </w:rPr>
              <w:t>6,317</w:t>
            </w:r>
          </w:p>
        </w:tc>
        <w:tc>
          <w:tcPr>
            <w:tcW w:w="1406" w:type="dxa"/>
            <w:tcBorders>
              <w:top w:val="single" w:sz="4" w:space="0" w:color="auto"/>
              <w:left w:val="single" w:sz="4" w:space="0" w:color="auto"/>
              <w:bottom w:val="single" w:sz="4" w:space="0" w:color="auto"/>
              <w:right w:val="single" w:sz="4" w:space="0" w:color="auto"/>
            </w:tcBorders>
            <w:vAlign w:val="center"/>
          </w:tcPr>
          <w:p w14:paraId="316B6E67" w14:textId="558EAE95" w:rsidR="00811940" w:rsidRPr="00F62C9B" w:rsidRDefault="00811940" w:rsidP="00811940">
            <w:pPr>
              <w:jc w:val="center"/>
              <w:rPr>
                <w:sz w:val="20"/>
                <w:szCs w:val="20"/>
              </w:rPr>
            </w:pPr>
          </w:p>
        </w:tc>
      </w:tr>
      <w:tr w:rsidR="00811940" w:rsidRPr="00E80EE2" w14:paraId="29564A17" w14:textId="77777777" w:rsidTr="00520183">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256F6" w14:textId="4683CF60" w:rsidR="00811940" w:rsidRPr="00674F0C" w:rsidRDefault="00811940" w:rsidP="00811940">
            <w:pPr>
              <w:rPr>
                <w:color w:val="000000"/>
                <w:sz w:val="20"/>
                <w:szCs w:val="20"/>
              </w:rPr>
            </w:pPr>
            <w:r>
              <w:rPr>
                <w:color w:val="000000"/>
                <w:sz w:val="20"/>
                <w:szCs w:val="20"/>
              </w:rPr>
              <w:tab/>
            </w:r>
            <w:r w:rsidRPr="00674F0C">
              <w:rPr>
                <w:color w:val="000000"/>
                <w:sz w:val="20"/>
                <w:szCs w:val="20"/>
              </w:rPr>
              <w:t>Undergraduate (degree seeking)</w:t>
            </w:r>
          </w:p>
        </w:tc>
        <w:tc>
          <w:tcPr>
            <w:tcW w:w="1349" w:type="dxa"/>
            <w:tcBorders>
              <w:top w:val="single" w:sz="4" w:space="0" w:color="auto"/>
              <w:left w:val="single" w:sz="4" w:space="0" w:color="auto"/>
              <w:bottom w:val="single" w:sz="4" w:space="0" w:color="auto"/>
              <w:right w:val="single" w:sz="4" w:space="0" w:color="auto"/>
            </w:tcBorders>
            <w:noWrap/>
            <w:vAlign w:val="center"/>
          </w:tcPr>
          <w:p w14:paraId="6E9ECE77" w14:textId="771ACC1D" w:rsidR="00811940" w:rsidRPr="00674F0C" w:rsidRDefault="00811940" w:rsidP="00811940">
            <w:pPr>
              <w:jc w:val="center"/>
              <w:rPr>
                <w:color w:val="000000"/>
                <w:sz w:val="20"/>
                <w:szCs w:val="20"/>
              </w:rPr>
            </w:pPr>
            <w:r>
              <w:rPr>
                <w:sz w:val="20"/>
                <w:szCs w:val="20"/>
              </w:rPr>
              <w:t>18,637</w:t>
            </w:r>
          </w:p>
        </w:tc>
        <w:tc>
          <w:tcPr>
            <w:tcW w:w="1349" w:type="dxa"/>
            <w:tcBorders>
              <w:top w:val="single" w:sz="4" w:space="0" w:color="auto"/>
              <w:left w:val="single" w:sz="4" w:space="0" w:color="auto"/>
              <w:bottom w:val="single" w:sz="4" w:space="0" w:color="auto"/>
              <w:right w:val="single" w:sz="4" w:space="0" w:color="auto"/>
            </w:tcBorders>
            <w:vAlign w:val="center"/>
          </w:tcPr>
          <w:p w14:paraId="5D63A6C9" w14:textId="5A157F00" w:rsidR="00811940" w:rsidRPr="00674F0C" w:rsidRDefault="00811940" w:rsidP="00811940">
            <w:pPr>
              <w:jc w:val="center"/>
              <w:rPr>
                <w:color w:val="000000"/>
                <w:sz w:val="20"/>
                <w:szCs w:val="20"/>
              </w:rPr>
            </w:pPr>
            <w:r w:rsidRPr="00F62C9B">
              <w:rPr>
                <w:sz w:val="20"/>
                <w:szCs w:val="20"/>
              </w:rPr>
              <w:t>19,159</w:t>
            </w:r>
          </w:p>
        </w:tc>
        <w:tc>
          <w:tcPr>
            <w:tcW w:w="1349" w:type="dxa"/>
            <w:tcBorders>
              <w:top w:val="single" w:sz="4" w:space="0" w:color="auto"/>
              <w:left w:val="single" w:sz="4" w:space="0" w:color="auto"/>
              <w:bottom w:val="single" w:sz="4" w:space="0" w:color="auto"/>
              <w:right w:val="single" w:sz="4" w:space="0" w:color="auto"/>
            </w:tcBorders>
            <w:vAlign w:val="center"/>
          </w:tcPr>
          <w:p w14:paraId="53025B17" w14:textId="05B6169E" w:rsidR="00811940" w:rsidRPr="00674F0C" w:rsidRDefault="00811940" w:rsidP="00811940">
            <w:pPr>
              <w:jc w:val="center"/>
              <w:rPr>
                <w:sz w:val="20"/>
                <w:szCs w:val="20"/>
              </w:rPr>
            </w:pPr>
            <w:r>
              <w:rPr>
                <w:sz w:val="20"/>
                <w:szCs w:val="20"/>
              </w:rPr>
              <w:t>19,388</w:t>
            </w:r>
          </w:p>
        </w:tc>
        <w:tc>
          <w:tcPr>
            <w:tcW w:w="1406" w:type="dxa"/>
            <w:tcBorders>
              <w:top w:val="single" w:sz="4" w:space="0" w:color="auto"/>
              <w:left w:val="single" w:sz="4" w:space="0" w:color="auto"/>
              <w:bottom w:val="single" w:sz="4" w:space="0" w:color="auto"/>
              <w:right w:val="single" w:sz="4" w:space="0" w:color="auto"/>
            </w:tcBorders>
            <w:vAlign w:val="center"/>
          </w:tcPr>
          <w:p w14:paraId="1C6D54AE" w14:textId="7E9D38BA" w:rsidR="00811940" w:rsidRPr="00F62C9B" w:rsidRDefault="00811940" w:rsidP="00811940">
            <w:pPr>
              <w:jc w:val="center"/>
              <w:rPr>
                <w:sz w:val="20"/>
                <w:szCs w:val="20"/>
              </w:rPr>
            </w:pPr>
          </w:p>
        </w:tc>
      </w:tr>
      <w:tr w:rsidR="00811940" w:rsidRPr="00E80EE2" w14:paraId="15340DD5" w14:textId="77777777" w:rsidTr="00520183">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5D1F0" w14:textId="06827AAB" w:rsidR="00811940" w:rsidRPr="00674F0C" w:rsidRDefault="00811940" w:rsidP="00811940">
            <w:pPr>
              <w:ind w:left="735" w:hanging="15"/>
              <w:rPr>
                <w:color w:val="000000"/>
                <w:sz w:val="20"/>
                <w:szCs w:val="20"/>
              </w:rPr>
            </w:pPr>
            <w:r w:rsidRPr="00674F0C">
              <w:rPr>
                <w:color w:val="000000"/>
                <w:sz w:val="20"/>
                <w:szCs w:val="20"/>
              </w:rPr>
              <w:t>Graduate (degree seeking)</w:t>
            </w:r>
          </w:p>
        </w:tc>
        <w:tc>
          <w:tcPr>
            <w:tcW w:w="1349" w:type="dxa"/>
            <w:tcBorders>
              <w:top w:val="single" w:sz="4" w:space="0" w:color="auto"/>
              <w:left w:val="single" w:sz="4" w:space="0" w:color="auto"/>
              <w:bottom w:val="single" w:sz="4" w:space="0" w:color="auto"/>
              <w:right w:val="single" w:sz="4" w:space="0" w:color="auto"/>
            </w:tcBorders>
            <w:noWrap/>
            <w:vAlign w:val="center"/>
          </w:tcPr>
          <w:p w14:paraId="43E3AF7E" w14:textId="358E694A" w:rsidR="00811940" w:rsidRPr="00674F0C" w:rsidRDefault="00811940" w:rsidP="00811940">
            <w:pPr>
              <w:jc w:val="center"/>
              <w:rPr>
                <w:color w:val="000000"/>
                <w:sz w:val="20"/>
                <w:szCs w:val="20"/>
              </w:rPr>
            </w:pPr>
            <w:r>
              <w:rPr>
                <w:sz w:val="20"/>
                <w:szCs w:val="20"/>
              </w:rPr>
              <w:t>3,520</w:t>
            </w:r>
          </w:p>
        </w:tc>
        <w:tc>
          <w:tcPr>
            <w:tcW w:w="1349" w:type="dxa"/>
            <w:tcBorders>
              <w:top w:val="single" w:sz="4" w:space="0" w:color="auto"/>
              <w:left w:val="single" w:sz="4" w:space="0" w:color="auto"/>
              <w:bottom w:val="single" w:sz="4" w:space="0" w:color="auto"/>
              <w:right w:val="single" w:sz="4" w:space="0" w:color="auto"/>
            </w:tcBorders>
            <w:vAlign w:val="center"/>
          </w:tcPr>
          <w:p w14:paraId="10D03D4F" w14:textId="336A1712" w:rsidR="00811940" w:rsidRPr="00674F0C" w:rsidRDefault="00811940" w:rsidP="00811940">
            <w:pPr>
              <w:jc w:val="center"/>
              <w:rPr>
                <w:color w:val="000000"/>
                <w:sz w:val="20"/>
                <w:szCs w:val="20"/>
              </w:rPr>
            </w:pPr>
            <w:r w:rsidRPr="00F62C9B">
              <w:rPr>
                <w:sz w:val="20"/>
                <w:szCs w:val="20"/>
              </w:rPr>
              <w:t>3,626</w:t>
            </w:r>
          </w:p>
        </w:tc>
        <w:tc>
          <w:tcPr>
            <w:tcW w:w="1349" w:type="dxa"/>
            <w:tcBorders>
              <w:top w:val="single" w:sz="4" w:space="0" w:color="auto"/>
              <w:left w:val="single" w:sz="4" w:space="0" w:color="auto"/>
              <w:bottom w:val="single" w:sz="4" w:space="0" w:color="auto"/>
              <w:right w:val="single" w:sz="4" w:space="0" w:color="auto"/>
            </w:tcBorders>
            <w:vAlign w:val="center"/>
          </w:tcPr>
          <w:p w14:paraId="1FCCAC95" w14:textId="0803E98E" w:rsidR="00811940" w:rsidRPr="00674F0C" w:rsidRDefault="00811940" w:rsidP="00811940">
            <w:pPr>
              <w:jc w:val="center"/>
              <w:rPr>
                <w:sz w:val="20"/>
                <w:szCs w:val="20"/>
              </w:rPr>
            </w:pPr>
            <w:r>
              <w:rPr>
                <w:sz w:val="20"/>
                <w:szCs w:val="20"/>
              </w:rPr>
              <w:t>3,732</w:t>
            </w:r>
          </w:p>
        </w:tc>
        <w:tc>
          <w:tcPr>
            <w:tcW w:w="1406" w:type="dxa"/>
            <w:tcBorders>
              <w:top w:val="single" w:sz="4" w:space="0" w:color="auto"/>
              <w:left w:val="single" w:sz="4" w:space="0" w:color="auto"/>
              <w:bottom w:val="single" w:sz="4" w:space="0" w:color="auto"/>
              <w:right w:val="single" w:sz="4" w:space="0" w:color="auto"/>
            </w:tcBorders>
            <w:vAlign w:val="center"/>
          </w:tcPr>
          <w:p w14:paraId="0A05A267" w14:textId="533A7EEE" w:rsidR="00811940" w:rsidRPr="00F62C9B" w:rsidRDefault="00811940" w:rsidP="00811940">
            <w:pPr>
              <w:jc w:val="center"/>
              <w:rPr>
                <w:sz w:val="20"/>
                <w:szCs w:val="20"/>
              </w:rPr>
            </w:pPr>
          </w:p>
        </w:tc>
      </w:tr>
      <w:tr w:rsidR="00811940" w:rsidRPr="00E80EE2" w14:paraId="036C3ED3" w14:textId="77777777" w:rsidTr="00520183">
        <w:tc>
          <w:tcPr>
            <w:tcW w:w="1007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57E54" w14:textId="77777777" w:rsidR="00811940" w:rsidRPr="00F62C9B" w:rsidRDefault="00811940" w:rsidP="00811940">
            <w:pPr>
              <w:pStyle w:val="ListParagraph"/>
              <w:numPr>
                <w:ilvl w:val="0"/>
                <w:numId w:val="26"/>
              </w:numPr>
              <w:ind w:left="375"/>
              <w:rPr>
                <w:color w:val="000000"/>
                <w:sz w:val="20"/>
                <w:szCs w:val="20"/>
              </w:rPr>
            </w:pPr>
            <w:r w:rsidRPr="00F62C9B">
              <w:rPr>
                <w:color w:val="000000"/>
                <w:sz w:val="20"/>
                <w:szCs w:val="20"/>
              </w:rPr>
              <w:t>Student Credit Hours (SCH) by Level (</w:t>
            </w:r>
            <w:proofErr w:type="spellStart"/>
            <w:r w:rsidRPr="00F62C9B">
              <w:rPr>
                <w:color w:val="000000"/>
                <w:sz w:val="20"/>
                <w:szCs w:val="20"/>
              </w:rPr>
              <w:t>Su</w:t>
            </w:r>
            <w:proofErr w:type="spellEnd"/>
            <w:r w:rsidRPr="00F62C9B">
              <w:rPr>
                <w:color w:val="000000"/>
                <w:sz w:val="20"/>
                <w:szCs w:val="20"/>
              </w:rPr>
              <w:t xml:space="preserve">, Fa, and </w:t>
            </w:r>
            <w:proofErr w:type="spellStart"/>
            <w:proofErr w:type="gramStart"/>
            <w:r w:rsidRPr="00F62C9B">
              <w:rPr>
                <w:color w:val="000000"/>
                <w:sz w:val="20"/>
                <w:szCs w:val="20"/>
              </w:rPr>
              <w:t>Spr</w:t>
            </w:r>
            <w:proofErr w:type="spellEnd"/>
            <w:r w:rsidRPr="00F62C9B">
              <w:rPr>
                <w:color w:val="000000"/>
                <w:sz w:val="20"/>
                <w:szCs w:val="20"/>
              </w:rPr>
              <w:t>)  (</w:t>
            </w:r>
            <w:proofErr w:type="gramEnd"/>
            <w:r w:rsidRPr="00F62C9B">
              <w:rPr>
                <w:color w:val="000000"/>
                <w:sz w:val="20"/>
                <w:szCs w:val="20"/>
              </w:rPr>
              <w:t>see Part II for Cost per credit hour delivered)</w:t>
            </w:r>
          </w:p>
        </w:tc>
      </w:tr>
      <w:tr w:rsidR="00811940" w:rsidRPr="00E80EE2" w14:paraId="71476258" w14:textId="77777777" w:rsidTr="00520183">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2E41D" w14:textId="77777777" w:rsidR="00811940" w:rsidRPr="00674F0C" w:rsidRDefault="00811940" w:rsidP="00811940">
            <w:pPr>
              <w:ind w:left="375"/>
              <w:rPr>
                <w:color w:val="000000"/>
                <w:sz w:val="20"/>
                <w:szCs w:val="20"/>
              </w:rPr>
            </w:pPr>
            <w:r w:rsidRPr="00674F0C">
              <w:rPr>
                <w:color w:val="000000"/>
                <w:sz w:val="20"/>
                <w:szCs w:val="20"/>
              </w:rPr>
              <w:t xml:space="preserve">Annual SCH Attempted (End of </w:t>
            </w:r>
            <w:proofErr w:type="gramStart"/>
            <w:r w:rsidRPr="00674F0C">
              <w:rPr>
                <w:color w:val="000000"/>
                <w:sz w:val="20"/>
                <w:szCs w:val="20"/>
              </w:rPr>
              <w:t xml:space="preserve">Term)   </w:t>
            </w:r>
            <w:proofErr w:type="gramEnd"/>
            <w:r w:rsidRPr="00674F0C">
              <w:rPr>
                <w:color w:val="000000"/>
                <w:sz w:val="20"/>
                <w:szCs w:val="20"/>
              </w:rPr>
              <w:t xml:space="preserve">  Total</w:t>
            </w:r>
          </w:p>
        </w:tc>
        <w:tc>
          <w:tcPr>
            <w:tcW w:w="1349" w:type="dxa"/>
            <w:tcBorders>
              <w:top w:val="single" w:sz="4" w:space="0" w:color="auto"/>
              <w:left w:val="single" w:sz="4" w:space="0" w:color="auto"/>
              <w:bottom w:val="single" w:sz="4" w:space="0" w:color="auto"/>
              <w:right w:val="single" w:sz="4" w:space="0" w:color="auto"/>
            </w:tcBorders>
            <w:noWrap/>
            <w:vAlign w:val="center"/>
          </w:tcPr>
          <w:p w14:paraId="6BE626F7" w14:textId="07626836" w:rsidR="00811940" w:rsidRPr="00674F0C" w:rsidRDefault="00811940" w:rsidP="00811940">
            <w:pPr>
              <w:jc w:val="center"/>
              <w:rPr>
                <w:color w:val="000000"/>
                <w:sz w:val="20"/>
                <w:szCs w:val="20"/>
              </w:rPr>
            </w:pPr>
            <w:r>
              <w:rPr>
                <w:color w:val="000000"/>
                <w:sz w:val="20"/>
                <w:szCs w:val="20"/>
              </w:rPr>
              <w:t>514,178</w:t>
            </w:r>
          </w:p>
        </w:tc>
        <w:tc>
          <w:tcPr>
            <w:tcW w:w="1349" w:type="dxa"/>
            <w:tcBorders>
              <w:top w:val="single" w:sz="4" w:space="0" w:color="auto"/>
              <w:left w:val="single" w:sz="4" w:space="0" w:color="auto"/>
              <w:bottom w:val="single" w:sz="4" w:space="0" w:color="auto"/>
              <w:right w:val="single" w:sz="4" w:space="0" w:color="auto"/>
            </w:tcBorders>
            <w:vAlign w:val="center"/>
          </w:tcPr>
          <w:p w14:paraId="7771CA49" w14:textId="65448B13" w:rsidR="00811940" w:rsidRPr="00674F0C" w:rsidRDefault="00811940" w:rsidP="00811940">
            <w:pPr>
              <w:jc w:val="center"/>
              <w:rPr>
                <w:color w:val="000000"/>
                <w:sz w:val="20"/>
                <w:szCs w:val="20"/>
              </w:rPr>
            </w:pPr>
            <w:r w:rsidRPr="00F62C9B">
              <w:rPr>
                <w:color w:val="000000"/>
                <w:sz w:val="20"/>
                <w:szCs w:val="20"/>
              </w:rPr>
              <w:t>537,586</w:t>
            </w:r>
          </w:p>
        </w:tc>
        <w:tc>
          <w:tcPr>
            <w:tcW w:w="1349" w:type="dxa"/>
            <w:tcBorders>
              <w:top w:val="single" w:sz="4" w:space="0" w:color="auto"/>
              <w:left w:val="single" w:sz="4" w:space="0" w:color="auto"/>
              <w:bottom w:val="single" w:sz="4" w:space="0" w:color="auto"/>
              <w:right w:val="single" w:sz="4" w:space="0" w:color="auto"/>
            </w:tcBorders>
            <w:vAlign w:val="center"/>
          </w:tcPr>
          <w:p w14:paraId="636A5CC3" w14:textId="11983F3B" w:rsidR="00811940" w:rsidRPr="00674F0C" w:rsidRDefault="00811940" w:rsidP="00811940">
            <w:pPr>
              <w:jc w:val="center"/>
              <w:rPr>
                <w:color w:val="000000"/>
                <w:sz w:val="20"/>
                <w:szCs w:val="20"/>
              </w:rPr>
            </w:pPr>
            <w:r>
              <w:rPr>
                <w:color w:val="000000"/>
                <w:sz w:val="20"/>
                <w:szCs w:val="20"/>
              </w:rPr>
              <w:t>533,808</w:t>
            </w:r>
          </w:p>
        </w:tc>
        <w:tc>
          <w:tcPr>
            <w:tcW w:w="1406" w:type="dxa"/>
            <w:tcBorders>
              <w:top w:val="single" w:sz="4" w:space="0" w:color="auto"/>
              <w:left w:val="single" w:sz="4" w:space="0" w:color="auto"/>
              <w:bottom w:val="single" w:sz="4" w:space="0" w:color="auto"/>
              <w:right w:val="single" w:sz="4" w:space="0" w:color="auto"/>
            </w:tcBorders>
            <w:vAlign w:val="center"/>
          </w:tcPr>
          <w:p w14:paraId="027583A1" w14:textId="44193BF8" w:rsidR="00811940" w:rsidRPr="00F62C9B" w:rsidRDefault="00811940" w:rsidP="00811940">
            <w:pPr>
              <w:jc w:val="center"/>
              <w:rPr>
                <w:color w:val="000000"/>
                <w:sz w:val="20"/>
                <w:szCs w:val="20"/>
              </w:rPr>
            </w:pPr>
          </w:p>
        </w:tc>
      </w:tr>
      <w:tr w:rsidR="00811940" w:rsidRPr="00E80EE2" w14:paraId="51981EE3" w14:textId="77777777" w:rsidTr="00520183">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4C647" w14:textId="77777777" w:rsidR="00811940" w:rsidRPr="00674F0C" w:rsidRDefault="00811940" w:rsidP="00811940">
            <w:pPr>
              <w:ind w:left="735"/>
              <w:rPr>
                <w:color w:val="000000"/>
                <w:sz w:val="20"/>
                <w:szCs w:val="20"/>
              </w:rPr>
            </w:pPr>
            <w:r w:rsidRPr="00674F0C">
              <w:rPr>
                <w:color w:val="000000"/>
                <w:sz w:val="20"/>
                <w:szCs w:val="20"/>
              </w:rPr>
              <w:t>Professional Technical</w:t>
            </w:r>
          </w:p>
        </w:tc>
        <w:tc>
          <w:tcPr>
            <w:tcW w:w="1349" w:type="dxa"/>
            <w:tcBorders>
              <w:top w:val="single" w:sz="4" w:space="0" w:color="auto"/>
              <w:left w:val="single" w:sz="4" w:space="0" w:color="auto"/>
              <w:bottom w:val="single" w:sz="4" w:space="0" w:color="auto"/>
              <w:right w:val="single" w:sz="4" w:space="0" w:color="auto"/>
            </w:tcBorders>
            <w:noWrap/>
            <w:vAlign w:val="center"/>
          </w:tcPr>
          <w:p w14:paraId="18876963" w14:textId="18BE806B" w:rsidR="00811940" w:rsidRPr="00674F0C" w:rsidRDefault="00811940" w:rsidP="00811940">
            <w:pPr>
              <w:jc w:val="center"/>
              <w:rPr>
                <w:color w:val="000000"/>
                <w:sz w:val="20"/>
                <w:szCs w:val="20"/>
              </w:rPr>
            </w:pPr>
            <w:r>
              <w:rPr>
                <w:color w:val="000000"/>
                <w:sz w:val="20"/>
                <w:szCs w:val="20"/>
              </w:rPr>
              <w:t>0</w:t>
            </w:r>
          </w:p>
        </w:tc>
        <w:tc>
          <w:tcPr>
            <w:tcW w:w="1349" w:type="dxa"/>
            <w:tcBorders>
              <w:top w:val="single" w:sz="4" w:space="0" w:color="auto"/>
              <w:left w:val="single" w:sz="4" w:space="0" w:color="auto"/>
              <w:bottom w:val="single" w:sz="4" w:space="0" w:color="auto"/>
              <w:right w:val="single" w:sz="4" w:space="0" w:color="auto"/>
            </w:tcBorders>
            <w:vAlign w:val="center"/>
          </w:tcPr>
          <w:p w14:paraId="1DE2BB68" w14:textId="5F51555F" w:rsidR="00811940" w:rsidRPr="00674F0C" w:rsidRDefault="00811940" w:rsidP="00811940">
            <w:pPr>
              <w:jc w:val="center"/>
              <w:rPr>
                <w:color w:val="000000"/>
                <w:sz w:val="20"/>
                <w:szCs w:val="20"/>
              </w:rPr>
            </w:pPr>
            <w:r w:rsidRPr="00F62C9B">
              <w:rPr>
                <w:color w:val="000000"/>
                <w:sz w:val="20"/>
                <w:szCs w:val="20"/>
              </w:rPr>
              <w:t>0</w:t>
            </w:r>
          </w:p>
        </w:tc>
        <w:tc>
          <w:tcPr>
            <w:tcW w:w="1349" w:type="dxa"/>
            <w:tcBorders>
              <w:top w:val="single" w:sz="4" w:space="0" w:color="auto"/>
              <w:left w:val="single" w:sz="4" w:space="0" w:color="auto"/>
              <w:bottom w:val="single" w:sz="4" w:space="0" w:color="auto"/>
              <w:right w:val="single" w:sz="4" w:space="0" w:color="auto"/>
            </w:tcBorders>
            <w:vAlign w:val="center"/>
          </w:tcPr>
          <w:p w14:paraId="1E3C405A" w14:textId="4E4508CF" w:rsidR="00811940" w:rsidRPr="00674F0C" w:rsidRDefault="00811940" w:rsidP="00811940">
            <w:pPr>
              <w:jc w:val="center"/>
              <w:rPr>
                <w:color w:val="000000"/>
                <w:sz w:val="20"/>
                <w:szCs w:val="20"/>
              </w:rPr>
            </w:pPr>
            <w:r>
              <w:rPr>
                <w:color w:val="000000"/>
                <w:sz w:val="20"/>
                <w:szCs w:val="20"/>
              </w:rPr>
              <w:t>0</w:t>
            </w:r>
          </w:p>
        </w:tc>
        <w:tc>
          <w:tcPr>
            <w:tcW w:w="1406" w:type="dxa"/>
            <w:tcBorders>
              <w:top w:val="single" w:sz="4" w:space="0" w:color="auto"/>
              <w:left w:val="single" w:sz="4" w:space="0" w:color="auto"/>
              <w:bottom w:val="single" w:sz="4" w:space="0" w:color="auto"/>
              <w:right w:val="single" w:sz="4" w:space="0" w:color="auto"/>
            </w:tcBorders>
            <w:vAlign w:val="center"/>
          </w:tcPr>
          <w:p w14:paraId="087D7FAF" w14:textId="6A83CDC8" w:rsidR="00811940" w:rsidRPr="00F62C9B" w:rsidRDefault="00811940" w:rsidP="00811940">
            <w:pPr>
              <w:jc w:val="center"/>
              <w:rPr>
                <w:color w:val="000000"/>
                <w:sz w:val="20"/>
                <w:szCs w:val="20"/>
              </w:rPr>
            </w:pPr>
          </w:p>
        </w:tc>
      </w:tr>
      <w:tr w:rsidR="00811940" w:rsidRPr="00E80EE2" w14:paraId="1584C81A" w14:textId="77777777" w:rsidTr="00520183">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5BAC9" w14:textId="77777777" w:rsidR="00811940" w:rsidRPr="00674F0C" w:rsidRDefault="00811940" w:rsidP="00811940">
            <w:pPr>
              <w:ind w:left="735"/>
              <w:rPr>
                <w:color w:val="000000"/>
                <w:sz w:val="20"/>
                <w:szCs w:val="20"/>
              </w:rPr>
            </w:pPr>
            <w:r w:rsidRPr="00674F0C">
              <w:rPr>
                <w:color w:val="000000"/>
                <w:sz w:val="20"/>
                <w:szCs w:val="20"/>
              </w:rPr>
              <w:t>Undergraduate credits</w:t>
            </w:r>
          </w:p>
        </w:tc>
        <w:tc>
          <w:tcPr>
            <w:tcW w:w="1349" w:type="dxa"/>
            <w:tcBorders>
              <w:top w:val="single" w:sz="4" w:space="0" w:color="auto"/>
              <w:left w:val="single" w:sz="4" w:space="0" w:color="auto"/>
              <w:bottom w:val="single" w:sz="4" w:space="0" w:color="auto"/>
              <w:right w:val="single" w:sz="4" w:space="0" w:color="auto"/>
            </w:tcBorders>
            <w:noWrap/>
          </w:tcPr>
          <w:p w14:paraId="2F3BA66F" w14:textId="496FCB3C" w:rsidR="00811940" w:rsidRPr="00674F0C" w:rsidRDefault="00811940" w:rsidP="00811940">
            <w:pPr>
              <w:jc w:val="center"/>
              <w:rPr>
                <w:color w:val="000000"/>
                <w:sz w:val="20"/>
                <w:szCs w:val="20"/>
              </w:rPr>
            </w:pPr>
            <w:r>
              <w:rPr>
                <w:color w:val="000000"/>
                <w:sz w:val="20"/>
                <w:szCs w:val="20"/>
              </w:rPr>
              <w:t>456,168</w:t>
            </w:r>
          </w:p>
        </w:tc>
        <w:tc>
          <w:tcPr>
            <w:tcW w:w="1349" w:type="dxa"/>
            <w:tcBorders>
              <w:top w:val="single" w:sz="4" w:space="0" w:color="auto"/>
              <w:left w:val="single" w:sz="4" w:space="0" w:color="auto"/>
              <w:bottom w:val="single" w:sz="4" w:space="0" w:color="auto"/>
              <w:right w:val="single" w:sz="4" w:space="0" w:color="auto"/>
            </w:tcBorders>
          </w:tcPr>
          <w:p w14:paraId="1E6CBC01" w14:textId="60D49510" w:rsidR="00811940" w:rsidRPr="00674F0C" w:rsidRDefault="00811940" w:rsidP="00811940">
            <w:pPr>
              <w:jc w:val="center"/>
              <w:rPr>
                <w:color w:val="000000"/>
                <w:sz w:val="20"/>
                <w:szCs w:val="20"/>
              </w:rPr>
            </w:pPr>
            <w:r w:rsidRPr="00F62C9B">
              <w:rPr>
                <w:color w:val="000000"/>
                <w:sz w:val="20"/>
                <w:szCs w:val="20"/>
              </w:rPr>
              <w:t>477,921</w:t>
            </w:r>
          </w:p>
        </w:tc>
        <w:tc>
          <w:tcPr>
            <w:tcW w:w="1349" w:type="dxa"/>
            <w:tcBorders>
              <w:top w:val="single" w:sz="4" w:space="0" w:color="auto"/>
              <w:left w:val="single" w:sz="4" w:space="0" w:color="auto"/>
              <w:bottom w:val="single" w:sz="4" w:space="0" w:color="auto"/>
              <w:right w:val="single" w:sz="4" w:space="0" w:color="auto"/>
            </w:tcBorders>
          </w:tcPr>
          <w:p w14:paraId="4C75375F" w14:textId="56675F9A" w:rsidR="00811940" w:rsidRPr="00674F0C" w:rsidRDefault="00811940" w:rsidP="00811940">
            <w:pPr>
              <w:jc w:val="center"/>
              <w:rPr>
                <w:color w:val="000000"/>
                <w:sz w:val="20"/>
                <w:szCs w:val="20"/>
              </w:rPr>
            </w:pPr>
            <w:r>
              <w:rPr>
                <w:color w:val="000000"/>
                <w:sz w:val="20"/>
                <w:szCs w:val="20"/>
              </w:rPr>
              <w:t>473,031</w:t>
            </w:r>
          </w:p>
        </w:tc>
        <w:tc>
          <w:tcPr>
            <w:tcW w:w="1406" w:type="dxa"/>
            <w:tcBorders>
              <w:top w:val="single" w:sz="4" w:space="0" w:color="auto"/>
              <w:left w:val="single" w:sz="4" w:space="0" w:color="auto"/>
              <w:bottom w:val="single" w:sz="4" w:space="0" w:color="auto"/>
              <w:right w:val="single" w:sz="4" w:space="0" w:color="auto"/>
            </w:tcBorders>
          </w:tcPr>
          <w:p w14:paraId="47DA1C84" w14:textId="27EB82CC" w:rsidR="00811940" w:rsidRPr="00F62C9B" w:rsidRDefault="00811940" w:rsidP="00811940">
            <w:pPr>
              <w:jc w:val="center"/>
              <w:rPr>
                <w:color w:val="000000"/>
                <w:sz w:val="20"/>
                <w:szCs w:val="20"/>
              </w:rPr>
            </w:pPr>
          </w:p>
        </w:tc>
      </w:tr>
      <w:tr w:rsidR="00811940" w:rsidRPr="00E80EE2" w14:paraId="514E0555" w14:textId="77777777" w:rsidTr="00520183">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D4040" w14:textId="77777777" w:rsidR="00811940" w:rsidRPr="00674F0C" w:rsidRDefault="00811940" w:rsidP="00811940">
            <w:pPr>
              <w:ind w:left="735"/>
              <w:rPr>
                <w:color w:val="000000"/>
                <w:sz w:val="20"/>
                <w:szCs w:val="20"/>
              </w:rPr>
            </w:pPr>
            <w:r w:rsidRPr="00674F0C">
              <w:rPr>
                <w:color w:val="000000"/>
                <w:sz w:val="20"/>
                <w:szCs w:val="20"/>
              </w:rPr>
              <w:t>Graduate credits</w:t>
            </w:r>
          </w:p>
        </w:tc>
        <w:tc>
          <w:tcPr>
            <w:tcW w:w="1349" w:type="dxa"/>
            <w:tcBorders>
              <w:top w:val="single" w:sz="4" w:space="0" w:color="auto"/>
              <w:left w:val="single" w:sz="4" w:space="0" w:color="auto"/>
              <w:bottom w:val="single" w:sz="4" w:space="0" w:color="auto"/>
              <w:right w:val="single" w:sz="4" w:space="0" w:color="auto"/>
            </w:tcBorders>
            <w:noWrap/>
          </w:tcPr>
          <w:p w14:paraId="0B969093" w14:textId="56CB7A26" w:rsidR="00811940" w:rsidRPr="00674F0C" w:rsidRDefault="00811940" w:rsidP="00811940">
            <w:pPr>
              <w:jc w:val="center"/>
              <w:rPr>
                <w:color w:val="000000"/>
                <w:sz w:val="20"/>
                <w:szCs w:val="20"/>
              </w:rPr>
            </w:pPr>
            <w:r>
              <w:rPr>
                <w:color w:val="000000"/>
                <w:sz w:val="20"/>
                <w:szCs w:val="20"/>
              </w:rPr>
              <w:t>58,010</w:t>
            </w:r>
          </w:p>
        </w:tc>
        <w:tc>
          <w:tcPr>
            <w:tcW w:w="1349" w:type="dxa"/>
            <w:tcBorders>
              <w:top w:val="single" w:sz="4" w:space="0" w:color="auto"/>
              <w:left w:val="single" w:sz="4" w:space="0" w:color="auto"/>
              <w:bottom w:val="single" w:sz="4" w:space="0" w:color="auto"/>
              <w:right w:val="single" w:sz="4" w:space="0" w:color="auto"/>
            </w:tcBorders>
          </w:tcPr>
          <w:p w14:paraId="2A350928" w14:textId="5719F086" w:rsidR="00811940" w:rsidRPr="00674F0C" w:rsidRDefault="00811940" w:rsidP="00811940">
            <w:pPr>
              <w:jc w:val="center"/>
              <w:rPr>
                <w:color w:val="000000"/>
                <w:sz w:val="20"/>
                <w:szCs w:val="20"/>
              </w:rPr>
            </w:pPr>
            <w:r w:rsidRPr="00F62C9B">
              <w:rPr>
                <w:color w:val="000000"/>
                <w:sz w:val="20"/>
                <w:szCs w:val="20"/>
              </w:rPr>
              <w:t>59,665</w:t>
            </w:r>
          </w:p>
        </w:tc>
        <w:tc>
          <w:tcPr>
            <w:tcW w:w="1349" w:type="dxa"/>
            <w:tcBorders>
              <w:top w:val="single" w:sz="4" w:space="0" w:color="auto"/>
              <w:left w:val="single" w:sz="4" w:space="0" w:color="auto"/>
              <w:bottom w:val="single" w:sz="4" w:space="0" w:color="auto"/>
              <w:right w:val="single" w:sz="4" w:space="0" w:color="auto"/>
            </w:tcBorders>
          </w:tcPr>
          <w:p w14:paraId="4FAD0E62" w14:textId="192D3407" w:rsidR="00811940" w:rsidRPr="00674F0C" w:rsidRDefault="00811940" w:rsidP="00811940">
            <w:pPr>
              <w:jc w:val="center"/>
              <w:rPr>
                <w:color w:val="000000"/>
                <w:sz w:val="20"/>
                <w:szCs w:val="20"/>
              </w:rPr>
            </w:pPr>
            <w:r>
              <w:rPr>
                <w:color w:val="000000"/>
                <w:sz w:val="20"/>
                <w:szCs w:val="20"/>
              </w:rPr>
              <w:t>60,777</w:t>
            </w:r>
          </w:p>
        </w:tc>
        <w:tc>
          <w:tcPr>
            <w:tcW w:w="1406" w:type="dxa"/>
            <w:tcBorders>
              <w:top w:val="single" w:sz="4" w:space="0" w:color="auto"/>
              <w:left w:val="single" w:sz="4" w:space="0" w:color="auto"/>
              <w:bottom w:val="single" w:sz="4" w:space="0" w:color="auto"/>
              <w:right w:val="single" w:sz="4" w:space="0" w:color="auto"/>
            </w:tcBorders>
          </w:tcPr>
          <w:p w14:paraId="3D0DB10D" w14:textId="4382F79F" w:rsidR="00811940" w:rsidRPr="00F62C9B" w:rsidRDefault="00811940" w:rsidP="00811940">
            <w:pPr>
              <w:jc w:val="center"/>
              <w:rPr>
                <w:color w:val="000000"/>
                <w:sz w:val="20"/>
                <w:szCs w:val="20"/>
              </w:rPr>
            </w:pPr>
          </w:p>
        </w:tc>
      </w:tr>
      <w:tr w:rsidR="00811940" w:rsidRPr="00E80EE2" w14:paraId="4CB354FB" w14:textId="77777777" w:rsidTr="00637AE3">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F5DE7" w14:textId="77777777" w:rsidR="00811940" w:rsidRDefault="00811940" w:rsidP="00811940">
            <w:pPr>
              <w:ind w:left="368"/>
              <w:rPr>
                <w:color w:val="000000"/>
                <w:sz w:val="20"/>
                <w:szCs w:val="20"/>
              </w:rPr>
            </w:pPr>
            <w:r w:rsidRPr="00674F0C">
              <w:rPr>
                <w:color w:val="000000"/>
                <w:sz w:val="20"/>
                <w:szCs w:val="20"/>
              </w:rPr>
              <w:t>Annual SCH Earned (End of Term)</w:t>
            </w:r>
          </w:p>
          <w:p w14:paraId="69324075" w14:textId="576329A7" w:rsidR="00811940" w:rsidRPr="00674F0C" w:rsidRDefault="00811940" w:rsidP="00811940">
            <w:pPr>
              <w:ind w:left="368"/>
              <w:rPr>
                <w:color w:val="000000"/>
                <w:sz w:val="20"/>
                <w:szCs w:val="20"/>
              </w:rPr>
            </w:pPr>
            <w:r w:rsidRPr="00674F0C">
              <w:rPr>
                <w:color w:val="000000"/>
                <w:sz w:val="20"/>
                <w:szCs w:val="20"/>
              </w:rPr>
              <w:t>Total</w:t>
            </w:r>
            <w:r w:rsidRPr="00674F0C">
              <w:rPr>
                <w:rStyle w:val="EndnoteReference"/>
                <w:color w:val="000000"/>
                <w:sz w:val="20"/>
                <w:szCs w:val="20"/>
              </w:rPr>
              <w:endnoteReference w:id="2"/>
            </w:r>
          </w:p>
        </w:tc>
        <w:tc>
          <w:tcPr>
            <w:tcW w:w="1349" w:type="dxa"/>
            <w:tcBorders>
              <w:top w:val="single" w:sz="4" w:space="0" w:color="auto"/>
              <w:left w:val="single" w:sz="4" w:space="0" w:color="auto"/>
              <w:bottom w:val="single" w:sz="4" w:space="0" w:color="auto"/>
              <w:right w:val="single" w:sz="4" w:space="0" w:color="auto"/>
            </w:tcBorders>
            <w:noWrap/>
            <w:vAlign w:val="center"/>
          </w:tcPr>
          <w:p w14:paraId="47DFA4AA" w14:textId="7631A0DE" w:rsidR="00811940" w:rsidRPr="00674F0C" w:rsidRDefault="00811940" w:rsidP="00811940">
            <w:pPr>
              <w:jc w:val="center"/>
              <w:rPr>
                <w:sz w:val="20"/>
                <w:szCs w:val="20"/>
              </w:rPr>
            </w:pPr>
            <w:r>
              <w:rPr>
                <w:sz w:val="20"/>
                <w:szCs w:val="20"/>
              </w:rPr>
              <w:t>455,252</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69BCF7A1" w14:textId="68F56AEB" w:rsidR="00811940" w:rsidRPr="00674F0C" w:rsidRDefault="00811940" w:rsidP="00811940">
            <w:pPr>
              <w:jc w:val="center"/>
              <w:rPr>
                <w:sz w:val="20"/>
                <w:szCs w:val="20"/>
              </w:rPr>
            </w:pPr>
            <w:r w:rsidRPr="00F62C9B">
              <w:rPr>
                <w:sz w:val="20"/>
                <w:szCs w:val="20"/>
              </w:rPr>
              <w:t>467,872</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1174CE95" w14:textId="2A13A665" w:rsidR="00811940" w:rsidRPr="00674F0C" w:rsidRDefault="00811940" w:rsidP="00811940">
            <w:pPr>
              <w:jc w:val="center"/>
              <w:rPr>
                <w:sz w:val="20"/>
                <w:szCs w:val="20"/>
              </w:rPr>
            </w:pPr>
            <w:r>
              <w:rPr>
                <w:sz w:val="20"/>
                <w:szCs w:val="20"/>
              </w:rPr>
              <w:t>464,741</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4925DD9B" w14:textId="1309FA95" w:rsidR="00811940" w:rsidRPr="00F62C9B" w:rsidRDefault="00811940" w:rsidP="00811940">
            <w:pPr>
              <w:jc w:val="center"/>
              <w:rPr>
                <w:sz w:val="20"/>
                <w:szCs w:val="20"/>
              </w:rPr>
            </w:pPr>
          </w:p>
        </w:tc>
      </w:tr>
      <w:tr w:rsidR="00811940" w:rsidRPr="00E80EE2" w14:paraId="29EE301F" w14:textId="77777777" w:rsidTr="00637AE3">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FFA93" w14:textId="77777777" w:rsidR="00811940" w:rsidRPr="00674F0C" w:rsidRDefault="00811940" w:rsidP="00811940">
            <w:pPr>
              <w:ind w:left="728"/>
              <w:rPr>
                <w:color w:val="000000"/>
                <w:sz w:val="20"/>
                <w:szCs w:val="20"/>
              </w:rPr>
            </w:pPr>
            <w:r w:rsidRPr="00674F0C">
              <w:rPr>
                <w:color w:val="000000"/>
                <w:sz w:val="20"/>
                <w:szCs w:val="20"/>
              </w:rPr>
              <w:t>Undergraduate credits</w:t>
            </w:r>
          </w:p>
        </w:tc>
        <w:tc>
          <w:tcPr>
            <w:tcW w:w="1349" w:type="dxa"/>
            <w:tcBorders>
              <w:top w:val="single" w:sz="4" w:space="0" w:color="auto"/>
              <w:left w:val="single" w:sz="4" w:space="0" w:color="auto"/>
              <w:bottom w:val="single" w:sz="4" w:space="0" w:color="auto"/>
              <w:right w:val="single" w:sz="4" w:space="0" w:color="auto"/>
            </w:tcBorders>
            <w:noWrap/>
            <w:vAlign w:val="center"/>
          </w:tcPr>
          <w:p w14:paraId="43CCA7A1" w14:textId="4EE32F2E" w:rsidR="00811940" w:rsidRPr="00674F0C" w:rsidRDefault="00811940" w:rsidP="00811940">
            <w:pPr>
              <w:jc w:val="center"/>
              <w:rPr>
                <w:sz w:val="20"/>
                <w:szCs w:val="20"/>
              </w:rPr>
            </w:pPr>
            <w:r>
              <w:rPr>
                <w:color w:val="000000"/>
                <w:sz w:val="20"/>
                <w:szCs w:val="20"/>
              </w:rPr>
              <w:t>402,014</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1D47973E" w14:textId="7C95E447" w:rsidR="00811940" w:rsidRPr="00674F0C" w:rsidRDefault="00811940" w:rsidP="00811940">
            <w:pPr>
              <w:jc w:val="center"/>
              <w:rPr>
                <w:sz w:val="20"/>
                <w:szCs w:val="20"/>
              </w:rPr>
            </w:pPr>
            <w:r w:rsidRPr="00F62C9B">
              <w:rPr>
                <w:sz w:val="20"/>
                <w:szCs w:val="20"/>
              </w:rPr>
              <w:t>413,308</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5E81F180" w14:textId="1D637F91" w:rsidR="00811940" w:rsidRPr="00674F0C" w:rsidRDefault="00811940" w:rsidP="00811940">
            <w:pPr>
              <w:jc w:val="center"/>
              <w:rPr>
                <w:sz w:val="20"/>
                <w:szCs w:val="20"/>
              </w:rPr>
            </w:pPr>
            <w:r>
              <w:rPr>
                <w:sz w:val="20"/>
                <w:szCs w:val="20"/>
              </w:rPr>
              <w:t>409,369</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3A1A9C62" w14:textId="43374F86" w:rsidR="00811940" w:rsidRPr="00F62C9B" w:rsidRDefault="00811940" w:rsidP="00811940">
            <w:pPr>
              <w:jc w:val="center"/>
              <w:rPr>
                <w:sz w:val="20"/>
                <w:szCs w:val="20"/>
              </w:rPr>
            </w:pPr>
          </w:p>
        </w:tc>
      </w:tr>
      <w:tr w:rsidR="00811940" w:rsidRPr="00E80EE2" w14:paraId="7C75C550" w14:textId="77777777" w:rsidTr="00637AE3">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8EAE8" w14:textId="77777777" w:rsidR="00811940" w:rsidRPr="00674F0C" w:rsidRDefault="00811940" w:rsidP="00811940">
            <w:pPr>
              <w:ind w:left="728"/>
              <w:rPr>
                <w:color w:val="000000"/>
                <w:sz w:val="20"/>
                <w:szCs w:val="20"/>
              </w:rPr>
            </w:pPr>
            <w:r w:rsidRPr="00674F0C">
              <w:rPr>
                <w:color w:val="000000"/>
                <w:sz w:val="20"/>
                <w:szCs w:val="20"/>
              </w:rPr>
              <w:t>Graduate credits</w:t>
            </w:r>
          </w:p>
        </w:tc>
        <w:tc>
          <w:tcPr>
            <w:tcW w:w="1349" w:type="dxa"/>
            <w:tcBorders>
              <w:top w:val="single" w:sz="4" w:space="0" w:color="auto"/>
              <w:left w:val="single" w:sz="4" w:space="0" w:color="auto"/>
              <w:bottom w:val="single" w:sz="4" w:space="0" w:color="auto"/>
              <w:right w:val="single" w:sz="4" w:space="0" w:color="auto"/>
            </w:tcBorders>
            <w:noWrap/>
            <w:vAlign w:val="center"/>
          </w:tcPr>
          <w:p w14:paraId="1E18915D" w14:textId="0D219640" w:rsidR="00811940" w:rsidRPr="00674F0C" w:rsidRDefault="00811940" w:rsidP="00811940">
            <w:pPr>
              <w:jc w:val="center"/>
              <w:rPr>
                <w:sz w:val="20"/>
                <w:szCs w:val="20"/>
              </w:rPr>
            </w:pPr>
            <w:r>
              <w:rPr>
                <w:sz w:val="20"/>
                <w:szCs w:val="20"/>
              </w:rPr>
              <w:t>53,238</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2F8D5069" w14:textId="5C8DCE0B" w:rsidR="00811940" w:rsidRPr="00674F0C" w:rsidRDefault="00811940" w:rsidP="00811940">
            <w:pPr>
              <w:jc w:val="center"/>
              <w:rPr>
                <w:sz w:val="20"/>
                <w:szCs w:val="20"/>
              </w:rPr>
            </w:pPr>
            <w:r w:rsidRPr="00F62C9B">
              <w:rPr>
                <w:sz w:val="20"/>
                <w:szCs w:val="20"/>
              </w:rPr>
              <w:t>54,564</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5B52ABC0" w14:textId="4726700F" w:rsidR="00811940" w:rsidRPr="00674F0C" w:rsidRDefault="00811940" w:rsidP="00811940">
            <w:pPr>
              <w:jc w:val="center"/>
              <w:rPr>
                <w:sz w:val="20"/>
                <w:szCs w:val="20"/>
              </w:rPr>
            </w:pPr>
            <w:r>
              <w:rPr>
                <w:sz w:val="20"/>
                <w:szCs w:val="20"/>
              </w:rPr>
              <w:t>55,372</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0D93DC44" w14:textId="7F9A747C" w:rsidR="00811940" w:rsidRPr="00F62C9B" w:rsidRDefault="00811940" w:rsidP="00811940">
            <w:pPr>
              <w:jc w:val="center"/>
              <w:rPr>
                <w:sz w:val="20"/>
                <w:szCs w:val="20"/>
              </w:rPr>
            </w:pPr>
          </w:p>
        </w:tc>
      </w:tr>
      <w:tr w:rsidR="00811940" w:rsidRPr="00E80EE2" w14:paraId="245DC43D" w14:textId="77777777" w:rsidTr="00637AE3">
        <w:tblPrEx>
          <w:tblCellMar>
            <w:left w:w="115" w:type="dxa"/>
            <w:right w:w="115" w:type="dxa"/>
          </w:tblCellMar>
        </w:tblPrEx>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F7922" w14:textId="77777777" w:rsidR="00811940" w:rsidRDefault="00811940" w:rsidP="00811940">
            <w:pPr>
              <w:ind w:left="368"/>
              <w:rPr>
                <w:color w:val="000000"/>
                <w:sz w:val="20"/>
                <w:szCs w:val="20"/>
              </w:rPr>
            </w:pPr>
            <w:r>
              <w:rPr>
                <w:color w:val="000000"/>
                <w:sz w:val="20"/>
                <w:szCs w:val="20"/>
              </w:rPr>
              <w:t>SCH earned as a % of Attempted</w:t>
            </w:r>
          </w:p>
          <w:p w14:paraId="4B76FCEB" w14:textId="77777777" w:rsidR="00811940" w:rsidRPr="00674F0C" w:rsidRDefault="00811940" w:rsidP="00811940">
            <w:pPr>
              <w:ind w:left="368"/>
              <w:rPr>
                <w:color w:val="000000"/>
                <w:sz w:val="20"/>
                <w:szCs w:val="20"/>
              </w:rPr>
            </w:pPr>
            <w:r w:rsidRPr="00674F0C">
              <w:rPr>
                <w:color w:val="000000"/>
                <w:sz w:val="20"/>
                <w:szCs w:val="20"/>
              </w:rPr>
              <w:t>Total</w:t>
            </w:r>
          </w:p>
        </w:tc>
        <w:tc>
          <w:tcPr>
            <w:tcW w:w="1349" w:type="dxa"/>
            <w:tcBorders>
              <w:top w:val="single" w:sz="4" w:space="0" w:color="auto"/>
              <w:left w:val="single" w:sz="4" w:space="0" w:color="auto"/>
              <w:bottom w:val="single" w:sz="4" w:space="0" w:color="auto"/>
              <w:right w:val="single" w:sz="4" w:space="0" w:color="auto"/>
            </w:tcBorders>
            <w:noWrap/>
            <w:vAlign w:val="bottom"/>
          </w:tcPr>
          <w:p w14:paraId="2ED1AEF8" w14:textId="28A5D727" w:rsidR="00811940" w:rsidRPr="00674F0C" w:rsidRDefault="00811940" w:rsidP="00811940">
            <w:pPr>
              <w:jc w:val="center"/>
              <w:rPr>
                <w:color w:val="000000"/>
                <w:sz w:val="20"/>
                <w:szCs w:val="20"/>
              </w:rPr>
            </w:pPr>
            <w:r>
              <w:rPr>
                <w:color w:val="000000"/>
                <w:sz w:val="20"/>
                <w:szCs w:val="20"/>
              </w:rPr>
              <w:t>88.5%</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bottom"/>
          </w:tcPr>
          <w:p w14:paraId="3D3233A4" w14:textId="7D3BB5A0" w:rsidR="00811940" w:rsidRPr="00674F0C" w:rsidRDefault="00811940" w:rsidP="00811940">
            <w:pPr>
              <w:jc w:val="center"/>
              <w:rPr>
                <w:color w:val="000000"/>
                <w:sz w:val="20"/>
                <w:szCs w:val="20"/>
              </w:rPr>
            </w:pPr>
            <w:r w:rsidRPr="00F62C9B">
              <w:rPr>
                <w:color w:val="000000"/>
                <w:sz w:val="20"/>
                <w:szCs w:val="20"/>
              </w:rPr>
              <w:t>87.0%</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bottom"/>
          </w:tcPr>
          <w:p w14:paraId="49F3E25C" w14:textId="76B3BFBF" w:rsidR="00811940" w:rsidRPr="00674F0C" w:rsidRDefault="00811940" w:rsidP="00811940">
            <w:pPr>
              <w:jc w:val="center"/>
              <w:rPr>
                <w:color w:val="000000"/>
                <w:sz w:val="20"/>
                <w:szCs w:val="20"/>
              </w:rPr>
            </w:pPr>
            <w:r>
              <w:rPr>
                <w:color w:val="000000"/>
                <w:sz w:val="20"/>
                <w:szCs w:val="20"/>
              </w:rPr>
              <w:t>87.1%</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2C3FBDB6" w14:textId="7B9E329E" w:rsidR="00811940" w:rsidRPr="00F62C9B" w:rsidRDefault="00811940" w:rsidP="00811940">
            <w:pPr>
              <w:jc w:val="center"/>
              <w:rPr>
                <w:color w:val="000000"/>
                <w:sz w:val="20"/>
                <w:szCs w:val="20"/>
              </w:rPr>
            </w:pPr>
          </w:p>
        </w:tc>
      </w:tr>
      <w:tr w:rsidR="00811940" w:rsidRPr="00E80EE2" w14:paraId="45706E84" w14:textId="77777777" w:rsidTr="00637AE3">
        <w:tblPrEx>
          <w:tblCellMar>
            <w:left w:w="115" w:type="dxa"/>
            <w:right w:w="115" w:type="dxa"/>
          </w:tblCellMar>
        </w:tblPrEx>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E18D3" w14:textId="77777777" w:rsidR="00811940" w:rsidRPr="00674F0C" w:rsidRDefault="00811940" w:rsidP="00811940">
            <w:pPr>
              <w:ind w:left="728"/>
              <w:rPr>
                <w:color w:val="000000"/>
                <w:sz w:val="20"/>
                <w:szCs w:val="20"/>
              </w:rPr>
            </w:pPr>
            <w:r w:rsidRPr="00674F0C">
              <w:rPr>
                <w:color w:val="000000"/>
                <w:sz w:val="20"/>
                <w:szCs w:val="20"/>
              </w:rPr>
              <w:t>Undergraduate credits</w:t>
            </w:r>
          </w:p>
        </w:tc>
        <w:tc>
          <w:tcPr>
            <w:tcW w:w="1349" w:type="dxa"/>
            <w:tcBorders>
              <w:top w:val="single" w:sz="4" w:space="0" w:color="auto"/>
              <w:left w:val="single" w:sz="4" w:space="0" w:color="auto"/>
              <w:bottom w:val="single" w:sz="4" w:space="0" w:color="auto"/>
              <w:right w:val="single" w:sz="4" w:space="0" w:color="auto"/>
            </w:tcBorders>
            <w:noWrap/>
            <w:vAlign w:val="bottom"/>
          </w:tcPr>
          <w:p w14:paraId="354B2720" w14:textId="68CFEFB4" w:rsidR="00811940" w:rsidRPr="00674F0C" w:rsidRDefault="00811940" w:rsidP="00811940">
            <w:pPr>
              <w:jc w:val="center"/>
              <w:rPr>
                <w:color w:val="000000"/>
                <w:sz w:val="20"/>
                <w:szCs w:val="20"/>
              </w:rPr>
            </w:pPr>
            <w:r>
              <w:rPr>
                <w:color w:val="000000"/>
                <w:sz w:val="20"/>
                <w:szCs w:val="20"/>
              </w:rPr>
              <w:t>88.1%</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bottom"/>
          </w:tcPr>
          <w:p w14:paraId="1F28D39D" w14:textId="0C2BCD32" w:rsidR="00811940" w:rsidRPr="00674F0C" w:rsidRDefault="00811940" w:rsidP="00811940">
            <w:pPr>
              <w:jc w:val="center"/>
              <w:rPr>
                <w:color w:val="000000"/>
                <w:sz w:val="20"/>
                <w:szCs w:val="20"/>
              </w:rPr>
            </w:pPr>
            <w:r w:rsidRPr="00F62C9B">
              <w:rPr>
                <w:color w:val="000000"/>
                <w:sz w:val="20"/>
                <w:szCs w:val="20"/>
              </w:rPr>
              <w:t>86.5%</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bottom"/>
          </w:tcPr>
          <w:p w14:paraId="7C4AF178" w14:textId="076BB3DC" w:rsidR="00811940" w:rsidRPr="00674F0C" w:rsidRDefault="00811940" w:rsidP="00811940">
            <w:pPr>
              <w:jc w:val="center"/>
              <w:rPr>
                <w:color w:val="000000"/>
                <w:sz w:val="20"/>
                <w:szCs w:val="20"/>
              </w:rPr>
            </w:pPr>
            <w:r>
              <w:rPr>
                <w:color w:val="000000"/>
                <w:sz w:val="20"/>
                <w:szCs w:val="20"/>
              </w:rPr>
              <w:t>86.5%</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621E74B7" w14:textId="5216E6D0" w:rsidR="00811940" w:rsidRPr="00F62C9B" w:rsidRDefault="00811940" w:rsidP="00811940">
            <w:pPr>
              <w:jc w:val="center"/>
              <w:rPr>
                <w:color w:val="000000"/>
                <w:sz w:val="20"/>
                <w:szCs w:val="20"/>
              </w:rPr>
            </w:pPr>
          </w:p>
        </w:tc>
      </w:tr>
      <w:tr w:rsidR="00811940" w:rsidRPr="00E80EE2" w14:paraId="4B5412E7" w14:textId="77777777" w:rsidTr="00637AE3">
        <w:tblPrEx>
          <w:tblCellMar>
            <w:left w:w="115" w:type="dxa"/>
            <w:right w:w="115" w:type="dxa"/>
          </w:tblCellMar>
        </w:tblPrEx>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C9639" w14:textId="77777777" w:rsidR="00811940" w:rsidRPr="00674F0C" w:rsidRDefault="00811940" w:rsidP="00811940">
            <w:pPr>
              <w:ind w:left="728"/>
              <w:rPr>
                <w:color w:val="000000"/>
                <w:sz w:val="20"/>
                <w:szCs w:val="20"/>
              </w:rPr>
            </w:pPr>
            <w:r w:rsidRPr="00674F0C">
              <w:rPr>
                <w:color w:val="000000"/>
                <w:sz w:val="20"/>
                <w:szCs w:val="20"/>
              </w:rPr>
              <w:t>Graduate credits</w:t>
            </w:r>
          </w:p>
        </w:tc>
        <w:tc>
          <w:tcPr>
            <w:tcW w:w="1349" w:type="dxa"/>
            <w:tcBorders>
              <w:top w:val="single" w:sz="4" w:space="0" w:color="auto"/>
              <w:left w:val="single" w:sz="4" w:space="0" w:color="auto"/>
              <w:bottom w:val="single" w:sz="4" w:space="0" w:color="auto"/>
              <w:right w:val="single" w:sz="4" w:space="0" w:color="auto"/>
            </w:tcBorders>
            <w:noWrap/>
            <w:vAlign w:val="bottom"/>
          </w:tcPr>
          <w:p w14:paraId="662BBB22" w14:textId="49DFB758" w:rsidR="00811940" w:rsidRPr="00674F0C" w:rsidRDefault="00811940" w:rsidP="00811940">
            <w:pPr>
              <w:jc w:val="center"/>
              <w:rPr>
                <w:color w:val="000000"/>
                <w:sz w:val="20"/>
                <w:szCs w:val="20"/>
              </w:rPr>
            </w:pPr>
            <w:r>
              <w:rPr>
                <w:color w:val="000000"/>
                <w:sz w:val="20"/>
                <w:szCs w:val="20"/>
              </w:rPr>
              <w:t>91.8%</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bottom"/>
          </w:tcPr>
          <w:p w14:paraId="36B6EA8F" w14:textId="26897C31" w:rsidR="00811940" w:rsidRPr="00674F0C" w:rsidRDefault="00811940" w:rsidP="00811940">
            <w:pPr>
              <w:jc w:val="center"/>
              <w:rPr>
                <w:color w:val="000000"/>
                <w:sz w:val="20"/>
                <w:szCs w:val="20"/>
              </w:rPr>
            </w:pPr>
            <w:r w:rsidRPr="00F62C9B">
              <w:rPr>
                <w:color w:val="000000"/>
                <w:sz w:val="20"/>
                <w:szCs w:val="20"/>
              </w:rPr>
              <w:t>91.5%</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bottom"/>
          </w:tcPr>
          <w:p w14:paraId="2251364F" w14:textId="036E39BF" w:rsidR="00811940" w:rsidRPr="00674F0C" w:rsidRDefault="00811940" w:rsidP="00811940">
            <w:pPr>
              <w:jc w:val="center"/>
              <w:rPr>
                <w:color w:val="000000"/>
                <w:sz w:val="20"/>
                <w:szCs w:val="20"/>
              </w:rPr>
            </w:pPr>
            <w:r>
              <w:rPr>
                <w:color w:val="000000"/>
                <w:sz w:val="20"/>
                <w:szCs w:val="20"/>
              </w:rPr>
              <w:t>91.1%</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209D3DAE" w14:textId="51A78F05" w:rsidR="00811940" w:rsidRPr="00F62C9B" w:rsidRDefault="00811940" w:rsidP="00811940">
            <w:pPr>
              <w:jc w:val="center"/>
              <w:rPr>
                <w:color w:val="000000"/>
                <w:sz w:val="20"/>
                <w:szCs w:val="20"/>
              </w:rPr>
            </w:pPr>
          </w:p>
        </w:tc>
      </w:tr>
      <w:tr w:rsidR="00811940" w:rsidRPr="00E80EE2" w14:paraId="2C4716AD" w14:textId="77777777" w:rsidTr="00520183">
        <w:tblPrEx>
          <w:tblCellMar>
            <w:left w:w="115" w:type="dxa"/>
            <w:right w:w="115" w:type="dxa"/>
          </w:tblCellMar>
        </w:tblPrEx>
        <w:tc>
          <w:tcPr>
            <w:tcW w:w="1007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607D3" w14:textId="77777777" w:rsidR="00811940" w:rsidRPr="00C73FF0" w:rsidRDefault="00811940" w:rsidP="00811940">
            <w:pPr>
              <w:pStyle w:val="ListParagraph"/>
              <w:numPr>
                <w:ilvl w:val="0"/>
                <w:numId w:val="26"/>
              </w:numPr>
              <w:ind w:left="368"/>
              <w:rPr>
                <w:color w:val="000000"/>
                <w:sz w:val="20"/>
                <w:szCs w:val="20"/>
              </w:rPr>
            </w:pPr>
            <w:r w:rsidRPr="00C73FF0">
              <w:rPr>
                <w:color w:val="000000"/>
                <w:sz w:val="20"/>
                <w:szCs w:val="20"/>
              </w:rPr>
              <w:t>Dual Enrollment</w:t>
            </w:r>
            <w:r w:rsidRPr="00674F0C">
              <w:rPr>
                <w:rStyle w:val="EndnoteReference"/>
                <w:color w:val="000000"/>
                <w:sz w:val="20"/>
                <w:szCs w:val="20"/>
              </w:rPr>
              <w:endnoteReference w:id="3"/>
            </w:r>
            <w:r w:rsidRPr="00C73FF0">
              <w:rPr>
                <w:color w:val="000000"/>
                <w:sz w:val="20"/>
                <w:szCs w:val="20"/>
              </w:rPr>
              <w:t xml:space="preserve"> and Distance Education </w:t>
            </w:r>
            <w:r w:rsidRPr="00674F0C">
              <w:rPr>
                <w:rStyle w:val="EndnoteReference"/>
                <w:color w:val="000000"/>
                <w:sz w:val="20"/>
                <w:szCs w:val="20"/>
              </w:rPr>
              <w:endnoteReference w:id="4"/>
            </w:r>
          </w:p>
        </w:tc>
      </w:tr>
      <w:tr w:rsidR="00811940" w:rsidRPr="00E80EE2" w14:paraId="47352A13" w14:textId="77777777" w:rsidTr="00637AE3">
        <w:tblPrEx>
          <w:tblCellMar>
            <w:left w:w="115" w:type="dxa"/>
            <w:right w:w="115" w:type="dxa"/>
          </w:tblCellMar>
        </w:tblPrEx>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DA96A" w14:textId="07F3B81C" w:rsidR="00811940" w:rsidRPr="00674F0C" w:rsidRDefault="00811940" w:rsidP="00811940">
            <w:pPr>
              <w:ind w:left="368"/>
              <w:rPr>
                <w:color w:val="000000"/>
                <w:sz w:val="20"/>
                <w:szCs w:val="20"/>
              </w:rPr>
            </w:pPr>
            <w:r w:rsidRPr="00674F0C">
              <w:rPr>
                <w:color w:val="000000"/>
                <w:sz w:val="20"/>
                <w:szCs w:val="20"/>
              </w:rPr>
              <w:t xml:space="preserve">Dual Enrollment Student Credit Hours – </w:t>
            </w:r>
            <w:proofErr w:type="gramStart"/>
            <w:r w:rsidRPr="00674F0C">
              <w:rPr>
                <w:color w:val="000000"/>
                <w:sz w:val="20"/>
                <w:szCs w:val="20"/>
              </w:rPr>
              <w:t>12 month</w:t>
            </w:r>
            <w:proofErr w:type="gramEnd"/>
            <w:r w:rsidRPr="00674F0C">
              <w:rPr>
                <w:color w:val="000000"/>
                <w:sz w:val="20"/>
                <w:szCs w:val="20"/>
              </w:rPr>
              <w:t xml:space="preserve"> academic year</w:t>
            </w:r>
          </w:p>
        </w:tc>
        <w:tc>
          <w:tcPr>
            <w:tcW w:w="1349" w:type="dxa"/>
            <w:tcBorders>
              <w:top w:val="single" w:sz="4" w:space="0" w:color="auto"/>
              <w:left w:val="single" w:sz="4" w:space="0" w:color="auto"/>
              <w:bottom w:val="single" w:sz="4" w:space="0" w:color="auto"/>
              <w:right w:val="single" w:sz="4" w:space="0" w:color="auto"/>
            </w:tcBorders>
            <w:noWrap/>
            <w:vAlign w:val="center"/>
          </w:tcPr>
          <w:p w14:paraId="5E9914AF" w14:textId="4789D64D" w:rsidR="00811940" w:rsidRPr="00674F0C" w:rsidRDefault="00811940" w:rsidP="00811940">
            <w:pPr>
              <w:jc w:val="center"/>
              <w:rPr>
                <w:color w:val="000000"/>
                <w:sz w:val="20"/>
                <w:szCs w:val="20"/>
              </w:rPr>
            </w:pPr>
            <w:r>
              <w:rPr>
                <w:color w:val="000000"/>
                <w:sz w:val="20"/>
                <w:szCs w:val="20"/>
              </w:rPr>
              <w:t>29,184</w:t>
            </w:r>
          </w:p>
        </w:tc>
        <w:tc>
          <w:tcPr>
            <w:tcW w:w="1349" w:type="dxa"/>
            <w:tcBorders>
              <w:top w:val="single" w:sz="4" w:space="0" w:color="auto"/>
              <w:left w:val="single" w:sz="4" w:space="0" w:color="auto"/>
              <w:bottom w:val="single" w:sz="4" w:space="0" w:color="auto"/>
              <w:right w:val="single" w:sz="4" w:space="0" w:color="auto"/>
            </w:tcBorders>
            <w:vAlign w:val="center"/>
          </w:tcPr>
          <w:p w14:paraId="31BB5ADC" w14:textId="0DEF2676" w:rsidR="00811940" w:rsidRPr="00674F0C" w:rsidRDefault="00811940" w:rsidP="00811940">
            <w:pPr>
              <w:jc w:val="center"/>
              <w:rPr>
                <w:color w:val="000000"/>
                <w:sz w:val="20"/>
                <w:szCs w:val="20"/>
              </w:rPr>
            </w:pPr>
            <w:r w:rsidRPr="00C869E5">
              <w:rPr>
                <w:color w:val="000000"/>
                <w:sz w:val="20"/>
                <w:szCs w:val="20"/>
              </w:rPr>
              <w:t>33,100</w:t>
            </w:r>
          </w:p>
        </w:tc>
        <w:tc>
          <w:tcPr>
            <w:tcW w:w="1349" w:type="dxa"/>
            <w:tcBorders>
              <w:top w:val="single" w:sz="4" w:space="0" w:color="auto"/>
              <w:left w:val="single" w:sz="4" w:space="0" w:color="auto"/>
              <w:bottom w:val="single" w:sz="4" w:space="0" w:color="auto"/>
              <w:right w:val="single" w:sz="4" w:space="0" w:color="auto"/>
            </w:tcBorders>
            <w:vAlign w:val="center"/>
          </w:tcPr>
          <w:p w14:paraId="7B99893A" w14:textId="2AA33238" w:rsidR="00811940" w:rsidRPr="00C869E5" w:rsidRDefault="00811940" w:rsidP="00811940">
            <w:pPr>
              <w:jc w:val="center"/>
              <w:rPr>
                <w:color w:val="000000"/>
                <w:sz w:val="20"/>
                <w:szCs w:val="20"/>
              </w:rPr>
            </w:pPr>
            <w:r>
              <w:rPr>
                <w:color w:val="000000"/>
                <w:sz w:val="20"/>
                <w:szCs w:val="20"/>
              </w:rPr>
              <w:t>28,756</w:t>
            </w:r>
          </w:p>
        </w:tc>
        <w:tc>
          <w:tcPr>
            <w:tcW w:w="1406" w:type="dxa"/>
            <w:tcBorders>
              <w:top w:val="single" w:sz="4" w:space="0" w:color="auto"/>
              <w:left w:val="single" w:sz="4" w:space="0" w:color="auto"/>
              <w:bottom w:val="single" w:sz="4" w:space="0" w:color="auto"/>
              <w:right w:val="single" w:sz="4" w:space="0" w:color="auto"/>
            </w:tcBorders>
            <w:vAlign w:val="center"/>
          </w:tcPr>
          <w:p w14:paraId="4C327812" w14:textId="50A69A51" w:rsidR="00811940" w:rsidRPr="00F62C9B" w:rsidRDefault="00811940" w:rsidP="00811940">
            <w:pPr>
              <w:jc w:val="center"/>
              <w:rPr>
                <w:color w:val="000000"/>
                <w:sz w:val="20"/>
                <w:szCs w:val="20"/>
              </w:rPr>
            </w:pPr>
          </w:p>
        </w:tc>
      </w:tr>
      <w:tr w:rsidR="00811940" w:rsidRPr="00E80EE2" w14:paraId="0A20719C" w14:textId="77777777" w:rsidTr="00520183">
        <w:tblPrEx>
          <w:tblCellMar>
            <w:left w:w="115" w:type="dxa"/>
            <w:right w:w="115" w:type="dxa"/>
          </w:tblCellMar>
        </w:tblPrEx>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BE514" w14:textId="341D9806" w:rsidR="00811940" w:rsidRPr="00674F0C" w:rsidRDefault="00811940" w:rsidP="00811940">
            <w:pPr>
              <w:ind w:left="368"/>
              <w:rPr>
                <w:color w:val="000000"/>
                <w:sz w:val="20"/>
                <w:szCs w:val="20"/>
              </w:rPr>
            </w:pPr>
            <w:r w:rsidRPr="00674F0C">
              <w:rPr>
                <w:color w:val="000000"/>
                <w:sz w:val="20"/>
                <w:szCs w:val="20"/>
              </w:rPr>
              <w:t xml:space="preserve">Dual Enrollment Distinct Students – </w:t>
            </w:r>
            <w:proofErr w:type="gramStart"/>
            <w:r w:rsidRPr="00674F0C">
              <w:rPr>
                <w:color w:val="000000"/>
                <w:sz w:val="20"/>
                <w:szCs w:val="20"/>
              </w:rPr>
              <w:t>12 month</w:t>
            </w:r>
            <w:proofErr w:type="gramEnd"/>
            <w:r w:rsidRPr="00674F0C">
              <w:rPr>
                <w:color w:val="000000"/>
                <w:sz w:val="20"/>
                <w:szCs w:val="20"/>
              </w:rPr>
              <w:t xml:space="preserve"> academic year</w:t>
            </w:r>
          </w:p>
        </w:tc>
        <w:tc>
          <w:tcPr>
            <w:tcW w:w="1349" w:type="dxa"/>
            <w:tcBorders>
              <w:top w:val="single" w:sz="4" w:space="0" w:color="auto"/>
              <w:left w:val="single" w:sz="4" w:space="0" w:color="auto"/>
              <w:bottom w:val="single" w:sz="4" w:space="0" w:color="auto"/>
              <w:right w:val="single" w:sz="4" w:space="0" w:color="auto"/>
            </w:tcBorders>
            <w:noWrap/>
            <w:vAlign w:val="center"/>
          </w:tcPr>
          <w:p w14:paraId="40B029BA" w14:textId="51CA4E68" w:rsidR="00811940" w:rsidRPr="00674F0C" w:rsidRDefault="00811940" w:rsidP="00811940">
            <w:pPr>
              <w:jc w:val="center"/>
              <w:rPr>
                <w:color w:val="000000"/>
                <w:sz w:val="20"/>
                <w:szCs w:val="20"/>
              </w:rPr>
            </w:pPr>
            <w:r>
              <w:rPr>
                <w:color w:val="000000"/>
                <w:sz w:val="20"/>
                <w:szCs w:val="20"/>
              </w:rPr>
              <w:t>6,570</w:t>
            </w:r>
          </w:p>
        </w:tc>
        <w:tc>
          <w:tcPr>
            <w:tcW w:w="1349" w:type="dxa"/>
            <w:tcBorders>
              <w:top w:val="single" w:sz="4" w:space="0" w:color="auto"/>
              <w:left w:val="single" w:sz="4" w:space="0" w:color="auto"/>
              <w:bottom w:val="single" w:sz="4" w:space="0" w:color="auto"/>
              <w:right w:val="single" w:sz="4" w:space="0" w:color="auto"/>
            </w:tcBorders>
            <w:vAlign w:val="center"/>
          </w:tcPr>
          <w:p w14:paraId="413D88E8" w14:textId="592ED13C" w:rsidR="00811940" w:rsidRPr="00674F0C" w:rsidRDefault="00811940" w:rsidP="00811940">
            <w:pPr>
              <w:jc w:val="center"/>
              <w:rPr>
                <w:color w:val="000000"/>
                <w:sz w:val="20"/>
                <w:szCs w:val="20"/>
              </w:rPr>
            </w:pPr>
            <w:r w:rsidRPr="00C869E5">
              <w:rPr>
                <w:color w:val="000000"/>
                <w:sz w:val="20"/>
                <w:szCs w:val="20"/>
              </w:rPr>
              <w:t>7,062</w:t>
            </w:r>
          </w:p>
        </w:tc>
        <w:tc>
          <w:tcPr>
            <w:tcW w:w="1349" w:type="dxa"/>
            <w:tcBorders>
              <w:top w:val="single" w:sz="4" w:space="0" w:color="auto"/>
              <w:left w:val="single" w:sz="4" w:space="0" w:color="auto"/>
              <w:bottom w:val="single" w:sz="4" w:space="0" w:color="auto"/>
              <w:right w:val="single" w:sz="4" w:space="0" w:color="auto"/>
            </w:tcBorders>
            <w:vAlign w:val="center"/>
          </w:tcPr>
          <w:p w14:paraId="70B9F8EE" w14:textId="741DC263" w:rsidR="00811940" w:rsidRPr="00C869E5" w:rsidRDefault="00811940" w:rsidP="00811940">
            <w:pPr>
              <w:jc w:val="center"/>
              <w:rPr>
                <w:color w:val="000000"/>
                <w:sz w:val="20"/>
                <w:szCs w:val="20"/>
              </w:rPr>
            </w:pPr>
            <w:r>
              <w:rPr>
                <w:color w:val="000000"/>
                <w:sz w:val="20"/>
                <w:szCs w:val="20"/>
              </w:rPr>
              <w:t>6,318</w:t>
            </w:r>
          </w:p>
        </w:tc>
        <w:tc>
          <w:tcPr>
            <w:tcW w:w="1406" w:type="dxa"/>
            <w:tcBorders>
              <w:top w:val="single" w:sz="4" w:space="0" w:color="auto"/>
              <w:left w:val="single" w:sz="4" w:space="0" w:color="auto"/>
              <w:bottom w:val="single" w:sz="4" w:space="0" w:color="auto"/>
              <w:right w:val="single" w:sz="4" w:space="0" w:color="auto"/>
            </w:tcBorders>
            <w:vAlign w:val="center"/>
          </w:tcPr>
          <w:p w14:paraId="298FBBB2" w14:textId="3BD544D4" w:rsidR="00811940" w:rsidRPr="00F62C9B" w:rsidRDefault="00811940" w:rsidP="00811940">
            <w:pPr>
              <w:jc w:val="center"/>
              <w:rPr>
                <w:color w:val="000000"/>
                <w:sz w:val="20"/>
                <w:szCs w:val="20"/>
              </w:rPr>
            </w:pPr>
          </w:p>
        </w:tc>
      </w:tr>
      <w:tr w:rsidR="00811940" w:rsidRPr="00E80EE2" w14:paraId="604549CF" w14:textId="77777777" w:rsidTr="00637AE3">
        <w:tblPrEx>
          <w:tblCellMar>
            <w:left w:w="115" w:type="dxa"/>
            <w:right w:w="115" w:type="dxa"/>
          </w:tblCellMar>
        </w:tblPrEx>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32E43" w14:textId="77777777" w:rsidR="00811940" w:rsidRPr="00674F0C" w:rsidRDefault="00811940" w:rsidP="00811940">
            <w:pPr>
              <w:ind w:left="368"/>
              <w:rPr>
                <w:color w:val="000000"/>
                <w:sz w:val="20"/>
                <w:szCs w:val="20"/>
              </w:rPr>
            </w:pPr>
            <w:r w:rsidRPr="00674F0C">
              <w:rPr>
                <w:color w:val="000000"/>
                <w:sz w:val="20"/>
                <w:szCs w:val="20"/>
              </w:rPr>
              <w:t xml:space="preserve">Distance Education Student Credit Hours – </w:t>
            </w:r>
            <w:proofErr w:type="gramStart"/>
            <w:r w:rsidRPr="00674F0C">
              <w:rPr>
                <w:color w:val="000000"/>
                <w:sz w:val="20"/>
                <w:szCs w:val="20"/>
              </w:rPr>
              <w:t>12 month</w:t>
            </w:r>
            <w:proofErr w:type="gramEnd"/>
            <w:r w:rsidRPr="00674F0C">
              <w:rPr>
                <w:color w:val="000000"/>
                <w:sz w:val="20"/>
                <w:szCs w:val="20"/>
              </w:rPr>
              <w:t xml:space="preserve"> academic year</w:t>
            </w:r>
          </w:p>
        </w:tc>
        <w:tc>
          <w:tcPr>
            <w:tcW w:w="1349" w:type="dxa"/>
            <w:tcBorders>
              <w:top w:val="single" w:sz="4" w:space="0" w:color="auto"/>
              <w:left w:val="single" w:sz="4" w:space="0" w:color="auto"/>
              <w:bottom w:val="single" w:sz="4" w:space="0" w:color="auto"/>
              <w:right w:val="single" w:sz="4" w:space="0" w:color="auto"/>
            </w:tcBorders>
            <w:noWrap/>
            <w:vAlign w:val="center"/>
          </w:tcPr>
          <w:p w14:paraId="0A0289D9" w14:textId="34B736C4" w:rsidR="00811940" w:rsidRPr="00674F0C" w:rsidRDefault="00811940" w:rsidP="00811940">
            <w:pPr>
              <w:jc w:val="center"/>
              <w:rPr>
                <w:color w:val="000000"/>
                <w:sz w:val="20"/>
                <w:szCs w:val="20"/>
              </w:rPr>
            </w:pPr>
            <w:r>
              <w:rPr>
                <w:color w:val="000000"/>
                <w:sz w:val="20"/>
                <w:szCs w:val="20"/>
              </w:rPr>
              <w:t>125,318</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1E6F0494" w14:textId="73BCDF22" w:rsidR="00811940" w:rsidRPr="00674F0C" w:rsidRDefault="00811940" w:rsidP="00811940">
            <w:pPr>
              <w:jc w:val="center"/>
              <w:rPr>
                <w:color w:val="000000"/>
                <w:sz w:val="20"/>
                <w:szCs w:val="20"/>
              </w:rPr>
            </w:pPr>
            <w:r>
              <w:rPr>
                <w:color w:val="000000"/>
                <w:sz w:val="20"/>
                <w:szCs w:val="20"/>
              </w:rPr>
              <w:t>143,714</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240F64D4" w14:textId="2FC904B4" w:rsidR="00811940" w:rsidRPr="00674F0C" w:rsidRDefault="00811940" w:rsidP="00811940">
            <w:pPr>
              <w:jc w:val="center"/>
              <w:rPr>
                <w:color w:val="000000"/>
                <w:sz w:val="20"/>
                <w:szCs w:val="20"/>
              </w:rPr>
            </w:pPr>
            <w:r w:rsidRPr="00B26DE4">
              <w:rPr>
                <w:color w:val="000000"/>
                <w:sz w:val="20"/>
                <w:szCs w:val="20"/>
              </w:rPr>
              <w:t>364</w:t>
            </w:r>
            <w:r>
              <w:rPr>
                <w:color w:val="000000"/>
                <w:sz w:val="20"/>
                <w:szCs w:val="20"/>
              </w:rPr>
              <w:t>,</w:t>
            </w:r>
            <w:r w:rsidRPr="00B26DE4">
              <w:rPr>
                <w:color w:val="000000"/>
                <w:sz w:val="20"/>
                <w:szCs w:val="20"/>
              </w:rPr>
              <w:t>790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7D9BE24B" w14:textId="16B272A9" w:rsidR="00811940" w:rsidRPr="00F62C9B" w:rsidRDefault="00811940" w:rsidP="00811940">
            <w:pPr>
              <w:jc w:val="center"/>
              <w:rPr>
                <w:color w:val="000000"/>
                <w:sz w:val="20"/>
                <w:szCs w:val="20"/>
              </w:rPr>
            </w:pPr>
          </w:p>
        </w:tc>
      </w:tr>
      <w:tr w:rsidR="00811940" w:rsidRPr="00E80EE2" w14:paraId="44106903" w14:textId="77777777" w:rsidTr="00637AE3">
        <w:tblPrEx>
          <w:tblCellMar>
            <w:left w:w="115" w:type="dxa"/>
            <w:right w:w="115" w:type="dxa"/>
          </w:tblCellMar>
        </w:tblPrEx>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D800F" w14:textId="77777777" w:rsidR="00811940" w:rsidRPr="00674F0C" w:rsidRDefault="00811940" w:rsidP="00811940">
            <w:pPr>
              <w:ind w:left="368"/>
              <w:rPr>
                <w:color w:val="000000"/>
                <w:sz w:val="20"/>
                <w:szCs w:val="20"/>
              </w:rPr>
            </w:pPr>
            <w:r w:rsidRPr="00674F0C">
              <w:rPr>
                <w:color w:val="000000"/>
                <w:sz w:val="20"/>
                <w:szCs w:val="20"/>
              </w:rPr>
              <w:t xml:space="preserve">Distance Education Distinct Students Enrolled – </w:t>
            </w:r>
            <w:proofErr w:type="gramStart"/>
            <w:r w:rsidRPr="00674F0C">
              <w:rPr>
                <w:color w:val="000000"/>
                <w:sz w:val="20"/>
                <w:szCs w:val="20"/>
              </w:rPr>
              <w:t>12 month</w:t>
            </w:r>
            <w:proofErr w:type="gramEnd"/>
            <w:r w:rsidRPr="00674F0C">
              <w:rPr>
                <w:color w:val="000000"/>
                <w:sz w:val="20"/>
                <w:szCs w:val="20"/>
              </w:rPr>
              <w:t xml:space="preserve"> academic year</w:t>
            </w:r>
          </w:p>
        </w:tc>
        <w:tc>
          <w:tcPr>
            <w:tcW w:w="1349" w:type="dxa"/>
            <w:tcBorders>
              <w:top w:val="single" w:sz="4" w:space="0" w:color="auto"/>
              <w:left w:val="single" w:sz="4" w:space="0" w:color="auto"/>
              <w:bottom w:val="single" w:sz="4" w:space="0" w:color="auto"/>
              <w:right w:val="single" w:sz="4" w:space="0" w:color="auto"/>
            </w:tcBorders>
            <w:noWrap/>
            <w:vAlign w:val="center"/>
          </w:tcPr>
          <w:p w14:paraId="3596B4F0" w14:textId="4DC62FDA" w:rsidR="00811940" w:rsidRPr="00674F0C" w:rsidRDefault="00811940" w:rsidP="00811940">
            <w:pPr>
              <w:jc w:val="center"/>
              <w:rPr>
                <w:color w:val="000000"/>
                <w:sz w:val="20"/>
                <w:szCs w:val="20"/>
              </w:rPr>
            </w:pPr>
            <w:r>
              <w:rPr>
                <w:color w:val="000000"/>
                <w:sz w:val="20"/>
                <w:szCs w:val="20"/>
              </w:rPr>
              <w:t>15,888</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71A82DD5" w14:textId="47269C74" w:rsidR="00811940" w:rsidRPr="00674F0C" w:rsidRDefault="00811940" w:rsidP="00811940">
            <w:pPr>
              <w:jc w:val="center"/>
              <w:rPr>
                <w:color w:val="000000"/>
                <w:sz w:val="20"/>
                <w:szCs w:val="20"/>
              </w:rPr>
            </w:pPr>
            <w:r>
              <w:rPr>
                <w:color w:val="000000"/>
                <w:sz w:val="20"/>
                <w:szCs w:val="20"/>
              </w:rPr>
              <w:t>17,826</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5BF32BA1" w14:textId="2F4CFB50" w:rsidR="00811940" w:rsidRPr="00674F0C" w:rsidRDefault="00811940" w:rsidP="00811940">
            <w:pPr>
              <w:jc w:val="center"/>
              <w:rPr>
                <w:color w:val="000000"/>
                <w:sz w:val="20"/>
                <w:szCs w:val="20"/>
              </w:rPr>
            </w:pPr>
            <w:r>
              <w:rPr>
                <w:color w:val="000000"/>
                <w:sz w:val="20"/>
                <w:szCs w:val="20"/>
              </w:rPr>
              <w:t>25,750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1ADDA505" w14:textId="26A08596" w:rsidR="00811940" w:rsidRPr="00F62C9B" w:rsidRDefault="00811940" w:rsidP="00811940">
            <w:pPr>
              <w:jc w:val="center"/>
              <w:rPr>
                <w:color w:val="000000"/>
                <w:sz w:val="20"/>
                <w:szCs w:val="20"/>
              </w:rPr>
            </w:pPr>
          </w:p>
        </w:tc>
      </w:tr>
      <w:tr w:rsidR="00811940" w:rsidRPr="00E80EE2" w14:paraId="4F07B9DF" w14:textId="77777777" w:rsidTr="00520183">
        <w:tblPrEx>
          <w:tblCellMar>
            <w:left w:w="115" w:type="dxa"/>
            <w:right w:w="115" w:type="dxa"/>
          </w:tblCellMar>
        </w:tblPrEx>
        <w:tc>
          <w:tcPr>
            <w:tcW w:w="1007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4997AC5" w14:textId="77777777" w:rsidR="00811940" w:rsidRPr="00F62C9B" w:rsidRDefault="00811940" w:rsidP="00811940">
            <w:pPr>
              <w:pStyle w:val="ListParagraph"/>
              <w:numPr>
                <w:ilvl w:val="0"/>
                <w:numId w:val="26"/>
              </w:numPr>
              <w:ind w:left="368"/>
              <w:rPr>
                <w:color w:val="000000"/>
                <w:sz w:val="20"/>
                <w:szCs w:val="20"/>
              </w:rPr>
            </w:pPr>
            <w:r w:rsidRPr="00F62C9B">
              <w:rPr>
                <w:color w:val="000000"/>
                <w:sz w:val="20"/>
                <w:szCs w:val="20"/>
              </w:rPr>
              <w:t xml:space="preserve">Degrees and Certificates Awarded (see Part II for Number of Distinct </w:t>
            </w:r>
            <w:proofErr w:type="gramStart"/>
            <w:r w:rsidRPr="00F62C9B">
              <w:rPr>
                <w:color w:val="000000"/>
                <w:sz w:val="20"/>
                <w:szCs w:val="20"/>
              </w:rPr>
              <w:t>Graduates)*</w:t>
            </w:r>
            <w:proofErr w:type="gramEnd"/>
            <w:r w:rsidRPr="00F62C9B">
              <w:rPr>
                <w:color w:val="000000"/>
                <w:sz w:val="20"/>
                <w:szCs w:val="20"/>
              </w:rPr>
              <w:t xml:space="preserve"> </w:t>
            </w:r>
            <w:r w:rsidRPr="00F62C9B">
              <w:rPr>
                <w:rStyle w:val="EndnoteReference"/>
                <w:color w:val="000000"/>
                <w:sz w:val="20"/>
                <w:szCs w:val="20"/>
              </w:rPr>
              <w:endnoteReference w:id="5"/>
            </w:r>
          </w:p>
        </w:tc>
      </w:tr>
      <w:tr w:rsidR="00811940" w:rsidRPr="00E80EE2" w14:paraId="09870D02" w14:textId="77777777" w:rsidTr="00520183">
        <w:tblPrEx>
          <w:tblCellMar>
            <w:left w:w="115" w:type="dxa"/>
            <w:right w:w="115" w:type="dxa"/>
          </w:tblCellMar>
        </w:tblPrEx>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285D6" w14:textId="77777777" w:rsidR="00811940" w:rsidRPr="00C73FF0" w:rsidRDefault="00811940" w:rsidP="00811940">
            <w:pPr>
              <w:ind w:left="368"/>
              <w:rPr>
                <w:color w:val="000000"/>
                <w:sz w:val="20"/>
                <w:szCs w:val="20"/>
              </w:rPr>
            </w:pPr>
            <w:r w:rsidRPr="00C73FF0">
              <w:rPr>
                <w:color w:val="000000"/>
                <w:sz w:val="20"/>
                <w:szCs w:val="20"/>
              </w:rPr>
              <w:t>Professional Technical Degrees and Certificates</w:t>
            </w:r>
          </w:p>
        </w:tc>
        <w:tc>
          <w:tcPr>
            <w:tcW w:w="1349" w:type="dxa"/>
            <w:tcBorders>
              <w:top w:val="single" w:sz="4" w:space="0" w:color="auto"/>
              <w:left w:val="single" w:sz="4" w:space="0" w:color="auto"/>
              <w:bottom w:val="single" w:sz="4" w:space="0" w:color="auto"/>
              <w:right w:val="single" w:sz="4" w:space="0" w:color="auto"/>
            </w:tcBorders>
            <w:noWrap/>
            <w:vAlign w:val="center"/>
          </w:tcPr>
          <w:p w14:paraId="22855D2D" w14:textId="55B0D3A2" w:rsidR="00811940" w:rsidRPr="00C73FF0" w:rsidRDefault="00811940" w:rsidP="00811940">
            <w:pPr>
              <w:jc w:val="center"/>
              <w:rPr>
                <w:color w:val="000000"/>
                <w:sz w:val="20"/>
                <w:szCs w:val="20"/>
              </w:rPr>
            </w:pPr>
            <w:r>
              <w:rPr>
                <w:color w:val="000000"/>
                <w:sz w:val="20"/>
                <w:szCs w:val="20"/>
              </w:rPr>
              <w:t>N/A</w:t>
            </w:r>
          </w:p>
        </w:tc>
        <w:tc>
          <w:tcPr>
            <w:tcW w:w="1349" w:type="dxa"/>
            <w:tcBorders>
              <w:top w:val="single" w:sz="4" w:space="0" w:color="auto"/>
              <w:left w:val="single" w:sz="4" w:space="0" w:color="auto"/>
              <w:bottom w:val="single" w:sz="4" w:space="0" w:color="auto"/>
              <w:right w:val="single" w:sz="4" w:space="0" w:color="auto"/>
            </w:tcBorders>
            <w:vAlign w:val="center"/>
          </w:tcPr>
          <w:p w14:paraId="715459B1" w14:textId="7BB3D733" w:rsidR="00811940" w:rsidRPr="00C73FF0" w:rsidRDefault="00811940" w:rsidP="00811940">
            <w:pPr>
              <w:jc w:val="center"/>
              <w:rPr>
                <w:color w:val="000000"/>
                <w:sz w:val="20"/>
                <w:szCs w:val="20"/>
              </w:rPr>
            </w:pPr>
            <w:r w:rsidRPr="00F62C9B">
              <w:rPr>
                <w:color w:val="000000"/>
                <w:sz w:val="20"/>
                <w:szCs w:val="20"/>
              </w:rPr>
              <w:t>N/A</w:t>
            </w:r>
          </w:p>
        </w:tc>
        <w:tc>
          <w:tcPr>
            <w:tcW w:w="1349" w:type="dxa"/>
            <w:tcBorders>
              <w:top w:val="single" w:sz="4" w:space="0" w:color="auto"/>
              <w:left w:val="single" w:sz="4" w:space="0" w:color="auto"/>
              <w:bottom w:val="single" w:sz="4" w:space="0" w:color="auto"/>
              <w:right w:val="single" w:sz="4" w:space="0" w:color="auto"/>
            </w:tcBorders>
            <w:vAlign w:val="center"/>
          </w:tcPr>
          <w:p w14:paraId="4C01CD0B" w14:textId="3D53A834" w:rsidR="00811940" w:rsidRPr="00C73FF0" w:rsidRDefault="00811940" w:rsidP="00811940">
            <w:pPr>
              <w:jc w:val="center"/>
              <w:rPr>
                <w:color w:val="000000"/>
                <w:sz w:val="20"/>
                <w:szCs w:val="20"/>
              </w:rPr>
            </w:pPr>
            <w:r>
              <w:rPr>
                <w:color w:val="000000"/>
                <w:sz w:val="20"/>
                <w:szCs w:val="20"/>
              </w:rPr>
              <w:t>N/A</w:t>
            </w:r>
          </w:p>
        </w:tc>
        <w:tc>
          <w:tcPr>
            <w:tcW w:w="1406" w:type="dxa"/>
            <w:tcBorders>
              <w:top w:val="single" w:sz="4" w:space="0" w:color="auto"/>
              <w:left w:val="single" w:sz="4" w:space="0" w:color="auto"/>
              <w:bottom w:val="single" w:sz="4" w:space="0" w:color="auto"/>
              <w:right w:val="single" w:sz="4" w:space="0" w:color="auto"/>
            </w:tcBorders>
            <w:vAlign w:val="center"/>
          </w:tcPr>
          <w:p w14:paraId="7C23EEA4" w14:textId="62FD01CF" w:rsidR="00811940" w:rsidRPr="00F62C9B" w:rsidRDefault="00811940" w:rsidP="00811940">
            <w:pPr>
              <w:jc w:val="center"/>
              <w:rPr>
                <w:color w:val="000000"/>
                <w:sz w:val="20"/>
                <w:szCs w:val="20"/>
              </w:rPr>
            </w:pPr>
          </w:p>
        </w:tc>
      </w:tr>
      <w:tr w:rsidR="00811940" w:rsidRPr="00E80EE2" w14:paraId="0426493C" w14:textId="77777777" w:rsidTr="00520183">
        <w:tblPrEx>
          <w:tblCellMar>
            <w:left w:w="115" w:type="dxa"/>
            <w:right w:w="115" w:type="dxa"/>
          </w:tblCellMar>
        </w:tblPrEx>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AA9EB" w14:textId="77777777" w:rsidR="00811940" w:rsidRPr="00C73FF0" w:rsidRDefault="00811940" w:rsidP="00811940">
            <w:pPr>
              <w:ind w:left="368"/>
              <w:rPr>
                <w:color w:val="000000"/>
                <w:sz w:val="20"/>
                <w:szCs w:val="20"/>
              </w:rPr>
            </w:pPr>
            <w:r w:rsidRPr="00C73FF0">
              <w:rPr>
                <w:color w:val="000000"/>
                <w:sz w:val="20"/>
                <w:szCs w:val="20"/>
              </w:rPr>
              <w:t>Associate Degrees (Academic)</w:t>
            </w:r>
          </w:p>
        </w:tc>
        <w:tc>
          <w:tcPr>
            <w:tcW w:w="1349" w:type="dxa"/>
            <w:tcBorders>
              <w:top w:val="single" w:sz="4" w:space="0" w:color="auto"/>
              <w:left w:val="single" w:sz="4" w:space="0" w:color="auto"/>
              <w:bottom w:val="single" w:sz="4" w:space="0" w:color="auto"/>
              <w:right w:val="single" w:sz="4" w:space="0" w:color="auto"/>
            </w:tcBorders>
            <w:noWrap/>
            <w:vAlign w:val="center"/>
          </w:tcPr>
          <w:p w14:paraId="3D256BF2" w14:textId="4D68A34A" w:rsidR="00811940" w:rsidRPr="00C73FF0" w:rsidRDefault="00811940" w:rsidP="00811940">
            <w:pPr>
              <w:jc w:val="center"/>
              <w:rPr>
                <w:color w:val="000000"/>
                <w:sz w:val="20"/>
                <w:szCs w:val="20"/>
              </w:rPr>
            </w:pPr>
            <w:r>
              <w:rPr>
                <w:color w:val="000000"/>
                <w:sz w:val="20"/>
                <w:szCs w:val="20"/>
              </w:rPr>
              <w:t>133</w:t>
            </w:r>
          </w:p>
        </w:tc>
        <w:tc>
          <w:tcPr>
            <w:tcW w:w="1349" w:type="dxa"/>
            <w:tcBorders>
              <w:top w:val="single" w:sz="4" w:space="0" w:color="auto"/>
              <w:left w:val="single" w:sz="4" w:space="0" w:color="auto"/>
              <w:bottom w:val="single" w:sz="4" w:space="0" w:color="auto"/>
              <w:right w:val="single" w:sz="4" w:space="0" w:color="auto"/>
            </w:tcBorders>
            <w:vAlign w:val="center"/>
          </w:tcPr>
          <w:p w14:paraId="5FAAF901" w14:textId="424D23E7" w:rsidR="00811940" w:rsidRPr="00C73FF0" w:rsidRDefault="00811940" w:rsidP="00811940">
            <w:pPr>
              <w:jc w:val="center"/>
              <w:rPr>
                <w:color w:val="000000"/>
                <w:sz w:val="20"/>
                <w:szCs w:val="20"/>
              </w:rPr>
            </w:pPr>
            <w:r w:rsidRPr="00F62C9B">
              <w:rPr>
                <w:color w:val="000000"/>
                <w:sz w:val="20"/>
                <w:szCs w:val="20"/>
              </w:rPr>
              <w:t>111</w:t>
            </w:r>
          </w:p>
        </w:tc>
        <w:tc>
          <w:tcPr>
            <w:tcW w:w="1349" w:type="dxa"/>
            <w:tcBorders>
              <w:top w:val="single" w:sz="4" w:space="0" w:color="auto"/>
              <w:left w:val="single" w:sz="4" w:space="0" w:color="auto"/>
              <w:bottom w:val="single" w:sz="4" w:space="0" w:color="auto"/>
              <w:right w:val="single" w:sz="4" w:space="0" w:color="auto"/>
            </w:tcBorders>
            <w:vAlign w:val="center"/>
          </w:tcPr>
          <w:p w14:paraId="3D1F9040" w14:textId="24671C7A" w:rsidR="00811940" w:rsidRPr="00C73FF0" w:rsidRDefault="00811940" w:rsidP="00811940">
            <w:pPr>
              <w:jc w:val="center"/>
              <w:rPr>
                <w:color w:val="000000"/>
                <w:sz w:val="20"/>
                <w:szCs w:val="20"/>
              </w:rPr>
            </w:pPr>
            <w:r>
              <w:rPr>
                <w:color w:val="000000"/>
                <w:sz w:val="20"/>
                <w:szCs w:val="20"/>
              </w:rPr>
              <w:t>132</w:t>
            </w:r>
          </w:p>
        </w:tc>
        <w:tc>
          <w:tcPr>
            <w:tcW w:w="1406" w:type="dxa"/>
            <w:tcBorders>
              <w:top w:val="single" w:sz="4" w:space="0" w:color="auto"/>
              <w:left w:val="single" w:sz="4" w:space="0" w:color="auto"/>
              <w:bottom w:val="single" w:sz="4" w:space="0" w:color="auto"/>
              <w:right w:val="single" w:sz="4" w:space="0" w:color="auto"/>
            </w:tcBorders>
            <w:vAlign w:val="center"/>
          </w:tcPr>
          <w:p w14:paraId="7EEDCEDF" w14:textId="5A4BBC85" w:rsidR="00811940" w:rsidRPr="00F62C9B" w:rsidRDefault="00811940" w:rsidP="00811940">
            <w:pPr>
              <w:jc w:val="center"/>
              <w:rPr>
                <w:color w:val="000000"/>
                <w:sz w:val="20"/>
                <w:szCs w:val="20"/>
              </w:rPr>
            </w:pPr>
          </w:p>
        </w:tc>
      </w:tr>
      <w:tr w:rsidR="00811940" w:rsidRPr="00E80EE2" w14:paraId="6097ECF4" w14:textId="77777777" w:rsidTr="00637AE3">
        <w:tblPrEx>
          <w:tblCellMar>
            <w:left w:w="115" w:type="dxa"/>
            <w:right w:w="115" w:type="dxa"/>
          </w:tblCellMar>
        </w:tblPrEx>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43EF7" w14:textId="77777777" w:rsidR="00811940" w:rsidRPr="00C73FF0" w:rsidRDefault="00811940" w:rsidP="00811940">
            <w:pPr>
              <w:ind w:left="368"/>
              <w:rPr>
                <w:color w:val="000000"/>
                <w:sz w:val="20"/>
                <w:szCs w:val="20"/>
              </w:rPr>
            </w:pPr>
            <w:r w:rsidRPr="00C73FF0">
              <w:rPr>
                <w:color w:val="000000"/>
                <w:sz w:val="20"/>
                <w:szCs w:val="20"/>
              </w:rPr>
              <w:t>Bachelor’s Degree (Academic, first and second majors)</w:t>
            </w:r>
          </w:p>
        </w:tc>
        <w:tc>
          <w:tcPr>
            <w:tcW w:w="1349" w:type="dxa"/>
            <w:tcBorders>
              <w:top w:val="single" w:sz="4" w:space="0" w:color="auto"/>
              <w:left w:val="single" w:sz="4" w:space="0" w:color="auto"/>
              <w:bottom w:val="single" w:sz="4" w:space="0" w:color="auto"/>
              <w:right w:val="single" w:sz="4" w:space="0" w:color="auto"/>
            </w:tcBorders>
            <w:noWrap/>
            <w:vAlign w:val="center"/>
          </w:tcPr>
          <w:p w14:paraId="28805E1A" w14:textId="22BC39B5" w:rsidR="00811940" w:rsidRPr="00C73FF0" w:rsidRDefault="00811940" w:rsidP="00811940">
            <w:pPr>
              <w:jc w:val="center"/>
              <w:rPr>
                <w:color w:val="000000"/>
                <w:sz w:val="20"/>
                <w:szCs w:val="20"/>
              </w:rPr>
            </w:pPr>
            <w:r>
              <w:rPr>
                <w:color w:val="000000"/>
                <w:sz w:val="20"/>
                <w:szCs w:val="20"/>
              </w:rPr>
              <w:t>3,472</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5FA6D326" w14:textId="29FE8FE0" w:rsidR="00811940" w:rsidRPr="00C73FF0" w:rsidRDefault="00811940" w:rsidP="00811940">
            <w:pPr>
              <w:jc w:val="center"/>
              <w:rPr>
                <w:color w:val="000000"/>
                <w:sz w:val="20"/>
                <w:szCs w:val="20"/>
              </w:rPr>
            </w:pPr>
            <w:r w:rsidRPr="00F62C9B">
              <w:rPr>
                <w:color w:val="000000"/>
                <w:sz w:val="20"/>
                <w:szCs w:val="20"/>
              </w:rPr>
              <w:t>3,6</w:t>
            </w:r>
            <w:r>
              <w:rPr>
                <w:color w:val="000000"/>
                <w:sz w:val="20"/>
                <w:szCs w:val="20"/>
              </w:rPr>
              <w:t>80</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1DFF527E" w14:textId="25E243EB" w:rsidR="00811940" w:rsidRPr="00C73FF0" w:rsidRDefault="00811940" w:rsidP="00811940">
            <w:pPr>
              <w:jc w:val="center"/>
              <w:rPr>
                <w:color w:val="000000"/>
                <w:sz w:val="20"/>
                <w:szCs w:val="20"/>
              </w:rPr>
            </w:pPr>
            <w:r w:rsidRPr="00263F2B">
              <w:rPr>
                <w:sz w:val="20"/>
                <w:szCs w:val="20"/>
              </w:rPr>
              <w:t>3,929</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670C5EA6" w14:textId="4A46C426" w:rsidR="00811940" w:rsidRPr="004B4324" w:rsidRDefault="00811940" w:rsidP="00811940">
            <w:pPr>
              <w:jc w:val="center"/>
              <w:rPr>
                <w:color w:val="000000"/>
                <w:sz w:val="20"/>
                <w:szCs w:val="20"/>
                <w:highlight w:val="yellow"/>
              </w:rPr>
            </w:pPr>
          </w:p>
        </w:tc>
      </w:tr>
      <w:tr w:rsidR="00811940" w:rsidRPr="00E80EE2" w14:paraId="1521C02A" w14:textId="77777777" w:rsidTr="00520183">
        <w:tblPrEx>
          <w:tblCellMar>
            <w:left w:w="115" w:type="dxa"/>
            <w:right w:w="115" w:type="dxa"/>
          </w:tblCellMar>
        </w:tblPrEx>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A4700" w14:textId="77777777" w:rsidR="00811940" w:rsidRPr="00C73FF0" w:rsidRDefault="00811940" w:rsidP="00811940">
            <w:pPr>
              <w:ind w:left="368"/>
              <w:rPr>
                <w:color w:val="000000"/>
                <w:sz w:val="20"/>
                <w:szCs w:val="20"/>
              </w:rPr>
            </w:pPr>
            <w:r w:rsidRPr="00C73FF0">
              <w:rPr>
                <w:color w:val="000000"/>
                <w:sz w:val="20"/>
                <w:szCs w:val="20"/>
              </w:rPr>
              <w:t>Certificate – Undergraduate</w:t>
            </w:r>
          </w:p>
        </w:tc>
        <w:tc>
          <w:tcPr>
            <w:tcW w:w="1349" w:type="dxa"/>
            <w:tcBorders>
              <w:top w:val="single" w:sz="4" w:space="0" w:color="auto"/>
              <w:left w:val="single" w:sz="4" w:space="0" w:color="auto"/>
              <w:bottom w:val="single" w:sz="4" w:space="0" w:color="auto"/>
              <w:right w:val="single" w:sz="4" w:space="0" w:color="auto"/>
            </w:tcBorders>
            <w:noWrap/>
            <w:vAlign w:val="center"/>
          </w:tcPr>
          <w:p w14:paraId="6B32963A" w14:textId="7454430B" w:rsidR="00811940" w:rsidRPr="00C73FF0" w:rsidRDefault="00811940" w:rsidP="00811940">
            <w:pPr>
              <w:jc w:val="center"/>
              <w:rPr>
                <w:color w:val="000000"/>
                <w:sz w:val="20"/>
                <w:szCs w:val="20"/>
              </w:rPr>
            </w:pPr>
            <w:r>
              <w:rPr>
                <w:color w:val="000000"/>
                <w:sz w:val="20"/>
                <w:szCs w:val="20"/>
              </w:rPr>
              <w:t>360</w:t>
            </w:r>
          </w:p>
        </w:tc>
        <w:tc>
          <w:tcPr>
            <w:tcW w:w="1349" w:type="dxa"/>
            <w:tcBorders>
              <w:top w:val="single" w:sz="4" w:space="0" w:color="auto"/>
              <w:left w:val="single" w:sz="4" w:space="0" w:color="auto"/>
              <w:bottom w:val="single" w:sz="4" w:space="0" w:color="auto"/>
              <w:right w:val="single" w:sz="4" w:space="0" w:color="auto"/>
            </w:tcBorders>
            <w:vAlign w:val="center"/>
          </w:tcPr>
          <w:p w14:paraId="0EBA1700" w14:textId="5F9CF16F" w:rsidR="00811940" w:rsidRPr="00C73FF0" w:rsidRDefault="00811940" w:rsidP="00811940">
            <w:pPr>
              <w:jc w:val="center"/>
              <w:rPr>
                <w:color w:val="000000"/>
                <w:sz w:val="20"/>
                <w:szCs w:val="20"/>
              </w:rPr>
            </w:pPr>
            <w:r w:rsidRPr="00F62C9B">
              <w:rPr>
                <w:color w:val="000000"/>
                <w:sz w:val="20"/>
                <w:szCs w:val="20"/>
              </w:rPr>
              <w:t>411</w:t>
            </w:r>
          </w:p>
        </w:tc>
        <w:tc>
          <w:tcPr>
            <w:tcW w:w="1349" w:type="dxa"/>
            <w:tcBorders>
              <w:top w:val="single" w:sz="4" w:space="0" w:color="auto"/>
              <w:left w:val="single" w:sz="4" w:space="0" w:color="auto"/>
              <w:bottom w:val="single" w:sz="4" w:space="0" w:color="auto"/>
              <w:right w:val="single" w:sz="4" w:space="0" w:color="auto"/>
            </w:tcBorders>
            <w:vAlign w:val="center"/>
          </w:tcPr>
          <w:p w14:paraId="14110C15" w14:textId="22E713A8" w:rsidR="00811940" w:rsidRPr="00C73FF0" w:rsidRDefault="00811940" w:rsidP="00811940">
            <w:pPr>
              <w:jc w:val="center"/>
              <w:rPr>
                <w:color w:val="000000"/>
                <w:sz w:val="20"/>
                <w:szCs w:val="20"/>
              </w:rPr>
            </w:pPr>
            <w:r w:rsidRPr="004B4324">
              <w:rPr>
                <w:color w:val="000000"/>
                <w:sz w:val="20"/>
                <w:szCs w:val="20"/>
              </w:rPr>
              <w:t>511</w:t>
            </w:r>
          </w:p>
        </w:tc>
        <w:tc>
          <w:tcPr>
            <w:tcW w:w="1406" w:type="dxa"/>
            <w:tcBorders>
              <w:top w:val="single" w:sz="4" w:space="0" w:color="auto"/>
              <w:left w:val="single" w:sz="4" w:space="0" w:color="auto"/>
              <w:bottom w:val="single" w:sz="4" w:space="0" w:color="auto"/>
              <w:right w:val="single" w:sz="4" w:space="0" w:color="auto"/>
            </w:tcBorders>
            <w:vAlign w:val="center"/>
          </w:tcPr>
          <w:p w14:paraId="6D093421" w14:textId="5E8074AC" w:rsidR="00811940" w:rsidRPr="004B4324" w:rsidRDefault="00811940" w:rsidP="00811940">
            <w:pPr>
              <w:jc w:val="center"/>
              <w:rPr>
                <w:color w:val="000000"/>
                <w:sz w:val="20"/>
                <w:szCs w:val="20"/>
              </w:rPr>
            </w:pPr>
          </w:p>
        </w:tc>
      </w:tr>
      <w:tr w:rsidR="00811940" w:rsidRPr="00E80EE2" w14:paraId="7C2F5886" w14:textId="77777777" w:rsidTr="00520183">
        <w:tblPrEx>
          <w:tblCellMar>
            <w:left w:w="115" w:type="dxa"/>
            <w:right w:w="115" w:type="dxa"/>
          </w:tblCellMar>
        </w:tblPrEx>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5CD92" w14:textId="77777777" w:rsidR="00811940" w:rsidRPr="00C73FF0" w:rsidRDefault="00811940" w:rsidP="00811940">
            <w:pPr>
              <w:ind w:left="368"/>
              <w:rPr>
                <w:color w:val="000000"/>
                <w:sz w:val="20"/>
                <w:szCs w:val="20"/>
              </w:rPr>
            </w:pPr>
            <w:r w:rsidRPr="00C73FF0">
              <w:rPr>
                <w:color w:val="000000"/>
                <w:sz w:val="20"/>
                <w:szCs w:val="20"/>
              </w:rPr>
              <w:t>Certificate – Graduate</w:t>
            </w:r>
          </w:p>
        </w:tc>
        <w:tc>
          <w:tcPr>
            <w:tcW w:w="1349" w:type="dxa"/>
            <w:tcBorders>
              <w:top w:val="single" w:sz="4" w:space="0" w:color="auto"/>
              <w:left w:val="single" w:sz="4" w:space="0" w:color="auto"/>
              <w:bottom w:val="single" w:sz="4" w:space="0" w:color="auto"/>
              <w:right w:val="single" w:sz="4" w:space="0" w:color="auto"/>
            </w:tcBorders>
            <w:noWrap/>
            <w:vAlign w:val="center"/>
          </w:tcPr>
          <w:p w14:paraId="073C2A5E" w14:textId="15E9CFD4" w:rsidR="00811940" w:rsidRPr="00C73FF0" w:rsidRDefault="00811940" w:rsidP="00811940">
            <w:pPr>
              <w:jc w:val="center"/>
              <w:rPr>
                <w:color w:val="000000"/>
                <w:sz w:val="20"/>
                <w:szCs w:val="20"/>
              </w:rPr>
            </w:pPr>
            <w:r>
              <w:rPr>
                <w:color w:val="000000"/>
                <w:sz w:val="20"/>
                <w:szCs w:val="20"/>
              </w:rPr>
              <w:t>221</w:t>
            </w:r>
          </w:p>
        </w:tc>
        <w:tc>
          <w:tcPr>
            <w:tcW w:w="1349" w:type="dxa"/>
            <w:tcBorders>
              <w:top w:val="single" w:sz="4" w:space="0" w:color="auto"/>
              <w:left w:val="single" w:sz="4" w:space="0" w:color="auto"/>
              <w:bottom w:val="single" w:sz="4" w:space="0" w:color="auto"/>
              <w:right w:val="single" w:sz="4" w:space="0" w:color="auto"/>
            </w:tcBorders>
            <w:vAlign w:val="center"/>
          </w:tcPr>
          <w:p w14:paraId="2A3200D6" w14:textId="45D6A98B" w:rsidR="00811940" w:rsidRPr="00C73FF0" w:rsidRDefault="00811940" w:rsidP="00811940">
            <w:pPr>
              <w:jc w:val="center"/>
              <w:rPr>
                <w:color w:val="000000"/>
                <w:sz w:val="20"/>
                <w:szCs w:val="20"/>
              </w:rPr>
            </w:pPr>
            <w:r w:rsidRPr="00F62C9B">
              <w:rPr>
                <w:color w:val="000000"/>
                <w:sz w:val="20"/>
                <w:szCs w:val="20"/>
              </w:rPr>
              <w:t>189</w:t>
            </w:r>
          </w:p>
        </w:tc>
        <w:tc>
          <w:tcPr>
            <w:tcW w:w="1349" w:type="dxa"/>
            <w:tcBorders>
              <w:top w:val="single" w:sz="4" w:space="0" w:color="auto"/>
              <w:left w:val="single" w:sz="4" w:space="0" w:color="auto"/>
              <w:bottom w:val="single" w:sz="4" w:space="0" w:color="auto"/>
              <w:right w:val="single" w:sz="4" w:space="0" w:color="auto"/>
            </w:tcBorders>
            <w:vAlign w:val="center"/>
          </w:tcPr>
          <w:p w14:paraId="5B56DD6B" w14:textId="573315CF" w:rsidR="00811940" w:rsidRPr="00C73FF0" w:rsidRDefault="00811940" w:rsidP="00811940">
            <w:pPr>
              <w:jc w:val="center"/>
              <w:rPr>
                <w:color w:val="000000"/>
                <w:sz w:val="20"/>
                <w:szCs w:val="20"/>
              </w:rPr>
            </w:pPr>
            <w:r>
              <w:rPr>
                <w:color w:val="000000"/>
                <w:sz w:val="20"/>
                <w:szCs w:val="20"/>
              </w:rPr>
              <w:t>170</w:t>
            </w:r>
          </w:p>
        </w:tc>
        <w:tc>
          <w:tcPr>
            <w:tcW w:w="1406" w:type="dxa"/>
            <w:tcBorders>
              <w:top w:val="single" w:sz="4" w:space="0" w:color="auto"/>
              <w:left w:val="single" w:sz="4" w:space="0" w:color="auto"/>
              <w:bottom w:val="single" w:sz="4" w:space="0" w:color="auto"/>
              <w:right w:val="single" w:sz="4" w:space="0" w:color="auto"/>
            </w:tcBorders>
            <w:vAlign w:val="center"/>
          </w:tcPr>
          <w:p w14:paraId="2E793D3F" w14:textId="640E2527" w:rsidR="00811940" w:rsidRPr="00F62C9B" w:rsidRDefault="00811940" w:rsidP="00811940">
            <w:pPr>
              <w:jc w:val="center"/>
              <w:rPr>
                <w:color w:val="000000"/>
                <w:sz w:val="20"/>
                <w:szCs w:val="20"/>
              </w:rPr>
            </w:pPr>
          </w:p>
        </w:tc>
      </w:tr>
      <w:tr w:rsidR="00811940" w:rsidRPr="00E80EE2" w14:paraId="0EDFA87F" w14:textId="77777777" w:rsidTr="00520183">
        <w:tblPrEx>
          <w:tblCellMar>
            <w:left w:w="115" w:type="dxa"/>
            <w:right w:w="115" w:type="dxa"/>
          </w:tblCellMar>
        </w:tblPrEx>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40730" w14:textId="77777777" w:rsidR="00811940" w:rsidRPr="00C73FF0" w:rsidRDefault="00811940" w:rsidP="00811940">
            <w:pPr>
              <w:ind w:left="368"/>
              <w:rPr>
                <w:color w:val="000000"/>
                <w:sz w:val="20"/>
                <w:szCs w:val="20"/>
              </w:rPr>
            </w:pPr>
            <w:r w:rsidRPr="00C73FF0">
              <w:rPr>
                <w:color w:val="000000"/>
                <w:sz w:val="20"/>
                <w:szCs w:val="20"/>
              </w:rPr>
              <w:t>Master's Degree</w:t>
            </w:r>
          </w:p>
        </w:tc>
        <w:tc>
          <w:tcPr>
            <w:tcW w:w="1349" w:type="dxa"/>
            <w:tcBorders>
              <w:top w:val="single" w:sz="4" w:space="0" w:color="auto"/>
              <w:left w:val="single" w:sz="4" w:space="0" w:color="auto"/>
              <w:bottom w:val="single" w:sz="4" w:space="0" w:color="auto"/>
              <w:right w:val="single" w:sz="4" w:space="0" w:color="auto"/>
            </w:tcBorders>
            <w:noWrap/>
            <w:vAlign w:val="center"/>
          </w:tcPr>
          <w:p w14:paraId="7B7495AC" w14:textId="5DD877A5" w:rsidR="00811940" w:rsidRPr="00C73FF0" w:rsidRDefault="00811940" w:rsidP="00811940">
            <w:pPr>
              <w:jc w:val="center"/>
              <w:rPr>
                <w:color w:val="000000"/>
                <w:sz w:val="20"/>
                <w:szCs w:val="20"/>
              </w:rPr>
            </w:pPr>
            <w:r>
              <w:rPr>
                <w:color w:val="000000"/>
                <w:sz w:val="20"/>
                <w:szCs w:val="20"/>
              </w:rPr>
              <w:t>861</w:t>
            </w:r>
          </w:p>
        </w:tc>
        <w:tc>
          <w:tcPr>
            <w:tcW w:w="1349" w:type="dxa"/>
            <w:tcBorders>
              <w:top w:val="single" w:sz="4" w:space="0" w:color="auto"/>
              <w:left w:val="single" w:sz="4" w:space="0" w:color="auto"/>
              <w:bottom w:val="single" w:sz="4" w:space="0" w:color="auto"/>
              <w:right w:val="single" w:sz="4" w:space="0" w:color="auto"/>
            </w:tcBorders>
            <w:vAlign w:val="center"/>
          </w:tcPr>
          <w:p w14:paraId="429EF480" w14:textId="5472DFCA" w:rsidR="00811940" w:rsidRPr="00C73FF0" w:rsidRDefault="00811940" w:rsidP="00811940">
            <w:pPr>
              <w:jc w:val="center"/>
              <w:rPr>
                <w:color w:val="000000"/>
                <w:sz w:val="20"/>
                <w:szCs w:val="20"/>
              </w:rPr>
            </w:pPr>
            <w:r w:rsidRPr="00F62C9B">
              <w:rPr>
                <w:color w:val="000000"/>
                <w:sz w:val="20"/>
                <w:szCs w:val="20"/>
              </w:rPr>
              <w:t>954</w:t>
            </w:r>
          </w:p>
        </w:tc>
        <w:tc>
          <w:tcPr>
            <w:tcW w:w="1349" w:type="dxa"/>
            <w:tcBorders>
              <w:top w:val="single" w:sz="4" w:space="0" w:color="auto"/>
              <w:left w:val="single" w:sz="4" w:space="0" w:color="auto"/>
              <w:bottom w:val="single" w:sz="4" w:space="0" w:color="auto"/>
              <w:right w:val="single" w:sz="4" w:space="0" w:color="auto"/>
            </w:tcBorders>
            <w:vAlign w:val="center"/>
          </w:tcPr>
          <w:p w14:paraId="6716A6A4" w14:textId="560022F8" w:rsidR="00811940" w:rsidRPr="00C73FF0" w:rsidRDefault="00811940" w:rsidP="00811940">
            <w:pPr>
              <w:jc w:val="center"/>
              <w:rPr>
                <w:color w:val="000000"/>
                <w:sz w:val="20"/>
                <w:szCs w:val="20"/>
              </w:rPr>
            </w:pPr>
            <w:r>
              <w:rPr>
                <w:color w:val="000000"/>
                <w:sz w:val="20"/>
                <w:szCs w:val="20"/>
              </w:rPr>
              <w:t>1,074</w:t>
            </w:r>
          </w:p>
        </w:tc>
        <w:tc>
          <w:tcPr>
            <w:tcW w:w="1406" w:type="dxa"/>
            <w:tcBorders>
              <w:top w:val="single" w:sz="4" w:space="0" w:color="auto"/>
              <w:left w:val="single" w:sz="4" w:space="0" w:color="auto"/>
              <w:bottom w:val="single" w:sz="4" w:space="0" w:color="auto"/>
              <w:right w:val="single" w:sz="4" w:space="0" w:color="auto"/>
            </w:tcBorders>
            <w:vAlign w:val="center"/>
          </w:tcPr>
          <w:p w14:paraId="6B03E11B" w14:textId="0D1C6C24" w:rsidR="00811940" w:rsidRPr="00F62C9B" w:rsidRDefault="00811940" w:rsidP="00811940">
            <w:pPr>
              <w:jc w:val="center"/>
              <w:rPr>
                <w:color w:val="000000"/>
                <w:sz w:val="20"/>
                <w:szCs w:val="20"/>
              </w:rPr>
            </w:pPr>
          </w:p>
        </w:tc>
      </w:tr>
      <w:tr w:rsidR="00811940" w:rsidRPr="00E80EE2" w14:paraId="64C7997C" w14:textId="77777777" w:rsidTr="00520183">
        <w:tblPrEx>
          <w:tblCellMar>
            <w:left w:w="115" w:type="dxa"/>
            <w:right w:w="115" w:type="dxa"/>
          </w:tblCellMar>
        </w:tblPrEx>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FC1F7" w14:textId="77777777" w:rsidR="00811940" w:rsidRPr="00C73FF0" w:rsidRDefault="00811940" w:rsidP="00811940">
            <w:pPr>
              <w:ind w:left="368"/>
              <w:rPr>
                <w:color w:val="000000"/>
                <w:sz w:val="20"/>
                <w:szCs w:val="20"/>
              </w:rPr>
            </w:pPr>
            <w:r w:rsidRPr="00C73FF0">
              <w:rPr>
                <w:color w:val="000000"/>
                <w:sz w:val="20"/>
                <w:szCs w:val="20"/>
              </w:rPr>
              <w:t>Education Specialist Degree</w:t>
            </w:r>
            <w:r w:rsidRPr="00C73FF0">
              <w:rPr>
                <w:rStyle w:val="EndnoteReference"/>
                <w:color w:val="000000"/>
                <w:sz w:val="20"/>
                <w:szCs w:val="20"/>
              </w:rPr>
              <w:endnoteReference w:id="6"/>
            </w:r>
          </w:p>
        </w:tc>
        <w:tc>
          <w:tcPr>
            <w:tcW w:w="1349" w:type="dxa"/>
            <w:tcBorders>
              <w:top w:val="single" w:sz="4" w:space="0" w:color="auto"/>
              <w:left w:val="single" w:sz="4" w:space="0" w:color="auto"/>
              <w:bottom w:val="single" w:sz="4" w:space="0" w:color="auto"/>
              <w:right w:val="single" w:sz="4" w:space="0" w:color="auto"/>
            </w:tcBorders>
            <w:noWrap/>
            <w:vAlign w:val="center"/>
          </w:tcPr>
          <w:p w14:paraId="4FD0F28D" w14:textId="5E4A7516" w:rsidR="00811940" w:rsidRPr="00C73FF0" w:rsidRDefault="00811940" w:rsidP="00811940">
            <w:pPr>
              <w:jc w:val="center"/>
              <w:rPr>
                <w:color w:val="000000"/>
                <w:sz w:val="20"/>
                <w:szCs w:val="20"/>
              </w:rPr>
            </w:pPr>
            <w:r>
              <w:rPr>
                <w:color w:val="000000"/>
                <w:sz w:val="20"/>
                <w:szCs w:val="20"/>
              </w:rPr>
              <w:t>19</w:t>
            </w:r>
          </w:p>
        </w:tc>
        <w:tc>
          <w:tcPr>
            <w:tcW w:w="1349" w:type="dxa"/>
            <w:tcBorders>
              <w:top w:val="single" w:sz="4" w:space="0" w:color="auto"/>
              <w:left w:val="single" w:sz="4" w:space="0" w:color="auto"/>
              <w:bottom w:val="single" w:sz="4" w:space="0" w:color="auto"/>
              <w:right w:val="single" w:sz="4" w:space="0" w:color="auto"/>
            </w:tcBorders>
            <w:vAlign w:val="center"/>
          </w:tcPr>
          <w:p w14:paraId="1DF5F28D" w14:textId="697AA388" w:rsidR="00811940" w:rsidRPr="00C73FF0" w:rsidRDefault="00811940" w:rsidP="00811940">
            <w:pPr>
              <w:jc w:val="center"/>
              <w:rPr>
                <w:color w:val="000000"/>
                <w:sz w:val="20"/>
                <w:szCs w:val="20"/>
              </w:rPr>
            </w:pPr>
            <w:r w:rsidRPr="00F62C9B">
              <w:rPr>
                <w:color w:val="000000"/>
                <w:sz w:val="20"/>
                <w:szCs w:val="20"/>
              </w:rPr>
              <w:t>24</w:t>
            </w:r>
          </w:p>
        </w:tc>
        <w:tc>
          <w:tcPr>
            <w:tcW w:w="1349" w:type="dxa"/>
            <w:tcBorders>
              <w:top w:val="single" w:sz="4" w:space="0" w:color="auto"/>
              <w:left w:val="single" w:sz="4" w:space="0" w:color="auto"/>
              <w:bottom w:val="single" w:sz="4" w:space="0" w:color="auto"/>
              <w:right w:val="single" w:sz="4" w:space="0" w:color="auto"/>
            </w:tcBorders>
            <w:vAlign w:val="center"/>
          </w:tcPr>
          <w:p w14:paraId="7F66D134" w14:textId="20E090BE" w:rsidR="00811940" w:rsidRPr="00C73FF0" w:rsidRDefault="00811940" w:rsidP="00811940">
            <w:pPr>
              <w:jc w:val="center"/>
              <w:rPr>
                <w:color w:val="000000"/>
                <w:sz w:val="20"/>
                <w:szCs w:val="20"/>
              </w:rPr>
            </w:pPr>
            <w:r>
              <w:rPr>
                <w:color w:val="000000"/>
                <w:sz w:val="20"/>
                <w:szCs w:val="20"/>
              </w:rPr>
              <w:t>23</w:t>
            </w:r>
          </w:p>
        </w:tc>
        <w:tc>
          <w:tcPr>
            <w:tcW w:w="1406" w:type="dxa"/>
            <w:tcBorders>
              <w:top w:val="single" w:sz="4" w:space="0" w:color="auto"/>
              <w:left w:val="single" w:sz="4" w:space="0" w:color="auto"/>
              <w:bottom w:val="single" w:sz="4" w:space="0" w:color="auto"/>
              <w:right w:val="single" w:sz="4" w:space="0" w:color="auto"/>
            </w:tcBorders>
            <w:vAlign w:val="center"/>
          </w:tcPr>
          <w:p w14:paraId="2674AAC2" w14:textId="3C1E6CC2" w:rsidR="00811940" w:rsidRPr="00F62C9B" w:rsidRDefault="00811940" w:rsidP="00811940">
            <w:pPr>
              <w:jc w:val="center"/>
              <w:rPr>
                <w:color w:val="000000"/>
                <w:sz w:val="20"/>
                <w:szCs w:val="20"/>
              </w:rPr>
            </w:pPr>
          </w:p>
        </w:tc>
      </w:tr>
      <w:tr w:rsidR="00811940" w:rsidRPr="00E80EE2" w14:paraId="34813338" w14:textId="77777777" w:rsidTr="00520183">
        <w:tblPrEx>
          <w:tblCellMar>
            <w:left w:w="115" w:type="dxa"/>
            <w:right w:w="115" w:type="dxa"/>
          </w:tblCellMar>
        </w:tblPrEx>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80F0D" w14:textId="77777777" w:rsidR="00811940" w:rsidRPr="00C73FF0" w:rsidRDefault="00811940" w:rsidP="00811940">
            <w:pPr>
              <w:ind w:left="368"/>
              <w:rPr>
                <w:color w:val="000000"/>
                <w:sz w:val="20"/>
                <w:szCs w:val="20"/>
              </w:rPr>
            </w:pPr>
            <w:r w:rsidRPr="00C73FF0">
              <w:rPr>
                <w:color w:val="000000"/>
                <w:sz w:val="20"/>
                <w:szCs w:val="20"/>
              </w:rPr>
              <w:t>Doctoral Degree</w:t>
            </w:r>
          </w:p>
        </w:tc>
        <w:tc>
          <w:tcPr>
            <w:tcW w:w="1349" w:type="dxa"/>
            <w:tcBorders>
              <w:top w:val="single" w:sz="4" w:space="0" w:color="auto"/>
              <w:left w:val="single" w:sz="4" w:space="0" w:color="auto"/>
              <w:bottom w:val="single" w:sz="4" w:space="0" w:color="auto"/>
              <w:right w:val="single" w:sz="4" w:space="0" w:color="auto"/>
            </w:tcBorders>
            <w:noWrap/>
            <w:vAlign w:val="center"/>
          </w:tcPr>
          <w:p w14:paraId="454639DE" w14:textId="621D97EC" w:rsidR="00811940" w:rsidRPr="00C73FF0" w:rsidRDefault="00811940" w:rsidP="00811940">
            <w:pPr>
              <w:jc w:val="center"/>
              <w:rPr>
                <w:color w:val="000000"/>
                <w:sz w:val="20"/>
                <w:szCs w:val="20"/>
              </w:rPr>
            </w:pPr>
            <w:r>
              <w:rPr>
                <w:color w:val="000000"/>
                <w:sz w:val="20"/>
                <w:szCs w:val="20"/>
              </w:rPr>
              <w:t>45</w:t>
            </w:r>
          </w:p>
        </w:tc>
        <w:tc>
          <w:tcPr>
            <w:tcW w:w="1349" w:type="dxa"/>
            <w:tcBorders>
              <w:top w:val="single" w:sz="4" w:space="0" w:color="auto"/>
              <w:left w:val="single" w:sz="4" w:space="0" w:color="auto"/>
              <w:bottom w:val="single" w:sz="4" w:space="0" w:color="auto"/>
              <w:right w:val="single" w:sz="4" w:space="0" w:color="auto"/>
            </w:tcBorders>
            <w:vAlign w:val="center"/>
          </w:tcPr>
          <w:p w14:paraId="3226D2D0" w14:textId="245A1CD7" w:rsidR="00811940" w:rsidRPr="00C73FF0" w:rsidRDefault="00811940" w:rsidP="00811940">
            <w:pPr>
              <w:jc w:val="center"/>
              <w:rPr>
                <w:color w:val="000000"/>
                <w:sz w:val="20"/>
                <w:szCs w:val="20"/>
              </w:rPr>
            </w:pPr>
            <w:r w:rsidRPr="00F62C9B">
              <w:rPr>
                <w:color w:val="000000"/>
                <w:sz w:val="20"/>
                <w:szCs w:val="20"/>
              </w:rPr>
              <w:t>53</w:t>
            </w:r>
          </w:p>
        </w:tc>
        <w:tc>
          <w:tcPr>
            <w:tcW w:w="1349" w:type="dxa"/>
            <w:tcBorders>
              <w:top w:val="single" w:sz="4" w:space="0" w:color="auto"/>
              <w:left w:val="single" w:sz="4" w:space="0" w:color="auto"/>
              <w:bottom w:val="single" w:sz="4" w:space="0" w:color="auto"/>
              <w:right w:val="single" w:sz="4" w:space="0" w:color="auto"/>
            </w:tcBorders>
            <w:vAlign w:val="center"/>
          </w:tcPr>
          <w:p w14:paraId="16725540" w14:textId="3011315C" w:rsidR="00811940" w:rsidRPr="00C73FF0" w:rsidRDefault="00811940" w:rsidP="00811940">
            <w:pPr>
              <w:jc w:val="center"/>
              <w:rPr>
                <w:color w:val="000000"/>
                <w:sz w:val="20"/>
                <w:szCs w:val="20"/>
              </w:rPr>
            </w:pPr>
            <w:r>
              <w:rPr>
                <w:color w:val="000000"/>
                <w:sz w:val="20"/>
                <w:szCs w:val="20"/>
              </w:rPr>
              <w:t>50</w:t>
            </w:r>
          </w:p>
        </w:tc>
        <w:tc>
          <w:tcPr>
            <w:tcW w:w="1406" w:type="dxa"/>
            <w:tcBorders>
              <w:top w:val="single" w:sz="4" w:space="0" w:color="auto"/>
              <w:left w:val="single" w:sz="4" w:space="0" w:color="auto"/>
              <w:bottom w:val="single" w:sz="4" w:space="0" w:color="auto"/>
              <w:right w:val="single" w:sz="4" w:space="0" w:color="auto"/>
            </w:tcBorders>
            <w:vAlign w:val="center"/>
          </w:tcPr>
          <w:p w14:paraId="3B3D2A01" w14:textId="22EAF850" w:rsidR="00811940" w:rsidRPr="00F62C9B" w:rsidRDefault="00811940" w:rsidP="00811940">
            <w:pPr>
              <w:jc w:val="center"/>
              <w:rPr>
                <w:color w:val="000000"/>
                <w:sz w:val="20"/>
                <w:szCs w:val="20"/>
              </w:rPr>
            </w:pPr>
          </w:p>
        </w:tc>
      </w:tr>
      <w:tr w:rsidR="00811940" w:rsidRPr="00E80EE2" w14:paraId="7F0AA06E" w14:textId="77777777" w:rsidTr="00520183">
        <w:tblPrEx>
          <w:tblCellMar>
            <w:left w:w="115" w:type="dxa"/>
            <w:right w:w="115" w:type="dxa"/>
          </w:tblCellMar>
        </w:tblPrEx>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6B06D" w14:textId="6F0B27B7" w:rsidR="00811940" w:rsidRPr="00C73FF0" w:rsidRDefault="00811940" w:rsidP="00811940">
            <w:pPr>
              <w:ind w:left="368"/>
              <w:rPr>
                <w:color w:val="000000"/>
                <w:sz w:val="20"/>
                <w:szCs w:val="20"/>
              </w:rPr>
            </w:pPr>
            <w:r w:rsidRPr="00C73FF0">
              <w:rPr>
                <w:color w:val="000000"/>
                <w:sz w:val="20"/>
                <w:szCs w:val="20"/>
              </w:rPr>
              <w:t>Total awards</w:t>
            </w:r>
            <w:r>
              <w:rPr>
                <w:color w:val="000000"/>
                <w:sz w:val="20"/>
                <w:szCs w:val="20"/>
              </w:rPr>
              <w:t xml:space="preserve"> (sum)</w:t>
            </w:r>
          </w:p>
        </w:tc>
        <w:tc>
          <w:tcPr>
            <w:tcW w:w="1349" w:type="dxa"/>
            <w:tcBorders>
              <w:top w:val="single" w:sz="4" w:space="0" w:color="auto"/>
              <w:left w:val="single" w:sz="4" w:space="0" w:color="auto"/>
              <w:bottom w:val="single" w:sz="4" w:space="0" w:color="auto"/>
              <w:right w:val="single" w:sz="4" w:space="0" w:color="auto"/>
            </w:tcBorders>
            <w:noWrap/>
          </w:tcPr>
          <w:p w14:paraId="3EFB3192" w14:textId="1E9F5451" w:rsidR="00811940" w:rsidRPr="00C73FF0" w:rsidRDefault="00811940" w:rsidP="00811940">
            <w:pPr>
              <w:jc w:val="center"/>
              <w:rPr>
                <w:color w:val="000000"/>
                <w:sz w:val="20"/>
                <w:szCs w:val="20"/>
              </w:rPr>
            </w:pPr>
            <w:r>
              <w:rPr>
                <w:color w:val="000000"/>
                <w:sz w:val="20"/>
                <w:szCs w:val="20"/>
              </w:rPr>
              <w:t>5,112</w:t>
            </w:r>
          </w:p>
        </w:tc>
        <w:tc>
          <w:tcPr>
            <w:tcW w:w="1349" w:type="dxa"/>
            <w:tcBorders>
              <w:top w:val="single" w:sz="4" w:space="0" w:color="auto"/>
              <w:left w:val="single" w:sz="4" w:space="0" w:color="auto"/>
              <w:bottom w:val="single" w:sz="4" w:space="0" w:color="auto"/>
              <w:right w:val="single" w:sz="4" w:space="0" w:color="auto"/>
            </w:tcBorders>
          </w:tcPr>
          <w:p w14:paraId="45A97E10" w14:textId="61725C40" w:rsidR="00811940" w:rsidRPr="00C73FF0" w:rsidRDefault="00811940" w:rsidP="00811940">
            <w:pPr>
              <w:jc w:val="center"/>
              <w:rPr>
                <w:color w:val="000000"/>
                <w:sz w:val="20"/>
                <w:szCs w:val="20"/>
              </w:rPr>
            </w:pPr>
            <w:r w:rsidRPr="00F62C9B">
              <w:rPr>
                <w:color w:val="000000"/>
                <w:sz w:val="20"/>
                <w:szCs w:val="20"/>
              </w:rPr>
              <w:t>5,42</w:t>
            </w:r>
            <w:r>
              <w:rPr>
                <w:color w:val="000000"/>
                <w:sz w:val="20"/>
                <w:szCs w:val="20"/>
              </w:rPr>
              <w:t>2</w:t>
            </w:r>
          </w:p>
        </w:tc>
        <w:tc>
          <w:tcPr>
            <w:tcW w:w="1349" w:type="dxa"/>
            <w:tcBorders>
              <w:top w:val="single" w:sz="4" w:space="0" w:color="auto"/>
              <w:left w:val="single" w:sz="4" w:space="0" w:color="auto"/>
              <w:bottom w:val="single" w:sz="4" w:space="0" w:color="auto"/>
              <w:right w:val="single" w:sz="4" w:space="0" w:color="auto"/>
            </w:tcBorders>
          </w:tcPr>
          <w:p w14:paraId="1256055B" w14:textId="7B49DF42" w:rsidR="00811940" w:rsidRPr="00C73FF0" w:rsidRDefault="00811940" w:rsidP="00811940">
            <w:pPr>
              <w:jc w:val="center"/>
              <w:rPr>
                <w:color w:val="000000"/>
                <w:sz w:val="20"/>
                <w:szCs w:val="20"/>
              </w:rPr>
            </w:pPr>
            <w:r w:rsidRPr="00263F2B">
              <w:rPr>
                <w:color w:val="000000"/>
                <w:sz w:val="20"/>
                <w:szCs w:val="20"/>
              </w:rPr>
              <w:t>5,</w:t>
            </w:r>
            <w:r>
              <w:rPr>
                <w:color w:val="000000"/>
                <w:sz w:val="20"/>
                <w:szCs w:val="20"/>
              </w:rPr>
              <w:t>889</w:t>
            </w:r>
          </w:p>
        </w:tc>
        <w:tc>
          <w:tcPr>
            <w:tcW w:w="1406" w:type="dxa"/>
            <w:tcBorders>
              <w:top w:val="single" w:sz="4" w:space="0" w:color="auto"/>
              <w:left w:val="single" w:sz="4" w:space="0" w:color="auto"/>
              <w:bottom w:val="single" w:sz="4" w:space="0" w:color="auto"/>
              <w:right w:val="single" w:sz="4" w:space="0" w:color="auto"/>
            </w:tcBorders>
          </w:tcPr>
          <w:p w14:paraId="091829DC" w14:textId="0927F12C" w:rsidR="00811940" w:rsidRPr="00F25541" w:rsidRDefault="00811940" w:rsidP="00811940">
            <w:pPr>
              <w:jc w:val="center"/>
              <w:rPr>
                <w:color w:val="000000"/>
                <w:sz w:val="20"/>
                <w:szCs w:val="20"/>
                <w:highlight w:val="yellow"/>
              </w:rPr>
            </w:pPr>
          </w:p>
        </w:tc>
      </w:tr>
    </w:tbl>
    <w:p w14:paraId="7195A1AF" w14:textId="292F7818" w:rsidR="00152521" w:rsidRDefault="00152521"/>
    <w:tbl>
      <w:tblPr>
        <w:tblW w:w="5000" w:type="pct"/>
        <w:tblLayout w:type="fixed"/>
        <w:tblCellMar>
          <w:top w:w="29" w:type="dxa"/>
          <w:left w:w="115" w:type="dxa"/>
          <w:right w:w="115" w:type="dxa"/>
        </w:tblCellMar>
        <w:tblLook w:val="06A0" w:firstRow="1" w:lastRow="0" w:firstColumn="1" w:lastColumn="0" w:noHBand="1" w:noVBand="1"/>
      </w:tblPr>
      <w:tblGrid>
        <w:gridCol w:w="4617"/>
        <w:gridCol w:w="1349"/>
        <w:gridCol w:w="1349"/>
        <w:gridCol w:w="1349"/>
        <w:gridCol w:w="1406"/>
      </w:tblGrid>
      <w:tr w:rsidR="00B85F45" w:rsidRPr="00E80EE2" w14:paraId="4AB1BF90" w14:textId="77777777" w:rsidTr="00520183">
        <w:tc>
          <w:tcPr>
            <w:tcW w:w="1007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5B98F0D" w14:textId="48AEB654" w:rsidR="00B85F45" w:rsidRPr="00C73FF0" w:rsidRDefault="00B85F45" w:rsidP="00B85F45">
            <w:pPr>
              <w:pStyle w:val="ListParagraph"/>
              <w:numPr>
                <w:ilvl w:val="0"/>
                <w:numId w:val="26"/>
              </w:numPr>
              <w:ind w:left="368"/>
              <w:rPr>
                <w:color w:val="000000"/>
                <w:sz w:val="20"/>
                <w:szCs w:val="20"/>
              </w:rPr>
            </w:pPr>
            <w:r w:rsidRPr="00C73FF0">
              <w:rPr>
                <w:sz w:val="20"/>
                <w:szCs w:val="20"/>
              </w:rPr>
              <w:t>Sponsored Projects Proposals and Awards</w:t>
            </w:r>
            <w:r w:rsidRPr="00C73FF0">
              <w:rPr>
                <w:rStyle w:val="EndnoteReference"/>
                <w:sz w:val="20"/>
                <w:szCs w:val="20"/>
              </w:rPr>
              <w:endnoteReference w:id="7"/>
            </w:r>
            <w:r w:rsidRPr="00C73FF0">
              <w:rPr>
                <w:sz w:val="20"/>
                <w:szCs w:val="20"/>
              </w:rPr>
              <w:t xml:space="preserve"> (see Part II for Externally Funded Research Expenditures)</w:t>
            </w:r>
          </w:p>
        </w:tc>
      </w:tr>
      <w:tr w:rsidR="00811940" w:rsidRPr="00E80EE2" w14:paraId="28A3BD4F" w14:textId="77777777" w:rsidTr="00637AE3">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EC8FD" w14:textId="77777777" w:rsidR="00811940" w:rsidRPr="00C73FF0" w:rsidRDefault="00811940" w:rsidP="00811940">
            <w:pPr>
              <w:ind w:left="368"/>
              <w:rPr>
                <w:sz w:val="20"/>
                <w:szCs w:val="20"/>
              </w:rPr>
            </w:pPr>
            <w:r w:rsidRPr="00C73FF0">
              <w:rPr>
                <w:sz w:val="20"/>
                <w:szCs w:val="20"/>
              </w:rPr>
              <w:t>Total # of Proposals Submitted</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4144EF" w14:textId="626669C4" w:rsidR="00811940" w:rsidRPr="00C73FF0" w:rsidRDefault="00811940" w:rsidP="00811940">
            <w:pPr>
              <w:jc w:val="center"/>
              <w:rPr>
                <w:sz w:val="20"/>
                <w:szCs w:val="20"/>
              </w:rPr>
            </w:pPr>
            <w:r>
              <w:rPr>
                <w:color w:val="000000"/>
                <w:sz w:val="20"/>
                <w:szCs w:val="20"/>
              </w:rPr>
              <w:t>560</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E796A" w14:textId="0DF47D11" w:rsidR="00811940" w:rsidRPr="00C73FF0" w:rsidRDefault="00811940" w:rsidP="00811940">
            <w:pPr>
              <w:jc w:val="center"/>
              <w:rPr>
                <w:sz w:val="20"/>
                <w:szCs w:val="20"/>
              </w:rPr>
            </w:pPr>
            <w:r>
              <w:rPr>
                <w:sz w:val="20"/>
                <w:szCs w:val="20"/>
              </w:rPr>
              <w:t>506</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4A342" w14:textId="776EA820" w:rsidR="00811940" w:rsidRPr="00CF215F" w:rsidRDefault="00811940" w:rsidP="00811940">
            <w:pPr>
              <w:jc w:val="center"/>
              <w:rPr>
                <w:sz w:val="20"/>
                <w:szCs w:val="20"/>
              </w:rPr>
            </w:pPr>
            <w:r w:rsidRPr="00DC7306">
              <w:rPr>
                <w:color w:val="000000"/>
                <w:sz w:val="20"/>
                <w:szCs w:val="20"/>
              </w:rPr>
              <w:t>598</w:t>
            </w:r>
          </w:p>
        </w:tc>
        <w:tc>
          <w:tcPr>
            <w:tcW w:w="14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80D51" w14:textId="6C3B1337" w:rsidR="00811940" w:rsidRPr="00DC7306" w:rsidRDefault="00811940" w:rsidP="00811940">
            <w:pPr>
              <w:jc w:val="center"/>
              <w:rPr>
                <w:sz w:val="20"/>
                <w:szCs w:val="20"/>
              </w:rPr>
            </w:pPr>
          </w:p>
        </w:tc>
      </w:tr>
      <w:tr w:rsidR="00811940" w:rsidRPr="00E80EE2" w14:paraId="3AD9A368" w14:textId="77777777" w:rsidTr="00637AE3">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25438" w14:textId="77777777" w:rsidR="00811940" w:rsidRPr="00C73FF0" w:rsidRDefault="00811940" w:rsidP="00811940">
            <w:pPr>
              <w:ind w:left="368"/>
              <w:rPr>
                <w:sz w:val="20"/>
                <w:szCs w:val="20"/>
              </w:rPr>
            </w:pPr>
            <w:r w:rsidRPr="00C73FF0">
              <w:rPr>
                <w:sz w:val="20"/>
                <w:szCs w:val="20"/>
              </w:rPr>
              <w:t>Total # of Awards</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85BDFC" w14:textId="6B34C13E" w:rsidR="00811940" w:rsidRPr="00C73FF0" w:rsidRDefault="00811940" w:rsidP="00811940">
            <w:pPr>
              <w:jc w:val="center"/>
              <w:rPr>
                <w:sz w:val="20"/>
                <w:szCs w:val="20"/>
              </w:rPr>
            </w:pPr>
            <w:r w:rsidRPr="00CF215F">
              <w:rPr>
                <w:color w:val="000000"/>
                <w:sz w:val="20"/>
                <w:szCs w:val="20"/>
              </w:rPr>
              <w:t>378</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65DFD" w14:textId="61E65DD5" w:rsidR="00811940" w:rsidRPr="00C73FF0" w:rsidRDefault="00811940" w:rsidP="00811940">
            <w:pPr>
              <w:jc w:val="center"/>
              <w:rPr>
                <w:sz w:val="20"/>
                <w:szCs w:val="20"/>
              </w:rPr>
            </w:pPr>
            <w:r w:rsidRPr="00D145C1">
              <w:rPr>
                <w:sz w:val="20"/>
                <w:szCs w:val="20"/>
              </w:rPr>
              <w:t>411</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08CE6" w14:textId="5DAAAD63" w:rsidR="00811940" w:rsidRPr="00CF215F" w:rsidRDefault="00811940" w:rsidP="00811940">
            <w:pPr>
              <w:jc w:val="center"/>
              <w:rPr>
                <w:sz w:val="20"/>
                <w:szCs w:val="20"/>
              </w:rPr>
            </w:pPr>
            <w:r w:rsidRPr="00DC7306">
              <w:rPr>
                <w:color w:val="000000"/>
                <w:sz w:val="20"/>
                <w:szCs w:val="20"/>
              </w:rPr>
              <w:t>425</w:t>
            </w:r>
          </w:p>
        </w:tc>
        <w:tc>
          <w:tcPr>
            <w:tcW w:w="14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A3329" w14:textId="59052589" w:rsidR="00811940" w:rsidRPr="00DC7306" w:rsidRDefault="00811940" w:rsidP="00811940">
            <w:pPr>
              <w:jc w:val="center"/>
              <w:rPr>
                <w:sz w:val="20"/>
                <w:szCs w:val="20"/>
              </w:rPr>
            </w:pPr>
          </w:p>
        </w:tc>
      </w:tr>
      <w:tr w:rsidR="00811940" w:rsidRPr="00E80EE2" w14:paraId="1EE557AE" w14:textId="77777777" w:rsidTr="00637AE3">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E9BD5" w14:textId="77777777" w:rsidR="00811940" w:rsidRPr="00C73FF0" w:rsidRDefault="00811940" w:rsidP="00811940">
            <w:pPr>
              <w:ind w:left="368"/>
              <w:rPr>
                <w:sz w:val="20"/>
                <w:szCs w:val="20"/>
              </w:rPr>
            </w:pPr>
            <w:r w:rsidRPr="00C73FF0">
              <w:rPr>
                <w:sz w:val="20"/>
                <w:szCs w:val="20"/>
              </w:rPr>
              <w:t>Total Sponsored Projects Funding</w:t>
            </w:r>
            <w:r>
              <w:rPr>
                <w:sz w:val="20"/>
                <w:szCs w:val="20"/>
              </w:rPr>
              <w:t xml:space="preserve"> (dollars awarded)</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8D060F" w14:textId="77CA9637" w:rsidR="00811940" w:rsidRPr="00C73FF0" w:rsidRDefault="00811940" w:rsidP="00811940">
            <w:pPr>
              <w:jc w:val="center"/>
              <w:rPr>
                <w:color w:val="000000"/>
                <w:sz w:val="20"/>
                <w:szCs w:val="20"/>
              </w:rPr>
            </w:pPr>
            <w:r w:rsidRPr="00CF215F">
              <w:rPr>
                <w:color w:val="000000"/>
                <w:sz w:val="20"/>
                <w:szCs w:val="20"/>
              </w:rPr>
              <w:t>$5</w:t>
            </w:r>
            <w:r>
              <w:rPr>
                <w:color w:val="000000"/>
                <w:sz w:val="20"/>
                <w:szCs w:val="20"/>
              </w:rPr>
              <w:t>3.5M</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E3274" w14:textId="31F1A15C" w:rsidR="00811940" w:rsidRPr="00C73FF0" w:rsidRDefault="00811940" w:rsidP="00811940">
            <w:pPr>
              <w:jc w:val="center"/>
              <w:rPr>
                <w:color w:val="000000"/>
                <w:sz w:val="20"/>
                <w:szCs w:val="20"/>
              </w:rPr>
            </w:pPr>
            <w:r w:rsidRPr="00D145C1">
              <w:rPr>
                <w:color w:val="000000"/>
                <w:sz w:val="20"/>
                <w:szCs w:val="20"/>
              </w:rPr>
              <w:t>$58</w:t>
            </w:r>
            <w:r>
              <w:rPr>
                <w:color w:val="000000"/>
                <w:sz w:val="20"/>
                <w:szCs w:val="20"/>
              </w:rPr>
              <w:t>.2M</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29782" w14:textId="1DC8171F" w:rsidR="00811940" w:rsidRPr="00CF215F" w:rsidRDefault="00811940" w:rsidP="00811940">
            <w:pPr>
              <w:jc w:val="center"/>
              <w:rPr>
                <w:color w:val="000000"/>
                <w:sz w:val="20"/>
                <w:szCs w:val="20"/>
              </w:rPr>
            </w:pPr>
            <w:r>
              <w:rPr>
                <w:color w:val="000000"/>
                <w:sz w:val="20"/>
                <w:szCs w:val="20"/>
              </w:rPr>
              <w:t>$65.3M</w:t>
            </w:r>
          </w:p>
        </w:tc>
        <w:tc>
          <w:tcPr>
            <w:tcW w:w="14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B2A5F" w14:textId="548243DD" w:rsidR="00811940" w:rsidRPr="00D145C1" w:rsidRDefault="00811940" w:rsidP="00811940">
            <w:pPr>
              <w:jc w:val="center"/>
              <w:rPr>
                <w:color w:val="000000"/>
                <w:sz w:val="20"/>
                <w:szCs w:val="20"/>
              </w:rPr>
            </w:pPr>
          </w:p>
        </w:tc>
      </w:tr>
      <w:tr w:rsidR="00811940" w:rsidRPr="00E80EE2" w14:paraId="530907A5" w14:textId="77777777" w:rsidTr="00757DE9">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16788" w14:textId="0B8F1919" w:rsidR="00811940" w:rsidRPr="00C73FF0" w:rsidRDefault="00811940" w:rsidP="00811940">
            <w:pPr>
              <w:ind w:left="368"/>
              <w:rPr>
                <w:sz w:val="20"/>
                <w:szCs w:val="20"/>
              </w:rPr>
            </w:pPr>
            <w:r>
              <w:rPr>
                <w:sz w:val="20"/>
                <w:szCs w:val="20"/>
              </w:rPr>
              <w:t xml:space="preserve">Total Sponsored Project </w:t>
            </w:r>
            <w:r w:rsidRPr="00C73FF0">
              <w:rPr>
                <w:sz w:val="20"/>
                <w:szCs w:val="20"/>
              </w:rPr>
              <w:t>Expenditures</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CDA486" w14:textId="202BCBCB" w:rsidR="00811940" w:rsidRPr="00C73FF0" w:rsidRDefault="00811940" w:rsidP="00811940">
            <w:pPr>
              <w:jc w:val="center"/>
              <w:rPr>
                <w:color w:val="000000"/>
                <w:sz w:val="20"/>
                <w:szCs w:val="20"/>
              </w:rPr>
            </w:pPr>
            <w:r w:rsidRPr="00CF215F">
              <w:rPr>
                <w:color w:val="000000"/>
                <w:sz w:val="20"/>
                <w:szCs w:val="20"/>
              </w:rPr>
              <w:t>$44.7M</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D7389" w14:textId="4B35E1D1" w:rsidR="00811940" w:rsidRPr="00C73FF0" w:rsidRDefault="00811940" w:rsidP="00811940">
            <w:pPr>
              <w:jc w:val="center"/>
              <w:rPr>
                <w:color w:val="000000"/>
                <w:sz w:val="20"/>
                <w:szCs w:val="20"/>
              </w:rPr>
            </w:pPr>
            <w:r w:rsidRPr="00D145C1">
              <w:rPr>
                <w:color w:val="000000"/>
                <w:sz w:val="20"/>
                <w:szCs w:val="20"/>
              </w:rPr>
              <w:t>$47.9M</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613DB" w14:textId="6D24FC2B" w:rsidR="00811940" w:rsidRPr="00CF215F" w:rsidRDefault="00811940" w:rsidP="00811940">
            <w:pPr>
              <w:jc w:val="center"/>
              <w:rPr>
                <w:color w:val="000000"/>
                <w:sz w:val="20"/>
                <w:szCs w:val="20"/>
              </w:rPr>
            </w:pPr>
            <w:r>
              <w:rPr>
                <w:color w:val="000000"/>
                <w:sz w:val="20"/>
                <w:szCs w:val="20"/>
              </w:rPr>
              <w:t>$55.7M</w:t>
            </w:r>
          </w:p>
        </w:tc>
        <w:tc>
          <w:tcPr>
            <w:tcW w:w="14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7E2B" w14:textId="4B745075" w:rsidR="00811940" w:rsidRPr="00D145C1" w:rsidRDefault="00811940" w:rsidP="00811940">
            <w:pPr>
              <w:jc w:val="center"/>
              <w:rPr>
                <w:color w:val="000000"/>
                <w:sz w:val="20"/>
                <w:szCs w:val="20"/>
              </w:rPr>
            </w:pPr>
          </w:p>
        </w:tc>
      </w:tr>
      <w:tr w:rsidR="00811940" w:rsidRPr="00E80EE2" w14:paraId="44954889" w14:textId="77777777" w:rsidTr="00757DE9">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71E7C" w14:textId="44CCDFB9" w:rsidR="00811940" w:rsidRPr="00C73FF0" w:rsidRDefault="00811940" w:rsidP="00811940">
            <w:pPr>
              <w:ind w:left="368"/>
              <w:rPr>
                <w:sz w:val="20"/>
                <w:szCs w:val="20"/>
              </w:rPr>
            </w:pPr>
            <w:r w:rsidRPr="00C73FF0">
              <w:rPr>
                <w:sz w:val="20"/>
                <w:szCs w:val="20"/>
              </w:rPr>
              <w:lastRenderedPageBreak/>
              <w:t xml:space="preserve">% </w:t>
            </w:r>
            <w:proofErr w:type="gramStart"/>
            <w:r w:rsidRPr="00C73FF0">
              <w:rPr>
                <w:sz w:val="20"/>
                <w:szCs w:val="20"/>
              </w:rPr>
              <w:t>of</w:t>
            </w:r>
            <w:proofErr w:type="gramEnd"/>
            <w:r w:rsidRPr="00C73FF0">
              <w:rPr>
                <w:sz w:val="20"/>
                <w:szCs w:val="20"/>
              </w:rPr>
              <w:t xml:space="preserve"> research grant awards that have PIs and Co-PIs in two or more academic departments (i.e.</w:t>
            </w:r>
            <w:r>
              <w:rPr>
                <w:sz w:val="20"/>
                <w:szCs w:val="20"/>
              </w:rPr>
              <w:t>,</w:t>
            </w:r>
            <w:r w:rsidRPr="00C73FF0">
              <w:rPr>
                <w:sz w:val="20"/>
                <w:szCs w:val="20"/>
              </w:rPr>
              <w:t xml:space="preserve"> interdisciplinary)</w:t>
            </w:r>
            <w:r w:rsidRPr="00C73FF0">
              <w:rPr>
                <w:rStyle w:val="EndnoteReference"/>
                <w:color w:val="000000"/>
                <w:sz w:val="20"/>
                <w:szCs w:val="20"/>
              </w:rPr>
              <w:t xml:space="preserve"> </w:t>
            </w:r>
            <w:r w:rsidRPr="00C73FF0">
              <w:rPr>
                <w:rStyle w:val="EndnoteReference"/>
                <w:color w:val="000000"/>
                <w:sz w:val="20"/>
                <w:szCs w:val="20"/>
              </w:rPr>
              <w:endnoteReference w:id="8"/>
            </w:r>
          </w:p>
        </w:tc>
        <w:tc>
          <w:tcPr>
            <w:tcW w:w="1349" w:type="dxa"/>
            <w:tcBorders>
              <w:top w:val="single" w:sz="4" w:space="0" w:color="auto"/>
              <w:left w:val="single" w:sz="4" w:space="0" w:color="auto"/>
              <w:bottom w:val="single" w:sz="4" w:space="0" w:color="auto"/>
              <w:right w:val="single" w:sz="4" w:space="0" w:color="auto"/>
            </w:tcBorders>
            <w:noWrap/>
            <w:vAlign w:val="center"/>
          </w:tcPr>
          <w:p w14:paraId="20D930D9" w14:textId="77048B82" w:rsidR="00811940" w:rsidRPr="00C73FF0" w:rsidRDefault="00811940" w:rsidP="00811940">
            <w:pPr>
              <w:jc w:val="center"/>
              <w:rPr>
                <w:color w:val="000000"/>
                <w:sz w:val="20"/>
                <w:szCs w:val="20"/>
              </w:rPr>
            </w:pPr>
            <w:r>
              <w:rPr>
                <w:color w:val="000000"/>
                <w:sz w:val="20"/>
                <w:szCs w:val="20"/>
              </w:rPr>
              <w:t>17.9%</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4733B858" w14:textId="0468F99C" w:rsidR="00811940" w:rsidRPr="00C73FF0" w:rsidRDefault="00811940" w:rsidP="00811940">
            <w:pPr>
              <w:jc w:val="center"/>
              <w:rPr>
                <w:color w:val="000000"/>
                <w:sz w:val="20"/>
                <w:szCs w:val="20"/>
              </w:rPr>
            </w:pPr>
            <w:r w:rsidRPr="00757DE9">
              <w:rPr>
                <w:color w:val="000000"/>
                <w:sz w:val="20"/>
                <w:szCs w:val="20"/>
              </w:rPr>
              <w:t>22.6%</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2633D4B2" w14:textId="4A3C810E" w:rsidR="00811940" w:rsidRPr="00C73FF0" w:rsidRDefault="00811940" w:rsidP="00811940">
            <w:pPr>
              <w:jc w:val="center"/>
              <w:rPr>
                <w:color w:val="000000"/>
                <w:sz w:val="20"/>
                <w:szCs w:val="20"/>
              </w:rPr>
            </w:pPr>
            <w:r w:rsidRPr="00D22720">
              <w:rPr>
                <w:color w:val="000000"/>
                <w:sz w:val="20"/>
                <w:szCs w:val="20"/>
              </w:rPr>
              <w:t>16.9%</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2D738A81" w14:textId="310DF77A" w:rsidR="00811940" w:rsidRPr="007559E6" w:rsidRDefault="00811940" w:rsidP="00811940">
            <w:pPr>
              <w:jc w:val="center"/>
              <w:rPr>
                <w:sz w:val="16"/>
                <w:szCs w:val="16"/>
              </w:rPr>
            </w:pPr>
          </w:p>
        </w:tc>
      </w:tr>
    </w:tbl>
    <w:p w14:paraId="798EFF20" w14:textId="39F14658" w:rsidR="00C73FF0" w:rsidRDefault="00C73FF0"/>
    <w:p w14:paraId="5F9CB849" w14:textId="622D513F" w:rsidR="00F26D4A" w:rsidRDefault="00004539" w:rsidP="0062679A">
      <w:pPr>
        <w:rPr>
          <w:b/>
          <w:szCs w:val="20"/>
        </w:rPr>
      </w:pPr>
      <w:r>
        <w:rPr>
          <w:b/>
          <w:bCs/>
        </w:rPr>
        <w:t>FY 20</w:t>
      </w:r>
      <w:r w:rsidR="00B85F45">
        <w:rPr>
          <w:b/>
          <w:bCs/>
        </w:rPr>
        <w:t>2</w:t>
      </w:r>
      <w:r w:rsidR="0011341C">
        <w:rPr>
          <w:b/>
          <w:bCs/>
        </w:rPr>
        <w:t>1</w:t>
      </w:r>
      <w:r>
        <w:rPr>
          <w:b/>
          <w:bCs/>
        </w:rPr>
        <w:t xml:space="preserve"> Performance Highlights</w:t>
      </w:r>
    </w:p>
    <w:p w14:paraId="7D668021" w14:textId="1CDB16C8" w:rsidR="003346AD" w:rsidRPr="00C73FF0" w:rsidRDefault="003346AD" w:rsidP="00153ACC">
      <w:pPr>
        <w:pStyle w:val="ListParagraph"/>
        <w:numPr>
          <w:ilvl w:val="0"/>
          <w:numId w:val="25"/>
        </w:numPr>
        <w:contextualSpacing w:val="0"/>
        <w:jc w:val="both"/>
        <w:rPr>
          <w:sz w:val="20"/>
          <w:szCs w:val="20"/>
        </w:rPr>
      </w:pPr>
      <w:r w:rsidRPr="00C73FF0">
        <w:rPr>
          <w:sz w:val="20"/>
          <w:szCs w:val="20"/>
        </w:rPr>
        <w:t xml:space="preserve">Boise State University continues to be highly successful in </w:t>
      </w:r>
      <w:r w:rsidR="006A5548">
        <w:rPr>
          <w:sz w:val="20"/>
          <w:szCs w:val="20"/>
        </w:rPr>
        <w:t xml:space="preserve">helping students </w:t>
      </w:r>
      <w:r w:rsidRPr="00C73FF0">
        <w:rPr>
          <w:sz w:val="20"/>
          <w:szCs w:val="20"/>
        </w:rPr>
        <w:t>graduate</w:t>
      </w:r>
      <w:r w:rsidR="006A5548">
        <w:rPr>
          <w:sz w:val="20"/>
          <w:szCs w:val="20"/>
        </w:rPr>
        <w:t xml:space="preserve"> and succeed</w:t>
      </w:r>
      <w:r w:rsidRPr="00C73FF0">
        <w:rPr>
          <w:sz w:val="20"/>
          <w:szCs w:val="20"/>
        </w:rPr>
        <w:t xml:space="preserve">, </w:t>
      </w:r>
      <w:r w:rsidR="006A5548">
        <w:rPr>
          <w:sz w:val="20"/>
          <w:szCs w:val="20"/>
        </w:rPr>
        <w:t xml:space="preserve">which </w:t>
      </w:r>
      <w:r w:rsidRPr="00C73FF0">
        <w:rPr>
          <w:sz w:val="20"/>
          <w:szCs w:val="20"/>
        </w:rPr>
        <w:t>contribut</w:t>
      </w:r>
      <w:r w:rsidR="006A5548">
        <w:rPr>
          <w:sz w:val="20"/>
          <w:szCs w:val="20"/>
        </w:rPr>
        <w:t>es</w:t>
      </w:r>
      <w:r w:rsidRPr="00C73FF0">
        <w:rPr>
          <w:sz w:val="20"/>
          <w:szCs w:val="20"/>
        </w:rPr>
        <w:t xml:space="preserve"> to the educational attainment rate of Idahoans.  In FY</w:t>
      </w:r>
      <w:r w:rsidR="00D10EE2">
        <w:rPr>
          <w:sz w:val="20"/>
          <w:szCs w:val="20"/>
        </w:rPr>
        <w:t>21</w:t>
      </w:r>
      <w:r w:rsidRPr="00C73FF0">
        <w:rPr>
          <w:sz w:val="20"/>
          <w:szCs w:val="20"/>
        </w:rPr>
        <w:t>, a record-high 3,</w:t>
      </w:r>
      <w:r w:rsidR="00D10EE2">
        <w:rPr>
          <w:sz w:val="20"/>
          <w:szCs w:val="20"/>
        </w:rPr>
        <w:t>749</w:t>
      </w:r>
      <w:r>
        <w:rPr>
          <w:sz w:val="20"/>
          <w:szCs w:val="20"/>
        </w:rPr>
        <w:t xml:space="preserve"> </w:t>
      </w:r>
      <w:r w:rsidRPr="00C73FF0">
        <w:rPr>
          <w:sz w:val="20"/>
          <w:szCs w:val="20"/>
        </w:rPr>
        <w:t>students graduated from Boise State with b</w:t>
      </w:r>
      <w:r>
        <w:rPr>
          <w:sz w:val="20"/>
          <w:szCs w:val="20"/>
        </w:rPr>
        <w:t>accalaureate degrees</w:t>
      </w:r>
      <w:r w:rsidR="006A5548">
        <w:rPr>
          <w:sz w:val="20"/>
          <w:szCs w:val="20"/>
        </w:rPr>
        <w:t>,</w:t>
      </w:r>
      <w:r w:rsidR="00F57B84">
        <w:rPr>
          <w:sz w:val="20"/>
          <w:szCs w:val="20"/>
        </w:rPr>
        <w:t xml:space="preserve"> </w:t>
      </w:r>
      <w:r>
        <w:rPr>
          <w:sz w:val="20"/>
          <w:szCs w:val="20"/>
        </w:rPr>
        <w:t>once again exceed</w:t>
      </w:r>
      <w:r w:rsidR="00F57B84">
        <w:rPr>
          <w:sz w:val="20"/>
          <w:szCs w:val="20"/>
        </w:rPr>
        <w:t>ing</w:t>
      </w:r>
      <w:r w:rsidR="00FA0D50">
        <w:rPr>
          <w:sz w:val="20"/>
          <w:szCs w:val="20"/>
        </w:rPr>
        <w:t xml:space="preserve"> the target set in </w:t>
      </w:r>
      <w:r w:rsidR="00FA0D50" w:rsidRPr="00FA0D50">
        <w:rPr>
          <w:sz w:val="20"/>
          <w:szCs w:val="20"/>
        </w:rPr>
        <w:t>Boise State University</w:t>
      </w:r>
      <w:r w:rsidR="00FA0D50">
        <w:rPr>
          <w:sz w:val="20"/>
          <w:szCs w:val="20"/>
        </w:rPr>
        <w:t xml:space="preserve">’s strategic plan. </w:t>
      </w:r>
    </w:p>
    <w:p w14:paraId="0E41F342" w14:textId="3D2DD151" w:rsidR="00345057" w:rsidRDefault="00345057" w:rsidP="00345057">
      <w:pPr>
        <w:pStyle w:val="ListParagraph"/>
        <w:numPr>
          <w:ilvl w:val="0"/>
          <w:numId w:val="25"/>
        </w:numPr>
        <w:contextualSpacing w:val="0"/>
        <w:jc w:val="both"/>
        <w:rPr>
          <w:sz w:val="20"/>
          <w:szCs w:val="20"/>
        </w:rPr>
      </w:pPr>
      <w:bookmarkStart w:id="2" w:name="_Hlk78468041"/>
      <w:r>
        <w:rPr>
          <w:sz w:val="20"/>
          <w:szCs w:val="20"/>
        </w:rPr>
        <w:t xml:space="preserve">Boise State not only impacts Idaho’s college completion rate, for five consecutive years, we have seen increases in the numbers of graduates who are from specific underrepresented minority groups </w:t>
      </w:r>
      <w:r w:rsidRPr="00F911C0">
        <w:rPr>
          <w:sz w:val="20"/>
          <w:szCs w:val="20"/>
        </w:rPr>
        <w:t>with 505</w:t>
      </w:r>
      <w:r>
        <w:rPr>
          <w:sz w:val="20"/>
          <w:szCs w:val="20"/>
        </w:rPr>
        <w:t xml:space="preserve"> baccalaureate degree graduates in 2020-21. Additionally, Boise State graduated a new of high of </w:t>
      </w:r>
      <w:r w:rsidRPr="00F911C0">
        <w:rPr>
          <w:sz w:val="20"/>
          <w:szCs w:val="20"/>
        </w:rPr>
        <w:t>525</w:t>
      </w:r>
      <w:r>
        <w:rPr>
          <w:sz w:val="20"/>
          <w:szCs w:val="20"/>
        </w:rPr>
        <w:t xml:space="preserve"> students who were from rural counties in Idaho.  The latter students are a special focus of the newly launched Community Impact Programs.</w:t>
      </w:r>
    </w:p>
    <w:bookmarkEnd w:id="2"/>
    <w:p w14:paraId="50C381C9" w14:textId="53CA29F3" w:rsidR="003346AD" w:rsidRDefault="003346AD" w:rsidP="00153ACC">
      <w:pPr>
        <w:pStyle w:val="ListParagraph"/>
        <w:numPr>
          <w:ilvl w:val="0"/>
          <w:numId w:val="25"/>
        </w:numPr>
        <w:contextualSpacing w:val="0"/>
        <w:jc w:val="both"/>
        <w:rPr>
          <w:sz w:val="20"/>
          <w:szCs w:val="20"/>
        </w:rPr>
      </w:pPr>
      <w:r>
        <w:rPr>
          <w:sz w:val="20"/>
          <w:szCs w:val="20"/>
        </w:rPr>
        <w:t>The n</w:t>
      </w:r>
      <w:r w:rsidR="00FA0D50">
        <w:rPr>
          <w:sz w:val="20"/>
          <w:szCs w:val="20"/>
        </w:rPr>
        <w:t>umber</w:t>
      </w:r>
      <w:r w:rsidRPr="00C73FF0">
        <w:rPr>
          <w:sz w:val="20"/>
          <w:szCs w:val="20"/>
        </w:rPr>
        <w:t xml:space="preserve"> </w:t>
      </w:r>
      <w:r w:rsidR="00D17E1C">
        <w:rPr>
          <w:sz w:val="20"/>
          <w:szCs w:val="20"/>
        </w:rPr>
        <w:t xml:space="preserve">of doctoral </w:t>
      </w:r>
      <w:r w:rsidRPr="00C73FF0">
        <w:rPr>
          <w:sz w:val="20"/>
          <w:szCs w:val="20"/>
        </w:rPr>
        <w:t xml:space="preserve">degree graduates </w:t>
      </w:r>
      <w:r w:rsidR="00880656">
        <w:rPr>
          <w:sz w:val="20"/>
          <w:szCs w:val="20"/>
        </w:rPr>
        <w:t>was 50</w:t>
      </w:r>
      <w:r w:rsidR="00FA0D50">
        <w:rPr>
          <w:sz w:val="20"/>
          <w:szCs w:val="20"/>
        </w:rPr>
        <w:t xml:space="preserve"> in FY21</w:t>
      </w:r>
      <w:r w:rsidR="00345057">
        <w:rPr>
          <w:sz w:val="20"/>
          <w:szCs w:val="20"/>
        </w:rPr>
        <w:t>,</w:t>
      </w:r>
      <w:r w:rsidR="00FA0D50">
        <w:rPr>
          <w:sz w:val="20"/>
          <w:szCs w:val="20"/>
        </w:rPr>
        <w:t xml:space="preserve"> growing by 50% since FY18</w:t>
      </w:r>
      <w:r w:rsidR="00546A34">
        <w:rPr>
          <w:sz w:val="20"/>
          <w:szCs w:val="20"/>
        </w:rPr>
        <w:t>.</w:t>
      </w:r>
      <w:r w:rsidR="00DC1D40">
        <w:rPr>
          <w:sz w:val="20"/>
          <w:szCs w:val="20"/>
        </w:rPr>
        <w:t xml:space="preserve">  This growth significantly contributes to our impact in t</w:t>
      </w:r>
      <w:r w:rsidR="00345057">
        <w:rPr>
          <w:sz w:val="20"/>
          <w:szCs w:val="20"/>
        </w:rPr>
        <w:t>he state and region, driving Idaho’s</w:t>
      </w:r>
      <w:r w:rsidR="00DC1D40">
        <w:rPr>
          <w:sz w:val="20"/>
          <w:szCs w:val="20"/>
        </w:rPr>
        <w:t xml:space="preserve"> </w:t>
      </w:r>
      <w:r w:rsidR="00345057">
        <w:rPr>
          <w:sz w:val="20"/>
          <w:szCs w:val="20"/>
        </w:rPr>
        <w:t xml:space="preserve">clean </w:t>
      </w:r>
      <w:r w:rsidR="00DC1D40">
        <w:rPr>
          <w:sz w:val="20"/>
          <w:szCs w:val="20"/>
        </w:rPr>
        <w:t xml:space="preserve">knowledge economy.  </w:t>
      </w:r>
    </w:p>
    <w:p w14:paraId="126255F5" w14:textId="2C7BCAB5" w:rsidR="00880656" w:rsidRPr="00880656" w:rsidRDefault="00880656" w:rsidP="00880656">
      <w:pPr>
        <w:pStyle w:val="ListParagraph"/>
        <w:numPr>
          <w:ilvl w:val="0"/>
          <w:numId w:val="25"/>
        </w:numPr>
        <w:jc w:val="both"/>
        <w:rPr>
          <w:sz w:val="20"/>
          <w:szCs w:val="20"/>
        </w:rPr>
      </w:pPr>
      <w:r w:rsidRPr="00880656">
        <w:rPr>
          <w:sz w:val="20"/>
          <w:szCs w:val="20"/>
        </w:rPr>
        <w:t>The retention rate for first year students largely maintained its positive trajectory after a substantial increase over the last decade. However, it was slightly lower for t</w:t>
      </w:r>
      <w:r w:rsidR="00345057">
        <w:rPr>
          <w:sz w:val="20"/>
          <w:szCs w:val="20"/>
        </w:rPr>
        <w:t>he Fall 2020 cohort, as a result of</w:t>
      </w:r>
      <w:r w:rsidRPr="00880656">
        <w:rPr>
          <w:sz w:val="20"/>
          <w:szCs w:val="20"/>
        </w:rPr>
        <w:t xml:space="preserve"> the pandemic. Between the Fall 2013 cohort and the Fall 2016 cohort, the retention rate increased by five percentage points and Boise State attained and maintained at least 79.5% retention for first-time, full-time freshmen in the Fall 2016, Fall 2017 and Fall 2018 cohorts. The retention rate in Fall 2020 cohort was 74.6%.</w:t>
      </w:r>
    </w:p>
    <w:p w14:paraId="108B1621" w14:textId="40C69C8F" w:rsidR="00345057" w:rsidRPr="00345057" w:rsidRDefault="00345057" w:rsidP="00345057">
      <w:pPr>
        <w:pStyle w:val="ListParagraph"/>
        <w:numPr>
          <w:ilvl w:val="0"/>
          <w:numId w:val="25"/>
        </w:numPr>
        <w:contextualSpacing w:val="0"/>
        <w:jc w:val="both"/>
        <w:rPr>
          <w:sz w:val="20"/>
          <w:szCs w:val="20"/>
        </w:rPr>
      </w:pPr>
      <w:r>
        <w:rPr>
          <w:sz w:val="20"/>
          <w:szCs w:val="20"/>
        </w:rPr>
        <w:t>The</w:t>
      </w:r>
      <w:r w:rsidRPr="00C73FF0">
        <w:rPr>
          <w:sz w:val="20"/>
          <w:szCs w:val="20"/>
        </w:rPr>
        <w:t xml:space="preserve"> six-year graduation rate has</w:t>
      </w:r>
      <w:r>
        <w:rPr>
          <w:sz w:val="20"/>
          <w:szCs w:val="20"/>
        </w:rPr>
        <w:t xml:space="preserve"> continued to</w:t>
      </w:r>
      <w:r w:rsidRPr="00C73FF0">
        <w:rPr>
          <w:sz w:val="20"/>
          <w:szCs w:val="20"/>
        </w:rPr>
        <w:t xml:space="preserve"> </w:t>
      </w:r>
      <w:r>
        <w:rPr>
          <w:sz w:val="20"/>
          <w:szCs w:val="20"/>
        </w:rPr>
        <w:t>increase with Boise State exceeding a 50% graduation rate for the Fall 2013</w:t>
      </w:r>
      <w:r w:rsidRPr="00C73FF0">
        <w:rPr>
          <w:sz w:val="20"/>
          <w:szCs w:val="20"/>
        </w:rPr>
        <w:t xml:space="preserve"> cohort of f</w:t>
      </w:r>
      <w:r>
        <w:rPr>
          <w:sz w:val="20"/>
          <w:szCs w:val="20"/>
        </w:rPr>
        <w:t xml:space="preserve">irst-time, full-time (FTFT) freshmen. We anticipate the six-year graduation rate to be approximately 52.5% for the Fall 2015 FTFT cohort. The graduation rate of Idaho-resident, Pell-eligible students is expected to be nearly 40% for the Fall 2015 cohort. Although these preliminary numbers have been impacted by the pandemic and are slightly lower than the historic graduation rates achieved with Fall 2014 cohorts, the positive momentum and trajectory of </w:t>
      </w:r>
      <w:r w:rsidRPr="00C73FF0">
        <w:rPr>
          <w:sz w:val="20"/>
          <w:szCs w:val="20"/>
        </w:rPr>
        <w:t>increase</w:t>
      </w:r>
      <w:r>
        <w:rPr>
          <w:sz w:val="20"/>
          <w:szCs w:val="20"/>
        </w:rPr>
        <w:t>s in graduation rates demonstrate</w:t>
      </w:r>
      <w:r w:rsidRPr="00C73FF0">
        <w:rPr>
          <w:sz w:val="20"/>
          <w:szCs w:val="20"/>
        </w:rPr>
        <w:t xml:space="preserve"> Boise State’s fundamental transformation of support for student success</w:t>
      </w:r>
      <w:r>
        <w:rPr>
          <w:sz w:val="20"/>
          <w:szCs w:val="20"/>
        </w:rPr>
        <w:t>.  This has been achieved</w:t>
      </w:r>
      <w:r w:rsidRPr="00C73FF0">
        <w:rPr>
          <w:sz w:val="20"/>
          <w:szCs w:val="20"/>
        </w:rPr>
        <w:t xml:space="preserve"> </w:t>
      </w:r>
      <w:r>
        <w:rPr>
          <w:sz w:val="20"/>
          <w:szCs w:val="20"/>
        </w:rPr>
        <w:t xml:space="preserve">through significant innovation, including a wholescale revision </w:t>
      </w:r>
      <w:r w:rsidRPr="00C73FF0">
        <w:rPr>
          <w:sz w:val="20"/>
          <w:szCs w:val="20"/>
        </w:rPr>
        <w:t>of remedial education, use of learning assistants, changes to advising, and use of analytics to enable early intervention for at-risk students.</w:t>
      </w:r>
    </w:p>
    <w:p w14:paraId="6E12125C" w14:textId="1A6DE52B" w:rsidR="003346AD" w:rsidRPr="00C73FF0" w:rsidRDefault="003346AD" w:rsidP="00153ACC">
      <w:pPr>
        <w:pStyle w:val="ListParagraph"/>
        <w:numPr>
          <w:ilvl w:val="0"/>
          <w:numId w:val="25"/>
        </w:numPr>
        <w:contextualSpacing w:val="0"/>
        <w:jc w:val="both"/>
        <w:rPr>
          <w:sz w:val="20"/>
          <w:szCs w:val="20"/>
        </w:rPr>
      </w:pPr>
      <w:r w:rsidRPr="00C73FF0">
        <w:rPr>
          <w:sz w:val="20"/>
          <w:szCs w:val="20"/>
        </w:rPr>
        <w:t xml:space="preserve">Dual Enrollment </w:t>
      </w:r>
      <w:r w:rsidR="00BE44E2">
        <w:rPr>
          <w:sz w:val="20"/>
          <w:szCs w:val="20"/>
        </w:rPr>
        <w:t xml:space="preserve">and Distance Education were </w:t>
      </w:r>
      <w:r w:rsidR="0089665B">
        <w:rPr>
          <w:sz w:val="20"/>
          <w:szCs w:val="20"/>
        </w:rPr>
        <w:t>significantly</w:t>
      </w:r>
      <w:r w:rsidR="00BE44E2">
        <w:rPr>
          <w:sz w:val="20"/>
          <w:szCs w:val="20"/>
        </w:rPr>
        <w:t xml:space="preserve"> impacted by the global pandemic. The number of students participating in dual enrollment decreased to 6,318, which was </w:t>
      </w:r>
      <w:proofErr w:type="gramStart"/>
      <w:r w:rsidR="00BE44E2">
        <w:rPr>
          <w:sz w:val="20"/>
          <w:szCs w:val="20"/>
        </w:rPr>
        <w:t>similar to</w:t>
      </w:r>
      <w:proofErr w:type="gramEnd"/>
      <w:r w:rsidR="00BE44E2">
        <w:rPr>
          <w:sz w:val="20"/>
          <w:szCs w:val="20"/>
        </w:rPr>
        <w:t xml:space="preserve"> FY19 participation. </w:t>
      </w:r>
      <w:r>
        <w:rPr>
          <w:sz w:val="20"/>
          <w:szCs w:val="20"/>
        </w:rPr>
        <w:t>D</w:t>
      </w:r>
      <w:r w:rsidR="00BE44E2">
        <w:rPr>
          <w:sz w:val="20"/>
          <w:szCs w:val="20"/>
        </w:rPr>
        <w:t xml:space="preserve">istance education </w:t>
      </w:r>
      <w:r w:rsidR="0089665B">
        <w:rPr>
          <w:sz w:val="20"/>
          <w:szCs w:val="20"/>
        </w:rPr>
        <w:t>credit hours in FY21 increased by 154% over FY20 with 25,750 students participating in a distance learning course.</w:t>
      </w:r>
    </w:p>
    <w:p w14:paraId="572E8D8A" w14:textId="70D78445" w:rsidR="00195EB8" w:rsidRPr="00153ACC" w:rsidRDefault="00113588" w:rsidP="00153ACC">
      <w:pPr>
        <w:pStyle w:val="ListParagraph"/>
        <w:numPr>
          <w:ilvl w:val="0"/>
          <w:numId w:val="25"/>
        </w:numPr>
        <w:contextualSpacing w:val="0"/>
        <w:jc w:val="both"/>
        <w:rPr>
          <w:szCs w:val="20"/>
        </w:rPr>
      </w:pPr>
      <w:r w:rsidRPr="00113588">
        <w:rPr>
          <w:sz w:val="20"/>
          <w:szCs w:val="20"/>
        </w:rPr>
        <w:t xml:space="preserve">Boise State’s </w:t>
      </w:r>
      <w:r w:rsidR="00955852">
        <w:rPr>
          <w:sz w:val="20"/>
          <w:szCs w:val="20"/>
        </w:rPr>
        <w:t>total sponsored projects fundin</w:t>
      </w:r>
      <w:r w:rsidR="0089665B">
        <w:rPr>
          <w:sz w:val="20"/>
          <w:szCs w:val="20"/>
        </w:rPr>
        <w:t>g (dollars awarded) exceeded $65M for FY21</w:t>
      </w:r>
      <w:r w:rsidR="00DC1D40">
        <w:rPr>
          <w:sz w:val="20"/>
          <w:szCs w:val="20"/>
        </w:rPr>
        <w:t>, which brings new revenue and new opportunities to the state and supports our state’s economic engine</w:t>
      </w:r>
      <w:r w:rsidRPr="00113588">
        <w:rPr>
          <w:sz w:val="20"/>
          <w:szCs w:val="20"/>
        </w:rPr>
        <w:t>.</w:t>
      </w:r>
    </w:p>
    <w:p w14:paraId="7B8784F6" w14:textId="77777777" w:rsidR="00153ACC" w:rsidRPr="00153ACC" w:rsidRDefault="00153ACC" w:rsidP="00153ACC">
      <w:pPr>
        <w:jc w:val="both"/>
        <w:rPr>
          <w:szCs w:val="20"/>
        </w:rPr>
      </w:pPr>
    </w:p>
    <w:p w14:paraId="4591307A" w14:textId="1273C502" w:rsidR="0062679A" w:rsidRDefault="0062679A" w:rsidP="00153ACC">
      <w:pPr>
        <w:jc w:val="both"/>
        <w:outlineLvl w:val="0"/>
        <w:rPr>
          <w:b/>
          <w:i/>
          <w:color w:val="000080"/>
          <w:sz w:val="28"/>
          <w:szCs w:val="28"/>
        </w:rPr>
      </w:pPr>
      <w:r w:rsidRPr="004B2482">
        <w:rPr>
          <w:b/>
          <w:i/>
          <w:color w:val="000080"/>
          <w:sz w:val="28"/>
          <w:szCs w:val="28"/>
        </w:rPr>
        <w:t>Part II – Performance Measures</w:t>
      </w:r>
    </w:p>
    <w:p w14:paraId="68951CC7" w14:textId="77777777" w:rsidR="00DA50E7" w:rsidRPr="00DA50E7" w:rsidRDefault="00DA50E7" w:rsidP="00DA50E7"/>
    <w:tbl>
      <w:tblPr>
        <w:tblW w:w="157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240"/>
        <w:gridCol w:w="1295"/>
        <w:gridCol w:w="1175"/>
        <w:gridCol w:w="1084"/>
        <w:gridCol w:w="1084"/>
        <w:gridCol w:w="1084"/>
        <w:gridCol w:w="1084"/>
        <w:gridCol w:w="7192"/>
        <w:gridCol w:w="7192"/>
        <w:gridCol w:w="7192"/>
      </w:tblGrid>
      <w:tr w:rsidR="00FB6852" w:rsidRPr="00A253D9" w14:paraId="06AD349A" w14:textId="77777777" w:rsidTr="00F3264E">
        <w:trPr>
          <w:gridAfter w:val="3"/>
          <w:wAfter w:w="21576" w:type="dxa"/>
          <w:cantSplit/>
          <w:tblHeader/>
        </w:trPr>
        <w:tc>
          <w:tcPr>
            <w:tcW w:w="4535"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3D7C53C1" w14:textId="36ED99ED" w:rsidR="00FB6852" w:rsidRPr="00A253D9" w:rsidRDefault="00FB6852" w:rsidP="00FB6852">
            <w:pPr>
              <w:jc w:val="center"/>
              <w:rPr>
                <w:b/>
                <w:bCs/>
                <w:color w:val="FFFFFF"/>
                <w:sz w:val="20"/>
                <w:szCs w:val="20"/>
              </w:rPr>
            </w:pPr>
            <w:r w:rsidRPr="00A253D9">
              <w:rPr>
                <w:b/>
                <w:bCs/>
                <w:color w:val="FFFFFF"/>
                <w:sz w:val="20"/>
                <w:szCs w:val="20"/>
              </w:rPr>
              <w:t>Productivity Measure</w:t>
            </w:r>
          </w:p>
        </w:tc>
        <w:tc>
          <w:tcPr>
            <w:tcW w:w="1175" w:type="dxa"/>
            <w:tcBorders>
              <w:top w:val="single" w:sz="4" w:space="0" w:color="auto"/>
              <w:left w:val="single" w:sz="4" w:space="0" w:color="auto"/>
              <w:bottom w:val="single" w:sz="4" w:space="0" w:color="auto"/>
              <w:right w:val="single" w:sz="4" w:space="0" w:color="auto"/>
            </w:tcBorders>
            <w:shd w:val="clear" w:color="auto" w:fill="000080"/>
            <w:vAlign w:val="bottom"/>
          </w:tcPr>
          <w:p w14:paraId="65A5E5FB" w14:textId="3C8D9600" w:rsidR="00FB6852" w:rsidRPr="00A253D9" w:rsidRDefault="00704F84" w:rsidP="00FB6852">
            <w:pPr>
              <w:jc w:val="center"/>
              <w:rPr>
                <w:b/>
                <w:bCs/>
                <w:color w:val="FFFFFF"/>
                <w:sz w:val="20"/>
                <w:szCs w:val="20"/>
              </w:rPr>
            </w:pPr>
            <w:r>
              <w:rPr>
                <w:b/>
                <w:bCs/>
                <w:color w:val="FFFFFF"/>
                <w:sz w:val="20"/>
                <w:szCs w:val="20"/>
              </w:rPr>
              <w:t>FY 2019</w:t>
            </w:r>
          </w:p>
        </w:tc>
        <w:tc>
          <w:tcPr>
            <w:tcW w:w="1084" w:type="dxa"/>
            <w:tcBorders>
              <w:top w:val="single" w:sz="4" w:space="0" w:color="auto"/>
              <w:left w:val="single" w:sz="4" w:space="0" w:color="auto"/>
              <w:bottom w:val="single" w:sz="4" w:space="0" w:color="auto"/>
              <w:right w:val="single" w:sz="4" w:space="0" w:color="auto"/>
            </w:tcBorders>
            <w:shd w:val="clear" w:color="auto" w:fill="000080"/>
            <w:vAlign w:val="bottom"/>
          </w:tcPr>
          <w:p w14:paraId="2874CA57" w14:textId="4C69A001" w:rsidR="00FB6852" w:rsidRPr="00A253D9" w:rsidRDefault="00704F84" w:rsidP="00FB6852">
            <w:pPr>
              <w:jc w:val="center"/>
              <w:rPr>
                <w:b/>
                <w:bCs/>
                <w:color w:val="FFFFFF"/>
                <w:sz w:val="20"/>
                <w:szCs w:val="20"/>
              </w:rPr>
            </w:pPr>
            <w:r>
              <w:rPr>
                <w:b/>
                <w:bCs/>
                <w:color w:val="FFFFFF"/>
                <w:sz w:val="20"/>
                <w:szCs w:val="20"/>
              </w:rPr>
              <w:t>FY 2020</w:t>
            </w:r>
          </w:p>
        </w:tc>
        <w:tc>
          <w:tcPr>
            <w:tcW w:w="1084" w:type="dxa"/>
            <w:tcBorders>
              <w:top w:val="single" w:sz="4" w:space="0" w:color="auto"/>
              <w:left w:val="single" w:sz="4" w:space="0" w:color="auto"/>
              <w:bottom w:val="single" w:sz="4" w:space="0" w:color="auto"/>
              <w:right w:val="single" w:sz="4" w:space="0" w:color="auto"/>
            </w:tcBorders>
            <w:shd w:val="clear" w:color="auto" w:fill="000080"/>
            <w:vAlign w:val="bottom"/>
          </w:tcPr>
          <w:p w14:paraId="2383449F" w14:textId="34DCD1FB" w:rsidR="00FB6852" w:rsidRPr="00A253D9" w:rsidRDefault="00704F84" w:rsidP="00FB6852">
            <w:pPr>
              <w:jc w:val="center"/>
              <w:rPr>
                <w:b/>
                <w:bCs/>
                <w:color w:val="FFFFFF"/>
                <w:sz w:val="20"/>
                <w:szCs w:val="20"/>
              </w:rPr>
            </w:pPr>
            <w:r>
              <w:rPr>
                <w:b/>
                <w:bCs/>
                <w:color w:val="FFFFFF"/>
                <w:sz w:val="20"/>
                <w:szCs w:val="20"/>
              </w:rPr>
              <w:t>FY 2021</w:t>
            </w:r>
          </w:p>
        </w:tc>
        <w:tc>
          <w:tcPr>
            <w:tcW w:w="1084" w:type="dxa"/>
            <w:tcBorders>
              <w:top w:val="single" w:sz="4" w:space="0" w:color="auto"/>
              <w:left w:val="single" w:sz="4" w:space="0" w:color="auto"/>
              <w:bottom w:val="single" w:sz="4" w:space="0" w:color="auto"/>
              <w:right w:val="single" w:sz="4" w:space="0" w:color="auto"/>
            </w:tcBorders>
            <w:shd w:val="clear" w:color="auto" w:fill="000080"/>
            <w:vAlign w:val="bottom"/>
          </w:tcPr>
          <w:p w14:paraId="7DEC5981" w14:textId="32CB5150" w:rsidR="00FB6852" w:rsidRPr="00A253D9" w:rsidRDefault="00704F84" w:rsidP="00FB6852">
            <w:pPr>
              <w:jc w:val="center"/>
              <w:rPr>
                <w:b/>
                <w:bCs/>
                <w:color w:val="FFFFFF"/>
                <w:sz w:val="20"/>
                <w:szCs w:val="20"/>
              </w:rPr>
            </w:pPr>
            <w:r>
              <w:rPr>
                <w:b/>
                <w:bCs/>
                <w:color w:val="FFFFFF"/>
                <w:sz w:val="20"/>
                <w:szCs w:val="20"/>
              </w:rPr>
              <w:t>FY 2022</w:t>
            </w:r>
          </w:p>
        </w:tc>
        <w:tc>
          <w:tcPr>
            <w:tcW w:w="1084" w:type="dxa"/>
            <w:tcBorders>
              <w:top w:val="single" w:sz="4" w:space="0" w:color="auto"/>
              <w:left w:val="single" w:sz="4" w:space="0" w:color="auto"/>
              <w:bottom w:val="single" w:sz="4" w:space="0" w:color="auto"/>
              <w:right w:val="single" w:sz="4" w:space="0" w:color="auto"/>
            </w:tcBorders>
            <w:shd w:val="clear" w:color="auto" w:fill="000080"/>
            <w:vAlign w:val="bottom"/>
          </w:tcPr>
          <w:p w14:paraId="6F32B095" w14:textId="52CFF3A9" w:rsidR="00FB6852" w:rsidRPr="00A253D9" w:rsidRDefault="00704F84" w:rsidP="00FB6852">
            <w:pPr>
              <w:jc w:val="center"/>
              <w:rPr>
                <w:b/>
                <w:bCs/>
                <w:color w:val="FFFFFF"/>
                <w:sz w:val="20"/>
                <w:szCs w:val="20"/>
              </w:rPr>
            </w:pPr>
            <w:r>
              <w:rPr>
                <w:b/>
                <w:bCs/>
                <w:color w:val="FFFFFF"/>
                <w:sz w:val="20"/>
                <w:szCs w:val="20"/>
              </w:rPr>
              <w:t>FY 2023</w:t>
            </w:r>
          </w:p>
        </w:tc>
      </w:tr>
      <w:tr w:rsidR="0062679A" w:rsidRPr="00A253D9" w14:paraId="702A244A" w14:textId="77777777" w:rsidTr="00F3264E">
        <w:trPr>
          <w:gridAfter w:val="3"/>
          <w:wAfter w:w="21576" w:type="dxa"/>
          <w:cantSplit/>
          <w:trHeight w:val="404"/>
        </w:trPr>
        <w:tc>
          <w:tcPr>
            <w:tcW w:w="10046" w:type="dxa"/>
            <w:gridSpan w:val="7"/>
            <w:tcBorders>
              <w:top w:val="single" w:sz="4" w:space="0" w:color="auto"/>
              <w:left w:val="single" w:sz="4" w:space="0" w:color="auto"/>
              <w:right w:val="single" w:sz="4" w:space="0" w:color="auto"/>
            </w:tcBorders>
            <w:shd w:val="clear" w:color="auto" w:fill="DBE5F1" w:themeFill="accent1" w:themeFillTint="33"/>
            <w:vAlign w:val="center"/>
          </w:tcPr>
          <w:p w14:paraId="0D937750" w14:textId="77777777" w:rsidR="0062679A" w:rsidRPr="00A253D9" w:rsidRDefault="0062679A" w:rsidP="00C0695C">
            <w:pPr>
              <w:jc w:val="center"/>
              <w:rPr>
                <w:rFonts w:eastAsia="Arial Unicode MS"/>
                <w:b/>
                <w:sz w:val="20"/>
                <w:szCs w:val="20"/>
              </w:rPr>
            </w:pPr>
            <w:r w:rsidRPr="00A253D9">
              <w:rPr>
                <w:rFonts w:eastAsia="Arial Unicode MS"/>
                <w:b/>
                <w:sz w:val="20"/>
                <w:szCs w:val="20"/>
              </w:rPr>
              <w:t>Goal 2</w:t>
            </w:r>
          </w:p>
          <w:p w14:paraId="6D54FAE5" w14:textId="77777777" w:rsidR="0062679A" w:rsidRPr="00A253D9" w:rsidRDefault="0062679A" w:rsidP="00C0695C">
            <w:pPr>
              <w:jc w:val="center"/>
              <w:rPr>
                <w:rFonts w:eastAsia="Arial Unicode MS"/>
                <w:b/>
                <w:sz w:val="20"/>
                <w:szCs w:val="20"/>
              </w:rPr>
            </w:pPr>
            <w:r w:rsidRPr="00A253D9">
              <w:rPr>
                <w:rFonts w:eastAsia="Arial Unicode MS"/>
                <w:b/>
                <w:sz w:val="20"/>
                <w:szCs w:val="20"/>
              </w:rPr>
              <w:t>Facilitate the timely attainment of educational goals of our diverse student population.</w:t>
            </w:r>
          </w:p>
        </w:tc>
      </w:tr>
      <w:tr w:rsidR="0062679A" w:rsidRPr="00A253D9" w14:paraId="3054A5E6" w14:textId="77777777" w:rsidTr="00F3264E">
        <w:trPr>
          <w:gridAfter w:val="3"/>
          <w:wAfter w:w="21576" w:type="dxa"/>
          <w:cantSplit/>
          <w:trHeight w:val="287"/>
        </w:trPr>
        <w:tc>
          <w:tcPr>
            <w:tcW w:w="10046" w:type="dxa"/>
            <w:gridSpan w:val="7"/>
            <w:tcBorders>
              <w:top w:val="single" w:sz="4" w:space="0" w:color="auto"/>
              <w:left w:val="single" w:sz="4" w:space="0" w:color="auto"/>
              <w:right w:val="single" w:sz="4" w:space="0" w:color="auto"/>
            </w:tcBorders>
            <w:vAlign w:val="center"/>
            <w:hideMark/>
          </w:tcPr>
          <w:p w14:paraId="1A43A66F" w14:textId="4D920E38" w:rsidR="0062679A" w:rsidRPr="00A253D9" w:rsidRDefault="0062679A" w:rsidP="00860C41">
            <w:pPr>
              <w:pStyle w:val="ListParagraph"/>
              <w:numPr>
                <w:ilvl w:val="0"/>
                <w:numId w:val="18"/>
              </w:numPr>
              <w:ind w:left="342"/>
              <w:rPr>
                <w:sz w:val="20"/>
                <w:szCs w:val="20"/>
              </w:rPr>
            </w:pPr>
            <w:r w:rsidRPr="00A253D9">
              <w:rPr>
                <w:rFonts w:eastAsia="Arial Unicode MS"/>
                <w:sz w:val="20"/>
                <w:szCs w:val="20"/>
              </w:rPr>
              <w:t xml:space="preserve">Count </w:t>
            </w:r>
            <w:r w:rsidR="00922628" w:rsidRPr="00A253D9">
              <w:rPr>
                <w:rFonts w:eastAsia="Arial Unicode MS"/>
                <w:sz w:val="20"/>
                <w:szCs w:val="20"/>
              </w:rPr>
              <w:t>of Distinct</w:t>
            </w:r>
            <w:r w:rsidRPr="00A253D9">
              <w:rPr>
                <w:rFonts w:eastAsia="Arial Unicode MS"/>
                <w:sz w:val="20"/>
                <w:szCs w:val="20"/>
              </w:rPr>
              <w:t xml:space="preserve"> Graduates</w:t>
            </w:r>
            <w:r w:rsidRPr="00A253D9">
              <w:rPr>
                <w:rStyle w:val="EndnoteReference"/>
                <w:rFonts w:eastAsia="Arial Unicode MS"/>
                <w:sz w:val="20"/>
                <w:szCs w:val="20"/>
              </w:rPr>
              <w:endnoteReference w:id="9"/>
            </w:r>
            <w:r w:rsidR="003A206D" w:rsidRPr="00A253D9">
              <w:rPr>
                <w:rFonts w:eastAsia="Arial Unicode MS"/>
                <w:sz w:val="20"/>
                <w:szCs w:val="20"/>
              </w:rPr>
              <w:t xml:space="preserve"> (Objective </w:t>
            </w:r>
            <w:proofErr w:type="gramStart"/>
            <w:r w:rsidR="003A206D" w:rsidRPr="00A253D9">
              <w:rPr>
                <w:rFonts w:eastAsia="Arial Unicode MS"/>
                <w:sz w:val="20"/>
                <w:szCs w:val="20"/>
              </w:rPr>
              <w:t>A)</w:t>
            </w:r>
            <w:r w:rsidR="00395167">
              <w:rPr>
                <w:rFonts w:eastAsia="Arial Unicode MS"/>
                <w:sz w:val="20"/>
                <w:szCs w:val="20"/>
              </w:rPr>
              <w:t>*</w:t>
            </w:r>
            <w:proofErr w:type="gramEnd"/>
          </w:p>
        </w:tc>
      </w:tr>
      <w:tr w:rsidR="00811940" w:rsidRPr="00A253D9" w14:paraId="49A5940E" w14:textId="77777777" w:rsidTr="00325044">
        <w:trPr>
          <w:gridAfter w:val="3"/>
          <w:wAfter w:w="21576" w:type="dxa"/>
          <w:cantSplit/>
          <w:trHeight w:val="305"/>
        </w:trPr>
        <w:tc>
          <w:tcPr>
            <w:tcW w:w="3240" w:type="dxa"/>
            <w:vMerge w:val="restart"/>
            <w:tcBorders>
              <w:top w:val="single" w:sz="4" w:space="0" w:color="auto"/>
              <w:left w:val="single" w:sz="4" w:space="0" w:color="auto"/>
              <w:bottom w:val="single" w:sz="4" w:space="0" w:color="auto"/>
              <w:right w:val="single" w:sz="4" w:space="0" w:color="auto"/>
            </w:tcBorders>
            <w:vAlign w:val="center"/>
            <w:hideMark/>
          </w:tcPr>
          <w:p w14:paraId="4D97A4F5" w14:textId="1B140F3E" w:rsidR="00811940" w:rsidRPr="00A253D9" w:rsidRDefault="00811940" w:rsidP="00811940">
            <w:pPr>
              <w:pStyle w:val="ListParagraph"/>
              <w:ind w:left="342"/>
              <w:rPr>
                <w:bCs/>
                <w:sz w:val="20"/>
                <w:szCs w:val="20"/>
              </w:rPr>
            </w:pPr>
            <w:r w:rsidRPr="00A253D9">
              <w:rPr>
                <w:bCs/>
                <w:sz w:val="20"/>
                <w:szCs w:val="20"/>
              </w:rPr>
              <w:t>Associate Degree (Academic)</w:t>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A01E66" w14:textId="7879DFB4" w:rsidR="00811940" w:rsidRPr="00A253D9" w:rsidRDefault="00811940" w:rsidP="00811940">
            <w:pPr>
              <w:jc w:val="center"/>
              <w:rPr>
                <w:sz w:val="20"/>
                <w:szCs w:val="20"/>
              </w:rPr>
            </w:pPr>
            <w:r w:rsidRPr="00A253D9">
              <w:rPr>
                <w:sz w:val="20"/>
                <w:szCs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BB0F44" w14:textId="2A4343C1" w:rsidR="00811940" w:rsidRPr="00A253D9" w:rsidRDefault="00811940" w:rsidP="00811940">
            <w:pPr>
              <w:jc w:val="center"/>
              <w:rPr>
                <w:sz w:val="20"/>
                <w:szCs w:val="20"/>
              </w:rPr>
            </w:pPr>
            <w:r>
              <w:rPr>
                <w:sz w:val="20"/>
                <w:szCs w:val="20"/>
              </w:rPr>
              <w:t>131</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455FDF" w14:textId="718B0B31" w:rsidR="00811940" w:rsidRPr="00A253D9" w:rsidRDefault="00811940" w:rsidP="00811940">
            <w:pPr>
              <w:jc w:val="center"/>
              <w:rPr>
                <w:sz w:val="20"/>
                <w:szCs w:val="20"/>
              </w:rPr>
            </w:pPr>
            <w:r w:rsidRPr="00F62C9B">
              <w:rPr>
                <w:sz w:val="20"/>
                <w:szCs w:val="20"/>
              </w:rPr>
              <w:t>109</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7BC261" w14:textId="7E394CF6" w:rsidR="00811940" w:rsidRPr="00A253D9" w:rsidRDefault="00811940" w:rsidP="00811940">
            <w:pPr>
              <w:jc w:val="center"/>
              <w:rPr>
                <w:sz w:val="20"/>
                <w:szCs w:val="20"/>
              </w:rPr>
            </w:pPr>
            <w:r w:rsidRPr="008C5077">
              <w:rPr>
                <w:sz w:val="20"/>
                <w:szCs w:val="20"/>
              </w:rPr>
              <w:t>132</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DCF14E" w14:textId="774A6470" w:rsidR="00811940" w:rsidRPr="008C5077" w:rsidRDefault="00811940" w:rsidP="00811940">
            <w:pPr>
              <w:jc w:val="center"/>
              <w:rPr>
                <w:sz w:val="20"/>
                <w:szCs w:val="20"/>
              </w:rPr>
            </w:pPr>
            <w:r w:rsidRPr="00741F54">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23704" w14:textId="4E056C84" w:rsidR="00811940" w:rsidRPr="00A253D9" w:rsidRDefault="00811940" w:rsidP="00811940">
            <w:pPr>
              <w:jc w:val="center"/>
              <w:rPr>
                <w:sz w:val="20"/>
                <w:szCs w:val="20"/>
              </w:rPr>
            </w:pPr>
          </w:p>
        </w:tc>
      </w:tr>
      <w:tr w:rsidR="00811940" w:rsidRPr="00A253D9" w14:paraId="00822D9D" w14:textId="77777777" w:rsidTr="00325044">
        <w:trPr>
          <w:gridAfter w:val="3"/>
          <w:wAfter w:w="21576" w:type="dxa"/>
          <w:cantSplit/>
          <w:trHeight w:val="296"/>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702DC3BC" w14:textId="77777777" w:rsidR="00811940" w:rsidRPr="00A253D9" w:rsidRDefault="00811940" w:rsidP="00811940">
            <w:pPr>
              <w:rPr>
                <w:bCs/>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BAFDA8" w14:textId="7222C9C7" w:rsidR="00811940" w:rsidRPr="00A253D9" w:rsidRDefault="00811940" w:rsidP="00811940">
            <w:pPr>
              <w:jc w:val="center"/>
              <w:rPr>
                <w:i/>
                <w:sz w:val="16"/>
                <w:szCs w:val="20"/>
              </w:rPr>
            </w:pPr>
            <w:r w:rsidRPr="00A253D9">
              <w:rPr>
                <w:i/>
                <w:sz w:val="16"/>
                <w:szCs w:val="20"/>
              </w:rPr>
              <w:t>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1E155" w14:textId="7BFC0C41" w:rsidR="00811940" w:rsidRPr="00A253D9" w:rsidRDefault="00811940" w:rsidP="00811940">
            <w:pPr>
              <w:jc w:val="center"/>
              <w:rPr>
                <w:i/>
                <w:sz w:val="16"/>
                <w:szCs w:val="20"/>
                <w:vertAlign w:val="superscript"/>
              </w:rPr>
            </w:pPr>
            <w:r>
              <w:rPr>
                <w:i/>
                <w:sz w:val="16"/>
                <w:szCs w:val="20"/>
              </w:rPr>
              <w:t>150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E68C6" w14:textId="0F6F054A" w:rsidR="00811940" w:rsidRPr="00A253D9" w:rsidRDefault="00811940" w:rsidP="00811940">
            <w:pPr>
              <w:jc w:val="center"/>
              <w:rPr>
                <w:i/>
                <w:sz w:val="16"/>
                <w:szCs w:val="20"/>
              </w:rPr>
            </w:pPr>
            <w:r w:rsidRPr="00F62C9B">
              <w:rPr>
                <w:i/>
                <w:sz w:val="16"/>
                <w:szCs w:val="20"/>
              </w:rPr>
              <w:t>150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0216472E" w14:textId="312A9C1C" w:rsidR="00811940" w:rsidRPr="00A253D9" w:rsidRDefault="00811940" w:rsidP="00811940">
            <w:pPr>
              <w:jc w:val="center"/>
              <w:rPr>
                <w:i/>
                <w:sz w:val="16"/>
                <w:szCs w:val="20"/>
              </w:rPr>
            </w:pPr>
            <w:r w:rsidRPr="00741F54">
              <w:rPr>
                <w:i/>
                <w:sz w:val="16"/>
                <w:szCs w:val="20"/>
              </w:rPr>
              <w:t>150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2BB55B9F" w14:textId="4AB3A8CD" w:rsidR="00811940" w:rsidRPr="00F62C9B" w:rsidRDefault="00811940" w:rsidP="00811940">
            <w:pPr>
              <w:jc w:val="center"/>
              <w:rPr>
                <w:i/>
                <w:sz w:val="16"/>
                <w:szCs w:val="20"/>
              </w:rPr>
            </w:pPr>
            <w:r>
              <w:rPr>
                <w:i/>
                <w:sz w:val="16"/>
                <w:szCs w:val="20"/>
              </w:rPr>
              <w:t>150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6788A72C" w14:textId="758AD530" w:rsidR="00811940" w:rsidRPr="00A253D9" w:rsidRDefault="00811940" w:rsidP="00811940">
            <w:pPr>
              <w:jc w:val="center"/>
              <w:rPr>
                <w:i/>
                <w:sz w:val="16"/>
                <w:szCs w:val="20"/>
              </w:rPr>
            </w:pPr>
          </w:p>
        </w:tc>
      </w:tr>
      <w:tr w:rsidR="00811940" w:rsidRPr="00A253D9" w14:paraId="587689A9" w14:textId="77777777" w:rsidTr="00325044">
        <w:trPr>
          <w:gridAfter w:val="3"/>
          <w:wAfter w:w="21576" w:type="dxa"/>
          <w:cantSplit/>
          <w:trHeight w:val="288"/>
        </w:trPr>
        <w:tc>
          <w:tcPr>
            <w:tcW w:w="3240" w:type="dxa"/>
            <w:vMerge w:val="restart"/>
            <w:tcBorders>
              <w:top w:val="single" w:sz="4" w:space="0" w:color="auto"/>
              <w:left w:val="single" w:sz="4" w:space="0" w:color="auto"/>
              <w:bottom w:val="single" w:sz="4" w:space="0" w:color="auto"/>
              <w:right w:val="single" w:sz="4" w:space="0" w:color="auto"/>
            </w:tcBorders>
            <w:vAlign w:val="center"/>
            <w:hideMark/>
          </w:tcPr>
          <w:p w14:paraId="1D1C7F5C" w14:textId="1BE4530A" w:rsidR="00811940" w:rsidRPr="00A253D9" w:rsidRDefault="00811940" w:rsidP="00811940">
            <w:pPr>
              <w:pStyle w:val="ListParagraph"/>
              <w:ind w:left="342"/>
              <w:rPr>
                <w:bCs/>
                <w:sz w:val="20"/>
                <w:szCs w:val="20"/>
              </w:rPr>
            </w:pPr>
            <w:r w:rsidRPr="00A253D9">
              <w:rPr>
                <w:bCs/>
                <w:sz w:val="20"/>
                <w:szCs w:val="20"/>
              </w:rPr>
              <w:t>Bachelor’s Degree (Academic)</w:t>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4E9D0D" w14:textId="73096B4B" w:rsidR="00811940" w:rsidRPr="00A253D9" w:rsidRDefault="00811940" w:rsidP="00811940">
            <w:pPr>
              <w:jc w:val="center"/>
              <w:rPr>
                <w:sz w:val="20"/>
                <w:szCs w:val="20"/>
              </w:rPr>
            </w:pPr>
            <w:r w:rsidRPr="00A253D9">
              <w:rPr>
                <w:sz w:val="20"/>
                <w:szCs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EBDCA5" w14:textId="695F9703" w:rsidR="00811940" w:rsidRPr="00A253D9" w:rsidRDefault="00811940" w:rsidP="00811940">
            <w:pPr>
              <w:jc w:val="center"/>
              <w:rPr>
                <w:sz w:val="20"/>
                <w:szCs w:val="20"/>
              </w:rPr>
            </w:pPr>
            <w:r>
              <w:rPr>
                <w:sz w:val="20"/>
                <w:szCs w:val="20"/>
              </w:rPr>
              <w:t>3,289</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7C6ACC" w14:textId="1331466E" w:rsidR="00811940" w:rsidRPr="00A253D9" w:rsidRDefault="00811940" w:rsidP="00811940">
            <w:pPr>
              <w:jc w:val="center"/>
              <w:rPr>
                <w:sz w:val="20"/>
                <w:szCs w:val="20"/>
                <w:highlight w:val="yellow"/>
              </w:rPr>
            </w:pPr>
            <w:r w:rsidRPr="00F62C9B">
              <w:rPr>
                <w:sz w:val="20"/>
                <w:szCs w:val="20"/>
              </w:rPr>
              <w:t>3,52</w:t>
            </w:r>
            <w:r>
              <w:rPr>
                <w:sz w:val="20"/>
                <w:szCs w:val="20"/>
              </w:rPr>
              <w:t>5</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1A118B" w14:textId="6467927F" w:rsidR="00811940" w:rsidRPr="00A253D9" w:rsidRDefault="00811940" w:rsidP="00811940">
            <w:pPr>
              <w:jc w:val="center"/>
              <w:rPr>
                <w:sz w:val="20"/>
                <w:szCs w:val="20"/>
                <w:highlight w:val="yellow"/>
              </w:rPr>
            </w:pPr>
            <w:r>
              <w:rPr>
                <w:sz w:val="20"/>
                <w:szCs w:val="20"/>
              </w:rPr>
              <w:t xml:space="preserve"> </w:t>
            </w:r>
            <w:r w:rsidRPr="008C5077">
              <w:rPr>
                <w:sz w:val="20"/>
                <w:szCs w:val="20"/>
              </w:rPr>
              <w:t>3,749</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FB785" w14:textId="746BF63D" w:rsidR="00811940" w:rsidRPr="008C5077" w:rsidRDefault="00811940" w:rsidP="00811940">
            <w:pPr>
              <w:jc w:val="center"/>
              <w:rPr>
                <w:sz w:val="20"/>
                <w:szCs w:val="20"/>
              </w:rPr>
            </w:pPr>
            <w:r w:rsidRPr="00741F54">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D041BC" w14:textId="5B75B628" w:rsidR="00811940" w:rsidRPr="00A253D9" w:rsidRDefault="00811940" w:rsidP="00811940">
            <w:pPr>
              <w:jc w:val="center"/>
              <w:rPr>
                <w:sz w:val="20"/>
                <w:szCs w:val="20"/>
              </w:rPr>
            </w:pPr>
          </w:p>
        </w:tc>
      </w:tr>
      <w:tr w:rsidR="00811940" w:rsidRPr="00A253D9" w14:paraId="46630261" w14:textId="77777777" w:rsidTr="00325044">
        <w:trPr>
          <w:gridAfter w:val="3"/>
          <w:wAfter w:w="21576" w:type="dxa"/>
          <w:cantSplit/>
          <w:trHeight w:val="233"/>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568BF35B" w14:textId="77777777" w:rsidR="00811940" w:rsidRPr="00A253D9" w:rsidRDefault="00811940" w:rsidP="00811940">
            <w:pPr>
              <w:rPr>
                <w:bCs/>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03D787" w14:textId="16BA3E75" w:rsidR="00811940" w:rsidRPr="00A253D9" w:rsidRDefault="00811940" w:rsidP="00811940">
            <w:pPr>
              <w:jc w:val="center"/>
              <w:rPr>
                <w:sz w:val="16"/>
                <w:szCs w:val="20"/>
              </w:rPr>
            </w:pPr>
            <w:r w:rsidRPr="00A253D9">
              <w:rPr>
                <w:i/>
                <w:sz w:val="16"/>
                <w:szCs w:val="20"/>
              </w:rPr>
              <w:t>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03E57" w14:textId="6CD275C6" w:rsidR="00811940" w:rsidRPr="00A253D9" w:rsidRDefault="00811940" w:rsidP="00811940">
            <w:pPr>
              <w:jc w:val="center"/>
              <w:rPr>
                <w:i/>
                <w:sz w:val="16"/>
                <w:szCs w:val="20"/>
              </w:rPr>
            </w:pPr>
            <w:r>
              <w:rPr>
                <w:i/>
                <w:sz w:val="16"/>
                <w:szCs w:val="20"/>
              </w:rPr>
              <w:t>3,450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489D1" w14:textId="60FD1142" w:rsidR="00811940" w:rsidRPr="00A253D9" w:rsidRDefault="00811940" w:rsidP="00811940">
            <w:pPr>
              <w:jc w:val="center"/>
              <w:rPr>
                <w:i/>
                <w:sz w:val="16"/>
                <w:szCs w:val="20"/>
              </w:rPr>
            </w:pPr>
            <w:r w:rsidRPr="00F62C9B">
              <w:rPr>
                <w:i/>
                <w:sz w:val="16"/>
                <w:szCs w:val="20"/>
              </w:rPr>
              <w:t>3,500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7FF7D44A" w14:textId="678BF335" w:rsidR="00811940" w:rsidRPr="00A253D9" w:rsidRDefault="00811940" w:rsidP="00811940">
            <w:pPr>
              <w:jc w:val="center"/>
              <w:rPr>
                <w:i/>
                <w:sz w:val="16"/>
                <w:szCs w:val="20"/>
              </w:rPr>
            </w:pPr>
            <w:r w:rsidRPr="00741F54">
              <w:rPr>
                <w:i/>
                <w:sz w:val="16"/>
                <w:szCs w:val="20"/>
              </w:rPr>
              <w:t>3</w:t>
            </w:r>
            <w:r>
              <w:rPr>
                <w:i/>
                <w:sz w:val="16"/>
                <w:szCs w:val="20"/>
              </w:rPr>
              <w:t>,559</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61981204" w14:textId="7EFE171C" w:rsidR="00811940" w:rsidRPr="00F62C9B" w:rsidRDefault="00811940" w:rsidP="00811940">
            <w:pPr>
              <w:jc w:val="center"/>
              <w:rPr>
                <w:i/>
                <w:sz w:val="16"/>
                <w:szCs w:val="20"/>
              </w:rPr>
            </w:pPr>
            <w:r>
              <w:rPr>
                <w:i/>
                <w:sz w:val="16"/>
                <w:szCs w:val="20"/>
              </w:rPr>
              <w:t>3,702</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21F81C51" w14:textId="21E769A2" w:rsidR="00811940" w:rsidRPr="00A253D9" w:rsidRDefault="00811940" w:rsidP="00811940">
            <w:pPr>
              <w:jc w:val="center"/>
              <w:rPr>
                <w:i/>
                <w:sz w:val="16"/>
                <w:szCs w:val="20"/>
              </w:rPr>
            </w:pPr>
          </w:p>
        </w:tc>
      </w:tr>
      <w:tr w:rsidR="00811940" w:rsidRPr="00A253D9" w14:paraId="024450A9" w14:textId="77777777" w:rsidTr="00325044">
        <w:trPr>
          <w:gridAfter w:val="3"/>
          <w:wAfter w:w="21576" w:type="dxa"/>
          <w:cantSplit/>
          <w:trHeight w:val="288"/>
        </w:trPr>
        <w:tc>
          <w:tcPr>
            <w:tcW w:w="3240" w:type="dxa"/>
            <w:vMerge w:val="restart"/>
            <w:tcBorders>
              <w:top w:val="single" w:sz="4" w:space="0" w:color="auto"/>
              <w:left w:val="single" w:sz="4" w:space="0" w:color="auto"/>
              <w:right w:val="single" w:sz="4" w:space="0" w:color="auto"/>
            </w:tcBorders>
            <w:vAlign w:val="center"/>
          </w:tcPr>
          <w:p w14:paraId="5952A648" w14:textId="2DB6F230" w:rsidR="00811940" w:rsidRPr="00A253D9" w:rsidRDefault="00811940" w:rsidP="00811940">
            <w:pPr>
              <w:pStyle w:val="ListParagraph"/>
              <w:ind w:left="342"/>
              <w:rPr>
                <w:bCs/>
                <w:sz w:val="20"/>
                <w:szCs w:val="20"/>
              </w:rPr>
            </w:pPr>
            <w:r>
              <w:rPr>
                <w:bCs/>
                <w:sz w:val="20"/>
                <w:szCs w:val="20"/>
              </w:rPr>
              <w:t>Certificate – Undergraduate</w:t>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C20494" w14:textId="0C7A8105" w:rsidR="00811940" w:rsidRPr="00A253D9" w:rsidRDefault="00811940" w:rsidP="00811940">
            <w:pPr>
              <w:jc w:val="center"/>
              <w:rPr>
                <w:sz w:val="20"/>
                <w:szCs w:val="20"/>
              </w:rPr>
            </w:pPr>
            <w:r w:rsidRPr="00A253D9">
              <w:rPr>
                <w:sz w:val="20"/>
                <w:szCs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36753C" w14:textId="74C98BB9" w:rsidR="00811940" w:rsidRDefault="00811940" w:rsidP="00811940">
            <w:pPr>
              <w:jc w:val="center"/>
              <w:rPr>
                <w:sz w:val="20"/>
                <w:szCs w:val="20"/>
              </w:rPr>
            </w:pPr>
            <w:r>
              <w:rPr>
                <w:sz w:val="20"/>
                <w:szCs w:val="20"/>
              </w:rPr>
              <w:t>360</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3C65F9" w14:textId="73023077" w:rsidR="00811940" w:rsidRDefault="00811940" w:rsidP="00811940">
            <w:pPr>
              <w:jc w:val="center"/>
              <w:rPr>
                <w:sz w:val="20"/>
                <w:szCs w:val="20"/>
              </w:rPr>
            </w:pPr>
            <w:r>
              <w:rPr>
                <w:sz w:val="20"/>
                <w:szCs w:val="20"/>
              </w:rPr>
              <w:t>414</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20DFF2" w14:textId="360A339A" w:rsidR="00811940" w:rsidRPr="00F62C9B" w:rsidRDefault="00811940" w:rsidP="00811940">
            <w:pPr>
              <w:jc w:val="center"/>
              <w:rPr>
                <w:sz w:val="20"/>
                <w:szCs w:val="20"/>
              </w:rPr>
            </w:pPr>
            <w:r>
              <w:rPr>
                <w:sz w:val="20"/>
                <w:szCs w:val="20"/>
              </w:rPr>
              <w:t>511</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3BFC43" w14:textId="406A63DA" w:rsidR="00811940" w:rsidRPr="008C5077" w:rsidRDefault="00811940" w:rsidP="00811940">
            <w:pPr>
              <w:jc w:val="center"/>
              <w:rPr>
                <w:sz w:val="20"/>
                <w:szCs w:val="20"/>
              </w:rPr>
            </w:pPr>
            <w:r w:rsidRPr="00741F54">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497CC5" w14:textId="035EC886" w:rsidR="00811940" w:rsidRPr="00741F54" w:rsidRDefault="00811940" w:rsidP="00811940">
            <w:pPr>
              <w:jc w:val="center"/>
              <w:rPr>
                <w:sz w:val="20"/>
                <w:szCs w:val="20"/>
              </w:rPr>
            </w:pPr>
          </w:p>
        </w:tc>
      </w:tr>
      <w:tr w:rsidR="00811940" w:rsidRPr="00A253D9" w14:paraId="5274059B" w14:textId="77777777" w:rsidTr="00325044">
        <w:trPr>
          <w:gridAfter w:val="3"/>
          <w:wAfter w:w="21576" w:type="dxa"/>
          <w:cantSplit/>
          <w:trHeight w:val="288"/>
        </w:trPr>
        <w:tc>
          <w:tcPr>
            <w:tcW w:w="3240" w:type="dxa"/>
            <w:vMerge/>
            <w:tcBorders>
              <w:left w:val="single" w:sz="4" w:space="0" w:color="auto"/>
              <w:bottom w:val="single" w:sz="4" w:space="0" w:color="auto"/>
              <w:right w:val="single" w:sz="4" w:space="0" w:color="auto"/>
            </w:tcBorders>
            <w:vAlign w:val="center"/>
          </w:tcPr>
          <w:p w14:paraId="11D714A0" w14:textId="77777777" w:rsidR="00811940" w:rsidRPr="00A253D9" w:rsidRDefault="00811940" w:rsidP="00811940">
            <w:pPr>
              <w:pStyle w:val="ListParagraph"/>
              <w:ind w:left="342"/>
              <w:rPr>
                <w:bCs/>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033EFE92" w14:textId="52B452B0" w:rsidR="00811940" w:rsidRPr="00A253D9" w:rsidRDefault="00811940" w:rsidP="00811940">
            <w:pPr>
              <w:jc w:val="center"/>
              <w:rPr>
                <w:sz w:val="20"/>
                <w:szCs w:val="20"/>
              </w:rPr>
            </w:pPr>
            <w:r w:rsidRPr="00A253D9">
              <w:rPr>
                <w:i/>
                <w:sz w:val="16"/>
                <w:szCs w:val="20"/>
              </w:rPr>
              <w:t>target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22B8D340" w14:textId="4C8571EB" w:rsidR="00811940" w:rsidRDefault="00811940" w:rsidP="00811940">
            <w:pPr>
              <w:jc w:val="center"/>
              <w:rPr>
                <w:sz w:val="20"/>
                <w:szCs w:val="20"/>
              </w:rPr>
            </w:pPr>
            <w:r>
              <w:rPr>
                <w:i/>
                <w:sz w:val="16"/>
                <w:szCs w:val="16"/>
              </w:rPr>
              <w:t>NA</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78CF82C" w14:textId="36702867" w:rsidR="00811940" w:rsidRDefault="00811940" w:rsidP="00811940">
            <w:pPr>
              <w:jc w:val="center"/>
              <w:rPr>
                <w:sz w:val="20"/>
                <w:szCs w:val="20"/>
              </w:rPr>
            </w:pPr>
            <w:r>
              <w:rPr>
                <w:i/>
                <w:sz w:val="16"/>
                <w:szCs w:val="20"/>
              </w:rPr>
              <w:t>300</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66198A1F" w14:textId="07CABDB4" w:rsidR="00811940" w:rsidRPr="00F62C9B" w:rsidRDefault="00811940" w:rsidP="00811940">
            <w:pPr>
              <w:jc w:val="center"/>
              <w:rPr>
                <w:sz w:val="20"/>
                <w:szCs w:val="20"/>
              </w:rPr>
            </w:pPr>
            <w:r>
              <w:rPr>
                <w:i/>
                <w:sz w:val="16"/>
                <w:szCs w:val="20"/>
              </w:rPr>
              <w:t>425</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7CD4B4CE" w14:textId="07DC6468" w:rsidR="00811940" w:rsidRPr="008C5077" w:rsidRDefault="00811940" w:rsidP="00811940">
            <w:pPr>
              <w:jc w:val="center"/>
              <w:rPr>
                <w:sz w:val="20"/>
                <w:szCs w:val="20"/>
              </w:rPr>
            </w:pPr>
            <w:r>
              <w:rPr>
                <w:i/>
                <w:sz w:val="16"/>
                <w:szCs w:val="20"/>
              </w:rPr>
              <w:t>425</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0729321C" w14:textId="21C2CBEC" w:rsidR="00811940" w:rsidRPr="00741F54" w:rsidRDefault="00811940" w:rsidP="00811940">
            <w:pPr>
              <w:jc w:val="center"/>
              <w:rPr>
                <w:sz w:val="20"/>
                <w:szCs w:val="20"/>
              </w:rPr>
            </w:pPr>
          </w:p>
        </w:tc>
      </w:tr>
      <w:tr w:rsidR="00811940" w:rsidRPr="00A253D9" w14:paraId="27A8D0FD" w14:textId="77777777" w:rsidTr="00325044">
        <w:trPr>
          <w:gridAfter w:val="3"/>
          <w:wAfter w:w="21576" w:type="dxa"/>
          <w:cantSplit/>
          <w:trHeight w:val="288"/>
        </w:trPr>
        <w:tc>
          <w:tcPr>
            <w:tcW w:w="3240" w:type="dxa"/>
            <w:vMerge w:val="restart"/>
            <w:tcBorders>
              <w:top w:val="single" w:sz="4" w:space="0" w:color="auto"/>
              <w:left w:val="single" w:sz="4" w:space="0" w:color="auto"/>
              <w:bottom w:val="single" w:sz="4" w:space="0" w:color="auto"/>
              <w:right w:val="single" w:sz="4" w:space="0" w:color="auto"/>
            </w:tcBorders>
            <w:vAlign w:val="center"/>
            <w:hideMark/>
          </w:tcPr>
          <w:p w14:paraId="0B3112E7" w14:textId="40FAFAAB" w:rsidR="00811940" w:rsidRPr="00A253D9" w:rsidRDefault="00811940" w:rsidP="00811940">
            <w:pPr>
              <w:pStyle w:val="ListParagraph"/>
              <w:ind w:left="342"/>
              <w:rPr>
                <w:bCs/>
                <w:sz w:val="20"/>
                <w:szCs w:val="20"/>
              </w:rPr>
            </w:pPr>
            <w:r w:rsidRPr="00A253D9">
              <w:rPr>
                <w:bCs/>
                <w:sz w:val="20"/>
                <w:szCs w:val="20"/>
              </w:rPr>
              <w:t>Certificate – Graduate</w:t>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AED94B" w14:textId="0590B939" w:rsidR="00811940" w:rsidRPr="00A253D9" w:rsidRDefault="00811940" w:rsidP="00811940">
            <w:pPr>
              <w:jc w:val="center"/>
              <w:rPr>
                <w:sz w:val="20"/>
                <w:szCs w:val="20"/>
              </w:rPr>
            </w:pPr>
            <w:r w:rsidRPr="00A253D9">
              <w:rPr>
                <w:sz w:val="20"/>
                <w:szCs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D306FB" w14:textId="2D049E3C" w:rsidR="00811940" w:rsidRPr="00A253D9" w:rsidRDefault="00811940" w:rsidP="00811940">
            <w:pPr>
              <w:jc w:val="center"/>
              <w:rPr>
                <w:sz w:val="20"/>
                <w:szCs w:val="20"/>
              </w:rPr>
            </w:pPr>
            <w:r>
              <w:rPr>
                <w:sz w:val="20"/>
                <w:szCs w:val="20"/>
              </w:rPr>
              <w:t>219</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BFCB3D" w14:textId="25371CF8" w:rsidR="00811940" w:rsidRPr="00A253D9" w:rsidRDefault="00811940" w:rsidP="00811940">
            <w:pPr>
              <w:jc w:val="center"/>
              <w:rPr>
                <w:sz w:val="20"/>
                <w:szCs w:val="20"/>
                <w:highlight w:val="yellow"/>
              </w:rPr>
            </w:pPr>
            <w:r w:rsidRPr="00F62C9B">
              <w:rPr>
                <w:sz w:val="20"/>
                <w:szCs w:val="20"/>
              </w:rPr>
              <w:t>184</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4A6F8" w14:textId="4E5F2046" w:rsidR="00811940" w:rsidRPr="00A253D9" w:rsidRDefault="00811940" w:rsidP="00811940">
            <w:pPr>
              <w:jc w:val="center"/>
              <w:rPr>
                <w:sz w:val="20"/>
                <w:szCs w:val="20"/>
                <w:highlight w:val="yellow"/>
              </w:rPr>
            </w:pPr>
            <w:r w:rsidRPr="008C5077">
              <w:rPr>
                <w:sz w:val="20"/>
                <w:szCs w:val="20"/>
              </w:rPr>
              <w:t>166</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660B2" w14:textId="3265F087" w:rsidR="00811940" w:rsidRPr="008C5077" w:rsidRDefault="00811940" w:rsidP="00811940">
            <w:pPr>
              <w:jc w:val="center"/>
              <w:rPr>
                <w:sz w:val="20"/>
                <w:szCs w:val="20"/>
              </w:rPr>
            </w:pPr>
            <w:r w:rsidRPr="00741F54">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85606" w14:textId="3C6A9845" w:rsidR="00811940" w:rsidRPr="00A253D9" w:rsidRDefault="00811940" w:rsidP="00811940">
            <w:pPr>
              <w:jc w:val="center"/>
              <w:rPr>
                <w:sz w:val="20"/>
                <w:szCs w:val="20"/>
              </w:rPr>
            </w:pPr>
          </w:p>
        </w:tc>
      </w:tr>
      <w:tr w:rsidR="00811940" w:rsidRPr="00A253D9" w14:paraId="383968A5" w14:textId="77777777" w:rsidTr="002F3BA8">
        <w:trPr>
          <w:gridAfter w:val="3"/>
          <w:wAfter w:w="21576" w:type="dxa"/>
          <w:cantSplit/>
          <w:trHeight w:val="288"/>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12664537" w14:textId="77777777" w:rsidR="00811940" w:rsidRPr="00A253D9" w:rsidRDefault="00811940" w:rsidP="00811940">
            <w:pPr>
              <w:rPr>
                <w:bCs/>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7A1782" w14:textId="36AF50DE" w:rsidR="00811940" w:rsidRPr="00A253D9" w:rsidRDefault="00811940" w:rsidP="00811940">
            <w:pPr>
              <w:jc w:val="center"/>
              <w:rPr>
                <w:sz w:val="16"/>
                <w:szCs w:val="20"/>
              </w:rPr>
            </w:pPr>
            <w:r w:rsidRPr="00A253D9">
              <w:rPr>
                <w:i/>
                <w:sz w:val="16"/>
                <w:szCs w:val="20"/>
              </w:rPr>
              <w:t>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4CFD5" w14:textId="57C4B776" w:rsidR="00811940" w:rsidRPr="00A253D9" w:rsidRDefault="00811940" w:rsidP="00811940">
            <w:pPr>
              <w:jc w:val="center"/>
              <w:rPr>
                <w:i/>
                <w:sz w:val="16"/>
                <w:szCs w:val="20"/>
              </w:rPr>
            </w:pPr>
            <w:r>
              <w:rPr>
                <w:i/>
                <w:sz w:val="16"/>
                <w:szCs w:val="20"/>
              </w:rPr>
              <w:t>250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61717" w14:textId="30BF0CD9" w:rsidR="00811940" w:rsidRPr="00A253D9" w:rsidRDefault="00811940" w:rsidP="00811940">
            <w:pPr>
              <w:jc w:val="center"/>
              <w:rPr>
                <w:i/>
                <w:sz w:val="16"/>
                <w:szCs w:val="20"/>
              </w:rPr>
            </w:pPr>
            <w:r w:rsidRPr="00F62C9B">
              <w:rPr>
                <w:i/>
                <w:sz w:val="16"/>
                <w:szCs w:val="20"/>
              </w:rPr>
              <w:t>270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23B098CF" w14:textId="2C5CB8A6" w:rsidR="00811940" w:rsidRPr="00A253D9" w:rsidRDefault="00811940" w:rsidP="00811940">
            <w:pPr>
              <w:jc w:val="center"/>
              <w:rPr>
                <w:i/>
                <w:sz w:val="16"/>
                <w:szCs w:val="20"/>
              </w:rPr>
            </w:pPr>
            <w:r w:rsidRPr="00D20259">
              <w:rPr>
                <w:i/>
                <w:sz w:val="16"/>
                <w:szCs w:val="20"/>
              </w:rPr>
              <w:t>280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48E313AB" w14:textId="7C248DA5" w:rsidR="00811940" w:rsidRPr="00F62C9B" w:rsidRDefault="00811940" w:rsidP="00811940">
            <w:pPr>
              <w:jc w:val="center"/>
              <w:rPr>
                <w:i/>
                <w:sz w:val="16"/>
                <w:szCs w:val="20"/>
              </w:rPr>
            </w:pPr>
            <w:r>
              <w:rPr>
                <w:i/>
                <w:sz w:val="16"/>
                <w:szCs w:val="20"/>
              </w:rPr>
              <w:t>250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4A765220" w14:textId="0B76D35E" w:rsidR="00811940" w:rsidRPr="00A253D9" w:rsidRDefault="00811940" w:rsidP="00811940">
            <w:pPr>
              <w:jc w:val="center"/>
              <w:rPr>
                <w:i/>
                <w:sz w:val="16"/>
                <w:szCs w:val="20"/>
              </w:rPr>
            </w:pPr>
          </w:p>
        </w:tc>
      </w:tr>
      <w:tr w:rsidR="00811940" w:rsidRPr="00A253D9" w14:paraId="408F96A9" w14:textId="77777777" w:rsidTr="002F3BA8">
        <w:trPr>
          <w:gridAfter w:val="3"/>
          <w:wAfter w:w="21576" w:type="dxa"/>
          <w:cantSplit/>
          <w:trHeight w:val="288"/>
        </w:trPr>
        <w:tc>
          <w:tcPr>
            <w:tcW w:w="3240" w:type="dxa"/>
            <w:vMerge w:val="restart"/>
            <w:tcBorders>
              <w:top w:val="single" w:sz="4" w:space="0" w:color="auto"/>
              <w:left w:val="single" w:sz="4" w:space="0" w:color="auto"/>
              <w:bottom w:val="single" w:sz="4" w:space="0" w:color="auto"/>
              <w:right w:val="single" w:sz="4" w:space="0" w:color="auto"/>
            </w:tcBorders>
            <w:vAlign w:val="center"/>
            <w:hideMark/>
          </w:tcPr>
          <w:p w14:paraId="0D7065AD" w14:textId="4286D644" w:rsidR="00811940" w:rsidRPr="00A253D9" w:rsidRDefault="00811940" w:rsidP="00811940">
            <w:pPr>
              <w:pStyle w:val="ListParagraph"/>
              <w:tabs>
                <w:tab w:val="left" w:pos="2985"/>
              </w:tabs>
              <w:ind w:left="342"/>
              <w:rPr>
                <w:sz w:val="20"/>
                <w:szCs w:val="20"/>
              </w:rPr>
            </w:pPr>
            <w:r w:rsidRPr="00A253D9">
              <w:rPr>
                <w:sz w:val="20"/>
                <w:szCs w:val="20"/>
              </w:rPr>
              <w:t>Master’s Degrees</w:t>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F94842" w14:textId="059E35F0" w:rsidR="00811940" w:rsidRPr="00A253D9" w:rsidRDefault="00811940" w:rsidP="00811940">
            <w:pPr>
              <w:jc w:val="center"/>
              <w:rPr>
                <w:sz w:val="20"/>
                <w:szCs w:val="20"/>
              </w:rPr>
            </w:pPr>
            <w:r w:rsidRPr="00A253D9">
              <w:rPr>
                <w:sz w:val="20"/>
                <w:szCs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55DE7A" w14:textId="215AEEE0" w:rsidR="00811940" w:rsidRPr="00A253D9" w:rsidRDefault="00811940" w:rsidP="00811940">
            <w:pPr>
              <w:jc w:val="center"/>
              <w:rPr>
                <w:sz w:val="20"/>
                <w:szCs w:val="20"/>
              </w:rPr>
            </w:pPr>
            <w:r>
              <w:rPr>
                <w:sz w:val="20"/>
                <w:szCs w:val="20"/>
              </w:rPr>
              <w:t>862</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44A146" w14:textId="388ACBA3" w:rsidR="00811940" w:rsidRPr="00A253D9" w:rsidRDefault="00811940" w:rsidP="00811940">
            <w:pPr>
              <w:jc w:val="center"/>
              <w:rPr>
                <w:sz w:val="20"/>
                <w:szCs w:val="20"/>
                <w:highlight w:val="yellow"/>
              </w:rPr>
            </w:pPr>
            <w:r w:rsidRPr="00F62C9B">
              <w:rPr>
                <w:sz w:val="20"/>
                <w:szCs w:val="20"/>
              </w:rPr>
              <w:t>954</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EBC1AF" w14:textId="3FB2F1E6" w:rsidR="00811940" w:rsidRPr="00A253D9" w:rsidRDefault="00811940" w:rsidP="00811940">
            <w:pPr>
              <w:jc w:val="center"/>
              <w:rPr>
                <w:sz w:val="20"/>
                <w:szCs w:val="20"/>
                <w:highlight w:val="yellow"/>
              </w:rPr>
            </w:pPr>
            <w:r w:rsidRPr="008C5077">
              <w:rPr>
                <w:sz w:val="20"/>
                <w:szCs w:val="20"/>
              </w:rPr>
              <w:t>1</w:t>
            </w:r>
            <w:r>
              <w:rPr>
                <w:sz w:val="20"/>
                <w:szCs w:val="20"/>
              </w:rPr>
              <w:t>,</w:t>
            </w:r>
            <w:r w:rsidRPr="008C5077">
              <w:rPr>
                <w:sz w:val="20"/>
                <w:szCs w:val="20"/>
              </w:rPr>
              <w:t>074</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724CCF" w14:textId="4EF6DB8C" w:rsidR="00811940" w:rsidRPr="008C5077" w:rsidRDefault="00811940" w:rsidP="00811940">
            <w:pPr>
              <w:jc w:val="center"/>
              <w:rPr>
                <w:sz w:val="20"/>
                <w:szCs w:val="20"/>
              </w:rPr>
            </w:pPr>
            <w:r w:rsidRPr="00741F54">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9932A" w14:textId="12A5AEC9" w:rsidR="00811940" w:rsidRPr="00A253D9" w:rsidRDefault="00811940" w:rsidP="00811940">
            <w:pPr>
              <w:jc w:val="center"/>
              <w:rPr>
                <w:sz w:val="20"/>
                <w:szCs w:val="20"/>
              </w:rPr>
            </w:pPr>
          </w:p>
        </w:tc>
      </w:tr>
      <w:tr w:rsidR="00811940" w:rsidRPr="00A253D9" w14:paraId="4D6289A4" w14:textId="77777777" w:rsidTr="002F3BA8">
        <w:trPr>
          <w:gridAfter w:val="3"/>
          <w:wAfter w:w="21576" w:type="dxa"/>
          <w:cantSplit/>
          <w:trHeight w:val="233"/>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5F93BA84" w14:textId="77777777" w:rsidR="00811940" w:rsidRPr="00A253D9" w:rsidRDefault="00811940" w:rsidP="00811940">
            <w:pPr>
              <w:rPr>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675416" w14:textId="5D94EAEA" w:rsidR="00811940" w:rsidRPr="00A253D9" w:rsidRDefault="00811940" w:rsidP="00811940">
            <w:pPr>
              <w:jc w:val="center"/>
              <w:rPr>
                <w:sz w:val="16"/>
                <w:szCs w:val="20"/>
              </w:rPr>
            </w:pPr>
            <w:r w:rsidRPr="00A253D9">
              <w:rPr>
                <w:i/>
                <w:sz w:val="16"/>
                <w:szCs w:val="20"/>
              </w:rPr>
              <w:t>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1ACAE" w14:textId="6F515F46" w:rsidR="00811940" w:rsidRPr="00A253D9" w:rsidRDefault="00811940" w:rsidP="00811940">
            <w:pPr>
              <w:jc w:val="center"/>
              <w:rPr>
                <w:i/>
                <w:sz w:val="16"/>
                <w:szCs w:val="20"/>
              </w:rPr>
            </w:pPr>
            <w:r>
              <w:rPr>
                <w:i/>
                <w:sz w:val="16"/>
                <w:szCs w:val="20"/>
              </w:rPr>
              <w:t>825</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1A5D23" w14:textId="1FC10355" w:rsidR="00811940" w:rsidRPr="00A253D9" w:rsidRDefault="00811940" w:rsidP="00811940">
            <w:pPr>
              <w:jc w:val="center"/>
              <w:rPr>
                <w:i/>
                <w:sz w:val="16"/>
                <w:szCs w:val="20"/>
              </w:rPr>
            </w:pPr>
            <w:r w:rsidRPr="00F62C9B">
              <w:rPr>
                <w:i/>
                <w:sz w:val="16"/>
                <w:szCs w:val="20"/>
              </w:rPr>
              <w:t>950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7F73DDF4" w14:textId="4AA993F1" w:rsidR="00811940" w:rsidRPr="00A253D9" w:rsidRDefault="00811940" w:rsidP="00811940">
            <w:pPr>
              <w:jc w:val="center"/>
              <w:rPr>
                <w:i/>
                <w:sz w:val="16"/>
                <w:szCs w:val="20"/>
              </w:rPr>
            </w:pPr>
            <w:r w:rsidRPr="00741F54">
              <w:rPr>
                <w:i/>
                <w:sz w:val="16"/>
                <w:szCs w:val="20"/>
              </w:rPr>
              <w:t>950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1B16DC78" w14:textId="669D6A00" w:rsidR="00811940" w:rsidRPr="00F62C9B" w:rsidRDefault="00811940" w:rsidP="00811940">
            <w:pPr>
              <w:jc w:val="center"/>
              <w:rPr>
                <w:i/>
                <w:sz w:val="16"/>
                <w:szCs w:val="20"/>
              </w:rPr>
            </w:pPr>
            <w:r>
              <w:rPr>
                <w:i/>
                <w:sz w:val="16"/>
                <w:szCs w:val="20"/>
              </w:rPr>
              <w:t>1,000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5714A09D" w14:textId="36DDAF54" w:rsidR="00811940" w:rsidRPr="00A253D9" w:rsidRDefault="00811940" w:rsidP="00811940">
            <w:pPr>
              <w:jc w:val="center"/>
              <w:rPr>
                <w:i/>
                <w:sz w:val="16"/>
                <w:szCs w:val="20"/>
              </w:rPr>
            </w:pPr>
          </w:p>
        </w:tc>
      </w:tr>
      <w:tr w:rsidR="00811940" w:rsidRPr="00A253D9" w14:paraId="6F20DC2D" w14:textId="77777777" w:rsidTr="002F3BA8">
        <w:trPr>
          <w:gridAfter w:val="3"/>
          <w:wAfter w:w="21576" w:type="dxa"/>
          <w:cantSplit/>
          <w:trHeight w:val="288"/>
        </w:trPr>
        <w:tc>
          <w:tcPr>
            <w:tcW w:w="3240" w:type="dxa"/>
            <w:vMerge w:val="restart"/>
            <w:tcBorders>
              <w:top w:val="single" w:sz="4" w:space="0" w:color="auto"/>
              <w:left w:val="single" w:sz="4" w:space="0" w:color="auto"/>
              <w:right w:val="single" w:sz="4" w:space="0" w:color="auto"/>
            </w:tcBorders>
            <w:vAlign w:val="center"/>
          </w:tcPr>
          <w:p w14:paraId="7509070D" w14:textId="698C32D4" w:rsidR="00811940" w:rsidRPr="00A253D9" w:rsidRDefault="00811940" w:rsidP="00811940">
            <w:pPr>
              <w:pStyle w:val="ListParagraph"/>
              <w:ind w:left="342"/>
              <w:rPr>
                <w:bCs/>
                <w:sz w:val="20"/>
                <w:szCs w:val="20"/>
              </w:rPr>
            </w:pPr>
            <w:r w:rsidRPr="00A253D9">
              <w:rPr>
                <w:bCs/>
                <w:sz w:val="20"/>
                <w:szCs w:val="20"/>
              </w:rPr>
              <w:t>Educational Specialist’s Degree</w:t>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6085CA" w14:textId="5AABAC0C" w:rsidR="00811940" w:rsidRPr="00A253D9" w:rsidRDefault="00811940" w:rsidP="00811940">
            <w:pPr>
              <w:jc w:val="center"/>
              <w:rPr>
                <w:sz w:val="20"/>
                <w:szCs w:val="20"/>
              </w:rPr>
            </w:pPr>
            <w:r w:rsidRPr="00A253D9">
              <w:rPr>
                <w:sz w:val="20"/>
                <w:szCs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F99130" w14:textId="3FF87FF4" w:rsidR="00811940" w:rsidRPr="00BF7A96" w:rsidRDefault="00811940" w:rsidP="00811940">
            <w:pPr>
              <w:jc w:val="center"/>
              <w:rPr>
                <w:sz w:val="20"/>
                <w:szCs w:val="20"/>
              </w:rPr>
            </w:pPr>
            <w:r>
              <w:rPr>
                <w:sz w:val="20"/>
                <w:szCs w:val="20"/>
              </w:rPr>
              <w:t>19</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43D38D" w14:textId="3B519A71" w:rsidR="00811940" w:rsidRPr="00A253D9" w:rsidRDefault="00811940" w:rsidP="00811940">
            <w:pPr>
              <w:jc w:val="center"/>
              <w:rPr>
                <w:sz w:val="20"/>
                <w:szCs w:val="20"/>
              </w:rPr>
            </w:pPr>
            <w:r w:rsidRPr="00F62C9B">
              <w:rPr>
                <w:sz w:val="20"/>
                <w:szCs w:val="20"/>
              </w:rPr>
              <w:t>24</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179E77" w14:textId="449EC2FB" w:rsidR="00811940" w:rsidRPr="00A253D9" w:rsidRDefault="00811940" w:rsidP="00811940">
            <w:pPr>
              <w:jc w:val="center"/>
              <w:rPr>
                <w:sz w:val="20"/>
                <w:szCs w:val="20"/>
              </w:rPr>
            </w:pPr>
            <w:r w:rsidRPr="008C5077">
              <w:rPr>
                <w:sz w:val="20"/>
                <w:szCs w:val="20"/>
              </w:rPr>
              <w:t>23</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2717B2" w14:textId="19AB0089" w:rsidR="00811940" w:rsidRPr="008C5077" w:rsidRDefault="00811940" w:rsidP="00811940">
            <w:pPr>
              <w:jc w:val="center"/>
              <w:rPr>
                <w:sz w:val="20"/>
                <w:szCs w:val="20"/>
              </w:rPr>
            </w:pPr>
            <w:r w:rsidRPr="00741F54">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C4C0AF" w14:textId="259A1EBD" w:rsidR="00811940" w:rsidRPr="00A253D9" w:rsidRDefault="00811940" w:rsidP="00811940">
            <w:pPr>
              <w:jc w:val="center"/>
              <w:rPr>
                <w:sz w:val="20"/>
                <w:szCs w:val="20"/>
              </w:rPr>
            </w:pPr>
          </w:p>
        </w:tc>
      </w:tr>
      <w:tr w:rsidR="00811940" w:rsidRPr="00A253D9" w14:paraId="5AA63973" w14:textId="77777777" w:rsidTr="002F3BA8">
        <w:trPr>
          <w:gridAfter w:val="3"/>
          <w:wAfter w:w="21576" w:type="dxa"/>
          <w:cantSplit/>
          <w:trHeight w:val="288"/>
        </w:trPr>
        <w:tc>
          <w:tcPr>
            <w:tcW w:w="3240" w:type="dxa"/>
            <w:vMerge/>
            <w:tcBorders>
              <w:left w:val="single" w:sz="4" w:space="0" w:color="auto"/>
              <w:bottom w:val="single" w:sz="4" w:space="0" w:color="auto"/>
              <w:right w:val="single" w:sz="4" w:space="0" w:color="auto"/>
            </w:tcBorders>
            <w:vAlign w:val="center"/>
          </w:tcPr>
          <w:p w14:paraId="1825755E" w14:textId="77777777" w:rsidR="00811940" w:rsidRPr="00A253D9" w:rsidRDefault="00811940" w:rsidP="00811940">
            <w:pPr>
              <w:pStyle w:val="ListParagraph"/>
              <w:ind w:left="342"/>
              <w:rPr>
                <w:bCs/>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46632" w14:textId="1739664E" w:rsidR="00811940" w:rsidRPr="00A253D9" w:rsidRDefault="00811940" w:rsidP="00811940">
            <w:pPr>
              <w:jc w:val="center"/>
              <w:rPr>
                <w:sz w:val="16"/>
                <w:szCs w:val="20"/>
              </w:rPr>
            </w:pPr>
            <w:r w:rsidRPr="00A253D9">
              <w:rPr>
                <w:i/>
                <w:sz w:val="16"/>
                <w:szCs w:val="20"/>
              </w:rPr>
              <w:t>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17E34" w14:textId="50404A15" w:rsidR="00811940" w:rsidRPr="00A253D9" w:rsidRDefault="00811940" w:rsidP="00811940">
            <w:pPr>
              <w:jc w:val="center"/>
              <w:rPr>
                <w:i/>
                <w:sz w:val="16"/>
                <w:szCs w:val="20"/>
              </w:rPr>
            </w:pPr>
            <w:r>
              <w:rPr>
                <w:i/>
                <w:sz w:val="16"/>
                <w:szCs w:val="20"/>
              </w:rPr>
              <w:t>20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37C6A" w14:textId="4D66D7F4" w:rsidR="00811940" w:rsidRPr="00A253D9" w:rsidRDefault="00811940" w:rsidP="00811940">
            <w:pPr>
              <w:jc w:val="center"/>
              <w:rPr>
                <w:i/>
                <w:sz w:val="16"/>
                <w:szCs w:val="20"/>
              </w:rPr>
            </w:pPr>
            <w:r w:rsidRPr="00F62C9B">
              <w:rPr>
                <w:i/>
                <w:sz w:val="16"/>
                <w:szCs w:val="20"/>
              </w:rPr>
              <w:t>23</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2078BB16" w14:textId="7D777AB0" w:rsidR="00811940" w:rsidRPr="00A253D9" w:rsidRDefault="00811940" w:rsidP="00811940">
            <w:pPr>
              <w:jc w:val="center"/>
              <w:rPr>
                <w:i/>
                <w:sz w:val="16"/>
                <w:szCs w:val="20"/>
              </w:rPr>
            </w:pPr>
            <w:r w:rsidRPr="00741F54">
              <w:rPr>
                <w:i/>
                <w:sz w:val="16"/>
                <w:szCs w:val="20"/>
              </w:rPr>
              <w:t>2</w:t>
            </w:r>
            <w:r>
              <w:rPr>
                <w:i/>
                <w:sz w:val="16"/>
                <w:szCs w:val="20"/>
              </w:rPr>
              <w:t>5</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52AE06E5" w14:textId="6BAAA3FA" w:rsidR="00811940" w:rsidRPr="00F62C9B" w:rsidRDefault="00811940" w:rsidP="00811940">
            <w:pPr>
              <w:jc w:val="center"/>
              <w:rPr>
                <w:i/>
                <w:sz w:val="16"/>
                <w:szCs w:val="20"/>
              </w:rPr>
            </w:pPr>
            <w:r>
              <w:rPr>
                <w:i/>
                <w:sz w:val="16"/>
                <w:szCs w:val="20"/>
              </w:rPr>
              <w:t>25</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794B591A" w14:textId="35D3F948" w:rsidR="00811940" w:rsidRPr="00A253D9" w:rsidRDefault="00811940" w:rsidP="00811940">
            <w:pPr>
              <w:jc w:val="center"/>
              <w:rPr>
                <w:i/>
                <w:sz w:val="16"/>
                <w:szCs w:val="20"/>
              </w:rPr>
            </w:pPr>
          </w:p>
        </w:tc>
      </w:tr>
      <w:tr w:rsidR="00811940" w:rsidRPr="00A253D9" w14:paraId="1E5AA2AF" w14:textId="77777777" w:rsidTr="002F3BA8">
        <w:trPr>
          <w:gridAfter w:val="3"/>
          <w:wAfter w:w="21576" w:type="dxa"/>
          <w:cantSplit/>
          <w:trHeight w:val="288"/>
        </w:trPr>
        <w:tc>
          <w:tcPr>
            <w:tcW w:w="3240" w:type="dxa"/>
            <w:vMerge w:val="restart"/>
            <w:tcBorders>
              <w:top w:val="single" w:sz="4" w:space="0" w:color="auto"/>
              <w:left w:val="single" w:sz="4" w:space="0" w:color="auto"/>
              <w:bottom w:val="single" w:sz="4" w:space="0" w:color="auto"/>
              <w:right w:val="single" w:sz="4" w:space="0" w:color="auto"/>
            </w:tcBorders>
            <w:vAlign w:val="center"/>
            <w:hideMark/>
          </w:tcPr>
          <w:p w14:paraId="084967B4" w14:textId="44DD0396" w:rsidR="00811940" w:rsidRPr="00A253D9" w:rsidRDefault="00811940" w:rsidP="00811940">
            <w:pPr>
              <w:pStyle w:val="ListParagraph"/>
              <w:ind w:left="342"/>
              <w:rPr>
                <w:bCs/>
                <w:color w:val="993366"/>
                <w:sz w:val="20"/>
                <w:szCs w:val="20"/>
              </w:rPr>
            </w:pPr>
            <w:r w:rsidRPr="00A253D9">
              <w:rPr>
                <w:bCs/>
                <w:sz w:val="20"/>
                <w:szCs w:val="20"/>
              </w:rPr>
              <w:t>Doctoral Degree</w:t>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1C13C0" w14:textId="46B7E458" w:rsidR="00811940" w:rsidRPr="00A253D9" w:rsidRDefault="00811940" w:rsidP="00811940">
            <w:pPr>
              <w:jc w:val="center"/>
              <w:rPr>
                <w:sz w:val="20"/>
                <w:szCs w:val="20"/>
              </w:rPr>
            </w:pPr>
            <w:r w:rsidRPr="00A253D9">
              <w:rPr>
                <w:sz w:val="20"/>
                <w:szCs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2E586E" w14:textId="0C619959" w:rsidR="00811940" w:rsidRPr="00A253D9" w:rsidRDefault="00811940" w:rsidP="00811940">
            <w:pPr>
              <w:jc w:val="center"/>
              <w:rPr>
                <w:sz w:val="20"/>
                <w:szCs w:val="20"/>
              </w:rPr>
            </w:pPr>
            <w:r>
              <w:rPr>
                <w:sz w:val="20"/>
                <w:szCs w:val="20"/>
              </w:rPr>
              <w:t>45</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037031" w14:textId="174491A0" w:rsidR="00811940" w:rsidRPr="00A253D9" w:rsidRDefault="00811940" w:rsidP="00811940">
            <w:pPr>
              <w:jc w:val="center"/>
              <w:rPr>
                <w:sz w:val="20"/>
                <w:szCs w:val="20"/>
                <w:highlight w:val="yellow"/>
              </w:rPr>
            </w:pPr>
            <w:r w:rsidRPr="00F62C9B">
              <w:rPr>
                <w:sz w:val="20"/>
                <w:szCs w:val="20"/>
              </w:rPr>
              <w:t>53</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F3FECA" w14:textId="3C9353A2" w:rsidR="00811940" w:rsidRPr="00A253D9" w:rsidRDefault="00811940" w:rsidP="00811940">
            <w:pPr>
              <w:jc w:val="center"/>
              <w:rPr>
                <w:sz w:val="20"/>
                <w:szCs w:val="20"/>
                <w:highlight w:val="yellow"/>
              </w:rPr>
            </w:pPr>
            <w:r w:rsidRPr="008C5077">
              <w:rPr>
                <w:sz w:val="20"/>
                <w:szCs w:val="20"/>
              </w:rPr>
              <w:t>50</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24FF1" w14:textId="7AFC43A4" w:rsidR="00811940" w:rsidRPr="008C5077" w:rsidRDefault="00811940" w:rsidP="00811940">
            <w:pPr>
              <w:jc w:val="center"/>
              <w:rPr>
                <w:sz w:val="20"/>
                <w:szCs w:val="20"/>
              </w:rPr>
            </w:pPr>
            <w:r w:rsidRPr="00741F54">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41B21C" w14:textId="14FA85AC" w:rsidR="00811940" w:rsidRPr="00A253D9" w:rsidRDefault="00811940" w:rsidP="00811940">
            <w:pPr>
              <w:jc w:val="center"/>
              <w:rPr>
                <w:sz w:val="20"/>
                <w:szCs w:val="20"/>
              </w:rPr>
            </w:pPr>
          </w:p>
        </w:tc>
      </w:tr>
      <w:tr w:rsidR="00811940" w:rsidRPr="00A253D9" w14:paraId="25152C79" w14:textId="77777777" w:rsidTr="002F3BA8">
        <w:trPr>
          <w:gridAfter w:val="3"/>
          <w:wAfter w:w="21576" w:type="dxa"/>
          <w:cantSplit/>
          <w:trHeight w:val="278"/>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161FC421" w14:textId="77777777" w:rsidR="00811940" w:rsidRPr="00A253D9" w:rsidRDefault="00811940" w:rsidP="00811940">
            <w:pPr>
              <w:rPr>
                <w:bCs/>
                <w:color w:val="993366"/>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B3F470" w14:textId="196C4D98" w:rsidR="00811940" w:rsidRPr="00A253D9" w:rsidRDefault="00811940" w:rsidP="00811940">
            <w:pPr>
              <w:jc w:val="center"/>
              <w:rPr>
                <w:sz w:val="16"/>
                <w:szCs w:val="20"/>
              </w:rPr>
            </w:pPr>
            <w:r w:rsidRPr="00A253D9">
              <w:rPr>
                <w:i/>
                <w:sz w:val="16"/>
                <w:szCs w:val="20"/>
              </w:rPr>
              <w:t>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54D59" w14:textId="3ABBE9F5" w:rsidR="00811940" w:rsidRPr="00A253D9" w:rsidRDefault="00811940" w:rsidP="00811940">
            <w:pPr>
              <w:jc w:val="center"/>
              <w:rPr>
                <w:i/>
                <w:sz w:val="16"/>
                <w:szCs w:val="20"/>
              </w:rPr>
            </w:pPr>
            <w:r>
              <w:rPr>
                <w:i/>
                <w:sz w:val="16"/>
                <w:szCs w:val="20"/>
              </w:rPr>
              <w:t>38</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50EF2" w14:textId="560B2DC0" w:rsidR="00811940" w:rsidRPr="00A253D9" w:rsidRDefault="00811940" w:rsidP="00811940">
            <w:pPr>
              <w:jc w:val="center"/>
              <w:rPr>
                <w:i/>
                <w:sz w:val="16"/>
                <w:szCs w:val="20"/>
              </w:rPr>
            </w:pPr>
            <w:r w:rsidRPr="00F62C9B">
              <w:rPr>
                <w:i/>
                <w:sz w:val="16"/>
                <w:szCs w:val="20"/>
              </w:rPr>
              <w:t>40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16FB3BEC" w14:textId="05E6FF1D" w:rsidR="00811940" w:rsidRPr="00A253D9" w:rsidRDefault="00811940" w:rsidP="00811940">
            <w:pPr>
              <w:jc w:val="center"/>
              <w:rPr>
                <w:i/>
                <w:sz w:val="16"/>
                <w:szCs w:val="20"/>
              </w:rPr>
            </w:pPr>
            <w:r>
              <w:rPr>
                <w:i/>
                <w:sz w:val="16"/>
                <w:szCs w:val="20"/>
              </w:rPr>
              <w:t>50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3F3696B0" w14:textId="09D59F48" w:rsidR="00811940" w:rsidRPr="00F62C9B" w:rsidRDefault="00811940" w:rsidP="00811940">
            <w:pPr>
              <w:jc w:val="center"/>
              <w:rPr>
                <w:i/>
                <w:sz w:val="16"/>
                <w:szCs w:val="20"/>
              </w:rPr>
            </w:pPr>
            <w:r>
              <w:rPr>
                <w:i/>
                <w:sz w:val="16"/>
                <w:szCs w:val="20"/>
              </w:rPr>
              <w:t>58</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2C3FC27E" w14:textId="5B55DF32" w:rsidR="00811940" w:rsidRPr="00A253D9" w:rsidRDefault="00811940" w:rsidP="00811940">
            <w:pPr>
              <w:jc w:val="center"/>
              <w:rPr>
                <w:i/>
                <w:sz w:val="16"/>
                <w:szCs w:val="20"/>
              </w:rPr>
            </w:pPr>
          </w:p>
        </w:tc>
      </w:tr>
      <w:tr w:rsidR="00811940" w:rsidRPr="00A253D9" w14:paraId="075F308E" w14:textId="77777777" w:rsidTr="002F3BA8">
        <w:trPr>
          <w:gridAfter w:val="3"/>
          <w:wAfter w:w="21576" w:type="dxa"/>
          <w:cantSplit/>
          <w:trHeight w:val="288"/>
        </w:trPr>
        <w:tc>
          <w:tcPr>
            <w:tcW w:w="3240" w:type="dxa"/>
            <w:vMerge w:val="restart"/>
            <w:tcBorders>
              <w:top w:val="single" w:sz="4" w:space="0" w:color="auto"/>
              <w:left w:val="single" w:sz="4" w:space="0" w:color="auto"/>
              <w:bottom w:val="single" w:sz="4" w:space="0" w:color="auto"/>
              <w:right w:val="single" w:sz="4" w:space="0" w:color="auto"/>
            </w:tcBorders>
            <w:vAlign w:val="center"/>
            <w:hideMark/>
          </w:tcPr>
          <w:p w14:paraId="1B82B6EE" w14:textId="5EA81F27" w:rsidR="00811940" w:rsidRPr="00A253D9" w:rsidRDefault="00811940" w:rsidP="00811940">
            <w:pPr>
              <w:pStyle w:val="ListParagraph"/>
              <w:ind w:left="342"/>
              <w:rPr>
                <w:bCs/>
                <w:sz w:val="20"/>
                <w:szCs w:val="20"/>
              </w:rPr>
            </w:pPr>
            <w:r w:rsidRPr="00A253D9">
              <w:rPr>
                <w:bCs/>
                <w:sz w:val="20"/>
                <w:szCs w:val="20"/>
              </w:rPr>
              <w:t>Total distinct graduates</w:t>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B09BDC" w14:textId="4C1B1D63" w:rsidR="00811940" w:rsidRPr="00A253D9" w:rsidRDefault="00811940" w:rsidP="00811940">
            <w:pPr>
              <w:jc w:val="center"/>
              <w:rPr>
                <w:sz w:val="20"/>
                <w:szCs w:val="20"/>
              </w:rPr>
            </w:pPr>
            <w:r w:rsidRPr="00A253D9">
              <w:rPr>
                <w:sz w:val="20"/>
                <w:szCs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5800C5" w14:textId="634C32EB" w:rsidR="00811940" w:rsidRPr="00A253D9" w:rsidRDefault="00811940" w:rsidP="00811940">
            <w:pPr>
              <w:jc w:val="center"/>
              <w:rPr>
                <w:sz w:val="20"/>
                <w:szCs w:val="20"/>
              </w:rPr>
            </w:pPr>
            <w:r>
              <w:rPr>
                <w:sz w:val="20"/>
                <w:szCs w:val="20"/>
              </w:rPr>
              <w:t>4,455</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2241BC" w14:textId="7D4A5030" w:rsidR="00811940" w:rsidRPr="00A253D9" w:rsidRDefault="00811940" w:rsidP="00811940">
            <w:pPr>
              <w:jc w:val="center"/>
              <w:rPr>
                <w:sz w:val="20"/>
                <w:szCs w:val="20"/>
                <w:highlight w:val="yellow"/>
              </w:rPr>
            </w:pPr>
            <w:r w:rsidRPr="00F62C9B">
              <w:rPr>
                <w:sz w:val="20"/>
                <w:szCs w:val="20"/>
              </w:rPr>
              <w:t>4,7</w:t>
            </w:r>
            <w:r>
              <w:rPr>
                <w:sz w:val="20"/>
                <w:szCs w:val="20"/>
              </w:rPr>
              <w:t>60</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40A92C" w14:textId="26F33414" w:rsidR="00811940" w:rsidRPr="00A253D9" w:rsidRDefault="00811940" w:rsidP="00811940">
            <w:pPr>
              <w:jc w:val="center"/>
              <w:rPr>
                <w:sz w:val="20"/>
                <w:szCs w:val="20"/>
                <w:highlight w:val="yellow"/>
              </w:rPr>
            </w:pPr>
            <w:r w:rsidRPr="008C5077">
              <w:rPr>
                <w:sz w:val="20"/>
                <w:szCs w:val="20"/>
              </w:rPr>
              <w:t>5,120</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6AD04" w14:textId="5B21B9CE" w:rsidR="00811940" w:rsidRPr="008C5077" w:rsidRDefault="00811940" w:rsidP="00811940">
            <w:pPr>
              <w:jc w:val="center"/>
              <w:rPr>
                <w:sz w:val="20"/>
                <w:szCs w:val="20"/>
              </w:rPr>
            </w:pPr>
            <w:r w:rsidRPr="00741F54">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8367C" w14:textId="4632A8BE" w:rsidR="00811940" w:rsidRPr="00A253D9" w:rsidRDefault="00811940" w:rsidP="00811940">
            <w:pPr>
              <w:jc w:val="center"/>
              <w:rPr>
                <w:sz w:val="20"/>
                <w:szCs w:val="20"/>
              </w:rPr>
            </w:pPr>
          </w:p>
        </w:tc>
      </w:tr>
      <w:tr w:rsidR="00811940" w:rsidRPr="00A253D9" w14:paraId="0857BA75" w14:textId="77777777" w:rsidTr="002F3BA8">
        <w:trPr>
          <w:gridAfter w:val="3"/>
          <w:wAfter w:w="21576" w:type="dxa"/>
          <w:cantSplit/>
          <w:trHeight w:val="288"/>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69D67493" w14:textId="77777777" w:rsidR="00811940" w:rsidRPr="00A253D9" w:rsidRDefault="00811940" w:rsidP="00811940">
            <w:pPr>
              <w:rPr>
                <w:bCs/>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43260F" w14:textId="187E4B8C" w:rsidR="00811940" w:rsidRPr="00A253D9" w:rsidRDefault="00811940" w:rsidP="00811940">
            <w:pPr>
              <w:jc w:val="center"/>
              <w:rPr>
                <w:sz w:val="16"/>
                <w:szCs w:val="20"/>
              </w:rPr>
            </w:pPr>
            <w:r w:rsidRPr="00A253D9">
              <w:rPr>
                <w:i/>
                <w:sz w:val="16"/>
                <w:szCs w:val="20"/>
              </w:rPr>
              <w:t>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7F48D" w14:textId="37E20C2C" w:rsidR="00811940" w:rsidRPr="00A253D9" w:rsidRDefault="00811940" w:rsidP="00811940">
            <w:pPr>
              <w:jc w:val="center"/>
              <w:rPr>
                <w:i/>
                <w:sz w:val="16"/>
                <w:szCs w:val="20"/>
              </w:rPr>
            </w:pPr>
            <w:r w:rsidRPr="00A253D9">
              <w:rPr>
                <w:i/>
                <w:sz w:val="16"/>
                <w:szCs w:val="20"/>
              </w:rPr>
              <w:t>Increase over prior year</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9CAB" w14:textId="75F9C2E2" w:rsidR="00811940" w:rsidRPr="00A253D9" w:rsidRDefault="00811940" w:rsidP="00811940">
            <w:pPr>
              <w:jc w:val="center"/>
              <w:rPr>
                <w:i/>
                <w:sz w:val="16"/>
                <w:szCs w:val="20"/>
              </w:rPr>
            </w:pPr>
            <w:r w:rsidRPr="00F62C9B">
              <w:rPr>
                <w:i/>
                <w:sz w:val="16"/>
                <w:szCs w:val="20"/>
              </w:rPr>
              <w:t>Increase over prior year</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013FFEA0" w14:textId="09B63C36" w:rsidR="00811940" w:rsidRPr="00A253D9" w:rsidRDefault="00811940" w:rsidP="00811940">
            <w:pPr>
              <w:jc w:val="center"/>
              <w:rPr>
                <w:i/>
                <w:sz w:val="16"/>
                <w:szCs w:val="20"/>
              </w:rPr>
            </w:pPr>
            <w:r w:rsidRPr="00CF2FF1">
              <w:rPr>
                <w:i/>
                <w:sz w:val="16"/>
                <w:szCs w:val="20"/>
              </w:rPr>
              <w:t>Increase over prior year</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0F1803F0" w14:textId="2F308A82" w:rsidR="00811940" w:rsidRPr="00F62C9B" w:rsidRDefault="00811940" w:rsidP="00811940">
            <w:pPr>
              <w:jc w:val="center"/>
              <w:rPr>
                <w:i/>
                <w:sz w:val="16"/>
                <w:szCs w:val="20"/>
              </w:rPr>
            </w:pPr>
            <w:r w:rsidRPr="00CF2FF1">
              <w:rPr>
                <w:i/>
                <w:sz w:val="16"/>
                <w:szCs w:val="20"/>
              </w:rPr>
              <w:t>Increase over prior year</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275BD06D" w14:textId="2ECA7D54" w:rsidR="00811940" w:rsidRPr="00A253D9" w:rsidRDefault="00811940" w:rsidP="00811940">
            <w:pPr>
              <w:jc w:val="center"/>
              <w:rPr>
                <w:i/>
                <w:sz w:val="16"/>
                <w:szCs w:val="20"/>
              </w:rPr>
            </w:pPr>
          </w:p>
        </w:tc>
      </w:tr>
      <w:tr w:rsidR="00811940" w:rsidRPr="00A253D9" w14:paraId="06703512" w14:textId="72823047" w:rsidTr="00263F2B">
        <w:trPr>
          <w:gridAfter w:val="9"/>
          <w:wAfter w:w="28382" w:type="dxa"/>
          <w:cantSplit/>
          <w:trHeight w:val="350"/>
        </w:trPr>
        <w:tc>
          <w:tcPr>
            <w:tcW w:w="3240" w:type="dxa"/>
            <w:vAlign w:val="center"/>
          </w:tcPr>
          <w:p w14:paraId="0B0FCAFD" w14:textId="03A776B2" w:rsidR="00811940" w:rsidRPr="00A253D9" w:rsidRDefault="00811940" w:rsidP="00811940">
            <w:pPr>
              <w:pStyle w:val="ListParagraph"/>
              <w:numPr>
                <w:ilvl w:val="0"/>
                <w:numId w:val="18"/>
              </w:numPr>
              <w:ind w:left="327" w:hanging="327"/>
            </w:pPr>
            <w:r w:rsidRPr="00F3264E">
              <w:rPr>
                <w:sz w:val="20"/>
                <w:szCs w:val="20"/>
              </w:rPr>
              <w:t>First Year Retention Rate (Objective A)</w:t>
            </w:r>
          </w:p>
        </w:tc>
      </w:tr>
      <w:tr w:rsidR="00811940" w:rsidRPr="00A253D9" w14:paraId="2884E559" w14:textId="77777777" w:rsidTr="00263F2B">
        <w:trPr>
          <w:gridAfter w:val="3"/>
          <w:wAfter w:w="21576" w:type="dxa"/>
          <w:cantSplit/>
          <w:trHeight w:val="288"/>
        </w:trPr>
        <w:tc>
          <w:tcPr>
            <w:tcW w:w="3240" w:type="dxa"/>
            <w:vMerge w:val="restart"/>
            <w:tcBorders>
              <w:top w:val="single" w:sz="4" w:space="0" w:color="auto"/>
              <w:left w:val="single" w:sz="4" w:space="0" w:color="auto"/>
              <w:bottom w:val="single" w:sz="4" w:space="0" w:color="auto"/>
              <w:right w:val="single" w:sz="4" w:space="0" w:color="auto"/>
            </w:tcBorders>
            <w:vAlign w:val="center"/>
            <w:hideMark/>
          </w:tcPr>
          <w:p w14:paraId="19B09CAD" w14:textId="4D3AB5DC" w:rsidR="00811940" w:rsidRPr="00A253D9" w:rsidRDefault="00811940" w:rsidP="00811940">
            <w:pPr>
              <w:pStyle w:val="ListParagraph"/>
              <w:ind w:left="342"/>
              <w:rPr>
                <w:bCs/>
                <w:sz w:val="20"/>
                <w:szCs w:val="20"/>
              </w:rPr>
            </w:pPr>
            <w:r w:rsidRPr="00A253D9">
              <w:rPr>
                <w:sz w:val="20"/>
                <w:szCs w:val="20"/>
              </w:rPr>
              <w:t xml:space="preserve">% </w:t>
            </w:r>
            <w:proofErr w:type="gramStart"/>
            <w:r w:rsidRPr="00A253D9">
              <w:rPr>
                <w:sz w:val="20"/>
                <w:szCs w:val="20"/>
              </w:rPr>
              <w:t>of</w:t>
            </w:r>
            <w:proofErr w:type="gramEnd"/>
            <w:r w:rsidRPr="00A253D9">
              <w:rPr>
                <w:sz w:val="20"/>
                <w:szCs w:val="20"/>
              </w:rPr>
              <w:t xml:space="preserve"> first-time, full-time freshmen retained</w:t>
            </w:r>
            <w:r w:rsidRPr="00A253D9">
              <w:rPr>
                <w:rStyle w:val="EndnoteReference"/>
                <w:sz w:val="20"/>
                <w:szCs w:val="20"/>
              </w:rPr>
              <w:endnoteReference w:id="10"/>
            </w:r>
            <w:r w:rsidRPr="00A253D9">
              <w:rPr>
                <w:sz w:val="20"/>
                <w:szCs w:val="20"/>
              </w:rPr>
              <w:t>*</w:t>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7767F9" w14:textId="25D71681" w:rsidR="00811940" w:rsidRPr="00A253D9" w:rsidRDefault="00811940" w:rsidP="00811940">
            <w:pPr>
              <w:jc w:val="center"/>
              <w:rPr>
                <w:sz w:val="20"/>
                <w:szCs w:val="20"/>
              </w:rPr>
            </w:pPr>
            <w:r w:rsidRPr="00A253D9">
              <w:rPr>
                <w:sz w:val="20"/>
                <w:szCs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B8D5C8" w14:textId="77777777" w:rsidR="00811940" w:rsidRPr="00B2334D" w:rsidRDefault="00811940" w:rsidP="00811940">
            <w:pPr>
              <w:jc w:val="center"/>
              <w:rPr>
                <w:sz w:val="16"/>
                <w:szCs w:val="20"/>
              </w:rPr>
            </w:pPr>
            <w:r>
              <w:rPr>
                <w:sz w:val="16"/>
                <w:szCs w:val="20"/>
              </w:rPr>
              <w:t>F2018</w:t>
            </w:r>
            <w:r w:rsidRPr="00A253D9">
              <w:rPr>
                <w:sz w:val="16"/>
                <w:szCs w:val="20"/>
              </w:rPr>
              <w:t xml:space="preserve"> cohort</w:t>
            </w:r>
          </w:p>
          <w:p w14:paraId="2ADC8E1B" w14:textId="28EE0E1C" w:rsidR="00811940" w:rsidRPr="00A253D9" w:rsidRDefault="00811940" w:rsidP="00811940">
            <w:pPr>
              <w:jc w:val="center"/>
              <w:rPr>
                <w:sz w:val="20"/>
                <w:szCs w:val="20"/>
              </w:rPr>
            </w:pPr>
            <w:r w:rsidRPr="005807EE">
              <w:rPr>
                <w:sz w:val="20"/>
                <w:szCs w:val="20"/>
              </w:rPr>
              <w:t>79</w:t>
            </w:r>
            <w:r>
              <w:rPr>
                <w:sz w:val="20"/>
                <w:szCs w:val="20"/>
              </w:rPr>
              <w:t>.5</w:t>
            </w:r>
            <w:r w:rsidRPr="005807EE">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A00157" w14:textId="77777777" w:rsidR="00811940" w:rsidRPr="00B2334D" w:rsidRDefault="00811940" w:rsidP="00811940">
            <w:pPr>
              <w:jc w:val="center"/>
              <w:rPr>
                <w:sz w:val="16"/>
                <w:szCs w:val="20"/>
              </w:rPr>
            </w:pPr>
            <w:r>
              <w:rPr>
                <w:sz w:val="16"/>
                <w:szCs w:val="20"/>
              </w:rPr>
              <w:t>F2019</w:t>
            </w:r>
            <w:r w:rsidRPr="00A253D9">
              <w:rPr>
                <w:sz w:val="16"/>
                <w:szCs w:val="20"/>
              </w:rPr>
              <w:t xml:space="preserve"> cohort</w:t>
            </w:r>
          </w:p>
          <w:p w14:paraId="6A4462B2" w14:textId="48605726" w:rsidR="00811940" w:rsidRPr="00A253D9" w:rsidRDefault="00811940" w:rsidP="00811940">
            <w:pPr>
              <w:jc w:val="center"/>
              <w:rPr>
                <w:sz w:val="20"/>
                <w:szCs w:val="20"/>
              </w:rPr>
            </w:pPr>
            <w:r w:rsidRPr="00A5194D">
              <w:rPr>
                <w:iCs/>
                <w:sz w:val="20"/>
                <w:szCs w:val="20"/>
              </w:rPr>
              <w:t>77.8%</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FC1FE7" w14:textId="77777777" w:rsidR="00811940" w:rsidRPr="00B2334D" w:rsidRDefault="00811940" w:rsidP="00811940">
            <w:pPr>
              <w:jc w:val="center"/>
              <w:rPr>
                <w:sz w:val="16"/>
                <w:szCs w:val="20"/>
              </w:rPr>
            </w:pPr>
            <w:r>
              <w:rPr>
                <w:sz w:val="16"/>
                <w:szCs w:val="20"/>
              </w:rPr>
              <w:t>F2020</w:t>
            </w:r>
            <w:r w:rsidRPr="00A253D9">
              <w:rPr>
                <w:sz w:val="16"/>
                <w:szCs w:val="20"/>
              </w:rPr>
              <w:t xml:space="preserve"> cohort</w:t>
            </w:r>
          </w:p>
          <w:p w14:paraId="0D60A542" w14:textId="77777777" w:rsidR="00811940" w:rsidRDefault="00811940" w:rsidP="00811940">
            <w:pPr>
              <w:jc w:val="center"/>
              <w:rPr>
                <w:iCs/>
                <w:sz w:val="20"/>
                <w:szCs w:val="20"/>
              </w:rPr>
            </w:pPr>
            <w:r w:rsidRPr="00461977">
              <w:rPr>
                <w:iCs/>
                <w:sz w:val="20"/>
                <w:szCs w:val="20"/>
              </w:rPr>
              <w:t>7</w:t>
            </w:r>
            <w:r>
              <w:rPr>
                <w:iCs/>
                <w:sz w:val="20"/>
                <w:szCs w:val="20"/>
              </w:rPr>
              <w:t>5</w:t>
            </w:r>
            <w:r w:rsidRPr="00461977">
              <w:rPr>
                <w:iCs/>
                <w:sz w:val="20"/>
                <w:szCs w:val="20"/>
              </w:rPr>
              <w:t>.</w:t>
            </w:r>
            <w:r>
              <w:rPr>
                <w:iCs/>
                <w:sz w:val="20"/>
                <w:szCs w:val="20"/>
              </w:rPr>
              <w:t>3</w:t>
            </w:r>
            <w:r w:rsidRPr="00461977">
              <w:rPr>
                <w:iCs/>
                <w:sz w:val="20"/>
                <w:szCs w:val="20"/>
              </w:rPr>
              <w:t>%</w:t>
            </w:r>
          </w:p>
          <w:p w14:paraId="5C8B2C0A" w14:textId="4FB07B44" w:rsidR="00811940" w:rsidRPr="00A5194D" w:rsidRDefault="00811940" w:rsidP="00811940">
            <w:pPr>
              <w:jc w:val="center"/>
              <w:rPr>
                <w:iCs/>
                <w:sz w:val="20"/>
                <w:szCs w:val="20"/>
              </w:rPr>
            </w:pPr>
            <w:r w:rsidRPr="002D6A7D">
              <w:rPr>
                <w:iCs/>
                <w:sz w:val="18"/>
                <w:szCs w:val="20"/>
              </w:rPr>
              <w:t>(preliminary)</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75B293" w14:textId="77777777" w:rsidR="00811940" w:rsidRPr="00B2334D" w:rsidRDefault="00811940" w:rsidP="00811940">
            <w:pPr>
              <w:jc w:val="center"/>
              <w:rPr>
                <w:sz w:val="16"/>
                <w:szCs w:val="20"/>
              </w:rPr>
            </w:pPr>
            <w:r>
              <w:rPr>
                <w:sz w:val="16"/>
                <w:szCs w:val="20"/>
              </w:rPr>
              <w:t>F2021</w:t>
            </w:r>
            <w:r w:rsidRPr="00A253D9">
              <w:rPr>
                <w:sz w:val="16"/>
                <w:szCs w:val="20"/>
              </w:rPr>
              <w:t xml:space="preserve"> cohort</w:t>
            </w:r>
          </w:p>
          <w:p w14:paraId="6225729E" w14:textId="010C5760" w:rsidR="00811940" w:rsidRPr="004E4266" w:rsidRDefault="00811940" w:rsidP="00811940">
            <w:pPr>
              <w:jc w:val="center"/>
              <w:rPr>
                <w:i/>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AB0252" w14:textId="7769FB35" w:rsidR="00811940" w:rsidRPr="00A253D9" w:rsidRDefault="00811940" w:rsidP="00811940">
            <w:pPr>
              <w:jc w:val="center"/>
              <w:rPr>
                <w:sz w:val="20"/>
                <w:szCs w:val="20"/>
              </w:rPr>
            </w:pPr>
          </w:p>
        </w:tc>
      </w:tr>
      <w:tr w:rsidR="00811940" w:rsidRPr="00A253D9" w14:paraId="4C39DDBF" w14:textId="77777777" w:rsidTr="00263F2B">
        <w:trPr>
          <w:gridAfter w:val="3"/>
          <w:wAfter w:w="21576" w:type="dxa"/>
          <w:cantSplit/>
          <w:trHeight w:val="134"/>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0D5F4DD8" w14:textId="77777777" w:rsidR="00811940" w:rsidRPr="00A253D9" w:rsidRDefault="00811940" w:rsidP="00811940">
            <w:pPr>
              <w:rPr>
                <w:bCs/>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3A0806" w14:textId="64868458" w:rsidR="00811940" w:rsidRPr="00A253D9" w:rsidRDefault="00811940" w:rsidP="00811940">
            <w:pPr>
              <w:jc w:val="center"/>
              <w:rPr>
                <w:i/>
                <w:sz w:val="16"/>
                <w:szCs w:val="20"/>
              </w:rPr>
            </w:pPr>
            <w:r w:rsidRPr="00A253D9">
              <w:rPr>
                <w:i/>
                <w:sz w:val="16"/>
                <w:szCs w:val="20"/>
              </w:rPr>
              <w:t>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29CA0" w14:textId="7E508731" w:rsidR="00811940" w:rsidRPr="00A253D9" w:rsidRDefault="00811940" w:rsidP="00811940">
            <w:pPr>
              <w:jc w:val="center"/>
              <w:rPr>
                <w:i/>
                <w:sz w:val="16"/>
                <w:szCs w:val="20"/>
              </w:rPr>
            </w:pPr>
            <w:r>
              <w:rPr>
                <w:i/>
                <w:sz w:val="16"/>
                <w:szCs w:val="20"/>
              </w:rPr>
              <w:t>81%</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FAD25" w14:textId="725F622D" w:rsidR="00811940" w:rsidRPr="00A253D9" w:rsidRDefault="00811940" w:rsidP="00811940">
            <w:pPr>
              <w:jc w:val="center"/>
              <w:rPr>
                <w:i/>
                <w:sz w:val="16"/>
                <w:szCs w:val="20"/>
              </w:rPr>
            </w:pPr>
            <w:r>
              <w:rPr>
                <w:i/>
                <w:sz w:val="16"/>
                <w:szCs w:val="20"/>
              </w:rPr>
              <w:t>82%</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24A6C" w14:textId="50465075" w:rsidR="00811940" w:rsidRPr="00A253D9" w:rsidRDefault="00811940" w:rsidP="00811940">
            <w:pPr>
              <w:jc w:val="center"/>
              <w:rPr>
                <w:i/>
                <w:sz w:val="16"/>
                <w:szCs w:val="20"/>
              </w:rPr>
            </w:pPr>
            <w:r>
              <w:rPr>
                <w:i/>
                <w:sz w:val="16"/>
                <w:szCs w:val="20"/>
              </w:rPr>
              <w:t>82%</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DCCF5" w14:textId="348978F0" w:rsidR="00811940" w:rsidRPr="00A253D9" w:rsidRDefault="00811940" w:rsidP="00811940">
            <w:pPr>
              <w:jc w:val="center"/>
              <w:rPr>
                <w:i/>
                <w:sz w:val="16"/>
                <w:szCs w:val="20"/>
              </w:rPr>
            </w:pPr>
            <w:r>
              <w:rPr>
                <w:i/>
                <w:sz w:val="16"/>
                <w:szCs w:val="20"/>
              </w:rPr>
              <w:t>80%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C7D8F" w14:textId="007CA83E" w:rsidR="00811940" w:rsidRPr="00A253D9" w:rsidRDefault="00811940" w:rsidP="00811940">
            <w:pPr>
              <w:jc w:val="center"/>
              <w:rPr>
                <w:i/>
                <w:sz w:val="16"/>
                <w:szCs w:val="20"/>
              </w:rPr>
            </w:pPr>
          </w:p>
        </w:tc>
      </w:tr>
      <w:tr w:rsidR="00811940" w:rsidRPr="00A253D9" w14:paraId="19BBA847" w14:textId="77777777" w:rsidTr="00263F2B">
        <w:trPr>
          <w:gridAfter w:val="3"/>
          <w:wAfter w:w="21576" w:type="dxa"/>
          <w:cantSplit/>
          <w:trHeight w:val="305"/>
        </w:trPr>
        <w:tc>
          <w:tcPr>
            <w:tcW w:w="3240" w:type="dxa"/>
            <w:vMerge w:val="restart"/>
            <w:tcBorders>
              <w:top w:val="single" w:sz="4" w:space="0" w:color="auto"/>
              <w:left w:val="single" w:sz="4" w:space="0" w:color="auto"/>
              <w:right w:val="single" w:sz="4" w:space="0" w:color="auto"/>
            </w:tcBorders>
            <w:vAlign w:val="center"/>
          </w:tcPr>
          <w:p w14:paraId="3A827C04" w14:textId="215F7889" w:rsidR="00811940" w:rsidRPr="00A253D9" w:rsidRDefault="00811940" w:rsidP="00811940">
            <w:pPr>
              <w:pStyle w:val="ListParagraph"/>
              <w:ind w:left="342"/>
              <w:rPr>
                <w:sz w:val="20"/>
                <w:szCs w:val="20"/>
              </w:rPr>
            </w:pPr>
            <w:r w:rsidRPr="00A253D9">
              <w:rPr>
                <w:sz w:val="20"/>
                <w:szCs w:val="20"/>
              </w:rPr>
              <w:t>% of Idaho-resident Pell-eligible first-time full-time freshmen retained</w:t>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DC7674" w14:textId="7C9672CF" w:rsidR="00811940" w:rsidRPr="00A253D9" w:rsidRDefault="00811940" w:rsidP="00811940">
            <w:pPr>
              <w:jc w:val="center"/>
              <w:rPr>
                <w:sz w:val="20"/>
                <w:szCs w:val="20"/>
              </w:rPr>
            </w:pPr>
            <w:r w:rsidRPr="00A253D9">
              <w:rPr>
                <w:sz w:val="20"/>
                <w:szCs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B9012E" w14:textId="18F16043" w:rsidR="00811940" w:rsidRPr="00A253D9" w:rsidRDefault="00811940" w:rsidP="00811940">
            <w:pPr>
              <w:jc w:val="center"/>
              <w:rPr>
                <w:sz w:val="20"/>
                <w:szCs w:val="20"/>
              </w:rPr>
            </w:pPr>
            <w:r>
              <w:rPr>
                <w:sz w:val="20"/>
                <w:szCs w:val="20"/>
              </w:rPr>
              <w:t>72.0</w:t>
            </w:r>
            <w:r w:rsidRPr="005807EE">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6F0EA9" w14:textId="7F06B258" w:rsidR="00811940" w:rsidRPr="00A253D9" w:rsidRDefault="00811940" w:rsidP="00811940">
            <w:pPr>
              <w:jc w:val="center"/>
              <w:rPr>
                <w:sz w:val="20"/>
                <w:szCs w:val="20"/>
              </w:rPr>
            </w:pPr>
            <w:r w:rsidRPr="00A5194D">
              <w:rPr>
                <w:iCs/>
                <w:sz w:val="20"/>
                <w:szCs w:val="20"/>
              </w:rPr>
              <w:t>70.6%</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F4C92A" w14:textId="77777777" w:rsidR="00811940" w:rsidRDefault="00811940" w:rsidP="00811940">
            <w:pPr>
              <w:jc w:val="center"/>
              <w:rPr>
                <w:iCs/>
                <w:sz w:val="20"/>
                <w:szCs w:val="20"/>
              </w:rPr>
            </w:pPr>
            <w:r>
              <w:rPr>
                <w:iCs/>
                <w:sz w:val="20"/>
                <w:szCs w:val="20"/>
              </w:rPr>
              <w:t>64</w:t>
            </w:r>
            <w:r w:rsidRPr="00461977">
              <w:rPr>
                <w:iCs/>
                <w:sz w:val="20"/>
                <w:szCs w:val="20"/>
              </w:rPr>
              <w:t>.9%</w:t>
            </w:r>
          </w:p>
          <w:p w14:paraId="29925824" w14:textId="4FD61903" w:rsidR="00811940" w:rsidRPr="00A5194D" w:rsidRDefault="00811940" w:rsidP="00811940">
            <w:pPr>
              <w:jc w:val="center"/>
              <w:rPr>
                <w:iCs/>
                <w:sz w:val="20"/>
                <w:szCs w:val="20"/>
              </w:rPr>
            </w:pPr>
            <w:r w:rsidRPr="002D6A7D">
              <w:rPr>
                <w:iCs/>
                <w:sz w:val="18"/>
                <w:szCs w:val="20"/>
              </w:rPr>
              <w:t>(preliminary)</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4C2289" w14:textId="638A703D" w:rsidR="00811940" w:rsidRPr="00461977" w:rsidRDefault="00811940" w:rsidP="00811940">
            <w:pPr>
              <w:jc w:val="center"/>
              <w:rPr>
                <w:iCs/>
                <w:sz w:val="20"/>
                <w:szCs w:val="20"/>
              </w:rPr>
            </w:pPr>
            <w:r w:rsidRPr="00A253D9">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D5CA37" w14:textId="27D948BF" w:rsidR="00811940" w:rsidRPr="00A253D9" w:rsidRDefault="00811940" w:rsidP="00811940">
            <w:pPr>
              <w:jc w:val="center"/>
              <w:rPr>
                <w:sz w:val="20"/>
                <w:szCs w:val="20"/>
              </w:rPr>
            </w:pPr>
          </w:p>
        </w:tc>
      </w:tr>
      <w:tr w:rsidR="00811940" w:rsidRPr="00A253D9" w14:paraId="7CF2FFF5" w14:textId="77777777" w:rsidTr="00263F2B">
        <w:trPr>
          <w:gridAfter w:val="3"/>
          <w:wAfter w:w="21576" w:type="dxa"/>
          <w:cantSplit/>
          <w:trHeight w:val="305"/>
        </w:trPr>
        <w:tc>
          <w:tcPr>
            <w:tcW w:w="3240" w:type="dxa"/>
            <w:vMerge/>
            <w:tcBorders>
              <w:left w:val="single" w:sz="4" w:space="0" w:color="auto"/>
              <w:bottom w:val="single" w:sz="4" w:space="0" w:color="auto"/>
              <w:right w:val="single" w:sz="4" w:space="0" w:color="auto"/>
            </w:tcBorders>
            <w:vAlign w:val="center"/>
          </w:tcPr>
          <w:p w14:paraId="07BB4ACF" w14:textId="77777777" w:rsidR="00811940" w:rsidRPr="00A253D9" w:rsidRDefault="00811940" w:rsidP="00811940">
            <w:pPr>
              <w:pStyle w:val="ListParagraph"/>
              <w:ind w:left="342"/>
              <w:rPr>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1A0E5" w14:textId="76950DCD" w:rsidR="00811940" w:rsidRPr="00A253D9" w:rsidRDefault="00811940" w:rsidP="00811940">
            <w:pPr>
              <w:jc w:val="center"/>
              <w:rPr>
                <w:i/>
                <w:sz w:val="16"/>
                <w:szCs w:val="20"/>
              </w:rPr>
            </w:pPr>
            <w:r w:rsidRPr="00A253D9">
              <w:rPr>
                <w:i/>
                <w:sz w:val="16"/>
                <w:szCs w:val="20"/>
              </w:rPr>
              <w:t>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645CA" w14:textId="5100C06E" w:rsidR="00811940" w:rsidRPr="00A253D9" w:rsidRDefault="00811940" w:rsidP="00811940">
            <w:pPr>
              <w:jc w:val="center"/>
              <w:rPr>
                <w:sz w:val="16"/>
                <w:szCs w:val="20"/>
              </w:rPr>
            </w:pPr>
            <w:r>
              <w:rPr>
                <w:i/>
                <w:sz w:val="16"/>
                <w:szCs w:val="20"/>
              </w:rPr>
              <w:t>77%</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00CA1" w14:textId="24E327DC" w:rsidR="00811940" w:rsidRPr="00A253D9" w:rsidRDefault="00811940" w:rsidP="00811940">
            <w:pPr>
              <w:jc w:val="center"/>
              <w:rPr>
                <w:sz w:val="16"/>
                <w:szCs w:val="20"/>
              </w:rPr>
            </w:pPr>
            <w:r>
              <w:rPr>
                <w:i/>
                <w:sz w:val="16"/>
                <w:szCs w:val="20"/>
              </w:rPr>
              <w:t>74%</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169CF" w14:textId="397CEBFA" w:rsidR="00811940" w:rsidRPr="00A253D9" w:rsidRDefault="00811940" w:rsidP="00811940">
            <w:pPr>
              <w:jc w:val="center"/>
              <w:rPr>
                <w:sz w:val="16"/>
                <w:szCs w:val="20"/>
              </w:rPr>
            </w:pPr>
            <w:r>
              <w:rPr>
                <w:i/>
                <w:sz w:val="16"/>
                <w:szCs w:val="20"/>
              </w:rPr>
              <w:t>74%</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50490" w14:textId="0875B37C" w:rsidR="00811940" w:rsidRPr="00A253D9" w:rsidRDefault="00811940" w:rsidP="00811940">
            <w:pPr>
              <w:jc w:val="center"/>
              <w:rPr>
                <w:sz w:val="16"/>
                <w:szCs w:val="20"/>
              </w:rPr>
            </w:pPr>
            <w:r>
              <w:rPr>
                <w:i/>
                <w:sz w:val="16"/>
                <w:szCs w:val="20"/>
              </w:rPr>
              <w:t>73%</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CE466" w14:textId="50B6514F" w:rsidR="00811940" w:rsidRPr="00A253D9" w:rsidRDefault="00811940" w:rsidP="00811940">
            <w:pPr>
              <w:jc w:val="center"/>
              <w:rPr>
                <w:i/>
                <w:sz w:val="16"/>
                <w:szCs w:val="20"/>
              </w:rPr>
            </w:pPr>
          </w:p>
        </w:tc>
      </w:tr>
      <w:tr w:rsidR="00811940" w:rsidRPr="00A253D9" w14:paraId="5C81A715" w14:textId="77777777" w:rsidTr="00263F2B">
        <w:trPr>
          <w:gridAfter w:val="3"/>
          <w:wAfter w:w="21576" w:type="dxa"/>
          <w:cantSplit/>
          <w:trHeight w:val="305"/>
        </w:trPr>
        <w:tc>
          <w:tcPr>
            <w:tcW w:w="3240" w:type="dxa"/>
            <w:vMerge w:val="restart"/>
            <w:tcBorders>
              <w:top w:val="single" w:sz="4" w:space="0" w:color="auto"/>
              <w:left w:val="single" w:sz="4" w:space="0" w:color="auto"/>
              <w:bottom w:val="single" w:sz="4" w:space="0" w:color="auto"/>
              <w:right w:val="single" w:sz="4" w:space="0" w:color="auto"/>
            </w:tcBorders>
            <w:vAlign w:val="center"/>
            <w:hideMark/>
          </w:tcPr>
          <w:p w14:paraId="62FCB988" w14:textId="2DE5C448" w:rsidR="00811940" w:rsidRPr="00A253D9" w:rsidRDefault="00811940" w:rsidP="00811940">
            <w:pPr>
              <w:pStyle w:val="ListParagraph"/>
              <w:ind w:left="342"/>
              <w:rPr>
                <w:bCs/>
                <w:sz w:val="20"/>
                <w:szCs w:val="20"/>
              </w:rPr>
            </w:pPr>
            <w:r w:rsidRPr="00A253D9">
              <w:rPr>
                <w:sz w:val="20"/>
                <w:szCs w:val="20"/>
              </w:rPr>
              <w:t>% of full-time transfers retained or graduated</w:t>
            </w:r>
            <w:r>
              <w:rPr>
                <w:sz w:val="20"/>
                <w:szCs w:val="20"/>
              </w:rPr>
              <w:t>*</w:t>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668BBF" w14:textId="65B276A0" w:rsidR="00811940" w:rsidRPr="00A253D9" w:rsidRDefault="00811940" w:rsidP="00811940">
            <w:pPr>
              <w:jc w:val="center"/>
              <w:rPr>
                <w:sz w:val="20"/>
                <w:szCs w:val="20"/>
              </w:rPr>
            </w:pPr>
            <w:r w:rsidRPr="00A253D9">
              <w:rPr>
                <w:sz w:val="20"/>
                <w:szCs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0BE319" w14:textId="26735179" w:rsidR="00811940" w:rsidRPr="00A253D9" w:rsidRDefault="00811940" w:rsidP="00811940">
            <w:pPr>
              <w:jc w:val="center"/>
              <w:rPr>
                <w:sz w:val="20"/>
                <w:szCs w:val="20"/>
              </w:rPr>
            </w:pPr>
            <w:r w:rsidRPr="009506F2">
              <w:rPr>
                <w:sz w:val="20"/>
                <w:szCs w:val="20"/>
              </w:rPr>
              <w:t>7</w:t>
            </w:r>
            <w:r>
              <w:rPr>
                <w:sz w:val="20"/>
                <w:szCs w:val="20"/>
              </w:rPr>
              <w:t>4.7</w:t>
            </w:r>
            <w:r w:rsidRPr="009506F2">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13FF37" w14:textId="310955FE" w:rsidR="00811940" w:rsidRPr="00A253D9" w:rsidRDefault="00811940" w:rsidP="00811940">
            <w:pPr>
              <w:jc w:val="center"/>
              <w:rPr>
                <w:sz w:val="20"/>
                <w:szCs w:val="20"/>
              </w:rPr>
            </w:pPr>
            <w:r w:rsidRPr="00A5194D">
              <w:rPr>
                <w:iCs/>
                <w:sz w:val="20"/>
                <w:szCs w:val="20"/>
              </w:rPr>
              <w:t>78.</w:t>
            </w:r>
            <w:r>
              <w:rPr>
                <w:iCs/>
                <w:sz w:val="20"/>
                <w:szCs w:val="20"/>
              </w:rPr>
              <w:t>5</w:t>
            </w:r>
            <w:r w:rsidRPr="00A5194D">
              <w:rPr>
                <w:iCs/>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34AC3E" w14:textId="77777777" w:rsidR="00811940" w:rsidRDefault="00811940" w:rsidP="00811940">
            <w:pPr>
              <w:jc w:val="center"/>
              <w:rPr>
                <w:iCs/>
                <w:sz w:val="20"/>
                <w:szCs w:val="20"/>
              </w:rPr>
            </w:pPr>
            <w:r w:rsidRPr="00A5194D">
              <w:rPr>
                <w:iCs/>
                <w:sz w:val="20"/>
                <w:szCs w:val="20"/>
              </w:rPr>
              <w:t>7</w:t>
            </w:r>
            <w:r>
              <w:rPr>
                <w:iCs/>
                <w:sz w:val="20"/>
                <w:szCs w:val="20"/>
              </w:rPr>
              <w:t>3</w:t>
            </w:r>
            <w:r w:rsidRPr="00A5194D">
              <w:rPr>
                <w:iCs/>
                <w:sz w:val="20"/>
                <w:szCs w:val="20"/>
              </w:rPr>
              <w:t>.</w:t>
            </w:r>
            <w:r>
              <w:rPr>
                <w:iCs/>
                <w:sz w:val="20"/>
                <w:szCs w:val="20"/>
              </w:rPr>
              <w:t>9</w:t>
            </w:r>
            <w:r w:rsidRPr="00A5194D">
              <w:rPr>
                <w:iCs/>
                <w:sz w:val="20"/>
                <w:szCs w:val="20"/>
              </w:rPr>
              <w:t>%</w:t>
            </w:r>
          </w:p>
          <w:p w14:paraId="76329F3E" w14:textId="55C09E7D" w:rsidR="00811940" w:rsidRPr="00A5194D" w:rsidRDefault="00811940" w:rsidP="00811940">
            <w:pPr>
              <w:jc w:val="center"/>
              <w:rPr>
                <w:iCs/>
                <w:sz w:val="20"/>
                <w:szCs w:val="20"/>
              </w:rPr>
            </w:pPr>
            <w:r w:rsidRPr="002D6A7D">
              <w:rPr>
                <w:iCs/>
                <w:sz w:val="18"/>
                <w:szCs w:val="20"/>
              </w:rPr>
              <w:t>(preliminary)</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140B8E" w14:textId="598D04B0" w:rsidR="00811940" w:rsidRPr="004E4266" w:rsidRDefault="00811940" w:rsidP="00811940">
            <w:pPr>
              <w:jc w:val="center"/>
              <w:rPr>
                <w:i/>
                <w:sz w:val="20"/>
                <w:szCs w:val="20"/>
              </w:rPr>
            </w:pPr>
            <w:r w:rsidRPr="00A253D9">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0C0DFF" w14:textId="74337643" w:rsidR="00811940" w:rsidRPr="00A253D9" w:rsidRDefault="00811940" w:rsidP="00811940">
            <w:pPr>
              <w:jc w:val="center"/>
              <w:rPr>
                <w:sz w:val="20"/>
                <w:szCs w:val="20"/>
              </w:rPr>
            </w:pPr>
          </w:p>
        </w:tc>
      </w:tr>
      <w:tr w:rsidR="00811940" w:rsidRPr="00A253D9" w14:paraId="408364F3" w14:textId="77777777" w:rsidTr="00263F2B">
        <w:trPr>
          <w:gridAfter w:val="3"/>
          <w:wAfter w:w="21576" w:type="dxa"/>
          <w:cantSplit/>
          <w:trHeight w:val="288"/>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74F3BA5A" w14:textId="77777777" w:rsidR="00811940" w:rsidRPr="00A253D9" w:rsidRDefault="00811940" w:rsidP="00811940">
            <w:pPr>
              <w:rPr>
                <w:bCs/>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40F3D9" w14:textId="0A423D4A" w:rsidR="00811940" w:rsidRPr="00A253D9" w:rsidRDefault="00811940" w:rsidP="00811940">
            <w:pPr>
              <w:jc w:val="center"/>
              <w:rPr>
                <w:i/>
                <w:sz w:val="16"/>
                <w:szCs w:val="20"/>
              </w:rPr>
            </w:pPr>
            <w:r w:rsidRPr="00A253D9">
              <w:rPr>
                <w:i/>
                <w:sz w:val="16"/>
                <w:szCs w:val="20"/>
              </w:rPr>
              <w:t>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7ADE9" w14:textId="11F9C7A1" w:rsidR="00811940" w:rsidRPr="00A253D9" w:rsidRDefault="00811940" w:rsidP="00811940">
            <w:pPr>
              <w:jc w:val="center"/>
              <w:rPr>
                <w:i/>
                <w:sz w:val="16"/>
                <w:szCs w:val="20"/>
              </w:rPr>
            </w:pPr>
            <w:r>
              <w:rPr>
                <w:i/>
                <w:sz w:val="16"/>
                <w:szCs w:val="20"/>
              </w:rPr>
              <w:t>78%</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7BAEE" w14:textId="366C3059" w:rsidR="00811940" w:rsidRPr="00A253D9" w:rsidRDefault="00811940" w:rsidP="00811940">
            <w:pPr>
              <w:jc w:val="center"/>
              <w:rPr>
                <w:i/>
                <w:sz w:val="16"/>
                <w:szCs w:val="20"/>
              </w:rPr>
            </w:pPr>
            <w:r>
              <w:rPr>
                <w:i/>
                <w:sz w:val="16"/>
                <w:szCs w:val="20"/>
              </w:rPr>
              <w:t>79%</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B1CE4" w14:textId="6F879D65" w:rsidR="00811940" w:rsidRPr="00A253D9" w:rsidRDefault="00811940" w:rsidP="00811940">
            <w:pPr>
              <w:jc w:val="center"/>
              <w:rPr>
                <w:i/>
                <w:sz w:val="16"/>
                <w:szCs w:val="20"/>
              </w:rPr>
            </w:pPr>
            <w:r>
              <w:rPr>
                <w:i/>
                <w:sz w:val="16"/>
                <w:szCs w:val="20"/>
              </w:rPr>
              <w:t>79%</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04E43" w14:textId="40AE2E71" w:rsidR="00811940" w:rsidRPr="00A253D9" w:rsidRDefault="00811940" w:rsidP="00811940">
            <w:pPr>
              <w:jc w:val="center"/>
              <w:rPr>
                <w:i/>
                <w:sz w:val="16"/>
                <w:szCs w:val="20"/>
              </w:rPr>
            </w:pPr>
            <w:r>
              <w:rPr>
                <w:i/>
                <w:sz w:val="16"/>
                <w:szCs w:val="20"/>
              </w:rPr>
              <w:t>79%</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74EB6" w14:textId="4A4660B4" w:rsidR="00811940" w:rsidRPr="00A253D9" w:rsidRDefault="00811940" w:rsidP="00811940">
            <w:pPr>
              <w:jc w:val="center"/>
              <w:rPr>
                <w:i/>
                <w:sz w:val="16"/>
                <w:szCs w:val="20"/>
              </w:rPr>
            </w:pPr>
          </w:p>
        </w:tc>
      </w:tr>
      <w:tr w:rsidR="00811940" w:rsidRPr="00A253D9" w14:paraId="4388C09C" w14:textId="77777777" w:rsidTr="00F3264E">
        <w:trPr>
          <w:gridAfter w:val="3"/>
          <w:wAfter w:w="21576" w:type="dxa"/>
          <w:cantSplit/>
          <w:trHeight w:val="288"/>
        </w:trPr>
        <w:tc>
          <w:tcPr>
            <w:tcW w:w="10046" w:type="dxa"/>
            <w:gridSpan w:val="7"/>
            <w:tcBorders>
              <w:top w:val="single" w:sz="4" w:space="0" w:color="auto"/>
              <w:left w:val="single" w:sz="4" w:space="0" w:color="auto"/>
              <w:bottom w:val="single" w:sz="4" w:space="0" w:color="auto"/>
              <w:right w:val="single" w:sz="4" w:space="0" w:color="auto"/>
            </w:tcBorders>
            <w:vAlign w:val="center"/>
          </w:tcPr>
          <w:p w14:paraId="3F6FEAA0" w14:textId="15D119BC" w:rsidR="00811940" w:rsidRPr="002005B1" w:rsidRDefault="00811940" w:rsidP="00811940">
            <w:pPr>
              <w:pStyle w:val="ListParagraph"/>
              <w:numPr>
                <w:ilvl w:val="0"/>
                <w:numId w:val="18"/>
              </w:numPr>
              <w:ind w:left="322" w:hanging="322"/>
              <w:rPr>
                <w:i/>
                <w:sz w:val="16"/>
                <w:szCs w:val="20"/>
              </w:rPr>
            </w:pPr>
            <w:r w:rsidRPr="002005B1">
              <w:rPr>
                <w:sz w:val="20"/>
                <w:szCs w:val="20"/>
              </w:rPr>
              <w:t>Graduation Rate</w:t>
            </w:r>
            <w:r>
              <w:rPr>
                <w:sz w:val="20"/>
                <w:szCs w:val="20"/>
              </w:rPr>
              <w:t>s</w:t>
            </w:r>
            <w:r w:rsidRPr="002005B1">
              <w:rPr>
                <w:sz w:val="20"/>
                <w:szCs w:val="20"/>
              </w:rPr>
              <w:t xml:space="preserve"> (Objective </w:t>
            </w:r>
            <w:proofErr w:type="gramStart"/>
            <w:r w:rsidRPr="002005B1">
              <w:rPr>
                <w:sz w:val="20"/>
                <w:szCs w:val="20"/>
              </w:rPr>
              <w:t>A)</w:t>
            </w:r>
            <w:r>
              <w:rPr>
                <w:sz w:val="20"/>
                <w:szCs w:val="20"/>
              </w:rPr>
              <w:t>*</w:t>
            </w:r>
            <w:proofErr w:type="gramEnd"/>
          </w:p>
        </w:tc>
      </w:tr>
      <w:tr w:rsidR="00811940" w:rsidRPr="00A253D9" w14:paraId="2F96461F" w14:textId="77777777" w:rsidTr="00263F2B">
        <w:trPr>
          <w:gridAfter w:val="3"/>
          <w:wAfter w:w="21576" w:type="dxa"/>
          <w:cantSplit/>
          <w:trHeight w:val="288"/>
        </w:trPr>
        <w:tc>
          <w:tcPr>
            <w:tcW w:w="3240" w:type="dxa"/>
            <w:vMerge w:val="restart"/>
            <w:tcBorders>
              <w:top w:val="single" w:sz="4" w:space="0" w:color="auto"/>
              <w:left w:val="single" w:sz="4" w:space="0" w:color="auto"/>
              <w:right w:val="single" w:sz="4" w:space="0" w:color="auto"/>
            </w:tcBorders>
            <w:vAlign w:val="center"/>
          </w:tcPr>
          <w:p w14:paraId="7E10A141" w14:textId="55FF3483" w:rsidR="00811940" w:rsidRPr="00A253D9" w:rsidRDefault="00811940" w:rsidP="00811940">
            <w:pPr>
              <w:ind w:left="322"/>
              <w:rPr>
                <w:bCs/>
                <w:sz w:val="20"/>
                <w:szCs w:val="20"/>
              </w:rPr>
            </w:pPr>
            <w:r>
              <w:rPr>
                <w:color w:val="000000"/>
                <w:sz w:val="20"/>
                <w:szCs w:val="20"/>
              </w:rPr>
              <w:t xml:space="preserve">4-yr graduation rate: </w:t>
            </w:r>
            <w:r w:rsidRPr="00A253D9">
              <w:rPr>
                <w:color w:val="000000"/>
                <w:sz w:val="20"/>
                <w:szCs w:val="20"/>
              </w:rPr>
              <w:t xml:space="preserve">% of baccalaureate-seeking, full-time, </w:t>
            </w:r>
            <w:proofErr w:type="gramStart"/>
            <w:r w:rsidRPr="00A253D9">
              <w:rPr>
                <w:color w:val="000000"/>
                <w:sz w:val="20"/>
                <w:szCs w:val="20"/>
              </w:rPr>
              <w:t>first time</w:t>
            </w:r>
            <w:proofErr w:type="gramEnd"/>
            <w:r w:rsidRPr="00A253D9">
              <w:rPr>
                <w:color w:val="000000"/>
                <w:sz w:val="20"/>
                <w:szCs w:val="20"/>
              </w:rPr>
              <w:t xml:space="preserve"> students graduating in </w:t>
            </w:r>
            <w:r>
              <w:rPr>
                <w:color w:val="000000"/>
                <w:sz w:val="20"/>
                <w:szCs w:val="20"/>
              </w:rPr>
              <w:t>four</w:t>
            </w:r>
            <w:r w:rsidRPr="00A253D9">
              <w:rPr>
                <w:color w:val="000000"/>
                <w:sz w:val="20"/>
                <w:szCs w:val="20"/>
              </w:rPr>
              <w:t xml:space="preserve"> years or less</w:t>
            </w:r>
            <w:r w:rsidRPr="00A253D9">
              <w:rPr>
                <w:rStyle w:val="EndnoteReference"/>
                <w:sz w:val="20"/>
                <w:szCs w:val="20"/>
              </w:rPr>
              <w:endnoteReference w:id="11"/>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07351F" w14:textId="0ADA2904" w:rsidR="00811940" w:rsidRPr="002005B1" w:rsidRDefault="00811940" w:rsidP="00811940">
            <w:pPr>
              <w:jc w:val="center"/>
              <w:rPr>
                <w:sz w:val="20"/>
                <w:szCs w:val="20"/>
              </w:rPr>
            </w:pPr>
            <w:r w:rsidRPr="00A253D9">
              <w:rPr>
                <w:sz w:val="20"/>
                <w:szCs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1718DF" w14:textId="77777777" w:rsidR="00811940" w:rsidRPr="00A253D9" w:rsidRDefault="00811940" w:rsidP="00811940">
            <w:pPr>
              <w:jc w:val="center"/>
              <w:rPr>
                <w:sz w:val="16"/>
                <w:szCs w:val="20"/>
              </w:rPr>
            </w:pPr>
            <w:r w:rsidRPr="00A253D9">
              <w:rPr>
                <w:sz w:val="16"/>
                <w:szCs w:val="20"/>
              </w:rPr>
              <w:t>F201</w:t>
            </w:r>
            <w:r>
              <w:rPr>
                <w:sz w:val="16"/>
                <w:szCs w:val="20"/>
              </w:rPr>
              <w:t>5</w:t>
            </w:r>
            <w:r w:rsidRPr="00A253D9">
              <w:rPr>
                <w:sz w:val="16"/>
                <w:szCs w:val="20"/>
              </w:rPr>
              <w:t xml:space="preserve"> cohort</w:t>
            </w:r>
          </w:p>
          <w:p w14:paraId="328DBF81" w14:textId="46220864" w:rsidR="00811940" w:rsidRPr="002005B1" w:rsidRDefault="00811940" w:rsidP="00811940">
            <w:pPr>
              <w:jc w:val="center"/>
              <w:rPr>
                <w:sz w:val="20"/>
                <w:szCs w:val="20"/>
              </w:rPr>
            </w:pPr>
            <w:r>
              <w:rPr>
                <w:sz w:val="20"/>
                <w:szCs w:val="20"/>
              </w:rPr>
              <w:t>30.6</w:t>
            </w:r>
            <w:r w:rsidRPr="005807EE">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A8B4F4" w14:textId="77777777" w:rsidR="00811940" w:rsidRPr="00A253D9" w:rsidRDefault="00811940" w:rsidP="00811940">
            <w:pPr>
              <w:jc w:val="center"/>
              <w:rPr>
                <w:sz w:val="16"/>
                <w:szCs w:val="20"/>
              </w:rPr>
            </w:pPr>
            <w:r w:rsidRPr="00A253D9">
              <w:rPr>
                <w:sz w:val="16"/>
                <w:szCs w:val="20"/>
              </w:rPr>
              <w:t>F201</w:t>
            </w:r>
            <w:r>
              <w:rPr>
                <w:sz w:val="16"/>
                <w:szCs w:val="20"/>
              </w:rPr>
              <w:t>6</w:t>
            </w:r>
            <w:r w:rsidRPr="00A253D9">
              <w:rPr>
                <w:sz w:val="16"/>
                <w:szCs w:val="20"/>
              </w:rPr>
              <w:t xml:space="preserve"> cohort</w:t>
            </w:r>
          </w:p>
          <w:p w14:paraId="02F87828" w14:textId="3D32B933" w:rsidR="00811940" w:rsidRPr="002005B1" w:rsidRDefault="00811940" w:rsidP="00811940">
            <w:pPr>
              <w:jc w:val="center"/>
              <w:rPr>
                <w:sz w:val="20"/>
                <w:szCs w:val="20"/>
              </w:rPr>
            </w:pPr>
            <w:r w:rsidRPr="00A5194D">
              <w:rPr>
                <w:iCs/>
                <w:sz w:val="20"/>
                <w:szCs w:val="20"/>
              </w:rPr>
              <w:t>38.1%</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F7BB15" w14:textId="77777777" w:rsidR="00811940" w:rsidRPr="00A253D9" w:rsidRDefault="00811940" w:rsidP="00811940">
            <w:pPr>
              <w:jc w:val="center"/>
              <w:rPr>
                <w:sz w:val="16"/>
                <w:szCs w:val="20"/>
              </w:rPr>
            </w:pPr>
            <w:r w:rsidRPr="00A253D9">
              <w:rPr>
                <w:sz w:val="16"/>
                <w:szCs w:val="20"/>
              </w:rPr>
              <w:t>F201</w:t>
            </w:r>
            <w:r>
              <w:rPr>
                <w:sz w:val="16"/>
                <w:szCs w:val="20"/>
              </w:rPr>
              <w:t>7</w:t>
            </w:r>
            <w:r w:rsidRPr="00A253D9">
              <w:rPr>
                <w:sz w:val="16"/>
                <w:szCs w:val="20"/>
              </w:rPr>
              <w:t xml:space="preserve"> cohort</w:t>
            </w:r>
          </w:p>
          <w:p w14:paraId="03D10181" w14:textId="77777777" w:rsidR="00811940" w:rsidRDefault="00811940" w:rsidP="00811940">
            <w:pPr>
              <w:jc w:val="center"/>
              <w:rPr>
                <w:iCs/>
                <w:sz w:val="20"/>
                <w:szCs w:val="20"/>
              </w:rPr>
            </w:pPr>
            <w:r w:rsidRPr="00A5194D">
              <w:rPr>
                <w:iCs/>
                <w:sz w:val="20"/>
                <w:szCs w:val="20"/>
              </w:rPr>
              <w:t>3</w:t>
            </w:r>
            <w:r>
              <w:rPr>
                <w:iCs/>
                <w:sz w:val="20"/>
                <w:szCs w:val="20"/>
              </w:rPr>
              <w:t>7</w:t>
            </w:r>
            <w:r w:rsidRPr="00A5194D">
              <w:rPr>
                <w:iCs/>
                <w:sz w:val="20"/>
                <w:szCs w:val="20"/>
              </w:rPr>
              <w:t>.</w:t>
            </w:r>
            <w:r>
              <w:rPr>
                <w:iCs/>
                <w:sz w:val="20"/>
                <w:szCs w:val="20"/>
              </w:rPr>
              <w:t>4</w:t>
            </w:r>
            <w:r w:rsidRPr="00A5194D">
              <w:rPr>
                <w:iCs/>
                <w:sz w:val="20"/>
                <w:szCs w:val="20"/>
              </w:rPr>
              <w:t>%</w:t>
            </w:r>
          </w:p>
          <w:p w14:paraId="1126442A" w14:textId="0433626C" w:rsidR="00811940" w:rsidRPr="00A5194D" w:rsidRDefault="00811940" w:rsidP="00811940">
            <w:pPr>
              <w:jc w:val="center"/>
              <w:rPr>
                <w:iCs/>
                <w:sz w:val="20"/>
                <w:szCs w:val="20"/>
              </w:rPr>
            </w:pPr>
            <w:r w:rsidRPr="002D6A7D">
              <w:rPr>
                <w:iCs/>
                <w:sz w:val="18"/>
                <w:szCs w:val="20"/>
              </w:rPr>
              <w:t>(preliminary)</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537152" w14:textId="77777777" w:rsidR="00811940" w:rsidRPr="00A253D9" w:rsidRDefault="00811940" w:rsidP="00811940">
            <w:pPr>
              <w:jc w:val="center"/>
              <w:rPr>
                <w:sz w:val="16"/>
                <w:szCs w:val="20"/>
              </w:rPr>
            </w:pPr>
            <w:r w:rsidRPr="00A253D9">
              <w:rPr>
                <w:sz w:val="16"/>
                <w:szCs w:val="20"/>
              </w:rPr>
              <w:t>F201</w:t>
            </w:r>
            <w:r>
              <w:rPr>
                <w:sz w:val="16"/>
                <w:szCs w:val="20"/>
              </w:rPr>
              <w:t>8</w:t>
            </w:r>
            <w:r w:rsidRPr="00A253D9">
              <w:rPr>
                <w:sz w:val="16"/>
                <w:szCs w:val="20"/>
              </w:rPr>
              <w:t xml:space="preserve"> cohort</w:t>
            </w:r>
          </w:p>
          <w:p w14:paraId="0411CA7E" w14:textId="162F3773" w:rsidR="00811940" w:rsidRPr="002005B1" w:rsidRDefault="00811940" w:rsidP="00811940">
            <w:pPr>
              <w:jc w:val="center"/>
              <w:rPr>
                <w:sz w:val="20"/>
                <w:szCs w:val="20"/>
              </w:rPr>
            </w:pPr>
            <w:r w:rsidRPr="00A253D9">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91F5FA" w14:textId="5A5C9561" w:rsidR="00811940" w:rsidRPr="002005B1" w:rsidRDefault="00811940" w:rsidP="00811940">
            <w:pPr>
              <w:jc w:val="center"/>
              <w:rPr>
                <w:sz w:val="20"/>
                <w:szCs w:val="20"/>
              </w:rPr>
            </w:pPr>
          </w:p>
        </w:tc>
      </w:tr>
      <w:tr w:rsidR="00811940" w:rsidRPr="00A253D9" w14:paraId="6FD2F3DF" w14:textId="77777777" w:rsidTr="00263F2B">
        <w:trPr>
          <w:gridAfter w:val="3"/>
          <w:wAfter w:w="21576" w:type="dxa"/>
          <w:cantSplit/>
          <w:trHeight w:val="288"/>
        </w:trPr>
        <w:tc>
          <w:tcPr>
            <w:tcW w:w="3240" w:type="dxa"/>
            <w:vMerge/>
            <w:tcBorders>
              <w:left w:val="single" w:sz="4" w:space="0" w:color="auto"/>
              <w:bottom w:val="single" w:sz="4" w:space="0" w:color="auto"/>
              <w:right w:val="single" w:sz="4" w:space="0" w:color="auto"/>
            </w:tcBorders>
            <w:vAlign w:val="center"/>
          </w:tcPr>
          <w:p w14:paraId="2A8C55DD" w14:textId="77777777" w:rsidR="00811940" w:rsidRPr="00A253D9" w:rsidRDefault="00811940" w:rsidP="00811940">
            <w:pPr>
              <w:rPr>
                <w:bCs/>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6D500" w14:textId="04B9265E" w:rsidR="00811940" w:rsidRPr="00A253D9" w:rsidRDefault="00811940" w:rsidP="00811940">
            <w:pPr>
              <w:jc w:val="center"/>
              <w:rPr>
                <w:i/>
                <w:sz w:val="16"/>
                <w:szCs w:val="20"/>
              </w:rPr>
            </w:pPr>
            <w:r w:rsidRPr="00A253D9">
              <w:rPr>
                <w:i/>
                <w:sz w:val="16"/>
                <w:szCs w:val="20"/>
              </w:rPr>
              <w:t>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65969" w14:textId="2C6EF665" w:rsidR="00811940" w:rsidRPr="00A253D9" w:rsidRDefault="00811940" w:rsidP="00811940">
            <w:pPr>
              <w:jc w:val="center"/>
              <w:rPr>
                <w:i/>
                <w:sz w:val="16"/>
                <w:szCs w:val="20"/>
              </w:rPr>
            </w:pPr>
            <w:r>
              <w:rPr>
                <w:i/>
                <w:sz w:val="16"/>
                <w:szCs w:val="20"/>
              </w:rPr>
              <w:t>NA</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0E703" w14:textId="37EF3C56" w:rsidR="00811940" w:rsidRPr="00A253D9" w:rsidRDefault="00811940" w:rsidP="00811940">
            <w:pPr>
              <w:jc w:val="center"/>
              <w:rPr>
                <w:i/>
                <w:sz w:val="16"/>
                <w:szCs w:val="20"/>
              </w:rPr>
            </w:pPr>
            <w:r>
              <w:rPr>
                <w:i/>
                <w:sz w:val="16"/>
                <w:szCs w:val="20"/>
              </w:rPr>
              <w:t>33%</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B3E12" w14:textId="6FEA7932" w:rsidR="00811940" w:rsidRPr="00A253D9" w:rsidRDefault="00811940" w:rsidP="00811940">
            <w:pPr>
              <w:jc w:val="center"/>
              <w:rPr>
                <w:i/>
                <w:sz w:val="16"/>
                <w:szCs w:val="20"/>
              </w:rPr>
            </w:pPr>
            <w:r>
              <w:rPr>
                <w:i/>
                <w:sz w:val="16"/>
                <w:szCs w:val="20"/>
              </w:rPr>
              <w:t>33%</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92C88" w14:textId="2B6BA17D" w:rsidR="00811940" w:rsidRDefault="00811940" w:rsidP="00811940">
            <w:pPr>
              <w:jc w:val="center"/>
              <w:rPr>
                <w:i/>
                <w:sz w:val="16"/>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E17C6" w14:textId="249EB3B6" w:rsidR="00811940" w:rsidRDefault="00811940" w:rsidP="00811940">
            <w:pPr>
              <w:jc w:val="center"/>
              <w:rPr>
                <w:i/>
                <w:sz w:val="16"/>
                <w:szCs w:val="20"/>
              </w:rPr>
            </w:pPr>
          </w:p>
        </w:tc>
      </w:tr>
      <w:tr w:rsidR="00811940" w:rsidRPr="00A253D9" w14:paraId="71DC414E" w14:textId="77777777" w:rsidTr="00263F2B">
        <w:trPr>
          <w:gridAfter w:val="3"/>
          <w:wAfter w:w="21576" w:type="dxa"/>
          <w:cantSplit/>
          <w:trHeight w:val="288"/>
        </w:trPr>
        <w:tc>
          <w:tcPr>
            <w:tcW w:w="3240" w:type="dxa"/>
            <w:vMerge w:val="restart"/>
            <w:tcBorders>
              <w:left w:val="single" w:sz="4" w:space="0" w:color="auto"/>
              <w:right w:val="single" w:sz="4" w:space="0" w:color="auto"/>
            </w:tcBorders>
            <w:vAlign w:val="center"/>
          </w:tcPr>
          <w:p w14:paraId="276F83C0" w14:textId="5D017B60" w:rsidR="00811940" w:rsidRPr="00A253D9" w:rsidRDefault="00811940" w:rsidP="00811940">
            <w:pPr>
              <w:ind w:left="325"/>
              <w:rPr>
                <w:bCs/>
                <w:sz w:val="20"/>
                <w:szCs w:val="20"/>
              </w:rPr>
            </w:pPr>
            <w:r>
              <w:rPr>
                <w:color w:val="000000"/>
                <w:sz w:val="20"/>
                <w:szCs w:val="20"/>
              </w:rPr>
              <w:t xml:space="preserve">6-yr graduation rate: </w:t>
            </w:r>
            <w:r w:rsidRPr="00A253D9">
              <w:rPr>
                <w:color w:val="000000"/>
                <w:sz w:val="20"/>
                <w:szCs w:val="20"/>
              </w:rPr>
              <w:t xml:space="preserve">% of baccalaureate-seeking, full-time, </w:t>
            </w:r>
            <w:proofErr w:type="gramStart"/>
            <w:r w:rsidRPr="00A253D9">
              <w:rPr>
                <w:color w:val="000000"/>
                <w:sz w:val="20"/>
                <w:szCs w:val="20"/>
              </w:rPr>
              <w:t>first time</w:t>
            </w:r>
            <w:proofErr w:type="gramEnd"/>
            <w:r w:rsidRPr="00A253D9">
              <w:rPr>
                <w:color w:val="000000"/>
                <w:sz w:val="20"/>
                <w:szCs w:val="20"/>
              </w:rPr>
              <w:t xml:space="preserve"> students graduating in six years or less</w:t>
            </w:r>
            <w:r w:rsidRPr="00A253D9">
              <w:rPr>
                <w:rStyle w:val="EndnoteReference"/>
                <w:sz w:val="20"/>
                <w:szCs w:val="20"/>
              </w:rPr>
              <w:endnoteReference w:id="12"/>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1E11DF" w14:textId="39F4A9CB" w:rsidR="00811940" w:rsidRPr="00A253D9" w:rsidRDefault="00811940" w:rsidP="00811940">
            <w:pPr>
              <w:jc w:val="center"/>
              <w:rPr>
                <w:i/>
                <w:sz w:val="16"/>
                <w:szCs w:val="20"/>
              </w:rPr>
            </w:pPr>
            <w:r w:rsidRPr="00A253D9">
              <w:rPr>
                <w:sz w:val="20"/>
                <w:szCs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3857B9" w14:textId="77777777" w:rsidR="00811940" w:rsidRPr="00A253D9" w:rsidRDefault="00811940" w:rsidP="00811940">
            <w:pPr>
              <w:jc w:val="center"/>
              <w:rPr>
                <w:sz w:val="16"/>
                <w:szCs w:val="20"/>
              </w:rPr>
            </w:pPr>
            <w:r w:rsidRPr="00A253D9">
              <w:rPr>
                <w:sz w:val="16"/>
                <w:szCs w:val="20"/>
              </w:rPr>
              <w:t>F201</w:t>
            </w:r>
            <w:r>
              <w:rPr>
                <w:sz w:val="16"/>
                <w:szCs w:val="20"/>
              </w:rPr>
              <w:t>3</w:t>
            </w:r>
            <w:r w:rsidRPr="00A253D9">
              <w:rPr>
                <w:sz w:val="16"/>
                <w:szCs w:val="20"/>
              </w:rPr>
              <w:t xml:space="preserve"> cohort</w:t>
            </w:r>
          </w:p>
          <w:p w14:paraId="28A08FE6" w14:textId="3989FEB1" w:rsidR="00811940" w:rsidRPr="00A253D9" w:rsidRDefault="00811940" w:rsidP="00811940">
            <w:pPr>
              <w:jc w:val="center"/>
              <w:rPr>
                <w:i/>
                <w:sz w:val="16"/>
                <w:szCs w:val="20"/>
              </w:rPr>
            </w:pPr>
            <w:r>
              <w:rPr>
                <w:sz w:val="20"/>
                <w:szCs w:val="20"/>
              </w:rPr>
              <w:t>50.3</w:t>
            </w:r>
            <w:r w:rsidRPr="005807EE">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CA5C3" w14:textId="77777777" w:rsidR="00811940" w:rsidRPr="00A253D9" w:rsidRDefault="00811940" w:rsidP="00811940">
            <w:pPr>
              <w:jc w:val="center"/>
              <w:rPr>
                <w:sz w:val="16"/>
                <w:szCs w:val="20"/>
              </w:rPr>
            </w:pPr>
            <w:r w:rsidRPr="00A253D9">
              <w:rPr>
                <w:sz w:val="16"/>
                <w:szCs w:val="20"/>
              </w:rPr>
              <w:t>F201</w:t>
            </w:r>
            <w:r>
              <w:rPr>
                <w:sz w:val="16"/>
                <w:szCs w:val="20"/>
              </w:rPr>
              <w:t>4</w:t>
            </w:r>
            <w:r w:rsidRPr="00A253D9">
              <w:rPr>
                <w:sz w:val="16"/>
                <w:szCs w:val="20"/>
              </w:rPr>
              <w:t xml:space="preserve"> cohort</w:t>
            </w:r>
          </w:p>
          <w:p w14:paraId="32BD3602" w14:textId="60702565" w:rsidR="00811940" w:rsidRPr="00A253D9" w:rsidRDefault="00811940" w:rsidP="00811940">
            <w:pPr>
              <w:jc w:val="center"/>
              <w:rPr>
                <w:i/>
                <w:sz w:val="16"/>
                <w:szCs w:val="20"/>
              </w:rPr>
            </w:pPr>
            <w:r w:rsidRPr="00A5194D">
              <w:rPr>
                <w:iCs/>
                <w:sz w:val="20"/>
                <w:szCs w:val="20"/>
              </w:rPr>
              <w:t>54.1%</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5781C3" w14:textId="77777777" w:rsidR="00811940" w:rsidRPr="00A253D9" w:rsidRDefault="00811940" w:rsidP="00811940">
            <w:pPr>
              <w:jc w:val="center"/>
              <w:rPr>
                <w:sz w:val="16"/>
                <w:szCs w:val="20"/>
              </w:rPr>
            </w:pPr>
            <w:r w:rsidRPr="00A253D9">
              <w:rPr>
                <w:sz w:val="16"/>
                <w:szCs w:val="20"/>
              </w:rPr>
              <w:t>F201</w:t>
            </w:r>
            <w:r>
              <w:rPr>
                <w:sz w:val="16"/>
                <w:szCs w:val="20"/>
              </w:rPr>
              <w:t>5</w:t>
            </w:r>
            <w:r w:rsidRPr="00A253D9">
              <w:rPr>
                <w:sz w:val="16"/>
                <w:szCs w:val="20"/>
              </w:rPr>
              <w:t xml:space="preserve"> cohort</w:t>
            </w:r>
          </w:p>
          <w:p w14:paraId="3D19E929" w14:textId="77777777" w:rsidR="00811940" w:rsidRDefault="00811940" w:rsidP="00811940">
            <w:pPr>
              <w:jc w:val="center"/>
              <w:rPr>
                <w:iCs/>
                <w:sz w:val="20"/>
                <w:szCs w:val="20"/>
              </w:rPr>
            </w:pPr>
            <w:r w:rsidRPr="00A5194D">
              <w:rPr>
                <w:iCs/>
                <w:sz w:val="20"/>
                <w:szCs w:val="20"/>
              </w:rPr>
              <w:t>5</w:t>
            </w:r>
            <w:r>
              <w:rPr>
                <w:iCs/>
                <w:sz w:val="20"/>
                <w:szCs w:val="20"/>
              </w:rPr>
              <w:t>2</w:t>
            </w:r>
            <w:r w:rsidRPr="00A5194D">
              <w:rPr>
                <w:iCs/>
                <w:sz w:val="20"/>
                <w:szCs w:val="20"/>
              </w:rPr>
              <w:t>.</w:t>
            </w:r>
            <w:r>
              <w:rPr>
                <w:iCs/>
                <w:sz w:val="20"/>
                <w:szCs w:val="20"/>
              </w:rPr>
              <w:t>5</w:t>
            </w:r>
            <w:r w:rsidRPr="00A5194D">
              <w:rPr>
                <w:iCs/>
                <w:sz w:val="20"/>
                <w:szCs w:val="20"/>
              </w:rPr>
              <w:t>%</w:t>
            </w:r>
          </w:p>
          <w:p w14:paraId="1FCDC132" w14:textId="2612A323" w:rsidR="00811940" w:rsidRPr="00A5194D" w:rsidRDefault="00811940" w:rsidP="00811940">
            <w:pPr>
              <w:jc w:val="center"/>
              <w:rPr>
                <w:iCs/>
                <w:sz w:val="20"/>
                <w:szCs w:val="20"/>
              </w:rPr>
            </w:pPr>
            <w:r w:rsidRPr="002D6A7D">
              <w:rPr>
                <w:iCs/>
                <w:sz w:val="18"/>
                <w:szCs w:val="20"/>
              </w:rPr>
              <w:t>(preliminary)</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093601" w14:textId="77777777" w:rsidR="00811940" w:rsidRPr="00A253D9" w:rsidRDefault="00811940" w:rsidP="00811940">
            <w:pPr>
              <w:jc w:val="center"/>
              <w:rPr>
                <w:sz w:val="16"/>
                <w:szCs w:val="20"/>
              </w:rPr>
            </w:pPr>
            <w:r w:rsidRPr="00A253D9">
              <w:rPr>
                <w:sz w:val="16"/>
                <w:szCs w:val="20"/>
              </w:rPr>
              <w:t>F201</w:t>
            </w:r>
            <w:r>
              <w:rPr>
                <w:sz w:val="16"/>
                <w:szCs w:val="20"/>
              </w:rPr>
              <w:t>6</w:t>
            </w:r>
            <w:r w:rsidRPr="00A253D9">
              <w:rPr>
                <w:sz w:val="16"/>
                <w:szCs w:val="20"/>
              </w:rPr>
              <w:t xml:space="preserve"> cohort</w:t>
            </w:r>
          </w:p>
          <w:p w14:paraId="3379662B" w14:textId="6069985B" w:rsidR="00811940" w:rsidRPr="00A253D9" w:rsidRDefault="00811940" w:rsidP="00811940">
            <w:pPr>
              <w:jc w:val="center"/>
              <w:rPr>
                <w:i/>
                <w:sz w:val="16"/>
                <w:szCs w:val="20"/>
              </w:rPr>
            </w:pPr>
            <w:r w:rsidRPr="00A253D9">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5152A4" w14:textId="2834E831" w:rsidR="00811940" w:rsidRDefault="00811940" w:rsidP="00811940">
            <w:pPr>
              <w:jc w:val="center"/>
              <w:rPr>
                <w:i/>
                <w:sz w:val="16"/>
                <w:szCs w:val="20"/>
              </w:rPr>
            </w:pPr>
          </w:p>
        </w:tc>
      </w:tr>
      <w:tr w:rsidR="00811940" w:rsidRPr="00A253D9" w14:paraId="0E150745" w14:textId="77777777" w:rsidTr="00263F2B">
        <w:trPr>
          <w:gridAfter w:val="3"/>
          <w:wAfter w:w="21576" w:type="dxa"/>
          <w:cantSplit/>
          <w:trHeight w:val="288"/>
        </w:trPr>
        <w:tc>
          <w:tcPr>
            <w:tcW w:w="3240" w:type="dxa"/>
            <w:vMerge/>
            <w:tcBorders>
              <w:left w:val="single" w:sz="4" w:space="0" w:color="auto"/>
              <w:bottom w:val="single" w:sz="4" w:space="0" w:color="auto"/>
              <w:right w:val="single" w:sz="4" w:space="0" w:color="auto"/>
            </w:tcBorders>
            <w:vAlign w:val="center"/>
          </w:tcPr>
          <w:p w14:paraId="33C7D0D6" w14:textId="77777777" w:rsidR="00811940" w:rsidRPr="00A253D9" w:rsidRDefault="00811940" w:rsidP="00811940">
            <w:pPr>
              <w:rPr>
                <w:bCs/>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3737E" w14:textId="1780E9F5" w:rsidR="00811940" w:rsidRPr="00A253D9" w:rsidRDefault="00811940" w:rsidP="00811940">
            <w:pPr>
              <w:jc w:val="center"/>
              <w:rPr>
                <w:i/>
                <w:sz w:val="16"/>
                <w:szCs w:val="20"/>
              </w:rPr>
            </w:pPr>
            <w:r w:rsidRPr="00A253D9">
              <w:rPr>
                <w:i/>
                <w:sz w:val="16"/>
                <w:szCs w:val="20"/>
              </w:rPr>
              <w:t>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262C6" w14:textId="4E06CCA6" w:rsidR="00811940" w:rsidRPr="00A253D9" w:rsidRDefault="00811940" w:rsidP="00811940">
            <w:pPr>
              <w:jc w:val="center"/>
              <w:rPr>
                <w:i/>
                <w:sz w:val="16"/>
                <w:szCs w:val="20"/>
              </w:rPr>
            </w:pPr>
            <w:r>
              <w:rPr>
                <w:i/>
                <w:sz w:val="16"/>
                <w:szCs w:val="20"/>
              </w:rPr>
              <w:t>46%</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3E9AD" w14:textId="75E5E43A" w:rsidR="00811940" w:rsidRPr="00A253D9" w:rsidRDefault="00811940" w:rsidP="00811940">
            <w:pPr>
              <w:jc w:val="center"/>
              <w:rPr>
                <w:i/>
                <w:sz w:val="16"/>
                <w:szCs w:val="20"/>
              </w:rPr>
            </w:pPr>
            <w:r>
              <w:rPr>
                <w:i/>
                <w:sz w:val="16"/>
                <w:szCs w:val="20"/>
              </w:rPr>
              <w:t>48%</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8379C" w14:textId="0F7182CE" w:rsidR="00811940" w:rsidRPr="00A253D9" w:rsidRDefault="00811940" w:rsidP="00811940">
            <w:pPr>
              <w:jc w:val="center"/>
              <w:rPr>
                <w:i/>
                <w:sz w:val="16"/>
                <w:szCs w:val="20"/>
              </w:rPr>
            </w:pPr>
            <w:r>
              <w:rPr>
                <w:i/>
                <w:sz w:val="16"/>
                <w:szCs w:val="20"/>
              </w:rPr>
              <w:t>52%</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A55FE" w14:textId="4F755C22" w:rsidR="00811940" w:rsidRPr="00A253D9" w:rsidRDefault="00811940" w:rsidP="00811940">
            <w:pPr>
              <w:jc w:val="center"/>
              <w:rPr>
                <w:i/>
                <w:sz w:val="16"/>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CC3C" w14:textId="459BC18E" w:rsidR="00811940" w:rsidRDefault="00811940" w:rsidP="00811940">
            <w:pPr>
              <w:jc w:val="center"/>
              <w:rPr>
                <w:i/>
                <w:sz w:val="16"/>
                <w:szCs w:val="20"/>
              </w:rPr>
            </w:pPr>
          </w:p>
        </w:tc>
      </w:tr>
      <w:tr w:rsidR="00811940" w:rsidRPr="00A253D9" w14:paraId="1A1AD515" w14:textId="77777777" w:rsidTr="00263F2B">
        <w:trPr>
          <w:gridAfter w:val="3"/>
          <w:wAfter w:w="21576" w:type="dxa"/>
          <w:cantSplit/>
          <w:trHeight w:val="288"/>
        </w:trPr>
        <w:tc>
          <w:tcPr>
            <w:tcW w:w="3240" w:type="dxa"/>
            <w:vMerge w:val="restart"/>
            <w:tcBorders>
              <w:left w:val="single" w:sz="4" w:space="0" w:color="auto"/>
              <w:right w:val="single" w:sz="4" w:space="0" w:color="auto"/>
            </w:tcBorders>
            <w:vAlign w:val="center"/>
          </w:tcPr>
          <w:p w14:paraId="66C9123E" w14:textId="41F2C9DB" w:rsidR="00811940" w:rsidRPr="00A253D9" w:rsidRDefault="00811940" w:rsidP="00811940">
            <w:pPr>
              <w:spacing w:before="100" w:beforeAutospacing="1"/>
              <w:ind w:left="325"/>
              <w:rPr>
                <w:bCs/>
                <w:sz w:val="20"/>
                <w:szCs w:val="20"/>
              </w:rPr>
            </w:pPr>
            <w:r>
              <w:rPr>
                <w:bCs/>
                <w:sz w:val="20"/>
                <w:szCs w:val="20"/>
              </w:rPr>
              <w:t xml:space="preserve">6-yr: </w:t>
            </w:r>
            <w:r w:rsidRPr="00A253D9">
              <w:rPr>
                <w:bCs/>
                <w:sz w:val="20"/>
                <w:szCs w:val="20"/>
              </w:rPr>
              <w:t>% of Idaho-resident, Pell-eligible first time, full-time freshman who graduated</w:t>
            </w:r>
            <w:r>
              <w:rPr>
                <w:bCs/>
                <w:sz w:val="20"/>
                <w:szCs w:val="20"/>
              </w:rPr>
              <w:t xml:space="preserve"> in six years or less</w:t>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CDC870" w14:textId="42B7B671" w:rsidR="00811940" w:rsidRPr="00A253D9" w:rsidRDefault="00811940" w:rsidP="00811940">
            <w:pPr>
              <w:jc w:val="center"/>
              <w:rPr>
                <w:i/>
                <w:sz w:val="16"/>
                <w:szCs w:val="20"/>
              </w:rPr>
            </w:pPr>
            <w:r w:rsidRPr="00A253D9">
              <w:rPr>
                <w:sz w:val="20"/>
                <w:szCs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8F4A73" w14:textId="10B3C486" w:rsidR="00811940" w:rsidRPr="00A253D9" w:rsidRDefault="00811940" w:rsidP="00811940">
            <w:pPr>
              <w:jc w:val="center"/>
              <w:rPr>
                <w:i/>
                <w:sz w:val="16"/>
                <w:szCs w:val="20"/>
              </w:rPr>
            </w:pPr>
            <w:r>
              <w:rPr>
                <w:sz w:val="20"/>
                <w:szCs w:val="20"/>
              </w:rPr>
              <w:t>38.0</w:t>
            </w:r>
            <w:r w:rsidRPr="005807EE">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280ED8" w14:textId="5B86F82F" w:rsidR="00811940" w:rsidRPr="00A253D9" w:rsidRDefault="00811940" w:rsidP="00811940">
            <w:pPr>
              <w:jc w:val="center"/>
              <w:rPr>
                <w:i/>
                <w:sz w:val="16"/>
                <w:szCs w:val="20"/>
              </w:rPr>
            </w:pPr>
            <w:r w:rsidRPr="00A5194D">
              <w:rPr>
                <w:iCs/>
                <w:sz w:val="20"/>
                <w:szCs w:val="20"/>
              </w:rPr>
              <w:t>42.3%</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EC030E" w14:textId="77777777" w:rsidR="00811940" w:rsidRDefault="00811940" w:rsidP="00811940">
            <w:pPr>
              <w:jc w:val="center"/>
              <w:rPr>
                <w:iCs/>
                <w:sz w:val="20"/>
                <w:szCs w:val="20"/>
              </w:rPr>
            </w:pPr>
            <w:r>
              <w:rPr>
                <w:iCs/>
                <w:sz w:val="20"/>
                <w:szCs w:val="20"/>
              </w:rPr>
              <w:t>39</w:t>
            </w:r>
            <w:r w:rsidRPr="00A5194D">
              <w:rPr>
                <w:iCs/>
                <w:sz w:val="20"/>
                <w:szCs w:val="20"/>
              </w:rPr>
              <w:t>.</w:t>
            </w:r>
            <w:r>
              <w:rPr>
                <w:iCs/>
                <w:sz w:val="20"/>
                <w:szCs w:val="20"/>
              </w:rPr>
              <w:t>5</w:t>
            </w:r>
            <w:r w:rsidRPr="00A5194D">
              <w:rPr>
                <w:iCs/>
                <w:sz w:val="20"/>
                <w:szCs w:val="20"/>
              </w:rPr>
              <w:t>%</w:t>
            </w:r>
          </w:p>
          <w:p w14:paraId="0ACE51FC" w14:textId="703E2413" w:rsidR="00811940" w:rsidRPr="00A5194D" w:rsidRDefault="00811940" w:rsidP="00811940">
            <w:pPr>
              <w:jc w:val="center"/>
              <w:rPr>
                <w:iCs/>
                <w:sz w:val="20"/>
                <w:szCs w:val="20"/>
              </w:rPr>
            </w:pPr>
            <w:r w:rsidRPr="002D6A7D">
              <w:rPr>
                <w:iCs/>
                <w:sz w:val="18"/>
                <w:szCs w:val="20"/>
              </w:rPr>
              <w:t>(preliminary)</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2BD809" w14:textId="1AFACDA3" w:rsidR="00811940" w:rsidRPr="00A253D9" w:rsidRDefault="00811940" w:rsidP="00811940">
            <w:pPr>
              <w:jc w:val="center"/>
              <w:rPr>
                <w:i/>
                <w:sz w:val="16"/>
                <w:szCs w:val="20"/>
              </w:rPr>
            </w:pPr>
            <w:r w:rsidRPr="00A253D9">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0BA08B" w14:textId="5BD078C3" w:rsidR="00811940" w:rsidRDefault="00811940" w:rsidP="00811940">
            <w:pPr>
              <w:jc w:val="center"/>
              <w:rPr>
                <w:i/>
                <w:sz w:val="16"/>
                <w:szCs w:val="20"/>
              </w:rPr>
            </w:pPr>
          </w:p>
        </w:tc>
      </w:tr>
      <w:tr w:rsidR="00811940" w:rsidRPr="00A253D9" w14:paraId="1D3271F4" w14:textId="77777777" w:rsidTr="00263F2B">
        <w:trPr>
          <w:gridAfter w:val="3"/>
          <w:wAfter w:w="21576" w:type="dxa"/>
          <w:cantSplit/>
          <w:trHeight w:val="288"/>
        </w:trPr>
        <w:tc>
          <w:tcPr>
            <w:tcW w:w="3240" w:type="dxa"/>
            <w:vMerge/>
            <w:tcBorders>
              <w:left w:val="single" w:sz="4" w:space="0" w:color="auto"/>
              <w:bottom w:val="single" w:sz="4" w:space="0" w:color="auto"/>
              <w:right w:val="single" w:sz="4" w:space="0" w:color="auto"/>
            </w:tcBorders>
            <w:vAlign w:val="center"/>
          </w:tcPr>
          <w:p w14:paraId="5784EC2D" w14:textId="77777777" w:rsidR="00811940" w:rsidRPr="00A253D9" w:rsidRDefault="00811940" w:rsidP="00811940">
            <w:pPr>
              <w:rPr>
                <w:bCs/>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4CEC" w14:textId="4222044B" w:rsidR="00811940" w:rsidRPr="00A253D9" w:rsidRDefault="00811940" w:rsidP="00811940">
            <w:pPr>
              <w:jc w:val="center"/>
              <w:rPr>
                <w:i/>
                <w:sz w:val="16"/>
                <w:szCs w:val="20"/>
              </w:rPr>
            </w:pPr>
            <w:r w:rsidRPr="00A253D9">
              <w:rPr>
                <w:i/>
                <w:sz w:val="16"/>
                <w:szCs w:val="20"/>
              </w:rPr>
              <w:t>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4B3A7" w14:textId="22AFACE0" w:rsidR="00811940" w:rsidRPr="00A253D9" w:rsidRDefault="00811940" w:rsidP="00811940">
            <w:pPr>
              <w:jc w:val="center"/>
              <w:rPr>
                <w:i/>
                <w:sz w:val="16"/>
                <w:szCs w:val="20"/>
              </w:rPr>
            </w:pPr>
            <w:r>
              <w:rPr>
                <w:i/>
                <w:sz w:val="16"/>
                <w:szCs w:val="20"/>
              </w:rPr>
              <w:t>37%</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CF72B" w14:textId="4887CBDD" w:rsidR="00811940" w:rsidRPr="00A253D9" w:rsidRDefault="00811940" w:rsidP="00811940">
            <w:pPr>
              <w:jc w:val="center"/>
              <w:rPr>
                <w:i/>
                <w:sz w:val="16"/>
                <w:szCs w:val="20"/>
              </w:rPr>
            </w:pPr>
            <w:r>
              <w:rPr>
                <w:i/>
                <w:sz w:val="16"/>
                <w:szCs w:val="20"/>
              </w:rPr>
              <w:t>38%</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2FCDF" w14:textId="1CA4C9DC" w:rsidR="00811940" w:rsidRPr="00A253D9" w:rsidRDefault="00811940" w:rsidP="00811940">
            <w:pPr>
              <w:jc w:val="center"/>
              <w:rPr>
                <w:i/>
                <w:sz w:val="16"/>
                <w:szCs w:val="20"/>
              </w:rPr>
            </w:pPr>
            <w:r>
              <w:rPr>
                <w:i/>
                <w:sz w:val="16"/>
                <w:szCs w:val="20"/>
              </w:rPr>
              <w:t>43%</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BBF18" w14:textId="01CCAF2E" w:rsidR="00811940" w:rsidRPr="00A253D9" w:rsidRDefault="00811940" w:rsidP="00811940">
            <w:pPr>
              <w:jc w:val="center"/>
              <w:rPr>
                <w:i/>
                <w:sz w:val="16"/>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ECB85" w14:textId="007416DE" w:rsidR="00811940" w:rsidRDefault="00811940" w:rsidP="00811940">
            <w:pPr>
              <w:jc w:val="center"/>
              <w:rPr>
                <w:i/>
                <w:sz w:val="16"/>
                <w:szCs w:val="20"/>
              </w:rPr>
            </w:pPr>
          </w:p>
        </w:tc>
      </w:tr>
      <w:tr w:rsidR="00811940" w:rsidRPr="00A253D9" w14:paraId="17507B16" w14:textId="77777777" w:rsidTr="00263F2B">
        <w:trPr>
          <w:gridAfter w:val="3"/>
          <w:wAfter w:w="21576" w:type="dxa"/>
          <w:cantSplit/>
          <w:trHeight w:val="288"/>
        </w:trPr>
        <w:tc>
          <w:tcPr>
            <w:tcW w:w="3240" w:type="dxa"/>
            <w:vMerge w:val="restart"/>
            <w:tcBorders>
              <w:left w:val="single" w:sz="4" w:space="0" w:color="auto"/>
              <w:right w:val="single" w:sz="4" w:space="0" w:color="auto"/>
            </w:tcBorders>
            <w:vAlign w:val="center"/>
          </w:tcPr>
          <w:p w14:paraId="77FDAF1B" w14:textId="491B1CB0" w:rsidR="00811940" w:rsidRPr="00A253D9" w:rsidRDefault="00811940" w:rsidP="00811940">
            <w:pPr>
              <w:ind w:left="325"/>
              <w:rPr>
                <w:bCs/>
                <w:sz w:val="20"/>
                <w:szCs w:val="20"/>
              </w:rPr>
            </w:pPr>
            <w:r>
              <w:rPr>
                <w:bCs/>
                <w:sz w:val="20"/>
                <w:szCs w:val="20"/>
              </w:rPr>
              <w:t xml:space="preserve">6-yr: </w:t>
            </w:r>
            <w:r w:rsidRPr="00A253D9">
              <w:rPr>
                <w:bCs/>
                <w:sz w:val="20"/>
                <w:szCs w:val="20"/>
              </w:rPr>
              <w:t>% of full-time transfers who graduated</w:t>
            </w:r>
            <w:r>
              <w:rPr>
                <w:bCs/>
                <w:sz w:val="20"/>
                <w:szCs w:val="20"/>
              </w:rPr>
              <w:t xml:space="preserve"> in six years or less</w:t>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339B90" w14:textId="52ADC899" w:rsidR="00811940" w:rsidRPr="00A253D9" w:rsidRDefault="00811940" w:rsidP="00811940">
            <w:pPr>
              <w:jc w:val="center"/>
              <w:rPr>
                <w:i/>
                <w:sz w:val="16"/>
                <w:szCs w:val="20"/>
              </w:rPr>
            </w:pPr>
            <w:r w:rsidRPr="00A253D9">
              <w:rPr>
                <w:sz w:val="20"/>
                <w:szCs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E3CDCA" w14:textId="78E0B7F6" w:rsidR="00811940" w:rsidRPr="00A253D9" w:rsidRDefault="00811940" w:rsidP="00811940">
            <w:pPr>
              <w:jc w:val="center"/>
              <w:rPr>
                <w:i/>
                <w:sz w:val="16"/>
                <w:szCs w:val="20"/>
              </w:rPr>
            </w:pPr>
            <w:r w:rsidRPr="007D28D1">
              <w:rPr>
                <w:sz w:val="20"/>
                <w:szCs w:val="20"/>
              </w:rPr>
              <w:t>58.5%</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5A7622" w14:textId="5FFE5DAA" w:rsidR="00811940" w:rsidRPr="007D28D1" w:rsidRDefault="00811940" w:rsidP="00811940">
            <w:pPr>
              <w:jc w:val="center"/>
              <w:rPr>
                <w:sz w:val="16"/>
                <w:szCs w:val="20"/>
              </w:rPr>
            </w:pPr>
            <w:r w:rsidRPr="00A5194D">
              <w:rPr>
                <w:iCs/>
                <w:sz w:val="20"/>
                <w:szCs w:val="20"/>
              </w:rPr>
              <w:t>56.9%</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5C21FE" w14:textId="77777777" w:rsidR="00811940" w:rsidRDefault="00811940" w:rsidP="00811940">
            <w:pPr>
              <w:jc w:val="center"/>
              <w:rPr>
                <w:iCs/>
                <w:sz w:val="20"/>
                <w:szCs w:val="20"/>
              </w:rPr>
            </w:pPr>
            <w:r w:rsidRPr="00A5194D">
              <w:rPr>
                <w:iCs/>
                <w:sz w:val="20"/>
                <w:szCs w:val="20"/>
              </w:rPr>
              <w:t>5</w:t>
            </w:r>
            <w:r>
              <w:rPr>
                <w:iCs/>
                <w:sz w:val="20"/>
                <w:szCs w:val="20"/>
              </w:rPr>
              <w:t>9</w:t>
            </w:r>
            <w:r w:rsidRPr="00A5194D">
              <w:rPr>
                <w:iCs/>
                <w:sz w:val="20"/>
                <w:szCs w:val="20"/>
              </w:rPr>
              <w:t>.</w:t>
            </w:r>
            <w:r>
              <w:rPr>
                <w:iCs/>
                <w:sz w:val="20"/>
                <w:szCs w:val="20"/>
              </w:rPr>
              <w:t>5</w:t>
            </w:r>
            <w:r w:rsidRPr="00A5194D">
              <w:rPr>
                <w:iCs/>
                <w:sz w:val="20"/>
                <w:szCs w:val="20"/>
              </w:rPr>
              <w:t>%</w:t>
            </w:r>
          </w:p>
          <w:p w14:paraId="7772AF38" w14:textId="3590E1F2" w:rsidR="00811940" w:rsidRPr="00A5194D" w:rsidRDefault="00811940" w:rsidP="00811940">
            <w:pPr>
              <w:jc w:val="center"/>
              <w:rPr>
                <w:iCs/>
                <w:sz w:val="20"/>
                <w:szCs w:val="20"/>
              </w:rPr>
            </w:pPr>
            <w:r w:rsidRPr="002D6A7D">
              <w:rPr>
                <w:iCs/>
                <w:sz w:val="18"/>
                <w:szCs w:val="20"/>
              </w:rPr>
              <w:t>(preliminary)</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B8F261" w14:textId="1238BE22" w:rsidR="00811940" w:rsidRPr="00A253D9" w:rsidRDefault="00811940" w:rsidP="00811940">
            <w:pPr>
              <w:jc w:val="center"/>
              <w:rPr>
                <w:i/>
                <w:sz w:val="16"/>
                <w:szCs w:val="20"/>
              </w:rPr>
            </w:pPr>
            <w:r w:rsidRPr="00A253D9">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37309B" w14:textId="67E968D9" w:rsidR="00811940" w:rsidRDefault="00811940" w:rsidP="00811940">
            <w:pPr>
              <w:jc w:val="center"/>
              <w:rPr>
                <w:i/>
                <w:sz w:val="16"/>
                <w:szCs w:val="20"/>
              </w:rPr>
            </w:pPr>
          </w:p>
        </w:tc>
      </w:tr>
      <w:tr w:rsidR="00811940" w:rsidRPr="00A253D9" w14:paraId="7760D1E0" w14:textId="77777777" w:rsidTr="00263F2B">
        <w:trPr>
          <w:gridAfter w:val="3"/>
          <w:wAfter w:w="21576" w:type="dxa"/>
          <w:cantSplit/>
          <w:trHeight w:val="288"/>
        </w:trPr>
        <w:tc>
          <w:tcPr>
            <w:tcW w:w="3240" w:type="dxa"/>
            <w:vMerge/>
            <w:tcBorders>
              <w:left w:val="single" w:sz="4" w:space="0" w:color="auto"/>
              <w:bottom w:val="single" w:sz="4" w:space="0" w:color="auto"/>
              <w:right w:val="single" w:sz="4" w:space="0" w:color="auto"/>
            </w:tcBorders>
            <w:vAlign w:val="center"/>
          </w:tcPr>
          <w:p w14:paraId="1172E95C" w14:textId="77777777" w:rsidR="00811940" w:rsidRPr="00A253D9" w:rsidRDefault="00811940" w:rsidP="00811940">
            <w:pPr>
              <w:rPr>
                <w:bCs/>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F17C9" w14:textId="70BBD1B0" w:rsidR="00811940" w:rsidRPr="00A253D9" w:rsidRDefault="00811940" w:rsidP="00811940">
            <w:pPr>
              <w:jc w:val="center"/>
              <w:rPr>
                <w:i/>
                <w:sz w:val="16"/>
                <w:szCs w:val="20"/>
              </w:rPr>
            </w:pPr>
            <w:r>
              <w:rPr>
                <w:i/>
                <w:sz w:val="16"/>
                <w:szCs w:val="20"/>
              </w:rPr>
              <w:t>t</w:t>
            </w:r>
            <w:r w:rsidRPr="00A253D9">
              <w:rPr>
                <w:i/>
                <w:sz w:val="16"/>
                <w:szCs w:val="20"/>
              </w:rPr>
              <w: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037B0" w14:textId="25E2E131" w:rsidR="00811940" w:rsidRPr="00A253D9" w:rsidRDefault="00811940" w:rsidP="00811940">
            <w:pPr>
              <w:jc w:val="center"/>
              <w:rPr>
                <w:i/>
                <w:sz w:val="16"/>
                <w:szCs w:val="20"/>
              </w:rPr>
            </w:pPr>
            <w:r>
              <w:rPr>
                <w:i/>
                <w:sz w:val="16"/>
                <w:szCs w:val="20"/>
              </w:rPr>
              <w:t>57%</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52138" w14:textId="0BE5C92E" w:rsidR="00811940" w:rsidRPr="00A253D9" w:rsidRDefault="00811940" w:rsidP="00811940">
            <w:pPr>
              <w:jc w:val="center"/>
              <w:rPr>
                <w:i/>
                <w:sz w:val="16"/>
                <w:szCs w:val="20"/>
              </w:rPr>
            </w:pPr>
            <w:r>
              <w:rPr>
                <w:i/>
                <w:sz w:val="16"/>
                <w:szCs w:val="20"/>
              </w:rPr>
              <w:t>58%</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8552F" w14:textId="09639BEB" w:rsidR="00811940" w:rsidRPr="00A253D9" w:rsidRDefault="00811940" w:rsidP="00811940">
            <w:pPr>
              <w:jc w:val="center"/>
              <w:rPr>
                <w:i/>
                <w:sz w:val="16"/>
                <w:szCs w:val="20"/>
              </w:rPr>
            </w:pPr>
            <w:r>
              <w:rPr>
                <w:i/>
                <w:sz w:val="16"/>
                <w:szCs w:val="20"/>
              </w:rPr>
              <w:t>59%</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8BEDE" w14:textId="25D9FA05" w:rsidR="00811940" w:rsidRPr="00A253D9" w:rsidRDefault="00811940" w:rsidP="00811940">
            <w:pPr>
              <w:jc w:val="center"/>
              <w:rPr>
                <w:i/>
                <w:sz w:val="16"/>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F3FD7" w14:textId="0A9ADE61" w:rsidR="00811940" w:rsidRDefault="00811940" w:rsidP="00811940">
            <w:pPr>
              <w:jc w:val="center"/>
              <w:rPr>
                <w:i/>
                <w:sz w:val="16"/>
                <w:szCs w:val="20"/>
              </w:rPr>
            </w:pPr>
          </w:p>
        </w:tc>
      </w:tr>
      <w:tr w:rsidR="00811940" w:rsidRPr="00A253D9" w14:paraId="4FE7D419" w14:textId="77777777" w:rsidTr="00F3264E">
        <w:trPr>
          <w:gridAfter w:val="3"/>
          <w:wAfter w:w="21576" w:type="dxa"/>
          <w:cantSplit/>
          <w:trHeight w:val="323"/>
        </w:trPr>
        <w:tc>
          <w:tcPr>
            <w:tcW w:w="10046" w:type="dxa"/>
            <w:gridSpan w:val="7"/>
            <w:tcBorders>
              <w:top w:val="single" w:sz="4" w:space="0" w:color="auto"/>
              <w:left w:val="single" w:sz="4" w:space="0" w:color="auto"/>
            </w:tcBorders>
            <w:vAlign w:val="center"/>
            <w:hideMark/>
          </w:tcPr>
          <w:p w14:paraId="08CD8805" w14:textId="3708F154" w:rsidR="00811940" w:rsidRPr="00A253D9" w:rsidRDefault="00811940" w:rsidP="00811940">
            <w:pPr>
              <w:pStyle w:val="ListParagraph"/>
              <w:numPr>
                <w:ilvl w:val="0"/>
                <w:numId w:val="18"/>
              </w:numPr>
              <w:ind w:left="342" w:hanging="342"/>
              <w:rPr>
                <w:sz w:val="20"/>
                <w:szCs w:val="20"/>
              </w:rPr>
            </w:pPr>
            <w:r>
              <w:rPr>
                <w:sz w:val="20"/>
                <w:szCs w:val="20"/>
              </w:rPr>
              <w:t>Progression to Degree</w:t>
            </w:r>
            <w:r w:rsidRPr="00A253D9">
              <w:rPr>
                <w:sz w:val="20"/>
                <w:szCs w:val="20"/>
              </w:rPr>
              <w:t xml:space="preserve"> (Objective </w:t>
            </w:r>
            <w:proofErr w:type="gramStart"/>
            <w:r w:rsidRPr="00A253D9">
              <w:rPr>
                <w:sz w:val="20"/>
                <w:szCs w:val="20"/>
              </w:rPr>
              <w:t>A)</w:t>
            </w:r>
            <w:r>
              <w:rPr>
                <w:sz w:val="20"/>
                <w:szCs w:val="20"/>
              </w:rPr>
              <w:t>*</w:t>
            </w:r>
            <w:proofErr w:type="gramEnd"/>
          </w:p>
        </w:tc>
      </w:tr>
      <w:tr w:rsidR="00811940" w:rsidRPr="00A253D9" w14:paraId="3C465557" w14:textId="77777777" w:rsidTr="00263F2B">
        <w:trPr>
          <w:gridAfter w:val="3"/>
          <w:wAfter w:w="21576" w:type="dxa"/>
          <w:cantSplit/>
          <w:trHeight w:val="288"/>
        </w:trPr>
        <w:tc>
          <w:tcPr>
            <w:tcW w:w="3240" w:type="dxa"/>
            <w:vMerge w:val="restart"/>
            <w:tcBorders>
              <w:top w:val="single" w:sz="4" w:space="0" w:color="auto"/>
              <w:left w:val="single" w:sz="4" w:space="0" w:color="auto"/>
              <w:bottom w:val="single" w:sz="4" w:space="0" w:color="auto"/>
              <w:right w:val="single" w:sz="4" w:space="0" w:color="auto"/>
            </w:tcBorders>
            <w:vAlign w:val="center"/>
          </w:tcPr>
          <w:p w14:paraId="019542BD" w14:textId="57D75FB1" w:rsidR="00811940" w:rsidRPr="00A253D9" w:rsidRDefault="00811940" w:rsidP="00811940">
            <w:pPr>
              <w:pStyle w:val="ListParagraph"/>
              <w:ind w:left="342"/>
              <w:rPr>
                <w:bCs/>
                <w:sz w:val="20"/>
                <w:szCs w:val="20"/>
              </w:rPr>
            </w:pPr>
            <w:r>
              <w:rPr>
                <w:bCs/>
                <w:sz w:val="20"/>
                <w:szCs w:val="20"/>
              </w:rPr>
              <w:t>Progress in credits: % of undergraduate degree seeking students completing 30 or more credits per year</w:t>
            </w:r>
            <w:r w:rsidRPr="00A253D9">
              <w:rPr>
                <w:rStyle w:val="EndnoteReference"/>
                <w:sz w:val="20"/>
                <w:szCs w:val="20"/>
              </w:rPr>
              <w:endnoteReference w:id="13"/>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DECF4" w14:textId="43B3D5D0" w:rsidR="00811940" w:rsidRPr="00A253D9" w:rsidRDefault="00811940" w:rsidP="00811940">
            <w:pPr>
              <w:jc w:val="center"/>
              <w:rPr>
                <w:sz w:val="20"/>
                <w:szCs w:val="20"/>
              </w:rPr>
            </w:pPr>
            <w:r w:rsidRPr="00A253D9">
              <w:rPr>
                <w:sz w:val="20"/>
                <w:szCs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E8317F" w14:textId="1A588497" w:rsidR="00811940" w:rsidRPr="00A253D9" w:rsidRDefault="00811940" w:rsidP="00811940">
            <w:pPr>
              <w:jc w:val="center"/>
              <w:rPr>
                <w:sz w:val="20"/>
                <w:szCs w:val="20"/>
              </w:rPr>
            </w:pPr>
            <w:r>
              <w:rPr>
                <w:sz w:val="20"/>
                <w:szCs w:val="20"/>
              </w:rPr>
              <w:t>26.5%</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BFA6CE" w14:textId="50E352BF" w:rsidR="00811940" w:rsidRPr="00A253D9" w:rsidRDefault="00811940" w:rsidP="00811940">
            <w:pPr>
              <w:jc w:val="center"/>
              <w:rPr>
                <w:sz w:val="20"/>
                <w:szCs w:val="20"/>
                <w:highlight w:val="yellow"/>
              </w:rPr>
            </w:pPr>
            <w:r>
              <w:rPr>
                <w:sz w:val="20"/>
                <w:szCs w:val="20"/>
              </w:rPr>
              <w:t>28.7%</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6F2C96" w14:textId="3BEA4493" w:rsidR="00811940" w:rsidRPr="00A253D9" w:rsidRDefault="00811940" w:rsidP="00811940">
            <w:pPr>
              <w:jc w:val="center"/>
              <w:rPr>
                <w:sz w:val="20"/>
                <w:szCs w:val="20"/>
                <w:highlight w:val="yellow"/>
              </w:rPr>
            </w:pPr>
            <w:r>
              <w:rPr>
                <w:sz w:val="20"/>
                <w:szCs w:val="20"/>
              </w:rPr>
              <w:t>28.3%</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0E6B28" w14:textId="2555976B" w:rsidR="00811940" w:rsidRPr="008C7B23" w:rsidRDefault="00811940" w:rsidP="00811940">
            <w:pPr>
              <w:jc w:val="center"/>
              <w:rPr>
                <w:sz w:val="20"/>
                <w:szCs w:val="20"/>
              </w:rPr>
            </w:pPr>
            <w:r w:rsidRPr="00A253D9">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31B053" w14:textId="78E8D88C" w:rsidR="00811940" w:rsidRPr="00A253D9" w:rsidRDefault="00811940" w:rsidP="00811940">
            <w:pPr>
              <w:jc w:val="center"/>
              <w:rPr>
                <w:sz w:val="20"/>
                <w:szCs w:val="20"/>
              </w:rPr>
            </w:pPr>
          </w:p>
        </w:tc>
      </w:tr>
      <w:tr w:rsidR="00811940" w:rsidRPr="00A253D9" w14:paraId="458608BE" w14:textId="77777777" w:rsidTr="00263F2B">
        <w:trPr>
          <w:gridAfter w:val="3"/>
          <w:wAfter w:w="21576" w:type="dxa"/>
          <w:cantSplit/>
          <w:trHeight w:val="288"/>
        </w:trPr>
        <w:tc>
          <w:tcPr>
            <w:tcW w:w="3240" w:type="dxa"/>
            <w:vMerge/>
            <w:tcBorders>
              <w:top w:val="single" w:sz="4" w:space="0" w:color="auto"/>
              <w:left w:val="single" w:sz="4" w:space="0" w:color="auto"/>
              <w:bottom w:val="single" w:sz="4" w:space="0" w:color="auto"/>
              <w:right w:val="single" w:sz="4" w:space="0" w:color="auto"/>
            </w:tcBorders>
            <w:vAlign w:val="center"/>
          </w:tcPr>
          <w:p w14:paraId="7144C7BD" w14:textId="77777777" w:rsidR="00811940" w:rsidRPr="00A253D9" w:rsidRDefault="00811940" w:rsidP="00811940">
            <w:pPr>
              <w:rPr>
                <w:bCs/>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F9564" w14:textId="651E67C0" w:rsidR="00811940" w:rsidRPr="00A253D9" w:rsidRDefault="00811940" w:rsidP="00811940">
            <w:pPr>
              <w:jc w:val="center"/>
              <w:rPr>
                <w:sz w:val="16"/>
                <w:szCs w:val="20"/>
              </w:rPr>
            </w:pPr>
            <w:r>
              <w:rPr>
                <w:i/>
                <w:sz w:val="16"/>
                <w:szCs w:val="20"/>
              </w:rPr>
              <w:t>t</w:t>
            </w:r>
            <w:r w:rsidRPr="00A253D9">
              <w:rPr>
                <w:i/>
                <w:sz w:val="16"/>
                <w:szCs w:val="20"/>
              </w:rPr>
              <w: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32792" w14:textId="5F9E9971" w:rsidR="00811940" w:rsidRPr="00A253D9" w:rsidRDefault="00811940" w:rsidP="00811940">
            <w:pPr>
              <w:jc w:val="center"/>
              <w:rPr>
                <w:i/>
                <w:sz w:val="16"/>
                <w:szCs w:val="20"/>
              </w:rPr>
            </w:pPr>
            <w:r>
              <w:rPr>
                <w:i/>
                <w:sz w:val="16"/>
                <w:szCs w:val="20"/>
              </w:rPr>
              <w:t>30%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1EAD3" w14:textId="62717F62" w:rsidR="00811940" w:rsidRPr="00A253D9" w:rsidRDefault="00811940" w:rsidP="00811940">
            <w:pPr>
              <w:jc w:val="center"/>
              <w:rPr>
                <w:i/>
                <w:sz w:val="16"/>
                <w:szCs w:val="20"/>
              </w:rPr>
            </w:pPr>
            <w:r>
              <w:rPr>
                <w:i/>
                <w:sz w:val="16"/>
                <w:szCs w:val="20"/>
              </w:rPr>
              <w:t>25%</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A71DF" w14:textId="3730ABB1" w:rsidR="00811940" w:rsidRPr="00A253D9" w:rsidRDefault="00811940" w:rsidP="00811940">
            <w:pPr>
              <w:jc w:val="center"/>
              <w:rPr>
                <w:i/>
                <w:sz w:val="16"/>
                <w:szCs w:val="20"/>
              </w:rPr>
            </w:pPr>
            <w:r>
              <w:rPr>
                <w:i/>
                <w:sz w:val="16"/>
                <w:szCs w:val="20"/>
              </w:rPr>
              <w:t>28%</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F7452" w14:textId="61377E04" w:rsidR="00811940" w:rsidRPr="00A253D9" w:rsidRDefault="00811940" w:rsidP="00811940">
            <w:pPr>
              <w:jc w:val="center"/>
              <w:rPr>
                <w:i/>
                <w:sz w:val="16"/>
                <w:szCs w:val="20"/>
              </w:rPr>
            </w:pPr>
            <w:r>
              <w:rPr>
                <w:i/>
                <w:sz w:val="16"/>
                <w:szCs w:val="20"/>
              </w:rPr>
              <w:t>30%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E2E61" w14:textId="0C3DE374" w:rsidR="00811940" w:rsidRPr="00A253D9" w:rsidRDefault="00811940" w:rsidP="00811940">
            <w:pPr>
              <w:jc w:val="center"/>
              <w:rPr>
                <w:i/>
                <w:sz w:val="16"/>
                <w:szCs w:val="20"/>
              </w:rPr>
            </w:pPr>
          </w:p>
        </w:tc>
      </w:tr>
      <w:tr w:rsidR="00811940" w:rsidRPr="00A253D9" w14:paraId="6FDE3557" w14:textId="77777777" w:rsidTr="00263F2B">
        <w:trPr>
          <w:gridAfter w:val="3"/>
          <w:wAfter w:w="21576" w:type="dxa"/>
          <w:cantSplit/>
          <w:trHeight w:val="288"/>
        </w:trPr>
        <w:tc>
          <w:tcPr>
            <w:tcW w:w="3240" w:type="dxa"/>
            <w:vMerge w:val="restart"/>
            <w:tcBorders>
              <w:top w:val="single" w:sz="4" w:space="0" w:color="auto"/>
              <w:left w:val="single" w:sz="4" w:space="0" w:color="auto"/>
              <w:right w:val="single" w:sz="4" w:space="0" w:color="auto"/>
            </w:tcBorders>
            <w:vAlign w:val="center"/>
          </w:tcPr>
          <w:p w14:paraId="41BA90E0" w14:textId="7A360065" w:rsidR="00811940" w:rsidRPr="00A253D9" w:rsidRDefault="00811940" w:rsidP="00811940">
            <w:pPr>
              <w:ind w:left="331"/>
              <w:rPr>
                <w:bCs/>
                <w:sz w:val="20"/>
                <w:szCs w:val="20"/>
              </w:rPr>
            </w:pPr>
            <w:r>
              <w:rPr>
                <w:bCs/>
                <w:sz w:val="20"/>
                <w:szCs w:val="20"/>
              </w:rPr>
              <w:t>Gateway Math Completion: % of new degree-seeking freshmen completing a gateway math course within two years</w:t>
            </w:r>
            <w:r w:rsidRPr="00A253D9">
              <w:rPr>
                <w:rStyle w:val="EndnoteReference"/>
                <w:sz w:val="20"/>
                <w:szCs w:val="20"/>
              </w:rPr>
              <w:endnoteReference w:id="14"/>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54B5BF" w14:textId="691F58F0" w:rsidR="00811940" w:rsidRPr="00A253D9" w:rsidRDefault="00811940" w:rsidP="00811940">
            <w:pPr>
              <w:jc w:val="center"/>
              <w:rPr>
                <w:sz w:val="20"/>
                <w:szCs w:val="20"/>
              </w:rPr>
            </w:pPr>
            <w:r w:rsidRPr="00A253D9">
              <w:rPr>
                <w:sz w:val="20"/>
                <w:szCs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CD2818" w14:textId="28EA3BB1" w:rsidR="00811940" w:rsidRPr="00A253D9" w:rsidRDefault="00811940" w:rsidP="00811940">
            <w:pPr>
              <w:jc w:val="center"/>
              <w:rPr>
                <w:sz w:val="20"/>
                <w:szCs w:val="20"/>
              </w:rPr>
            </w:pPr>
            <w:r>
              <w:rPr>
                <w:sz w:val="20"/>
                <w:szCs w:val="20"/>
              </w:rPr>
              <w:t>82.1%</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87F40A" w14:textId="3D00BFC8" w:rsidR="00811940" w:rsidRPr="00A253D9" w:rsidRDefault="00811940" w:rsidP="00811940">
            <w:pPr>
              <w:jc w:val="center"/>
              <w:rPr>
                <w:sz w:val="20"/>
                <w:szCs w:val="20"/>
              </w:rPr>
            </w:pPr>
            <w:r>
              <w:rPr>
                <w:sz w:val="20"/>
                <w:szCs w:val="20"/>
              </w:rPr>
              <w:t>83.4%</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A9FCDF" w14:textId="60CA2443" w:rsidR="00811940" w:rsidRPr="009506F2" w:rsidRDefault="00811940" w:rsidP="00811940">
            <w:pPr>
              <w:jc w:val="center"/>
              <w:rPr>
                <w:sz w:val="20"/>
                <w:szCs w:val="20"/>
              </w:rPr>
            </w:pPr>
            <w:r>
              <w:rPr>
                <w:sz w:val="20"/>
                <w:szCs w:val="20"/>
              </w:rPr>
              <w:t>81.5%</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56DDAB" w14:textId="45DDF88E" w:rsidR="00811940" w:rsidRPr="00A5194D" w:rsidRDefault="00811940" w:rsidP="00811940">
            <w:pPr>
              <w:jc w:val="center"/>
              <w:rPr>
                <w:sz w:val="16"/>
                <w:szCs w:val="16"/>
              </w:rPr>
            </w:pPr>
            <w:r w:rsidRPr="00A253D9">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8296C1" w14:textId="33E83870" w:rsidR="00811940" w:rsidRPr="00A253D9" w:rsidRDefault="00811940" w:rsidP="00811940">
            <w:pPr>
              <w:jc w:val="center"/>
              <w:rPr>
                <w:sz w:val="20"/>
                <w:szCs w:val="20"/>
              </w:rPr>
            </w:pPr>
          </w:p>
        </w:tc>
      </w:tr>
      <w:tr w:rsidR="00811940" w:rsidRPr="00A253D9" w14:paraId="1D88F42A" w14:textId="77777777" w:rsidTr="00263F2B">
        <w:trPr>
          <w:gridAfter w:val="3"/>
          <w:wAfter w:w="21576" w:type="dxa"/>
          <w:cantSplit/>
          <w:trHeight w:val="288"/>
        </w:trPr>
        <w:tc>
          <w:tcPr>
            <w:tcW w:w="3240" w:type="dxa"/>
            <w:vMerge/>
            <w:tcBorders>
              <w:left w:val="single" w:sz="4" w:space="0" w:color="auto"/>
              <w:bottom w:val="single" w:sz="4" w:space="0" w:color="auto"/>
              <w:right w:val="single" w:sz="4" w:space="0" w:color="auto"/>
            </w:tcBorders>
            <w:vAlign w:val="center"/>
          </w:tcPr>
          <w:p w14:paraId="3610C7B2" w14:textId="77777777" w:rsidR="00811940" w:rsidRPr="00A253D9" w:rsidRDefault="00811940" w:rsidP="00811940">
            <w:pPr>
              <w:rPr>
                <w:bCs/>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9B5E0" w14:textId="72A3DFE0" w:rsidR="00811940" w:rsidRPr="00A253D9" w:rsidRDefault="00811940" w:rsidP="00811940">
            <w:pPr>
              <w:jc w:val="center"/>
              <w:rPr>
                <w:i/>
                <w:sz w:val="16"/>
                <w:szCs w:val="20"/>
              </w:rPr>
            </w:pPr>
            <w:r>
              <w:rPr>
                <w:i/>
                <w:sz w:val="16"/>
                <w:szCs w:val="20"/>
              </w:rPr>
              <w:t>t</w:t>
            </w:r>
            <w:r w:rsidRPr="00A253D9">
              <w:rPr>
                <w:i/>
                <w:sz w:val="16"/>
                <w:szCs w:val="20"/>
              </w:rPr>
              <w: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35" w14:textId="6F952DBC" w:rsidR="00811940" w:rsidRPr="00A253D9" w:rsidRDefault="00811940" w:rsidP="00811940">
            <w:pPr>
              <w:jc w:val="center"/>
              <w:rPr>
                <w:i/>
                <w:sz w:val="16"/>
                <w:szCs w:val="20"/>
              </w:rPr>
            </w:pPr>
            <w:r>
              <w:rPr>
                <w:i/>
                <w:sz w:val="16"/>
                <w:szCs w:val="20"/>
              </w:rPr>
              <w:t>83%</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78903" w14:textId="49087072" w:rsidR="00811940" w:rsidRPr="00A253D9" w:rsidRDefault="00811940" w:rsidP="00811940">
            <w:pPr>
              <w:jc w:val="center"/>
              <w:rPr>
                <w:i/>
                <w:sz w:val="16"/>
                <w:szCs w:val="20"/>
              </w:rPr>
            </w:pPr>
            <w:r>
              <w:rPr>
                <w:i/>
                <w:sz w:val="16"/>
                <w:szCs w:val="20"/>
              </w:rPr>
              <w:t>83%</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FF9E1" w14:textId="63CE95A9" w:rsidR="00811940" w:rsidRPr="00A253D9" w:rsidRDefault="00811940" w:rsidP="00811940">
            <w:pPr>
              <w:jc w:val="center"/>
              <w:rPr>
                <w:i/>
                <w:sz w:val="16"/>
                <w:szCs w:val="20"/>
              </w:rPr>
            </w:pPr>
            <w:r>
              <w:rPr>
                <w:i/>
                <w:sz w:val="16"/>
                <w:szCs w:val="20"/>
              </w:rPr>
              <w:t>83%</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1F2A6" w14:textId="075062D8" w:rsidR="00811940" w:rsidRPr="00A253D9" w:rsidRDefault="00811940" w:rsidP="00811940">
            <w:pPr>
              <w:jc w:val="center"/>
              <w:rPr>
                <w:i/>
                <w:sz w:val="16"/>
                <w:szCs w:val="20"/>
              </w:rPr>
            </w:pPr>
            <w:r>
              <w:rPr>
                <w:i/>
                <w:sz w:val="16"/>
                <w:szCs w:val="20"/>
              </w:rPr>
              <w:t>85%</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68FD7" w14:textId="71A30D6F" w:rsidR="00811940" w:rsidRPr="00A253D9" w:rsidRDefault="00811940" w:rsidP="00811940">
            <w:pPr>
              <w:jc w:val="center"/>
              <w:rPr>
                <w:i/>
                <w:sz w:val="16"/>
                <w:szCs w:val="20"/>
              </w:rPr>
            </w:pPr>
          </w:p>
        </w:tc>
      </w:tr>
      <w:tr w:rsidR="00811940" w:rsidRPr="00A253D9" w14:paraId="248CAD56" w14:textId="77777777" w:rsidTr="00263F2B">
        <w:trPr>
          <w:gridAfter w:val="3"/>
          <w:wAfter w:w="21576" w:type="dxa"/>
          <w:cantSplit/>
          <w:trHeight w:val="288"/>
        </w:trPr>
        <w:tc>
          <w:tcPr>
            <w:tcW w:w="3240" w:type="dxa"/>
            <w:vMerge w:val="restart"/>
            <w:tcBorders>
              <w:left w:val="single" w:sz="4" w:space="0" w:color="auto"/>
              <w:right w:val="single" w:sz="4" w:space="0" w:color="auto"/>
            </w:tcBorders>
            <w:vAlign w:val="center"/>
          </w:tcPr>
          <w:p w14:paraId="7C98C391" w14:textId="2CB3E746" w:rsidR="00811940" w:rsidRPr="00A253D9" w:rsidRDefault="00811940" w:rsidP="00811940">
            <w:pPr>
              <w:ind w:left="325"/>
              <w:rPr>
                <w:bCs/>
                <w:sz w:val="20"/>
                <w:szCs w:val="20"/>
              </w:rPr>
            </w:pPr>
            <w:r>
              <w:rPr>
                <w:bCs/>
                <w:sz w:val="20"/>
                <w:szCs w:val="20"/>
              </w:rPr>
              <w:t>Remedial English: % of undergraduates completing credit-bearing course after remedial</w:t>
            </w:r>
            <w:r w:rsidRPr="00A253D9">
              <w:rPr>
                <w:rStyle w:val="EndnoteReference"/>
                <w:sz w:val="20"/>
                <w:szCs w:val="20"/>
              </w:rPr>
              <w:endnoteReference w:id="15"/>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937C27" w14:textId="4C0AB1DF" w:rsidR="00811940" w:rsidRPr="00A253D9" w:rsidRDefault="00811940" w:rsidP="00811940">
            <w:pPr>
              <w:jc w:val="center"/>
              <w:rPr>
                <w:sz w:val="20"/>
                <w:szCs w:val="20"/>
              </w:rPr>
            </w:pPr>
            <w:r w:rsidRPr="00A253D9">
              <w:rPr>
                <w:sz w:val="20"/>
                <w:szCs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0E9BFE" w14:textId="31ECA1E8" w:rsidR="00811940" w:rsidRPr="00A253D9" w:rsidRDefault="00811940" w:rsidP="00811940">
            <w:pPr>
              <w:jc w:val="center"/>
              <w:rPr>
                <w:sz w:val="20"/>
                <w:szCs w:val="20"/>
              </w:rPr>
            </w:pPr>
            <w:r>
              <w:rPr>
                <w:sz w:val="20"/>
                <w:szCs w:val="20"/>
              </w:rPr>
              <w:t>88.5%</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31F1D" w14:textId="5E0C05EA" w:rsidR="00811940" w:rsidRPr="00A253D9" w:rsidRDefault="00811940" w:rsidP="00811940">
            <w:pPr>
              <w:jc w:val="center"/>
              <w:rPr>
                <w:sz w:val="20"/>
                <w:szCs w:val="20"/>
              </w:rPr>
            </w:pPr>
            <w:r>
              <w:rPr>
                <w:sz w:val="20"/>
                <w:szCs w:val="20"/>
              </w:rPr>
              <w:t>87.1%</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4D6C15" w14:textId="0E4BCA89" w:rsidR="00811940" w:rsidRPr="00A253D9" w:rsidRDefault="00811940" w:rsidP="00811940">
            <w:pPr>
              <w:jc w:val="center"/>
              <w:rPr>
                <w:sz w:val="20"/>
                <w:szCs w:val="20"/>
              </w:rPr>
            </w:pPr>
            <w:r>
              <w:rPr>
                <w:sz w:val="20"/>
                <w:szCs w:val="20"/>
              </w:rPr>
              <w:t>83.1%</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384596" w14:textId="0CA5AC29" w:rsidR="00811940" w:rsidRPr="0019151E" w:rsidRDefault="00811940" w:rsidP="00811940">
            <w:pPr>
              <w:jc w:val="center"/>
              <w:rPr>
                <w:i/>
                <w:sz w:val="20"/>
                <w:szCs w:val="20"/>
              </w:rPr>
            </w:pPr>
            <w:r w:rsidRPr="00A253D9">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D24ACF" w14:textId="6735332E" w:rsidR="00811940" w:rsidRPr="00A253D9" w:rsidRDefault="00811940" w:rsidP="00811940">
            <w:pPr>
              <w:jc w:val="center"/>
              <w:rPr>
                <w:sz w:val="20"/>
                <w:szCs w:val="20"/>
              </w:rPr>
            </w:pPr>
          </w:p>
        </w:tc>
      </w:tr>
      <w:tr w:rsidR="00301FDE" w:rsidRPr="00A253D9" w14:paraId="1A5C22FC" w14:textId="77777777" w:rsidTr="00263F2B">
        <w:trPr>
          <w:gridAfter w:val="3"/>
          <w:wAfter w:w="21576" w:type="dxa"/>
          <w:cantSplit/>
          <w:trHeight w:val="288"/>
        </w:trPr>
        <w:tc>
          <w:tcPr>
            <w:tcW w:w="3240" w:type="dxa"/>
            <w:vMerge/>
            <w:tcBorders>
              <w:left w:val="single" w:sz="4" w:space="0" w:color="auto"/>
              <w:bottom w:val="single" w:sz="4" w:space="0" w:color="auto"/>
              <w:right w:val="single" w:sz="4" w:space="0" w:color="auto"/>
            </w:tcBorders>
            <w:vAlign w:val="center"/>
          </w:tcPr>
          <w:p w14:paraId="7880469F" w14:textId="77777777" w:rsidR="00301FDE" w:rsidRPr="00A253D9" w:rsidRDefault="00301FDE" w:rsidP="00301FDE">
            <w:pPr>
              <w:rPr>
                <w:bCs/>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2494E" w14:textId="515687CF" w:rsidR="00301FDE" w:rsidRPr="00A253D9" w:rsidRDefault="00301FDE" w:rsidP="00301FDE">
            <w:pPr>
              <w:jc w:val="center"/>
              <w:rPr>
                <w:i/>
                <w:sz w:val="16"/>
                <w:szCs w:val="20"/>
              </w:rPr>
            </w:pPr>
            <w:r>
              <w:rPr>
                <w:i/>
                <w:sz w:val="16"/>
                <w:szCs w:val="20"/>
              </w:rPr>
              <w:t>t</w:t>
            </w:r>
            <w:r w:rsidRPr="00A253D9">
              <w:rPr>
                <w:i/>
                <w:sz w:val="16"/>
                <w:szCs w:val="20"/>
              </w:rPr>
              <w: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325CD" w14:textId="36B0311C" w:rsidR="00301FDE" w:rsidRPr="00A253D9" w:rsidRDefault="00301FDE" w:rsidP="00301FDE">
            <w:pPr>
              <w:jc w:val="center"/>
              <w:rPr>
                <w:i/>
                <w:sz w:val="16"/>
                <w:szCs w:val="20"/>
              </w:rPr>
            </w:pPr>
            <w:r>
              <w:rPr>
                <w:i/>
                <w:sz w:val="16"/>
                <w:szCs w:val="20"/>
              </w:rPr>
              <w:t>90%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E1C0A" w14:textId="2058D258" w:rsidR="00301FDE" w:rsidRPr="00A253D9" w:rsidRDefault="00301FDE" w:rsidP="00301FDE">
            <w:pPr>
              <w:jc w:val="center"/>
              <w:rPr>
                <w:i/>
                <w:sz w:val="16"/>
                <w:szCs w:val="20"/>
              </w:rPr>
            </w:pPr>
            <w:r>
              <w:rPr>
                <w:i/>
                <w:sz w:val="16"/>
                <w:szCs w:val="20"/>
              </w:rPr>
              <w:t>90%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67B21" w14:textId="0A8A4546" w:rsidR="00301FDE" w:rsidRPr="00A253D9" w:rsidRDefault="00301FDE" w:rsidP="00301FDE">
            <w:pPr>
              <w:jc w:val="center"/>
              <w:rPr>
                <w:i/>
                <w:sz w:val="16"/>
                <w:szCs w:val="20"/>
              </w:rPr>
            </w:pPr>
            <w:r>
              <w:rPr>
                <w:i/>
                <w:sz w:val="16"/>
                <w:szCs w:val="20"/>
              </w:rPr>
              <w:t>90%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E967B" w14:textId="759056F5" w:rsidR="00301FDE" w:rsidRPr="00A253D9" w:rsidRDefault="00301FDE" w:rsidP="00301FDE">
            <w:pPr>
              <w:jc w:val="center"/>
              <w:rPr>
                <w:i/>
                <w:sz w:val="16"/>
                <w:szCs w:val="20"/>
              </w:rPr>
            </w:pPr>
            <w:r>
              <w:rPr>
                <w:i/>
                <w:sz w:val="16"/>
                <w:szCs w:val="20"/>
              </w:rPr>
              <w:t>90%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F98F7" w14:textId="4B9DDF2A" w:rsidR="00301FDE" w:rsidRPr="00A253D9" w:rsidRDefault="00301FDE" w:rsidP="00301FDE">
            <w:pPr>
              <w:jc w:val="center"/>
              <w:rPr>
                <w:i/>
                <w:sz w:val="16"/>
                <w:szCs w:val="20"/>
              </w:rPr>
            </w:pPr>
          </w:p>
        </w:tc>
      </w:tr>
      <w:tr w:rsidR="00301FDE" w:rsidRPr="00A253D9" w14:paraId="4086A95D" w14:textId="77777777" w:rsidTr="00263F2B">
        <w:trPr>
          <w:gridAfter w:val="3"/>
          <w:wAfter w:w="21576" w:type="dxa"/>
          <w:cantSplit/>
          <w:trHeight w:val="288"/>
        </w:trPr>
        <w:tc>
          <w:tcPr>
            <w:tcW w:w="3240" w:type="dxa"/>
            <w:vMerge w:val="restart"/>
            <w:tcBorders>
              <w:left w:val="single" w:sz="4" w:space="0" w:color="auto"/>
              <w:right w:val="single" w:sz="4" w:space="0" w:color="auto"/>
            </w:tcBorders>
            <w:vAlign w:val="center"/>
          </w:tcPr>
          <w:p w14:paraId="5AC0C66D" w14:textId="05F88C59" w:rsidR="00301FDE" w:rsidRPr="00A253D9" w:rsidRDefault="00301FDE" w:rsidP="00301FDE">
            <w:pPr>
              <w:ind w:left="325"/>
              <w:rPr>
                <w:bCs/>
                <w:sz w:val="20"/>
                <w:szCs w:val="20"/>
              </w:rPr>
            </w:pPr>
            <w:r>
              <w:rPr>
                <w:bCs/>
                <w:sz w:val="20"/>
                <w:szCs w:val="20"/>
              </w:rPr>
              <w:t>Remedial Math: % of undergraduates completing credit-bearing course after remedial</w:t>
            </w:r>
            <w:r w:rsidRPr="00A253D9">
              <w:rPr>
                <w:rStyle w:val="EndnoteReference"/>
                <w:sz w:val="20"/>
                <w:szCs w:val="20"/>
              </w:rPr>
              <w:endnoteReference w:id="16"/>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93D0F" w14:textId="70BB3569" w:rsidR="00301FDE" w:rsidRDefault="00301FDE" w:rsidP="00301FDE">
            <w:pPr>
              <w:jc w:val="center"/>
              <w:rPr>
                <w:i/>
                <w:sz w:val="16"/>
                <w:szCs w:val="20"/>
              </w:rPr>
            </w:pPr>
            <w:r w:rsidRPr="00A253D9">
              <w:rPr>
                <w:sz w:val="20"/>
                <w:szCs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F82CC9" w14:textId="3D64EE9D" w:rsidR="00301FDE" w:rsidRPr="00A253D9" w:rsidRDefault="00301FDE" w:rsidP="00301FDE">
            <w:pPr>
              <w:jc w:val="center"/>
              <w:rPr>
                <w:i/>
                <w:sz w:val="16"/>
                <w:szCs w:val="20"/>
              </w:rPr>
            </w:pPr>
            <w:r>
              <w:rPr>
                <w:sz w:val="20"/>
                <w:szCs w:val="20"/>
              </w:rPr>
              <w:t>55.8</w:t>
            </w:r>
            <w:r w:rsidRPr="007B4E6B">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DAE7AC" w14:textId="6422CF61" w:rsidR="00301FDE" w:rsidRPr="00A253D9" w:rsidRDefault="00301FDE" w:rsidP="00301FDE">
            <w:pPr>
              <w:jc w:val="center"/>
              <w:rPr>
                <w:i/>
                <w:sz w:val="16"/>
                <w:szCs w:val="20"/>
              </w:rPr>
            </w:pPr>
            <w:r w:rsidRPr="00450323">
              <w:rPr>
                <w:sz w:val="20"/>
                <w:szCs w:val="20"/>
              </w:rPr>
              <w:t>56.7%</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F6845B" w14:textId="267AADFB" w:rsidR="00301FDE" w:rsidRPr="007B4E6B" w:rsidRDefault="00301FDE" w:rsidP="00301FDE">
            <w:pPr>
              <w:jc w:val="center"/>
              <w:rPr>
                <w:sz w:val="16"/>
                <w:szCs w:val="20"/>
              </w:rPr>
            </w:pPr>
            <w:r w:rsidRPr="00450323">
              <w:rPr>
                <w:sz w:val="20"/>
                <w:szCs w:val="20"/>
              </w:rPr>
              <w:t>5</w:t>
            </w:r>
            <w:r>
              <w:rPr>
                <w:sz w:val="20"/>
                <w:szCs w:val="20"/>
              </w:rPr>
              <w:t>9</w:t>
            </w:r>
            <w:r w:rsidRPr="00450323">
              <w:rPr>
                <w:sz w:val="20"/>
                <w:szCs w:val="20"/>
              </w:rPr>
              <w:t>.</w:t>
            </w:r>
            <w:r>
              <w:rPr>
                <w:sz w:val="20"/>
                <w:szCs w:val="20"/>
              </w:rPr>
              <w:t>6</w:t>
            </w:r>
            <w:r w:rsidRPr="00450323">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406CDA" w14:textId="4B7145AF" w:rsidR="00301FDE" w:rsidRPr="00450323" w:rsidRDefault="00301FDE" w:rsidP="00301FDE">
            <w:pPr>
              <w:jc w:val="center"/>
              <w:rPr>
                <w:i/>
                <w:sz w:val="16"/>
                <w:szCs w:val="20"/>
              </w:rPr>
            </w:pPr>
            <w:r w:rsidRPr="00A253D9">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CC036" w14:textId="02875FDF" w:rsidR="00301FDE" w:rsidRPr="00A253D9" w:rsidRDefault="00301FDE" w:rsidP="00301FDE">
            <w:pPr>
              <w:jc w:val="center"/>
              <w:rPr>
                <w:i/>
                <w:sz w:val="16"/>
                <w:szCs w:val="20"/>
              </w:rPr>
            </w:pPr>
          </w:p>
        </w:tc>
      </w:tr>
      <w:tr w:rsidR="00301FDE" w:rsidRPr="00A253D9" w14:paraId="3DF724D7" w14:textId="77777777" w:rsidTr="00263F2B">
        <w:trPr>
          <w:gridAfter w:val="3"/>
          <w:wAfter w:w="21576" w:type="dxa"/>
          <w:cantSplit/>
          <w:trHeight w:val="288"/>
        </w:trPr>
        <w:tc>
          <w:tcPr>
            <w:tcW w:w="3240" w:type="dxa"/>
            <w:vMerge/>
            <w:tcBorders>
              <w:left w:val="single" w:sz="4" w:space="0" w:color="auto"/>
              <w:bottom w:val="single" w:sz="4" w:space="0" w:color="auto"/>
              <w:right w:val="single" w:sz="4" w:space="0" w:color="auto"/>
            </w:tcBorders>
            <w:vAlign w:val="center"/>
          </w:tcPr>
          <w:p w14:paraId="091C3526" w14:textId="77777777" w:rsidR="00301FDE" w:rsidRPr="00A253D9" w:rsidRDefault="00301FDE" w:rsidP="00301FDE">
            <w:pPr>
              <w:rPr>
                <w:bCs/>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F968C" w14:textId="58FCE0B9" w:rsidR="00301FDE" w:rsidRDefault="00301FDE" w:rsidP="00301FDE">
            <w:pPr>
              <w:jc w:val="center"/>
              <w:rPr>
                <w:i/>
                <w:sz w:val="16"/>
                <w:szCs w:val="20"/>
              </w:rPr>
            </w:pPr>
            <w:r>
              <w:rPr>
                <w:i/>
                <w:sz w:val="16"/>
                <w:szCs w:val="20"/>
              </w:rPr>
              <w:t>t</w:t>
            </w:r>
            <w:r w:rsidRPr="00A253D9">
              <w:rPr>
                <w:i/>
                <w:sz w:val="16"/>
                <w:szCs w:val="20"/>
              </w:rPr>
              <w: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F44FD" w14:textId="538B19B3" w:rsidR="00301FDE" w:rsidRPr="00A253D9" w:rsidRDefault="00301FDE" w:rsidP="00301FDE">
            <w:pPr>
              <w:jc w:val="center"/>
              <w:rPr>
                <w:i/>
                <w:sz w:val="16"/>
                <w:szCs w:val="20"/>
              </w:rPr>
            </w:pPr>
            <w:r>
              <w:rPr>
                <w:i/>
                <w:sz w:val="16"/>
                <w:szCs w:val="20"/>
              </w:rPr>
              <w:t>55%</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6665E" w14:textId="1A65BAAD" w:rsidR="00301FDE" w:rsidRPr="00A253D9" w:rsidRDefault="00301FDE" w:rsidP="00301FDE">
            <w:pPr>
              <w:jc w:val="center"/>
              <w:rPr>
                <w:i/>
                <w:sz w:val="16"/>
                <w:szCs w:val="20"/>
              </w:rPr>
            </w:pPr>
            <w:r>
              <w:rPr>
                <w:i/>
                <w:sz w:val="16"/>
                <w:szCs w:val="20"/>
              </w:rPr>
              <w:t>55%</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1F06D" w14:textId="4BB73FBC" w:rsidR="00301FDE" w:rsidRPr="00A253D9" w:rsidRDefault="00301FDE" w:rsidP="00301FDE">
            <w:pPr>
              <w:jc w:val="center"/>
              <w:rPr>
                <w:i/>
                <w:sz w:val="16"/>
                <w:szCs w:val="20"/>
              </w:rPr>
            </w:pPr>
            <w:r>
              <w:rPr>
                <w:i/>
                <w:sz w:val="16"/>
                <w:szCs w:val="20"/>
              </w:rPr>
              <w:t>55%</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15BFD" w14:textId="5014F4AD" w:rsidR="00301FDE" w:rsidRPr="00A253D9" w:rsidRDefault="00301FDE" w:rsidP="00301FDE">
            <w:pPr>
              <w:jc w:val="center"/>
              <w:rPr>
                <w:i/>
                <w:sz w:val="16"/>
                <w:szCs w:val="20"/>
              </w:rPr>
            </w:pPr>
            <w:r>
              <w:rPr>
                <w:i/>
                <w:sz w:val="16"/>
                <w:szCs w:val="20"/>
              </w:rPr>
              <w:t>58%</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2E350" w14:textId="41167B31" w:rsidR="00301FDE" w:rsidRPr="00A253D9" w:rsidRDefault="00301FDE" w:rsidP="00301FDE">
            <w:pPr>
              <w:jc w:val="center"/>
              <w:rPr>
                <w:i/>
                <w:sz w:val="16"/>
                <w:szCs w:val="20"/>
              </w:rPr>
            </w:pPr>
          </w:p>
        </w:tc>
      </w:tr>
      <w:tr w:rsidR="00301FDE" w:rsidRPr="0036519D" w14:paraId="72C85D53" w14:textId="77777777" w:rsidTr="00F3264E">
        <w:trPr>
          <w:gridAfter w:val="3"/>
          <w:wAfter w:w="21576" w:type="dxa"/>
          <w:cantSplit/>
          <w:trHeight w:val="575"/>
        </w:trPr>
        <w:tc>
          <w:tcPr>
            <w:tcW w:w="10046" w:type="dxa"/>
            <w:gridSpan w:val="7"/>
            <w:tcBorders>
              <w:top w:val="single" w:sz="4" w:space="0" w:color="auto"/>
              <w:left w:val="single" w:sz="4" w:space="0" w:color="auto"/>
              <w:right w:val="single" w:sz="4" w:space="0" w:color="auto"/>
            </w:tcBorders>
            <w:shd w:val="clear" w:color="auto" w:fill="DBE5F1" w:themeFill="accent1" w:themeFillTint="33"/>
            <w:vAlign w:val="center"/>
          </w:tcPr>
          <w:p w14:paraId="5F2FD296" w14:textId="1647A627" w:rsidR="00301FDE" w:rsidRPr="00A253D9" w:rsidRDefault="00301FDE" w:rsidP="00301FDE">
            <w:pPr>
              <w:pStyle w:val="ListParagraph"/>
              <w:ind w:left="342"/>
              <w:jc w:val="center"/>
              <w:rPr>
                <w:rFonts w:eastAsia="Arial Unicode MS"/>
                <w:b/>
                <w:sz w:val="20"/>
                <w:szCs w:val="22"/>
              </w:rPr>
            </w:pPr>
            <w:r w:rsidRPr="00A253D9">
              <w:rPr>
                <w:rFonts w:eastAsia="Arial Unicode MS"/>
                <w:b/>
                <w:sz w:val="20"/>
                <w:szCs w:val="22"/>
              </w:rPr>
              <w:t>Goal 3</w:t>
            </w:r>
          </w:p>
          <w:p w14:paraId="48AEBE53" w14:textId="77777777" w:rsidR="00301FDE" w:rsidRPr="00A253D9" w:rsidRDefault="00301FDE" w:rsidP="00301FDE">
            <w:pPr>
              <w:pStyle w:val="ListParagraph"/>
              <w:ind w:left="342"/>
              <w:jc w:val="center"/>
              <w:rPr>
                <w:rFonts w:eastAsia="Arial Unicode MS"/>
                <w:b/>
                <w:sz w:val="20"/>
                <w:szCs w:val="20"/>
              </w:rPr>
            </w:pPr>
            <w:r w:rsidRPr="00A253D9">
              <w:rPr>
                <w:rFonts w:eastAsia="Arial Unicode MS"/>
                <w:b/>
                <w:sz w:val="20"/>
                <w:szCs w:val="20"/>
              </w:rPr>
              <w:t>Gain distinction as a doctoral research university.</w:t>
            </w:r>
          </w:p>
        </w:tc>
      </w:tr>
      <w:tr w:rsidR="00301FDE" w14:paraId="3EBD2283" w14:textId="77777777" w:rsidTr="00F3264E">
        <w:trPr>
          <w:gridAfter w:val="3"/>
          <w:wAfter w:w="21576" w:type="dxa"/>
          <w:cantSplit/>
          <w:trHeight w:val="332"/>
        </w:trPr>
        <w:tc>
          <w:tcPr>
            <w:tcW w:w="10046" w:type="dxa"/>
            <w:gridSpan w:val="7"/>
            <w:tcBorders>
              <w:top w:val="single" w:sz="4" w:space="0" w:color="auto"/>
              <w:left w:val="single" w:sz="4" w:space="0" w:color="auto"/>
              <w:right w:val="single" w:sz="4" w:space="0" w:color="auto"/>
            </w:tcBorders>
            <w:vAlign w:val="center"/>
            <w:hideMark/>
          </w:tcPr>
          <w:p w14:paraId="69E2D974" w14:textId="662DE711" w:rsidR="00301FDE" w:rsidRPr="00A253D9" w:rsidRDefault="00301FDE" w:rsidP="00301FDE">
            <w:pPr>
              <w:pStyle w:val="ListParagraph"/>
              <w:numPr>
                <w:ilvl w:val="0"/>
                <w:numId w:val="18"/>
              </w:numPr>
              <w:ind w:left="342" w:hanging="342"/>
              <w:rPr>
                <w:sz w:val="20"/>
              </w:rPr>
            </w:pPr>
            <w:r w:rsidRPr="00A253D9">
              <w:rPr>
                <w:rFonts w:eastAsia="Arial Unicode MS"/>
                <w:sz w:val="20"/>
                <w:szCs w:val="22"/>
              </w:rPr>
              <w:t>Total Research &amp; Development Expenditures</w:t>
            </w:r>
            <w:r w:rsidRPr="00A253D9">
              <w:rPr>
                <w:rStyle w:val="EndnoteReference"/>
                <w:rFonts w:eastAsia="Arial Unicode MS"/>
                <w:sz w:val="20"/>
                <w:szCs w:val="22"/>
              </w:rPr>
              <w:endnoteReference w:id="17"/>
            </w:r>
            <w:r w:rsidRPr="00A253D9">
              <w:rPr>
                <w:rFonts w:eastAsia="Arial Unicode MS"/>
                <w:sz w:val="20"/>
                <w:szCs w:val="22"/>
              </w:rPr>
              <w:t xml:space="preserve"> (Objective A)</w:t>
            </w:r>
          </w:p>
        </w:tc>
      </w:tr>
      <w:tr w:rsidR="00301FDE" w14:paraId="42D989E1" w14:textId="77777777" w:rsidTr="00263F2B">
        <w:trPr>
          <w:gridAfter w:val="3"/>
          <w:wAfter w:w="21576" w:type="dxa"/>
          <w:cantSplit/>
          <w:trHeight w:val="288"/>
        </w:trPr>
        <w:tc>
          <w:tcPr>
            <w:tcW w:w="3240" w:type="dxa"/>
            <w:vMerge w:val="restart"/>
            <w:tcBorders>
              <w:top w:val="single" w:sz="4" w:space="0" w:color="auto"/>
              <w:left w:val="single" w:sz="4" w:space="0" w:color="auto"/>
              <w:bottom w:val="single" w:sz="4" w:space="0" w:color="auto"/>
              <w:right w:val="single" w:sz="4" w:space="0" w:color="auto"/>
            </w:tcBorders>
            <w:vAlign w:val="center"/>
            <w:hideMark/>
          </w:tcPr>
          <w:p w14:paraId="78E1E097" w14:textId="79C79130" w:rsidR="00301FDE" w:rsidRDefault="00301FDE" w:rsidP="00301FDE">
            <w:pPr>
              <w:pStyle w:val="ListParagraph"/>
              <w:ind w:left="342"/>
              <w:rPr>
                <w:bCs/>
                <w:sz w:val="20"/>
              </w:rPr>
            </w:pPr>
            <w:r>
              <w:rPr>
                <w:bCs/>
                <w:sz w:val="20"/>
              </w:rPr>
              <w:t>Expenditures as reported to the National Science Foundation</w:t>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71FB5E" w14:textId="76E30CF2" w:rsidR="00301FDE" w:rsidRDefault="00301FDE" w:rsidP="00301FDE">
            <w:pPr>
              <w:jc w:val="center"/>
              <w:rPr>
                <w:sz w:val="20"/>
              </w:rPr>
            </w:pPr>
            <w:r>
              <w:rPr>
                <w:sz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C4F807" w14:textId="31F0A5AA" w:rsidR="00301FDE" w:rsidRDefault="00301FDE" w:rsidP="00301FDE">
            <w:pPr>
              <w:jc w:val="center"/>
              <w:rPr>
                <w:sz w:val="20"/>
              </w:rPr>
            </w:pPr>
            <w:r w:rsidRPr="00CF215F">
              <w:rPr>
                <w:sz w:val="20"/>
                <w:szCs w:val="20"/>
              </w:rPr>
              <w:t>$39.8M</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6BE4D5" w14:textId="78104AE3" w:rsidR="00301FDE" w:rsidRPr="00EB52BA" w:rsidRDefault="00301FDE" w:rsidP="00301FDE">
            <w:pPr>
              <w:jc w:val="center"/>
              <w:rPr>
                <w:sz w:val="20"/>
              </w:rPr>
            </w:pPr>
            <w:r>
              <w:rPr>
                <w:sz w:val="20"/>
                <w:szCs w:val="20"/>
              </w:rPr>
              <w:t>$43.3M</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369360" w14:textId="2415E864" w:rsidR="00301FDE" w:rsidRPr="00CF215F" w:rsidRDefault="00301FDE" w:rsidP="00301FDE">
            <w:pPr>
              <w:jc w:val="center"/>
              <w:rPr>
                <w:sz w:val="20"/>
                <w:szCs w:val="20"/>
              </w:rPr>
            </w:pPr>
            <w:r w:rsidRPr="005F1D17">
              <w:rPr>
                <w:sz w:val="16"/>
              </w:rPr>
              <w:t xml:space="preserve">Not available </w:t>
            </w:r>
            <w:proofErr w:type="gramStart"/>
            <w:r w:rsidRPr="005F1D17">
              <w:rPr>
                <w:sz w:val="16"/>
              </w:rPr>
              <w:t>at this time</w:t>
            </w:r>
            <w:proofErr w:type="gramEnd"/>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0951A" w14:textId="77811CF7" w:rsidR="00301FDE" w:rsidRPr="005F1D17" w:rsidRDefault="00301FDE" w:rsidP="00301FDE">
            <w:pPr>
              <w:jc w:val="center"/>
              <w:rPr>
                <w:sz w:val="16"/>
              </w:rPr>
            </w:pPr>
            <w:r w:rsidRPr="00A253D9">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24EE5F" w14:textId="1F02A142" w:rsidR="00301FDE" w:rsidRDefault="00301FDE" w:rsidP="00301FDE">
            <w:pPr>
              <w:jc w:val="center"/>
              <w:rPr>
                <w:sz w:val="20"/>
              </w:rPr>
            </w:pPr>
          </w:p>
        </w:tc>
      </w:tr>
      <w:tr w:rsidR="00301FDE" w14:paraId="149859B3" w14:textId="77777777" w:rsidTr="00263F2B">
        <w:trPr>
          <w:gridAfter w:val="3"/>
          <w:wAfter w:w="21576" w:type="dxa"/>
          <w:cantSplit/>
          <w:trHeight w:val="288"/>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2E8B4EA3" w14:textId="77777777" w:rsidR="00301FDE" w:rsidRDefault="00301FDE" w:rsidP="00301FDE">
            <w:pPr>
              <w:rPr>
                <w:bCs/>
                <w:sz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548B26" w14:textId="4798E9A4" w:rsidR="00301FDE" w:rsidRDefault="00301FDE" w:rsidP="00301FDE">
            <w:pPr>
              <w:jc w:val="center"/>
              <w:rPr>
                <w:i/>
                <w:sz w:val="20"/>
              </w:rPr>
            </w:pPr>
            <w:r>
              <w:rPr>
                <w:i/>
                <w:sz w:val="16"/>
                <w:szCs w:val="16"/>
              </w:rPr>
              <w:t>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AF2AB" w14:textId="2F412B5D" w:rsidR="00301FDE" w:rsidRDefault="00301FDE" w:rsidP="00301FDE">
            <w:pPr>
              <w:jc w:val="center"/>
              <w:rPr>
                <w:i/>
                <w:sz w:val="16"/>
                <w:szCs w:val="16"/>
              </w:rPr>
            </w:pPr>
            <w:r>
              <w:rPr>
                <w:i/>
                <w:sz w:val="16"/>
                <w:szCs w:val="16"/>
              </w:rPr>
              <w:t>$38M</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C5700" w14:textId="72295D88" w:rsidR="00301FDE" w:rsidRDefault="00301FDE" w:rsidP="00301FDE">
            <w:pPr>
              <w:jc w:val="center"/>
              <w:rPr>
                <w:i/>
                <w:sz w:val="16"/>
                <w:szCs w:val="16"/>
              </w:rPr>
            </w:pPr>
            <w:r>
              <w:rPr>
                <w:i/>
                <w:sz w:val="16"/>
                <w:szCs w:val="16"/>
              </w:rPr>
              <w:t>$44M</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25C69" w14:textId="37F626F0" w:rsidR="00301FDE" w:rsidRDefault="00301FDE" w:rsidP="00301FDE">
            <w:pPr>
              <w:jc w:val="center"/>
              <w:rPr>
                <w:i/>
                <w:sz w:val="16"/>
                <w:szCs w:val="16"/>
              </w:rPr>
            </w:pPr>
            <w:r>
              <w:rPr>
                <w:i/>
                <w:sz w:val="16"/>
                <w:szCs w:val="16"/>
              </w:rPr>
              <w:t>$47M</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017F0" w14:textId="79409AD4" w:rsidR="00301FDE" w:rsidRDefault="00301FDE" w:rsidP="00301FDE">
            <w:pPr>
              <w:jc w:val="center"/>
              <w:rPr>
                <w:i/>
                <w:sz w:val="16"/>
                <w:szCs w:val="16"/>
              </w:rPr>
            </w:pPr>
            <w:r>
              <w:rPr>
                <w:i/>
                <w:sz w:val="16"/>
                <w:szCs w:val="16"/>
              </w:rPr>
              <w:t>$47M</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32C53" w14:textId="73595480" w:rsidR="00301FDE" w:rsidRDefault="00301FDE" w:rsidP="00301FDE">
            <w:pPr>
              <w:jc w:val="center"/>
              <w:rPr>
                <w:i/>
                <w:sz w:val="16"/>
                <w:szCs w:val="16"/>
              </w:rPr>
            </w:pPr>
          </w:p>
        </w:tc>
      </w:tr>
      <w:tr w:rsidR="00301FDE" w:rsidRPr="0036519D" w14:paraId="5FF73723" w14:textId="77777777" w:rsidTr="00F3264E">
        <w:trPr>
          <w:gridAfter w:val="3"/>
          <w:wAfter w:w="21576" w:type="dxa"/>
          <w:cantSplit/>
          <w:trHeight w:val="494"/>
        </w:trPr>
        <w:tc>
          <w:tcPr>
            <w:tcW w:w="10046" w:type="dxa"/>
            <w:gridSpan w:val="7"/>
            <w:tcBorders>
              <w:top w:val="single" w:sz="4" w:space="0" w:color="auto"/>
              <w:left w:val="single" w:sz="4" w:space="0" w:color="auto"/>
            </w:tcBorders>
            <w:shd w:val="clear" w:color="auto" w:fill="DBE5F1" w:themeFill="accent1" w:themeFillTint="33"/>
            <w:vAlign w:val="center"/>
          </w:tcPr>
          <w:p w14:paraId="1CEBE70F" w14:textId="77777777" w:rsidR="00301FDE" w:rsidRPr="00A253D9" w:rsidRDefault="00301FDE" w:rsidP="00301FDE">
            <w:pPr>
              <w:pStyle w:val="ListParagraph"/>
              <w:ind w:left="342"/>
              <w:jc w:val="center"/>
              <w:rPr>
                <w:b/>
                <w:bCs/>
                <w:sz w:val="20"/>
                <w:szCs w:val="22"/>
              </w:rPr>
            </w:pPr>
            <w:r w:rsidRPr="00A253D9">
              <w:rPr>
                <w:b/>
                <w:bCs/>
                <w:sz w:val="20"/>
                <w:szCs w:val="22"/>
              </w:rPr>
              <w:t>Goal 4</w:t>
            </w:r>
          </w:p>
          <w:p w14:paraId="210BE259" w14:textId="77777777" w:rsidR="00301FDE" w:rsidRPr="00A253D9" w:rsidRDefault="00301FDE" w:rsidP="00301FDE">
            <w:pPr>
              <w:pStyle w:val="ListParagraph"/>
              <w:ind w:left="342"/>
              <w:jc w:val="center"/>
              <w:rPr>
                <w:b/>
                <w:bCs/>
                <w:sz w:val="20"/>
                <w:szCs w:val="20"/>
              </w:rPr>
            </w:pPr>
            <w:r w:rsidRPr="00A253D9">
              <w:rPr>
                <w:b/>
                <w:bCs/>
                <w:sz w:val="20"/>
                <w:szCs w:val="20"/>
              </w:rPr>
              <w:t>Align university programs and activities with community needs.</w:t>
            </w:r>
          </w:p>
        </w:tc>
      </w:tr>
      <w:tr w:rsidR="00301FDE" w14:paraId="3202C3DF" w14:textId="77777777" w:rsidTr="00F3264E">
        <w:trPr>
          <w:gridAfter w:val="3"/>
          <w:wAfter w:w="21576" w:type="dxa"/>
          <w:cantSplit/>
          <w:trHeight w:val="323"/>
        </w:trPr>
        <w:tc>
          <w:tcPr>
            <w:tcW w:w="10046" w:type="dxa"/>
            <w:gridSpan w:val="7"/>
            <w:tcBorders>
              <w:top w:val="single" w:sz="4" w:space="0" w:color="auto"/>
              <w:left w:val="single" w:sz="4" w:space="0" w:color="auto"/>
              <w:right w:val="single" w:sz="4" w:space="0" w:color="auto"/>
            </w:tcBorders>
            <w:vAlign w:val="center"/>
          </w:tcPr>
          <w:p w14:paraId="15E94B84" w14:textId="01935D5F" w:rsidR="00301FDE" w:rsidRPr="00F62C9B" w:rsidRDefault="00301FDE" w:rsidP="00301FDE">
            <w:pPr>
              <w:pStyle w:val="ListParagraph"/>
              <w:numPr>
                <w:ilvl w:val="0"/>
                <w:numId w:val="18"/>
              </w:numPr>
              <w:ind w:left="342" w:hanging="342"/>
              <w:rPr>
                <w:i/>
                <w:sz w:val="20"/>
                <w:szCs w:val="16"/>
              </w:rPr>
            </w:pPr>
            <w:r w:rsidRPr="00F62C9B">
              <w:rPr>
                <w:rFonts w:eastAsia="Arial Unicode MS"/>
                <w:sz w:val="20"/>
                <w:szCs w:val="22"/>
              </w:rPr>
              <w:t>Number of graduates with high impact on Idaho’s college completion rate (Objective C)</w:t>
            </w:r>
            <w:r w:rsidRPr="00A9448E">
              <w:rPr>
                <w:sz w:val="22"/>
                <w:vertAlign w:val="superscript"/>
              </w:rPr>
              <w:t xml:space="preserve"> </w:t>
            </w:r>
            <w:r w:rsidRPr="00A9448E">
              <w:rPr>
                <w:sz w:val="22"/>
                <w:vertAlign w:val="superscript"/>
              </w:rPr>
              <w:endnoteReference w:id="18"/>
            </w:r>
          </w:p>
        </w:tc>
      </w:tr>
      <w:tr w:rsidR="00301FDE" w14:paraId="4F08CE00" w14:textId="77777777" w:rsidTr="00263F2B">
        <w:trPr>
          <w:gridAfter w:val="3"/>
          <w:wAfter w:w="21576" w:type="dxa"/>
          <w:cantSplit/>
          <w:trHeight w:val="288"/>
        </w:trPr>
        <w:tc>
          <w:tcPr>
            <w:tcW w:w="3240" w:type="dxa"/>
            <w:vMerge w:val="restart"/>
            <w:tcBorders>
              <w:top w:val="single" w:sz="4" w:space="0" w:color="auto"/>
              <w:left w:val="single" w:sz="4" w:space="0" w:color="auto"/>
              <w:bottom w:val="single" w:sz="4" w:space="0" w:color="auto"/>
              <w:right w:val="single" w:sz="4" w:space="0" w:color="auto"/>
            </w:tcBorders>
            <w:vAlign w:val="center"/>
          </w:tcPr>
          <w:p w14:paraId="2F210F57" w14:textId="4005C01F" w:rsidR="00301FDE" w:rsidRPr="00844F05" w:rsidRDefault="00301FDE" w:rsidP="00301FDE">
            <w:pPr>
              <w:pStyle w:val="ListParagraph"/>
              <w:ind w:left="342"/>
              <w:rPr>
                <w:sz w:val="20"/>
              </w:rPr>
            </w:pPr>
            <w:r w:rsidRPr="00844F05">
              <w:rPr>
                <w:sz w:val="20"/>
              </w:rPr>
              <w:t>Baccalaureate graduates from underrepresented groups: rural counties</w:t>
            </w:r>
            <w:r w:rsidRPr="00A9448E">
              <w:rPr>
                <w:sz w:val="22"/>
                <w:vertAlign w:val="superscript"/>
              </w:rPr>
              <w:endnoteReference w:id="19"/>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564177" w14:textId="6BE77D90" w:rsidR="00301FDE" w:rsidRDefault="00301FDE" w:rsidP="00301FDE">
            <w:pPr>
              <w:jc w:val="center"/>
              <w:rPr>
                <w:i/>
                <w:sz w:val="16"/>
                <w:szCs w:val="16"/>
              </w:rPr>
            </w:pPr>
            <w:r>
              <w:rPr>
                <w:sz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1A494C" w14:textId="11057891" w:rsidR="00301FDE" w:rsidRPr="00172F48" w:rsidRDefault="00301FDE" w:rsidP="00301FDE">
            <w:pPr>
              <w:jc w:val="center"/>
              <w:rPr>
                <w:i/>
                <w:sz w:val="16"/>
                <w:szCs w:val="16"/>
              </w:rPr>
            </w:pPr>
            <w:r>
              <w:rPr>
                <w:sz w:val="20"/>
              </w:rPr>
              <w:t>528</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7AC4FF" w14:textId="19EF057B" w:rsidR="00301FDE" w:rsidRPr="00172F48" w:rsidRDefault="00301FDE" w:rsidP="00301FDE">
            <w:pPr>
              <w:jc w:val="center"/>
              <w:rPr>
                <w:i/>
                <w:sz w:val="16"/>
                <w:szCs w:val="16"/>
              </w:rPr>
            </w:pPr>
            <w:r>
              <w:rPr>
                <w:sz w:val="20"/>
              </w:rPr>
              <w:t>459</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E4430D" w14:textId="01B1F902" w:rsidR="00301FDE" w:rsidRPr="00172F48" w:rsidRDefault="00301FDE" w:rsidP="00301FDE">
            <w:pPr>
              <w:jc w:val="center"/>
              <w:rPr>
                <w:i/>
                <w:sz w:val="16"/>
                <w:szCs w:val="16"/>
              </w:rPr>
            </w:pPr>
            <w:r>
              <w:rPr>
                <w:iCs/>
                <w:sz w:val="20"/>
                <w:szCs w:val="20"/>
              </w:rPr>
              <w:t>505</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ED3073" w14:textId="23AA737B" w:rsidR="00301FDE" w:rsidRPr="004A4B42" w:rsidRDefault="00301FDE" w:rsidP="00301FDE">
            <w:pPr>
              <w:jc w:val="center"/>
              <w:rPr>
                <w:iCs/>
                <w:sz w:val="20"/>
                <w:szCs w:val="20"/>
              </w:rPr>
            </w:pPr>
            <w:r w:rsidRPr="00A253D9">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886D1" w14:textId="48AC0AE4" w:rsidR="00301FDE" w:rsidRDefault="00301FDE" w:rsidP="00301FDE">
            <w:pPr>
              <w:jc w:val="center"/>
              <w:rPr>
                <w:i/>
                <w:sz w:val="16"/>
                <w:szCs w:val="16"/>
              </w:rPr>
            </w:pPr>
          </w:p>
        </w:tc>
      </w:tr>
      <w:tr w:rsidR="00301FDE" w14:paraId="211CCAEA" w14:textId="77777777" w:rsidTr="00263F2B">
        <w:trPr>
          <w:gridAfter w:val="3"/>
          <w:wAfter w:w="21576" w:type="dxa"/>
          <w:cantSplit/>
          <w:trHeight w:val="288"/>
        </w:trPr>
        <w:tc>
          <w:tcPr>
            <w:tcW w:w="3240" w:type="dxa"/>
            <w:vMerge/>
            <w:tcBorders>
              <w:top w:val="single" w:sz="4" w:space="0" w:color="auto"/>
              <w:left w:val="single" w:sz="4" w:space="0" w:color="auto"/>
              <w:bottom w:val="single" w:sz="4" w:space="0" w:color="auto"/>
              <w:right w:val="single" w:sz="4" w:space="0" w:color="auto"/>
            </w:tcBorders>
            <w:vAlign w:val="center"/>
          </w:tcPr>
          <w:p w14:paraId="1FD3BA2E" w14:textId="77777777" w:rsidR="00301FDE" w:rsidRDefault="00301FDE" w:rsidP="00301FDE">
            <w:pPr>
              <w:rPr>
                <w:bCs/>
                <w:sz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A4AEF" w14:textId="4B8E9BDB" w:rsidR="00301FDE" w:rsidRDefault="00301FDE" w:rsidP="00301FDE">
            <w:pPr>
              <w:jc w:val="center"/>
              <w:rPr>
                <w:i/>
                <w:sz w:val="16"/>
                <w:szCs w:val="16"/>
              </w:rPr>
            </w:pPr>
            <w:r>
              <w:rPr>
                <w:i/>
                <w:sz w:val="16"/>
                <w:szCs w:val="16"/>
              </w:rPr>
              <w:t>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96C97" w14:textId="5D1D008A" w:rsidR="00301FDE" w:rsidRPr="00172F48" w:rsidRDefault="00301FDE" w:rsidP="00301FDE">
            <w:pPr>
              <w:jc w:val="center"/>
              <w:rPr>
                <w:i/>
                <w:sz w:val="16"/>
                <w:szCs w:val="16"/>
              </w:rPr>
            </w:pPr>
            <w:r>
              <w:rPr>
                <w:i/>
                <w:sz w:val="16"/>
                <w:szCs w:val="20"/>
              </w:rPr>
              <w:t>NA</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7DEC9" w14:textId="3CAA8A38" w:rsidR="00301FDE" w:rsidRPr="00172F48" w:rsidRDefault="00301FDE" w:rsidP="00301FDE">
            <w:pPr>
              <w:jc w:val="center"/>
              <w:rPr>
                <w:i/>
                <w:sz w:val="16"/>
                <w:szCs w:val="16"/>
              </w:rPr>
            </w:pPr>
            <w:r>
              <w:rPr>
                <w:i/>
                <w:sz w:val="16"/>
                <w:szCs w:val="16"/>
              </w:rPr>
              <w:t>500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A774B" w14:textId="7585693F" w:rsidR="00301FDE" w:rsidRPr="00172F48" w:rsidRDefault="00301FDE" w:rsidP="00301FDE">
            <w:pPr>
              <w:jc w:val="center"/>
              <w:rPr>
                <w:i/>
                <w:sz w:val="16"/>
                <w:szCs w:val="16"/>
              </w:rPr>
            </w:pPr>
            <w:r>
              <w:rPr>
                <w:i/>
                <w:sz w:val="16"/>
                <w:szCs w:val="16"/>
              </w:rPr>
              <w:t>525</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F73E0" w14:textId="1A238D1A" w:rsidR="00301FDE" w:rsidRPr="00F62C9B" w:rsidRDefault="00301FDE" w:rsidP="00301FDE">
            <w:pPr>
              <w:jc w:val="center"/>
              <w:rPr>
                <w:i/>
                <w:sz w:val="16"/>
                <w:szCs w:val="16"/>
              </w:rPr>
            </w:pPr>
            <w:r>
              <w:rPr>
                <w:i/>
                <w:sz w:val="16"/>
                <w:szCs w:val="16"/>
              </w:rPr>
              <w:t>550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D4D57" w14:textId="68B0F722" w:rsidR="00301FDE" w:rsidRDefault="00301FDE" w:rsidP="00301FDE">
            <w:pPr>
              <w:jc w:val="center"/>
              <w:rPr>
                <w:i/>
                <w:sz w:val="16"/>
                <w:szCs w:val="16"/>
              </w:rPr>
            </w:pPr>
          </w:p>
        </w:tc>
      </w:tr>
      <w:tr w:rsidR="00301FDE" w14:paraId="47E98B6D" w14:textId="77777777" w:rsidTr="00263F2B">
        <w:trPr>
          <w:gridAfter w:val="3"/>
          <w:wAfter w:w="21576" w:type="dxa"/>
          <w:cantSplit/>
          <w:trHeight w:val="288"/>
        </w:trPr>
        <w:tc>
          <w:tcPr>
            <w:tcW w:w="3240" w:type="dxa"/>
            <w:vMerge w:val="restart"/>
            <w:tcBorders>
              <w:top w:val="single" w:sz="4" w:space="0" w:color="auto"/>
              <w:left w:val="single" w:sz="4" w:space="0" w:color="auto"/>
              <w:bottom w:val="single" w:sz="4" w:space="0" w:color="auto"/>
              <w:right w:val="single" w:sz="4" w:space="0" w:color="auto"/>
            </w:tcBorders>
            <w:vAlign w:val="center"/>
          </w:tcPr>
          <w:p w14:paraId="68A13159" w14:textId="7AF2A703" w:rsidR="00301FDE" w:rsidRDefault="00301FDE" w:rsidP="00301FDE">
            <w:pPr>
              <w:pStyle w:val="ListParagraph"/>
              <w:ind w:left="342"/>
              <w:rPr>
                <w:bCs/>
                <w:sz w:val="20"/>
              </w:rPr>
            </w:pPr>
            <w:r w:rsidRPr="005A7F3F">
              <w:rPr>
                <w:bCs/>
                <w:sz w:val="20"/>
              </w:rPr>
              <w:t>Bacc</w:t>
            </w:r>
            <w:r>
              <w:rPr>
                <w:bCs/>
                <w:sz w:val="20"/>
              </w:rPr>
              <w:t>alaureate</w:t>
            </w:r>
            <w:r w:rsidRPr="005A7F3F">
              <w:rPr>
                <w:bCs/>
                <w:sz w:val="20"/>
              </w:rPr>
              <w:t xml:space="preserve"> </w:t>
            </w:r>
            <w:r>
              <w:rPr>
                <w:bCs/>
                <w:sz w:val="20"/>
              </w:rPr>
              <w:t>graduates from underrepresented groups: ethnic minorities</w:t>
            </w:r>
            <w:r>
              <w:rPr>
                <w:rStyle w:val="EndnoteReference"/>
                <w:bCs/>
                <w:sz w:val="20"/>
              </w:rPr>
              <w:endnoteReference w:id="20"/>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EF01F8" w14:textId="60D15E59" w:rsidR="00301FDE" w:rsidRDefault="00301FDE" w:rsidP="00301FDE">
            <w:pPr>
              <w:jc w:val="center"/>
              <w:rPr>
                <w:i/>
                <w:sz w:val="16"/>
                <w:szCs w:val="16"/>
              </w:rPr>
            </w:pPr>
            <w:r>
              <w:rPr>
                <w:sz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2B4A62" w14:textId="60E8D19F" w:rsidR="00301FDE" w:rsidRPr="00172F48" w:rsidRDefault="00301FDE" w:rsidP="00301FDE">
            <w:pPr>
              <w:jc w:val="center"/>
              <w:rPr>
                <w:i/>
                <w:sz w:val="16"/>
                <w:szCs w:val="16"/>
              </w:rPr>
            </w:pPr>
            <w:r w:rsidRPr="00EB45EB">
              <w:rPr>
                <w:sz w:val="20"/>
              </w:rPr>
              <w:t>4</w:t>
            </w:r>
            <w:r>
              <w:rPr>
                <w:sz w:val="20"/>
              </w:rPr>
              <w:t>4</w:t>
            </w:r>
            <w:r w:rsidRPr="00EB45EB">
              <w:rPr>
                <w:sz w:val="20"/>
              </w:rPr>
              <w:t>4</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D1496D" w14:textId="5EBE9CEC" w:rsidR="00301FDE" w:rsidRPr="00172F48" w:rsidRDefault="00301FDE" w:rsidP="00301FDE">
            <w:pPr>
              <w:jc w:val="center"/>
              <w:rPr>
                <w:i/>
                <w:sz w:val="16"/>
                <w:szCs w:val="16"/>
              </w:rPr>
            </w:pPr>
            <w:r w:rsidRPr="00F62C9B">
              <w:rPr>
                <w:sz w:val="20"/>
              </w:rPr>
              <w:t>467</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FA9A70" w14:textId="5196F39B" w:rsidR="00301FDE" w:rsidRPr="00172F48" w:rsidRDefault="00301FDE" w:rsidP="00301FDE">
            <w:pPr>
              <w:jc w:val="center"/>
              <w:rPr>
                <w:i/>
                <w:sz w:val="16"/>
                <w:szCs w:val="16"/>
              </w:rPr>
            </w:pPr>
            <w:r>
              <w:rPr>
                <w:sz w:val="20"/>
              </w:rPr>
              <w:t>525</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038B3C" w14:textId="270C7466" w:rsidR="00301FDE" w:rsidRPr="00F62C9B" w:rsidRDefault="00301FDE" w:rsidP="00301FDE">
            <w:pPr>
              <w:jc w:val="center"/>
              <w:rPr>
                <w:i/>
                <w:sz w:val="16"/>
                <w:szCs w:val="16"/>
              </w:rPr>
            </w:pPr>
            <w:r w:rsidRPr="00A253D9">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0160C0" w14:textId="4C136B54" w:rsidR="00301FDE" w:rsidRDefault="00301FDE" w:rsidP="00301FDE">
            <w:pPr>
              <w:jc w:val="center"/>
              <w:rPr>
                <w:i/>
                <w:sz w:val="16"/>
                <w:szCs w:val="16"/>
              </w:rPr>
            </w:pPr>
          </w:p>
        </w:tc>
      </w:tr>
      <w:tr w:rsidR="00301FDE" w14:paraId="5CAC8EB9" w14:textId="77777777" w:rsidTr="00263F2B">
        <w:trPr>
          <w:gridAfter w:val="3"/>
          <w:wAfter w:w="21576" w:type="dxa"/>
          <w:cantSplit/>
          <w:trHeight w:val="288"/>
        </w:trPr>
        <w:tc>
          <w:tcPr>
            <w:tcW w:w="3240" w:type="dxa"/>
            <w:vMerge/>
            <w:tcBorders>
              <w:top w:val="single" w:sz="4" w:space="0" w:color="auto"/>
              <w:left w:val="single" w:sz="4" w:space="0" w:color="auto"/>
              <w:bottom w:val="single" w:sz="4" w:space="0" w:color="auto"/>
              <w:right w:val="single" w:sz="4" w:space="0" w:color="auto"/>
            </w:tcBorders>
            <w:vAlign w:val="center"/>
          </w:tcPr>
          <w:p w14:paraId="6596C118" w14:textId="77777777" w:rsidR="00301FDE" w:rsidRDefault="00301FDE" w:rsidP="00301FDE">
            <w:pPr>
              <w:rPr>
                <w:bCs/>
                <w:sz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A9028" w14:textId="1B5E0405" w:rsidR="00301FDE" w:rsidRDefault="00301FDE" w:rsidP="00301FDE">
            <w:pPr>
              <w:jc w:val="center"/>
              <w:rPr>
                <w:i/>
                <w:sz w:val="16"/>
                <w:szCs w:val="16"/>
              </w:rPr>
            </w:pPr>
            <w:r>
              <w:rPr>
                <w:i/>
                <w:sz w:val="16"/>
                <w:szCs w:val="16"/>
              </w:rPr>
              <w:t>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93195" w14:textId="23DA46E5" w:rsidR="00301FDE" w:rsidRPr="00172F48" w:rsidRDefault="00301FDE" w:rsidP="00301FDE">
            <w:pPr>
              <w:jc w:val="center"/>
              <w:rPr>
                <w:i/>
                <w:sz w:val="16"/>
                <w:szCs w:val="16"/>
              </w:rPr>
            </w:pPr>
            <w:r>
              <w:rPr>
                <w:i/>
                <w:sz w:val="16"/>
                <w:szCs w:val="16"/>
              </w:rPr>
              <w:t>430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02647" w14:textId="07DE90DE" w:rsidR="00301FDE" w:rsidRPr="00172F48" w:rsidRDefault="00301FDE" w:rsidP="00301FDE">
            <w:pPr>
              <w:jc w:val="center"/>
              <w:rPr>
                <w:i/>
                <w:sz w:val="16"/>
                <w:szCs w:val="16"/>
              </w:rPr>
            </w:pPr>
            <w:r w:rsidRPr="00F62C9B">
              <w:rPr>
                <w:i/>
                <w:sz w:val="16"/>
                <w:szCs w:val="16"/>
              </w:rPr>
              <w:t>500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94318" w14:textId="006847AE" w:rsidR="00301FDE" w:rsidRPr="00172F48" w:rsidRDefault="00301FDE" w:rsidP="00301FDE">
            <w:pPr>
              <w:jc w:val="center"/>
              <w:rPr>
                <w:i/>
                <w:sz w:val="16"/>
                <w:szCs w:val="16"/>
              </w:rPr>
            </w:pPr>
            <w:r>
              <w:rPr>
                <w:i/>
                <w:sz w:val="16"/>
                <w:szCs w:val="16"/>
              </w:rPr>
              <w:t>500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FA643" w14:textId="3B928613" w:rsidR="00301FDE" w:rsidRPr="00F62C9B" w:rsidRDefault="00301FDE" w:rsidP="00301FDE">
            <w:pPr>
              <w:jc w:val="center"/>
              <w:rPr>
                <w:i/>
                <w:sz w:val="16"/>
                <w:szCs w:val="16"/>
              </w:rPr>
            </w:pPr>
            <w:r>
              <w:rPr>
                <w:i/>
                <w:sz w:val="16"/>
                <w:szCs w:val="16"/>
              </w:rPr>
              <w:t>500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A618A" w14:textId="1B403BE7" w:rsidR="00301FDE" w:rsidRDefault="00301FDE" w:rsidP="00301FDE">
            <w:pPr>
              <w:jc w:val="center"/>
              <w:rPr>
                <w:i/>
                <w:sz w:val="16"/>
                <w:szCs w:val="16"/>
              </w:rPr>
            </w:pPr>
          </w:p>
        </w:tc>
      </w:tr>
      <w:tr w:rsidR="00301FDE" w14:paraId="3973A39C" w14:textId="77777777" w:rsidTr="00263F2B">
        <w:trPr>
          <w:gridAfter w:val="3"/>
          <w:wAfter w:w="21576" w:type="dxa"/>
          <w:cantSplit/>
          <w:trHeight w:val="288"/>
        </w:trPr>
        <w:tc>
          <w:tcPr>
            <w:tcW w:w="3240" w:type="dxa"/>
            <w:vMerge w:val="restart"/>
            <w:tcBorders>
              <w:top w:val="single" w:sz="4" w:space="0" w:color="auto"/>
              <w:left w:val="single" w:sz="4" w:space="0" w:color="auto"/>
              <w:bottom w:val="single" w:sz="4" w:space="0" w:color="auto"/>
              <w:right w:val="single" w:sz="4" w:space="0" w:color="auto"/>
            </w:tcBorders>
            <w:vAlign w:val="center"/>
          </w:tcPr>
          <w:p w14:paraId="62EC33C2" w14:textId="2054093E" w:rsidR="00301FDE" w:rsidRDefault="00301FDE" w:rsidP="00301FDE">
            <w:pPr>
              <w:pStyle w:val="ListParagraph"/>
              <w:ind w:left="342"/>
              <w:rPr>
                <w:bCs/>
                <w:sz w:val="20"/>
              </w:rPr>
            </w:pPr>
            <w:r w:rsidRPr="005A7F3F">
              <w:rPr>
                <w:bCs/>
                <w:sz w:val="20"/>
              </w:rPr>
              <w:t>Bacc</w:t>
            </w:r>
            <w:r>
              <w:rPr>
                <w:bCs/>
                <w:sz w:val="20"/>
              </w:rPr>
              <w:t>alaureate</w:t>
            </w:r>
            <w:r w:rsidRPr="005A7F3F">
              <w:rPr>
                <w:bCs/>
                <w:sz w:val="20"/>
              </w:rPr>
              <w:t xml:space="preserve"> graduates who are Idaho </w:t>
            </w:r>
            <w:r w:rsidRPr="00A9448E">
              <w:rPr>
                <w:sz w:val="20"/>
              </w:rPr>
              <w:t>residents</w:t>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8A908A" w14:textId="16447E9E" w:rsidR="00301FDE" w:rsidRDefault="00301FDE" w:rsidP="00301FDE">
            <w:pPr>
              <w:jc w:val="center"/>
              <w:rPr>
                <w:i/>
                <w:sz w:val="16"/>
                <w:szCs w:val="16"/>
              </w:rPr>
            </w:pPr>
            <w:r>
              <w:rPr>
                <w:sz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D7C9A9" w14:textId="7F2E52A7" w:rsidR="00301FDE" w:rsidRPr="00172F48" w:rsidRDefault="00301FDE" w:rsidP="00301FDE">
            <w:pPr>
              <w:jc w:val="center"/>
              <w:rPr>
                <w:i/>
                <w:sz w:val="16"/>
                <w:szCs w:val="16"/>
              </w:rPr>
            </w:pPr>
            <w:r w:rsidRPr="00EB45EB">
              <w:rPr>
                <w:sz w:val="20"/>
              </w:rPr>
              <w:t>2,2</w:t>
            </w:r>
            <w:r>
              <w:rPr>
                <w:sz w:val="20"/>
              </w:rPr>
              <w:t>00</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6035D6" w14:textId="2F25D165" w:rsidR="00301FDE" w:rsidRPr="00172F48" w:rsidRDefault="00301FDE" w:rsidP="00301FDE">
            <w:pPr>
              <w:jc w:val="center"/>
              <w:rPr>
                <w:i/>
                <w:sz w:val="16"/>
                <w:szCs w:val="16"/>
              </w:rPr>
            </w:pPr>
            <w:r w:rsidRPr="00F62C9B">
              <w:rPr>
                <w:sz w:val="20"/>
              </w:rPr>
              <w:t>2,20</w:t>
            </w:r>
            <w:r>
              <w:rPr>
                <w:sz w:val="20"/>
              </w:rPr>
              <w:t>8</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FDF342" w14:textId="58DEEBED" w:rsidR="00301FDE" w:rsidRPr="00172F48" w:rsidRDefault="00301FDE" w:rsidP="00301FDE">
            <w:pPr>
              <w:jc w:val="center"/>
              <w:rPr>
                <w:i/>
                <w:sz w:val="16"/>
                <w:szCs w:val="16"/>
              </w:rPr>
            </w:pPr>
            <w:r w:rsidRPr="00F62C9B">
              <w:rPr>
                <w:sz w:val="20"/>
              </w:rPr>
              <w:t>2,2</w:t>
            </w:r>
            <w:r>
              <w:rPr>
                <w:sz w:val="20"/>
              </w:rPr>
              <w:t>66</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6A24BC" w14:textId="7B0DD3F0" w:rsidR="00301FDE" w:rsidRPr="00F62C9B" w:rsidRDefault="00301FDE" w:rsidP="00301FDE">
            <w:pPr>
              <w:jc w:val="center"/>
              <w:rPr>
                <w:i/>
                <w:sz w:val="16"/>
                <w:szCs w:val="16"/>
              </w:rPr>
            </w:pPr>
            <w:r w:rsidRPr="00A253D9">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102BF8" w14:textId="7D818BA2" w:rsidR="00301FDE" w:rsidRDefault="00301FDE" w:rsidP="00301FDE">
            <w:pPr>
              <w:jc w:val="center"/>
              <w:rPr>
                <w:i/>
                <w:sz w:val="16"/>
                <w:szCs w:val="16"/>
              </w:rPr>
            </w:pPr>
          </w:p>
        </w:tc>
      </w:tr>
      <w:tr w:rsidR="00301FDE" w14:paraId="193CB028" w14:textId="77777777" w:rsidTr="00263F2B">
        <w:trPr>
          <w:gridAfter w:val="3"/>
          <w:wAfter w:w="21576" w:type="dxa"/>
          <w:cantSplit/>
          <w:trHeight w:val="288"/>
        </w:trPr>
        <w:tc>
          <w:tcPr>
            <w:tcW w:w="3240" w:type="dxa"/>
            <w:vMerge/>
            <w:tcBorders>
              <w:top w:val="single" w:sz="4" w:space="0" w:color="auto"/>
              <w:left w:val="single" w:sz="4" w:space="0" w:color="auto"/>
              <w:bottom w:val="single" w:sz="4" w:space="0" w:color="auto"/>
              <w:right w:val="single" w:sz="4" w:space="0" w:color="auto"/>
            </w:tcBorders>
            <w:vAlign w:val="center"/>
          </w:tcPr>
          <w:p w14:paraId="24585B56" w14:textId="77777777" w:rsidR="00301FDE" w:rsidRDefault="00301FDE" w:rsidP="00301FDE">
            <w:pPr>
              <w:rPr>
                <w:bCs/>
                <w:sz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4A68A" w14:textId="4BAE751E" w:rsidR="00301FDE" w:rsidRDefault="00301FDE" w:rsidP="00301FDE">
            <w:pPr>
              <w:jc w:val="center"/>
              <w:rPr>
                <w:i/>
                <w:sz w:val="16"/>
                <w:szCs w:val="16"/>
              </w:rPr>
            </w:pPr>
            <w:r>
              <w:rPr>
                <w:i/>
                <w:sz w:val="16"/>
                <w:szCs w:val="16"/>
              </w:rPr>
              <w:t>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5F417" w14:textId="5C888D28" w:rsidR="00301FDE" w:rsidRPr="00172F48" w:rsidRDefault="00301FDE" w:rsidP="00301FDE">
            <w:pPr>
              <w:jc w:val="center"/>
              <w:rPr>
                <w:i/>
                <w:sz w:val="16"/>
                <w:szCs w:val="16"/>
              </w:rPr>
            </w:pPr>
            <w:r>
              <w:rPr>
                <w:i/>
                <w:sz w:val="16"/>
                <w:szCs w:val="16"/>
              </w:rPr>
              <w:t>2,700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20F38" w14:textId="7D9C11D1" w:rsidR="00301FDE" w:rsidRPr="00172F48" w:rsidRDefault="00301FDE" w:rsidP="00301FDE">
            <w:pPr>
              <w:jc w:val="center"/>
              <w:rPr>
                <w:i/>
                <w:sz w:val="16"/>
                <w:szCs w:val="16"/>
              </w:rPr>
            </w:pPr>
            <w:r w:rsidRPr="00F62C9B">
              <w:rPr>
                <w:i/>
                <w:sz w:val="16"/>
                <w:szCs w:val="16"/>
              </w:rPr>
              <w:t>2,700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E8A4B" w14:textId="67647A68" w:rsidR="00301FDE" w:rsidRPr="00172F48" w:rsidRDefault="00301FDE" w:rsidP="00301FDE">
            <w:pPr>
              <w:jc w:val="center"/>
              <w:rPr>
                <w:i/>
                <w:sz w:val="16"/>
                <w:szCs w:val="16"/>
              </w:rPr>
            </w:pPr>
            <w:r>
              <w:rPr>
                <w:i/>
                <w:sz w:val="16"/>
                <w:szCs w:val="16"/>
              </w:rPr>
              <w:t>2,700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C4CDE" w14:textId="14B8CED0" w:rsidR="00301FDE" w:rsidRPr="00F62C9B" w:rsidRDefault="00301FDE" w:rsidP="00301FDE">
            <w:pPr>
              <w:jc w:val="center"/>
              <w:rPr>
                <w:i/>
                <w:sz w:val="16"/>
                <w:szCs w:val="16"/>
              </w:rPr>
            </w:pPr>
            <w:r>
              <w:rPr>
                <w:i/>
                <w:sz w:val="16"/>
                <w:szCs w:val="16"/>
              </w:rPr>
              <w:t>2,500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DB099" w14:textId="652CBB1C" w:rsidR="00301FDE" w:rsidRDefault="00301FDE" w:rsidP="00301FDE">
            <w:pPr>
              <w:jc w:val="center"/>
              <w:rPr>
                <w:i/>
                <w:sz w:val="16"/>
                <w:szCs w:val="16"/>
              </w:rPr>
            </w:pPr>
          </w:p>
        </w:tc>
      </w:tr>
      <w:tr w:rsidR="00301FDE" w14:paraId="25562CF5" w14:textId="77777777" w:rsidTr="00263F2B">
        <w:trPr>
          <w:gridAfter w:val="3"/>
          <w:wAfter w:w="21576" w:type="dxa"/>
          <w:cantSplit/>
          <w:trHeight w:val="288"/>
        </w:trPr>
        <w:tc>
          <w:tcPr>
            <w:tcW w:w="3240" w:type="dxa"/>
            <w:vMerge w:val="restart"/>
            <w:tcBorders>
              <w:top w:val="single" w:sz="4" w:space="0" w:color="auto"/>
              <w:left w:val="single" w:sz="4" w:space="0" w:color="auto"/>
              <w:bottom w:val="single" w:sz="4" w:space="0" w:color="auto"/>
              <w:right w:val="single" w:sz="4" w:space="0" w:color="auto"/>
            </w:tcBorders>
            <w:vAlign w:val="center"/>
          </w:tcPr>
          <w:p w14:paraId="483EA873" w14:textId="48BB1FEC" w:rsidR="00301FDE" w:rsidRDefault="00301FDE" w:rsidP="00301FDE">
            <w:pPr>
              <w:pStyle w:val="ListParagraph"/>
              <w:ind w:left="342"/>
              <w:rPr>
                <w:bCs/>
                <w:sz w:val="20"/>
              </w:rPr>
            </w:pPr>
            <w:r w:rsidRPr="005A7F3F">
              <w:rPr>
                <w:bCs/>
                <w:sz w:val="20"/>
              </w:rPr>
              <w:t>Bacc</w:t>
            </w:r>
            <w:r>
              <w:rPr>
                <w:bCs/>
                <w:sz w:val="20"/>
              </w:rPr>
              <w:t xml:space="preserve">alaureate </w:t>
            </w:r>
            <w:r w:rsidRPr="005A7F3F">
              <w:rPr>
                <w:bCs/>
                <w:sz w:val="20"/>
              </w:rPr>
              <w:t xml:space="preserve">graduates who are </w:t>
            </w:r>
            <w:r>
              <w:rPr>
                <w:bCs/>
                <w:sz w:val="20"/>
              </w:rPr>
              <w:t>of non-traditional age (30 and up)</w:t>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D12D47" w14:textId="2BFFC07A" w:rsidR="00301FDE" w:rsidRDefault="00301FDE" w:rsidP="00301FDE">
            <w:pPr>
              <w:jc w:val="center"/>
              <w:rPr>
                <w:i/>
                <w:sz w:val="16"/>
                <w:szCs w:val="16"/>
              </w:rPr>
            </w:pPr>
            <w:r>
              <w:rPr>
                <w:sz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C2CD0B" w14:textId="10E2ABAD" w:rsidR="00301FDE" w:rsidRPr="00172F48" w:rsidRDefault="00301FDE" w:rsidP="00301FDE">
            <w:pPr>
              <w:jc w:val="center"/>
              <w:rPr>
                <w:i/>
                <w:sz w:val="16"/>
                <w:szCs w:val="16"/>
              </w:rPr>
            </w:pPr>
            <w:r w:rsidRPr="00EB45EB">
              <w:rPr>
                <w:sz w:val="20"/>
              </w:rPr>
              <w:t>84</w:t>
            </w:r>
            <w:r>
              <w:rPr>
                <w:sz w:val="20"/>
              </w:rPr>
              <w:t>5</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40E713" w14:textId="62E0C278" w:rsidR="00301FDE" w:rsidRPr="00172F48" w:rsidRDefault="00301FDE" w:rsidP="00301FDE">
            <w:pPr>
              <w:jc w:val="center"/>
              <w:rPr>
                <w:i/>
                <w:sz w:val="16"/>
                <w:szCs w:val="16"/>
              </w:rPr>
            </w:pPr>
            <w:r w:rsidRPr="00F62C9B">
              <w:rPr>
                <w:sz w:val="20"/>
              </w:rPr>
              <w:t>847</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EDBA10" w14:textId="63915F64" w:rsidR="00301FDE" w:rsidRPr="00172F48" w:rsidRDefault="00301FDE" w:rsidP="00301FDE">
            <w:pPr>
              <w:jc w:val="center"/>
              <w:rPr>
                <w:i/>
                <w:sz w:val="16"/>
                <w:szCs w:val="16"/>
              </w:rPr>
            </w:pPr>
            <w:r w:rsidRPr="00F62C9B">
              <w:rPr>
                <w:sz w:val="20"/>
              </w:rPr>
              <w:t>8</w:t>
            </w:r>
            <w:r>
              <w:rPr>
                <w:sz w:val="20"/>
              </w:rPr>
              <w:t>26</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07E2D0" w14:textId="5B056B73" w:rsidR="00301FDE" w:rsidRPr="00F62C9B" w:rsidRDefault="00301FDE" w:rsidP="00301FDE">
            <w:pPr>
              <w:jc w:val="center"/>
              <w:rPr>
                <w:i/>
                <w:sz w:val="16"/>
                <w:szCs w:val="16"/>
              </w:rPr>
            </w:pPr>
            <w:r w:rsidRPr="00A253D9">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9507BA" w14:textId="4C56D154" w:rsidR="00301FDE" w:rsidRDefault="00301FDE" w:rsidP="00301FDE">
            <w:pPr>
              <w:jc w:val="center"/>
              <w:rPr>
                <w:i/>
                <w:sz w:val="16"/>
                <w:szCs w:val="16"/>
              </w:rPr>
            </w:pPr>
          </w:p>
        </w:tc>
      </w:tr>
      <w:tr w:rsidR="00301FDE" w14:paraId="0F5856EF" w14:textId="77777777" w:rsidTr="00263F2B">
        <w:trPr>
          <w:gridAfter w:val="3"/>
          <w:wAfter w:w="21576" w:type="dxa"/>
          <w:cantSplit/>
          <w:trHeight w:val="288"/>
        </w:trPr>
        <w:tc>
          <w:tcPr>
            <w:tcW w:w="3240" w:type="dxa"/>
            <w:vMerge/>
            <w:tcBorders>
              <w:top w:val="single" w:sz="4" w:space="0" w:color="auto"/>
              <w:left w:val="single" w:sz="4" w:space="0" w:color="auto"/>
              <w:bottom w:val="single" w:sz="4" w:space="0" w:color="auto"/>
              <w:right w:val="single" w:sz="4" w:space="0" w:color="auto"/>
            </w:tcBorders>
            <w:vAlign w:val="center"/>
          </w:tcPr>
          <w:p w14:paraId="2D227017" w14:textId="77777777" w:rsidR="00301FDE" w:rsidRDefault="00301FDE" w:rsidP="00301FDE">
            <w:pPr>
              <w:rPr>
                <w:bCs/>
                <w:sz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2E3D8" w14:textId="4816E836" w:rsidR="00301FDE" w:rsidRDefault="00301FDE" w:rsidP="00301FDE">
            <w:pPr>
              <w:jc w:val="center"/>
              <w:rPr>
                <w:i/>
                <w:sz w:val="16"/>
                <w:szCs w:val="16"/>
              </w:rPr>
            </w:pPr>
            <w:r>
              <w:rPr>
                <w:i/>
                <w:sz w:val="16"/>
                <w:szCs w:val="16"/>
              </w:rPr>
              <w:t>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5BA5DE" w14:textId="79F7F8BC" w:rsidR="00301FDE" w:rsidRPr="00172F48" w:rsidRDefault="00301FDE" w:rsidP="00301FDE">
            <w:pPr>
              <w:jc w:val="center"/>
              <w:rPr>
                <w:i/>
                <w:sz w:val="16"/>
                <w:szCs w:val="16"/>
              </w:rPr>
            </w:pPr>
            <w:r>
              <w:rPr>
                <w:i/>
                <w:sz w:val="16"/>
                <w:szCs w:val="16"/>
              </w:rPr>
              <w:t>950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0BAB" w14:textId="390E3BF5" w:rsidR="00301FDE" w:rsidRPr="00172F48" w:rsidRDefault="00301FDE" w:rsidP="00301FDE">
            <w:pPr>
              <w:jc w:val="center"/>
              <w:rPr>
                <w:i/>
                <w:sz w:val="16"/>
                <w:szCs w:val="16"/>
              </w:rPr>
            </w:pPr>
            <w:r w:rsidRPr="00F62C9B">
              <w:rPr>
                <w:i/>
                <w:sz w:val="16"/>
                <w:szCs w:val="16"/>
              </w:rPr>
              <w:t>1,000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766AE" w14:textId="721F02FD" w:rsidR="00301FDE" w:rsidRPr="00172F48" w:rsidRDefault="00301FDE" w:rsidP="00301FDE">
            <w:pPr>
              <w:jc w:val="center"/>
              <w:rPr>
                <w:i/>
                <w:sz w:val="16"/>
                <w:szCs w:val="16"/>
              </w:rPr>
            </w:pPr>
            <w:r>
              <w:rPr>
                <w:i/>
                <w:sz w:val="16"/>
                <w:szCs w:val="16"/>
              </w:rPr>
              <w:t>1,000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AE698" w14:textId="2AC28DB6" w:rsidR="00301FDE" w:rsidRPr="00F62C9B" w:rsidRDefault="00301FDE" w:rsidP="00301FDE">
            <w:pPr>
              <w:jc w:val="center"/>
              <w:rPr>
                <w:i/>
                <w:sz w:val="16"/>
                <w:szCs w:val="16"/>
              </w:rPr>
            </w:pPr>
            <w:r>
              <w:rPr>
                <w:i/>
                <w:sz w:val="16"/>
                <w:szCs w:val="16"/>
              </w:rPr>
              <w:t>1,000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D36B4" w14:textId="2ACD18A6" w:rsidR="00301FDE" w:rsidRDefault="00301FDE" w:rsidP="00301FDE">
            <w:pPr>
              <w:jc w:val="center"/>
              <w:rPr>
                <w:i/>
                <w:sz w:val="16"/>
                <w:szCs w:val="16"/>
              </w:rPr>
            </w:pPr>
          </w:p>
        </w:tc>
      </w:tr>
      <w:tr w:rsidR="00301FDE" w14:paraId="68F06BBD" w14:textId="77777777" w:rsidTr="00263F2B">
        <w:trPr>
          <w:gridAfter w:val="3"/>
          <w:wAfter w:w="21576" w:type="dxa"/>
          <w:cantSplit/>
          <w:trHeight w:val="288"/>
        </w:trPr>
        <w:tc>
          <w:tcPr>
            <w:tcW w:w="3240" w:type="dxa"/>
            <w:vMerge w:val="restart"/>
            <w:tcBorders>
              <w:top w:val="single" w:sz="4" w:space="0" w:color="auto"/>
              <w:left w:val="single" w:sz="4" w:space="0" w:color="auto"/>
              <w:bottom w:val="single" w:sz="4" w:space="0" w:color="auto"/>
              <w:right w:val="single" w:sz="4" w:space="0" w:color="auto"/>
            </w:tcBorders>
            <w:vAlign w:val="center"/>
          </w:tcPr>
          <w:p w14:paraId="76078A4B" w14:textId="236FF240" w:rsidR="00301FDE" w:rsidRDefault="00301FDE" w:rsidP="00301FDE">
            <w:pPr>
              <w:pStyle w:val="ListParagraph"/>
              <w:keepNext/>
              <w:ind w:left="342"/>
              <w:rPr>
                <w:bCs/>
                <w:sz w:val="20"/>
              </w:rPr>
            </w:pPr>
            <w:r w:rsidRPr="005A7F3F">
              <w:rPr>
                <w:bCs/>
                <w:sz w:val="20"/>
              </w:rPr>
              <w:t>Bacc</w:t>
            </w:r>
            <w:r>
              <w:rPr>
                <w:bCs/>
                <w:sz w:val="20"/>
              </w:rPr>
              <w:t>alaureate</w:t>
            </w:r>
            <w:r w:rsidRPr="005A7F3F">
              <w:rPr>
                <w:bCs/>
                <w:sz w:val="20"/>
              </w:rPr>
              <w:t xml:space="preserve"> graduates who began as transfers from Idaho commu</w:t>
            </w:r>
            <w:r>
              <w:rPr>
                <w:bCs/>
                <w:sz w:val="20"/>
              </w:rPr>
              <w:t>nity college</w:t>
            </w:r>
            <w:r>
              <w:rPr>
                <w:rStyle w:val="EndnoteReference"/>
                <w:bCs/>
                <w:sz w:val="20"/>
              </w:rPr>
              <w:endnoteReference w:id="21"/>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51508A" w14:textId="49009696" w:rsidR="00301FDE" w:rsidRDefault="00301FDE" w:rsidP="00301FDE">
            <w:pPr>
              <w:keepNext/>
              <w:jc w:val="center"/>
              <w:rPr>
                <w:i/>
                <w:sz w:val="16"/>
                <w:szCs w:val="16"/>
              </w:rPr>
            </w:pPr>
            <w:r>
              <w:rPr>
                <w:sz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8B8A30" w14:textId="04C344E1" w:rsidR="00301FDE" w:rsidRPr="00172F48" w:rsidRDefault="00301FDE" w:rsidP="00301FDE">
            <w:pPr>
              <w:keepNext/>
              <w:jc w:val="center"/>
              <w:rPr>
                <w:i/>
                <w:sz w:val="16"/>
                <w:szCs w:val="16"/>
              </w:rPr>
            </w:pPr>
            <w:r w:rsidRPr="00C477FB">
              <w:rPr>
                <w:sz w:val="20"/>
              </w:rPr>
              <w:t>446</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4114ED" w14:textId="52362356" w:rsidR="00301FDE" w:rsidRPr="00172F48" w:rsidRDefault="00301FDE" w:rsidP="00301FDE">
            <w:pPr>
              <w:keepNext/>
              <w:jc w:val="center"/>
              <w:rPr>
                <w:i/>
                <w:sz w:val="16"/>
                <w:szCs w:val="16"/>
              </w:rPr>
            </w:pPr>
            <w:r w:rsidRPr="00F62C9B">
              <w:rPr>
                <w:sz w:val="20"/>
              </w:rPr>
              <w:t>442</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CC987E" w14:textId="01F66B8B" w:rsidR="00301FDE" w:rsidRPr="00172F48" w:rsidRDefault="00301FDE" w:rsidP="00301FDE">
            <w:pPr>
              <w:keepNext/>
              <w:jc w:val="center"/>
              <w:rPr>
                <w:i/>
                <w:sz w:val="16"/>
                <w:szCs w:val="16"/>
              </w:rPr>
            </w:pPr>
            <w:r w:rsidRPr="00F62C9B">
              <w:rPr>
                <w:sz w:val="20"/>
              </w:rPr>
              <w:t>4</w:t>
            </w:r>
            <w:r>
              <w:rPr>
                <w:sz w:val="20"/>
              </w:rPr>
              <w:t>63</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031628" w14:textId="65886A0B" w:rsidR="00301FDE" w:rsidRPr="00F62C9B" w:rsidRDefault="00301FDE" w:rsidP="00301FDE">
            <w:pPr>
              <w:keepNext/>
              <w:jc w:val="center"/>
              <w:rPr>
                <w:i/>
                <w:sz w:val="16"/>
                <w:szCs w:val="16"/>
              </w:rPr>
            </w:pPr>
            <w:r w:rsidRPr="00A253D9">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5C416" w14:textId="267D1307" w:rsidR="00301FDE" w:rsidRDefault="00301FDE" w:rsidP="00301FDE">
            <w:pPr>
              <w:keepNext/>
              <w:jc w:val="center"/>
              <w:rPr>
                <w:i/>
                <w:sz w:val="16"/>
                <w:szCs w:val="16"/>
              </w:rPr>
            </w:pPr>
          </w:p>
        </w:tc>
      </w:tr>
      <w:tr w:rsidR="00301FDE" w14:paraId="1314D5DC" w14:textId="77777777" w:rsidTr="00263F2B">
        <w:trPr>
          <w:gridAfter w:val="3"/>
          <w:wAfter w:w="21576" w:type="dxa"/>
          <w:cantSplit/>
          <w:trHeight w:val="288"/>
        </w:trPr>
        <w:tc>
          <w:tcPr>
            <w:tcW w:w="3240" w:type="dxa"/>
            <w:vMerge/>
            <w:tcBorders>
              <w:top w:val="single" w:sz="4" w:space="0" w:color="auto"/>
              <w:left w:val="single" w:sz="4" w:space="0" w:color="auto"/>
              <w:bottom w:val="single" w:sz="4" w:space="0" w:color="auto"/>
              <w:right w:val="single" w:sz="4" w:space="0" w:color="auto"/>
            </w:tcBorders>
            <w:vAlign w:val="center"/>
          </w:tcPr>
          <w:p w14:paraId="380A5F38" w14:textId="77777777" w:rsidR="00301FDE" w:rsidRDefault="00301FDE" w:rsidP="00301FDE">
            <w:pPr>
              <w:keepNext/>
              <w:rPr>
                <w:bCs/>
                <w:sz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3BB58" w14:textId="448E3C9A" w:rsidR="00301FDE" w:rsidRDefault="00301FDE" w:rsidP="00301FDE">
            <w:pPr>
              <w:keepNext/>
              <w:jc w:val="center"/>
              <w:rPr>
                <w:i/>
                <w:sz w:val="16"/>
                <w:szCs w:val="16"/>
              </w:rPr>
            </w:pPr>
            <w:r>
              <w:rPr>
                <w:i/>
                <w:sz w:val="16"/>
                <w:szCs w:val="16"/>
              </w:rPr>
              <w:t>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C3D6" w14:textId="3D590AD4" w:rsidR="00301FDE" w:rsidRPr="00172F48" w:rsidRDefault="00301FDE" w:rsidP="00301FDE">
            <w:pPr>
              <w:keepNext/>
              <w:jc w:val="center"/>
              <w:rPr>
                <w:i/>
                <w:sz w:val="16"/>
                <w:szCs w:val="16"/>
              </w:rPr>
            </w:pPr>
            <w:r>
              <w:rPr>
                <w:i/>
                <w:sz w:val="16"/>
                <w:szCs w:val="16"/>
              </w:rPr>
              <w:t>650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3AA4D" w14:textId="1C0147E7" w:rsidR="00301FDE" w:rsidRPr="00172F48" w:rsidRDefault="00301FDE" w:rsidP="00301FDE">
            <w:pPr>
              <w:keepNext/>
              <w:jc w:val="center"/>
              <w:rPr>
                <w:i/>
                <w:sz w:val="16"/>
                <w:szCs w:val="16"/>
              </w:rPr>
            </w:pPr>
            <w:r w:rsidRPr="00F62C9B">
              <w:rPr>
                <w:i/>
                <w:sz w:val="16"/>
                <w:szCs w:val="16"/>
              </w:rPr>
              <w:t>700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95534" w14:textId="78301712" w:rsidR="00301FDE" w:rsidRPr="00172F48" w:rsidRDefault="00301FDE" w:rsidP="00301FDE">
            <w:pPr>
              <w:keepNext/>
              <w:jc w:val="center"/>
              <w:rPr>
                <w:i/>
                <w:sz w:val="16"/>
                <w:szCs w:val="16"/>
              </w:rPr>
            </w:pPr>
            <w:r>
              <w:rPr>
                <w:i/>
                <w:sz w:val="16"/>
                <w:szCs w:val="16"/>
              </w:rPr>
              <w:t>700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68C7A" w14:textId="67F2098B" w:rsidR="00301FDE" w:rsidRPr="00F62C9B" w:rsidRDefault="00301FDE" w:rsidP="00301FDE">
            <w:pPr>
              <w:keepNext/>
              <w:jc w:val="center"/>
              <w:rPr>
                <w:i/>
                <w:sz w:val="16"/>
                <w:szCs w:val="16"/>
              </w:rPr>
            </w:pPr>
            <w:r>
              <w:rPr>
                <w:i/>
                <w:sz w:val="16"/>
                <w:szCs w:val="16"/>
              </w:rPr>
              <w:t>500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7DCF8" w14:textId="57D9FFDC" w:rsidR="00301FDE" w:rsidRDefault="00301FDE" w:rsidP="00301FDE">
            <w:pPr>
              <w:keepNext/>
              <w:jc w:val="center"/>
              <w:rPr>
                <w:i/>
                <w:sz w:val="16"/>
                <w:szCs w:val="16"/>
              </w:rPr>
            </w:pPr>
          </w:p>
        </w:tc>
      </w:tr>
      <w:tr w:rsidR="00301FDE" w:rsidRPr="0013032E" w14:paraId="29471F19" w14:textId="786B6E8F" w:rsidTr="00F3264E">
        <w:tblPrEx>
          <w:tblCellMar>
            <w:left w:w="58" w:type="dxa"/>
            <w:right w:w="58" w:type="dxa"/>
          </w:tblCellMar>
        </w:tblPrEx>
        <w:trPr>
          <w:cantSplit/>
          <w:trHeight w:val="575"/>
        </w:trPr>
        <w:tc>
          <w:tcPr>
            <w:tcW w:w="10046" w:type="dxa"/>
            <w:gridSpan w:val="7"/>
            <w:tcBorders>
              <w:top w:val="single" w:sz="4" w:space="0" w:color="auto"/>
              <w:left w:val="single" w:sz="4" w:space="0" w:color="auto"/>
              <w:right w:val="single" w:sz="4" w:space="0" w:color="auto"/>
            </w:tcBorders>
            <w:shd w:val="clear" w:color="auto" w:fill="DBE5F1" w:themeFill="accent1" w:themeFillTint="33"/>
            <w:vAlign w:val="center"/>
          </w:tcPr>
          <w:p w14:paraId="5C50F801" w14:textId="61F99B82" w:rsidR="00301FDE" w:rsidRPr="00A253D9" w:rsidRDefault="00301FDE" w:rsidP="00301FDE">
            <w:pPr>
              <w:pStyle w:val="ListParagraph"/>
              <w:ind w:left="342"/>
              <w:jc w:val="center"/>
              <w:rPr>
                <w:rFonts w:eastAsia="Arial Unicode MS"/>
                <w:b/>
                <w:sz w:val="20"/>
                <w:szCs w:val="20"/>
              </w:rPr>
            </w:pPr>
          </w:p>
        </w:tc>
        <w:tc>
          <w:tcPr>
            <w:tcW w:w="7192" w:type="dxa"/>
          </w:tcPr>
          <w:p w14:paraId="4C7D4D99" w14:textId="77777777" w:rsidR="00301FDE" w:rsidRPr="0013032E" w:rsidRDefault="00301FDE" w:rsidP="00301FDE"/>
        </w:tc>
        <w:tc>
          <w:tcPr>
            <w:tcW w:w="7192" w:type="dxa"/>
          </w:tcPr>
          <w:p w14:paraId="7E16C4EA" w14:textId="77777777" w:rsidR="00301FDE" w:rsidRPr="0013032E" w:rsidRDefault="00301FDE" w:rsidP="00301FDE"/>
        </w:tc>
        <w:tc>
          <w:tcPr>
            <w:tcW w:w="7192" w:type="dxa"/>
            <w:vAlign w:val="center"/>
          </w:tcPr>
          <w:p w14:paraId="4A8D3925" w14:textId="77777777" w:rsidR="00301FDE" w:rsidRPr="0013032E" w:rsidRDefault="00301FDE" w:rsidP="00301FDE"/>
        </w:tc>
      </w:tr>
      <w:tr w:rsidR="00301FDE" w14:paraId="7FA3FCE0" w14:textId="77777777" w:rsidTr="00F3264E">
        <w:tblPrEx>
          <w:tblCellMar>
            <w:left w:w="58" w:type="dxa"/>
            <w:right w:w="58" w:type="dxa"/>
          </w:tblCellMar>
        </w:tblPrEx>
        <w:trPr>
          <w:gridAfter w:val="3"/>
          <w:wAfter w:w="21576" w:type="dxa"/>
          <w:cantSplit/>
          <w:trHeight w:val="557"/>
        </w:trPr>
        <w:tc>
          <w:tcPr>
            <w:tcW w:w="10046" w:type="dxa"/>
            <w:gridSpan w:val="7"/>
            <w:tcBorders>
              <w:top w:val="single" w:sz="4" w:space="0" w:color="auto"/>
              <w:left w:val="single" w:sz="4" w:space="0" w:color="auto"/>
              <w:right w:val="single" w:sz="4" w:space="0" w:color="auto"/>
            </w:tcBorders>
            <w:vAlign w:val="center"/>
          </w:tcPr>
          <w:p w14:paraId="33E1FC97" w14:textId="50925C88" w:rsidR="00301FDE" w:rsidRPr="00A253D9" w:rsidRDefault="00301FDE" w:rsidP="00301FDE">
            <w:pPr>
              <w:pStyle w:val="ListParagraph"/>
              <w:numPr>
                <w:ilvl w:val="0"/>
                <w:numId w:val="18"/>
              </w:numPr>
              <w:ind w:left="342"/>
              <w:rPr>
                <w:sz w:val="20"/>
              </w:rPr>
            </w:pPr>
            <w:r w:rsidRPr="00A253D9">
              <w:rPr>
                <w:rFonts w:eastAsia="Arial Unicode MS"/>
                <w:sz w:val="20"/>
                <w:szCs w:val="22"/>
              </w:rPr>
              <w:t>Cost of Education (resident undergraduate with 15 credit load per semester; tuition &amp; fees per year) (Objective A)</w:t>
            </w:r>
          </w:p>
        </w:tc>
      </w:tr>
      <w:tr w:rsidR="00301FDE" w14:paraId="388979DA" w14:textId="77777777" w:rsidTr="00263F2B">
        <w:tblPrEx>
          <w:tblCellMar>
            <w:left w:w="58" w:type="dxa"/>
            <w:right w:w="58" w:type="dxa"/>
          </w:tblCellMar>
        </w:tblPrEx>
        <w:trPr>
          <w:gridAfter w:val="3"/>
          <w:wAfter w:w="21576" w:type="dxa"/>
          <w:cantSplit/>
          <w:trHeight w:val="288"/>
        </w:trPr>
        <w:tc>
          <w:tcPr>
            <w:tcW w:w="3240" w:type="dxa"/>
            <w:vMerge w:val="restart"/>
            <w:tcBorders>
              <w:top w:val="single" w:sz="4" w:space="0" w:color="auto"/>
              <w:left w:val="single" w:sz="4" w:space="0" w:color="auto"/>
              <w:bottom w:val="single" w:sz="4" w:space="0" w:color="auto"/>
              <w:right w:val="single" w:sz="4" w:space="0" w:color="auto"/>
            </w:tcBorders>
            <w:vAlign w:val="center"/>
            <w:hideMark/>
          </w:tcPr>
          <w:p w14:paraId="41B5DF56" w14:textId="1F1DD15C" w:rsidR="00301FDE" w:rsidRDefault="00301FDE" w:rsidP="00301FDE">
            <w:pPr>
              <w:pStyle w:val="ListParagraph"/>
              <w:tabs>
                <w:tab w:val="left" w:pos="2985"/>
              </w:tabs>
              <w:ind w:left="342"/>
              <w:rPr>
                <w:sz w:val="20"/>
              </w:rPr>
            </w:pPr>
            <w:r>
              <w:rPr>
                <w:bCs/>
                <w:sz w:val="20"/>
              </w:rPr>
              <w:t>Boise State</w:t>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45C40D" w14:textId="7566EEC0" w:rsidR="00301FDE" w:rsidRDefault="00301FDE" w:rsidP="00301FDE">
            <w:pPr>
              <w:jc w:val="center"/>
              <w:rPr>
                <w:sz w:val="20"/>
              </w:rPr>
            </w:pPr>
            <w:r>
              <w:rPr>
                <w:sz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7F1073" w14:textId="26EE9BC2" w:rsidR="00301FDE" w:rsidRDefault="00301FDE" w:rsidP="00301FDE">
            <w:pPr>
              <w:jc w:val="center"/>
              <w:rPr>
                <w:sz w:val="20"/>
              </w:rPr>
            </w:pPr>
            <w:r w:rsidRPr="00891DF3">
              <w:rPr>
                <w:sz w:val="20"/>
                <w:szCs w:val="18"/>
              </w:rPr>
              <w:t>$7,694</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A6CAA5" w14:textId="2ADA1CAC" w:rsidR="00301FDE" w:rsidRDefault="00301FDE" w:rsidP="00301FDE">
            <w:pPr>
              <w:jc w:val="center"/>
              <w:rPr>
                <w:sz w:val="20"/>
                <w:highlight w:val="yellow"/>
              </w:rPr>
            </w:pPr>
            <w:r>
              <w:rPr>
                <w:sz w:val="20"/>
              </w:rPr>
              <w:t>$8,068</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B8DEA1" w14:textId="0C8AB8FF" w:rsidR="00301FDE" w:rsidRDefault="00301FDE" w:rsidP="00301FDE">
            <w:pPr>
              <w:jc w:val="center"/>
              <w:rPr>
                <w:sz w:val="20"/>
                <w:highlight w:val="yellow"/>
              </w:rPr>
            </w:pPr>
            <w:r w:rsidRPr="00D26D98">
              <w:rPr>
                <w:sz w:val="20"/>
                <w:szCs w:val="20"/>
              </w:rPr>
              <w:t>$8,060</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41934B" w14:textId="40E7BF31" w:rsidR="00301FDE" w:rsidRPr="00D26D98" w:rsidRDefault="00301FDE" w:rsidP="00301FDE">
            <w:pPr>
              <w:jc w:val="center"/>
              <w:rPr>
                <w:sz w:val="20"/>
                <w:szCs w:val="20"/>
              </w:rPr>
            </w:pPr>
            <w:r w:rsidRPr="00A253D9">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BC5EB1" w14:textId="2C3365A0" w:rsidR="00301FDE" w:rsidRDefault="00301FDE" w:rsidP="00301FDE">
            <w:pPr>
              <w:jc w:val="center"/>
              <w:rPr>
                <w:sz w:val="20"/>
              </w:rPr>
            </w:pPr>
          </w:p>
        </w:tc>
      </w:tr>
      <w:tr w:rsidR="00301FDE" w14:paraId="68B74A38" w14:textId="77777777" w:rsidTr="00263F2B">
        <w:tblPrEx>
          <w:tblCellMar>
            <w:left w:w="58" w:type="dxa"/>
            <w:right w:w="58" w:type="dxa"/>
          </w:tblCellMar>
        </w:tblPrEx>
        <w:trPr>
          <w:gridAfter w:val="3"/>
          <w:wAfter w:w="21576" w:type="dxa"/>
          <w:cantSplit/>
          <w:trHeight w:val="288"/>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0D1479F6" w14:textId="77777777" w:rsidR="00301FDE" w:rsidRDefault="00301FDE" w:rsidP="00301FDE">
            <w:pPr>
              <w:rPr>
                <w:sz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979D12" w14:textId="2F42D1B5" w:rsidR="00301FDE" w:rsidRDefault="00301FDE" w:rsidP="00301FDE">
            <w:pPr>
              <w:jc w:val="center"/>
              <w:rPr>
                <w:sz w:val="20"/>
              </w:rPr>
            </w:pPr>
            <w:r>
              <w:rPr>
                <w:i/>
                <w:sz w:val="16"/>
                <w:szCs w:val="16"/>
              </w:rPr>
              <w:t>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1990E" w14:textId="159E8941" w:rsidR="00301FDE" w:rsidRDefault="00301FDE" w:rsidP="00301FDE">
            <w:pPr>
              <w:jc w:val="center"/>
              <w:rPr>
                <w:i/>
                <w:sz w:val="16"/>
                <w:szCs w:val="16"/>
              </w:rPr>
            </w:pPr>
            <w:r>
              <w:rPr>
                <w:i/>
                <w:sz w:val="16"/>
                <w:szCs w:val="16"/>
              </w:rPr>
              <w:t>Remain less than WICHE state avg</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95593" w14:textId="7E043CE7" w:rsidR="00301FDE" w:rsidRDefault="00301FDE" w:rsidP="00301FDE">
            <w:pPr>
              <w:jc w:val="center"/>
              <w:rPr>
                <w:i/>
                <w:sz w:val="16"/>
                <w:szCs w:val="16"/>
              </w:rPr>
            </w:pPr>
            <w:r>
              <w:rPr>
                <w:i/>
                <w:sz w:val="16"/>
                <w:szCs w:val="16"/>
              </w:rPr>
              <w:t>Remain less than WICHE state avg</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4B7AE" w14:textId="03A17643" w:rsidR="00301FDE" w:rsidRDefault="00301FDE" w:rsidP="00301FDE">
            <w:pPr>
              <w:jc w:val="center"/>
              <w:rPr>
                <w:i/>
                <w:sz w:val="16"/>
                <w:szCs w:val="16"/>
              </w:rPr>
            </w:pPr>
            <w:r>
              <w:rPr>
                <w:i/>
                <w:sz w:val="16"/>
                <w:szCs w:val="16"/>
              </w:rPr>
              <w:t>Remain less than WICHE state avg</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7486D" w14:textId="6442A40E" w:rsidR="00301FDE" w:rsidRDefault="00301FDE" w:rsidP="00301FDE">
            <w:pPr>
              <w:jc w:val="center"/>
              <w:rPr>
                <w:i/>
                <w:sz w:val="16"/>
                <w:szCs w:val="16"/>
              </w:rPr>
            </w:pPr>
            <w:r>
              <w:rPr>
                <w:i/>
                <w:sz w:val="16"/>
                <w:szCs w:val="16"/>
              </w:rPr>
              <w:t>Remain less than WICHE state avg</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282F9" w14:textId="50A275A8" w:rsidR="00301FDE" w:rsidRDefault="00301FDE" w:rsidP="00301FDE">
            <w:pPr>
              <w:jc w:val="center"/>
              <w:rPr>
                <w:i/>
                <w:sz w:val="16"/>
                <w:szCs w:val="16"/>
              </w:rPr>
            </w:pPr>
          </w:p>
        </w:tc>
      </w:tr>
      <w:tr w:rsidR="00301FDE" w14:paraId="7A249693" w14:textId="77777777" w:rsidTr="00263F2B">
        <w:tblPrEx>
          <w:tblCellMar>
            <w:left w:w="58" w:type="dxa"/>
            <w:right w:w="58" w:type="dxa"/>
          </w:tblCellMar>
        </w:tblPrEx>
        <w:trPr>
          <w:gridAfter w:val="3"/>
          <w:wAfter w:w="21576" w:type="dxa"/>
          <w:cantSplit/>
          <w:trHeight w:val="288"/>
        </w:trPr>
        <w:tc>
          <w:tcPr>
            <w:tcW w:w="3240" w:type="dxa"/>
            <w:vMerge w:val="restart"/>
            <w:tcBorders>
              <w:top w:val="single" w:sz="4" w:space="0" w:color="auto"/>
              <w:left w:val="single" w:sz="4" w:space="0" w:color="auto"/>
              <w:bottom w:val="single" w:sz="4" w:space="0" w:color="auto"/>
              <w:right w:val="single" w:sz="4" w:space="0" w:color="auto"/>
            </w:tcBorders>
            <w:vAlign w:val="center"/>
            <w:hideMark/>
          </w:tcPr>
          <w:p w14:paraId="5AA73649" w14:textId="60EC1FA7" w:rsidR="00301FDE" w:rsidRDefault="00301FDE" w:rsidP="00301FDE">
            <w:pPr>
              <w:pStyle w:val="ListParagraph"/>
              <w:ind w:left="342"/>
              <w:rPr>
                <w:bCs/>
                <w:color w:val="993366"/>
                <w:sz w:val="20"/>
              </w:rPr>
            </w:pPr>
            <w:r>
              <w:rPr>
                <w:bCs/>
                <w:sz w:val="20"/>
              </w:rPr>
              <w:t>Boise State as % of WICHE</w:t>
            </w:r>
            <w:r>
              <w:rPr>
                <w:rStyle w:val="EndnoteReference"/>
                <w:bCs/>
                <w:sz w:val="20"/>
              </w:rPr>
              <w:endnoteReference w:id="22"/>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DA7698" w14:textId="27F47459" w:rsidR="00301FDE" w:rsidRDefault="00301FDE" w:rsidP="00301FDE">
            <w:pPr>
              <w:jc w:val="center"/>
              <w:rPr>
                <w:sz w:val="20"/>
              </w:rPr>
            </w:pPr>
            <w:r>
              <w:rPr>
                <w:sz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048A85" w14:textId="6B9CA45F" w:rsidR="00301FDE" w:rsidRDefault="00301FDE" w:rsidP="00301FDE">
            <w:pPr>
              <w:jc w:val="center"/>
              <w:rPr>
                <w:sz w:val="20"/>
              </w:rPr>
            </w:pPr>
            <w:r>
              <w:rPr>
                <w:sz w:val="20"/>
              </w:rPr>
              <w:t>89.2%</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30056" w14:textId="735AB0F1" w:rsidR="00301FDE" w:rsidRDefault="00301FDE" w:rsidP="00301FDE">
            <w:pPr>
              <w:jc w:val="center"/>
              <w:rPr>
                <w:sz w:val="20"/>
                <w:highlight w:val="yellow"/>
              </w:rPr>
            </w:pPr>
            <w:r>
              <w:rPr>
                <w:sz w:val="20"/>
              </w:rPr>
              <w:t>90.3%</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70ABED" w14:textId="7943050F" w:rsidR="00301FDE" w:rsidRDefault="00301FDE" w:rsidP="00301FDE">
            <w:pPr>
              <w:jc w:val="center"/>
              <w:rPr>
                <w:sz w:val="20"/>
                <w:highlight w:val="yellow"/>
              </w:rPr>
            </w:pPr>
            <w:r>
              <w:rPr>
                <w:sz w:val="20"/>
              </w:rPr>
              <w:t>88.0%</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805DEB" w14:textId="1B2605DD" w:rsidR="00301FDE" w:rsidRDefault="00301FDE" w:rsidP="00301FDE">
            <w:pPr>
              <w:jc w:val="center"/>
              <w:rPr>
                <w:sz w:val="20"/>
              </w:rPr>
            </w:pPr>
            <w:r w:rsidRPr="00A253D9">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9FCA66" w14:textId="6E0A9081" w:rsidR="00301FDE" w:rsidRDefault="00301FDE" w:rsidP="00301FDE">
            <w:pPr>
              <w:jc w:val="center"/>
              <w:rPr>
                <w:sz w:val="20"/>
              </w:rPr>
            </w:pPr>
          </w:p>
        </w:tc>
      </w:tr>
      <w:tr w:rsidR="00301FDE" w14:paraId="73674899" w14:textId="77777777" w:rsidTr="00263F2B">
        <w:tblPrEx>
          <w:tblCellMar>
            <w:left w:w="58" w:type="dxa"/>
            <w:right w:w="58" w:type="dxa"/>
          </w:tblCellMar>
        </w:tblPrEx>
        <w:trPr>
          <w:gridAfter w:val="3"/>
          <w:wAfter w:w="21576" w:type="dxa"/>
          <w:cantSplit/>
          <w:trHeight w:val="288"/>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68B17857" w14:textId="77777777" w:rsidR="00301FDE" w:rsidRDefault="00301FDE" w:rsidP="00301FDE">
            <w:pPr>
              <w:rPr>
                <w:bCs/>
                <w:color w:val="993366"/>
                <w:sz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6293DE" w14:textId="43B7759B" w:rsidR="00301FDE" w:rsidRDefault="00301FDE" w:rsidP="00301FDE">
            <w:pPr>
              <w:jc w:val="center"/>
              <w:rPr>
                <w:sz w:val="20"/>
              </w:rPr>
            </w:pPr>
            <w:r>
              <w:rPr>
                <w:i/>
                <w:sz w:val="16"/>
                <w:szCs w:val="16"/>
              </w:rPr>
              <w:t>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FABEE" w14:textId="1CBBBB0A" w:rsidR="00301FDE" w:rsidRDefault="00301FDE" w:rsidP="00301FDE">
            <w:pPr>
              <w:jc w:val="center"/>
              <w:rPr>
                <w:i/>
                <w:sz w:val="16"/>
                <w:szCs w:val="16"/>
              </w:rPr>
            </w:pPr>
            <w:r>
              <w:rPr>
                <w:i/>
                <w:sz w:val="16"/>
                <w:szCs w:val="16"/>
              </w:rPr>
              <w:t>Remain less than WICHE state avg</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37BBD" w14:textId="69033A9C" w:rsidR="00301FDE" w:rsidRDefault="00301FDE" w:rsidP="00301FDE">
            <w:pPr>
              <w:jc w:val="center"/>
              <w:rPr>
                <w:i/>
                <w:sz w:val="16"/>
                <w:szCs w:val="16"/>
              </w:rPr>
            </w:pPr>
            <w:r>
              <w:rPr>
                <w:i/>
                <w:sz w:val="16"/>
                <w:szCs w:val="16"/>
              </w:rPr>
              <w:t>Remain less than WICHE state avg</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ED6ED" w14:textId="3BEC538E" w:rsidR="00301FDE" w:rsidRDefault="00301FDE" w:rsidP="00301FDE">
            <w:pPr>
              <w:jc w:val="center"/>
              <w:rPr>
                <w:i/>
                <w:sz w:val="16"/>
                <w:szCs w:val="16"/>
              </w:rPr>
            </w:pPr>
            <w:r>
              <w:rPr>
                <w:i/>
                <w:sz w:val="16"/>
                <w:szCs w:val="16"/>
              </w:rPr>
              <w:t>Remain less than WICHE state avg</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83710" w14:textId="744E431A" w:rsidR="00301FDE" w:rsidRDefault="00301FDE" w:rsidP="00301FDE">
            <w:pPr>
              <w:jc w:val="center"/>
              <w:rPr>
                <w:i/>
                <w:sz w:val="16"/>
                <w:szCs w:val="16"/>
              </w:rPr>
            </w:pPr>
            <w:r>
              <w:rPr>
                <w:i/>
                <w:sz w:val="16"/>
                <w:szCs w:val="16"/>
              </w:rPr>
              <w:t>Remain less than WICHE state avg</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5291E" w14:textId="5B1EA81A" w:rsidR="00301FDE" w:rsidRDefault="00301FDE" w:rsidP="00301FDE">
            <w:pPr>
              <w:jc w:val="center"/>
              <w:rPr>
                <w:i/>
                <w:sz w:val="16"/>
                <w:szCs w:val="16"/>
              </w:rPr>
            </w:pPr>
          </w:p>
        </w:tc>
      </w:tr>
      <w:tr w:rsidR="00301FDE" w:rsidRPr="0097628F" w14:paraId="41A59F8A" w14:textId="77777777" w:rsidTr="00F3264E">
        <w:tblPrEx>
          <w:tblCellMar>
            <w:left w:w="58" w:type="dxa"/>
            <w:right w:w="58" w:type="dxa"/>
          </w:tblCellMar>
        </w:tblPrEx>
        <w:trPr>
          <w:gridAfter w:val="3"/>
          <w:wAfter w:w="21576" w:type="dxa"/>
          <w:cantSplit/>
          <w:trHeight w:val="350"/>
        </w:trPr>
        <w:tc>
          <w:tcPr>
            <w:tcW w:w="10046" w:type="dxa"/>
            <w:gridSpan w:val="7"/>
            <w:tcBorders>
              <w:top w:val="single" w:sz="4" w:space="0" w:color="auto"/>
              <w:left w:val="single" w:sz="4" w:space="0" w:color="auto"/>
              <w:right w:val="single" w:sz="4" w:space="0" w:color="auto"/>
            </w:tcBorders>
            <w:vAlign w:val="center"/>
            <w:hideMark/>
          </w:tcPr>
          <w:p w14:paraId="5EBE3289" w14:textId="52AC965D" w:rsidR="00301FDE" w:rsidRPr="009B1D76" w:rsidRDefault="00301FDE" w:rsidP="00301FDE">
            <w:pPr>
              <w:pStyle w:val="ListParagraph"/>
              <w:numPr>
                <w:ilvl w:val="0"/>
                <w:numId w:val="18"/>
              </w:numPr>
              <w:ind w:left="342"/>
              <w:rPr>
                <w:bCs/>
                <w:sz w:val="20"/>
              </w:rPr>
            </w:pPr>
            <w:r w:rsidRPr="009B1D76">
              <w:rPr>
                <w:rFonts w:eastAsia="Arial Unicode MS"/>
                <w:sz w:val="20"/>
                <w:szCs w:val="22"/>
              </w:rPr>
              <w:t>Expense per EWA-Weighted Student Credit Hour (SCH)</w:t>
            </w:r>
            <w:r w:rsidRPr="009B1D76">
              <w:rPr>
                <w:rStyle w:val="EndnoteReference"/>
                <w:rFonts w:eastAsia="Arial Unicode MS"/>
                <w:sz w:val="20"/>
                <w:szCs w:val="22"/>
              </w:rPr>
              <w:endnoteReference w:id="23"/>
            </w:r>
            <w:r w:rsidRPr="009B1D76">
              <w:rPr>
                <w:rFonts w:eastAsia="Arial Unicode MS"/>
                <w:sz w:val="20"/>
                <w:szCs w:val="22"/>
              </w:rPr>
              <w:t xml:space="preserve"> </w:t>
            </w:r>
            <w:r w:rsidRPr="009B1D76">
              <w:rPr>
                <w:rFonts w:eastAsia="Arial Unicode MS"/>
                <w:sz w:val="20"/>
                <w:szCs w:val="22"/>
                <w:vertAlign w:val="superscript"/>
              </w:rPr>
              <w:t xml:space="preserve">* </w:t>
            </w:r>
            <w:r w:rsidRPr="009B1D76">
              <w:rPr>
                <w:rFonts w:eastAsia="Arial Unicode MS"/>
                <w:sz w:val="20"/>
                <w:szCs w:val="22"/>
              </w:rPr>
              <w:t>(Objective A)</w:t>
            </w:r>
          </w:p>
        </w:tc>
      </w:tr>
      <w:tr w:rsidR="00301FDE" w14:paraId="3F7AD900" w14:textId="77777777" w:rsidTr="00263F2B">
        <w:tblPrEx>
          <w:tblCellMar>
            <w:left w:w="58" w:type="dxa"/>
            <w:right w:w="58" w:type="dxa"/>
          </w:tblCellMar>
        </w:tblPrEx>
        <w:trPr>
          <w:gridAfter w:val="3"/>
          <w:wAfter w:w="21576" w:type="dxa"/>
          <w:cantSplit/>
          <w:trHeight w:val="288"/>
        </w:trPr>
        <w:tc>
          <w:tcPr>
            <w:tcW w:w="3240" w:type="dxa"/>
            <w:vMerge w:val="restart"/>
            <w:tcBorders>
              <w:top w:val="single" w:sz="4" w:space="0" w:color="auto"/>
              <w:left w:val="single" w:sz="4" w:space="0" w:color="auto"/>
              <w:bottom w:val="single" w:sz="4" w:space="0" w:color="auto"/>
              <w:right w:val="single" w:sz="4" w:space="0" w:color="auto"/>
            </w:tcBorders>
            <w:vAlign w:val="center"/>
            <w:hideMark/>
          </w:tcPr>
          <w:p w14:paraId="5C591A94" w14:textId="0F57B793" w:rsidR="00301FDE" w:rsidRDefault="00301FDE" w:rsidP="00301FDE">
            <w:pPr>
              <w:pStyle w:val="ListParagraph"/>
              <w:ind w:left="342"/>
              <w:rPr>
                <w:bCs/>
                <w:sz w:val="20"/>
              </w:rPr>
            </w:pPr>
            <w:r>
              <w:rPr>
                <w:rFonts w:eastAsia="Arial Unicode MS"/>
                <w:sz w:val="20"/>
                <w:szCs w:val="20"/>
              </w:rPr>
              <w:t xml:space="preserve">$ per </w:t>
            </w:r>
            <w:r w:rsidRPr="00FB6E72">
              <w:rPr>
                <w:rFonts w:eastAsia="Arial Unicode MS"/>
                <w:sz w:val="20"/>
                <w:szCs w:val="20"/>
              </w:rPr>
              <w:t xml:space="preserve">Undergraduate </w:t>
            </w:r>
            <w:r>
              <w:rPr>
                <w:rFonts w:eastAsia="Arial Unicode MS"/>
                <w:sz w:val="20"/>
                <w:szCs w:val="20"/>
              </w:rPr>
              <w:t>SCH: in 2015 $$ (i.e., inflation adjusted</w:t>
            </w:r>
            <w:r w:rsidRPr="00FB6E72">
              <w:rPr>
                <w:rFonts w:eastAsia="Arial Unicode MS"/>
                <w:sz w:val="20"/>
                <w:szCs w:val="20"/>
              </w:rPr>
              <w:t>)</w:t>
            </w:r>
            <w:r w:rsidRPr="009B1D76">
              <w:rPr>
                <w:rStyle w:val="EndnoteReference"/>
                <w:rFonts w:eastAsia="Arial Unicode MS"/>
                <w:sz w:val="20"/>
                <w:szCs w:val="22"/>
              </w:rPr>
              <w:t xml:space="preserve"> </w:t>
            </w:r>
            <w:r w:rsidRPr="009B1D76">
              <w:rPr>
                <w:rStyle w:val="EndnoteReference"/>
                <w:rFonts w:eastAsia="Arial Unicode MS"/>
                <w:sz w:val="20"/>
                <w:szCs w:val="22"/>
              </w:rPr>
              <w:endnoteReference w:id="24"/>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5D897D" w14:textId="163741BC" w:rsidR="00301FDE" w:rsidRDefault="00301FDE" w:rsidP="00301FDE">
            <w:pPr>
              <w:jc w:val="center"/>
              <w:rPr>
                <w:sz w:val="20"/>
              </w:rPr>
            </w:pPr>
            <w:r>
              <w:rPr>
                <w:sz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06590" w14:textId="3882F3E3" w:rsidR="00301FDE" w:rsidRDefault="00301FDE" w:rsidP="00301FDE">
            <w:pPr>
              <w:jc w:val="center"/>
              <w:rPr>
                <w:sz w:val="20"/>
              </w:rPr>
            </w:pPr>
            <w:r>
              <w:rPr>
                <w:sz w:val="20"/>
              </w:rPr>
              <w:t>$255.42</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F52764" w14:textId="12D3198B" w:rsidR="00301FDE" w:rsidRPr="00194790" w:rsidRDefault="00301FDE" w:rsidP="00301FDE">
            <w:pPr>
              <w:jc w:val="center"/>
              <w:rPr>
                <w:sz w:val="20"/>
              </w:rPr>
            </w:pPr>
            <w:r>
              <w:rPr>
                <w:sz w:val="20"/>
              </w:rPr>
              <w:t>$256.42</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51E9C" w14:textId="4787A750" w:rsidR="00301FDE" w:rsidRPr="00194790" w:rsidRDefault="00301FDE" w:rsidP="00301FDE">
            <w:pPr>
              <w:jc w:val="center"/>
              <w:rPr>
                <w:sz w:val="20"/>
              </w:rPr>
            </w:pPr>
            <w:r w:rsidRPr="00261684">
              <w:rPr>
                <w:sz w:val="16"/>
                <w:szCs w:val="22"/>
              </w:rPr>
              <w:t xml:space="preserve">Not available </w:t>
            </w:r>
            <w:proofErr w:type="gramStart"/>
            <w:r w:rsidRPr="00261684">
              <w:rPr>
                <w:sz w:val="16"/>
                <w:szCs w:val="22"/>
              </w:rPr>
              <w:t>at this time</w:t>
            </w:r>
            <w:proofErr w:type="gramEnd"/>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A44D78" w14:textId="3A2A7C48" w:rsidR="00301FDE" w:rsidRDefault="00301FDE" w:rsidP="00301FDE">
            <w:pPr>
              <w:jc w:val="center"/>
              <w:rPr>
                <w:sz w:val="20"/>
              </w:rPr>
            </w:pPr>
            <w:r w:rsidRPr="00A253D9">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3CC5BE" w14:textId="2F1852FC" w:rsidR="00301FDE" w:rsidRDefault="00301FDE" w:rsidP="00301FDE">
            <w:pPr>
              <w:jc w:val="center"/>
              <w:rPr>
                <w:sz w:val="20"/>
              </w:rPr>
            </w:pPr>
          </w:p>
        </w:tc>
      </w:tr>
      <w:tr w:rsidR="00301FDE" w14:paraId="38CD61CE" w14:textId="77777777" w:rsidTr="00263F2B">
        <w:tblPrEx>
          <w:tblCellMar>
            <w:left w:w="58" w:type="dxa"/>
            <w:right w:w="58" w:type="dxa"/>
          </w:tblCellMar>
        </w:tblPrEx>
        <w:trPr>
          <w:gridAfter w:val="3"/>
          <w:wAfter w:w="21576" w:type="dxa"/>
          <w:cantSplit/>
          <w:trHeight w:val="288"/>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66E399B5" w14:textId="77777777" w:rsidR="00301FDE" w:rsidRDefault="00301FDE" w:rsidP="00301FDE">
            <w:pPr>
              <w:rPr>
                <w:bCs/>
                <w:sz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8CA43F" w14:textId="39931473" w:rsidR="00301FDE" w:rsidRDefault="00301FDE" w:rsidP="00301FDE">
            <w:pPr>
              <w:jc w:val="center"/>
              <w:rPr>
                <w:sz w:val="20"/>
              </w:rPr>
            </w:pPr>
            <w:r>
              <w:rPr>
                <w:i/>
                <w:sz w:val="16"/>
                <w:szCs w:val="16"/>
              </w:rPr>
              <w:t>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5E983" w14:textId="0AEEB64B" w:rsidR="00301FDE" w:rsidRDefault="00301FDE" w:rsidP="00301FDE">
            <w:pPr>
              <w:jc w:val="center"/>
              <w:rPr>
                <w:i/>
                <w:sz w:val="16"/>
                <w:szCs w:val="16"/>
              </w:rPr>
            </w:pPr>
            <w:r w:rsidRPr="00D372FC">
              <w:rPr>
                <w:i/>
                <w:sz w:val="16"/>
                <w:szCs w:val="16"/>
              </w:rPr>
              <w:t>No increase in CPI adjusted $$</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C449F" w14:textId="02D41073" w:rsidR="00301FDE" w:rsidRDefault="00301FDE" w:rsidP="00301FDE">
            <w:pPr>
              <w:jc w:val="center"/>
              <w:rPr>
                <w:i/>
                <w:sz w:val="16"/>
                <w:szCs w:val="16"/>
              </w:rPr>
            </w:pPr>
            <w:r w:rsidRPr="00D372FC">
              <w:rPr>
                <w:i/>
                <w:sz w:val="16"/>
                <w:szCs w:val="16"/>
              </w:rPr>
              <w:t>No increase in CPI adjusted $$</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14F2B" w14:textId="1C87BDE8" w:rsidR="00301FDE" w:rsidRDefault="00301FDE" w:rsidP="00301FDE">
            <w:pPr>
              <w:jc w:val="center"/>
              <w:rPr>
                <w:i/>
                <w:sz w:val="16"/>
                <w:szCs w:val="16"/>
              </w:rPr>
            </w:pPr>
            <w:r w:rsidRPr="00D372FC">
              <w:rPr>
                <w:i/>
                <w:sz w:val="16"/>
                <w:szCs w:val="16"/>
              </w:rPr>
              <w:t>No increase in CPI adjusted $$</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7026E" w14:textId="1E8D349E" w:rsidR="00301FDE" w:rsidRDefault="00301FDE" w:rsidP="00301FDE">
            <w:pPr>
              <w:jc w:val="center"/>
              <w:rPr>
                <w:i/>
                <w:sz w:val="16"/>
                <w:szCs w:val="16"/>
              </w:rPr>
            </w:pPr>
            <w:r>
              <w:rPr>
                <w:sz w:val="16"/>
                <w:szCs w:val="16"/>
              </w:rPr>
              <w:t xml:space="preserve">Very low increase (0.5 to </w:t>
            </w:r>
            <w:r w:rsidRPr="00880656">
              <w:rPr>
                <w:sz w:val="16"/>
                <w:szCs w:val="16"/>
              </w:rPr>
              <w:t>1%)</w:t>
            </w:r>
            <w:r>
              <w:rPr>
                <w:sz w:val="16"/>
                <w:szCs w:val="16"/>
              </w:rPr>
              <w:t xml:space="preserve"> in inflation adjusted $$</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F51FAF" w14:textId="60AC12D6" w:rsidR="00301FDE" w:rsidRPr="00880656" w:rsidRDefault="00301FDE" w:rsidP="00301FDE">
            <w:pPr>
              <w:jc w:val="center"/>
              <w:rPr>
                <w:i/>
                <w:sz w:val="16"/>
                <w:szCs w:val="16"/>
              </w:rPr>
            </w:pPr>
          </w:p>
        </w:tc>
      </w:tr>
      <w:tr w:rsidR="00301FDE" w14:paraId="08D33474" w14:textId="77777777" w:rsidTr="00263F2B">
        <w:tblPrEx>
          <w:tblCellMar>
            <w:left w:w="58" w:type="dxa"/>
            <w:right w:w="58" w:type="dxa"/>
          </w:tblCellMar>
        </w:tblPrEx>
        <w:trPr>
          <w:gridAfter w:val="3"/>
          <w:wAfter w:w="21576" w:type="dxa"/>
          <w:cantSplit/>
          <w:trHeight w:val="288"/>
        </w:trPr>
        <w:tc>
          <w:tcPr>
            <w:tcW w:w="3240" w:type="dxa"/>
            <w:vMerge w:val="restart"/>
            <w:tcBorders>
              <w:top w:val="single" w:sz="4" w:space="0" w:color="auto"/>
              <w:left w:val="single" w:sz="4" w:space="0" w:color="auto"/>
              <w:bottom w:val="single" w:sz="4" w:space="0" w:color="auto"/>
              <w:right w:val="single" w:sz="4" w:space="0" w:color="auto"/>
            </w:tcBorders>
            <w:vAlign w:val="center"/>
            <w:hideMark/>
          </w:tcPr>
          <w:p w14:paraId="2BE21FEF" w14:textId="332A48CC" w:rsidR="00301FDE" w:rsidRDefault="00301FDE" w:rsidP="00301FDE">
            <w:pPr>
              <w:pStyle w:val="ListParagraph"/>
              <w:ind w:left="342"/>
              <w:rPr>
                <w:bCs/>
                <w:sz w:val="20"/>
              </w:rPr>
            </w:pPr>
            <w:r>
              <w:rPr>
                <w:rFonts w:eastAsia="Arial Unicode MS"/>
                <w:sz w:val="20"/>
                <w:szCs w:val="20"/>
              </w:rPr>
              <w:lastRenderedPageBreak/>
              <w:t xml:space="preserve">$ per </w:t>
            </w:r>
            <w:r w:rsidRPr="00FB6E72">
              <w:rPr>
                <w:rFonts w:eastAsia="Arial Unicode MS"/>
                <w:sz w:val="20"/>
                <w:szCs w:val="20"/>
              </w:rPr>
              <w:t xml:space="preserve">Undergraduate </w:t>
            </w:r>
            <w:r>
              <w:rPr>
                <w:rFonts w:eastAsia="Arial Unicode MS"/>
                <w:sz w:val="20"/>
                <w:szCs w:val="20"/>
              </w:rPr>
              <w:t>SCH</w:t>
            </w:r>
            <w:r w:rsidRPr="00FB6E72">
              <w:rPr>
                <w:rFonts w:eastAsia="Arial Unicode MS"/>
                <w:sz w:val="20"/>
                <w:szCs w:val="20"/>
              </w:rPr>
              <w:t>: Unadjusted</w:t>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EFE92C" w14:textId="1E776FCB" w:rsidR="00301FDE" w:rsidRDefault="00301FDE" w:rsidP="00301FDE">
            <w:pPr>
              <w:jc w:val="center"/>
              <w:rPr>
                <w:sz w:val="20"/>
              </w:rPr>
            </w:pPr>
            <w:r>
              <w:rPr>
                <w:sz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D0EC31" w14:textId="68EE82AC" w:rsidR="00301FDE" w:rsidRDefault="00301FDE" w:rsidP="00301FDE">
            <w:pPr>
              <w:jc w:val="center"/>
              <w:rPr>
                <w:sz w:val="20"/>
              </w:rPr>
            </w:pPr>
            <w:r w:rsidRPr="007F24AA">
              <w:rPr>
                <w:sz w:val="20"/>
              </w:rPr>
              <w:t>$</w:t>
            </w:r>
            <w:r>
              <w:rPr>
                <w:sz w:val="20"/>
              </w:rPr>
              <w:t>273.59</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01D7E8" w14:textId="211801AA" w:rsidR="00301FDE" w:rsidRDefault="00301FDE" w:rsidP="00301FDE">
            <w:pPr>
              <w:jc w:val="center"/>
              <w:rPr>
                <w:sz w:val="20"/>
                <w:highlight w:val="yellow"/>
              </w:rPr>
            </w:pPr>
            <w:r w:rsidRPr="00D26D98">
              <w:rPr>
                <w:sz w:val="20"/>
              </w:rPr>
              <w:t>$</w:t>
            </w:r>
            <w:r>
              <w:rPr>
                <w:sz w:val="20"/>
              </w:rPr>
              <w:t>276.21</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C4E3C1" w14:textId="31048FEE" w:rsidR="00301FDE" w:rsidRDefault="00301FDE" w:rsidP="00301FDE">
            <w:pPr>
              <w:jc w:val="center"/>
              <w:rPr>
                <w:sz w:val="20"/>
                <w:highlight w:val="yellow"/>
              </w:rPr>
            </w:pPr>
            <w:r w:rsidRPr="00261684">
              <w:rPr>
                <w:sz w:val="16"/>
                <w:szCs w:val="22"/>
              </w:rPr>
              <w:t xml:space="preserve">Not available </w:t>
            </w:r>
            <w:proofErr w:type="gramStart"/>
            <w:r w:rsidRPr="00261684">
              <w:rPr>
                <w:sz w:val="16"/>
                <w:szCs w:val="22"/>
              </w:rPr>
              <w:t>at this time</w:t>
            </w:r>
            <w:proofErr w:type="gramEnd"/>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624259" w14:textId="171267A5" w:rsidR="00301FDE" w:rsidRDefault="00301FDE" w:rsidP="00301FDE">
            <w:pPr>
              <w:jc w:val="center"/>
              <w:rPr>
                <w:sz w:val="20"/>
              </w:rPr>
            </w:pPr>
            <w:r w:rsidRPr="00A253D9">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982514" w14:textId="175F40AA" w:rsidR="00301FDE" w:rsidRDefault="00301FDE" w:rsidP="00301FDE">
            <w:pPr>
              <w:jc w:val="center"/>
              <w:rPr>
                <w:sz w:val="20"/>
              </w:rPr>
            </w:pPr>
          </w:p>
        </w:tc>
      </w:tr>
      <w:tr w:rsidR="00301FDE" w14:paraId="48F6BBD5" w14:textId="77777777" w:rsidTr="00263F2B">
        <w:tblPrEx>
          <w:tblCellMar>
            <w:left w:w="58" w:type="dxa"/>
            <w:right w:w="58" w:type="dxa"/>
          </w:tblCellMar>
        </w:tblPrEx>
        <w:trPr>
          <w:gridAfter w:val="3"/>
          <w:wAfter w:w="21576" w:type="dxa"/>
          <w:cantSplit/>
          <w:trHeight w:val="288"/>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299004DB" w14:textId="77777777" w:rsidR="00301FDE" w:rsidRDefault="00301FDE" w:rsidP="00301FDE">
            <w:pPr>
              <w:rPr>
                <w:bCs/>
                <w:sz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720AD" w14:textId="22971243" w:rsidR="00301FDE" w:rsidRDefault="00301FDE" w:rsidP="00301FDE">
            <w:pPr>
              <w:jc w:val="center"/>
              <w:rPr>
                <w:sz w:val="20"/>
              </w:rPr>
            </w:pPr>
            <w:r>
              <w:rPr>
                <w:i/>
                <w:sz w:val="16"/>
                <w:szCs w:val="16"/>
              </w:rPr>
              <w:t>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tcPr>
          <w:p w14:paraId="334D3B87" w14:textId="381ED1AD" w:rsidR="00301FDE" w:rsidRDefault="00301FDE" w:rsidP="00301FDE">
            <w:pPr>
              <w:jc w:val="center"/>
              <w:rPr>
                <w:i/>
                <w:sz w:val="16"/>
                <w:szCs w:val="16"/>
              </w:rPr>
            </w:pPr>
            <w:r w:rsidRPr="00D372FC">
              <w:rPr>
                <w:i/>
                <w:sz w:val="16"/>
                <w:szCs w:val="16"/>
              </w:rPr>
              <w:t>No increase in CPI adjusted $$</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34F18A1A" w14:textId="115E9E2F" w:rsidR="00301FDE" w:rsidRDefault="00301FDE" w:rsidP="00301FDE">
            <w:pPr>
              <w:jc w:val="center"/>
              <w:rPr>
                <w:i/>
                <w:sz w:val="16"/>
                <w:szCs w:val="16"/>
              </w:rPr>
            </w:pPr>
            <w:r w:rsidRPr="00D372FC">
              <w:rPr>
                <w:i/>
                <w:sz w:val="16"/>
                <w:szCs w:val="16"/>
              </w:rPr>
              <w:t>No increase in CPI adjusted $$</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4BDC0A" w14:textId="75E73DB9" w:rsidR="00301FDE" w:rsidRDefault="00301FDE" w:rsidP="00301FDE">
            <w:pPr>
              <w:jc w:val="center"/>
              <w:rPr>
                <w:i/>
                <w:sz w:val="16"/>
                <w:szCs w:val="16"/>
              </w:rPr>
            </w:pPr>
            <w:r w:rsidRPr="00D372FC">
              <w:rPr>
                <w:i/>
                <w:sz w:val="16"/>
                <w:szCs w:val="16"/>
              </w:rPr>
              <w:t>No increase in CPI adjusted $$</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4645483E" w14:textId="4337DB71" w:rsidR="00301FDE" w:rsidRDefault="00301FDE" w:rsidP="00301FDE">
            <w:pPr>
              <w:jc w:val="center"/>
              <w:rPr>
                <w:i/>
                <w:sz w:val="16"/>
                <w:szCs w:val="16"/>
              </w:rPr>
            </w:pPr>
            <w:r>
              <w:rPr>
                <w:sz w:val="16"/>
                <w:szCs w:val="16"/>
              </w:rPr>
              <w:t xml:space="preserve">Very low increase (0.5 to </w:t>
            </w:r>
            <w:r w:rsidRPr="00880656">
              <w:rPr>
                <w:sz w:val="16"/>
                <w:szCs w:val="16"/>
              </w:rPr>
              <w:t>1%)</w:t>
            </w:r>
            <w:r>
              <w:rPr>
                <w:sz w:val="16"/>
                <w:szCs w:val="16"/>
              </w:rPr>
              <w:t xml:space="preserve"> in inflation adjusted $$</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6AF15FD7" w14:textId="4D0867DF" w:rsidR="00301FDE" w:rsidRDefault="00301FDE" w:rsidP="00301FDE">
            <w:pPr>
              <w:jc w:val="center"/>
              <w:rPr>
                <w:i/>
                <w:sz w:val="16"/>
                <w:szCs w:val="16"/>
              </w:rPr>
            </w:pPr>
          </w:p>
        </w:tc>
      </w:tr>
      <w:tr w:rsidR="00301FDE" w14:paraId="6F61F28A" w14:textId="77777777" w:rsidTr="00263F2B">
        <w:tblPrEx>
          <w:tblCellMar>
            <w:left w:w="58" w:type="dxa"/>
            <w:right w:w="58" w:type="dxa"/>
          </w:tblCellMar>
        </w:tblPrEx>
        <w:trPr>
          <w:gridAfter w:val="3"/>
          <w:wAfter w:w="21576" w:type="dxa"/>
          <w:cantSplit/>
          <w:trHeight w:val="288"/>
        </w:trPr>
        <w:tc>
          <w:tcPr>
            <w:tcW w:w="3240" w:type="dxa"/>
            <w:vMerge w:val="restart"/>
            <w:tcBorders>
              <w:top w:val="single" w:sz="4" w:space="0" w:color="auto"/>
              <w:left w:val="single" w:sz="4" w:space="0" w:color="auto"/>
              <w:bottom w:val="single" w:sz="4" w:space="0" w:color="auto"/>
              <w:right w:val="single" w:sz="4" w:space="0" w:color="auto"/>
            </w:tcBorders>
            <w:vAlign w:val="center"/>
            <w:hideMark/>
          </w:tcPr>
          <w:p w14:paraId="3C90B69E" w14:textId="3EFFEB95" w:rsidR="00301FDE" w:rsidRDefault="00301FDE" w:rsidP="00301FDE">
            <w:pPr>
              <w:pStyle w:val="ListParagraph"/>
              <w:ind w:left="342"/>
              <w:rPr>
                <w:bCs/>
                <w:sz w:val="20"/>
              </w:rPr>
            </w:pPr>
            <w:r>
              <w:br w:type="page"/>
            </w:r>
            <w:r>
              <w:rPr>
                <w:rFonts w:eastAsia="Arial Unicode MS"/>
                <w:sz w:val="20"/>
                <w:szCs w:val="20"/>
              </w:rPr>
              <w:t xml:space="preserve">$ per Total </w:t>
            </w:r>
            <w:r w:rsidRPr="00FB6E72">
              <w:rPr>
                <w:rFonts w:eastAsia="Arial Unicode MS"/>
                <w:sz w:val="20"/>
                <w:szCs w:val="20"/>
              </w:rPr>
              <w:t xml:space="preserve">Undergraduate </w:t>
            </w:r>
            <w:r>
              <w:rPr>
                <w:rFonts w:eastAsia="Arial Unicode MS"/>
                <w:sz w:val="20"/>
                <w:szCs w:val="20"/>
              </w:rPr>
              <w:t>&amp; Graduate SCH: in 2015 $$ (i.e., inflation adjusted)</w:t>
            </w:r>
            <w:r w:rsidRPr="009B1D76">
              <w:rPr>
                <w:rStyle w:val="EndnoteReference"/>
                <w:rFonts w:eastAsia="Arial Unicode MS"/>
                <w:sz w:val="20"/>
                <w:szCs w:val="22"/>
              </w:rPr>
              <w:t xml:space="preserve"> </w:t>
            </w:r>
            <w:r w:rsidRPr="009B1D76">
              <w:rPr>
                <w:rStyle w:val="EndnoteReference"/>
                <w:rFonts w:eastAsia="Arial Unicode MS"/>
                <w:sz w:val="20"/>
                <w:szCs w:val="22"/>
              </w:rPr>
              <w:endnoteReference w:id="25"/>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A95E1" w14:textId="3855F57E" w:rsidR="00301FDE" w:rsidRDefault="00301FDE" w:rsidP="00301FDE">
            <w:pPr>
              <w:jc w:val="center"/>
              <w:rPr>
                <w:sz w:val="20"/>
              </w:rPr>
            </w:pPr>
            <w:r>
              <w:rPr>
                <w:sz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14A159" w14:textId="50EA53FE" w:rsidR="00301FDE" w:rsidRDefault="00301FDE" w:rsidP="00301FDE">
            <w:pPr>
              <w:jc w:val="center"/>
              <w:rPr>
                <w:sz w:val="20"/>
              </w:rPr>
            </w:pPr>
            <w:r w:rsidRPr="00C96A52">
              <w:rPr>
                <w:sz w:val="20"/>
              </w:rPr>
              <w:t>$237.14</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7E872F" w14:textId="48A51E3A" w:rsidR="00301FDE" w:rsidRPr="00C96A52" w:rsidRDefault="00301FDE" w:rsidP="00301FDE">
            <w:pPr>
              <w:jc w:val="center"/>
              <w:rPr>
                <w:sz w:val="20"/>
              </w:rPr>
            </w:pPr>
            <w:r w:rsidRPr="00C96A52">
              <w:rPr>
                <w:sz w:val="20"/>
              </w:rPr>
              <w:t>$238.14</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14E43B" w14:textId="01856094" w:rsidR="00301FDE" w:rsidRPr="00C96A52" w:rsidRDefault="00301FDE" w:rsidP="00301FDE">
            <w:pPr>
              <w:jc w:val="center"/>
              <w:rPr>
                <w:sz w:val="20"/>
              </w:rPr>
            </w:pPr>
            <w:r w:rsidRPr="00261684">
              <w:rPr>
                <w:sz w:val="16"/>
                <w:szCs w:val="22"/>
              </w:rPr>
              <w:t xml:space="preserve">Not available </w:t>
            </w:r>
            <w:proofErr w:type="gramStart"/>
            <w:r w:rsidRPr="00261684">
              <w:rPr>
                <w:sz w:val="16"/>
                <w:szCs w:val="22"/>
              </w:rPr>
              <w:t>at this time</w:t>
            </w:r>
            <w:proofErr w:type="gramEnd"/>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449DA" w14:textId="74D6C882" w:rsidR="00301FDE" w:rsidRDefault="00301FDE" w:rsidP="00301FDE">
            <w:pPr>
              <w:jc w:val="center"/>
              <w:rPr>
                <w:sz w:val="20"/>
              </w:rPr>
            </w:pPr>
            <w:r w:rsidRPr="00A253D9">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1226A9" w14:textId="3C51B3A2" w:rsidR="00301FDE" w:rsidRDefault="00301FDE" w:rsidP="00301FDE">
            <w:pPr>
              <w:jc w:val="center"/>
              <w:rPr>
                <w:sz w:val="20"/>
              </w:rPr>
            </w:pPr>
          </w:p>
        </w:tc>
      </w:tr>
      <w:tr w:rsidR="00301FDE" w14:paraId="20247F04" w14:textId="77777777" w:rsidTr="00263F2B">
        <w:tblPrEx>
          <w:tblCellMar>
            <w:left w:w="58" w:type="dxa"/>
            <w:right w:w="58" w:type="dxa"/>
          </w:tblCellMar>
        </w:tblPrEx>
        <w:trPr>
          <w:gridAfter w:val="3"/>
          <w:wAfter w:w="21576" w:type="dxa"/>
          <w:cantSplit/>
          <w:trHeight w:val="288"/>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1BA28D79" w14:textId="77777777" w:rsidR="00301FDE" w:rsidRDefault="00301FDE" w:rsidP="00301FDE">
            <w:pPr>
              <w:rPr>
                <w:bCs/>
                <w:sz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1A1FD1" w14:textId="742CCE86" w:rsidR="00301FDE" w:rsidRDefault="00301FDE" w:rsidP="00301FDE">
            <w:pPr>
              <w:jc w:val="center"/>
              <w:rPr>
                <w:sz w:val="20"/>
              </w:rPr>
            </w:pPr>
            <w:r>
              <w:rPr>
                <w:i/>
                <w:sz w:val="16"/>
                <w:szCs w:val="16"/>
              </w:rPr>
              <w:t>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tcPr>
          <w:p w14:paraId="73436BFD" w14:textId="6ED70CA6" w:rsidR="00301FDE" w:rsidRDefault="00301FDE" w:rsidP="00301FDE">
            <w:pPr>
              <w:jc w:val="center"/>
              <w:rPr>
                <w:i/>
                <w:sz w:val="16"/>
                <w:szCs w:val="16"/>
              </w:rPr>
            </w:pPr>
            <w:r w:rsidRPr="00D372FC">
              <w:rPr>
                <w:i/>
                <w:sz w:val="16"/>
                <w:szCs w:val="16"/>
              </w:rPr>
              <w:t>No increase in CPI adjusted $$</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7C92CBA8" w14:textId="4B0D3790" w:rsidR="00301FDE" w:rsidRDefault="00301FDE" w:rsidP="00301FDE">
            <w:pPr>
              <w:jc w:val="center"/>
              <w:rPr>
                <w:i/>
                <w:sz w:val="16"/>
                <w:szCs w:val="16"/>
              </w:rPr>
            </w:pPr>
            <w:r w:rsidRPr="00D372FC">
              <w:rPr>
                <w:i/>
                <w:sz w:val="16"/>
                <w:szCs w:val="16"/>
              </w:rPr>
              <w:t>No increase in CPI adjusted $$</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269BEAE3" w14:textId="55196182" w:rsidR="00301FDE" w:rsidRDefault="00301FDE" w:rsidP="00301FDE">
            <w:pPr>
              <w:jc w:val="center"/>
              <w:rPr>
                <w:i/>
                <w:sz w:val="16"/>
                <w:szCs w:val="16"/>
              </w:rPr>
            </w:pPr>
            <w:r w:rsidRPr="00D372FC">
              <w:rPr>
                <w:i/>
                <w:sz w:val="16"/>
                <w:szCs w:val="16"/>
              </w:rPr>
              <w:t>No increase in CPI adjusted $$</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468ECDDF" w14:textId="49BE9C08" w:rsidR="00301FDE" w:rsidRDefault="00301FDE" w:rsidP="00301FDE">
            <w:pPr>
              <w:jc w:val="center"/>
              <w:rPr>
                <w:i/>
                <w:sz w:val="16"/>
                <w:szCs w:val="16"/>
              </w:rPr>
            </w:pPr>
            <w:r>
              <w:rPr>
                <w:sz w:val="16"/>
                <w:szCs w:val="16"/>
              </w:rPr>
              <w:t xml:space="preserve">Very low increase (0.5 to </w:t>
            </w:r>
            <w:r w:rsidRPr="00880656">
              <w:rPr>
                <w:sz w:val="16"/>
                <w:szCs w:val="16"/>
              </w:rPr>
              <w:t>1%)</w:t>
            </w:r>
            <w:r>
              <w:rPr>
                <w:sz w:val="16"/>
                <w:szCs w:val="16"/>
              </w:rPr>
              <w:t xml:space="preserve"> in inflation adjusted $$</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6F7CC1D2" w14:textId="245102C2" w:rsidR="00301FDE" w:rsidRDefault="00301FDE" w:rsidP="00301FDE">
            <w:pPr>
              <w:jc w:val="center"/>
              <w:rPr>
                <w:i/>
                <w:sz w:val="16"/>
                <w:szCs w:val="16"/>
              </w:rPr>
            </w:pPr>
          </w:p>
        </w:tc>
      </w:tr>
      <w:tr w:rsidR="00301FDE" w14:paraId="7C2F7A3D" w14:textId="77777777" w:rsidTr="00263F2B">
        <w:tblPrEx>
          <w:tblCellMar>
            <w:left w:w="58" w:type="dxa"/>
            <w:right w:w="58" w:type="dxa"/>
          </w:tblCellMar>
        </w:tblPrEx>
        <w:trPr>
          <w:gridAfter w:val="3"/>
          <w:wAfter w:w="21576" w:type="dxa"/>
          <w:cantSplit/>
          <w:trHeight w:val="288"/>
        </w:trPr>
        <w:tc>
          <w:tcPr>
            <w:tcW w:w="3240" w:type="dxa"/>
            <w:vMerge w:val="restart"/>
            <w:tcBorders>
              <w:top w:val="single" w:sz="4" w:space="0" w:color="auto"/>
              <w:left w:val="single" w:sz="4" w:space="0" w:color="auto"/>
              <w:bottom w:val="single" w:sz="4" w:space="0" w:color="auto"/>
              <w:right w:val="single" w:sz="4" w:space="0" w:color="auto"/>
            </w:tcBorders>
            <w:vAlign w:val="center"/>
            <w:hideMark/>
          </w:tcPr>
          <w:p w14:paraId="33297B52" w14:textId="077831B4" w:rsidR="00301FDE" w:rsidRDefault="00301FDE" w:rsidP="00301FDE">
            <w:pPr>
              <w:pStyle w:val="ListParagraph"/>
              <w:ind w:left="342"/>
              <w:rPr>
                <w:bCs/>
                <w:sz w:val="20"/>
              </w:rPr>
            </w:pPr>
            <w:r>
              <w:rPr>
                <w:rFonts w:eastAsia="Arial Unicode MS"/>
                <w:sz w:val="20"/>
                <w:szCs w:val="20"/>
              </w:rPr>
              <w:t xml:space="preserve">$ per Total </w:t>
            </w:r>
            <w:r w:rsidRPr="00FB6E72">
              <w:rPr>
                <w:rFonts w:eastAsia="Arial Unicode MS"/>
                <w:sz w:val="20"/>
                <w:szCs w:val="20"/>
              </w:rPr>
              <w:t xml:space="preserve">Undergraduate </w:t>
            </w:r>
            <w:r>
              <w:rPr>
                <w:rFonts w:eastAsia="Arial Unicode MS"/>
                <w:sz w:val="20"/>
                <w:szCs w:val="20"/>
              </w:rPr>
              <w:t>&amp; Graduate SCH</w:t>
            </w:r>
            <w:r w:rsidRPr="00FB6E72">
              <w:rPr>
                <w:rFonts w:eastAsia="Arial Unicode MS"/>
                <w:sz w:val="20"/>
                <w:szCs w:val="20"/>
              </w:rPr>
              <w:t>: Unadjusted</w:t>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6CBB79" w14:textId="4146BD66" w:rsidR="00301FDE" w:rsidRDefault="00301FDE" w:rsidP="00301FDE">
            <w:pPr>
              <w:jc w:val="center"/>
              <w:rPr>
                <w:sz w:val="20"/>
              </w:rPr>
            </w:pPr>
            <w:r>
              <w:rPr>
                <w:sz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61041F" w14:textId="3074B6A6" w:rsidR="00301FDE" w:rsidRDefault="00301FDE" w:rsidP="00301FDE">
            <w:pPr>
              <w:jc w:val="center"/>
              <w:rPr>
                <w:sz w:val="20"/>
              </w:rPr>
            </w:pPr>
            <w:r w:rsidRPr="00C96A52">
              <w:rPr>
                <w:sz w:val="20"/>
              </w:rPr>
              <w:t>$254.01</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E7FA12" w14:textId="088FCCAF" w:rsidR="00301FDE" w:rsidRPr="00C96A52" w:rsidRDefault="00301FDE" w:rsidP="00301FDE">
            <w:pPr>
              <w:jc w:val="center"/>
              <w:rPr>
                <w:sz w:val="20"/>
              </w:rPr>
            </w:pPr>
            <w:r w:rsidRPr="00C96A52">
              <w:rPr>
                <w:sz w:val="20"/>
              </w:rPr>
              <w:t>$256.52</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715217" w14:textId="0FAC08E7" w:rsidR="00301FDE" w:rsidRPr="00C96A52" w:rsidRDefault="00301FDE" w:rsidP="00301FDE">
            <w:pPr>
              <w:jc w:val="center"/>
              <w:rPr>
                <w:sz w:val="20"/>
              </w:rPr>
            </w:pPr>
            <w:r w:rsidRPr="00261684">
              <w:rPr>
                <w:sz w:val="16"/>
                <w:szCs w:val="22"/>
              </w:rPr>
              <w:t xml:space="preserve">Not available </w:t>
            </w:r>
            <w:proofErr w:type="gramStart"/>
            <w:r w:rsidRPr="00261684">
              <w:rPr>
                <w:sz w:val="16"/>
                <w:szCs w:val="22"/>
              </w:rPr>
              <w:t>at this time</w:t>
            </w:r>
            <w:proofErr w:type="gramEnd"/>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7161F" w14:textId="55DE49A7" w:rsidR="00301FDE" w:rsidRDefault="00301FDE" w:rsidP="00301FDE">
            <w:pPr>
              <w:jc w:val="center"/>
              <w:rPr>
                <w:sz w:val="20"/>
              </w:rPr>
            </w:pPr>
            <w:r w:rsidRPr="00A253D9">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C86DF7" w14:textId="45C7BCB2" w:rsidR="00301FDE" w:rsidRDefault="00301FDE" w:rsidP="00301FDE">
            <w:pPr>
              <w:jc w:val="center"/>
              <w:rPr>
                <w:sz w:val="20"/>
              </w:rPr>
            </w:pPr>
          </w:p>
        </w:tc>
      </w:tr>
      <w:tr w:rsidR="00301FDE" w14:paraId="1F8E427F" w14:textId="77777777" w:rsidTr="00263F2B">
        <w:tblPrEx>
          <w:tblCellMar>
            <w:left w:w="58" w:type="dxa"/>
            <w:right w:w="58" w:type="dxa"/>
          </w:tblCellMar>
        </w:tblPrEx>
        <w:trPr>
          <w:gridAfter w:val="3"/>
          <w:wAfter w:w="21576" w:type="dxa"/>
          <w:cantSplit/>
          <w:trHeight w:val="288"/>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44716A60" w14:textId="77777777" w:rsidR="00301FDE" w:rsidRDefault="00301FDE" w:rsidP="00301FDE">
            <w:pPr>
              <w:rPr>
                <w:bCs/>
                <w:sz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0AB439" w14:textId="58AE9D0B" w:rsidR="00301FDE" w:rsidRDefault="00301FDE" w:rsidP="00301FDE">
            <w:pPr>
              <w:jc w:val="center"/>
              <w:rPr>
                <w:sz w:val="20"/>
              </w:rPr>
            </w:pPr>
            <w:r>
              <w:rPr>
                <w:i/>
                <w:sz w:val="16"/>
                <w:szCs w:val="16"/>
              </w:rPr>
              <w:t>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tcPr>
          <w:p w14:paraId="0BB0D643" w14:textId="4BBC6D4D" w:rsidR="00301FDE" w:rsidRDefault="00301FDE" w:rsidP="00301FDE">
            <w:pPr>
              <w:jc w:val="center"/>
              <w:rPr>
                <w:i/>
                <w:sz w:val="16"/>
                <w:szCs w:val="16"/>
              </w:rPr>
            </w:pPr>
            <w:r w:rsidRPr="00D372FC">
              <w:rPr>
                <w:i/>
                <w:sz w:val="16"/>
                <w:szCs w:val="16"/>
              </w:rPr>
              <w:t>No increase in CPI adjusted $$</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87CDE" w14:textId="16B9F074" w:rsidR="00301FDE" w:rsidRDefault="00301FDE" w:rsidP="00301FDE">
            <w:pPr>
              <w:jc w:val="center"/>
              <w:rPr>
                <w:i/>
                <w:sz w:val="16"/>
                <w:szCs w:val="16"/>
              </w:rPr>
            </w:pPr>
            <w:r w:rsidRPr="00D372FC">
              <w:rPr>
                <w:i/>
                <w:sz w:val="16"/>
                <w:szCs w:val="16"/>
              </w:rPr>
              <w:t>No increase in CPI adjusted $$</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387B10CA" w14:textId="764A3E92" w:rsidR="00301FDE" w:rsidRDefault="00301FDE" w:rsidP="00301FDE">
            <w:pPr>
              <w:jc w:val="center"/>
              <w:rPr>
                <w:i/>
                <w:sz w:val="16"/>
                <w:szCs w:val="16"/>
              </w:rPr>
            </w:pPr>
            <w:r w:rsidRPr="00D372FC">
              <w:rPr>
                <w:i/>
                <w:sz w:val="16"/>
                <w:szCs w:val="16"/>
              </w:rPr>
              <w:t>No increase in CPI adjusted $$</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643FDB70" w14:textId="194F5C3B" w:rsidR="00301FDE" w:rsidRDefault="00301FDE" w:rsidP="00301FDE">
            <w:pPr>
              <w:jc w:val="center"/>
              <w:rPr>
                <w:i/>
                <w:sz w:val="16"/>
                <w:szCs w:val="16"/>
              </w:rPr>
            </w:pPr>
            <w:r>
              <w:rPr>
                <w:sz w:val="16"/>
                <w:szCs w:val="16"/>
              </w:rPr>
              <w:t xml:space="preserve">Very low increase (0.5 to </w:t>
            </w:r>
            <w:r w:rsidRPr="00880656">
              <w:rPr>
                <w:sz w:val="16"/>
                <w:szCs w:val="16"/>
              </w:rPr>
              <w:t>1%)</w:t>
            </w:r>
            <w:r>
              <w:rPr>
                <w:sz w:val="16"/>
                <w:szCs w:val="16"/>
              </w:rPr>
              <w:t xml:space="preserve"> in inflation adjusted $$</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00D25186" w14:textId="1AFE61C3" w:rsidR="00301FDE" w:rsidRDefault="00301FDE" w:rsidP="00301FDE">
            <w:pPr>
              <w:jc w:val="center"/>
              <w:rPr>
                <w:i/>
                <w:sz w:val="16"/>
                <w:szCs w:val="16"/>
              </w:rPr>
            </w:pPr>
          </w:p>
        </w:tc>
      </w:tr>
      <w:tr w:rsidR="00301FDE" w14:paraId="4DCB12D3" w14:textId="77777777" w:rsidTr="00F3264E">
        <w:tblPrEx>
          <w:tblCellMar>
            <w:left w:w="58" w:type="dxa"/>
            <w:right w:w="58" w:type="dxa"/>
          </w:tblCellMar>
        </w:tblPrEx>
        <w:trPr>
          <w:gridAfter w:val="3"/>
          <w:wAfter w:w="21576" w:type="dxa"/>
          <w:cantSplit/>
          <w:trHeight w:val="368"/>
        </w:trPr>
        <w:tc>
          <w:tcPr>
            <w:tcW w:w="10046" w:type="dxa"/>
            <w:gridSpan w:val="7"/>
            <w:tcBorders>
              <w:top w:val="single" w:sz="4" w:space="0" w:color="auto"/>
              <w:left w:val="single" w:sz="4" w:space="0" w:color="auto"/>
              <w:bottom w:val="single" w:sz="4" w:space="0" w:color="auto"/>
              <w:right w:val="single" w:sz="4" w:space="0" w:color="auto"/>
            </w:tcBorders>
            <w:vAlign w:val="center"/>
          </w:tcPr>
          <w:p w14:paraId="6EA512B1" w14:textId="0D35C4ED" w:rsidR="00301FDE" w:rsidRPr="009B1D76" w:rsidRDefault="00301FDE" w:rsidP="00301FDE">
            <w:pPr>
              <w:pStyle w:val="ListParagraph"/>
              <w:numPr>
                <w:ilvl w:val="0"/>
                <w:numId w:val="18"/>
              </w:numPr>
              <w:ind w:left="342"/>
              <w:rPr>
                <w:i/>
                <w:sz w:val="20"/>
                <w:szCs w:val="20"/>
              </w:rPr>
            </w:pPr>
            <w:r w:rsidRPr="009B1D76">
              <w:rPr>
                <w:rFonts w:eastAsia="Arial Unicode MS"/>
                <w:sz w:val="20"/>
                <w:szCs w:val="20"/>
              </w:rPr>
              <w:t>Graduates per FTE (Objective A)</w:t>
            </w:r>
          </w:p>
        </w:tc>
      </w:tr>
      <w:tr w:rsidR="00301FDE" w14:paraId="36B6B86B" w14:textId="77777777" w:rsidTr="00263F2B">
        <w:tblPrEx>
          <w:tblCellMar>
            <w:left w:w="58" w:type="dxa"/>
            <w:right w:w="58" w:type="dxa"/>
          </w:tblCellMar>
        </w:tblPrEx>
        <w:trPr>
          <w:gridAfter w:val="3"/>
          <w:wAfter w:w="21576" w:type="dxa"/>
          <w:cantSplit/>
          <w:trHeight w:val="288"/>
        </w:trPr>
        <w:tc>
          <w:tcPr>
            <w:tcW w:w="3240" w:type="dxa"/>
            <w:vMerge w:val="restart"/>
            <w:tcBorders>
              <w:top w:val="single" w:sz="4" w:space="0" w:color="auto"/>
              <w:left w:val="single" w:sz="4" w:space="0" w:color="auto"/>
              <w:bottom w:val="single" w:sz="4" w:space="0" w:color="auto"/>
              <w:right w:val="single" w:sz="4" w:space="0" w:color="auto"/>
            </w:tcBorders>
            <w:vAlign w:val="center"/>
          </w:tcPr>
          <w:p w14:paraId="029E12AE" w14:textId="6DE051F4" w:rsidR="00301FDE" w:rsidRPr="00D27932" w:rsidRDefault="00301FDE" w:rsidP="00301FDE">
            <w:pPr>
              <w:pStyle w:val="ListParagraph"/>
              <w:ind w:left="342"/>
              <w:rPr>
                <w:rFonts w:eastAsia="Arial Unicode MS"/>
                <w:sz w:val="20"/>
                <w:szCs w:val="20"/>
              </w:rPr>
            </w:pPr>
            <w:r w:rsidRPr="00D27932">
              <w:rPr>
                <w:rFonts w:eastAsia="Arial Unicode MS"/>
                <w:sz w:val="20"/>
                <w:szCs w:val="20"/>
              </w:rPr>
              <w:t xml:space="preserve">Baccalaureate graduates per </w:t>
            </w:r>
            <w:r>
              <w:rPr>
                <w:rFonts w:eastAsia="Arial Unicode MS"/>
                <w:sz w:val="20"/>
                <w:szCs w:val="20"/>
              </w:rPr>
              <w:t xml:space="preserve">undergraduate </w:t>
            </w:r>
            <w:r w:rsidRPr="00D27932">
              <w:rPr>
                <w:rFonts w:eastAsia="Arial Unicode MS"/>
                <w:sz w:val="20"/>
                <w:szCs w:val="20"/>
              </w:rPr>
              <w:t>FTE</w:t>
            </w:r>
            <w:r w:rsidRPr="009B1D76">
              <w:rPr>
                <w:rStyle w:val="EndnoteReference"/>
                <w:rFonts w:eastAsia="Arial Unicode MS"/>
                <w:sz w:val="20"/>
                <w:szCs w:val="20"/>
              </w:rPr>
              <w:endnoteReference w:id="26"/>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3F5184" w14:textId="51CA7D24" w:rsidR="00301FDE" w:rsidRDefault="00301FDE" w:rsidP="00301FDE">
            <w:pPr>
              <w:jc w:val="center"/>
              <w:rPr>
                <w:i/>
                <w:sz w:val="16"/>
                <w:szCs w:val="16"/>
              </w:rPr>
            </w:pPr>
            <w:r>
              <w:rPr>
                <w:sz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26E030" w14:textId="6392D4F4" w:rsidR="00301FDE" w:rsidRPr="00D372FC" w:rsidRDefault="00301FDE" w:rsidP="00301FDE">
            <w:pPr>
              <w:jc w:val="center"/>
              <w:rPr>
                <w:i/>
                <w:sz w:val="16"/>
                <w:szCs w:val="16"/>
              </w:rPr>
            </w:pPr>
            <w:r>
              <w:rPr>
                <w:sz w:val="20"/>
              </w:rPr>
              <w:t>21.6</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37ADB" w14:textId="13008C01" w:rsidR="00301FDE" w:rsidRPr="00D372FC" w:rsidRDefault="00301FDE" w:rsidP="00301FDE">
            <w:pPr>
              <w:jc w:val="center"/>
              <w:rPr>
                <w:i/>
                <w:sz w:val="16"/>
                <w:szCs w:val="16"/>
              </w:rPr>
            </w:pPr>
            <w:r w:rsidRPr="00FD608C">
              <w:rPr>
                <w:sz w:val="20"/>
                <w:szCs w:val="16"/>
              </w:rPr>
              <w:t>22.1</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3CDD8D" w14:textId="1707C367" w:rsidR="00301FDE" w:rsidRPr="00D372FC" w:rsidRDefault="00301FDE" w:rsidP="00301FDE">
            <w:pPr>
              <w:jc w:val="center"/>
              <w:rPr>
                <w:i/>
                <w:sz w:val="16"/>
                <w:szCs w:val="16"/>
              </w:rPr>
            </w:pPr>
            <w:r w:rsidRPr="00FD608C">
              <w:rPr>
                <w:sz w:val="20"/>
                <w:szCs w:val="16"/>
              </w:rPr>
              <w:t>2</w:t>
            </w:r>
            <w:r>
              <w:rPr>
                <w:sz w:val="20"/>
                <w:szCs w:val="16"/>
              </w:rPr>
              <w:t>3</w:t>
            </w:r>
            <w:r w:rsidRPr="00FD608C">
              <w:rPr>
                <w:sz w:val="20"/>
                <w:szCs w:val="16"/>
              </w:rPr>
              <w:t>.</w:t>
            </w:r>
            <w:r>
              <w:rPr>
                <w:sz w:val="20"/>
                <w:szCs w:val="16"/>
              </w:rPr>
              <w:t>8</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0C5AB1" w14:textId="1FE0135F" w:rsidR="00301FDE" w:rsidRPr="00FD608C" w:rsidRDefault="00301FDE" w:rsidP="00301FDE">
            <w:pPr>
              <w:jc w:val="center"/>
              <w:rPr>
                <w:sz w:val="16"/>
                <w:szCs w:val="16"/>
              </w:rPr>
            </w:pPr>
            <w:r w:rsidRPr="00A253D9">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00046D" w14:textId="5ACDCE00" w:rsidR="00301FDE" w:rsidRPr="00D372FC" w:rsidRDefault="00301FDE" w:rsidP="00301FDE">
            <w:pPr>
              <w:jc w:val="center"/>
              <w:rPr>
                <w:i/>
                <w:sz w:val="16"/>
                <w:szCs w:val="16"/>
              </w:rPr>
            </w:pPr>
          </w:p>
        </w:tc>
      </w:tr>
      <w:tr w:rsidR="00301FDE" w14:paraId="78596540" w14:textId="77777777" w:rsidTr="00263F2B">
        <w:tblPrEx>
          <w:tblCellMar>
            <w:left w:w="58" w:type="dxa"/>
            <w:right w:w="58" w:type="dxa"/>
          </w:tblCellMar>
        </w:tblPrEx>
        <w:trPr>
          <w:gridAfter w:val="3"/>
          <w:wAfter w:w="21576" w:type="dxa"/>
          <w:cantSplit/>
          <w:trHeight w:val="288"/>
        </w:trPr>
        <w:tc>
          <w:tcPr>
            <w:tcW w:w="3240" w:type="dxa"/>
            <w:vMerge/>
            <w:tcBorders>
              <w:top w:val="single" w:sz="4" w:space="0" w:color="auto"/>
              <w:left w:val="single" w:sz="4" w:space="0" w:color="auto"/>
              <w:bottom w:val="single" w:sz="4" w:space="0" w:color="auto"/>
              <w:right w:val="single" w:sz="4" w:space="0" w:color="auto"/>
            </w:tcBorders>
            <w:vAlign w:val="center"/>
          </w:tcPr>
          <w:p w14:paraId="1ACDAD27" w14:textId="77777777" w:rsidR="00301FDE" w:rsidRPr="00D27932" w:rsidRDefault="00301FDE" w:rsidP="00301FDE">
            <w:pPr>
              <w:pStyle w:val="ListParagraph"/>
              <w:ind w:left="342"/>
              <w:rPr>
                <w:rFonts w:eastAsia="Arial Unicode MS"/>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86132" w14:textId="6FF2E09D" w:rsidR="00301FDE" w:rsidRDefault="00301FDE" w:rsidP="00301FDE">
            <w:pPr>
              <w:jc w:val="center"/>
              <w:rPr>
                <w:i/>
                <w:sz w:val="16"/>
                <w:szCs w:val="16"/>
              </w:rPr>
            </w:pPr>
            <w:r>
              <w:rPr>
                <w:i/>
                <w:sz w:val="16"/>
                <w:szCs w:val="16"/>
              </w:rPr>
              <w:t>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5A590" w14:textId="7253EBE4" w:rsidR="00301FDE" w:rsidRPr="00D372FC" w:rsidRDefault="00301FDE" w:rsidP="00301FDE">
            <w:pPr>
              <w:jc w:val="center"/>
              <w:rPr>
                <w:i/>
                <w:sz w:val="16"/>
                <w:szCs w:val="16"/>
              </w:rPr>
            </w:pPr>
            <w:r>
              <w:rPr>
                <w:i/>
                <w:sz w:val="16"/>
                <w:szCs w:val="16"/>
              </w:rPr>
              <w:t>NA</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D5C75" w14:textId="188D7581" w:rsidR="00301FDE" w:rsidRPr="00D372FC" w:rsidRDefault="00301FDE" w:rsidP="00301FDE">
            <w:pPr>
              <w:jc w:val="center"/>
              <w:rPr>
                <w:i/>
                <w:sz w:val="16"/>
                <w:szCs w:val="16"/>
              </w:rPr>
            </w:pPr>
            <w:r>
              <w:rPr>
                <w:i/>
                <w:sz w:val="16"/>
                <w:szCs w:val="16"/>
              </w:rPr>
              <w:t>22.2</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B17F" w14:textId="05E18A18" w:rsidR="00301FDE" w:rsidRPr="00D372FC" w:rsidRDefault="00301FDE" w:rsidP="00301FDE">
            <w:pPr>
              <w:jc w:val="center"/>
              <w:rPr>
                <w:i/>
                <w:sz w:val="16"/>
                <w:szCs w:val="16"/>
              </w:rPr>
            </w:pPr>
            <w:r>
              <w:rPr>
                <w:i/>
                <w:sz w:val="16"/>
                <w:szCs w:val="16"/>
              </w:rPr>
              <w:t>22.2</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6296F" w14:textId="387B5EFC" w:rsidR="00301FDE" w:rsidRPr="00D372FC" w:rsidRDefault="00301FDE" w:rsidP="00301FDE">
            <w:pPr>
              <w:jc w:val="center"/>
              <w:rPr>
                <w:i/>
                <w:sz w:val="16"/>
                <w:szCs w:val="16"/>
              </w:rPr>
            </w:pPr>
            <w:r>
              <w:rPr>
                <w:i/>
                <w:sz w:val="16"/>
                <w:szCs w:val="16"/>
              </w:rPr>
              <w:t>22.3</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0480F" w14:textId="703FF57D" w:rsidR="00301FDE" w:rsidRPr="00D372FC" w:rsidRDefault="00301FDE" w:rsidP="00301FDE">
            <w:pPr>
              <w:jc w:val="center"/>
              <w:rPr>
                <w:i/>
                <w:sz w:val="16"/>
                <w:szCs w:val="16"/>
              </w:rPr>
            </w:pPr>
          </w:p>
        </w:tc>
      </w:tr>
      <w:tr w:rsidR="00301FDE" w14:paraId="4AE48B18" w14:textId="77777777" w:rsidTr="00263F2B">
        <w:tblPrEx>
          <w:tblCellMar>
            <w:left w:w="58" w:type="dxa"/>
            <w:right w:w="58" w:type="dxa"/>
          </w:tblCellMar>
        </w:tblPrEx>
        <w:trPr>
          <w:gridAfter w:val="3"/>
          <w:wAfter w:w="21576" w:type="dxa"/>
          <w:cantSplit/>
          <w:trHeight w:val="288"/>
        </w:trPr>
        <w:tc>
          <w:tcPr>
            <w:tcW w:w="3240" w:type="dxa"/>
            <w:vMerge w:val="restart"/>
            <w:tcBorders>
              <w:top w:val="single" w:sz="4" w:space="0" w:color="auto"/>
              <w:left w:val="single" w:sz="4" w:space="0" w:color="auto"/>
              <w:bottom w:val="single" w:sz="4" w:space="0" w:color="auto"/>
              <w:right w:val="single" w:sz="4" w:space="0" w:color="auto"/>
            </w:tcBorders>
            <w:vAlign w:val="center"/>
          </w:tcPr>
          <w:p w14:paraId="4FB6DC78" w14:textId="4C049CA5" w:rsidR="00301FDE" w:rsidRPr="00D27932" w:rsidRDefault="00301FDE" w:rsidP="00301FDE">
            <w:pPr>
              <w:pStyle w:val="ListParagraph"/>
              <w:ind w:left="342"/>
              <w:rPr>
                <w:rFonts w:eastAsia="Arial Unicode MS"/>
                <w:sz w:val="20"/>
                <w:szCs w:val="20"/>
              </w:rPr>
            </w:pPr>
            <w:r w:rsidRPr="00D27932">
              <w:rPr>
                <w:rFonts w:eastAsia="Arial Unicode MS"/>
                <w:sz w:val="20"/>
                <w:szCs w:val="20"/>
              </w:rPr>
              <w:t xml:space="preserve">Baccalaureate </w:t>
            </w:r>
            <w:r>
              <w:rPr>
                <w:rFonts w:eastAsia="Arial Unicode MS"/>
                <w:sz w:val="20"/>
                <w:szCs w:val="20"/>
              </w:rPr>
              <w:t>graduates per junior/senior</w:t>
            </w:r>
            <w:r w:rsidRPr="00D27932">
              <w:rPr>
                <w:rFonts w:eastAsia="Arial Unicode MS"/>
                <w:sz w:val="20"/>
                <w:szCs w:val="20"/>
              </w:rPr>
              <w:t xml:space="preserve"> FTE</w:t>
            </w:r>
            <w:r w:rsidRPr="009B1D76">
              <w:rPr>
                <w:rStyle w:val="EndnoteReference"/>
                <w:rFonts w:eastAsia="Arial Unicode MS"/>
                <w:sz w:val="20"/>
                <w:szCs w:val="20"/>
              </w:rPr>
              <w:endnoteReference w:id="27"/>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34B931" w14:textId="49D0CC2B" w:rsidR="00301FDE" w:rsidRDefault="00301FDE" w:rsidP="00301FDE">
            <w:pPr>
              <w:jc w:val="center"/>
              <w:rPr>
                <w:i/>
                <w:sz w:val="16"/>
                <w:szCs w:val="16"/>
              </w:rPr>
            </w:pPr>
            <w:r>
              <w:rPr>
                <w:sz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B15F39" w14:textId="6FF7C016" w:rsidR="00301FDE" w:rsidRPr="00D372FC" w:rsidRDefault="00301FDE" w:rsidP="00301FDE">
            <w:pPr>
              <w:jc w:val="center"/>
              <w:rPr>
                <w:i/>
                <w:sz w:val="16"/>
                <w:szCs w:val="16"/>
              </w:rPr>
            </w:pPr>
            <w:r>
              <w:rPr>
                <w:sz w:val="20"/>
              </w:rPr>
              <w:t>41.2</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9EE00E" w14:textId="0E910455" w:rsidR="00301FDE" w:rsidRPr="00D372FC" w:rsidRDefault="00301FDE" w:rsidP="00301FDE">
            <w:pPr>
              <w:jc w:val="center"/>
              <w:rPr>
                <w:i/>
                <w:sz w:val="16"/>
                <w:szCs w:val="16"/>
              </w:rPr>
            </w:pPr>
            <w:r>
              <w:rPr>
                <w:sz w:val="20"/>
              </w:rPr>
              <w:t>42.5</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064477" w14:textId="6C5FD990" w:rsidR="00301FDE" w:rsidRPr="00D372FC" w:rsidRDefault="00301FDE" w:rsidP="00301FDE">
            <w:pPr>
              <w:jc w:val="center"/>
              <w:rPr>
                <w:i/>
                <w:sz w:val="16"/>
                <w:szCs w:val="16"/>
              </w:rPr>
            </w:pPr>
            <w:r>
              <w:rPr>
                <w:sz w:val="20"/>
              </w:rPr>
              <w:t>43.6</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7D58BB" w14:textId="342A5B5B" w:rsidR="00301FDE" w:rsidRPr="00D372FC" w:rsidRDefault="00301FDE" w:rsidP="00301FDE">
            <w:pPr>
              <w:jc w:val="center"/>
              <w:rPr>
                <w:i/>
                <w:sz w:val="16"/>
                <w:szCs w:val="16"/>
              </w:rPr>
            </w:pPr>
            <w:r w:rsidRPr="00A253D9">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C1CD0E" w14:textId="7E8B3BB5" w:rsidR="00301FDE" w:rsidRPr="00D372FC" w:rsidRDefault="00301FDE" w:rsidP="00301FDE">
            <w:pPr>
              <w:jc w:val="center"/>
              <w:rPr>
                <w:i/>
                <w:sz w:val="16"/>
                <w:szCs w:val="16"/>
              </w:rPr>
            </w:pPr>
          </w:p>
        </w:tc>
      </w:tr>
      <w:tr w:rsidR="00301FDE" w14:paraId="121D0860" w14:textId="77777777" w:rsidTr="00263F2B">
        <w:tblPrEx>
          <w:tblCellMar>
            <w:left w:w="58" w:type="dxa"/>
            <w:right w:w="58" w:type="dxa"/>
          </w:tblCellMar>
        </w:tblPrEx>
        <w:trPr>
          <w:gridAfter w:val="3"/>
          <w:wAfter w:w="21576" w:type="dxa"/>
          <w:cantSplit/>
          <w:trHeight w:val="288"/>
        </w:trPr>
        <w:tc>
          <w:tcPr>
            <w:tcW w:w="3240" w:type="dxa"/>
            <w:vMerge/>
            <w:tcBorders>
              <w:top w:val="single" w:sz="4" w:space="0" w:color="auto"/>
              <w:left w:val="single" w:sz="4" w:space="0" w:color="auto"/>
              <w:bottom w:val="single" w:sz="4" w:space="0" w:color="auto"/>
              <w:right w:val="single" w:sz="4" w:space="0" w:color="auto"/>
            </w:tcBorders>
            <w:vAlign w:val="center"/>
          </w:tcPr>
          <w:p w14:paraId="3CB8FEF8" w14:textId="77777777" w:rsidR="00301FDE" w:rsidRPr="00D27932" w:rsidRDefault="00301FDE" w:rsidP="00301FDE">
            <w:pPr>
              <w:pStyle w:val="ListParagraph"/>
              <w:ind w:left="342"/>
              <w:rPr>
                <w:rFonts w:eastAsia="Arial Unicode MS"/>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A5579" w14:textId="1AB2F175" w:rsidR="00301FDE" w:rsidRDefault="00301FDE" w:rsidP="00301FDE">
            <w:pPr>
              <w:jc w:val="center"/>
              <w:rPr>
                <w:i/>
                <w:sz w:val="16"/>
                <w:szCs w:val="16"/>
              </w:rPr>
            </w:pPr>
            <w:r>
              <w:rPr>
                <w:i/>
                <w:sz w:val="16"/>
                <w:szCs w:val="16"/>
              </w:rPr>
              <w:t>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DD395" w14:textId="57FF7737" w:rsidR="00301FDE" w:rsidRPr="00D372FC" w:rsidRDefault="00301FDE" w:rsidP="00301FDE">
            <w:pPr>
              <w:jc w:val="center"/>
              <w:rPr>
                <w:i/>
                <w:sz w:val="16"/>
                <w:szCs w:val="16"/>
              </w:rPr>
            </w:pPr>
            <w:r>
              <w:rPr>
                <w:i/>
                <w:sz w:val="16"/>
                <w:szCs w:val="16"/>
              </w:rPr>
              <w:t>NA</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ABFB1" w14:textId="7E8D6BEB" w:rsidR="00301FDE" w:rsidRPr="00D372FC" w:rsidRDefault="00301FDE" w:rsidP="00301FDE">
            <w:pPr>
              <w:jc w:val="center"/>
              <w:rPr>
                <w:i/>
                <w:sz w:val="16"/>
                <w:szCs w:val="16"/>
              </w:rPr>
            </w:pPr>
            <w:r>
              <w:rPr>
                <w:i/>
                <w:sz w:val="16"/>
                <w:szCs w:val="16"/>
              </w:rPr>
              <w:t>42.5</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8A47F" w14:textId="127208A4" w:rsidR="00301FDE" w:rsidRPr="00D372FC" w:rsidRDefault="00301FDE" w:rsidP="00301FDE">
            <w:pPr>
              <w:jc w:val="center"/>
              <w:rPr>
                <w:i/>
                <w:sz w:val="16"/>
                <w:szCs w:val="16"/>
              </w:rPr>
            </w:pPr>
            <w:r>
              <w:rPr>
                <w:i/>
                <w:sz w:val="16"/>
                <w:szCs w:val="16"/>
              </w:rPr>
              <w:t>42.5</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B62A6" w14:textId="3BC22F34" w:rsidR="00301FDE" w:rsidRPr="00D372FC" w:rsidRDefault="00301FDE" w:rsidP="00301FDE">
            <w:pPr>
              <w:jc w:val="center"/>
              <w:rPr>
                <w:i/>
                <w:sz w:val="16"/>
                <w:szCs w:val="16"/>
              </w:rPr>
            </w:pPr>
            <w:r>
              <w:rPr>
                <w:i/>
                <w:sz w:val="16"/>
                <w:szCs w:val="16"/>
              </w:rPr>
              <w:t>43.0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42ADB" w14:textId="65973FAD" w:rsidR="00301FDE" w:rsidRPr="00D372FC" w:rsidRDefault="00301FDE" w:rsidP="00301FDE">
            <w:pPr>
              <w:jc w:val="center"/>
              <w:rPr>
                <w:i/>
                <w:sz w:val="16"/>
                <w:szCs w:val="16"/>
              </w:rPr>
            </w:pPr>
          </w:p>
        </w:tc>
      </w:tr>
      <w:tr w:rsidR="00301FDE" w14:paraId="28098BB3" w14:textId="77777777" w:rsidTr="00263F2B">
        <w:tblPrEx>
          <w:tblCellMar>
            <w:left w:w="58" w:type="dxa"/>
            <w:right w:w="58" w:type="dxa"/>
          </w:tblCellMar>
        </w:tblPrEx>
        <w:trPr>
          <w:gridAfter w:val="3"/>
          <w:wAfter w:w="21576" w:type="dxa"/>
          <w:cantSplit/>
          <w:trHeight w:val="288"/>
        </w:trPr>
        <w:tc>
          <w:tcPr>
            <w:tcW w:w="3240" w:type="dxa"/>
            <w:vMerge w:val="restart"/>
            <w:tcBorders>
              <w:top w:val="single" w:sz="4" w:space="0" w:color="auto"/>
              <w:left w:val="single" w:sz="4" w:space="0" w:color="auto"/>
              <w:bottom w:val="single" w:sz="4" w:space="0" w:color="auto"/>
              <w:right w:val="single" w:sz="4" w:space="0" w:color="auto"/>
            </w:tcBorders>
            <w:vAlign w:val="center"/>
          </w:tcPr>
          <w:p w14:paraId="7ED7052A" w14:textId="488AD6CA" w:rsidR="00301FDE" w:rsidRPr="00D27932" w:rsidRDefault="00301FDE" w:rsidP="00301FDE">
            <w:pPr>
              <w:pStyle w:val="ListParagraph"/>
              <w:ind w:left="342"/>
              <w:rPr>
                <w:rFonts w:eastAsia="Arial Unicode MS"/>
                <w:sz w:val="20"/>
                <w:szCs w:val="20"/>
              </w:rPr>
            </w:pPr>
            <w:r w:rsidRPr="00D27932">
              <w:rPr>
                <w:rFonts w:eastAsia="Arial Unicode MS"/>
                <w:sz w:val="20"/>
                <w:szCs w:val="20"/>
              </w:rPr>
              <w:t xml:space="preserve">Graduate degree graduates per </w:t>
            </w:r>
            <w:r>
              <w:rPr>
                <w:rFonts w:eastAsia="Arial Unicode MS"/>
                <w:sz w:val="20"/>
                <w:szCs w:val="20"/>
              </w:rPr>
              <w:t xml:space="preserve">graduate </w:t>
            </w:r>
            <w:r w:rsidRPr="00D27932">
              <w:rPr>
                <w:rFonts w:eastAsia="Arial Unicode MS"/>
                <w:sz w:val="20"/>
                <w:szCs w:val="20"/>
              </w:rPr>
              <w:t>FTE</w:t>
            </w:r>
            <w:r w:rsidRPr="009B1D76">
              <w:rPr>
                <w:rStyle w:val="EndnoteReference"/>
                <w:rFonts w:eastAsia="Arial Unicode MS"/>
                <w:sz w:val="20"/>
                <w:szCs w:val="20"/>
              </w:rPr>
              <w:endnoteReference w:id="28"/>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EE289A" w14:textId="2B8CCB6C" w:rsidR="00301FDE" w:rsidRDefault="00301FDE" w:rsidP="00301FDE">
            <w:pPr>
              <w:jc w:val="center"/>
              <w:rPr>
                <w:i/>
                <w:sz w:val="16"/>
                <w:szCs w:val="16"/>
              </w:rPr>
            </w:pPr>
            <w:r>
              <w:rPr>
                <w:sz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9857A9" w14:textId="2399BD80" w:rsidR="00301FDE" w:rsidRPr="00D372FC" w:rsidRDefault="00301FDE" w:rsidP="00301FDE">
            <w:pPr>
              <w:jc w:val="center"/>
              <w:rPr>
                <w:i/>
                <w:sz w:val="16"/>
                <w:szCs w:val="16"/>
              </w:rPr>
            </w:pPr>
            <w:r>
              <w:rPr>
                <w:sz w:val="20"/>
              </w:rPr>
              <w:t>42.7</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67E5AE" w14:textId="5C07A8A5" w:rsidR="00301FDE" w:rsidRPr="00D372FC" w:rsidRDefault="00301FDE" w:rsidP="00301FDE">
            <w:pPr>
              <w:jc w:val="center"/>
              <w:rPr>
                <w:i/>
                <w:sz w:val="16"/>
                <w:szCs w:val="16"/>
              </w:rPr>
            </w:pPr>
            <w:r w:rsidRPr="00FD608C">
              <w:rPr>
                <w:sz w:val="20"/>
                <w:szCs w:val="16"/>
              </w:rPr>
              <w:t>45.3</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E324A4" w14:textId="2CDDB748" w:rsidR="00301FDE" w:rsidRPr="00D372FC" w:rsidRDefault="00301FDE" w:rsidP="00301FDE">
            <w:pPr>
              <w:jc w:val="center"/>
              <w:rPr>
                <w:i/>
                <w:sz w:val="16"/>
                <w:szCs w:val="16"/>
              </w:rPr>
            </w:pPr>
            <w:r>
              <w:rPr>
                <w:sz w:val="20"/>
                <w:szCs w:val="16"/>
              </w:rPr>
              <w:t>48.8</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019F04" w14:textId="50CD09DD" w:rsidR="00301FDE" w:rsidRPr="00FD608C" w:rsidRDefault="00301FDE" w:rsidP="00301FDE">
            <w:pPr>
              <w:jc w:val="center"/>
              <w:rPr>
                <w:sz w:val="16"/>
                <w:szCs w:val="16"/>
              </w:rPr>
            </w:pPr>
            <w:r w:rsidRPr="00A253D9">
              <w:rPr>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3E2475" w14:textId="33DCB0D5" w:rsidR="00301FDE" w:rsidRPr="00D372FC" w:rsidRDefault="00301FDE" w:rsidP="00301FDE">
            <w:pPr>
              <w:jc w:val="center"/>
              <w:rPr>
                <w:i/>
                <w:sz w:val="16"/>
                <w:szCs w:val="16"/>
              </w:rPr>
            </w:pPr>
          </w:p>
        </w:tc>
      </w:tr>
      <w:tr w:rsidR="00301FDE" w14:paraId="03DC4627" w14:textId="77777777" w:rsidTr="00263F2B">
        <w:tblPrEx>
          <w:tblCellMar>
            <w:left w:w="58" w:type="dxa"/>
            <w:right w:w="58" w:type="dxa"/>
          </w:tblCellMar>
        </w:tblPrEx>
        <w:trPr>
          <w:gridAfter w:val="3"/>
          <w:wAfter w:w="21576" w:type="dxa"/>
          <w:cantSplit/>
          <w:trHeight w:val="288"/>
        </w:trPr>
        <w:tc>
          <w:tcPr>
            <w:tcW w:w="3240" w:type="dxa"/>
            <w:vMerge/>
            <w:tcBorders>
              <w:top w:val="single" w:sz="4" w:space="0" w:color="auto"/>
              <w:left w:val="single" w:sz="4" w:space="0" w:color="auto"/>
              <w:bottom w:val="single" w:sz="4" w:space="0" w:color="auto"/>
              <w:right w:val="single" w:sz="4" w:space="0" w:color="auto"/>
            </w:tcBorders>
            <w:vAlign w:val="center"/>
          </w:tcPr>
          <w:p w14:paraId="11411AC9" w14:textId="77777777" w:rsidR="00301FDE" w:rsidRDefault="00301FDE" w:rsidP="00301FDE">
            <w:pPr>
              <w:rPr>
                <w:bCs/>
                <w:sz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D52CF" w14:textId="204B6670" w:rsidR="00301FDE" w:rsidRDefault="00301FDE" w:rsidP="00301FDE">
            <w:pPr>
              <w:jc w:val="center"/>
              <w:rPr>
                <w:i/>
                <w:sz w:val="16"/>
                <w:szCs w:val="16"/>
              </w:rPr>
            </w:pPr>
            <w:r>
              <w:rPr>
                <w:i/>
                <w:sz w:val="16"/>
                <w:szCs w:val="16"/>
              </w:rPr>
              <w:t>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E951B" w14:textId="650052C7" w:rsidR="00301FDE" w:rsidRPr="00D372FC" w:rsidRDefault="00301FDE" w:rsidP="00301FDE">
            <w:pPr>
              <w:jc w:val="center"/>
              <w:rPr>
                <w:i/>
                <w:sz w:val="16"/>
                <w:szCs w:val="16"/>
              </w:rPr>
            </w:pPr>
            <w:r>
              <w:rPr>
                <w:i/>
                <w:sz w:val="16"/>
                <w:szCs w:val="16"/>
              </w:rPr>
              <w:t>NA</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B18B5" w14:textId="587480EC" w:rsidR="00301FDE" w:rsidRPr="00D372FC" w:rsidRDefault="00301FDE" w:rsidP="00301FDE">
            <w:pPr>
              <w:jc w:val="center"/>
              <w:rPr>
                <w:i/>
                <w:sz w:val="16"/>
                <w:szCs w:val="16"/>
              </w:rPr>
            </w:pPr>
            <w:r>
              <w:rPr>
                <w:i/>
                <w:sz w:val="16"/>
                <w:szCs w:val="16"/>
              </w:rPr>
              <w:t>44.0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FA0CF" w14:textId="0882B567" w:rsidR="00301FDE" w:rsidRPr="00D372FC" w:rsidRDefault="00301FDE" w:rsidP="00301FDE">
            <w:pPr>
              <w:jc w:val="center"/>
              <w:rPr>
                <w:i/>
                <w:sz w:val="16"/>
                <w:szCs w:val="16"/>
              </w:rPr>
            </w:pPr>
            <w:r>
              <w:rPr>
                <w:i/>
                <w:sz w:val="16"/>
                <w:szCs w:val="16"/>
              </w:rPr>
              <w:t>44.0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902DC" w14:textId="1975F7D4" w:rsidR="00301FDE" w:rsidRPr="00D372FC" w:rsidRDefault="00301FDE" w:rsidP="00301FDE">
            <w:pPr>
              <w:jc w:val="center"/>
              <w:rPr>
                <w:i/>
                <w:sz w:val="16"/>
                <w:szCs w:val="16"/>
              </w:rPr>
            </w:pPr>
            <w:r>
              <w:rPr>
                <w:i/>
                <w:sz w:val="16"/>
                <w:szCs w:val="16"/>
              </w:rPr>
              <w:t>46.0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F8DB5" w14:textId="51AF9916" w:rsidR="00301FDE" w:rsidRPr="00D372FC" w:rsidRDefault="00301FDE" w:rsidP="00301FDE">
            <w:pPr>
              <w:jc w:val="center"/>
              <w:rPr>
                <w:i/>
                <w:sz w:val="16"/>
                <w:szCs w:val="16"/>
              </w:rPr>
            </w:pPr>
          </w:p>
        </w:tc>
      </w:tr>
    </w:tbl>
    <w:p w14:paraId="13A42A38" w14:textId="77777777" w:rsidR="00843C51" w:rsidRDefault="00843C51" w:rsidP="00B043BB"/>
    <w:p w14:paraId="72A23684" w14:textId="5621D80D" w:rsidR="0062679A" w:rsidRPr="00E82F3D" w:rsidRDefault="007D0379" w:rsidP="0062679A">
      <w:pPr>
        <w:jc w:val="both"/>
        <w:rPr>
          <w:b/>
          <w:bCs/>
          <w:i/>
        </w:rPr>
      </w:pPr>
      <w:r w:rsidRPr="00BE41B3">
        <w:rPr>
          <w:b/>
          <w:bCs/>
        </w:rPr>
        <w:t>Performance Measure Explanatory Note</w:t>
      </w:r>
      <w:r>
        <w:rPr>
          <w:b/>
          <w:bCs/>
        </w:rPr>
        <w:t>s</w:t>
      </w:r>
      <w:r w:rsidR="0062679A" w:rsidRPr="00E82F3D">
        <w:rPr>
          <w:b/>
          <w:bCs/>
        </w:rPr>
        <w:t xml:space="preserve"> </w:t>
      </w:r>
    </w:p>
    <w:p w14:paraId="1DFA96FD" w14:textId="77777777" w:rsidR="00A50BC7" w:rsidRPr="009B1D76" w:rsidRDefault="00A50BC7" w:rsidP="00E80EE2">
      <w:pPr>
        <w:pStyle w:val="BodyText"/>
        <w:rPr>
          <w:szCs w:val="18"/>
        </w:rPr>
      </w:pPr>
      <w:r w:rsidRPr="009B1D76">
        <w:rPr>
          <w:szCs w:val="18"/>
        </w:rPr>
        <w:t>*Measure required by SBOE</w:t>
      </w:r>
    </w:p>
    <w:sectPr w:rsidR="00A50BC7" w:rsidRPr="009B1D76" w:rsidSect="00EC611C">
      <w:headerReference w:type="default" r:id="rId8"/>
      <w:footerReference w:type="default" r:id="rId9"/>
      <w:endnotePr>
        <w:numFmt w:val="decimal"/>
      </w:endnotePr>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42037" w14:textId="77777777" w:rsidR="0058159D" w:rsidRDefault="0058159D">
      <w:r>
        <w:separator/>
      </w:r>
    </w:p>
  </w:endnote>
  <w:endnote w:type="continuationSeparator" w:id="0">
    <w:p w14:paraId="35212138" w14:textId="77777777" w:rsidR="0058159D" w:rsidRDefault="0058159D">
      <w:r>
        <w:continuationSeparator/>
      </w:r>
    </w:p>
  </w:endnote>
  <w:endnote w:id="1">
    <w:p w14:paraId="3CBCED9D" w14:textId="77777777" w:rsidR="0058159D" w:rsidRDefault="0058159D" w:rsidP="00551826">
      <w:pPr>
        <w:pStyle w:val="EndnoteText"/>
        <w:jc w:val="both"/>
      </w:pPr>
      <w:r>
        <w:rPr>
          <w:rStyle w:val="EndnoteReference"/>
        </w:rPr>
        <w:endnoteRef/>
      </w:r>
      <w:r>
        <w:t xml:space="preserve"> </w:t>
      </w:r>
      <w:r>
        <w:rPr>
          <w:color w:val="222222"/>
          <w:shd w:val="clear" w:color="auto" w:fill="FFFFFF"/>
        </w:rPr>
        <w:t xml:space="preserve">Prior Period Adjustment – </w:t>
      </w:r>
      <w:r w:rsidRPr="00EA0E95">
        <w:rPr>
          <w:color w:val="222222"/>
          <w:shd w:val="clear" w:color="auto" w:fill="FFFFFF"/>
        </w:rPr>
        <w:t>GASB Statement No. 75, “Accounting and Financial Reporting for Post-Employment Benefit Plans Other Than Pension Plans (OPEB).” The June 30, 2018 financial statements have been adjusted to properly reflect the University’s proportionate share of the SLIRF asset and activity. The opening balance of Net Position was adjusted to reflect the SLIRF in fiscal 2018.</w:t>
      </w:r>
    </w:p>
    <w:p w14:paraId="36F47707" w14:textId="77777777" w:rsidR="0058159D" w:rsidRDefault="0058159D" w:rsidP="00551826">
      <w:pPr>
        <w:pStyle w:val="EndnoteText"/>
        <w:jc w:val="both"/>
      </w:pPr>
    </w:p>
  </w:endnote>
  <w:endnote w:id="2">
    <w:p w14:paraId="1241C2D0" w14:textId="67038E91" w:rsidR="00811940" w:rsidRDefault="00811940" w:rsidP="00BE44E2">
      <w:pPr>
        <w:pStyle w:val="EndnoteText"/>
        <w:jc w:val="both"/>
      </w:pPr>
      <w:r w:rsidRPr="009B1D76">
        <w:rPr>
          <w:rStyle w:val="EndnoteReference"/>
        </w:rPr>
        <w:endnoteRef/>
      </w:r>
      <w:r w:rsidRPr="009B1D76">
        <w:t xml:space="preserve"> </w:t>
      </w:r>
      <w:r>
        <w:t>Student credit hours (SCH) earned are based on an end-of-term snapshot. Due to the snapshot timing, some earned credits (e.g., concurrent enrollment credits) may not be included in the total, resulting in the ratio of earned to attempted credits being underreported.</w:t>
      </w:r>
    </w:p>
    <w:p w14:paraId="7FDB628D" w14:textId="77777777" w:rsidR="00811940" w:rsidRPr="009B1D76" w:rsidRDefault="00811940" w:rsidP="00BE44E2">
      <w:pPr>
        <w:pStyle w:val="EndnoteText"/>
        <w:jc w:val="both"/>
      </w:pPr>
    </w:p>
  </w:endnote>
  <w:endnote w:id="3">
    <w:p w14:paraId="2E0C8929" w14:textId="75B0D213" w:rsidR="00811940" w:rsidRDefault="00811940" w:rsidP="00153ACC">
      <w:pPr>
        <w:pStyle w:val="EndnoteText"/>
        <w:jc w:val="both"/>
      </w:pPr>
      <w:r w:rsidRPr="009B1D76">
        <w:rPr>
          <w:rStyle w:val="EndnoteReference"/>
        </w:rPr>
        <w:endnoteRef/>
      </w:r>
      <w:r w:rsidRPr="009B1D76">
        <w:t xml:space="preserve"> Dual enrollment credits and students are measures of activity that occur over the entire year at multiple locations using various delivery methods. When providing measures of this activity, counts over the full year (instead of by term) provide the most complete picture of the number of unduplicated students that are enrolled and the number of credits earned.</w:t>
      </w:r>
      <w:r>
        <w:t xml:space="preserve"> The credits and students align to the totals in the annual Dual Credit Report.</w:t>
      </w:r>
    </w:p>
    <w:p w14:paraId="31F6B81F" w14:textId="77777777" w:rsidR="00811940" w:rsidRPr="009B1D76" w:rsidRDefault="00811940" w:rsidP="00153ACC">
      <w:pPr>
        <w:pStyle w:val="EndnoteText"/>
        <w:jc w:val="both"/>
      </w:pPr>
    </w:p>
  </w:endnote>
  <w:endnote w:id="4">
    <w:p w14:paraId="61024903" w14:textId="06BB2368" w:rsidR="00811940" w:rsidRDefault="00811940" w:rsidP="00153ACC">
      <w:pPr>
        <w:pStyle w:val="EndnoteText"/>
        <w:jc w:val="both"/>
      </w:pPr>
      <w:r w:rsidRPr="009B1D76">
        <w:rPr>
          <w:rStyle w:val="EndnoteReference"/>
        </w:rPr>
        <w:endnoteRef/>
      </w:r>
      <w:r w:rsidRPr="009B1D76">
        <w:t xml:space="preserve"> Distance Education is characterized by: the use of one or more technologies to deliver instruction to students who are separated from the instructor and to support regular and substantive interaction between the students and the instructor, either synchronously or asynchronously. (Summarized from the language in the Higher Education Opportunity Act.) Courses that are taught at a distance using educational technology are referred to as dis</w:t>
      </w:r>
      <w:r>
        <w:t xml:space="preserve">tance education </w:t>
      </w:r>
      <w:r w:rsidRPr="009B1D76">
        <w:t>classes</w:t>
      </w:r>
      <w:r>
        <w:t>; includes course modes of Internet-E, Online, and Remote (which was introduced in 2020-21).</w:t>
      </w:r>
    </w:p>
    <w:p w14:paraId="2FB7EA6F" w14:textId="77777777" w:rsidR="00811940" w:rsidRPr="009B1D76" w:rsidRDefault="00811940" w:rsidP="00153ACC">
      <w:pPr>
        <w:pStyle w:val="EndnoteText"/>
        <w:jc w:val="both"/>
      </w:pPr>
    </w:p>
  </w:endnote>
  <w:endnote w:id="5">
    <w:p w14:paraId="3DA95ED8" w14:textId="5964115C" w:rsidR="00811940" w:rsidRDefault="00811940" w:rsidP="00153ACC">
      <w:pPr>
        <w:pStyle w:val="EndnoteText"/>
        <w:jc w:val="both"/>
      </w:pPr>
      <w:r w:rsidRPr="009B1D76">
        <w:rPr>
          <w:rStyle w:val="EndnoteReference"/>
        </w:rPr>
        <w:endnoteRef/>
      </w:r>
      <w:r w:rsidRPr="009B1D76">
        <w:t xml:space="preserve"> The count of awards reflects data submitted to IPEDS. Bachelor’s awards and others include first plus second major. These figures are greater than the total number of graduating students because some graduating students receive multiple awards. 2014-15 was the first year that Boise State transcripted all undergraduate certificates and, therefore, began reporting these to IPEDS in that year.</w:t>
      </w:r>
      <w:r>
        <w:t xml:space="preserve"> Data presented for 2020-2021 are preliminary as they have not yet been reported to IPEDS.</w:t>
      </w:r>
    </w:p>
    <w:p w14:paraId="25A858FD" w14:textId="77777777" w:rsidR="00811940" w:rsidRPr="009B1D76" w:rsidRDefault="00811940" w:rsidP="00153ACC">
      <w:pPr>
        <w:pStyle w:val="EndnoteText"/>
        <w:jc w:val="both"/>
      </w:pPr>
    </w:p>
  </w:endnote>
  <w:endnote w:id="6">
    <w:p w14:paraId="466AB78E" w14:textId="4508FC12" w:rsidR="00811940" w:rsidRDefault="00811940" w:rsidP="00153ACC">
      <w:pPr>
        <w:pStyle w:val="EndnoteText"/>
        <w:jc w:val="both"/>
      </w:pPr>
      <w:r w:rsidRPr="009B1D76">
        <w:rPr>
          <w:rStyle w:val="EndnoteReference"/>
        </w:rPr>
        <w:endnoteRef/>
      </w:r>
      <w:r w:rsidRPr="009B1D76">
        <w:t xml:space="preserve"> Note that although the Education Specialist degree is a distinct degree type, it is categorized by IPEDS as a “post-master’s certificate.” Boise State awarded the first Ed.S. degrees in 2015-16.</w:t>
      </w:r>
    </w:p>
    <w:p w14:paraId="07108DAB" w14:textId="77777777" w:rsidR="00811940" w:rsidRPr="009B1D76" w:rsidRDefault="00811940" w:rsidP="00153ACC">
      <w:pPr>
        <w:pStyle w:val="EndnoteText"/>
        <w:jc w:val="both"/>
      </w:pPr>
    </w:p>
  </w:endnote>
  <w:endnote w:id="7">
    <w:p w14:paraId="21178CC0" w14:textId="77777777" w:rsidR="0058159D" w:rsidRDefault="0058159D" w:rsidP="00153ACC">
      <w:pPr>
        <w:pStyle w:val="EndnoteText"/>
        <w:jc w:val="both"/>
      </w:pPr>
      <w:r w:rsidRPr="009B1D76">
        <w:rPr>
          <w:rStyle w:val="EndnoteReference"/>
        </w:rPr>
        <w:endnoteRef/>
      </w:r>
      <w:r w:rsidRPr="009B1D76">
        <w:t xml:space="preserve"> “Sponsored Projects” refers to externally funded projects of all types (research, instructional, and public service) funded from all sources (federal, state, local, and private).</w:t>
      </w:r>
    </w:p>
    <w:p w14:paraId="1F7F5AFF" w14:textId="77777777" w:rsidR="0058159D" w:rsidRPr="009B1D76" w:rsidRDefault="0058159D" w:rsidP="00153ACC">
      <w:pPr>
        <w:pStyle w:val="EndnoteText"/>
        <w:jc w:val="both"/>
      </w:pPr>
    </w:p>
  </w:endnote>
  <w:endnote w:id="8">
    <w:p w14:paraId="4A08196E" w14:textId="746A072C" w:rsidR="00811940" w:rsidRDefault="00811940" w:rsidP="00153ACC">
      <w:pPr>
        <w:pStyle w:val="EndnoteText"/>
        <w:jc w:val="both"/>
      </w:pPr>
      <w:r w:rsidRPr="00DA721A">
        <w:rPr>
          <w:rStyle w:val="EndnoteReference"/>
        </w:rPr>
        <w:endnoteRef/>
      </w:r>
      <w:r w:rsidRPr="00DA721A">
        <w:t xml:space="preserve"> Reflects the percentage of research grants </w:t>
      </w:r>
      <w:r w:rsidRPr="00DA721A">
        <w:rPr>
          <w:color w:val="222222"/>
          <w:shd w:val="clear" w:color="auto" w:fill="FFFFFF"/>
        </w:rPr>
        <w:t>that have investigators from more than one department. Includes only initial awards in the Research-Basic and Research-Applied categories.</w:t>
      </w:r>
    </w:p>
    <w:p w14:paraId="33C47956" w14:textId="77777777" w:rsidR="00811940" w:rsidRPr="009B1D76" w:rsidRDefault="00811940" w:rsidP="00153ACC">
      <w:pPr>
        <w:pStyle w:val="EndnoteText"/>
        <w:jc w:val="both"/>
      </w:pPr>
    </w:p>
  </w:endnote>
  <w:endnote w:id="9">
    <w:p w14:paraId="26B6DBB5" w14:textId="0F4EDE66" w:rsidR="0058159D" w:rsidRDefault="0058159D" w:rsidP="00153ACC">
      <w:pPr>
        <w:pStyle w:val="EndnoteText"/>
        <w:jc w:val="both"/>
      </w:pPr>
      <w:r w:rsidRPr="009B1D76">
        <w:rPr>
          <w:rStyle w:val="EndnoteReference"/>
        </w:rPr>
        <w:endnoteRef/>
      </w:r>
      <w:r w:rsidRPr="009B1D76">
        <w:t xml:space="preserve"> The distinct (</w:t>
      </w:r>
      <w:r>
        <w:t xml:space="preserve">unduplicated) graduates </w:t>
      </w:r>
      <w:r>
        <w:t>reflects completers by award level as</w:t>
      </w:r>
      <w:r w:rsidRPr="009B1D76">
        <w:t xml:space="preserve"> submitted to IPEDS. The total of distinct graduates does not equal the sum of the graduates at each level because there is some duplication of individuals between levels (e.g., earning both a graduate certificate and a master’s degree). </w:t>
      </w:r>
      <w:r>
        <w:t>Data presented for 2020-21 are preliminary as they have not yet been reported to IPEDS.</w:t>
      </w:r>
    </w:p>
    <w:p w14:paraId="0FE1868D" w14:textId="77777777" w:rsidR="0058159D" w:rsidRPr="009B1D76" w:rsidRDefault="0058159D" w:rsidP="00153ACC">
      <w:pPr>
        <w:pStyle w:val="EndnoteText"/>
        <w:jc w:val="both"/>
      </w:pPr>
    </w:p>
  </w:endnote>
  <w:endnote w:id="10">
    <w:p w14:paraId="29D2105D" w14:textId="68ED4C75" w:rsidR="00811940" w:rsidRDefault="00811940" w:rsidP="00153ACC">
      <w:pPr>
        <w:pStyle w:val="EndnoteText"/>
        <w:jc w:val="both"/>
      </w:pPr>
      <w:r w:rsidRPr="009B1D76">
        <w:rPr>
          <w:rStyle w:val="EndnoteReference"/>
        </w:rPr>
        <w:endnoteRef/>
      </w:r>
      <w:r w:rsidRPr="009B1D76">
        <w:t xml:space="preserve"> Retention</w:t>
      </w:r>
      <w:r>
        <w:t xml:space="preserve"> is a measure of entering cohorts returning to enroll one year later</w:t>
      </w:r>
      <w:r w:rsidRPr="009B1D76">
        <w:t xml:space="preserve"> </w:t>
      </w:r>
      <w:r>
        <w:t xml:space="preserve">(e.g., </w:t>
      </w:r>
      <w:r w:rsidRPr="009B1D76">
        <w:t>the percent of the Fall 201</w:t>
      </w:r>
      <w:r>
        <w:t>8</w:t>
      </w:r>
      <w:r w:rsidRPr="009B1D76">
        <w:t xml:space="preserve"> cohort of first time, full-time baccalaureate-seeking freshmen that return to enroll in Fall of 201</w:t>
      </w:r>
      <w:r>
        <w:t>9)</w:t>
      </w:r>
      <w:r w:rsidRPr="009B1D76">
        <w:t xml:space="preserve">. </w:t>
      </w:r>
      <w:r>
        <w:t>Retention rate is calculated in a manner consistent with IPEDS.</w:t>
      </w:r>
      <w:r w:rsidRPr="009B1D76">
        <w:t xml:space="preserve"> The four columns of data </w:t>
      </w:r>
      <w:r>
        <w:t>represent numbers from Fall 2017</w:t>
      </w:r>
      <w:r w:rsidRPr="009B1D76">
        <w:t xml:space="preserve"> through Fall 20</w:t>
      </w:r>
      <w:r>
        <w:t>20 cohorts, with the Fall 2020 cohort data being a preliminary estimate as of August 3, 2021.</w:t>
      </w:r>
    </w:p>
    <w:p w14:paraId="59F38C96" w14:textId="77777777" w:rsidR="00811940" w:rsidRPr="009B1D76" w:rsidRDefault="00811940" w:rsidP="00153ACC">
      <w:pPr>
        <w:pStyle w:val="EndnoteText"/>
        <w:jc w:val="both"/>
      </w:pPr>
    </w:p>
  </w:endnote>
  <w:endnote w:id="11">
    <w:p w14:paraId="3A8E60EE" w14:textId="274D4D1C" w:rsidR="00811940" w:rsidRDefault="00811940" w:rsidP="00153ACC">
      <w:pPr>
        <w:pStyle w:val="EndnoteText"/>
        <w:tabs>
          <w:tab w:val="left" w:pos="2700"/>
        </w:tabs>
        <w:jc w:val="both"/>
      </w:pPr>
      <w:r w:rsidRPr="009B1D76">
        <w:rPr>
          <w:rStyle w:val="EndnoteReference"/>
        </w:rPr>
        <w:endnoteRef/>
      </w:r>
      <w:r w:rsidRPr="009B1D76">
        <w:t xml:space="preserve"> </w:t>
      </w:r>
      <w:r>
        <w:t>Four</w:t>
      </w:r>
      <w:r w:rsidRPr="009B1D76">
        <w:t xml:space="preserve">-year graduation rate </w:t>
      </w:r>
      <w:r>
        <w:t xml:space="preserve">is a measure of entering cohorts graduating within a four-year time frame (e.g., </w:t>
      </w:r>
      <w:r w:rsidRPr="009B1D76">
        <w:t>the percent of the Fall 201</w:t>
      </w:r>
      <w:r>
        <w:t>5</w:t>
      </w:r>
      <w:r w:rsidRPr="009B1D76">
        <w:t xml:space="preserve"> cohort of first-time, full-time baccalaureate-seeking freshmen that graduated before the beginning of the fall 201</w:t>
      </w:r>
      <w:r>
        <w:t>9</w:t>
      </w:r>
      <w:r w:rsidRPr="009B1D76">
        <w:t xml:space="preserve"> semester</w:t>
      </w:r>
      <w:r>
        <w:t xml:space="preserve">). Graduation rate is calculated in a manner consistent with IPEDS. </w:t>
      </w:r>
      <w:r w:rsidRPr="009B1D76">
        <w:t>The four columns of data represent the rates for the Fall 20</w:t>
      </w:r>
      <w:r>
        <w:t>14</w:t>
      </w:r>
      <w:r w:rsidRPr="009B1D76">
        <w:t xml:space="preserve"> through Fall 201</w:t>
      </w:r>
      <w:r>
        <w:t>7</w:t>
      </w:r>
      <w:r w:rsidRPr="009B1D76">
        <w:t xml:space="preserve"> cohorts</w:t>
      </w:r>
      <w:r>
        <w:t>, with the Fall 2017 cohort data being a preliminary estimate as of August 3, 2021.</w:t>
      </w:r>
    </w:p>
    <w:p w14:paraId="03294E0D" w14:textId="77777777" w:rsidR="00811940" w:rsidRPr="009B1D76" w:rsidRDefault="00811940" w:rsidP="00153ACC">
      <w:pPr>
        <w:pStyle w:val="EndnoteText"/>
        <w:jc w:val="both"/>
      </w:pPr>
    </w:p>
  </w:endnote>
  <w:endnote w:id="12">
    <w:p w14:paraId="46C59004" w14:textId="0974D61F" w:rsidR="00811940" w:rsidRDefault="00811940" w:rsidP="00153ACC">
      <w:pPr>
        <w:pStyle w:val="EndnoteText"/>
        <w:jc w:val="both"/>
      </w:pPr>
      <w:r w:rsidRPr="009B1D76">
        <w:rPr>
          <w:rStyle w:val="EndnoteReference"/>
        </w:rPr>
        <w:endnoteRef/>
      </w:r>
      <w:r w:rsidRPr="009B1D76">
        <w:t xml:space="preserve"> Six-year graduation rate </w:t>
      </w:r>
      <w:r>
        <w:t xml:space="preserve">is a measure of entering cohorts graduating within a six-year time frame (e.g., </w:t>
      </w:r>
      <w:r w:rsidRPr="009B1D76">
        <w:t>the percent of the Fall 201</w:t>
      </w:r>
      <w:r>
        <w:t>3</w:t>
      </w:r>
      <w:r w:rsidRPr="009B1D76">
        <w:t xml:space="preserve"> cohort of first-time, full-time baccalaureate-seeking freshmen that graduated before the beginning of the fall 201</w:t>
      </w:r>
      <w:r>
        <w:t>9</w:t>
      </w:r>
      <w:r w:rsidRPr="009B1D76">
        <w:t xml:space="preserve"> semester</w:t>
      </w:r>
      <w:r>
        <w:t xml:space="preserve">). Graduation rate is calculated in a manner consistent with IPEDS. </w:t>
      </w:r>
      <w:r w:rsidRPr="009B1D76">
        <w:t>The four columns of data represent the rates for the Fall 20</w:t>
      </w:r>
      <w:r>
        <w:t>12</w:t>
      </w:r>
      <w:r w:rsidRPr="009B1D76">
        <w:t xml:space="preserve"> through Fall 201</w:t>
      </w:r>
      <w:r>
        <w:t>5</w:t>
      </w:r>
      <w:r w:rsidRPr="009B1D76">
        <w:t xml:space="preserve"> cohorts</w:t>
      </w:r>
      <w:r>
        <w:t>, with the Fall 2015 cohort data being a preliminary estimate as of August 3, 2021.</w:t>
      </w:r>
    </w:p>
    <w:p w14:paraId="2432B68E" w14:textId="77777777" w:rsidR="00811940" w:rsidRPr="009B1D76" w:rsidRDefault="00811940" w:rsidP="00153ACC">
      <w:pPr>
        <w:pStyle w:val="EndnoteText"/>
        <w:jc w:val="both"/>
      </w:pPr>
    </w:p>
  </w:endnote>
  <w:endnote w:id="13">
    <w:p w14:paraId="7C7EEFE0" w14:textId="536CDB31" w:rsidR="00811940" w:rsidRDefault="00811940" w:rsidP="00153ACC">
      <w:pPr>
        <w:pStyle w:val="EndnoteText"/>
        <w:jc w:val="both"/>
      </w:pPr>
      <w:r w:rsidRPr="009B1D76">
        <w:rPr>
          <w:rStyle w:val="EndnoteReference"/>
        </w:rPr>
        <w:endnoteRef/>
      </w:r>
      <w:r w:rsidRPr="009B1D76">
        <w:t xml:space="preserve"> </w:t>
      </w:r>
      <w:r w:rsidRPr="008B373C">
        <w:t>SBOE required metric: timely degree completion. Percent of undergraduate, degree-seeking students completing 30 or more credits across one year (defined as summer, fall, and spring term). Based on end-of-term data version. Degree-seeking status is determined as of fall semester unless the student was not enrolled in fall, in which case summer is used. Spring term is used to determine degree-seeking status of students enrolled only for the spring term. Excludes students who earned degrees during the reported year and who did not reach the 30-credit threshold. Includes students meeting the criteria regardless of full- or part-time status and the number of terms enrolled in that year. Students enrolled part-time or for a partial year, especially for only one term, would not be expected to complete 30 credits; thus, the denominator may be inflated resulting in a lower percentage reported.</w:t>
      </w:r>
      <w:r>
        <w:t xml:space="preserve"> </w:t>
      </w:r>
      <w:r w:rsidRPr="00B60369">
        <w:t>Note: the target presented for FY19 was set and reported in the spring 2018 BSU Strategic Plan Report. Since that time, the methodology for this measure has been clarified and refined by OSBE. The FY20 target follows from the new methodology, thus, replacing the prior target shown for FY19.</w:t>
      </w:r>
      <w:r>
        <w:t xml:space="preserve"> All years of data reported reflect the updated methodology.</w:t>
      </w:r>
    </w:p>
    <w:p w14:paraId="2CC557C4" w14:textId="77777777" w:rsidR="00811940" w:rsidRPr="009B1D76" w:rsidRDefault="00811940" w:rsidP="00153ACC">
      <w:pPr>
        <w:pStyle w:val="EndnoteText"/>
        <w:jc w:val="both"/>
      </w:pPr>
    </w:p>
  </w:endnote>
  <w:endnote w:id="14">
    <w:p w14:paraId="1A4ED2D3" w14:textId="74E3C546" w:rsidR="00811940" w:rsidRDefault="00811940" w:rsidP="00153ACC">
      <w:pPr>
        <w:pStyle w:val="EndnoteText"/>
        <w:jc w:val="both"/>
      </w:pPr>
      <w:r w:rsidRPr="009B1D76">
        <w:rPr>
          <w:rStyle w:val="EndnoteReference"/>
        </w:rPr>
        <w:endnoteRef/>
      </w:r>
      <w:r w:rsidRPr="009B1D76">
        <w:t xml:space="preserve"> </w:t>
      </w:r>
      <w:r w:rsidRPr="008B373C">
        <w:t xml:space="preserve">SBOE required metric: math pathways. Based on cohorts of incoming first-time bachelor degree seeking </w:t>
      </w:r>
      <w:r>
        <w:t>students</w:t>
      </w:r>
      <w:r w:rsidRPr="008B373C">
        <w:t xml:space="preserve"> (full- plus part-time) who complete a gateway course (Math 123, 143, 157, or 2</w:t>
      </w:r>
      <w:r>
        <w:t>54</w:t>
      </w:r>
      <w:r w:rsidRPr="008B373C">
        <w:t>) or higher within two years (e.g., s</w:t>
      </w:r>
      <w:r>
        <w:t>tudents who entered in fall 2017</w:t>
      </w:r>
      <w:r w:rsidRPr="008B373C">
        <w:t xml:space="preserve"> and completed a gateway math or </w:t>
      </w:r>
      <w:r>
        <w:t>higher by the end of summer 2019 are reported for FY19</w:t>
      </w:r>
      <w:r w:rsidRPr="008B373C">
        <w:t>)</w:t>
      </w:r>
      <w:r w:rsidRPr="009B1D76">
        <w:t>.</w:t>
      </w:r>
      <w:r>
        <w:t xml:space="preserve"> </w:t>
      </w:r>
      <w:r w:rsidRPr="00B60369">
        <w:t>Note: the target presented for FY19 was set and reported in the spring 2018 BSU Strategic Plan Report. Since that time, the methodology for this measure has been clarified and refined by OSBE. The FY20 target follows from the new methodology, thus, replacing the prior target shown for FY19.</w:t>
      </w:r>
      <w:r>
        <w:t xml:space="preserve"> All years of data reported reflect the updated methodology.</w:t>
      </w:r>
    </w:p>
    <w:p w14:paraId="7041A652" w14:textId="77777777" w:rsidR="00811940" w:rsidRPr="009B1D76" w:rsidRDefault="00811940" w:rsidP="00153ACC">
      <w:pPr>
        <w:pStyle w:val="EndnoteText"/>
        <w:jc w:val="both"/>
      </w:pPr>
    </w:p>
  </w:endnote>
  <w:endnote w:id="15">
    <w:p w14:paraId="327F02FF" w14:textId="6A56BE47" w:rsidR="00811940" w:rsidRPr="00AA36BB" w:rsidRDefault="00811940" w:rsidP="00153ACC">
      <w:pPr>
        <w:pStyle w:val="EndnoteText"/>
        <w:jc w:val="both"/>
      </w:pPr>
      <w:r w:rsidRPr="00AA36BB">
        <w:rPr>
          <w:rStyle w:val="EndnoteReference"/>
        </w:rPr>
        <w:endnoteRef/>
      </w:r>
      <w:r w:rsidRPr="00AA36BB">
        <w:t xml:space="preserve"> SBOE required metric: reform remediation. Percent of undergraduate, degree-seeking stude</w:t>
      </w:r>
      <w:r>
        <w:t xml:space="preserve">nts who took a remedial course </w:t>
      </w:r>
      <w:r w:rsidRPr="00AA36BB">
        <w:t>and completed a subsequent credit-bearing, gateway, course within one year of completing the remedial course</w:t>
      </w:r>
      <w:r>
        <w:t xml:space="preserve">. Boise State uses a corequisite model for English, therefore, this measure is calculated as the number of </w:t>
      </w:r>
      <w:r w:rsidRPr="00AA36BB">
        <w:t>students who t</w:t>
      </w:r>
      <w:r>
        <w:t>ook and completed English 101P in the given academic year</w:t>
      </w:r>
      <w:r w:rsidRPr="00AA36BB">
        <w:t>.</w:t>
      </w:r>
      <w:r>
        <w:t xml:space="preserve"> </w:t>
      </w:r>
      <w:r w:rsidRPr="00B60369">
        <w:t xml:space="preserve">Note: the </w:t>
      </w:r>
      <w:r>
        <w:t xml:space="preserve">data and </w:t>
      </w:r>
      <w:r w:rsidRPr="00B60369">
        <w:t>target</w:t>
      </w:r>
      <w:r>
        <w:t>s do match those previously</w:t>
      </w:r>
      <w:r w:rsidRPr="00B60369">
        <w:t xml:space="preserve"> </w:t>
      </w:r>
      <w:r>
        <w:t xml:space="preserve">reported as the </w:t>
      </w:r>
      <w:r w:rsidRPr="00B60369">
        <w:t xml:space="preserve">methodology for this measure has been </w:t>
      </w:r>
      <w:r>
        <w:t>updated per guidance from OSBE</w:t>
      </w:r>
      <w:r w:rsidRPr="00B60369">
        <w:t xml:space="preserve">. </w:t>
      </w:r>
      <w:r>
        <w:t>All years of data reported and the targets reflect the updated methodology.</w:t>
      </w:r>
    </w:p>
    <w:p w14:paraId="4DA2B665" w14:textId="77777777" w:rsidR="00811940" w:rsidRPr="00AA36BB" w:rsidRDefault="00811940" w:rsidP="00153ACC">
      <w:pPr>
        <w:pStyle w:val="EndnoteText"/>
        <w:jc w:val="both"/>
      </w:pPr>
    </w:p>
  </w:endnote>
  <w:endnote w:id="16">
    <w:p w14:paraId="52F4EA8C" w14:textId="27C019F0" w:rsidR="00301FDE" w:rsidRDefault="00301FDE" w:rsidP="00153ACC">
      <w:pPr>
        <w:pStyle w:val="EndnoteText"/>
        <w:jc w:val="both"/>
      </w:pPr>
      <w:r w:rsidRPr="00AA36BB">
        <w:rPr>
          <w:rStyle w:val="EndnoteReference"/>
        </w:rPr>
        <w:endnoteRef/>
      </w:r>
      <w:r w:rsidRPr="00AA36BB">
        <w:t xml:space="preserve"> SBOE required metric: reform remediation. Percent of undergraduate, degree-seeking students who took a remedial course (Math defined as Math 025</w:t>
      </w:r>
      <w:r>
        <w:t>, 103, or 108</w:t>
      </w:r>
      <w:r w:rsidRPr="00AA36BB">
        <w:t xml:space="preserve">) and completed </w:t>
      </w:r>
      <w:r>
        <w:t xml:space="preserve">(C- or above) </w:t>
      </w:r>
      <w:r w:rsidRPr="00AA36BB">
        <w:t xml:space="preserve">a subsequent credit-bearing, gateway, course (Math 123, 143, 157, or </w:t>
      </w:r>
      <w:r>
        <w:t>254) or higher</w:t>
      </w:r>
      <w:r w:rsidRPr="00AA36BB">
        <w:t xml:space="preserve"> within one year of completing the remedial course (e.g.,</w:t>
      </w:r>
      <w:r w:rsidRPr="00AA36BB">
        <w:rPr>
          <w:rFonts w:asciiTheme="minorHAnsi" w:eastAsia="SimSun" w:hAnsiTheme="minorHAnsi" w:cs="Times New Roman"/>
          <w:sz w:val="18"/>
          <w:szCs w:val="24"/>
          <w:lang w:eastAsia="zh-CN"/>
        </w:rPr>
        <w:t xml:space="preserve"> </w:t>
      </w:r>
      <w:r w:rsidRPr="00AA36BB">
        <w:t xml:space="preserve">students who took </w:t>
      </w:r>
      <w:r>
        <w:t xml:space="preserve">a </w:t>
      </w:r>
      <w:r w:rsidRPr="00AA36BB">
        <w:t>remedial course in fall 201</w:t>
      </w:r>
      <w:r>
        <w:t>7</w:t>
      </w:r>
      <w:r w:rsidRPr="00AA36BB">
        <w:t xml:space="preserve"> and completed a subsequen</w:t>
      </w:r>
      <w:r>
        <w:t>t course by the end of fall 2018</w:t>
      </w:r>
      <w:r w:rsidRPr="00AA36BB">
        <w:t>).</w:t>
      </w:r>
      <w:r>
        <w:t xml:space="preserve"> </w:t>
      </w:r>
      <w:r w:rsidRPr="00B60369">
        <w:t>Note: the target presented for FY19 was set and reported in the spring 2018 BSU Strategic Plan Report. Since that time, the methodology for this measure has been clarified and refined by OSBE. The FY20 target follows from the new methodology, thus, replacing the prior target shown for FY19.</w:t>
      </w:r>
      <w:r>
        <w:t xml:space="preserve"> All years of data reported reflect the updated methodology.</w:t>
      </w:r>
    </w:p>
    <w:p w14:paraId="7A9B8BC2" w14:textId="7CEAB37E" w:rsidR="00301FDE" w:rsidRPr="009B1D76" w:rsidRDefault="00301FDE" w:rsidP="00153ACC">
      <w:pPr>
        <w:pStyle w:val="EndnoteText"/>
        <w:jc w:val="both"/>
      </w:pPr>
    </w:p>
  </w:endnote>
  <w:endnote w:id="17">
    <w:p w14:paraId="1B4BE58C" w14:textId="2834FC65" w:rsidR="00301FDE" w:rsidRDefault="00301FDE" w:rsidP="00153ACC">
      <w:pPr>
        <w:pStyle w:val="EndnoteText"/>
        <w:jc w:val="both"/>
      </w:pPr>
      <w:r w:rsidRPr="009B1D76">
        <w:rPr>
          <w:rStyle w:val="EndnoteReference"/>
        </w:rPr>
        <w:endnoteRef/>
      </w:r>
      <w:r w:rsidRPr="009B1D76">
        <w:t xml:space="preserve"> Total Research and Development Expenditures are submitted to NSF approximately in March for the previous fiscal year.</w:t>
      </w:r>
    </w:p>
    <w:p w14:paraId="1C5FEBFD" w14:textId="77777777" w:rsidR="00301FDE" w:rsidRPr="009B1D76" w:rsidRDefault="00301FDE" w:rsidP="00153ACC">
      <w:pPr>
        <w:pStyle w:val="EndnoteText"/>
        <w:jc w:val="both"/>
      </w:pPr>
    </w:p>
  </w:endnote>
  <w:endnote w:id="18">
    <w:p w14:paraId="70314779" w14:textId="026C8685" w:rsidR="00301FDE" w:rsidRDefault="00301FDE" w:rsidP="0010731C">
      <w:pPr>
        <w:pStyle w:val="EndnoteText"/>
        <w:jc w:val="both"/>
      </w:pPr>
      <w:r w:rsidRPr="009B1D76">
        <w:rPr>
          <w:rStyle w:val="EndnoteReference"/>
        </w:rPr>
        <w:endnoteRef/>
      </w:r>
      <w:r w:rsidRPr="009B1D76">
        <w:t xml:space="preserve"> </w:t>
      </w:r>
      <w:r>
        <w:t xml:space="preserve">Boise State tracks </w:t>
      </w:r>
      <w:r>
        <w:t>a number of demographic categories of students that are important to Idaho’s college completion rates. Note that graduates may fall into more than one category and are counted one time in each of the relevant categories. As such, the numbers across categories cannot be summed to achieve a total.</w:t>
      </w:r>
    </w:p>
    <w:p w14:paraId="2D8FD2B6" w14:textId="77777777" w:rsidR="00301FDE" w:rsidRPr="009B1D76" w:rsidRDefault="00301FDE" w:rsidP="0010731C">
      <w:pPr>
        <w:pStyle w:val="EndnoteText"/>
        <w:jc w:val="both"/>
      </w:pPr>
    </w:p>
  </w:endnote>
  <w:endnote w:id="19">
    <w:p w14:paraId="63AA5202" w14:textId="50577295" w:rsidR="00301FDE" w:rsidRDefault="00301FDE" w:rsidP="00153ACC">
      <w:pPr>
        <w:pStyle w:val="EndnoteText"/>
        <w:jc w:val="both"/>
      </w:pPr>
      <w:r w:rsidRPr="009B1D76">
        <w:rPr>
          <w:rStyle w:val="EndnoteReference"/>
        </w:rPr>
        <w:endnoteRef/>
      </w:r>
      <w:r w:rsidRPr="009B1D76">
        <w:t xml:space="preserve"> Distinct number of graduates who began college as residents from a rural county in </w:t>
      </w:r>
      <w:r>
        <w:t xml:space="preserve">Idaho. The definition for this measure was updated in 2020 to align with Boise State’s new efforts to serve rural communities in Idaho. Rural is defined as all places outside of “Urban Areas and their Places” as specified by the U.S. Census Bureau. Data for all reported years were updated in 2021 to align with a new campus data warehouse reporting field. </w:t>
      </w:r>
    </w:p>
    <w:p w14:paraId="7E06385B" w14:textId="77777777" w:rsidR="00301FDE" w:rsidRPr="009B1D76" w:rsidRDefault="00301FDE" w:rsidP="00153ACC">
      <w:pPr>
        <w:pStyle w:val="EndnoteText"/>
        <w:jc w:val="both"/>
      </w:pPr>
    </w:p>
  </w:endnote>
  <w:endnote w:id="20">
    <w:p w14:paraId="3BC3E011" w14:textId="64E5D906" w:rsidR="00301FDE" w:rsidRDefault="00301FDE" w:rsidP="00153ACC">
      <w:pPr>
        <w:pStyle w:val="EndnoteText"/>
        <w:jc w:val="both"/>
      </w:pPr>
      <w:r w:rsidRPr="009B1D76">
        <w:rPr>
          <w:rStyle w:val="EndnoteReference"/>
        </w:rPr>
        <w:endnoteRef/>
      </w:r>
      <w:r w:rsidRPr="009B1D76">
        <w:t xml:space="preserve"> Distinct number of graduates who are American Indian/Alaska Native or Hispanic/Latino.</w:t>
      </w:r>
    </w:p>
    <w:p w14:paraId="4FACE6CE" w14:textId="77777777" w:rsidR="00301FDE" w:rsidRPr="009B1D76" w:rsidRDefault="00301FDE" w:rsidP="00153ACC">
      <w:pPr>
        <w:pStyle w:val="EndnoteText"/>
        <w:jc w:val="both"/>
      </w:pPr>
    </w:p>
  </w:endnote>
  <w:endnote w:id="21">
    <w:p w14:paraId="0F1B3031" w14:textId="77777777" w:rsidR="00301FDE" w:rsidRDefault="00301FDE" w:rsidP="00153ACC">
      <w:pPr>
        <w:pStyle w:val="EndnoteText"/>
        <w:jc w:val="both"/>
      </w:pPr>
      <w:r w:rsidRPr="009B1D76">
        <w:rPr>
          <w:rStyle w:val="EndnoteReference"/>
        </w:rPr>
        <w:endnoteRef/>
      </w:r>
      <w:r w:rsidRPr="009B1D76">
        <w:t xml:space="preserve"> Includes baccalaureate recipients in transfer cohorts whose institution prior to their initial Boise State enrollment was one of the four Idaho community colleges. Method captures most recent transfer institution for all students, even those whose transcripts are processed sometime after their Boise State enrollment has started.</w:t>
      </w:r>
    </w:p>
    <w:p w14:paraId="371F4E52" w14:textId="77777777" w:rsidR="00301FDE" w:rsidRPr="009B1D76" w:rsidRDefault="00301FDE" w:rsidP="00153ACC">
      <w:pPr>
        <w:pStyle w:val="EndnoteText"/>
        <w:jc w:val="both"/>
      </w:pPr>
    </w:p>
  </w:endnote>
  <w:endnote w:id="22">
    <w:p w14:paraId="73DA152D" w14:textId="3F766A3C" w:rsidR="00301FDE" w:rsidRDefault="00301FDE" w:rsidP="00153ACC">
      <w:pPr>
        <w:pStyle w:val="EndnoteText"/>
        <w:jc w:val="both"/>
      </w:pPr>
      <w:r w:rsidRPr="009B1D76">
        <w:rPr>
          <w:rStyle w:val="EndnoteReference"/>
        </w:rPr>
        <w:endnoteRef/>
      </w:r>
      <w:r w:rsidRPr="009B1D76">
        <w:t xml:space="preserve"> WICHE average from Table 1a of annual Tuition and Fees report. We use the average excluding California and the values were as follows: FY15 $7,558; FY16 $7,826, FY17 $7,980</w:t>
      </w:r>
      <w:r>
        <w:t>, FY18 $8,407</w:t>
      </w:r>
      <w:r w:rsidRPr="009B1D76">
        <w:t>. A typical report can be found at http://www.wiche.edu/info/publications/Tuition_and_Fees2012-13.pdf</w:t>
      </w:r>
    </w:p>
    <w:p w14:paraId="470C5F54" w14:textId="77777777" w:rsidR="00301FDE" w:rsidRPr="009B1D76" w:rsidRDefault="00301FDE" w:rsidP="00153ACC">
      <w:pPr>
        <w:pStyle w:val="EndnoteText"/>
        <w:jc w:val="both"/>
      </w:pPr>
    </w:p>
  </w:endnote>
  <w:endnote w:id="23">
    <w:p w14:paraId="6E03BC5A" w14:textId="72972F14" w:rsidR="00301FDE" w:rsidRDefault="00301FDE" w:rsidP="00153ACC">
      <w:pPr>
        <w:pStyle w:val="EndnoteText"/>
        <w:jc w:val="both"/>
      </w:pPr>
      <w:r w:rsidRPr="009B1D76">
        <w:rPr>
          <w:rStyle w:val="EndnoteReference"/>
        </w:rPr>
        <w:endnoteRef/>
      </w:r>
      <w:r w:rsidRPr="009B1D76">
        <w:t xml:space="preserve"> Expense information is from the Cost of College study, which is produced yearly by Boise State’s Controller’s Office. Includes </w:t>
      </w:r>
      <w:r>
        <w:t xml:space="preserve">the all categories of expense: </w:t>
      </w:r>
      <w:r w:rsidRPr="009B1D76">
        <w:t>Instruction/Student Services (Instruction, Academic Support, Student Services, Library), Institutional/Facilities (Cultural, Religious Life and Recreation, Museums, Gardens, etc., Net Cost of Intercollegiate Athletics, Net Cost of Other Auxiliary Operations, Plant Operations, Depreciation:  Facilities, Depreciation: Equipment, Facility Fees Charged Directly to Students, Interest, Institutional Support), and Financial Aid. “Undergraduate only” uses Undergraduate costs and the sum of EWA weighted credit hours for remedial, lower division, upper division for residents and nonresidents. “Undergraduate and graduate” uses undergraduate and graduate expenses, and includes EWA weighed credit hours from the undergraduate and graduate levels for residents and nonresidents.</w:t>
      </w:r>
    </w:p>
    <w:p w14:paraId="048068CC" w14:textId="77777777" w:rsidR="00301FDE" w:rsidRPr="009B1D76" w:rsidRDefault="00301FDE" w:rsidP="00153ACC">
      <w:pPr>
        <w:pStyle w:val="EndnoteText"/>
        <w:jc w:val="both"/>
      </w:pPr>
    </w:p>
  </w:endnote>
  <w:endnote w:id="24">
    <w:p w14:paraId="2F4B5063" w14:textId="77777777" w:rsidR="00301FDE" w:rsidRDefault="00301FDE" w:rsidP="005F1D17">
      <w:pPr>
        <w:pStyle w:val="EndnoteText"/>
        <w:jc w:val="both"/>
      </w:pPr>
      <w:r w:rsidRPr="009B1D76">
        <w:rPr>
          <w:rStyle w:val="EndnoteReference"/>
        </w:rPr>
        <w:endnoteRef/>
      </w:r>
      <w:r w:rsidRPr="009B1D76">
        <w:t xml:space="preserve"> Consumer Price Index is used to adjust for inflation and makes use of a calculator such as that found at http://data.bls.gov/cgi-bin/cpicalc.pl</w:t>
      </w:r>
    </w:p>
    <w:p w14:paraId="7757C306" w14:textId="77777777" w:rsidR="00301FDE" w:rsidRPr="009B1D76" w:rsidRDefault="00301FDE" w:rsidP="005F1D17">
      <w:pPr>
        <w:pStyle w:val="EndnoteText"/>
        <w:jc w:val="both"/>
      </w:pPr>
    </w:p>
  </w:endnote>
  <w:endnote w:id="25">
    <w:p w14:paraId="504D295C" w14:textId="77777777" w:rsidR="00301FDE" w:rsidRDefault="00301FDE" w:rsidP="005F1D17">
      <w:pPr>
        <w:pStyle w:val="EndnoteText"/>
        <w:jc w:val="both"/>
      </w:pPr>
      <w:r w:rsidRPr="009B1D76">
        <w:rPr>
          <w:rStyle w:val="EndnoteReference"/>
        </w:rPr>
        <w:endnoteRef/>
      </w:r>
      <w:r w:rsidRPr="009B1D76">
        <w:t xml:space="preserve"> Consumer Price Index is used to adjust for inflation and makes use of a calculator such as that found at http://data.bls.gov/cgi-bin/cpicalc.pl</w:t>
      </w:r>
    </w:p>
    <w:p w14:paraId="3B389AEB" w14:textId="77777777" w:rsidR="00301FDE" w:rsidRPr="009B1D76" w:rsidRDefault="00301FDE" w:rsidP="005F1D17">
      <w:pPr>
        <w:pStyle w:val="EndnoteText"/>
        <w:jc w:val="both"/>
      </w:pPr>
    </w:p>
  </w:endnote>
  <w:endnote w:id="26">
    <w:p w14:paraId="253EE9F0" w14:textId="77777777" w:rsidR="00301FDE" w:rsidRPr="0020174F" w:rsidRDefault="00301FDE" w:rsidP="00153ACC">
      <w:pPr>
        <w:pStyle w:val="EndnoteText"/>
        <w:jc w:val="both"/>
      </w:pPr>
      <w:r w:rsidRPr="009B1D76">
        <w:rPr>
          <w:rStyle w:val="EndnoteReference"/>
        </w:rPr>
        <w:endnoteRef/>
      </w:r>
      <w:r w:rsidRPr="009B1D76">
        <w:t xml:space="preserve"> </w:t>
      </w:r>
      <w:r w:rsidRPr="0020174F">
        <w:t>Includes the unduplicated number of annual baccalaureate degree graduates divided by the IPEDS annual undergraduate FTE. It should be noted that IPEDS includes the credits taken by degree seeking and non-degree seeking student in calculating FTE.</w:t>
      </w:r>
    </w:p>
    <w:p w14:paraId="22FA6D27" w14:textId="77777777" w:rsidR="00301FDE" w:rsidRPr="009B1D76" w:rsidRDefault="00301FDE" w:rsidP="00153ACC">
      <w:pPr>
        <w:pStyle w:val="EndnoteText"/>
        <w:jc w:val="both"/>
      </w:pPr>
    </w:p>
  </w:endnote>
  <w:endnote w:id="27">
    <w:p w14:paraId="67FA5548" w14:textId="4375EE99" w:rsidR="00301FDE" w:rsidRDefault="00301FDE" w:rsidP="00153ACC">
      <w:pPr>
        <w:pStyle w:val="EndnoteText"/>
        <w:jc w:val="both"/>
      </w:pPr>
      <w:r w:rsidRPr="009B1D76">
        <w:rPr>
          <w:rStyle w:val="EndnoteReference"/>
        </w:rPr>
        <w:endnoteRef/>
      </w:r>
      <w:r w:rsidRPr="009B1D76">
        <w:t xml:space="preserve"> </w:t>
      </w:r>
      <w:r w:rsidRPr="0020174F">
        <w:t>Includes the unduplicated number of annual baccalaureate degree graduates divided by the fall semester FTE of juniors and seniors. FTE are determined using total fall credits of juniors and seniors divided by 15. This measure depicts the relative efficiency with which upper-division students graduate by controlling for full and part-time enrollment.</w:t>
      </w:r>
    </w:p>
    <w:p w14:paraId="09A6A837" w14:textId="77777777" w:rsidR="00301FDE" w:rsidRPr="009B1D76" w:rsidRDefault="00301FDE" w:rsidP="00153ACC">
      <w:pPr>
        <w:pStyle w:val="EndnoteText"/>
        <w:jc w:val="both"/>
      </w:pPr>
    </w:p>
  </w:endnote>
  <w:endnote w:id="28">
    <w:p w14:paraId="115ED3DC" w14:textId="2224D292" w:rsidR="00301FDE" w:rsidRDefault="00301FDE" w:rsidP="00153ACC">
      <w:pPr>
        <w:pStyle w:val="EndnoteText"/>
        <w:jc w:val="both"/>
      </w:pPr>
      <w:r w:rsidRPr="009B1D76">
        <w:rPr>
          <w:rStyle w:val="EndnoteReference"/>
        </w:rPr>
        <w:endnoteRef/>
      </w:r>
      <w:r w:rsidRPr="009B1D76">
        <w:t xml:space="preserve"> </w:t>
      </w:r>
      <w:r w:rsidRPr="0020174F">
        <w:t>Includes unduplicated number of annual graduate certificates and master’s and doctoral degree graduates divided by the IPEDS annual graduate FTE. It should be noted that IPEDS includes credits taken by degree seeking and non-degree seeking student in calculating FTE.</w:t>
      </w:r>
    </w:p>
    <w:p w14:paraId="7DF2558B" w14:textId="6B6A4FA6" w:rsidR="00301FDE" w:rsidRDefault="00301FDE" w:rsidP="0020174F">
      <w:pPr>
        <w:pStyle w:val="EndnoteText"/>
      </w:pPr>
    </w:p>
    <w:p w14:paraId="687E86D8" w14:textId="77777777" w:rsidR="00301FDE" w:rsidRDefault="00301FDE" w:rsidP="0020174F">
      <w:pPr>
        <w:pStyle w:val="EndnoteText"/>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200"/>
      </w:tblGrid>
      <w:tr w:rsidR="00301FDE" w:rsidRPr="003D03E5" w14:paraId="76CE8BA9" w14:textId="77777777" w:rsidTr="00B570EE">
        <w:trPr>
          <w:trHeight w:val="1770"/>
          <w:jc w:val="center"/>
        </w:trPr>
        <w:tc>
          <w:tcPr>
            <w:tcW w:w="7200" w:type="dxa"/>
            <w:tcBorders>
              <w:top w:val="threeDEmboss" w:sz="24" w:space="0" w:color="333399"/>
              <w:bottom w:val="threeDEmboss" w:sz="24" w:space="0" w:color="333399"/>
            </w:tcBorders>
          </w:tcPr>
          <w:p w14:paraId="38B42DF8" w14:textId="77777777" w:rsidR="00301FDE" w:rsidRPr="003D03E5" w:rsidRDefault="00301FDE" w:rsidP="00705479">
            <w:pPr>
              <w:spacing w:before="120"/>
              <w:jc w:val="center"/>
              <w:rPr>
                <w:sz w:val="20"/>
                <w:szCs w:val="20"/>
              </w:rPr>
            </w:pPr>
            <w:r w:rsidRPr="003D03E5">
              <w:rPr>
                <w:b/>
                <w:bCs/>
                <w:sz w:val="20"/>
                <w:szCs w:val="20"/>
              </w:rPr>
              <w:t>For More Information Contact</w:t>
            </w:r>
          </w:p>
          <w:p w14:paraId="73544507" w14:textId="77777777" w:rsidR="00301FDE" w:rsidRPr="003D03E5" w:rsidRDefault="00301FDE" w:rsidP="00705479">
            <w:pPr>
              <w:ind w:left="252"/>
              <w:rPr>
                <w:noProof/>
                <w:sz w:val="20"/>
                <w:szCs w:val="20"/>
              </w:rPr>
            </w:pPr>
            <w:r>
              <w:rPr>
                <w:noProof/>
                <w:sz w:val="20"/>
                <w:szCs w:val="20"/>
              </w:rPr>
              <w:t>Dr. Marlene Tromp</w:t>
            </w:r>
          </w:p>
          <w:p w14:paraId="02E917C1" w14:textId="77777777" w:rsidR="00301FDE" w:rsidRPr="003D03E5" w:rsidRDefault="00301FDE" w:rsidP="00705479">
            <w:pPr>
              <w:ind w:left="252"/>
              <w:rPr>
                <w:sz w:val="20"/>
                <w:szCs w:val="20"/>
              </w:rPr>
            </w:pPr>
            <w:r w:rsidRPr="003D03E5">
              <w:rPr>
                <w:noProof/>
                <w:sz w:val="20"/>
                <w:szCs w:val="20"/>
              </w:rPr>
              <w:t>President</w:t>
            </w:r>
          </w:p>
          <w:p w14:paraId="4341047B" w14:textId="77777777" w:rsidR="00301FDE" w:rsidRPr="003D03E5" w:rsidRDefault="00301FDE" w:rsidP="00705479">
            <w:pPr>
              <w:ind w:left="252"/>
              <w:rPr>
                <w:sz w:val="20"/>
                <w:szCs w:val="20"/>
              </w:rPr>
            </w:pPr>
            <w:r w:rsidRPr="003D03E5">
              <w:rPr>
                <w:noProof/>
                <w:sz w:val="20"/>
                <w:szCs w:val="20"/>
              </w:rPr>
              <w:t>Boise State University</w:t>
            </w:r>
          </w:p>
          <w:p w14:paraId="3055B376" w14:textId="77777777" w:rsidR="00301FDE" w:rsidRPr="003D03E5" w:rsidRDefault="00301FDE" w:rsidP="00705479">
            <w:pPr>
              <w:ind w:left="252"/>
              <w:rPr>
                <w:sz w:val="20"/>
                <w:szCs w:val="20"/>
              </w:rPr>
            </w:pPr>
            <w:r w:rsidRPr="003D03E5">
              <w:rPr>
                <w:noProof/>
                <w:sz w:val="20"/>
                <w:szCs w:val="20"/>
              </w:rPr>
              <w:t>1910 University Dr</w:t>
            </w:r>
          </w:p>
          <w:p w14:paraId="62D27900" w14:textId="77777777" w:rsidR="00301FDE" w:rsidRPr="003D03E5" w:rsidRDefault="00301FDE" w:rsidP="00705479">
            <w:pPr>
              <w:ind w:left="252"/>
              <w:rPr>
                <w:sz w:val="20"/>
                <w:szCs w:val="20"/>
                <w:lang w:val="fr-FR"/>
              </w:rPr>
            </w:pPr>
            <w:r w:rsidRPr="003D03E5">
              <w:rPr>
                <w:noProof/>
                <w:sz w:val="20"/>
                <w:szCs w:val="20"/>
                <w:lang w:val="fr-FR"/>
              </w:rPr>
              <w:t>Boise</w:t>
            </w:r>
            <w:r w:rsidRPr="003D03E5">
              <w:rPr>
                <w:sz w:val="20"/>
                <w:szCs w:val="20"/>
                <w:lang w:val="fr-FR"/>
              </w:rPr>
              <w:t xml:space="preserve">, </w:t>
            </w:r>
            <w:r w:rsidRPr="003D03E5">
              <w:rPr>
                <w:noProof/>
                <w:sz w:val="20"/>
                <w:szCs w:val="20"/>
                <w:lang w:val="fr-FR"/>
              </w:rPr>
              <w:t>ID</w:t>
            </w:r>
            <w:r w:rsidRPr="003D03E5">
              <w:rPr>
                <w:sz w:val="20"/>
                <w:szCs w:val="20"/>
                <w:lang w:val="fr-FR"/>
              </w:rPr>
              <w:t xml:space="preserve">  </w:t>
            </w:r>
            <w:r w:rsidRPr="003D03E5">
              <w:rPr>
                <w:noProof/>
                <w:sz w:val="20"/>
                <w:szCs w:val="20"/>
                <w:lang w:val="fr-FR"/>
              </w:rPr>
              <w:t>83725-1000</w:t>
            </w:r>
          </w:p>
          <w:p w14:paraId="3F78EB9D" w14:textId="3AAF35D6" w:rsidR="00301FDE" w:rsidRPr="003D03E5" w:rsidRDefault="00301FDE" w:rsidP="00705479">
            <w:pPr>
              <w:ind w:left="252"/>
              <w:rPr>
                <w:sz w:val="20"/>
                <w:szCs w:val="20"/>
                <w:lang w:val="fr-FR"/>
              </w:rPr>
            </w:pPr>
            <w:r w:rsidRPr="003D03E5">
              <w:rPr>
                <w:sz w:val="20"/>
                <w:szCs w:val="20"/>
                <w:lang w:val="fr-FR"/>
              </w:rPr>
              <w:t xml:space="preserve">Phone: </w:t>
            </w:r>
            <w:r>
              <w:rPr>
                <w:sz w:val="20"/>
                <w:szCs w:val="20"/>
                <w:lang w:val="fr-FR"/>
              </w:rPr>
              <w:t>208-</w:t>
            </w:r>
            <w:r w:rsidRPr="003D03E5">
              <w:rPr>
                <w:sz w:val="20"/>
                <w:szCs w:val="20"/>
              </w:rPr>
              <w:t>426-1491</w:t>
            </w:r>
          </w:p>
          <w:p w14:paraId="1CF3AE1E" w14:textId="77777777" w:rsidR="00301FDE" w:rsidRPr="003D03E5" w:rsidRDefault="00301FDE" w:rsidP="00705479">
            <w:pPr>
              <w:ind w:left="252"/>
              <w:rPr>
                <w:sz w:val="20"/>
                <w:szCs w:val="20"/>
              </w:rPr>
            </w:pPr>
            <w:r w:rsidRPr="003D03E5">
              <w:rPr>
                <w:sz w:val="20"/>
                <w:szCs w:val="20"/>
                <w:lang w:val="fr-FR"/>
              </w:rPr>
              <w:t xml:space="preserve">E-mail: </w:t>
            </w:r>
            <w:hyperlink r:id="rId1" w:history="1">
              <w:r w:rsidRPr="00E64E21">
                <w:rPr>
                  <w:rStyle w:val="Hyperlink"/>
                  <w:sz w:val="20"/>
                  <w:szCs w:val="20"/>
                </w:rPr>
                <w:t>president@boisestate.edu</w:t>
              </w:r>
            </w:hyperlink>
            <w:r w:rsidRPr="003D03E5">
              <w:rPr>
                <w:sz w:val="20"/>
                <w:szCs w:val="20"/>
              </w:rPr>
              <w:t xml:space="preserve">   </w:t>
            </w:r>
          </w:p>
          <w:p w14:paraId="4B6B84B2" w14:textId="77777777" w:rsidR="00301FDE" w:rsidRPr="003D03E5" w:rsidRDefault="00301FDE" w:rsidP="00705479">
            <w:pPr>
              <w:ind w:left="252"/>
              <w:rPr>
                <w:sz w:val="18"/>
                <w:szCs w:val="18"/>
                <w:lang w:val="fr-FR"/>
              </w:rPr>
            </w:pPr>
          </w:p>
        </w:tc>
      </w:tr>
    </w:tbl>
    <w:p w14:paraId="757B90B7" w14:textId="77777777" w:rsidR="00301FDE" w:rsidRPr="009B1D76" w:rsidRDefault="00301FDE" w:rsidP="0020174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254195"/>
      <w:docPartObj>
        <w:docPartGallery w:val="Page Numbers (Bottom of Page)"/>
        <w:docPartUnique/>
      </w:docPartObj>
    </w:sdtPr>
    <w:sdtEndPr>
      <w:rPr>
        <w:noProof/>
      </w:rPr>
    </w:sdtEndPr>
    <w:sdtContent>
      <w:p w14:paraId="02518382" w14:textId="77777777" w:rsidR="0058159D" w:rsidRPr="00C73FF0" w:rsidRDefault="0058159D" w:rsidP="00F10AB0">
        <w:pPr>
          <w:pStyle w:val="Footer"/>
          <w:tabs>
            <w:tab w:val="clear" w:pos="4320"/>
            <w:tab w:val="clear" w:pos="8640"/>
            <w:tab w:val="center" w:pos="4680"/>
            <w:tab w:val="right" w:pos="10080"/>
          </w:tabs>
          <w:rPr>
            <w:sz w:val="20"/>
          </w:rPr>
        </w:pPr>
      </w:p>
      <w:p w14:paraId="4D7CB429" w14:textId="576AAE73" w:rsidR="0058159D" w:rsidRPr="00F10AB0" w:rsidRDefault="0058159D" w:rsidP="00F10AB0">
        <w:pPr>
          <w:pStyle w:val="Footer"/>
          <w:tabs>
            <w:tab w:val="clear" w:pos="4320"/>
            <w:tab w:val="clear" w:pos="8640"/>
            <w:tab w:val="center" w:pos="4680"/>
            <w:tab w:val="right" w:pos="10080"/>
          </w:tabs>
          <w:rPr>
            <w:sz w:val="20"/>
            <w:szCs w:val="20"/>
          </w:rPr>
        </w:pPr>
        <w:r>
          <w:rPr>
            <w:sz w:val="20"/>
            <w:szCs w:val="20"/>
          </w:rPr>
          <w:t>State of Idaho</w:t>
        </w:r>
        <w:r>
          <w:rPr>
            <w:sz w:val="20"/>
            <w:szCs w:val="20"/>
          </w:rPr>
          <w:tab/>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sidR="00DE6D55">
          <w:rPr>
            <w:noProof/>
            <w:sz w:val="20"/>
            <w:szCs w:val="20"/>
          </w:rPr>
          <w:t>1</w:t>
        </w:r>
        <w:r>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E7EEF" w14:textId="77777777" w:rsidR="0058159D" w:rsidRDefault="0058159D">
      <w:r>
        <w:separator/>
      </w:r>
    </w:p>
  </w:footnote>
  <w:footnote w:type="continuationSeparator" w:id="0">
    <w:p w14:paraId="6DE83AA7" w14:textId="77777777" w:rsidR="0058159D" w:rsidRDefault="00581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insideH w:val="single" w:sz="4" w:space="0" w:color="auto"/>
        <w:insideV w:val="single" w:sz="4" w:space="0" w:color="auto"/>
      </w:tblBorders>
      <w:tblLook w:val="0000" w:firstRow="0" w:lastRow="0" w:firstColumn="0" w:lastColumn="0" w:noHBand="0" w:noVBand="0"/>
    </w:tblPr>
    <w:tblGrid>
      <w:gridCol w:w="10080"/>
    </w:tblGrid>
    <w:tr w:rsidR="0058159D" w14:paraId="034A3B60" w14:textId="77777777" w:rsidTr="002C665C">
      <w:tc>
        <w:tcPr>
          <w:tcW w:w="10080" w:type="dxa"/>
          <w:shd w:val="clear" w:color="auto" w:fill="000080"/>
        </w:tcPr>
        <w:p w14:paraId="662A63F9" w14:textId="1640392E" w:rsidR="0058159D" w:rsidRDefault="0058159D" w:rsidP="00E1470D">
          <w:pPr>
            <w:tabs>
              <w:tab w:val="right" w:pos="9852"/>
            </w:tabs>
            <w:rPr>
              <w:color w:val="FFFFFF"/>
            </w:rPr>
          </w:pPr>
          <w:r>
            <w:rPr>
              <w:b/>
              <w:bCs/>
              <w:noProof/>
              <w:color w:val="FFFFFF"/>
            </w:rPr>
            <w:t>Boise State University</w:t>
          </w:r>
          <w:r>
            <w:rPr>
              <w:b/>
              <w:bCs/>
              <w:color w:val="FFFFFF"/>
            </w:rPr>
            <w:tab/>
          </w:r>
          <w:r>
            <w:rPr>
              <w:color w:val="FFFFFF"/>
            </w:rPr>
            <w:t>Performance Report</w:t>
          </w:r>
        </w:p>
      </w:tc>
    </w:tr>
    <w:tr w:rsidR="0058159D" w14:paraId="6109BF7F" w14:textId="77777777" w:rsidTr="002C665C">
      <w:trPr>
        <w:trHeight w:hRule="exact" w:val="90"/>
      </w:trPr>
      <w:tc>
        <w:tcPr>
          <w:tcW w:w="10080" w:type="dxa"/>
          <w:tcBorders>
            <w:top w:val="nil"/>
          </w:tcBorders>
        </w:tcPr>
        <w:p w14:paraId="51D48546" w14:textId="77777777" w:rsidR="0058159D" w:rsidRDefault="0058159D" w:rsidP="00E1470D"/>
      </w:tc>
    </w:tr>
    <w:tr w:rsidR="0058159D" w14:paraId="18D64E74" w14:textId="77777777" w:rsidTr="002C665C">
      <w:tc>
        <w:tcPr>
          <w:tcW w:w="10080" w:type="dxa"/>
          <w:tcBorders>
            <w:bottom w:val="nil"/>
          </w:tcBorders>
          <w:shd w:val="clear" w:color="auto" w:fill="000080"/>
        </w:tcPr>
        <w:p w14:paraId="4E045FA6" w14:textId="77777777" w:rsidR="0058159D" w:rsidRDefault="0058159D" w:rsidP="00E1470D"/>
      </w:tc>
    </w:tr>
  </w:tbl>
  <w:p w14:paraId="708C883D" w14:textId="77777777" w:rsidR="0058159D" w:rsidRDefault="0058159D" w:rsidP="00E1470D">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C9A"/>
    <w:multiLevelType w:val="multilevel"/>
    <w:tmpl w:val="8502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D86314"/>
    <w:multiLevelType w:val="hybridMultilevel"/>
    <w:tmpl w:val="82427BB8"/>
    <w:lvl w:ilvl="0" w:tplc="66A06F66">
      <w:start w:val="8"/>
      <w:numFmt w:val="decimal"/>
      <w:lvlText w:val="%1."/>
      <w:lvlJc w:val="left"/>
      <w:pPr>
        <w:ind w:left="810" w:hanging="360"/>
      </w:pPr>
      <w:rPr>
        <w:rFonts w:eastAsia="Arial Unicode M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B77F3C"/>
    <w:multiLevelType w:val="hybridMultilevel"/>
    <w:tmpl w:val="F058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75E27"/>
    <w:multiLevelType w:val="hybridMultilevel"/>
    <w:tmpl w:val="8DEE5784"/>
    <w:lvl w:ilvl="0" w:tplc="9D9010D6">
      <w:start w:val="4"/>
      <w:numFmt w:val="decimal"/>
      <w:lvlText w:val="%1."/>
      <w:lvlJc w:val="left"/>
      <w:pPr>
        <w:ind w:left="360" w:hanging="360"/>
      </w:pPr>
      <w:rPr>
        <w:rFonts w:eastAsia="Arial Unicode M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A43E0"/>
    <w:multiLevelType w:val="hybridMultilevel"/>
    <w:tmpl w:val="9880D5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AC15DA"/>
    <w:multiLevelType w:val="hybridMultilevel"/>
    <w:tmpl w:val="E1565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711D18"/>
    <w:multiLevelType w:val="hybridMultilevel"/>
    <w:tmpl w:val="BA1EA8E4"/>
    <w:lvl w:ilvl="0" w:tplc="4F387B6E">
      <w:numFmt w:val="bullet"/>
      <w:lvlText w:val="-"/>
      <w:lvlJc w:val="left"/>
      <w:pPr>
        <w:tabs>
          <w:tab w:val="num" w:pos="420"/>
        </w:tabs>
        <w:ind w:left="420" w:hanging="360"/>
      </w:pPr>
      <w:rPr>
        <w:rFonts w:ascii="Arial" w:eastAsia="Times New Roman" w:hAnsi="Arial"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29A275B7"/>
    <w:multiLevelType w:val="hybridMultilevel"/>
    <w:tmpl w:val="1FF2EC70"/>
    <w:lvl w:ilvl="0" w:tplc="17BA825C">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F910BE9"/>
    <w:multiLevelType w:val="hybridMultilevel"/>
    <w:tmpl w:val="24FE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16A63"/>
    <w:multiLevelType w:val="hybridMultilevel"/>
    <w:tmpl w:val="55AE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A6822"/>
    <w:multiLevelType w:val="hybridMultilevel"/>
    <w:tmpl w:val="3A10E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0587F"/>
    <w:multiLevelType w:val="hybridMultilevel"/>
    <w:tmpl w:val="454E4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334AF"/>
    <w:multiLevelType w:val="hybridMultilevel"/>
    <w:tmpl w:val="CF7C4B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383E57"/>
    <w:multiLevelType w:val="hybridMultilevel"/>
    <w:tmpl w:val="0744FEDE"/>
    <w:lvl w:ilvl="0" w:tplc="1BB08914">
      <w:start w:val="1"/>
      <w:numFmt w:val="decimal"/>
      <w:lvlText w:val="%1."/>
      <w:lvlJc w:val="left"/>
      <w:pPr>
        <w:ind w:left="360" w:hanging="360"/>
      </w:pPr>
      <w:rPr>
        <w:rFonts w:eastAsia="Arial Unicode MS" w:hint="default"/>
        <w:color w:val="auto"/>
        <w:sz w:val="22"/>
        <w:szCs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487A3E48"/>
    <w:multiLevelType w:val="hybridMultilevel"/>
    <w:tmpl w:val="84E6F904"/>
    <w:lvl w:ilvl="0" w:tplc="93EE9D20">
      <w:start w:val="4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F61497"/>
    <w:multiLevelType w:val="hybridMultilevel"/>
    <w:tmpl w:val="0B309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343CA5"/>
    <w:multiLevelType w:val="hybridMultilevel"/>
    <w:tmpl w:val="A574EBDC"/>
    <w:lvl w:ilvl="0" w:tplc="0409000F">
      <w:start w:val="1"/>
      <w:numFmt w:val="decimal"/>
      <w:lvlText w:val="%1."/>
      <w:lvlJc w:val="left"/>
      <w:pPr>
        <w:ind w:left="360" w:hanging="360"/>
      </w:pPr>
      <w:rPr>
        <w:rFonts w:hint="default"/>
        <w:color w:val="auto"/>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52553EEB"/>
    <w:multiLevelType w:val="multilevel"/>
    <w:tmpl w:val="F6FA7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CF0CDF"/>
    <w:multiLevelType w:val="hybridMultilevel"/>
    <w:tmpl w:val="C16CE48C"/>
    <w:lvl w:ilvl="0" w:tplc="7B0628DC">
      <w:start w:val="1"/>
      <w:numFmt w:val="decimal"/>
      <w:lvlText w:val="%1."/>
      <w:lvlJc w:val="left"/>
      <w:pPr>
        <w:ind w:left="810" w:hanging="360"/>
      </w:pPr>
      <w:rPr>
        <w:i w:val="0"/>
        <w:color w:val="auto"/>
        <w:sz w:val="2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9" w15:restartNumberingAfterBreak="0">
    <w:nsid w:val="5C8D4770"/>
    <w:multiLevelType w:val="hybridMultilevel"/>
    <w:tmpl w:val="A9CC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6D3E2E"/>
    <w:multiLevelType w:val="hybridMultilevel"/>
    <w:tmpl w:val="4D92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F6F00"/>
    <w:multiLevelType w:val="hybridMultilevel"/>
    <w:tmpl w:val="323EB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00855"/>
    <w:multiLevelType w:val="hybridMultilevel"/>
    <w:tmpl w:val="97844C96"/>
    <w:lvl w:ilvl="0" w:tplc="B0B824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C3A74"/>
    <w:multiLevelType w:val="hybridMultilevel"/>
    <w:tmpl w:val="7AF8F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B13554"/>
    <w:multiLevelType w:val="hybridMultilevel"/>
    <w:tmpl w:val="2F88C8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A487483"/>
    <w:multiLevelType w:val="multilevel"/>
    <w:tmpl w:val="379E2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147C56"/>
    <w:multiLevelType w:val="hybridMultilevel"/>
    <w:tmpl w:val="6D68B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88714A"/>
    <w:multiLevelType w:val="hybridMultilevel"/>
    <w:tmpl w:val="2384C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6821154">
    <w:abstractNumId w:val="6"/>
  </w:num>
  <w:num w:numId="2" w16cid:durableId="677972551">
    <w:abstractNumId w:val="2"/>
  </w:num>
  <w:num w:numId="3" w16cid:durableId="1317494055">
    <w:abstractNumId w:val="9"/>
  </w:num>
  <w:num w:numId="4" w16cid:durableId="1511332540">
    <w:abstractNumId w:val="20"/>
  </w:num>
  <w:num w:numId="5" w16cid:durableId="759103852">
    <w:abstractNumId w:val="8"/>
  </w:num>
  <w:num w:numId="6" w16cid:durableId="814378039">
    <w:abstractNumId w:val="27"/>
  </w:num>
  <w:num w:numId="7" w16cid:durableId="1317956920">
    <w:abstractNumId w:val="15"/>
  </w:num>
  <w:num w:numId="8" w16cid:durableId="250743986">
    <w:abstractNumId w:val="4"/>
  </w:num>
  <w:num w:numId="9" w16cid:durableId="1324579976">
    <w:abstractNumId w:val="13"/>
  </w:num>
  <w:num w:numId="10" w16cid:durableId="222299257">
    <w:abstractNumId w:val="16"/>
  </w:num>
  <w:num w:numId="11" w16cid:durableId="1440447525">
    <w:abstractNumId w:val="21"/>
  </w:num>
  <w:num w:numId="12" w16cid:durableId="345448899">
    <w:abstractNumId w:val="26"/>
  </w:num>
  <w:num w:numId="13" w16cid:durableId="524641110">
    <w:abstractNumId w:val="5"/>
  </w:num>
  <w:num w:numId="14" w16cid:durableId="1548375436">
    <w:abstractNumId w:val="10"/>
  </w:num>
  <w:num w:numId="15" w16cid:durableId="7342066">
    <w:abstractNumId w:val="3"/>
  </w:num>
  <w:num w:numId="16" w16cid:durableId="1772506026">
    <w:abstractNumId w:val="19"/>
  </w:num>
  <w:num w:numId="17" w16cid:durableId="751050036">
    <w:abstractNumId w:val="12"/>
  </w:num>
  <w:num w:numId="18" w16cid:durableId="245891803">
    <w:abstractNumId w:val="18"/>
  </w:num>
  <w:num w:numId="19" w16cid:durableId="1274287453">
    <w:abstractNumId w:val="1"/>
  </w:num>
  <w:num w:numId="20" w16cid:durableId="944000977">
    <w:abstractNumId w:val="17"/>
  </w:num>
  <w:num w:numId="21" w16cid:durableId="199559644">
    <w:abstractNumId w:val="25"/>
  </w:num>
  <w:num w:numId="22" w16cid:durableId="1063258032">
    <w:abstractNumId w:val="0"/>
  </w:num>
  <w:num w:numId="23" w16cid:durableId="1634210476">
    <w:abstractNumId w:val="18"/>
  </w:num>
  <w:num w:numId="24" w16cid:durableId="1253395583">
    <w:abstractNumId w:val="7"/>
  </w:num>
  <w:num w:numId="25" w16cid:durableId="478960786">
    <w:abstractNumId w:val="23"/>
  </w:num>
  <w:num w:numId="26" w16cid:durableId="1000888119">
    <w:abstractNumId w:val="11"/>
  </w:num>
  <w:num w:numId="27" w16cid:durableId="1962370869">
    <w:abstractNumId w:val="14"/>
  </w:num>
  <w:num w:numId="28" w16cid:durableId="1006323190">
    <w:abstractNumId w:val="22"/>
  </w:num>
  <w:num w:numId="29" w16cid:durableId="4796178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IxNbY0tjQyMDI1sbBQ0lEKTi0uzszPAykwqQUAsWztMSwAAAA="/>
  </w:docVars>
  <w:rsids>
    <w:rsidRoot w:val="009E08AA"/>
    <w:rsid w:val="00002788"/>
    <w:rsid w:val="00003824"/>
    <w:rsid w:val="00004539"/>
    <w:rsid w:val="00005F35"/>
    <w:rsid w:val="00005F9B"/>
    <w:rsid w:val="0000647A"/>
    <w:rsid w:val="00006B66"/>
    <w:rsid w:val="00007275"/>
    <w:rsid w:val="000077A0"/>
    <w:rsid w:val="00007B14"/>
    <w:rsid w:val="00007D99"/>
    <w:rsid w:val="000110CB"/>
    <w:rsid w:val="0001217A"/>
    <w:rsid w:val="00013149"/>
    <w:rsid w:val="00013B12"/>
    <w:rsid w:val="00013CA6"/>
    <w:rsid w:val="000140D1"/>
    <w:rsid w:val="00016E28"/>
    <w:rsid w:val="00020008"/>
    <w:rsid w:val="00020474"/>
    <w:rsid w:val="00020845"/>
    <w:rsid w:val="00021B70"/>
    <w:rsid w:val="00021EB5"/>
    <w:rsid w:val="00023640"/>
    <w:rsid w:val="00025524"/>
    <w:rsid w:val="00025555"/>
    <w:rsid w:val="00026845"/>
    <w:rsid w:val="0002762E"/>
    <w:rsid w:val="00030F32"/>
    <w:rsid w:val="000311CA"/>
    <w:rsid w:val="0003266E"/>
    <w:rsid w:val="00032BBE"/>
    <w:rsid w:val="00033B02"/>
    <w:rsid w:val="00033B2B"/>
    <w:rsid w:val="000379DA"/>
    <w:rsid w:val="000401E6"/>
    <w:rsid w:val="000405AD"/>
    <w:rsid w:val="000409A4"/>
    <w:rsid w:val="000410FD"/>
    <w:rsid w:val="0004215D"/>
    <w:rsid w:val="00042426"/>
    <w:rsid w:val="00043BEB"/>
    <w:rsid w:val="00043C85"/>
    <w:rsid w:val="000442CF"/>
    <w:rsid w:val="00044453"/>
    <w:rsid w:val="00045E42"/>
    <w:rsid w:val="00050851"/>
    <w:rsid w:val="00050C2B"/>
    <w:rsid w:val="0005190B"/>
    <w:rsid w:val="00051DE8"/>
    <w:rsid w:val="00052146"/>
    <w:rsid w:val="000528C5"/>
    <w:rsid w:val="00052A9D"/>
    <w:rsid w:val="0005307C"/>
    <w:rsid w:val="00053CB2"/>
    <w:rsid w:val="0005467C"/>
    <w:rsid w:val="00055967"/>
    <w:rsid w:val="00055BFD"/>
    <w:rsid w:val="00055CAB"/>
    <w:rsid w:val="0005650B"/>
    <w:rsid w:val="000604B3"/>
    <w:rsid w:val="000616CB"/>
    <w:rsid w:val="00061C7B"/>
    <w:rsid w:val="00062146"/>
    <w:rsid w:val="000634D5"/>
    <w:rsid w:val="0006375E"/>
    <w:rsid w:val="00063DAB"/>
    <w:rsid w:val="00065702"/>
    <w:rsid w:val="00065E7D"/>
    <w:rsid w:val="00070C23"/>
    <w:rsid w:val="000720BB"/>
    <w:rsid w:val="00072557"/>
    <w:rsid w:val="00072E2B"/>
    <w:rsid w:val="0007382F"/>
    <w:rsid w:val="00074F89"/>
    <w:rsid w:val="0007608E"/>
    <w:rsid w:val="000765BA"/>
    <w:rsid w:val="00080EB3"/>
    <w:rsid w:val="000810A0"/>
    <w:rsid w:val="00082013"/>
    <w:rsid w:val="000830AE"/>
    <w:rsid w:val="00084C00"/>
    <w:rsid w:val="00084D2D"/>
    <w:rsid w:val="00085137"/>
    <w:rsid w:val="0008610E"/>
    <w:rsid w:val="0008655C"/>
    <w:rsid w:val="000923AD"/>
    <w:rsid w:val="00092E5A"/>
    <w:rsid w:val="000941F9"/>
    <w:rsid w:val="00094BD5"/>
    <w:rsid w:val="00095928"/>
    <w:rsid w:val="00096C0D"/>
    <w:rsid w:val="00096E6B"/>
    <w:rsid w:val="000978A8"/>
    <w:rsid w:val="000A0E60"/>
    <w:rsid w:val="000A0F31"/>
    <w:rsid w:val="000A18D9"/>
    <w:rsid w:val="000A198C"/>
    <w:rsid w:val="000A28E7"/>
    <w:rsid w:val="000A365E"/>
    <w:rsid w:val="000A39AA"/>
    <w:rsid w:val="000A413D"/>
    <w:rsid w:val="000A41E5"/>
    <w:rsid w:val="000A478E"/>
    <w:rsid w:val="000A5521"/>
    <w:rsid w:val="000A610F"/>
    <w:rsid w:val="000A6BD3"/>
    <w:rsid w:val="000B21CF"/>
    <w:rsid w:val="000B21F9"/>
    <w:rsid w:val="000B28D7"/>
    <w:rsid w:val="000B30BD"/>
    <w:rsid w:val="000B5883"/>
    <w:rsid w:val="000B68F0"/>
    <w:rsid w:val="000B69D8"/>
    <w:rsid w:val="000B7459"/>
    <w:rsid w:val="000B75AB"/>
    <w:rsid w:val="000C336E"/>
    <w:rsid w:val="000C5906"/>
    <w:rsid w:val="000C6334"/>
    <w:rsid w:val="000C6EE4"/>
    <w:rsid w:val="000C74AA"/>
    <w:rsid w:val="000C7CB5"/>
    <w:rsid w:val="000D0249"/>
    <w:rsid w:val="000D087F"/>
    <w:rsid w:val="000D0C6E"/>
    <w:rsid w:val="000D274F"/>
    <w:rsid w:val="000D4D24"/>
    <w:rsid w:val="000D4F30"/>
    <w:rsid w:val="000D5AD0"/>
    <w:rsid w:val="000D5EC3"/>
    <w:rsid w:val="000D761D"/>
    <w:rsid w:val="000E36F4"/>
    <w:rsid w:val="000E538F"/>
    <w:rsid w:val="000E6133"/>
    <w:rsid w:val="000E7354"/>
    <w:rsid w:val="000F12DC"/>
    <w:rsid w:val="000F22E5"/>
    <w:rsid w:val="000F29F8"/>
    <w:rsid w:val="000F2B0D"/>
    <w:rsid w:val="000F2C42"/>
    <w:rsid w:val="000F3435"/>
    <w:rsid w:val="000F43FB"/>
    <w:rsid w:val="000F63CC"/>
    <w:rsid w:val="000F6623"/>
    <w:rsid w:val="000F6B4A"/>
    <w:rsid w:val="000F705C"/>
    <w:rsid w:val="00100A20"/>
    <w:rsid w:val="0010317B"/>
    <w:rsid w:val="001036B5"/>
    <w:rsid w:val="001058E9"/>
    <w:rsid w:val="00105EA1"/>
    <w:rsid w:val="0010618A"/>
    <w:rsid w:val="00106A86"/>
    <w:rsid w:val="00106EC7"/>
    <w:rsid w:val="00106F56"/>
    <w:rsid w:val="0010731C"/>
    <w:rsid w:val="00107B9F"/>
    <w:rsid w:val="00107DD8"/>
    <w:rsid w:val="00112636"/>
    <w:rsid w:val="00112AF8"/>
    <w:rsid w:val="001130C2"/>
    <w:rsid w:val="0011341C"/>
    <w:rsid w:val="00113588"/>
    <w:rsid w:val="001135CD"/>
    <w:rsid w:val="00114F54"/>
    <w:rsid w:val="0011622B"/>
    <w:rsid w:val="0011738B"/>
    <w:rsid w:val="00121BCF"/>
    <w:rsid w:val="00122018"/>
    <w:rsid w:val="00122EEF"/>
    <w:rsid w:val="00123073"/>
    <w:rsid w:val="00123159"/>
    <w:rsid w:val="00123220"/>
    <w:rsid w:val="00123C47"/>
    <w:rsid w:val="00126046"/>
    <w:rsid w:val="0012661E"/>
    <w:rsid w:val="00126D54"/>
    <w:rsid w:val="0012793E"/>
    <w:rsid w:val="00127E32"/>
    <w:rsid w:val="0013181C"/>
    <w:rsid w:val="00132191"/>
    <w:rsid w:val="00133B08"/>
    <w:rsid w:val="00134425"/>
    <w:rsid w:val="00134A90"/>
    <w:rsid w:val="0013654B"/>
    <w:rsid w:val="001375B1"/>
    <w:rsid w:val="00137772"/>
    <w:rsid w:val="00137DB1"/>
    <w:rsid w:val="001423B1"/>
    <w:rsid w:val="001432DB"/>
    <w:rsid w:val="00143AE8"/>
    <w:rsid w:val="00147C7D"/>
    <w:rsid w:val="00151CDB"/>
    <w:rsid w:val="00152521"/>
    <w:rsid w:val="0015320C"/>
    <w:rsid w:val="00153ACC"/>
    <w:rsid w:val="00153DF3"/>
    <w:rsid w:val="0015521E"/>
    <w:rsid w:val="0015572B"/>
    <w:rsid w:val="001616F6"/>
    <w:rsid w:val="00161CEA"/>
    <w:rsid w:val="00161E94"/>
    <w:rsid w:val="00164DCE"/>
    <w:rsid w:val="00166A1D"/>
    <w:rsid w:val="00166D5E"/>
    <w:rsid w:val="00167984"/>
    <w:rsid w:val="00171098"/>
    <w:rsid w:val="00172580"/>
    <w:rsid w:val="001727F2"/>
    <w:rsid w:val="00174688"/>
    <w:rsid w:val="0017509E"/>
    <w:rsid w:val="0017573E"/>
    <w:rsid w:val="00175BFE"/>
    <w:rsid w:val="001773F3"/>
    <w:rsid w:val="0018032F"/>
    <w:rsid w:val="001816EB"/>
    <w:rsid w:val="001818E2"/>
    <w:rsid w:val="00183A0F"/>
    <w:rsid w:val="00183FE9"/>
    <w:rsid w:val="00185D2E"/>
    <w:rsid w:val="00186D6C"/>
    <w:rsid w:val="00187A90"/>
    <w:rsid w:val="00190B98"/>
    <w:rsid w:val="0019151E"/>
    <w:rsid w:val="00193A5B"/>
    <w:rsid w:val="0019430A"/>
    <w:rsid w:val="00194790"/>
    <w:rsid w:val="00194A30"/>
    <w:rsid w:val="00195AA8"/>
    <w:rsid w:val="00195EB8"/>
    <w:rsid w:val="00196BD6"/>
    <w:rsid w:val="0019750D"/>
    <w:rsid w:val="0019758B"/>
    <w:rsid w:val="001A0D02"/>
    <w:rsid w:val="001A0E07"/>
    <w:rsid w:val="001A22C1"/>
    <w:rsid w:val="001A2798"/>
    <w:rsid w:val="001A27A2"/>
    <w:rsid w:val="001A2E59"/>
    <w:rsid w:val="001A3D9E"/>
    <w:rsid w:val="001A409E"/>
    <w:rsid w:val="001A452A"/>
    <w:rsid w:val="001A5045"/>
    <w:rsid w:val="001A5A01"/>
    <w:rsid w:val="001A62D1"/>
    <w:rsid w:val="001A7444"/>
    <w:rsid w:val="001B180F"/>
    <w:rsid w:val="001B1847"/>
    <w:rsid w:val="001B23F6"/>
    <w:rsid w:val="001B2B78"/>
    <w:rsid w:val="001B2FEC"/>
    <w:rsid w:val="001B79AC"/>
    <w:rsid w:val="001C04C7"/>
    <w:rsid w:val="001C3BAC"/>
    <w:rsid w:val="001C5F58"/>
    <w:rsid w:val="001C6911"/>
    <w:rsid w:val="001C6B50"/>
    <w:rsid w:val="001C6BEC"/>
    <w:rsid w:val="001D0223"/>
    <w:rsid w:val="001D0434"/>
    <w:rsid w:val="001D0A9B"/>
    <w:rsid w:val="001D0DB8"/>
    <w:rsid w:val="001D1A12"/>
    <w:rsid w:val="001D1DB5"/>
    <w:rsid w:val="001D521B"/>
    <w:rsid w:val="001D5CC9"/>
    <w:rsid w:val="001D71C6"/>
    <w:rsid w:val="001E1463"/>
    <w:rsid w:val="001E17EE"/>
    <w:rsid w:val="001E1D6E"/>
    <w:rsid w:val="001E3DB8"/>
    <w:rsid w:val="001E6782"/>
    <w:rsid w:val="001E73D0"/>
    <w:rsid w:val="001E7533"/>
    <w:rsid w:val="001E78A3"/>
    <w:rsid w:val="001E7D3E"/>
    <w:rsid w:val="001E7F53"/>
    <w:rsid w:val="001F056E"/>
    <w:rsid w:val="001F31C1"/>
    <w:rsid w:val="001F43BF"/>
    <w:rsid w:val="001F4BEB"/>
    <w:rsid w:val="001F5ACA"/>
    <w:rsid w:val="001F67EC"/>
    <w:rsid w:val="001F7BF9"/>
    <w:rsid w:val="002005B1"/>
    <w:rsid w:val="00200B8D"/>
    <w:rsid w:val="0020174F"/>
    <w:rsid w:val="00201A66"/>
    <w:rsid w:val="00202320"/>
    <w:rsid w:val="002044CB"/>
    <w:rsid w:val="00204EFE"/>
    <w:rsid w:val="00205F27"/>
    <w:rsid w:val="002074E0"/>
    <w:rsid w:val="002076DC"/>
    <w:rsid w:val="00210453"/>
    <w:rsid w:val="00210C22"/>
    <w:rsid w:val="00211CAE"/>
    <w:rsid w:val="00212703"/>
    <w:rsid w:val="00212976"/>
    <w:rsid w:val="002130AB"/>
    <w:rsid w:val="00213129"/>
    <w:rsid w:val="002142E4"/>
    <w:rsid w:val="00214ED3"/>
    <w:rsid w:val="00216253"/>
    <w:rsid w:val="002165F2"/>
    <w:rsid w:val="00217455"/>
    <w:rsid w:val="0021760B"/>
    <w:rsid w:val="002201FD"/>
    <w:rsid w:val="00220B6B"/>
    <w:rsid w:val="00220BD8"/>
    <w:rsid w:val="00220F16"/>
    <w:rsid w:val="0022133C"/>
    <w:rsid w:val="00221AE5"/>
    <w:rsid w:val="002222E2"/>
    <w:rsid w:val="002229EC"/>
    <w:rsid w:val="002239F9"/>
    <w:rsid w:val="00224A78"/>
    <w:rsid w:val="00224F1E"/>
    <w:rsid w:val="00225BE0"/>
    <w:rsid w:val="00226474"/>
    <w:rsid w:val="00230AEA"/>
    <w:rsid w:val="002313C4"/>
    <w:rsid w:val="002326BF"/>
    <w:rsid w:val="002331C9"/>
    <w:rsid w:val="0023593C"/>
    <w:rsid w:val="002361C2"/>
    <w:rsid w:val="00240544"/>
    <w:rsid w:val="002405A2"/>
    <w:rsid w:val="00243046"/>
    <w:rsid w:val="002431E1"/>
    <w:rsid w:val="00244A16"/>
    <w:rsid w:val="00245D5F"/>
    <w:rsid w:val="0024684C"/>
    <w:rsid w:val="00250EC8"/>
    <w:rsid w:val="00250F8F"/>
    <w:rsid w:val="00251B42"/>
    <w:rsid w:val="00252409"/>
    <w:rsid w:val="00253412"/>
    <w:rsid w:val="00255922"/>
    <w:rsid w:val="0025618B"/>
    <w:rsid w:val="00256891"/>
    <w:rsid w:val="00257F59"/>
    <w:rsid w:val="002603B7"/>
    <w:rsid w:val="00260A16"/>
    <w:rsid w:val="00260C84"/>
    <w:rsid w:val="00261684"/>
    <w:rsid w:val="00261B69"/>
    <w:rsid w:val="00262824"/>
    <w:rsid w:val="00263399"/>
    <w:rsid w:val="00263F2B"/>
    <w:rsid w:val="00265EB4"/>
    <w:rsid w:val="0026639E"/>
    <w:rsid w:val="00266797"/>
    <w:rsid w:val="00266B49"/>
    <w:rsid w:val="00266B4C"/>
    <w:rsid w:val="002673BF"/>
    <w:rsid w:val="00267528"/>
    <w:rsid w:val="00267DA7"/>
    <w:rsid w:val="00267FCD"/>
    <w:rsid w:val="00270BF6"/>
    <w:rsid w:val="00272256"/>
    <w:rsid w:val="002729F1"/>
    <w:rsid w:val="00272BDD"/>
    <w:rsid w:val="00273156"/>
    <w:rsid w:val="00273D9D"/>
    <w:rsid w:val="00274EBB"/>
    <w:rsid w:val="00276248"/>
    <w:rsid w:val="00276D75"/>
    <w:rsid w:val="002812E4"/>
    <w:rsid w:val="002858F5"/>
    <w:rsid w:val="00285C0B"/>
    <w:rsid w:val="00286327"/>
    <w:rsid w:val="00290D7B"/>
    <w:rsid w:val="002913DE"/>
    <w:rsid w:val="00291414"/>
    <w:rsid w:val="0029153C"/>
    <w:rsid w:val="00293207"/>
    <w:rsid w:val="00294625"/>
    <w:rsid w:val="00297693"/>
    <w:rsid w:val="002979F7"/>
    <w:rsid w:val="002A07A9"/>
    <w:rsid w:val="002A09CA"/>
    <w:rsid w:val="002A17B6"/>
    <w:rsid w:val="002A2875"/>
    <w:rsid w:val="002A2BF4"/>
    <w:rsid w:val="002A61D1"/>
    <w:rsid w:val="002A7BA2"/>
    <w:rsid w:val="002A7FD7"/>
    <w:rsid w:val="002B0D50"/>
    <w:rsid w:val="002B1128"/>
    <w:rsid w:val="002B140C"/>
    <w:rsid w:val="002B1D78"/>
    <w:rsid w:val="002B3081"/>
    <w:rsid w:val="002B431C"/>
    <w:rsid w:val="002B4A5D"/>
    <w:rsid w:val="002B6AD7"/>
    <w:rsid w:val="002C03CD"/>
    <w:rsid w:val="002C0EA5"/>
    <w:rsid w:val="002C1A2D"/>
    <w:rsid w:val="002C1F05"/>
    <w:rsid w:val="002C3070"/>
    <w:rsid w:val="002C3441"/>
    <w:rsid w:val="002C4598"/>
    <w:rsid w:val="002C4C27"/>
    <w:rsid w:val="002C4D3C"/>
    <w:rsid w:val="002C5288"/>
    <w:rsid w:val="002C5D4C"/>
    <w:rsid w:val="002C665C"/>
    <w:rsid w:val="002D0B56"/>
    <w:rsid w:val="002D11B8"/>
    <w:rsid w:val="002D25D9"/>
    <w:rsid w:val="002D2D4C"/>
    <w:rsid w:val="002D2F7C"/>
    <w:rsid w:val="002D37AC"/>
    <w:rsid w:val="002D5DB5"/>
    <w:rsid w:val="002D5FEE"/>
    <w:rsid w:val="002D6A7D"/>
    <w:rsid w:val="002D6E8B"/>
    <w:rsid w:val="002D705D"/>
    <w:rsid w:val="002E066B"/>
    <w:rsid w:val="002E4223"/>
    <w:rsid w:val="002E4659"/>
    <w:rsid w:val="002E6118"/>
    <w:rsid w:val="002E6278"/>
    <w:rsid w:val="002E6D27"/>
    <w:rsid w:val="002F03B2"/>
    <w:rsid w:val="002F08AD"/>
    <w:rsid w:val="002F0935"/>
    <w:rsid w:val="002F0B40"/>
    <w:rsid w:val="002F0D35"/>
    <w:rsid w:val="002F1E35"/>
    <w:rsid w:val="002F501D"/>
    <w:rsid w:val="002F582B"/>
    <w:rsid w:val="002F6977"/>
    <w:rsid w:val="002F7806"/>
    <w:rsid w:val="00300907"/>
    <w:rsid w:val="00300993"/>
    <w:rsid w:val="00301EF0"/>
    <w:rsid w:val="00301FDE"/>
    <w:rsid w:val="0030291E"/>
    <w:rsid w:val="0030386F"/>
    <w:rsid w:val="0030511E"/>
    <w:rsid w:val="00306350"/>
    <w:rsid w:val="003068D2"/>
    <w:rsid w:val="00307808"/>
    <w:rsid w:val="00307D7A"/>
    <w:rsid w:val="0031074D"/>
    <w:rsid w:val="00310A59"/>
    <w:rsid w:val="0031418A"/>
    <w:rsid w:val="0031507D"/>
    <w:rsid w:val="003154C9"/>
    <w:rsid w:val="00316A1C"/>
    <w:rsid w:val="003170E4"/>
    <w:rsid w:val="00317908"/>
    <w:rsid w:val="00317AC2"/>
    <w:rsid w:val="00317EDB"/>
    <w:rsid w:val="00317F10"/>
    <w:rsid w:val="003207C2"/>
    <w:rsid w:val="00320CC2"/>
    <w:rsid w:val="0032161F"/>
    <w:rsid w:val="00323B5D"/>
    <w:rsid w:val="0032420B"/>
    <w:rsid w:val="003318E3"/>
    <w:rsid w:val="00331E3E"/>
    <w:rsid w:val="00331FC0"/>
    <w:rsid w:val="00332B60"/>
    <w:rsid w:val="00333443"/>
    <w:rsid w:val="003346AD"/>
    <w:rsid w:val="00334F57"/>
    <w:rsid w:val="0033514F"/>
    <w:rsid w:val="00335322"/>
    <w:rsid w:val="0033579C"/>
    <w:rsid w:val="003363CB"/>
    <w:rsid w:val="0033670E"/>
    <w:rsid w:val="003370F2"/>
    <w:rsid w:val="00343216"/>
    <w:rsid w:val="00345057"/>
    <w:rsid w:val="003453A4"/>
    <w:rsid w:val="0034572D"/>
    <w:rsid w:val="00345E91"/>
    <w:rsid w:val="003503BC"/>
    <w:rsid w:val="00350409"/>
    <w:rsid w:val="00350693"/>
    <w:rsid w:val="00352D88"/>
    <w:rsid w:val="00354424"/>
    <w:rsid w:val="00354908"/>
    <w:rsid w:val="00355B8B"/>
    <w:rsid w:val="00356E8E"/>
    <w:rsid w:val="003575FE"/>
    <w:rsid w:val="003630BE"/>
    <w:rsid w:val="00363975"/>
    <w:rsid w:val="00365017"/>
    <w:rsid w:val="003651BA"/>
    <w:rsid w:val="00365B75"/>
    <w:rsid w:val="00366D3F"/>
    <w:rsid w:val="00366F05"/>
    <w:rsid w:val="003670F9"/>
    <w:rsid w:val="00373A28"/>
    <w:rsid w:val="00375C62"/>
    <w:rsid w:val="00375FFF"/>
    <w:rsid w:val="003764C9"/>
    <w:rsid w:val="003768BA"/>
    <w:rsid w:val="003772FA"/>
    <w:rsid w:val="00380772"/>
    <w:rsid w:val="00380ED6"/>
    <w:rsid w:val="00381D7E"/>
    <w:rsid w:val="00382DB2"/>
    <w:rsid w:val="003854DC"/>
    <w:rsid w:val="00385815"/>
    <w:rsid w:val="00385858"/>
    <w:rsid w:val="00386932"/>
    <w:rsid w:val="00387C20"/>
    <w:rsid w:val="00387FCC"/>
    <w:rsid w:val="00390A99"/>
    <w:rsid w:val="00391371"/>
    <w:rsid w:val="003921E4"/>
    <w:rsid w:val="003926C7"/>
    <w:rsid w:val="00392F9B"/>
    <w:rsid w:val="003931F6"/>
    <w:rsid w:val="00394143"/>
    <w:rsid w:val="00395167"/>
    <w:rsid w:val="00396A9A"/>
    <w:rsid w:val="003A1610"/>
    <w:rsid w:val="003A1BD3"/>
    <w:rsid w:val="003A206D"/>
    <w:rsid w:val="003A283F"/>
    <w:rsid w:val="003A3220"/>
    <w:rsid w:val="003A3B7D"/>
    <w:rsid w:val="003A792B"/>
    <w:rsid w:val="003A7A6B"/>
    <w:rsid w:val="003B0FC4"/>
    <w:rsid w:val="003B19E1"/>
    <w:rsid w:val="003B2B16"/>
    <w:rsid w:val="003B2E27"/>
    <w:rsid w:val="003B2E6A"/>
    <w:rsid w:val="003B3D50"/>
    <w:rsid w:val="003B3DB9"/>
    <w:rsid w:val="003B4377"/>
    <w:rsid w:val="003B47C8"/>
    <w:rsid w:val="003B4D16"/>
    <w:rsid w:val="003B51A8"/>
    <w:rsid w:val="003B7481"/>
    <w:rsid w:val="003C0C70"/>
    <w:rsid w:val="003C1052"/>
    <w:rsid w:val="003C1269"/>
    <w:rsid w:val="003C5433"/>
    <w:rsid w:val="003C5B31"/>
    <w:rsid w:val="003C6119"/>
    <w:rsid w:val="003D03E5"/>
    <w:rsid w:val="003D092F"/>
    <w:rsid w:val="003D12D6"/>
    <w:rsid w:val="003D1797"/>
    <w:rsid w:val="003D2677"/>
    <w:rsid w:val="003D3228"/>
    <w:rsid w:val="003D4460"/>
    <w:rsid w:val="003D5887"/>
    <w:rsid w:val="003D69A6"/>
    <w:rsid w:val="003D7B60"/>
    <w:rsid w:val="003D7DAC"/>
    <w:rsid w:val="003D7E95"/>
    <w:rsid w:val="003E27DB"/>
    <w:rsid w:val="003E3144"/>
    <w:rsid w:val="003E3363"/>
    <w:rsid w:val="003E38DF"/>
    <w:rsid w:val="003E3E3F"/>
    <w:rsid w:val="003E5AF1"/>
    <w:rsid w:val="003E6111"/>
    <w:rsid w:val="003E6A8B"/>
    <w:rsid w:val="003F0726"/>
    <w:rsid w:val="003F0A3B"/>
    <w:rsid w:val="003F1824"/>
    <w:rsid w:val="003F187E"/>
    <w:rsid w:val="003F24DB"/>
    <w:rsid w:val="003F2B5A"/>
    <w:rsid w:val="003F2BA6"/>
    <w:rsid w:val="003F513A"/>
    <w:rsid w:val="003F5837"/>
    <w:rsid w:val="003F5A2C"/>
    <w:rsid w:val="003F5C2F"/>
    <w:rsid w:val="003F5C3A"/>
    <w:rsid w:val="003F614A"/>
    <w:rsid w:val="003F76BE"/>
    <w:rsid w:val="003F7944"/>
    <w:rsid w:val="00401238"/>
    <w:rsid w:val="00401BF5"/>
    <w:rsid w:val="00402CCC"/>
    <w:rsid w:val="004041ED"/>
    <w:rsid w:val="00404DDC"/>
    <w:rsid w:val="00404F4B"/>
    <w:rsid w:val="0040742F"/>
    <w:rsid w:val="00407C30"/>
    <w:rsid w:val="0041201A"/>
    <w:rsid w:val="004120AB"/>
    <w:rsid w:val="00412539"/>
    <w:rsid w:val="00412B9F"/>
    <w:rsid w:val="00413827"/>
    <w:rsid w:val="00414316"/>
    <w:rsid w:val="0041458A"/>
    <w:rsid w:val="00415913"/>
    <w:rsid w:val="0042199F"/>
    <w:rsid w:val="004225C1"/>
    <w:rsid w:val="0042275D"/>
    <w:rsid w:val="004227B0"/>
    <w:rsid w:val="00423AD9"/>
    <w:rsid w:val="00424E68"/>
    <w:rsid w:val="00425698"/>
    <w:rsid w:val="00426254"/>
    <w:rsid w:val="0042700B"/>
    <w:rsid w:val="00427556"/>
    <w:rsid w:val="004302AE"/>
    <w:rsid w:val="00430DF5"/>
    <w:rsid w:val="00431891"/>
    <w:rsid w:val="004324EC"/>
    <w:rsid w:val="00432B88"/>
    <w:rsid w:val="00432EE6"/>
    <w:rsid w:val="00433547"/>
    <w:rsid w:val="00434E7B"/>
    <w:rsid w:val="00435B3E"/>
    <w:rsid w:val="00435D68"/>
    <w:rsid w:val="00435EAB"/>
    <w:rsid w:val="004362A9"/>
    <w:rsid w:val="00437A95"/>
    <w:rsid w:val="004401FD"/>
    <w:rsid w:val="00440B86"/>
    <w:rsid w:val="00440C5B"/>
    <w:rsid w:val="00441148"/>
    <w:rsid w:val="00441E98"/>
    <w:rsid w:val="0044224E"/>
    <w:rsid w:val="004437B3"/>
    <w:rsid w:val="00444B78"/>
    <w:rsid w:val="00445024"/>
    <w:rsid w:val="004450C8"/>
    <w:rsid w:val="00445A56"/>
    <w:rsid w:val="00446534"/>
    <w:rsid w:val="00446C5B"/>
    <w:rsid w:val="00447A34"/>
    <w:rsid w:val="00450323"/>
    <w:rsid w:val="0045284E"/>
    <w:rsid w:val="00452DFD"/>
    <w:rsid w:val="00452ED4"/>
    <w:rsid w:val="004533B5"/>
    <w:rsid w:val="00453480"/>
    <w:rsid w:val="00453616"/>
    <w:rsid w:val="004569E9"/>
    <w:rsid w:val="00457BBF"/>
    <w:rsid w:val="004601BB"/>
    <w:rsid w:val="0046046D"/>
    <w:rsid w:val="00460A03"/>
    <w:rsid w:val="00461977"/>
    <w:rsid w:val="00462A53"/>
    <w:rsid w:val="00463767"/>
    <w:rsid w:val="00465785"/>
    <w:rsid w:val="0046659A"/>
    <w:rsid w:val="004708FD"/>
    <w:rsid w:val="00474C1B"/>
    <w:rsid w:val="00475B39"/>
    <w:rsid w:val="00476DB4"/>
    <w:rsid w:val="004779A4"/>
    <w:rsid w:val="004800A0"/>
    <w:rsid w:val="004810E4"/>
    <w:rsid w:val="0048141D"/>
    <w:rsid w:val="00481CD5"/>
    <w:rsid w:val="004846F3"/>
    <w:rsid w:val="00485834"/>
    <w:rsid w:val="00486AF5"/>
    <w:rsid w:val="004911F2"/>
    <w:rsid w:val="004915C1"/>
    <w:rsid w:val="00494357"/>
    <w:rsid w:val="00494BD5"/>
    <w:rsid w:val="00494CF4"/>
    <w:rsid w:val="00494E95"/>
    <w:rsid w:val="00495443"/>
    <w:rsid w:val="00496440"/>
    <w:rsid w:val="00496718"/>
    <w:rsid w:val="0049792E"/>
    <w:rsid w:val="004A0717"/>
    <w:rsid w:val="004A27FF"/>
    <w:rsid w:val="004A2E41"/>
    <w:rsid w:val="004A3081"/>
    <w:rsid w:val="004A3276"/>
    <w:rsid w:val="004A367E"/>
    <w:rsid w:val="004A3930"/>
    <w:rsid w:val="004A3E23"/>
    <w:rsid w:val="004A4917"/>
    <w:rsid w:val="004A4B42"/>
    <w:rsid w:val="004A5BD6"/>
    <w:rsid w:val="004A711E"/>
    <w:rsid w:val="004A7556"/>
    <w:rsid w:val="004A7B16"/>
    <w:rsid w:val="004A7B58"/>
    <w:rsid w:val="004B00D2"/>
    <w:rsid w:val="004B0B97"/>
    <w:rsid w:val="004B1011"/>
    <w:rsid w:val="004B1743"/>
    <w:rsid w:val="004B1A59"/>
    <w:rsid w:val="004B2DD2"/>
    <w:rsid w:val="004B3A9D"/>
    <w:rsid w:val="004B4324"/>
    <w:rsid w:val="004B4FF0"/>
    <w:rsid w:val="004B516F"/>
    <w:rsid w:val="004B77E6"/>
    <w:rsid w:val="004B7F56"/>
    <w:rsid w:val="004C0D34"/>
    <w:rsid w:val="004C24C6"/>
    <w:rsid w:val="004C34F1"/>
    <w:rsid w:val="004C47D3"/>
    <w:rsid w:val="004C4EAB"/>
    <w:rsid w:val="004C5145"/>
    <w:rsid w:val="004C52C7"/>
    <w:rsid w:val="004C5E5E"/>
    <w:rsid w:val="004C61C5"/>
    <w:rsid w:val="004C722A"/>
    <w:rsid w:val="004D0DBE"/>
    <w:rsid w:val="004D22F2"/>
    <w:rsid w:val="004D2A1C"/>
    <w:rsid w:val="004D358C"/>
    <w:rsid w:val="004D38FA"/>
    <w:rsid w:val="004D3931"/>
    <w:rsid w:val="004D5C69"/>
    <w:rsid w:val="004D5DCC"/>
    <w:rsid w:val="004D6463"/>
    <w:rsid w:val="004E0DCE"/>
    <w:rsid w:val="004E123E"/>
    <w:rsid w:val="004E1C0D"/>
    <w:rsid w:val="004E2DA5"/>
    <w:rsid w:val="004E324D"/>
    <w:rsid w:val="004E35E4"/>
    <w:rsid w:val="004E4266"/>
    <w:rsid w:val="004E45F5"/>
    <w:rsid w:val="004E47D4"/>
    <w:rsid w:val="004E4B3D"/>
    <w:rsid w:val="004E4BD1"/>
    <w:rsid w:val="004E57E5"/>
    <w:rsid w:val="004E59A3"/>
    <w:rsid w:val="004E6313"/>
    <w:rsid w:val="004E77EF"/>
    <w:rsid w:val="004E7CBC"/>
    <w:rsid w:val="004F1763"/>
    <w:rsid w:val="004F1E17"/>
    <w:rsid w:val="004F3270"/>
    <w:rsid w:val="004F369D"/>
    <w:rsid w:val="004F46C0"/>
    <w:rsid w:val="004F5064"/>
    <w:rsid w:val="004F7A57"/>
    <w:rsid w:val="004F7E28"/>
    <w:rsid w:val="004F7FC4"/>
    <w:rsid w:val="00500A2F"/>
    <w:rsid w:val="005032D3"/>
    <w:rsid w:val="00503BB4"/>
    <w:rsid w:val="0050473E"/>
    <w:rsid w:val="00504DE2"/>
    <w:rsid w:val="005072DF"/>
    <w:rsid w:val="00507947"/>
    <w:rsid w:val="0051081D"/>
    <w:rsid w:val="00511BB2"/>
    <w:rsid w:val="00511C1F"/>
    <w:rsid w:val="005127D9"/>
    <w:rsid w:val="005129F3"/>
    <w:rsid w:val="00514573"/>
    <w:rsid w:val="00517BF2"/>
    <w:rsid w:val="0052002B"/>
    <w:rsid w:val="00520183"/>
    <w:rsid w:val="005228F0"/>
    <w:rsid w:val="00522AB3"/>
    <w:rsid w:val="00524576"/>
    <w:rsid w:val="0052516F"/>
    <w:rsid w:val="005266D2"/>
    <w:rsid w:val="00526D25"/>
    <w:rsid w:val="00530555"/>
    <w:rsid w:val="0053093B"/>
    <w:rsid w:val="00530FD5"/>
    <w:rsid w:val="00532815"/>
    <w:rsid w:val="00533DE7"/>
    <w:rsid w:val="00533E1E"/>
    <w:rsid w:val="0053428B"/>
    <w:rsid w:val="00535EE8"/>
    <w:rsid w:val="0053753E"/>
    <w:rsid w:val="00537A62"/>
    <w:rsid w:val="00537CB1"/>
    <w:rsid w:val="00541FAC"/>
    <w:rsid w:val="00543054"/>
    <w:rsid w:val="005448DD"/>
    <w:rsid w:val="00545805"/>
    <w:rsid w:val="00545DBF"/>
    <w:rsid w:val="00546A34"/>
    <w:rsid w:val="00546B81"/>
    <w:rsid w:val="00547CFB"/>
    <w:rsid w:val="0055099B"/>
    <w:rsid w:val="005512A0"/>
    <w:rsid w:val="00551826"/>
    <w:rsid w:val="00551CED"/>
    <w:rsid w:val="00552EC0"/>
    <w:rsid w:val="00554603"/>
    <w:rsid w:val="00554C2B"/>
    <w:rsid w:val="00554D71"/>
    <w:rsid w:val="005552D0"/>
    <w:rsid w:val="0055638E"/>
    <w:rsid w:val="0055657D"/>
    <w:rsid w:val="00562902"/>
    <w:rsid w:val="00562C2C"/>
    <w:rsid w:val="00562CCF"/>
    <w:rsid w:val="00563663"/>
    <w:rsid w:val="005644FA"/>
    <w:rsid w:val="0056525E"/>
    <w:rsid w:val="00565642"/>
    <w:rsid w:val="005659DC"/>
    <w:rsid w:val="00566C37"/>
    <w:rsid w:val="00570E10"/>
    <w:rsid w:val="005715FD"/>
    <w:rsid w:val="00571B48"/>
    <w:rsid w:val="00572BB9"/>
    <w:rsid w:val="00572F22"/>
    <w:rsid w:val="00574214"/>
    <w:rsid w:val="00574ACE"/>
    <w:rsid w:val="00575C93"/>
    <w:rsid w:val="00576110"/>
    <w:rsid w:val="0057680C"/>
    <w:rsid w:val="005779DB"/>
    <w:rsid w:val="005807EE"/>
    <w:rsid w:val="00581547"/>
    <w:rsid w:val="0058159D"/>
    <w:rsid w:val="00581BF8"/>
    <w:rsid w:val="0058222F"/>
    <w:rsid w:val="00582386"/>
    <w:rsid w:val="00582F22"/>
    <w:rsid w:val="00583C15"/>
    <w:rsid w:val="00583CFC"/>
    <w:rsid w:val="00583DA3"/>
    <w:rsid w:val="00584380"/>
    <w:rsid w:val="005855AC"/>
    <w:rsid w:val="0058632B"/>
    <w:rsid w:val="00586615"/>
    <w:rsid w:val="00586648"/>
    <w:rsid w:val="00586D3B"/>
    <w:rsid w:val="00587F84"/>
    <w:rsid w:val="00590FFA"/>
    <w:rsid w:val="00592F6D"/>
    <w:rsid w:val="00592FA9"/>
    <w:rsid w:val="00594281"/>
    <w:rsid w:val="00594DAB"/>
    <w:rsid w:val="0059516B"/>
    <w:rsid w:val="005A0ABD"/>
    <w:rsid w:val="005A2120"/>
    <w:rsid w:val="005A245E"/>
    <w:rsid w:val="005A2757"/>
    <w:rsid w:val="005A2AE5"/>
    <w:rsid w:val="005A30DA"/>
    <w:rsid w:val="005A37FD"/>
    <w:rsid w:val="005A39E5"/>
    <w:rsid w:val="005A53AC"/>
    <w:rsid w:val="005A590D"/>
    <w:rsid w:val="005A658A"/>
    <w:rsid w:val="005A6DB1"/>
    <w:rsid w:val="005A7F3F"/>
    <w:rsid w:val="005B0DED"/>
    <w:rsid w:val="005B0E99"/>
    <w:rsid w:val="005B185D"/>
    <w:rsid w:val="005B36FA"/>
    <w:rsid w:val="005B4018"/>
    <w:rsid w:val="005B42CC"/>
    <w:rsid w:val="005B665A"/>
    <w:rsid w:val="005B6A58"/>
    <w:rsid w:val="005B709A"/>
    <w:rsid w:val="005B7ECB"/>
    <w:rsid w:val="005C0162"/>
    <w:rsid w:val="005C0D5C"/>
    <w:rsid w:val="005C100D"/>
    <w:rsid w:val="005C2469"/>
    <w:rsid w:val="005C2A30"/>
    <w:rsid w:val="005C30F5"/>
    <w:rsid w:val="005C3270"/>
    <w:rsid w:val="005C32A6"/>
    <w:rsid w:val="005C351C"/>
    <w:rsid w:val="005C4047"/>
    <w:rsid w:val="005C5590"/>
    <w:rsid w:val="005D1226"/>
    <w:rsid w:val="005D1CB8"/>
    <w:rsid w:val="005D246B"/>
    <w:rsid w:val="005D25DF"/>
    <w:rsid w:val="005D2662"/>
    <w:rsid w:val="005D2DE8"/>
    <w:rsid w:val="005D4A2D"/>
    <w:rsid w:val="005D4F21"/>
    <w:rsid w:val="005D5C53"/>
    <w:rsid w:val="005D60B7"/>
    <w:rsid w:val="005D6E36"/>
    <w:rsid w:val="005D7677"/>
    <w:rsid w:val="005D7F38"/>
    <w:rsid w:val="005E0291"/>
    <w:rsid w:val="005E0BEB"/>
    <w:rsid w:val="005E13BB"/>
    <w:rsid w:val="005E1798"/>
    <w:rsid w:val="005E1DDD"/>
    <w:rsid w:val="005E28E7"/>
    <w:rsid w:val="005F0F99"/>
    <w:rsid w:val="005F1563"/>
    <w:rsid w:val="005F1D17"/>
    <w:rsid w:val="005F559A"/>
    <w:rsid w:val="005F5E24"/>
    <w:rsid w:val="005F6121"/>
    <w:rsid w:val="005F6E25"/>
    <w:rsid w:val="00600BA6"/>
    <w:rsid w:val="0060142F"/>
    <w:rsid w:val="00602427"/>
    <w:rsid w:val="00602B48"/>
    <w:rsid w:val="0060329A"/>
    <w:rsid w:val="00604020"/>
    <w:rsid w:val="00605C1A"/>
    <w:rsid w:val="00607583"/>
    <w:rsid w:val="00607DE6"/>
    <w:rsid w:val="00612929"/>
    <w:rsid w:val="00612ACA"/>
    <w:rsid w:val="00613DCF"/>
    <w:rsid w:val="00614DC5"/>
    <w:rsid w:val="00615B39"/>
    <w:rsid w:val="006169C8"/>
    <w:rsid w:val="00621558"/>
    <w:rsid w:val="00621F84"/>
    <w:rsid w:val="006265F0"/>
    <w:rsid w:val="0062679A"/>
    <w:rsid w:val="006268BE"/>
    <w:rsid w:val="00627139"/>
    <w:rsid w:val="006306C5"/>
    <w:rsid w:val="00630876"/>
    <w:rsid w:val="006314CF"/>
    <w:rsid w:val="0063217F"/>
    <w:rsid w:val="00632E5D"/>
    <w:rsid w:val="00635A3D"/>
    <w:rsid w:val="00636318"/>
    <w:rsid w:val="00636B40"/>
    <w:rsid w:val="00636D57"/>
    <w:rsid w:val="00637742"/>
    <w:rsid w:val="00637AE3"/>
    <w:rsid w:val="00637CFA"/>
    <w:rsid w:val="006448FF"/>
    <w:rsid w:val="00645FF2"/>
    <w:rsid w:val="006460DF"/>
    <w:rsid w:val="0064674D"/>
    <w:rsid w:val="006467E1"/>
    <w:rsid w:val="00650479"/>
    <w:rsid w:val="00650539"/>
    <w:rsid w:val="006508DA"/>
    <w:rsid w:val="00650B7D"/>
    <w:rsid w:val="00655A8A"/>
    <w:rsid w:val="006564FC"/>
    <w:rsid w:val="006565F4"/>
    <w:rsid w:val="0065793B"/>
    <w:rsid w:val="00660C4C"/>
    <w:rsid w:val="00661371"/>
    <w:rsid w:val="00661386"/>
    <w:rsid w:val="00663B88"/>
    <w:rsid w:val="00664F92"/>
    <w:rsid w:val="00665543"/>
    <w:rsid w:val="00665BED"/>
    <w:rsid w:val="00666C2B"/>
    <w:rsid w:val="00667718"/>
    <w:rsid w:val="00667E14"/>
    <w:rsid w:val="006705C1"/>
    <w:rsid w:val="00670C7E"/>
    <w:rsid w:val="00670CFD"/>
    <w:rsid w:val="006719A2"/>
    <w:rsid w:val="00671D8A"/>
    <w:rsid w:val="00672654"/>
    <w:rsid w:val="00672BFA"/>
    <w:rsid w:val="00674F0C"/>
    <w:rsid w:val="00675282"/>
    <w:rsid w:val="00676402"/>
    <w:rsid w:val="00676C26"/>
    <w:rsid w:val="00676F5C"/>
    <w:rsid w:val="00677425"/>
    <w:rsid w:val="00677E0C"/>
    <w:rsid w:val="0068036D"/>
    <w:rsid w:val="0068160F"/>
    <w:rsid w:val="00681A85"/>
    <w:rsid w:val="0068263C"/>
    <w:rsid w:val="00683191"/>
    <w:rsid w:val="00684B57"/>
    <w:rsid w:val="00686914"/>
    <w:rsid w:val="006879A2"/>
    <w:rsid w:val="006879A9"/>
    <w:rsid w:val="00691A29"/>
    <w:rsid w:val="006932D7"/>
    <w:rsid w:val="00694136"/>
    <w:rsid w:val="006954AF"/>
    <w:rsid w:val="00695F08"/>
    <w:rsid w:val="00696A88"/>
    <w:rsid w:val="00697505"/>
    <w:rsid w:val="006A129F"/>
    <w:rsid w:val="006A4272"/>
    <w:rsid w:val="006A4A47"/>
    <w:rsid w:val="006A5548"/>
    <w:rsid w:val="006A757E"/>
    <w:rsid w:val="006A772D"/>
    <w:rsid w:val="006A78BC"/>
    <w:rsid w:val="006B259E"/>
    <w:rsid w:val="006B34E1"/>
    <w:rsid w:val="006B36FB"/>
    <w:rsid w:val="006B514E"/>
    <w:rsid w:val="006B7DD0"/>
    <w:rsid w:val="006C3460"/>
    <w:rsid w:val="006C37C9"/>
    <w:rsid w:val="006C4E67"/>
    <w:rsid w:val="006C5AB3"/>
    <w:rsid w:val="006C620F"/>
    <w:rsid w:val="006C649A"/>
    <w:rsid w:val="006C7BC0"/>
    <w:rsid w:val="006D0488"/>
    <w:rsid w:val="006D0610"/>
    <w:rsid w:val="006D19E4"/>
    <w:rsid w:val="006D1C90"/>
    <w:rsid w:val="006D23E4"/>
    <w:rsid w:val="006D24CF"/>
    <w:rsid w:val="006D49B8"/>
    <w:rsid w:val="006D599B"/>
    <w:rsid w:val="006D6F84"/>
    <w:rsid w:val="006D7BA1"/>
    <w:rsid w:val="006E12A5"/>
    <w:rsid w:val="006E160B"/>
    <w:rsid w:val="006E2584"/>
    <w:rsid w:val="006E266F"/>
    <w:rsid w:val="006E29F7"/>
    <w:rsid w:val="006E446D"/>
    <w:rsid w:val="006E5BDD"/>
    <w:rsid w:val="006E72CE"/>
    <w:rsid w:val="006F04C8"/>
    <w:rsid w:val="006F1CF9"/>
    <w:rsid w:val="006F1DFF"/>
    <w:rsid w:val="006F32E1"/>
    <w:rsid w:val="006F4E99"/>
    <w:rsid w:val="006F68D4"/>
    <w:rsid w:val="006F6E5A"/>
    <w:rsid w:val="006F72F9"/>
    <w:rsid w:val="0070144A"/>
    <w:rsid w:val="00701C4A"/>
    <w:rsid w:val="00701C6F"/>
    <w:rsid w:val="00702832"/>
    <w:rsid w:val="00702AF8"/>
    <w:rsid w:val="00702E76"/>
    <w:rsid w:val="00702F69"/>
    <w:rsid w:val="00703AC3"/>
    <w:rsid w:val="00703FCF"/>
    <w:rsid w:val="00704F84"/>
    <w:rsid w:val="00705479"/>
    <w:rsid w:val="007102B7"/>
    <w:rsid w:val="00710543"/>
    <w:rsid w:val="00712A08"/>
    <w:rsid w:val="00713102"/>
    <w:rsid w:val="00714EF5"/>
    <w:rsid w:val="00714EFC"/>
    <w:rsid w:val="00715B33"/>
    <w:rsid w:val="00716FA5"/>
    <w:rsid w:val="00717708"/>
    <w:rsid w:val="00717E09"/>
    <w:rsid w:val="00720836"/>
    <w:rsid w:val="007209A5"/>
    <w:rsid w:val="00720D75"/>
    <w:rsid w:val="00721C14"/>
    <w:rsid w:val="00722DF3"/>
    <w:rsid w:val="00724AA0"/>
    <w:rsid w:val="00724F57"/>
    <w:rsid w:val="007251C6"/>
    <w:rsid w:val="0072545F"/>
    <w:rsid w:val="0072588B"/>
    <w:rsid w:val="00730E83"/>
    <w:rsid w:val="0073324F"/>
    <w:rsid w:val="0073361A"/>
    <w:rsid w:val="00733A83"/>
    <w:rsid w:val="007343C0"/>
    <w:rsid w:val="00736019"/>
    <w:rsid w:val="0073616C"/>
    <w:rsid w:val="00736B70"/>
    <w:rsid w:val="00736F95"/>
    <w:rsid w:val="00737558"/>
    <w:rsid w:val="00740393"/>
    <w:rsid w:val="0074042C"/>
    <w:rsid w:val="00740648"/>
    <w:rsid w:val="007409D3"/>
    <w:rsid w:val="007415A2"/>
    <w:rsid w:val="0074187A"/>
    <w:rsid w:val="00744769"/>
    <w:rsid w:val="00747117"/>
    <w:rsid w:val="007518B9"/>
    <w:rsid w:val="00751E77"/>
    <w:rsid w:val="00752712"/>
    <w:rsid w:val="00753E07"/>
    <w:rsid w:val="007545AA"/>
    <w:rsid w:val="00754737"/>
    <w:rsid w:val="00754A55"/>
    <w:rsid w:val="00754E6C"/>
    <w:rsid w:val="00755259"/>
    <w:rsid w:val="007559E6"/>
    <w:rsid w:val="00756FF7"/>
    <w:rsid w:val="00757DE9"/>
    <w:rsid w:val="00761A74"/>
    <w:rsid w:val="00762C95"/>
    <w:rsid w:val="00762D94"/>
    <w:rsid w:val="0076565A"/>
    <w:rsid w:val="007668EF"/>
    <w:rsid w:val="00767C06"/>
    <w:rsid w:val="007704B9"/>
    <w:rsid w:val="00772108"/>
    <w:rsid w:val="00774866"/>
    <w:rsid w:val="00776674"/>
    <w:rsid w:val="007773B9"/>
    <w:rsid w:val="00782FC6"/>
    <w:rsid w:val="007834AE"/>
    <w:rsid w:val="0078371A"/>
    <w:rsid w:val="007855B3"/>
    <w:rsid w:val="00786CC7"/>
    <w:rsid w:val="00786CF7"/>
    <w:rsid w:val="007901BB"/>
    <w:rsid w:val="00791F44"/>
    <w:rsid w:val="00792D1D"/>
    <w:rsid w:val="00795DA3"/>
    <w:rsid w:val="0079633D"/>
    <w:rsid w:val="00796771"/>
    <w:rsid w:val="00796AF8"/>
    <w:rsid w:val="007972E2"/>
    <w:rsid w:val="007974BF"/>
    <w:rsid w:val="00797FE6"/>
    <w:rsid w:val="007A0CCF"/>
    <w:rsid w:val="007A181F"/>
    <w:rsid w:val="007A3570"/>
    <w:rsid w:val="007A3F7B"/>
    <w:rsid w:val="007A5D55"/>
    <w:rsid w:val="007B0BC6"/>
    <w:rsid w:val="007B2397"/>
    <w:rsid w:val="007B2709"/>
    <w:rsid w:val="007B27E8"/>
    <w:rsid w:val="007B2848"/>
    <w:rsid w:val="007B356F"/>
    <w:rsid w:val="007B448A"/>
    <w:rsid w:val="007B4E6B"/>
    <w:rsid w:val="007B50BB"/>
    <w:rsid w:val="007B773F"/>
    <w:rsid w:val="007B7F59"/>
    <w:rsid w:val="007C1E39"/>
    <w:rsid w:val="007C3278"/>
    <w:rsid w:val="007C33E7"/>
    <w:rsid w:val="007C38AB"/>
    <w:rsid w:val="007C3BA9"/>
    <w:rsid w:val="007C49A5"/>
    <w:rsid w:val="007C4E42"/>
    <w:rsid w:val="007D0379"/>
    <w:rsid w:val="007D0D82"/>
    <w:rsid w:val="007D28D1"/>
    <w:rsid w:val="007D3662"/>
    <w:rsid w:val="007D446E"/>
    <w:rsid w:val="007D4477"/>
    <w:rsid w:val="007D4600"/>
    <w:rsid w:val="007D4817"/>
    <w:rsid w:val="007D4D5C"/>
    <w:rsid w:val="007D54E4"/>
    <w:rsid w:val="007D6254"/>
    <w:rsid w:val="007D6379"/>
    <w:rsid w:val="007D6B26"/>
    <w:rsid w:val="007D6FB7"/>
    <w:rsid w:val="007D7040"/>
    <w:rsid w:val="007D73BC"/>
    <w:rsid w:val="007E027C"/>
    <w:rsid w:val="007E0BA2"/>
    <w:rsid w:val="007E0F19"/>
    <w:rsid w:val="007E12A6"/>
    <w:rsid w:val="007E266B"/>
    <w:rsid w:val="007E38DD"/>
    <w:rsid w:val="007E4656"/>
    <w:rsid w:val="007E4D21"/>
    <w:rsid w:val="007E4D4B"/>
    <w:rsid w:val="007E6481"/>
    <w:rsid w:val="007E6782"/>
    <w:rsid w:val="007E6E32"/>
    <w:rsid w:val="007E6E73"/>
    <w:rsid w:val="007E7298"/>
    <w:rsid w:val="007F1006"/>
    <w:rsid w:val="007F2429"/>
    <w:rsid w:val="007F242C"/>
    <w:rsid w:val="007F24AA"/>
    <w:rsid w:val="007F3C72"/>
    <w:rsid w:val="007F4032"/>
    <w:rsid w:val="007F45E8"/>
    <w:rsid w:val="007F5174"/>
    <w:rsid w:val="007F648E"/>
    <w:rsid w:val="007F6C34"/>
    <w:rsid w:val="007F7F7E"/>
    <w:rsid w:val="008038F4"/>
    <w:rsid w:val="00804063"/>
    <w:rsid w:val="00804A4A"/>
    <w:rsid w:val="00805F53"/>
    <w:rsid w:val="00806BDD"/>
    <w:rsid w:val="008075CA"/>
    <w:rsid w:val="008102B0"/>
    <w:rsid w:val="00810657"/>
    <w:rsid w:val="008116CC"/>
    <w:rsid w:val="00811940"/>
    <w:rsid w:val="008137D3"/>
    <w:rsid w:val="00813F47"/>
    <w:rsid w:val="00814FA1"/>
    <w:rsid w:val="00815484"/>
    <w:rsid w:val="00815A7E"/>
    <w:rsid w:val="00821139"/>
    <w:rsid w:val="00821495"/>
    <w:rsid w:val="00821A18"/>
    <w:rsid w:val="00821B2F"/>
    <w:rsid w:val="00822547"/>
    <w:rsid w:val="0082425D"/>
    <w:rsid w:val="0082449B"/>
    <w:rsid w:val="00825F06"/>
    <w:rsid w:val="00827D6F"/>
    <w:rsid w:val="00827D99"/>
    <w:rsid w:val="008312B6"/>
    <w:rsid w:val="00833877"/>
    <w:rsid w:val="00833E1F"/>
    <w:rsid w:val="00834794"/>
    <w:rsid w:val="0083795A"/>
    <w:rsid w:val="00841C14"/>
    <w:rsid w:val="00841E54"/>
    <w:rsid w:val="00841E55"/>
    <w:rsid w:val="0084204E"/>
    <w:rsid w:val="00842369"/>
    <w:rsid w:val="008427CD"/>
    <w:rsid w:val="008432BE"/>
    <w:rsid w:val="00843C51"/>
    <w:rsid w:val="00844990"/>
    <w:rsid w:val="00844F05"/>
    <w:rsid w:val="008453A0"/>
    <w:rsid w:val="00846A2A"/>
    <w:rsid w:val="00851E16"/>
    <w:rsid w:val="008523D2"/>
    <w:rsid w:val="00853A62"/>
    <w:rsid w:val="00855582"/>
    <w:rsid w:val="0085639C"/>
    <w:rsid w:val="00856602"/>
    <w:rsid w:val="008566F8"/>
    <w:rsid w:val="0086006D"/>
    <w:rsid w:val="0086027D"/>
    <w:rsid w:val="008605DF"/>
    <w:rsid w:val="00860A81"/>
    <w:rsid w:val="00860C41"/>
    <w:rsid w:val="00861082"/>
    <w:rsid w:val="008663D0"/>
    <w:rsid w:val="00867094"/>
    <w:rsid w:val="008674F0"/>
    <w:rsid w:val="00867FCC"/>
    <w:rsid w:val="0087077F"/>
    <w:rsid w:val="008727F4"/>
    <w:rsid w:val="00873588"/>
    <w:rsid w:val="00873C23"/>
    <w:rsid w:val="00874DF6"/>
    <w:rsid w:val="00875C35"/>
    <w:rsid w:val="008771F9"/>
    <w:rsid w:val="008801F0"/>
    <w:rsid w:val="00880626"/>
    <w:rsid w:val="00880656"/>
    <w:rsid w:val="00881064"/>
    <w:rsid w:val="0088388B"/>
    <w:rsid w:val="0088584B"/>
    <w:rsid w:val="00886AA3"/>
    <w:rsid w:val="008905C0"/>
    <w:rsid w:val="00891213"/>
    <w:rsid w:val="008918F3"/>
    <w:rsid w:val="00891DF3"/>
    <w:rsid w:val="00891F74"/>
    <w:rsid w:val="00893223"/>
    <w:rsid w:val="00893297"/>
    <w:rsid w:val="00893683"/>
    <w:rsid w:val="00893F04"/>
    <w:rsid w:val="00895D97"/>
    <w:rsid w:val="0089624C"/>
    <w:rsid w:val="0089665B"/>
    <w:rsid w:val="008976E8"/>
    <w:rsid w:val="008A0A6D"/>
    <w:rsid w:val="008A119A"/>
    <w:rsid w:val="008A2511"/>
    <w:rsid w:val="008A3B52"/>
    <w:rsid w:val="008A420C"/>
    <w:rsid w:val="008A456A"/>
    <w:rsid w:val="008A4C1B"/>
    <w:rsid w:val="008A51CC"/>
    <w:rsid w:val="008A6033"/>
    <w:rsid w:val="008A6D71"/>
    <w:rsid w:val="008A72A4"/>
    <w:rsid w:val="008B25EB"/>
    <w:rsid w:val="008B373C"/>
    <w:rsid w:val="008B3F99"/>
    <w:rsid w:val="008B43F3"/>
    <w:rsid w:val="008B51F6"/>
    <w:rsid w:val="008B5241"/>
    <w:rsid w:val="008B6187"/>
    <w:rsid w:val="008B638D"/>
    <w:rsid w:val="008B65D0"/>
    <w:rsid w:val="008B6B7C"/>
    <w:rsid w:val="008B6DC1"/>
    <w:rsid w:val="008B7747"/>
    <w:rsid w:val="008B7DE7"/>
    <w:rsid w:val="008C5077"/>
    <w:rsid w:val="008C5658"/>
    <w:rsid w:val="008C56CB"/>
    <w:rsid w:val="008C7B23"/>
    <w:rsid w:val="008D151D"/>
    <w:rsid w:val="008D3E11"/>
    <w:rsid w:val="008D3F28"/>
    <w:rsid w:val="008D47A8"/>
    <w:rsid w:val="008D48A8"/>
    <w:rsid w:val="008E020B"/>
    <w:rsid w:val="008E0B54"/>
    <w:rsid w:val="008E1739"/>
    <w:rsid w:val="008E1A18"/>
    <w:rsid w:val="008E1F75"/>
    <w:rsid w:val="008E25DC"/>
    <w:rsid w:val="008E2756"/>
    <w:rsid w:val="008E2DCF"/>
    <w:rsid w:val="008E3133"/>
    <w:rsid w:val="008E35A8"/>
    <w:rsid w:val="008E3A57"/>
    <w:rsid w:val="008E3F82"/>
    <w:rsid w:val="008E47B7"/>
    <w:rsid w:val="008E613E"/>
    <w:rsid w:val="008E76AC"/>
    <w:rsid w:val="008F06C5"/>
    <w:rsid w:val="008F1488"/>
    <w:rsid w:val="008F3672"/>
    <w:rsid w:val="008F36DB"/>
    <w:rsid w:val="008F3E2E"/>
    <w:rsid w:val="008F4065"/>
    <w:rsid w:val="008F5BB1"/>
    <w:rsid w:val="008F615E"/>
    <w:rsid w:val="008F643C"/>
    <w:rsid w:val="008F7536"/>
    <w:rsid w:val="009002F0"/>
    <w:rsid w:val="009002F9"/>
    <w:rsid w:val="009006F8"/>
    <w:rsid w:val="0090193B"/>
    <w:rsid w:val="00902D07"/>
    <w:rsid w:val="0090485F"/>
    <w:rsid w:val="0090789D"/>
    <w:rsid w:val="00907EB9"/>
    <w:rsid w:val="009110C6"/>
    <w:rsid w:val="009112E2"/>
    <w:rsid w:val="00912CE1"/>
    <w:rsid w:val="00913C5C"/>
    <w:rsid w:val="00914FE8"/>
    <w:rsid w:val="009164A3"/>
    <w:rsid w:val="009173EB"/>
    <w:rsid w:val="00917654"/>
    <w:rsid w:val="00917DD0"/>
    <w:rsid w:val="00920933"/>
    <w:rsid w:val="00920A72"/>
    <w:rsid w:val="00922628"/>
    <w:rsid w:val="00922705"/>
    <w:rsid w:val="00923F10"/>
    <w:rsid w:val="0092464D"/>
    <w:rsid w:val="00924A00"/>
    <w:rsid w:val="00924D29"/>
    <w:rsid w:val="00926D17"/>
    <w:rsid w:val="00926F40"/>
    <w:rsid w:val="009277CD"/>
    <w:rsid w:val="00927F49"/>
    <w:rsid w:val="00930150"/>
    <w:rsid w:val="00930E12"/>
    <w:rsid w:val="00930FCC"/>
    <w:rsid w:val="009310FE"/>
    <w:rsid w:val="00931B98"/>
    <w:rsid w:val="0093244B"/>
    <w:rsid w:val="00933A7A"/>
    <w:rsid w:val="00933B04"/>
    <w:rsid w:val="00935513"/>
    <w:rsid w:val="0093726D"/>
    <w:rsid w:val="00940C6A"/>
    <w:rsid w:val="00941503"/>
    <w:rsid w:val="009423B9"/>
    <w:rsid w:val="00944A88"/>
    <w:rsid w:val="009506F2"/>
    <w:rsid w:val="009515FE"/>
    <w:rsid w:val="00952E36"/>
    <w:rsid w:val="00954425"/>
    <w:rsid w:val="00954B5F"/>
    <w:rsid w:val="00954C9F"/>
    <w:rsid w:val="009555B3"/>
    <w:rsid w:val="00955852"/>
    <w:rsid w:val="00956107"/>
    <w:rsid w:val="00956213"/>
    <w:rsid w:val="00957704"/>
    <w:rsid w:val="00957FDB"/>
    <w:rsid w:val="0096004D"/>
    <w:rsid w:val="00962AC5"/>
    <w:rsid w:val="00964D79"/>
    <w:rsid w:val="00964F06"/>
    <w:rsid w:val="00965B86"/>
    <w:rsid w:val="0096676B"/>
    <w:rsid w:val="00966B2C"/>
    <w:rsid w:val="00966C52"/>
    <w:rsid w:val="00966EAD"/>
    <w:rsid w:val="009679C5"/>
    <w:rsid w:val="00971562"/>
    <w:rsid w:val="00972295"/>
    <w:rsid w:val="00973416"/>
    <w:rsid w:val="00974930"/>
    <w:rsid w:val="009753C1"/>
    <w:rsid w:val="00976067"/>
    <w:rsid w:val="0097624B"/>
    <w:rsid w:val="0097628F"/>
    <w:rsid w:val="00977290"/>
    <w:rsid w:val="0097749C"/>
    <w:rsid w:val="00980507"/>
    <w:rsid w:val="00980760"/>
    <w:rsid w:val="009824DE"/>
    <w:rsid w:val="0098266F"/>
    <w:rsid w:val="00982988"/>
    <w:rsid w:val="00982F71"/>
    <w:rsid w:val="0098334C"/>
    <w:rsid w:val="00983DA6"/>
    <w:rsid w:val="009843D1"/>
    <w:rsid w:val="00985C31"/>
    <w:rsid w:val="00985ECE"/>
    <w:rsid w:val="00986162"/>
    <w:rsid w:val="00986906"/>
    <w:rsid w:val="00990CA9"/>
    <w:rsid w:val="009924D9"/>
    <w:rsid w:val="009933BA"/>
    <w:rsid w:val="0099390A"/>
    <w:rsid w:val="00993962"/>
    <w:rsid w:val="009943C9"/>
    <w:rsid w:val="00994416"/>
    <w:rsid w:val="009948AC"/>
    <w:rsid w:val="009975AE"/>
    <w:rsid w:val="009A0C9F"/>
    <w:rsid w:val="009A1BC5"/>
    <w:rsid w:val="009A31BE"/>
    <w:rsid w:val="009A3A1F"/>
    <w:rsid w:val="009A4F41"/>
    <w:rsid w:val="009A5B85"/>
    <w:rsid w:val="009A5F89"/>
    <w:rsid w:val="009A6691"/>
    <w:rsid w:val="009A674F"/>
    <w:rsid w:val="009A734A"/>
    <w:rsid w:val="009B1D76"/>
    <w:rsid w:val="009B23EF"/>
    <w:rsid w:val="009B2C54"/>
    <w:rsid w:val="009B3F02"/>
    <w:rsid w:val="009B3FE5"/>
    <w:rsid w:val="009B462C"/>
    <w:rsid w:val="009B6A42"/>
    <w:rsid w:val="009B7B6B"/>
    <w:rsid w:val="009C184C"/>
    <w:rsid w:val="009C190C"/>
    <w:rsid w:val="009D122E"/>
    <w:rsid w:val="009D2A28"/>
    <w:rsid w:val="009D2EEB"/>
    <w:rsid w:val="009D3283"/>
    <w:rsid w:val="009D3D36"/>
    <w:rsid w:val="009D473C"/>
    <w:rsid w:val="009D4822"/>
    <w:rsid w:val="009D53E0"/>
    <w:rsid w:val="009D5D90"/>
    <w:rsid w:val="009D71B8"/>
    <w:rsid w:val="009E0315"/>
    <w:rsid w:val="009E08AA"/>
    <w:rsid w:val="009E1042"/>
    <w:rsid w:val="009E16C6"/>
    <w:rsid w:val="009E2309"/>
    <w:rsid w:val="009E24C0"/>
    <w:rsid w:val="009E2E42"/>
    <w:rsid w:val="009E4E7A"/>
    <w:rsid w:val="009E4FD4"/>
    <w:rsid w:val="009E515F"/>
    <w:rsid w:val="009E52FB"/>
    <w:rsid w:val="009E703A"/>
    <w:rsid w:val="009E7996"/>
    <w:rsid w:val="009E7C4E"/>
    <w:rsid w:val="009F0590"/>
    <w:rsid w:val="009F06AB"/>
    <w:rsid w:val="009F1DE1"/>
    <w:rsid w:val="009F2BDE"/>
    <w:rsid w:val="009F315E"/>
    <w:rsid w:val="009F57D3"/>
    <w:rsid w:val="009F7293"/>
    <w:rsid w:val="009F7990"/>
    <w:rsid w:val="00A011B3"/>
    <w:rsid w:val="00A0229C"/>
    <w:rsid w:val="00A038B4"/>
    <w:rsid w:val="00A04374"/>
    <w:rsid w:val="00A04A56"/>
    <w:rsid w:val="00A054D1"/>
    <w:rsid w:val="00A06149"/>
    <w:rsid w:val="00A06739"/>
    <w:rsid w:val="00A06F88"/>
    <w:rsid w:val="00A10FA2"/>
    <w:rsid w:val="00A111B2"/>
    <w:rsid w:val="00A11A7E"/>
    <w:rsid w:val="00A14A05"/>
    <w:rsid w:val="00A16040"/>
    <w:rsid w:val="00A16357"/>
    <w:rsid w:val="00A16A5B"/>
    <w:rsid w:val="00A17D1E"/>
    <w:rsid w:val="00A21F5D"/>
    <w:rsid w:val="00A2490C"/>
    <w:rsid w:val="00A253D9"/>
    <w:rsid w:val="00A25F32"/>
    <w:rsid w:val="00A26949"/>
    <w:rsid w:val="00A26AEF"/>
    <w:rsid w:val="00A27B47"/>
    <w:rsid w:val="00A30028"/>
    <w:rsid w:val="00A34970"/>
    <w:rsid w:val="00A35005"/>
    <w:rsid w:val="00A35B27"/>
    <w:rsid w:val="00A37CE6"/>
    <w:rsid w:val="00A4053D"/>
    <w:rsid w:val="00A42EF8"/>
    <w:rsid w:val="00A42F91"/>
    <w:rsid w:val="00A4300D"/>
    <w:rsid w:val="00A43DF2"/>
    <w:rsid w:val="00A445D4"/>
    <w:rsid w:val="00A45BD1"/>
    <w:rsid w:val="00A47C5C"/>
    <w:rsid w:val="00A50287"/>
    <w:rsid w:val="00A50BC7"/>
    <w:rsid w:val="00A5194D"/>
    <w:rsid w:val="00A52260"/>
    <w:rsid w:val="00A523F8"/>
    <w:rsid w:val="00A53C6E"/>
    <w:rsid w:val="00A541D8"/>
    <w:rsid w:val="00A546DB"/>
    <w:rsid w:val="00A57436"/>
    <w:rsid w:val="00A619DF"/>
    <w:rsid w:val="00A61EE9"/>
    <w:rsid w:val="00A62024"/>
    <w:rsid w:val="00A6237D"/>
    <w:rsid w:val="00A62A7E"/>
    <w:rsid w:val="00A632CD"/>
    <w:rsid w:val="00A63821"/>
    <w:rsid w:val="00A648BC"/>
    <w:rsid w:val="00A6536A"/>
    <w:rsid w:val="00A655DE"/>
    <w:rsid w:val="00A65886"/>
    <w:rsid w:val="00A65B7F"/>
    <w:rsid w:val="00A66FD6"/>
    <w:rsid w:val="00A7219B"/>
    <w:rsid w:val="00A73F07"/>
    <w:rsid w:val="00A75FB5"/>
    <w:rsid w:val="00A7622D"/>
    <w:rsid w:val="00A80C35"/>
    <w:rsid w:val="00A8229C"/>
    <w:rsid w:val="00A8326D"/>
    <w:rsid w:val="00A856F0"/>
    <w:rsid w:val="00A87005"/>
    <w:rsid w:val="00A878CC"/>
    <w:rsid w:val="00A92254"/>
    <w:rsid w:val="00A925F6"/>
    <w:rsid w:val="00A9448E"/>
    <w:rsid w:val="00A95994"/>
    <w:rsid w:val="00A962CA"/>
    <w:rsid w:val="00A96C71"/>
    <w:rsid w:val="00A97BD3"/>
    <w:rsid w:val="00A97E09"/>
    <w:rsid w:val="00AA03E8"/>
    <w:rsid w:val="00AA0642"/>
    <w:rsid w:val="00AA07F1"/>
    <w:rsid w:val="00AA138E"/>
    <w:rsid w:val="00AA14FB"/>
    <w:rsid w:val="00AA1565"/>
    <w:rsid w:val="00AA36BB"/>
    <w:rsid w:val="00AA58C9"/>
    <w:rsid w:val="00AA5902"/>
    <w:rsid w:val="00AA6209"/>
    <w:rsid w:val="00AB039F"/>
    <w:rsid w:val="00AB16F4"/>
    <w:rsid w:val="00AB1FE1"/>
    <w:rsid w:val="00AB207F"/>
    <w:rsid w:val="00AB4689"/>
    <w:rsid w:val="00AB56B6"/>
    <w:rsid w:val="00AB6CB1"/>
    <w:rsid w:val="00AB730A"/>
    <w:rsid w:val="00AC08E6"/>
    <w:rsid w:val="00AC4D8F"/>
    <w:rsid w:val="00AC5ED8"/>
    <w:rsid w:val="00AC6269"/>
    <w:rsid w:val="00AC7068"/>
    <w:rsid w:val="00AD0134"/>
    <w:rsid w:val="00AD1571"/>
    <w:rsid w:val="00AD1677"/>
    <w:rsid w:val="00AD182D"/>
    <w:rsid w:val="00AD185D"/>
    <w:rsid w:val="00AD1C8A"/>
    <w:rsid w:val="00AD3536"/>
    <w:rsid w:val="00AD39D1"/>
    <w:rsid w:val="00AD3ECB"/>
    <w:rsid w:val="00AD417A"/>
    <w:rsid w:val="00AD5439"/>
    <w:rsid w:val="00AD580F"/>
    <w:rsid w:val="00AD69FC"/>
    <w:rsid w:val="00AD7523"/>
    <w:rsid w:val="00AD75EE"/>
    <w:rsid w:val="00AE058C"/>
    <w:rsid w:val="00AE0FE5"/>
    <w:rsid w:val="00AE102B"/>
    <w:rsid w:val="00AE10BF"/>
    <w:rsid w:val="00AE1ACD"/>
    <w:rsid w:val="00AE393F"/>
    <w:rsid w:val="00AE45B6"/>
    <w:rsid w:val="00AE4801"/>
    <w:rsid w:val="00AE710D"/>
    <w:rsid w:val="00AE7D92"/>
    <w:rsid w:val="00AF134B"/>
    <w:rsid w:val="00AF23F7"/>
    <w:rsid w:val="00AF2460"/>
    <w:rsid w:val="00AF4C88"/>
    <w:rsid w:val="00AF4D97"/>
    <w:rsid w:val="00AF4FEF"/>
    <w:rsid w:val="00AF54C5"/>
    <w:rsid w:val="00B00133"/>
    <w:rsid w:val="00B008D5"/>
    <w:rsid w:val="00B01773"/>
    <w:rsid w:val="00B021F5"/>
    <w:rsid w:val="00B03515"/>
    <w:rsid w:val="00B043BB"/>
    <w:rsid w:val="00B05C6A"/>
    <w:rsid w:val="00B068C1"/>
    <w:rsid w:val="00B074E9"/>
    <w:rsid w:val="00B07F0F"/>
    <w:rsid w:val="00B10BD5"/>
    <w:rsid w:val="00B12C20"/>
    <w:rsid w:val="00B12D4D"/>
    <w:rsid w:val="00B142F2"/>
    <w:rsid w:val="00B146D1"/>
    <w:rsid w:val="00B1673F"/>
    <w:rsid w:val="00B17161"/>
    <w:rsid w:val="00B17FBA"/>
    <w:rsid w:val="00B2075C"/>
    <w:rsid w:val="00B20C29"/>
    <w:rsid w:val="00B22224"/>
    <w:rsid w:val="00B227D3"/>
    <w:rsid w:val="00B22F33"/>
    <w:rsid w:val="00B2334D"/>
    <w:rsid w:val="00B2335B"/>
    <w:rsid w:val="00B25426"/>
    <w:rsid w:val="00B25F71"/>
    <w:rsid w:val="00B2690D"/>
    <w:rsid w:val="00B26DE4"/>
    <w:rsid w:val="00B316E8"/>
    <w:rsid w:val="00B3249E"/>
    <w:rsid w:val="00B335D4"/>
    <w:rsid w:val="00B340D7"/>
    <w:rsid w:val="00B371AB"/>
    <w:rsid w:val="00B411D7"/>
    <w:rsid w:val="00B412D9"/>
    <w:rsid w:val="00B41807"/>
    <w:rsid w:val="00B41CC4"/>
    <w:rsid w:val="00B42E58"/>
    <w:rsid w:val="00B43224"/>
    <w:rsid w:val="00B440B2"/>
    <w:rsid w:val="00B46927"/>
    <w:rsid w:val="00B46C47"/>
    <w:rsid w:val="00B476DD"/>
    <w:rsid w:val="00B503F3"/>
    <w:rsid w:val="00B50815"/>
    <w:rsid w:val="00B5239A"/>
    <w:rsid w:val="00B52654"/>
    <w:rsid w:val="00B52893"/>
    <w:rsid w:val="00B53598"/>
    <w:rsid w:val="00B5627C"/>
    <w:rsid w:val="00B5690B"/>
    <w:rsid w:val="00B570EE"/>
    <w:rsid w:val="00B57875"/>
    <w:rsid w:val="00B602AA"/>
    <w:rsid w:val="00B60369"/>
    <w:rsid w:val="00B61683"/>
    <w:rsid w:val="00B64366"/>
    <w:rsid w:val="00B64BE2"/>
    <w:rsid w:val="00B6505B"/>
    <w:rsid w:val="00B66170"/>
    <w:rsid w:val="00B666EE"/>
    <w:rsid w:val="00B6691D"/>
    <w:rsid w:val="00B66935"/>
    <w:rsid w:val="00B67143"/>
    <w:rsid w:val="00B67C30"/>
    <w:rsid w:val="00B71878"/>
    <w:rsid w:val="00B71E4D"/>
    <w:rsid w:val="00B7281A"/>
    <w:rsid w:val="00B73F40"/>
    <w:rsid w:val="00B7634C"/>
    <w:rsid w:val="00B810D6"/>
    <w:rsid w:val="00B82734"/>
    <w:rsid w:val="00B831AC"/>
    <w:rsid w:val="00B8412E"/>
    <w:rsid w:val="00B84F2E"/>
    <w:rsid w:val="00B85F45"/>
    <w:rsid w:val="00B90C6B"/>
    <w:rsid w:val="00B918C3"/>
    <w:rsid w:val="00B925A1"/>
    <w:rsid w:val="00B92F64"/>
    <w:rsid w:val="00B96D53"/>
    <w:rsid w:val="00B97419"/>
    <w:rsid w:val="00BA0C54"/>
    <w:rsid w:val="00BA0E84"/>
    <w:rsid w:val="00BA1262"/>
    <w:rsid w:val="00BA1B02"/>
    <w:rsid w:val="00BA3C31"/>
    <w:rsid w:val="00BA7CE9"/>
    <w:rsid w:val="00BB0D07"/>
    <w:rsid w:val="00BB1B7E"/>
    <w:rsid w:val="00BB1CEE"/>
    <w:rsid w:val="00BB23ED"/>
    <w:rsid w:val="00BB2D79"/>
    <w:rsid w:val="00BB3560"/>
    <w:rsid w:val="00BB3FEA"/>
    <w:rsid w:val="00BB47D6"/>
    <w:rsid w:val="00BB7736"/>
    <w:rsid w:val="00BB7A42"/>
    <w:rsid w:val="00BC03AB"/>
    <w:rsid w:val="00BC1674"/>
    <w:rsid w:val="00BC2348"/>
    <w:rsid w:val="00BC56DE"/>
    <w:rsid w:val="00BC6536"/>
    <w:rsid w:val="00BC6E2E"/>
    <w:rsid w:val="00BC7270"/>
    <w:rsid w:val="00BC7D7D"/>
    <w:rsid w:val="00BD03A5"/>
    <w:rsid w:val="00BD0C97"/>
    <w:rsid w:val="00BD11CB"/>
    <w:rsid w:val="00BD2879"/>
    <w:rsid w:val="00BD2ECC"/>
    <w:rsid w:val="00BD4225"/>
    <w:rsid w:val="00BD4717"/>
    <w:rsid w:val="00BD4F0C"/>
    <w:rsid w:val="00BD5086"/>
    <w:rsid w:val="00BD6801"/>
    <w:rsid w:val="00BD6FBC"/>
    <w:rsid w:val="00BE0681"/>
    <w:rsid w:val="00BE0C4C"/>
    <w:rsid w:val="00BE0F93"/>
    <w:rsid w:val="00BE1BE0"/>
    <w:rsid w:val="00BE22C9"/>
    <w:rsid w:val="00BE3F01"/>
    <w:rsid w:val="00BE44E2"/>
    <w:rsid w:val="00BE4C62"/>
    <w:rsid w:val="00BE58E9"/>
    <w:rsid w:val="00BE5C4A"/>
    <w:rsid w:val="00BE6E04"/>
    <w:rsid w:val="00BE75FD"/>
    <w:rsid w:val="00BF063E"/>
    <w:rsid w:val="00BF06EC"/>
    <w:rsid w:val="00BF11F7"/>
    <w:rsid w:val="00BF1530"/>
    <w:rsid w:val="00BF1A51"/>
    <w:rsid w:val="00BF223F"/>
    <w:rsid w:val="00BF27A7"/>
    <w:rsid w:val="00BF34AC"/>
    <w:rsid w:val="00BF3E6D"/>
    <w:rsid w:val="00BF3EAC"/>
    <w:rsid w:val="00BF44B7"/>
    <w:rsid w:val="00BF47EF"/>
    <w:rsid w:val="00BF659F"/>
    <w:rsid w:val="00BF741B"/>
    <w:rsid w:val="00BF7A96"/>
    <w:rsid w:val="00BF7FAD"/>
    <w:rsid w:val="00C01EC3"/>
    <w:rsid w:val="00C02043"/>
    <w:rsid w:val="00C0299F"/>
    <w:rsid w:val="00C03BF9"/>
    <w:rsid w:val="00C05B39"/>
    <w:rsid w:val="00C0695C"/>
    <w:rsid w:val="00C06E06"/>
    <w:rsid w:val="00C07119"/>
    <w:rsid w:val="00C077BB"/>
    <w:rsid w:val="00C100CB"/>
    <w:rsid w:val="00C103E3"/>
    <w:rsid w:val="00C1069B"/>
    <w:rsid w:val="00C10D0A"/>
    <w:rsid w:val="00C11E51"/>
    <w:rsid w:val="00C136C8"/>
    <w:rsid w:val="00C139EF"/>
    <w:rsid w:val="00C14769"/>
    <w:rsid w:val="00C15767"/>
    <w:rsid w:val="00C1634D"/>
    <w:rsid w:val="00C169AD"/>
    <w:rsid w:val="00C17B07"/>
    <w:rsid w:val="00C228EF"/>
    <w:rsid w:val="00C22F16"/>
    <w:rsid w:val="00C31800"/>
    <w:rsid w:val="00C32186"/>
    <w:rsid w:val="00C32235"/>
    <w:rsid w:val="00C323AD"/>
    <w:rsid w:val="00C328F1"/>
    <w:rsid w:val="00C32E14"/>
    <w:rsid w:val="00C34659"/>
    <w:rsid w:val="00C355A2"/>
    <w:rsid w:val="00C36A37"/>
    <w:rsid w:val="00C372A1"/>
    <w:rsid w:val="00C405B0"/>
    <w:rsid w:val="00C42710"/>
    <w:rsid w:val="00C4316E"/>
    <w:rsid w:val="00C477FB"/>
    <w:rsid w:val="00C513AD"/>
    <w:rsid w:val="00C51E6D"/>
    <w:rsid w:val="00C52092"/>
    <w:rsid w:val="00C530E9"/>
    <w:rsid w:val="00C531A3"/>
    <w:rsid w:val="00C55550"/>
    <w:rsid w:val="00C55830"/>
    <w:rsid w:val="00C558B4"/>
    <w:rsid w:val="00C55AE1"/>
    <w:rsid w:val="00C55D57"/>
    <w:rsid w:val="00C56526"/>
    <w:rsid w:val="00C57879"/>
    <w:rsid w:val="00C619C5"/>
    <w:rsid w:val="00C62DBD"/>
    <w:rsid w:val="00C63589"/>
    <w:rsid w:val="00C638F8"/>
    <w:rsid w:val="00C63923"/>
    <w:rsid w:val="00C63FE2"/>
    <w:rsid w:val="00C6567F"/>
    <w:rsid w:val="00C65A7C"/>
    <w:rsid w:val="00C66037"/>
    <w:rsid w:val="00C6614B"/>
    <w:rsid w:val="00C6617D"/>
    <w:rsid w:val="00C67768"/>
    <w:rsid w:val="00C67EEF"/>
    <w:rsid w:val="00C70402"/>
    <w:rsid w:val="00C70C6C"/>
    <w:rsid w:val="00C7120C"/>
    <w:rsid w:val="00C7212F"/>
    <w:rsid w:val="00C72630"/>
    <w:rsid w:val="00C73DD6"/>
    <w:rsid w:val="00C73FF0"/>
    <w:rsid w:val="00C7471F"/>
    <w:rsid w:val="00C7566E"/>
    <w:rsid w:val="00C76841"/>
    <w:rsid w:val="00C8040E"/>
    <w:rsid w:val="00C80965"/>
    <w:rsid w:val="00C80AB3"/>
    <w:rsid w:val="00C8297D"/>
    <w:rsid w:val="00C82BA5"/>
    <w:rsid w:val="00C82F8F"/>
    <w:rsid w:val="00C83E4B"/>
    <w:rsid w:val="00C8489D"/>
    <w:rsid w:val="00C85AF7"/>
    <w:rsid w:val="00C869E5"/>
    <w:rsid w:val="00C872C5"/>
    <w:rsid w:val="00C873B2"/>
    <w:rsid w:val="00C935CF"/>
    <w:rsid w:val="00C951F6"/>
    <w:rsid w:val="00C95E85"/>
    <w:rsid w:val="00C969FD"/>
    <w:rsid w:val="00C96A52"/>
    <w:rsid w:val="00C96D99"/>
    <w:rsid w:val="00C973B6"/>
    <w:rsid w:val="00C97E14"/>
    <w:rsid w:val="00CA034D"/>
    <w:rsid w:val="00CA1A12"/>
    <w:rsid w:val="00CA1B9B"/>
    <w:rsid w:val="00CA240E"/>
    <w:rsid w:val="00CA2917"/>
    <w:rsid w:val="00CA36FC"/>
    <w:rsid w:val="00CA3774"/>
    <w:rsid w:val="00CA3809"/>
    <w:rsid w:val="00CA3A01"/>
    <w:rsid w:val="00CA3BB6"/>
    <w:rsid w:val="00CA7F15"/>
    <w:rsid w:val="00CB1F3E"/>
    <w:rsid w:val="00CB22B8"/>
    <w:rsid w:val="00CB2C3D"/>
    <w:rsid w:val="00CB2D39"/>
    <w:rsid w:val="00CB2E64"/>
    <w:rsid w:val="00CB64F5"/>
    <w:rsid w:val="00CB6694"/>
    <w:rsid w:val="00CB6BB3"/>
    <w:rsid w:val="00CC04E7"/>
    <w:rsid w:val="00CC05FA"/>
    <w:rsid w:val="00CC0BA3"/>
    <w:rsid w:val="00CC104B"/>
    <w:rsid w:val="00CC1A5C"/>
    <w:rsid w:val="00CC29CC"/>
    <w:rsid w:val="00CC2E55"/>
    <w:rsid w:val="00CC3DCB"/>
    <w:rsid w:val="00CC41F6"/>
    <w:rsid w:val="00CC5162"/>
    <w:rsid w:val="00CC7459"/>
    <w:rsid w:val="00CC7BDE"/>
    <w:rsid w:val="00CD0ACF"/>
    <w:rsid w:val="00CD1C4E"/>
    <w:rsid w:val="00CD366E"/>
    <w:rsid w:val="00CD3BC2"/>
    <w:rsid w:val="00CD48AC"/>
    <w:rsid w:val="00CD6691"/>
    <w:rsid w:val="00CD75B3"/>
    <w:rsid w:val="00CE0835"/>
    <w:rsid w:val="00CE0BBB"/>
    <w:rsid w:val="00CE3861"/>
    <w:rsid w:val="00CE4032"/>
    <w:rsid w:val="00CE5824"/>
    <w:rsid w:val="00CF09FE"/>
    <w:rsid w:val="00CF19D9"/>
    <w:rsid w:val="00CF1A5F"/>
    <w:rsid w:val="00CF2031"/>
    <w:rsid w:val="00CF215F"/>
    <w:rsid w:val="00CF44FD"/>
    <w:rsid w:val="00CF4677"/>
    <w:rsid w:val="00CF588C"/>
    <w:rsid w:val="00D01131"/>
    <w:rsid w:val="00D0406D"/>
    <w:rsid w:val="00D04E78"/>
    <w:rsid w:val="00D04F9D"/>
    <w:rsid w:val="00D072DE"/>
    <w:rsid w:val="00D10EE2"/>
    <w:rsid w:val="00D1126C"/>
    <w:rsid w:val="00D11666"/>
    <w:rsid w:val="00D11FCA"/>
    <w:rsid w:val="00D12472"/>
    <w:rsid w:val="00D135A9"/>
    <w:rsid w:val="00D13771"/>
    <w:rsid w:val="00D140C8"/>
    <w:rsid w:val="00D144FC"/>
    <w:rsid w:val="00D145C1"/>
    <w:rsid w:val="00D14DF9"/>
    <w:rsid w:val="00D15C85"/>
    <w:rsid w:val="00D15D7F"/>
    <w:rsid w:val="00D16A8E"/>
    <w:rsid w:val="00D175E6"/>
    <w:rsid w:val="00D17E1C"/>
    <w:rsid w:val="00D20259"/>
    <w:rsid w:val="00D2031B"/>
    <w:rsid w:val="00D2097B"/>
    <w:rsid w:val="00D211EC"/>
    <w:rsid w:val="00D21B27"/>
    <w:rsid w:val="00D222D0"/>
    <w:rsid w:val="00D22720"/>
    <w:rsid w:val="00D233D8"/>
    <w:rsid w:val="00D24CA1"/>
    <w:rsid w:val="00D24D62"/>
    <w:rsid w:val="00D250F9"/>
    <w:rsid w:val="00D26D98"/>
    <w:rsid w:val="00D27932"/>
    <w:rsid w:val="00D315E9"/>
    <w:rsid w:val="00D325D1"/>
    <w:rsid w:val="00D35AD0"/>
    <w:rsid w:val="00D35C20"/>
    <w:rsid w:val="00D37F3C"/>
    <w:rsid w:val="00D402E9"/>
    <w:rsid w:val="00D404AB"/>
    <w:rsid w:val="00D40C22"/>
    <w:rsid w:val="00D42632"/>
    <w:rsid w:val="00D42741"/>
    <w:rsid w:val="00D448E4"/>
    <w:rsid w:val="00D46E5E"/>
    <w:rsid w:val="00D472F4"/>
    <w:rsid w:val="00D47A4C"/>
    <w:rsid w:val="00D5036B"/>
    <w:rsid w:val="00D5093B"/>
    <w:rsid w:val="00D537A0"/>
    <w:rsid w:val="00D53829"/>
    <w:rsid w:val="00D54DBF"/>
    <w:rsid w:val="00D55AF2"/>
    <w:rsid w:val="00D57F2C"/>
    <w:rsid w:val="00D57FBE"/>
    <w:rsid w:val="00D6077D"/>
    <w:rsid w:val="00D60C50"/>
    <w:rsid w:val="00D6113D"/>
    <w:rsid w:val="00D6237B"/>
    <w:rsid w:val="00D63055"/>
    <w:rsid w:val="00D63563"/>
    <w:rsid w:val="00D648CB"/>
    <w:rsid w:val="00D64C5D"/>
    <w:rsid w:val="00D64E53"/>
    <w:rsid w:val="00D6617C"/>
    <w:rsid w:val="00D70B45"/>
    <w:rsid w:val="00D718AD"/>
    <w:rsid w:val="00D718DC"/>
    <w:rsid w:val="00D72288"/>
    <w:rsid w:val="00D74144"/>
    <w:rsid w:val="00D753BA"/>
    <w:rsid w:val="00D75965"/>
    <w:rsid w:val="00D76C09"/>
    <w:rsid w:val="00D77855"/>
    <w:rsid w:val="00D7796E"/>
    <w:rsid w:val="00D810FF"/>
    <w:rsid w:val="00D81875"/>
    <w:rsid w:val="00D81F10"/>
    <w:rsid w:val="00D83A08"/>
    <w:rsid w:val="00D84230"/>
    <w:rsid w:val="00D84633"/>
    <w:rsid w:val="00D84824"/>
    <w:rsid w:val="00D84970"/>
    <w:rsid w:val="00D860FB"/>
    <w:rsid w:val="00D86D78"/>
    <w:rsid w:val="00D87278"/>
    <w:rsid w:val="00D90378"/>
    <w:rsid w:val="00D90DFC"/>
    <w:rsid w:val="00D924A8"/>
    <w:rsid w:val="00D92DB9"/>
    <w:rsid w:val="00D96EA0"/>
    <w:rsid w:val="00D97295"/>
    <w:rsid w:val="00DA120E"/>
    <w:rsid w:val="00DA23B3"/>
    <w:rsid w:val="00DA32B9"/>
    <w:rsid w:val="00DA4459"/>
    <w:rsid w:val="00DA46D1"/>
    <w:rsid w:val="00DA4E32"/>
    <w:rsid w:val="00DA4E3D"/>
    <w:rsid w:val="00DA50E7"/>
    <w:rsid w:val="00DA6713"/>
    <w:rsid w:val="00DA721A"/>
    <w:rsid w:val="00DA7B96"/>
    <w:rsid w:val="00DB0067"/>
    <w:rsid w:val="00DB13A1"/>
    <w:rsid w:val="00DB1F0D"/>
    <w:rsid w:val="00DB2D35"/>
    <w:rsid w:val="00DB53B0"/>
    <w:rsid w:val="00DB583F"/>
    <w:rsid w:val="00DB5A90"/>
    <w:rsid w:val="00DB6125"/>
    <w:rsid w:val="00DC0B66"/>
    <w:rsid w:val="00DC11A3"/>
    <w:rsid w:val="00DC11BC"/>
    <w:rsid w:val="00DC1C94"/>
    <w:rsid w:val="00DC1D40"/>
    <w:rsid w:val="00DC1EC1"/>
    <w:rsid w:val="00DC2570"/>
    <w:rsid w:val="00DC2B25"/>
    <w:rsid w:val="00DC4D3E"/>
    <w:rsid w:val="00DC7179"/>
    <w:rsid w:val="00DC7306"/>
    <w:rsid w:val="00DC731F"/>
    <w:rsid w:val="00DC7D7A"/>
    <w:rsid w:val="00DD02B3"/>
    <w:rsid w:val="00DD0529"/>
    <w:rsid w:val="00DD0F89"/>
    <w:rsid w:val="00DD2449"/>
    <w:rsid w:val="00DD2B4F"/>
    <w:rsid w:val="00DD2CF9"/>
    <w:rsid w:val="00DD3620"/>
    <w:rsid w:val="00DD565B"/>
    <w:rsid w:val="00DD5C7D"/>
    <w:rsid w:val="00DD6FD5"/>
    <w:rsid w:val="00DE1889"/>
    <w:rsid w:val="00DE19B2"/>
    <w:rsid w:val="00DE2455"/>
    <w:rsid w:val="00DE34E7"/>
    <w:rsid w:val="00DE5737"/>
    <w:rsid w:val="00DE6D55"/>
    <w:rsid w:val="00DE7165"/>
    <w:rsid w:val="00DF063E"/>
    <w:rsid w:val="00DF218D"/>
    <w:rsid w:val="00DF2903"/>
    <w:rsid w:val="00DF2AC2"/>
    <w:rsid w:val="00DF2AD6"/>
    <w:rsid w:val="00DF3AA1"/>
    <w:rsid w:val="00DF6000"/>
    <w:rsid w:val="00DF62E0"/>
    <w:rsid w:val="00E0048E"/>
    <w:rsid w:val="00E0182A"/>
    <w:rsid w:val="00E03A46"/>
    <w:rsid w:val="00E0453A"/>
    <w:rsid w:val="00E05C1E"/>
    <w:rsid w:val="00E065EE"/>
    <w:rsid w:val="00E117CF"/>
    <w:rsid w:val="00E125B7"/>
    <w:rsid w:val="00E12831"/>
    <w:rsid w:val="00E140DA"/>
    <w:rsid w:val="00E1470D"/>
    <w:rsid w:val="00E14CE4"/>
    <w:rsid w:val="00E16CA9"/>
    <w:rsid w:val="00E178D5"/>
    <w:rsid w:val="00E17C2B"/>
    <w:rsid w:val="00E212BC"/>
    <w:rsid w:val="00E219E4"/>
    <w:rsid w:val="00E231BC"/>
    <w:rsid w:val="00E236E6"/>
    <w:rsid w:val="00E24178"/>
    <w:rsid w:val="00E250EC"/>
    <w:rsid w:val="00E25C72"/>
    <w:rsid w:val="00E26212"/>
    <w:rsid w:val="00E26534"/>
    <w:rsid w:val="00E26815"/>
    <w:rsid w:val="00E26A81"/>
    <w:rsid w:val="00E26F74"/>
    <w:rsid w:val="00E31243"/>
    <w:rsid w:val="00E321ED"/>
    <w:rsid w:val="00E322D9"/>
    <w:rsid w:val="00E32DB7"/>
    <w:rsid w:val="00E33AD2"/>
    <w:rsid w:val="00E33EF8"/>
    <w:rsid w:val="00E351AD"/>
    <w:rsid w:val="00E3620F"/>
    <w:rsid w:val="00E36302"/>
    <w:rsid w:val="00E43FAE"/>
    <w:rsid w:val="00E45CB2"/>
    <w:rsid w:val="00E47694"/>
    <w:rsid w:val="00E52C9C"/>
    <w:rsid w:val="00E54D46"/>
    <w:rsid w:val="00E5577B"/>
    <w:rsid w:val="00E558C0"/>
    <w:rsid w:val="00E559E2"/>
    <w:rsid w:val="00E56378"/>
    <w:rsid w:val="00E565D5"/>
    <w:rsid w:val="00E60D2D"/>
    <w:rsid w:val="00E611E2"/>
    <w:rsid w:val="00E6174D"/>
    <w:rsid w:val="00E6192D"/>
    <w:rsid w:val="00E62039"/>
    <w:rsid w:val="00E6244C"/>
    <w:rsid w:val="00E62501"/>
    <w:rsid w:val="00E62E78"/>
    <w:rsid w:val="00E63780"/>
    <w:rsid w:val="00E644D0"/>
    <w:rsid w:val="00E65F9A"/>
    <w:rsid w:val="00E67259"/>
    <w:rsid w:val="00E6729E"/>
    <w:rsid w:val="00E67AA7"/>
    <w:rsid w:val="00E67F7F"/>
    <w:rsid w:val="00E70BB5"/>
    <w:rsid w:val="00E71C9A"/>
    <w:rsid w:val="00E723CF"/>
    <w:rsid w:val="00E7799E"/>
    <w:rsid w:val="00E77EC9"/>
    <w:rsid w:val="00E80ECE"/>
    <w:rsid w:val="00E80EE2"/>
    <w:rsid w:val="00E840F6"/>
    <w:rsid w:val="00E84D10"/>
    <w:rsid w:val="00E86015"/>
    <w:rsid w:val="00E867D9"/>
    <w:rsid w:val="00E877C4"/>
    <w:rsid w:val="00E877E5"/>
    <w:rsid w:val="00E879D0"/>
    <w:rsid w:val="00E90D4C"/>
    <w:rsid w:val="00E910A1"/>
    <w:rsid w:val="00E93B49"/>
    <w:rsid w:val="00E93C19"/>
    <w:rsid w:val="00E93FBB"/>
    <w:rsid w:val="00E9449D"/>
    <w:rsid w:val="00E946C6"/>
    <w:rsid w:val="00E954F6"/>
    <w:rsid w:val="00E967BC"/>
    <w:rsid w:val="00E97DB5"/>
    <w:rsid w:val="00EA0E95"/>
    <w:rsid w:val="00EA1F92"/>
    <w:rsid w:val="00EA36EA"/>
    <w:rsid w:val="00EA40F4"/>
    <w:rsid w:val="00EA441B"/>
    <w:rsid w:val="00EA5FA8"/>
    <w:rsid w:val="00EA6593"/>
    <w:rsid w:val="00EA76D5"/>
    <w:rsid w:val="00EB0BD4"/>
    <w:rsid w:val="00EB1FE5"/>
    <w:rsid w:val="00EB45EB"/>
    <w:rsid w:val="00EB4609"/>
    <w:rsid w:val="00EB4CB6"/>
    <w:rsid w:val="00EB52BA"/>
    <w:rsid w:val="00EB5964"/>
    <w:rsid w:val="00EB5A06"/>
    <w:rsid w:val="00EB737D"/>
    <w:rsid w:val="00EC016E"/>
    <w:rsid w:val="00EC1A1C"/>
    <w:rsid w:val="00EC1FD0"/>
    <w:rsid w:val="00EC2027"/>
    <w:rsid w:val="00EC21C2"/>
    <w:rsid w:val="00EC3B16"/>
    <w:rsid w:val="00EC3C5D"/>
    <w:rsid w:val="00EC4333"/>
    <w:rsid w:val="00EC4E1F"/>
    <w:rsid w:val="00EC611C"/>
    <w:rsid w:val="00EC6394"/>
    <w:rsid w:val="00EC6CC1"/>
    <w:rsid w:val="00ED0E5B"/>
    <w:rsid w:val="00ED1585"/>
    <w:rsid w:val="00ED23D1"/>
    <w:rsid w:val="00ED41CA"/>
    <w:rsid w:val="00ED5D6A"/>
    <w:rsid w:val="00ED6B4B"/>
    <w:rsid w:val="00ED769E"/>
    <w:rsid w:val="00EE0F81"/>
    <w:rsid w:val="00EE100A"/>
    <w:rsid w:val="00EE1F1E"/>
    <w:rsid w:val="00EE215C"/>
    <w:rsid w:val="00EE2397"/>
    <w:rsid w:val="00EE275E"/>
    <w:rsid w:val="00EE2964"/>
    <w:rsid w:val="00EE2969"/>
    <w:rsid w:val="00EE31C8"/>
    <w:rsid w:val="00EE3647"/>
    <w:rsid w:val="00EE4463"/>
    <w:rsid w:val="00EE44AD"/>
    <w:rsid w:val="00EE4D39"/>
    <w:rsid w:val="00EE5517"/>
    <w:rsid w:val="00EE626B"/>
    <w:rsid w:val="00EE651F"/>
    <w:rsid w:val="00EE732E"/>
    <w:rsid w:val="00EE7EFD"/>
    <w:rsid w:val="00EF01BF"/>
    <w:rsid w:val="00EF112A"/>
    <w:rsid w:val="00EF116C"/>
    <w:rsid w:val="00EF1343"/>
    <w:rsid w:val="00EF13B2"/>
    <w:rsid w:val="00EF29B1"/>
    <w:rsid w:val="00EF3575"/>
    <w:rsid w:val="00EF3ED0"/>
    <w:rsid w:val="00EF40CD"/>
    <w:rsid w:val="00EF5987"/>
    <w:rsid w:val="00EF6615"/>
    <w:rsid w:val="00EF72C7"/>
    <w:rsid w:val="00EF785C"/>
    <w:rsid w:val="00EF7A06"/>
    <w:rsid w:val="00F0081D"/>
    <w:rsid w:val="00F0164D"/>
    <w:rsid w:val="00F01D71"/>
    <w:rsid w:val="00F031DD"/>
    <w:rsid w:val="00F032BF"/>
    <w:rsid w:val="00F050D9"/>
    <w:rsid w:val="00F05B06"/>
    <w:rsid w:val="00F060BD"/>
    <w:rsid w:val="00F06DC5"/>
    <w:rsid w:val="00F10A4F"/>
    <w:rsid w:val="00F10AB0"/>
    <w:rsid w:val="00F1132C"/>
    <w:rsid w:val="00F11AAA"/>
    <w:rsid w:val="00F11C0A"/>
    <w:rsid w:val="00F12E4D"/>
    <w:rsid w:val="00F13A66"/>
    <w:rsid w:val="00F14638"/>
    <w:rsid w:val="00F14B87"/>
    <w:rsid w:val="00F14BD4"/>
    <w:rsid w:val="00F16167"/>
    <w:rsid w:val="00F16993"/>
    <w:rsid w:val="00F16A4E"/>
    <w:rsid w:val="00F17D25"/>
    <w:rsid w:val="00F21246"/>
    <w:rsid w:val="00F228D1"/>
    <w:rsid w:val="00F24C5B"/>
    <w:rsid w:val="00F25229"/>
    <w:rsid w:val="00F25541"/>
    <w:rsid w:val="00F25D3F"/>
    <w:rsid w:val="00F26D4A"/>
    <w:rsid w:val="00F2753B"/>
    <w:rsid w:val="00F30A13"/>
    <w:rsid w:val="00F31A08"/>
    <w:rsid w:val="00F32061"/>
    <w:rsid w:val="00F3234F"/>
    <w:rsid w:val="00F3264E"/>
    <w:rsid w:val="00F3391A"/>
    <w:rsid w:val="00F33AD4"/>
    <w:rsid w:val="00F3434E"/>
    <w:rsid w:val="00F34CA8"/>
    <w:rsid w:val="00F34D34"/>
    <w:rsid w:val="00F35BA7"/>
    <w:rsid w:val="00F35F98"/>
    <w:rsid w:val="00F36B19"/>
    <w:rsid w:val="00F37EFE"/>
    <w:rsid w:val="00F40046"/>
    <w:rsid w:val="00F406A2"/>
    <w:rsid w:val="00F41B0B"/>
    <w:rsid w:val="00F42B21"/>
    <w:rsid w:val="00F43593"/>
    <w:rsid w:val="00F43889"/>
    <w:rsid w:val="00F43911"/>
    <w:rsid w:val="00F43D55"/>
    <w:rsid w:val="00F44C49"/>
    <w:rsid w:val="00F459D6"/>
    <w:rsid w:val="00F46E9A"/>
    <w:rsid w:val="00F47FC3"/>
    <w:rsid w:val="00F5140B"/>
    <w:rsid w:val="00F5390C"/>
    <w:rsid w:val="00F54AC7"/>
    <w:rsid w:val="00F552F1"/>
    <w:rsid w:val="00F553EF"/>
    <w:rsid w:val="00F55CD9"/>
    <w:rsid w:val="00F56362"/>
    <w:rsid w:val="00F57B84"/>
    <w:rsid w:val="00F60CBA"/>
    <w:rsid w:val="00F62C9B"/>
    <w:rsid w:val="00F6368B"/>
    <w:rsid w:val="00F63DD0"/>
    <w:rsid w:val="00F647CF"/>
    <w:rsid w:val="00F66A70"/>
    <w:rsid w:val="00F66FA1"/>
    <w:rsid w:val="00F71C0A"/>
    <w:rsid w:val="00F71CA1"/>
    <w:rsid w:val="00F728BE"/>
    <w:rsid w:val="00F72D02"/>
    <w:rsid w:val="00F75B66"/>
    <w:rsid w:val="00F77DCC"/>
    <w:rsid w:val="00F805E2"/>
    <w:rsid w:val="00F8123D"/>
    <w:rsid w:val="00F8177C"/>
    <w:rsid w:val="00F84344"/>
    <w:rsid w:val="00F84F0D"/>
    <w:rsid w:val="00F87279"/>
    <w:rsid w:val="00F87BC5"/>
    <w:rsid w:val="00F9050B"/>
    <w:rsid w:val="00F90985"/>
    <w:rsid w:val="00F911C0"/>
    <w:rsid w:val="00F918D0"/>
    <w:rsid w:val="00F92F70"/>
    <w:rsid w:val="00F92FEB"/>
    <w:rsid w:val="00F936F3"/>
    <w:rsid w:val="00F939E0"/>
    <w:rsid w:val="00F93C2D"/>
    <w:rsid w:val="00F9468E"/>
    <w:rsid w:val="00F95EAE"/>
    <w:rsid w:val="00F97211"/>
    <w:rsid w:val="00F97842"/>
    <w:rsid w:val="00F97C32"/>
    <w:rsid w:val="00FA044E"/>
    <w:rsid w:val="00FA0D50"/>
    <w:rsid w:val="00FA1C0C"/>
    <w:rsid w:val="00FA26EC"/>
    <w:rsid w:val="00FA4ABC"/>
    <w:rsid w:val="00FA52B4"/>
    <w:rsid w:val="00FA61A6"/>
    <w:rsid w:val="00FA730C"/>
    <w:rsid w:val="00FB0A14"/>
    <w:rsid w:val="00FB0EF5"/>
    <w:rsid w:val="00FB1664"/>
    <w:rsid w:val="00FB1D66"/>
    <w:rsid w:val="00FB3D4A"/>
    <w:rsid w:val="00FB636F"/>
    <w:rsid w:val="00FB6852"/>
    <w:rsid w:val="00FB6E72"/>
    <w:rsid w:val="00FB7ED1"/>
    <w:rsid w:val="00FC0E18"/>
    <w:rsid w:val="00FC17AF"/>
    <w:rsid w:val="00FC2ECA"/>
    <w:rsid w:val="00FC2ED8"/>
    <w:rsid w:val="00FC4494"/>
    <w:rsid w:val="00FC6B15"/>
    <w:rsid w:val="00FC7664"/>
    <w:rsid w:val="00FC7DAC"/>
    <w:rsid w:val="00FD1BC2"/>
    <w:rsid w:val="00FD1CB5"/>
    <w:rsid w:val="00FD26F9"/>
    <w:rsid w:val="00FD295E"/>
    <w:rsid w:val="00FD2A56"/>
    <w:rsid w:val="00FD2D17"/>
    <w:rsid w:val="00FD3CC4"/>
    <w:rsid w:val="00FD608C"/>
    <w:rsid w:val="00FD69F9"/>
    <w:rsid w:val="00FD7845"/>
    <w:rsid w:val="00FE1B54"/>
    <w:rsid w:val="00FE411F"/>
    <w:rsid w:val="00FE552B"/>
    <w:rsid w:val="00FE58D2"/>
    <w:rsid w:val="00FE7A38"/>
    <w:rsid w:val="00FE7ADA"/>
    <w:rsid w:val="00FF08BA"/>
    <w:rsid w:val="00FF245C"/>
    <w:rsid w:val="00FF3895"/>
    <w:rsid w:val="00FF3ED6"/>
    <w:rsid w:val="00FF3F31"/>
    <w:rsid w:val="00FF6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F343690"/>
  <w15:docId w15:val="{84C4A299-D777-46AB-AC5A-D1C6127F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F89"/>
    <w:rPr>
      <w:sz w:val="24"/>
      <w:szCs w:val="24"/>
    </w:rPr>
  </w:style>
  <w:style w:type="paragraph" w:styleId="Heading1">
    <w:name w:val="heading 1"/>
    <w:basedOn w:val="Normal"/>
    <w:next w:val="Normal"/>
    <w:link w:val="Heading1Char"/>
    <w:qFormat/>
    <w:locked/>
    <w:rsid w:val="006267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D0F89"/>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D0F89"/>
    <w:pPr>
      <w:framePr w:w="7920" w:h="1980" w:hRule="exact" w:hSpace="180" w:wrap="auto" w:hAnchor="page" w:xAlign="center" w:yAlign="bottom"/>
      <w:ind w:left="2880"/>
    </w:pPr>
    <w:rPr>
      <w:rFonts w:ascii="Courier New" w:hAnsi="Courier New"/>
      <w:caps/>
    </w:rPr>
  </w:style>
  <w:style w:type="paragraph" w:styleId="Header">
    <w:name w:val="header"/>
    <w:basedOn w:val="Normal"/>
    <w:rsid w:val="00DD0F89"/>
    <w:pPr>
      <w:tabs>
        <w:tab w:val="center" w:pos="4320"/>
        <w:tab w:val="right" w:pos="8640"/>
      </w:tabs>
    </w:pPr>
  </w:style>
  <w:style w:type="paragraph" w:styleId="Footer">
    <w:name w:val="footer"/>
    <w:basedOn w:val="Normal"/>
    <w:link w:val="FooterChar"/>
    <w:uiPriority w:val="99"/>
    <w:rsid w:val="00DD0F89"/>
    <w:pPr>
      <w:tabs>
        <w:tab w:val="center" w:pos="4320"/>
        <w:tab w:val="right" w:pos="8640"/>
      </w:tabs>
    </w:pPr>
  </w:style>
  <w:style w:type="character" w:styleId="PageNumber">
    <w:name w:val="page number"/>
    <w:basedOn w:val="DefaultParagraphFont"/>
    <w:rsid w:val="00DD0F89"/>
    <w:rPr>
      <w:rFonts w:cs="Times New Roman"/>
    </w:rPr>
  </w:style>
  <w:style w:type="paragraph" w:styleId="NormalWeb">
    <w:name w:val="Normal (Web)"/>
    <w:basedOn w:val="Normal"/>
    <w:uiPriority w:val="99"/>
    <w:rsid w:val="00DD0F89"/>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link w:val="HTMLPreformattedChar"/>
    <w:rsid w:val="00DD0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
    <w:name w:val="Body Text"/>
    <w:basedOn w:val="Normal"/>
    <w:rsid w:val="00DD0F89"/>
    <w:pPr>
      <w:jc w:val="both"/>
    </w:pPr>
    <w:rPr>
      <w:sz w:val="20"/>
    </w:rPr>
  </w:style>
  <w:style w:type="paragraph" w:styleId="BalloonText">
    <w:name w:val="Balloon Text"/>
    <w:basedOn w:val="Normal"/>
    <w:semiHidden/>
    <w:rsid w:val="00DD0F89"/>
    <w:rPr>
      <w:rFonts w:ascii="Tahoma" w:hAnsi="Tahoma" w:cs="Tahoma"/>
      <w:sz w:val="16"/>
      <w:szCs w:val="16"/>
    </w:rPr>
  </w:style>
  <w:style w:type="character" w:styleId="Hyperlink">
    <w:name w:val="Hyperlink"/>
    <w:basedOn w:val="DefaultParagraphFont"/>
    <w:rsid w:val="00DD0F89"/>
    <w:rPr>
      <w:rFonts w:cs="Times New Roman"/>
      <w:color w:val="0000FF"/>
      <w:u w:val="single"/>
    </w:rPr>
  </w:style>
  <w:style w:type="paragraph" w:customStyle="1" w:styleId="msoaccenttext">
    <w:name w:val="msoaccenttext"/>
    <w:rsid w:val="004E0DCE"/>
    <w:pPr>
      <w:spacing w:line="300" w:lineRule="auto"/>
    </w:pPr>
    <w:rPr>
      <w:rFonts w:ascii="Franklin Gothic Heavy" w:hAnsi="Franklin Gothic Heavy"/>
      <w:color w:val="000000"/>
      <w:kern w:val="28"/>
      <w:sz w:val="18"/>
      <w:szCs w:val="18"/>
    </w:rPr>
  </w:style>
  <w:style w:type="paragraph" w:customStyle="1" w:styleId="aaChartAnalysis">
    <w:name w:val="aaChartAnalysis"/>
    <w:basedOn w:val="Normal"/>
    <w:rsid w:val="004E0DCE"/>
    <w:pPr>
      <w:spacing w:after="120"/>
    </w:pPr>
    <w:rPr>
      <w:color w:val="000000"/>
      <w:kern w:val="28"/>
      <w:sz w:val="20"/>
      <w:szCs w:val="20"/>
    </w:rPr>
  </w:style>
  <w:style w:type="paragraph" w:customStyle="1" w:styleId="aaChartTitle">
    <w:name w:val="aaChartTitle"/>
    <w:basedOn w:val="Normal"/>
    <w:rsid w:val="00E32DB7"/>
    <w:pPr>
      <w:spacing w:after="120" w:line="283" w:lineRule="auto"/>
    </w:pPr>
    <w:rPr>
      <w:b/>
      <w:bCs/>
      <w:color w:val="000000"/>
      <w:kern w:val="28"/>
      <w:sz w:val="22"/>
      <w:szCs w:val="22"/>
    </w:rPr>
  </w:style>
  <w:style w:type="character" w:customStyle="1" w:styleId="phone1">
    <w:name w:val="phone1"/>
    <w:basedOn w:val="DefaultParagraphFont"/>
    <w:rsid w:val="00EE100A"/>
    <w:rPr>
      <w:rFonts w:cs="Times New Roman"/>
      <w:sz w:val="26"/>
      <w:szCs w:val="26"/>
    </w:rPr>
  </w:style>
  <w:style w:type="character" w:customStyle="1" w:styleId="title1">
    <w:name w:val="title1"/>
    <w:basedOn w:val="DefaultParagraphFont"/>
    <w:rsid w:val="00EE100A"/>
    <w:rPr>
      <w:rFonts w:cs="Times New Roman"/>
    </w:rPr>
  </w:style>
  <w:style w:type="character" w:customStyle="1" w:styleId="department1">
    <w:name w:val="department1"/>
    <w:basedOn w:val="DefaultParagraphFont"/>
    <w:rsid w:val="00EE100A"/>
    <w:rPr>
      <w:rFonts w:cs="Times New Roman"/>
    </w:rPr>
  </w:style>
  <w:style w:type="character" w:customStyle="1" w:styleId="email1">
    <w:name w:val="email1"/>
    <w:basedOn w:val="DefaultParagraphFont"/>
    <w:rsid w:val="00EE100A"/>
    <w:rPr>
      <w:rFonts w:cs="Times New Roman"/>
    </w:rPr>
  </w:style>
  <w:style w:type="character" w:styleId="FollowedHyperlink">
    <w:name w:val="FollowedHyperlink"/>
    <w:basedOn w:val="DefaultParagraphFont"/>
    <w:rsid w:val="002C03CD"/>
    <w:rPr>
      <w:rFonts w:cs="Times New Roman"/>
      <w:color w:val="800080"/>
      <w:u w:val="single"/>
    </w:rPr>
  </w:style>
  <w:style w:type="paragraph" w:styleId="FootnoteText">
    <w:name w:val="footnote text"/>
    <w:basedOn w:val="Normal"/>
    <w:link w:val="FootnoteTextChar"/>
    <w:rsid w:val="0042700B"/>
    <w:rPr>
      <w:sz w:val="20"/>
      <w:szCs w:val="20"/>
    </w:rPr>
  </w:style>
  <w:style w:type="character" w:customStyle="1" w:styleId="FootnoteTextChar">
    <w:name w:val="Footnote Text Char"/>
    <w:basedOn w:val="DefaultParagraphFont"/>
    <w:link w:val="FootnoteText"/>
    <w:rsid w:val="0042700B"/>
  </w:style>
  <w:style w:type="character" w:styleId="FootnoteReference">
    <w:name w:val="footnote reference"/>
    <w:basedOn w:val="DefaultParagraphFont"/>
    <w:rsid w:val="0042700B"/>
    <w:rPr>
      <w:vertAlign w:val="superscript"/>
    </w:rPr>
  </w:style>
  <w:style w:type="paragraph" w:styleId="EndnoteText">
    <w:name w:val="endnote text"/>
    <w:basedOn w:val="Normal"/>
    <w:link w:val="EndnoteTextChar"/>
    <w:rsid w:val="0078371A"/>
    <w:rPr>
      <w:sz w:val="20"/>
      <w:szCs w:val="20"/>
    </w:rPr>
  </w:style>
  <w:style w:type="character" w:customStyle="1" w:styleId="EndnoteTextChar">
    <w:name w:val="Endnote Text Char"/>
    <w:basedOn w:val="DefaultParagraphFont"/>
    <w:link w:val="EndnoteText"/>
    <w:rsid w:val="0078371A"/>
  </w:style>
  <w:style w:type="character" w:styleId="EndnoteReference">
    <w:name w:val="endnote reference"/>
    <w:basedOn w:val="DefaultParagraphFont"/>
    <w:rsid w:val="0078371A"/>
    <w:rPr>
      <w:vertAlign w:val="superscript"/>
    </w:rPr>
  </w:style>
  <w:style w:type="paragraph" w:styleId="ListParagraph">
    <w:name w:val="List Paragraph"/>
    <w:basedOn w:val="Normal"/>
    <w:uiPriority w:val="34"/>
    <w:qFormat/>
    <w:rsid w:val="003453A4"/>
    <w:pPr>
      <w:ind w:left="720"/>
      <w:contextualSpacing/>
    </w:pPr>
  </w:style>
  <w:style w:type="character" w:customStyle="1" w:styleId="HTMLPreformattedChar">
    <w:name w:val="HTML Preformatted Char"/>
    <w:basedOn w:val="DefaultParagraphFont"/>
    <w:link w:val="HTMLPreformatted"/>
    <w:rsid w:val="005A590D"/>
    <w:rPr>
      <w:rFonts w:ascii="Arial Unicode MS" w:eastAsia="Arial Unicode MS" w:hAnsi="Arial Unicode MS" w:cs="Arial Unicode MS"/>
    </w:rPr>
  </w:style>
  <w:style w:type="character" w:customStyle="1" w:styleId="FooterChar">
    <w:name w:val="Footer Char"/>
    <w:basedOn w:val="DefaultParagraphFont"/>
    <w:link w:val="Footer"/>
    <w:uiPriority w:val="99"/>
    <w:rsid w:val="00AE7D92"/>
    <w:rPr>
      <w:sz w:val="24"/>
      <w:szCs w:val="24"/>
    </w:rPr>
  </w:style>
  <w:style w:type="character" w:styleId="CommentReference">
    <w:name w:val="annotation reference"/>
    <w:basedOn w:val="DefaultParagraphFont"/>
    <w:semiHidden/>
    <w:unhideWhenUsed/>
    <w:rsid w:val="007B448A"/>
    <w:rPr>
      <w:sz w:val="16"/>
      <w:szCs w:val="16"/>
    </w:rPr>
  </w:style>
  <w:style w:type="paragraph" w:styleId="CommentText">
    <w:name w:val="annotation text"/>
    <w:basedOn w:val="Normal"/>
    <w:link w:val="CommentTextChar"/>
    <w:semiHidden/>
    <w:unhideWhenUsed/>
    <w:rsid w:val="007B448A"/>
    <w:rPr>
      <w:sz w:val="20"/>
      <w:szCs w:val="20"/>
    </w:rPr>
  </w:style>
  <w:style w:type="character" w:customStyle="1" w:styleId="CommentTextChar">
    <w:name w:val="Comment Text Char"/>
    <w:basedOn w:val="DefaultParagraphFont"/>
    <w:link w:val="CommentText"/>
    <w:semiHidden/>
    <w:rsid w:val="007B448A"/>
  </w:style>
  <w:style w:type="paragraph" w:styleId="CommentSubject">
    <w:name w:val="annotation subject"/>
    <w:basedOn w:val="CommentText"/>
    <w:next w:val="CommentText"/>
    <w:link w:val="CommentSubjectChar"/>
    <w:semiHidden/>
    <w:unhideWhenUsed/>
    <w:rsid w:val="007B448A"/>
    <w:rPr>
      <w:b/>
      <w:bCs/>
    </w:rPr>
  </w:style>
  <w:style w:type="character" w:customStyle="1" w:styleId="CommentSubjectChar">
    <w:name w:val="Comment Subject Char"/>
    <w:basedOn w:val="CommentTextChar"/>
    <w:link w:val="CommentSubject"/>
    <w:semiHidden/>
    <w:rsid w:val="007B448A"/>
    <w:rPr>
      <w:b/>
      <w:bCs/>
    </w:rPr>
  </w:style>
  <w:style w:type="character" w:customStyle="1" w:styleId="Heading1Char">
    <w:name w:val="Heading 1 Char"/>
    <w:basedOn w:val="DefaultParagraphFont"/>
    <w:link w:val="Heading1"/>
    <w:rsid w:val="0062679A"/>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704F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853377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3913323">
          <w:marLeft w:val="0"/>
          <w:marRight w:val="0"/>
          <w:marTop w:val="0"/>
          <w:marBottom w:val="0"/>
          <w:divBdr>
            <w:top w:val="none" w:sz="0" w:space="0" w:color="auto"/>
            <w:left w:val="none" w:sz="0" w:space="0" w:color="auto"/>
            <w:bottom w:val="none" w:sz="0" w:space="0" w:color="auto"/>
            <w:right w:val="none" w:sz="0" w:space="0" w:color="auto"/>
          </w:divBdr>
          <w:divsChild>
            <w:div w:id="15022389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237916">
      <w:bodyDiv w:val="1"/>
      <w:marLeft w:val="0"/>
      <w:marRight w:val="0"/>
      <w:marTop w:val="0"/>
      <w:marBottom w:val="0"/>
      <w:divBdr>
        <w:top w:val="none" w:sz="0" w:space="0" w:color="auto"/>
        <w:left w:val="none" w:sz="0" w:space="0" w:color="auto"/>
        <w:bottom w:val="none" w:sz="0" w:space="0" w:color="auto"/>
        <w:right w:val="none" w:sz="0" w:space="0" w:color="auto"/>
      </w:divBdr>
    </w:div>
    <w:div w:id="70129626">
      <w:bodyDiv w:val="1"/>
      <w:marLeft w:val="0"/>
      <w:marRight w:val="0"/>
      <w:marTop w:val="0"/>
      <w:marBottom w:val="0"/>
      <w:divBdr>
        <w:top w:val="none" w:sz="0" w:space="0" w:color="auto"/>
        <w:left w:val="none" w:sz="0" w:space="0" w:color="auto"/>
        <w:bottom w:val="none" w:sz="0" w:space="0" w:color="auto"/>
        <w:right w:val="none" w:sz="0" w:space="0" w:color="auto"/>
      </w:divBdr>
    </w:div>
    <w:div w:id="75982087">
      <w:bodyDiv w:val="1"/>
      <w:marLeft w:val="0"/>
      <w:marRight w:val="0"/>
      <w:marTop w:val="0"/>
      <w:marBottom w:val="0"/>
      <w:divBdr>
        <w:top w:val="none" w:sz="0" w:space="0" w:color="auto"/>
        <w:left w:val="none" w:sz="0" w:space="0" w:color="auto"/>
        <w:bottom w:val="none" w:sz="0" w:space="0" w:color="auto"/>
        <w:right w:val="none" w:sz="0" w:space="0" w:color="auto"/>
      </w:divBdr>
    </w:div>
    <w:div w:id="92477960">
      <w:bodyDiv w:val="1"/>
      <w:marLeft w:val="0"/>
      <w:marRight w:val="0"/>
      <w:marTop w:val="0"/>
      <w:marBottom w:val="0"/>
      <w:divBdr>
        <w:top w:val="none" w:sz="0" w:space="0" w:color="auto"/>
        <w:left w:val="none" w:sz="0" w:space="0" w:color="auto"/>
        <w:bottom w:val="none" w:sz="0" w:space="0" w:color="auto"/>
        <w:right w:val="none" w:sz="0" w:space="0" w:color="auto"/>
      </w:divBdr>
    </w:div>
    <w:div w:id="112093560">
      <w:bodyDiv w:val="1"/>
      <w:marLeft w:val="0"/>
      <w:marRight w:val="0"/>
      <w:marTop w:val="0"/>
      <w:marBottom w:val="0"/>
      <w:divBdr>
        <w:top w:val="none" w:sz="0" w:space="0" w:color="auto"/>
        <w:left w:val="none" w:sz="0" w:space="0" w:color="auto"/>
        <w:bottom w:val="none" w:sz="0" w:space="0" w:color="auto"/>
        <w:right w:val="none" w:sz="0" w:space="0" w:color="auto"/>
      </w:divBdr>
    </w:div>
    <w:div w:id="123885566">
      <w:bodyDiv w:val="1"/>
      <w:marLeft w:val="0"/>
      <w:marRight w:val="0"/>
      <w:marTop w:val="0"/>
      <w:marBottom w:val="0"/>
      <w:divBdr>
        <w:top w:val="none" w:sz="0" w:space="0" w:color="auto"/>
        <w:left w:val="none" w:sz="0" w:space="0" w:color="auto"/>
        <w:bottom w:val="none" w:sz="0" w:space="0" w:color="auto"/>
        <w:right w:val="none" w:sz="0" w:space="0" w:color="auto"/>
      </w:divBdr>
    </w:div>
    <w:div w:id="195436320">
      <w:bodyDiv w:val="1"/>
      <w:marLeft w:val="0"/>
      <w:marRight w:val="0"/>
      <w:marTop w:val="0"/>
      <w:marBottom w:val="0"/>
      <w:divBdr>
        <w:top w:val="none" w:sz="0" w:space="0" w:color="auto"/>
        <w:left w:val="none" w:sz="0" w:space="0" w:color="auto"/>
        <w:bottom w:val="none" w:sz="0" w:space="0" w:color="auto"/>
        <w:right w:val="none" w:sz="0" w:space="0" w:color="auto"/>
      </w:divBdr>
    </w:div>
    <w:div w:id="244996868">
      <w:bodyDiv w:val="1"/>
      <w:marLeft w:val="0"/>
      <w:marRight w:val="0"/>
      <w:marTop w:val="0"/>
      <w:marBottom w:val="0"/>
      <w:divBdr>
        <w:top w:val="none" w:sz="0" w:space="0" w:color="auto"/>
        <w:left w:val="none" w:sz="0" w:space="0" w:color="auto"/>
        <w:bottom w:val="none" w:sz="0" w:space="0" w:color="auto"/>
        <w:right w:val="none" w:sz="0" w:space="0" w:color="auto"/>
      </w:divBdr>
    </w:div>
    <w:div w:id="326714689">
      <w:bodyDiv w:val="1"/>
      <w:marLeft w:val="0"/>
      <w:marRight w:val="0"/>
      <w:marTop w:val="0"/>
      <w:marBottom w:val="0"/>
      <w:divBdr>
        <w:top w:val="none" w:sz="0" w:space="0" w:color="auto"/>
        <w:left w:val="none" w:sz="0" w:space="0" w:color="auto"/>
        <w:bottom w:val="none" w:sz="0" w:space="0" w:color="auto"/>
        <w:right w:val="none" w:sz="0" w:space="0" w:color="auto"/>
      </w:divBdr>
    </w:div>
    <w:div w:id="367338209">
      <w:bodyDiv w:val="1"/>
      <w:marLeft w:val="0"/>
      <w:marRight w:val="0"/>
      <w:marTop w:val="0"/>
      <w:marBottom w:val="0"/>
      <w:divBdr>
        <w:top w:val="none" w:sz="0" w:space="0" w:color="auto"/>
        <w:left w:val="none" w:sz="0" w:space="0" w:color="auto"/>
        <w:bottom w:val="none" w:sz="0" w:space="0" w:color="auto"/>
        <w:right w:val="none" w:sz="0" w:space="0" w:color="auto"/>
      </w:divBdr>
    </w:div>
    <w:div w:id="377703763">
      <w:bodyDiv w:val="1"/>
      <w:marLeft w:val="0"/>
      <w:marRight w:val="0"/>
      <w:marTop w:val="0"/>
      <w:marBottom w:val="0"/>
      <w:divBdr>
        <w:top w:val="none" w:sz="0" w:space="0" w:color="auto"/>
        <w:left w:val="none" w:sz="0" w:space="0" w:color="auto"/>
        <w:bottom w:val="none" w:sz="0" w:space="0" w:color="auto"/>
        <w:right w:val="none" w:sz="0" w:space="0" w:color="auto"/>
      </w:divBdr>
    </w:div>
    <w:div w:id="392390691">
      <w:bodyDiv w:val="1"/>
      <w:marLeft w:val="0"/>
      <w:marRight w:val="0"/>
      <w:marTop w:val="0"/>
      <w:marBottom w:val="0"/>
      <w:divBdr>
        <w:top w:val="none" w:sz="0" w:space="0" w:color="auto"/>
        <w:left w:val="none" w:sz="0" w:space="0" w:color="auto"/>
        <w:bottom w:val="none" w:sz="0" w:space="0" w:color="auto"/>
        <w:right w:val="none" w:sz="0" w:space="0" w:color="auto"/>
      </w:divBdr>
    </w:div>
    <w:div w:id="405759374">
      <w:bodyDiv w:val="1"/>
      <w:marLeft w:val="0"/>
      <w:marRight w:val="0"/>
      <w:marTop w:val="0"/>
      <w:marBottom w:val="0"/>
      <w:divBdr>
        <w:top w:val="none" w:sz="0" w:space="0" w:color="auto"/>
        <w:left w:val="none" w:sz="0" w:space="0" w:color="auto"/>
        <w:bottom w:val="none" w:sz="0" w:space="0" w:color="auto"/>
        <w:right w:val="none" w:sz="0" w:space="0" w:color="auto"/>
      </w:divBdr>
    </w:div>
    <w:div w:id="411390983">
      <w:bodyDiv w:val="1"/>
      <w:marLeft w:val="0"/>
      <w:marRight w:val="0"/>
      <w:marTop w:val="0"/>
      <w:marBottom w:val="0"/>
      <w:divBdr>
        <w:top w:val="none" w:sz="0" w:space="0" w:color="auto"/>
        <w:left w:val="none" w:sz="0" w:space="0" w:color="auto"/>
        <w:bottom w:val="none" w:sz="0" w:space="0" w:color="auto"/>
        <w:right w:val="none" w:sz="0" w:space="0" w:color="auto"/>
      </w:divBdr>
    </w:div>
    <w:div w:id="414014151">
      <w:bodyDiv w:val="1"/>
      <w:marLeft w:val="0"/>
      <w:marRight w:val="0"/>
      <w:marTop w:val="0"/>
      <w:marBottom w:val="0"/>
      <w:divBdr>
        <w:top w:val="none" w:sz="0" w:space="0" w:color="auto"/>
        <w:left w:val="none" w:sz="0" w:space="0" w:color="auto"/>
        <w:bottom w:val="none" w:sz="0" w:space="0" w:color="auto"/>
        <w:right w:val="none" w:sz="0" w:space="0" w:color="auto"/>
      </w:divBdr>
    </w:div>
    <w:div w:id="469908158">
      <w:bodyDiv w:val="1"/>
      <w:marLeft w:val="0"/>
      <w:marRight w:val="0"/>
      <w:marTop w:val="0"/>
      <w:marBottom w:val="0"/>
      <w:divBdr>
        <w:top w:val="none" w:sz="0" w:space="0" w:color="auto"/>
        <w:left w:val="none" w:sz="0" w:space="0" w:color="auto"/>
        <w:bottom w:val="none" w:sz="0" w:space="0" w:color="auto"/>
        <w:right w:val="none" w:sz="0" w:space="0" w:color="auto"/>
      </w:divBdr>
    </w:div>
    <w:div w:id="488136514">
      <w:bodyDiv w:val="1"/>
      <w:marLeft w:val="0"/>
      <w:marRight w:val="0"/>
      <w:marTop w:val="0"/>
      <w:marBottom w:val="0"/>
      <w:divBdr>
        <w:top w:val="none" w:sz="0" w:space="0" w:color="auto"/>
        <w:left w:val="none" w:sz="0" w:space="0" w:color="auto"/>
        <w:bottom w:val="none" w:sz="0" w:space="0" w:color="auto"/>
        <w:right w:val="none" w:sz="0" w:space="0" w:color="auto"/>
      </w:divBdr>
    </w:div>
    <w:div w:id="540629251">
      <w:bodyDiv w:val="1"/>
      <w:marLeft w:val="0"/>
      <w:marRight w:val="0"/>
      <w:marTop w:val="0"/>
      <w:marBottom w:val="0"/>
      <w:divBdr>
        <w:top w:val="none" w:sz="0" w:space="0" w:color="auto"/>
        <w:left w:val="none" w:sz="0" w:space="0" w:color="auto"/>
        <w:bottom w:val="none" w:sz="0" w:space="0" w:color="auto"/>
        <w:right w:val="none" w:sz="0" w:space="0" w:color="auto"/>
      </w:divBdr>
    </w:div>
    <w:div w:id="616378744">
      <w:bodyDiv w:val="1"/>
      <w:marLeft w:val="0"/>
      <w:marRight w:val="0"/>
      <w:marTop w:val="0"/>
      <w:marBottom w:val="0"/>
      <w:divBdr>
        <w:top w:val="none" w:sz="0" w:space="0" w:color="auto"/>
        <w:left w:val="none" w:sz="0" w:space="0" w:color="auto"/>
        <w:bottom w:val="none" w:sz="0" w:space="0" w:color="auto"/>
        <w:right w:val="none" w:sz="0" w:space="0" w:color="auto"/>
      </w:divBdr>
    </w:div>
    <w:div w:id="688264861">
      <w:bodyDiv w:val="1"/>
      <w:marLeft w:val="0"/>
      <w:marRight w:val="0"/>
      <w:marTop w:val="0"/>
      <w:marBottom w:val="0"/>
      <w:divBdr>
        <w:top w:val="none" w:sz="0" w:space="0" w:color="auto"/>
        <w:left w:val="none" w:sz="0" w:space="0" w:color="auto"/>
        <w:bottom w:val="none" w:sz="0" w:space="0" w:color="auto"/>
        <w:right w:val="none" w:sz="0" w:space="0" w:color="auto"/>
      </w:divBdr>
    </w:div>
    <w:div w:id="690304830">
      <w:bodyDiv w:val="1"/>
      <w:marLeft w:val="0"/>
      <w:marRight w:val="0"/>
      <w:marTop w:val="0"/>
      <w:marBottom w:val="0"/>
      <w:divBdr>
        <w:top w:val="none" w:sz="0" w:space="0" w:color="auto"/>
        <w:left w:val="none" w:sz="0" w:space="0" w:color="auto"/>
        <w:bottom w:val="none" w:sz="0" w:space="0" w:color="auto"/>
        <w:right w:val="none" w:sz="0" w:space="0" w:color="auto"/>
      </w:divBdr>
    </w:div>
    <w:div w:id="693579766">
      <w:bodyDiv w:val="1"/>
      <w:marLeft w:val="0"/>
      <w:marRight w:val="0"/>
      <w:marTop w:val="0"/>
      <w:marBottom w:val="0"/>
      <w:divBdr>
        <w:top w:val="none" w:sz="0" w:space="0" w:color="auto"/>
        <w:left w:val="none" w:sz="0" w:space="0" w:color="auto"/>
        <w:bottom w:val="none" w:sz="0" w:space="0" w:color="auto"/>
        <w:right w:val="none" w:sz="0" w:space="0" w:color="auto"/>
      </w:divBdr>
    </w:div>
    <w:div w:id="740173449">
      <w:bodyDiv w:val="1"/>
      <w:marLeft w:val="0"/>
      <w:marRight w:val="0"/>
      <w:marTop w:val="0"/>
      <w:marBottom w:val="0"/>
      <w:divBdr>
        <w:top w:val="none" w:sz="0" w:space="0" w:color="auto"/>
        <w:left w:val="none" w:sz="0" w:space="0" w:color="auto"/>
        <w:bottom w:val="none" w:sz="0" w:space="0" w:color="auto"/>
        <w:right w:val="none" w:sz="0" w:space="0" w:color="auto"/>
      </w:divBdr>
    </w:div>
    <w:div w:id="838543846">
      <w:bodyDiv w:val="1"/>
      <w:marLeft w:val="0"/>
      <w:marRight w:val="0"/>
      <w:marTop w:val="0"/>
      <w:marBottom w:val="0"/>
      <w:divBdr>
        <w:top w:val="none" w:sz="0" w:space="0" w:color="auto"/>
        <w:left w:val="none" w:sz="0" w:space="0" w:color="auto"/>
        <w:bottom w:val="none" w:sz="0" w:space="0" w:color="auto"/>
        <w:right w:val="none" w:sz="0" w:space="0" w:color="auto"/>
      </w:divBdr>
    </w:div>
    <w:div w:id="853496851">
      <w:bodyDiv w:val="1"/>
      <w:marLeft w:val="0"/>
      <w:marRight w:val="0"/>
      <w:marTop w:val="0"/>
      <w:marBottom w:val="0"/>
      <w:divBdr>
        <w:top w:val="none" w:sz="0" w:space="0" w:color="auto"/>
        <w:left w:val="none" w:sz="0" w:space="0" w:color="auto"/>
        <w:bottom w:val="none" w:sz="0" w:space="0" w:color="auto"/>
        <w:right w:val="none" w:sz="0" w:space="0" w:color="auto"/>
      </w:divBdr>
    </w:div>
    <w:div w:id="861086843">
      <w:bodyDiv w:val="1"/>
      <w:marLeft w:val="0"/>
      <w:marRight w:val="0"/>
      <w:marTop w:val="0"/>
      <w:marBottom w:val="0"/>
      <w:divBdr>
        <w:top w:val="none" w:sz="0" w:space="0" w:color="auto"/>
        <w:left w:val="none" w:sz="0" w:space="0" w:color="auto"/>
        <w:bottom w:val="none" w:sz="0" w:space="0" w:color="auto"/>
        <w:right w:val="none" w:sz="0" w:space="0" w:color="auto"/>
      </w:divBdr>
    </w:div>
    <w:div w:id="886181120">
      <w:bodyDiv w:val="1"/>
      <w:marLeft w:val="0"/>
      <w:marRight w:val="0"/>
      <w:marTop w:val="0"/>
      <w:marBottom w:val="0"/>
      <w:divBdr>
        <w:top w:val="none" w:sz="0" w:space="0" w:color="auto"/>
        <w:left w:val="none" w:sz="0" w:space="0" w:color="auto"/>
        <w:bottom w:val="none" w:sz="0" w:space="0" w:color="auto"/>
        <w:right w:val="none" w:sz="0" w:space="0" w:color="auto"/>
      </w:divBdr>
    </w:div>
    <w:div w:id="927664680">
      <w:bodyDiv w:val="1"/>
      <w:marLeft w:val="0"/>
      <w:marRight w:val="0"/>
      <w:marTop w:val="0"/>
      <w:marBottom w:val="0"/>
      <w:divBdr>
        <w:top w:val="none" w:sz="0" w:space="0" w:color="auto"/>
        <w:left w:val="none" w:sz="0" w:space="0" w:color="auto"/>
        <w:bottom w:val="none" w:sz="0" w:space="0" w:color="auto"/>
        <w:right w:val="none" w:sz="0" w:space="0" w:color="auto"/>
      </w:divBdr>
    </w:div>
    <w:div w:id="944847466">
      <w:bodyDiv w:val="1"/>
      <w:marLeft w:val="0"/>
      <w:marRight w:val="0"/>
      <w:marTop w:val="0"/>
      <w:marBottom w:val="0"/>
      <w:divBdr>
        <w:top w:val="none" w:sz="0" w:space="0" w:color="auto"/>
        <w:left w:val="none" w:sz="0" w:space="0" w:color="auto"/>
        <w:bottom w:val="none" w:sz="0" w:space="0" w:color="auto"/>
        <w:right w:val="none" w:sz="0" w:space="0" w:color="auto"/>
      </w:divBdr>
    </w:div>
    <w:div w:id="1014696536">
      <w:bodyDiv w:val="1"/>
      <w:marLeft w:val="0"/>
      <w:marRight w:val="0"/>
      <w:marTop w:val="0"/>
      <w:marBottom w:val="0"/>
      <w:divBdr>
        <w:top w:val="none" w:sz="0" w:space="0" w:color="auto"/>
        <w:left w:val="none" w:sz="0" w:space="0" w:color="auto"/>
        <w:bottom w:val="none" w:sz="0" w:space="0" w:color="auto"/>
        <w:right w:val="none" w:sz="0" w:space="0" w:color="auto"/>
      </w:divBdr>
    </w:div>
    <w:div w:id="1021012556">
      <w:bodyDiv w:val="1"/>
      <w:marLeft w:val="0"/>
      <w:marRight w:val="0"/>
      <w:marTop w:val="0"/>
      <w:marBottom w:val="0"/>
      <w:divBdr>
        <w:top w:val="none" w:sz="0" w:space="0" w:color="auto"/>
        <w:left w:val="none" w:sz="0" w:space="0" w:color="auto"/>
        <w:bottom w:val="none" w:sz="0" w:space="0" w:color="auto"/>
        <w:right w:val="none" w:sz="0" w:space="0" w:color="auto"/>
      </w:divBdr>
    </w:div>
    <w:div w:id="1028331278">
      <w:bodyDiv w:val="1"/>
      <w:marLeft w:val="0"/>
      <w:marRight w:val="0"/>
      <w:marTop w:val="0"/>
      <w:marBottom w:val="0"/>
      <w:divBdr>
        <w:top w:val="none" w:sz="0" w:space="0" w:color="auto"/>
        <w:left w:val="none" w:sz="0" w:space="0" w:color="auto"/>
        <w:bottom w:val="none" w:sz="0" w:space="0" w:color="auto"/>
        <w:right w:val="none" w:sz="0" w:space="0" w:color="auto"/>
      </w:divBdr>
    </w:div>
    <w:div w:id="1161890191">
      <w:bodyDiv w:val="1"/>
      <w:marLeft w:val="0"/>
      <w:marRight w:val="0"/>
      <w:marTop w:val="0"/>
      <w:marBottom w:val="0"/>
      <w:divBdr>
        <w:top w:val="none" w:sz="0" w:space="0" w:color="auto"/>
        <w:left w:val="none" w:sz="0" w:space="0" w:color="auto"/>
        <w:bottom w:val="none" w:sz="0" w:space="0" w:color="auto"/>
        <w:right w:val="none" w:sz="0" w:space="0" w:color="auto"/>
      </w:divBdr>
    </w:div>
    <w:div w:id="1183393486">
      <w:bodyDiv w:val="1"/>
      <w:marLeft w:val="0"/>
      <w:marRight w:val="0"/>
      <w:marTop w:val="0"/>
      <w:marBottom w:val="0"/>
      <w:divBdr>
        <w:top w:val="none" w:sz="0" w:space="0" w:color="auto"/>
        <w:left w:val="none" w:sz="0" w:space="0" w:color="auto"/>
        <w:bottom w:val="none" w:sz="0" w:space="0" w:color="auto"/>
        <w:right w:val="none" w:sz="0" w:space="0" w:color="auto"/>
      </w:divBdr>
    </w:div>
    <w:div w:id="1236207019">
      <w:bodyDiv w:val="1"/>
      <w:marLeft w:val="0"/>
      <w:marRight w:val="0"/>
      <w:marTop w:val="0"/>
      <w:marBottom w:val="0"/>
      <w:divBdr>
        <w:top w:val="none" w:sz="0" w:space="0" w:color="auto"/>
        <w:left w:val="none" w:sz="0" w:space="0" w:color="auto"/>
        <w:bottom w:val="none" w:sz="0" w:space="0" w:color="auto"/>
        <w:right w:val="none" w:sz="0" w:space="0" w:color="auto"/>
      </w:divBdr>
    </w:div>
    <w:div w:id="1250503957">
      <w:bodyDiv w:val="1"/>
      <w:marLeft w:val="0"/>
      <w:marRight w:val="0"/>
      <w:marTop w:val="0"/>
      <w:marBottom w:val="0"/>
      <w:divBdr>
        <w:top w:val="none" w:sz="0" w:space="0" w:color="auto"/>
        <w:left w:val="none" w:sz="0" w:space="0" w:color="auto"/>
        <w:bottom w:val="none" w:sz="0" w:space="0" w:color="auto"/>
        <w:right w:val="none" w:sz="0" w:space="0" w:color="auto"/>
      </w:divBdr>
    </w:div>
    <w:div w:id="1293944270">
      <w:bodyDiv w:val="1"/>
      <w:marLeft w:val="0"/>
      <w:marRight w:val="0"/>
      <w:marTop w:val="0"/>
      <w:marBottom w:val="0"/>
      <w:divBdr>
        <w:top w:val="none" w:sz="0" w:space="0" w:color="auto"/>
        <w:left w:val="none" w:sz="0" w:space="0" w:color="auto"/>
        <w:bottom w:val="none" w:sz="0" w:space="0" w:color="auto"/>
        <w:right w:val="none" w:sz="0" w:space="0" w:color="auto"/>
      </w:divBdr>
    </w:div>
    <w:div w:id="1323119519">
      <w:bodyDiv w:val="1"/>
      <w:marLeft w:val="0"/>
      <w:marRight w:val="0"/>
      <w:marTop w:val="0"/>
      <w:marBottom w:val="0"/>
      <w:divBdr>
        <w:top w:val="none" w:sz="0" w:space="0" w:color="auto"/>
        <w:left w:val="none" w:sz="0" w:space="0" w:color="auto"/>
        <w:bottom w:val="none" w:sz="0" w:space="0" w:color="auto"/>
        <w:right w:val="none" w:sz="0" w:space="0" w:color="auto"/>
      </w:divBdr>
    </w:div>
    <w:div w:id="1334603676">
      <w:bodyDiv w:val="1"/>
      <w:marLeft w:val="0"/>
      <w:marRight w:val="0"/>
      <w:marTop w:val="0"/>
      <w:marBottom w:val="0"/>
      <w:divBdr>
        <w:top w:val="none" w:sz="0" w:space="0" w:color="auto"/>
        <w:left w:val="none" w:sz="0" w:space="0" w:color="auto"/>
        <w:bottom w:val="none" w:sz="0" w:space="0" w:color="auto"/>
        <w:right w:val="none" w:sz="0" w:space="0" w:color="auto"/>
      </w:divBdr>
    </w:div>
    <w:div w:id="1335915112">
      <w:bodyDiv w:val="1"/>
      <w:marLeft w:val="0"/>
      <w:marRight w:val="0"/>
      <w:marTop w:val="0"/>
      <w:marBottom w:val="0"/>
      <w:divBdr>
        <w:top w:val="none" w:sz="0" w:space="0" w:color="auto"/>
        <w:left w:val="none" w:sz="0" w:space="0" w:color="auto"/>
        <w:bottom w:val="none" w:sz="0" w:space="0" w:color="auto"/>
        <w:right w:val="none" w:sz="0" w:space="0" w:color="auto"/>
      </w:divBdr>
    </w:div>
    <w:div w:id="1338196746">
      <w:bodyDiv w:val="1"/>
      <w:marLeft w:val="0"/>
      <w:marRight w:val="0"/>
      <w:marTop w:val="0"/>
      <w:marBottom w:val="0"/>
      <w:divBdr>
        <w:top w:val="none" w:sz="0" w:space="0" w:color="auto"/>
        <w:left w:val="none" w:sz="0" w:space="0" w:color="auto"/>
        <w:bottom w:val="none" w:sz="0" w:space="0" w:color="auto"/>
        <w:right w:val="none" w:sz="0" w:space="0" w:color="auto"/>
      </w:divBdr>
    </w:div>
    <w:div w:id="1345865716">
      <w:bodyDiv w:val="1"/>
      <w:marLeft w:val="0"/>
      <w:marRight w:val="0"/>
      <w:marTop w:val="0"/>
      <w:marBottom w:val="0"/>
      <w:divBdr>
        <w:top w:val="none" w:sz="0" w:space="0" w:color="auto"/>
        <w:left w:val="none" w:sz="0" w:space="0" w:color="auto"/>
        <w:bottom w:val="none" w:sz="0" w:space="0" w:color="auto"/>
        <w:right w:val="none" w:sz="0" w:space="0" w:color="auto"/>
      </w:divBdr>
    </w:div>
    <w:div w:id="1389691248">
      <w:bodyDiv w:val="1"/>
      <w:marLeft w:val="0"/>
      <w:marRight w:val="0"/>
      <w:marTop w:val="0"/>
      <w:marBottom w:val="0"/>
      <w:divBdr>
        <w:top w:val="none" w:sz="0" w:space="0" w:color="auto"/>
        <w:left w:val="none" w:sz="0" w:space="0" w:color="auto"/>
        <w:bottom w:val="none" w:sz="0" w:space="0" w:color="auto"/>
        <w:right w:val="none" w:sz="0" w:space="0" w:color="auto"/>
      </w:divBdr>
    </w:div>
    <w:div w:id="1489974277">
      <w:bodyDiv w:val="1"/>
      <w:marLeft w:val="0"/>
      <w:marRight w:val="0"/>
      <w:marTop w:val="0"/>
      <w:marBottom w:val="0"/>
      <w:divBdr>
        <w:top w:val="none" w:sz="0" w:space="0" w:color="auto"/>
        <w:left w:val="none" w:sz="0" w:space="0" w:color="auto"/>
        <w:bottom w:val="none" w:sz="0" w:space="0" w:color="auto"/>
        <w:right w:val="none" w:sz="0" w:space="0" w:color="auto"/>
      </w:divBdr>
    </w:div>
    <w:div w:id="1539901425">
      <w:bodyDiv w:val="1"/>
      <w:marLeft w:val="0"/>
      <w:marRight w:val="0"/>
      <w:marTop w:val="0"/>
      <w:marBottom w:val="0"/>
      <w:divBdr>
        <w:top w:val="none" w:sz="0" w:space="0" w:color="auto"/>
        <w:left w:val="none" w:sz="0" w:space="0" w:color="auto"/>
        <w:bottom w:val="none" w:sz="0" w:space="0" w:color="auto"/>
        <w:right w:val="none" w:sz="0" w:space="0" w:color="auto"/>
      </w:divBdr>
    </w:div>
    <w:div w:id="1552309436">
      <w:bodyDiv w:val="1"/>
      <w:marLeft w:val="0"/>
      <w:marRight w:val="0"/>
      <w:marTop w:val="0"/>
      <w:marBottom w:val="0"/>
      <w:divBdr>
        <w:top w:val="none" w:sz="0" w:space="0" w:color="auto"/>
        <w:left w:val="none" w:sz="0" w:space="0" w:color="auto"/>
        <w:bottom w:val="none" w:sz="0" w:space="0" w:color="auto"/>
        <w:right w:val="none" w:sz="0" w:space="0" w:color="auto"/>
      </w:divBdr>
    </w:div>
    <w:div w:id="1652900375">
      <w:bodyDiv w:val="1"/>
      <w:marLeft w:val="0"/>
      <w:marRight w:val="0"/>
      <w:marTop w:val="0"/>
      <w:marBottom w:val="0"/>
      <w:divBdr>
        <w:top w:val="none" w:sz="0" w:space="0" w:color="auto"/>
        <w:left w:val="none" w:sz="0" w:space="0" w:color="auto"/>
        <w:bottom w:val="none" w:sz="0" w:space="0" w:color="auto"/>
        <w:right w:val="none" w:sz="0" w:space="0" w:color="auto"/>
      </w:divBdr>
    </w:div>
    <w:div w:id="1701928575">
      <w:bodyDiv w:val="1"/>
      <w:marLeft w:val="0"/>
      <w:marRight w:val="0"/>
      <w:marTop w:val="0"/>
      <w:marBottom w:val="0"/>
      <w:divBdr>
        <w:top w:val="none" w:sz="0" w:space="0" w:color="auto"/>
        <w:left w:val="none" w:sz="0" w:space="0" w:color="auto"/>
        <w:bottom w:val="none" w:sz="0" w:space="0" w:color="auto"/>
        <w:right w:val="none" w:sz="0" w:space="0" w:color="auto"/>
      </w:divBdr>
    </w:div>
    <w:div w:id="1726174839">
      <w:bodyDiv w:val="1"/>
      <w:marLeft w:val="0"/>
      <w:marRight w:val="0"/>
      <w:marTop w:val="0"/>
      <w:marBottom w:val="0"/>
      <w:divBdr>
        <w:top w:val="none" w:sz="0" w:space="0" w:color="auto"/>
        <w:left w:val="none" w:sz="0" w:space="0" w:color="auto"/>
        <w:bottom w:val="none" w:sz="0" w:space="0" w:color="auto"/>
        <w:right w:val="none" w:sz="0" w:space="0" w:color="auto"/>
      </w:divBdr>
    </w:div>
    <w:div w:id="1747190641">
      <w:bodyDiv w:val="1"/>
      <w:marLeft w:val="0"/>
      <w:marRight w:val="0"/>
      <w:marTop w:val="0"/>
      <w:marBottom w:val="0"/>
      <w:divBdr>
        <w:top w:val="none" w:sz="0" w:space="0" w:color="auto"/>
        <w:left w:val="none" w:sz="0" w:space="0" w:color="auto"/>
        <w:bottom w:val="none" w:sz="0" w:space="0" w:color="auto"/>
        <w:right w:val="none" w:sz="0" w:space="0" w:color="auto"/>
      </w:divBdr>
    </w:div>
    <w:div w:id="1753969629">
      <w:bodyDiv w:val="1"/>
      <w:marLeft w:val="0"/>
      <w:marRight w:val="0"/>
      <w:marTop w:val="0"/>
      <w:marBottom w:val="0"/>
      <w:divBdr>
        <w:top w:val="none" w:sz="0" w:space="0" w:color="auto"/>
        <w:left w:val="none" w:sz="0" w:space="0" w:color="auto"/>
        <w:bottom w:val="none" w:sz="0" w:space="0" w:color="auto"/>
        <w:right w:val="none" w:sz="0" w:space="0" w:color="auto"/>
      </w:divBdr>
    </w:div>
    <w:div w:id="1760908768">
      <w:bodyDiv w:val="1"/>
      <w:marLeft w:val="0"/>
      <w:marRight w:val="0"/>
      <w:marTop w:val="0"/>
      <w:marBottom w:val="0"/>
      <w:divBdr>
        <w:top w:val="none" w:sz="0" w:space="0" w:color="auto"/>
        <w:left w:val="none" w:sz="0" w:space="0" w:color="auto"/>
        <w:bottom w:val="none" w:sz="0" w:space="0" w:color="auto"/>
        <w:right w:val="none" w:sz="0" w:space="0" w:color="auto"/>
      </w:divBdr>
    </w:div>
    <w:div w:id="1804152245">
      <w:bodyDiv w:val="1"/>
      <w:marLeft w:val="0"/>
      <w:marRight w:val="0"/>
      <w:marTop w:val="0"/>
      <w:marBottom w:val="0"/>
      <w:divBdr>
        <w:top w:val="none" w:sz="0" w:space="0" w:color="auto"/>
        <w:left w:val="none" w:sz="0" w:space="0" w:color="auto"/>
        <w:bottom w:val="none" w:sz="0" w:space="0" w:color="auto"/>
        <w:right w:val="none" w:sz="0" w:space="0" w:color="auto"/>
      </w:divBdr>
    </w:div>
    <w:div w:id="1810395869">
      <w:bodyDiv w:val="1"/>
      <w:marLeft w:val="0"/>
      <w:marRight w:val="0"/>
      <w:marTop w:val="0"/>
      <w:marBottom w:val="0"/>
      <w:divBdr>
        <w:top w:val="none" w:sz="0" w:space="0" w:color="auto"/>
        <w:left w:val="none" w:sz="0" w:space="0" w:color="auto"/>
        <w:bottom w:val="none" w:sz="0" w:space="0" w:color="auto"/>
        <w:right w:val="none" w:sz="0" w:space="0" w:color="auto"/>
      </w:divBdr>
    </w:div>
    <w:div w:id="1815871673">
      <w:bodyDiv w:val="1"/>
      <w:marLeft w:val="0"/>
      <w:marRight w:val="0"/>
      <w:marTop w:val="0"/>
      <w:marBottom w:val="0"/>
      <w:divBdr>
        <w:top w:val="none" w:sz="0" w:space="0" w:color="auto"/>
        <w:left w:val="none" w:sz="0" w:space="0" w:color="auto"/>
        <w:bottom w:val="none" w:sz="0" w:space="0" w:color="auto"/>
        <w:right w:val="none" w:sz="0" w:space="0" w:color="auto"/>
      </w:divBdr>
    </w:div>
    <w:div w:id="1899516382">
      <w:bodyDiv w:val="1"/>
      <w:marLeft w:val="0"/>
      <w:marRight w:val="0"/>
      <w:marTop w:val="0"/>
      <w:marBottom w:val="0"/>
      <w:divBdr>
        <w:top w:val="none" w:sz="0" w:space="0" w:color="auto"/>
        <w:left w:val="none" w:sz="0" w:space="0" w:color="auto"/>
        <w:bottom w:val="none" w:sz="0" w:space="0" w:color="auto"/>
        <w:right w:val="none" w:sz="0" w:space="0" w:color="auto"/>
      </w:divBdr>
    </w:div>
    <w:div w:id="1904486132">
      <w:bodyDiv w:val="1"/>
      <w:marLeft w:val="0"/>
      <w:marRight w:val="0"/>
      <w:marTop w:val="0"/>
      <w:marBottom w:val="0"/>
      <w:divBdr>
        <w:top w:val="none" w:sz="0" w:space="0" w:color="auto"/>
        <w:left w:val="none" w:sz="0" w:space="0" w:color="auto"/>
        <w:bottom w:val="none" w:sz="0" w:space="0" w:color="auto"/>
        <w:right w:val="none" w:sz="0" w:space="0" w:color="auto"/>
      </w:divBdr>
    </w:div>
    <w:div w:id="1905333195">
      <w:bodyDiv w:val="1"/>
      <w:marLeft w:val="0"/>
      <w:marRight w:val="0"/>
      <w:marTop w:val="0"/>
      <w:marBottom w:val="0"/>
      <w:divBdr>
        <w:top w:val="none" w:sz="0" w:space="0" w:color="auto"/>
        <w:left w:val="none" w:sz="0" w:space="0" w:color="auto"/>
        <w:bottom w:val="none" w:sz="0" w:space="0" w:color="auto"/>
        <w:right w:val="none" w:sz="0" w:space="0" w:color="auto"/>
      </w:divBdr>
    </w:div>
    <w:div w:id="1935821368">
      <w:bodyDiv w:val="1"/>
      <w:marLeft w:val="0"/>
      <w:marRight w:val="0"/>
      <w:marTop w:val="0"/>
      <w:marBottom w:val="0"/>
      <w:divBdr>
        <w:top w:val="none" w:sz="0" w:space="0" w:color="auto"/>
        <w:left w:val="none" w:sz="0" w:space="0" w:color="auto"/>
        <w:bottom w:val="none" w:sz="0" w:space="0" w:color="auto"/>
        <w:right w:val="none" w:sz="0" w:space="0" w:color="auto"/>
      </w:divBdr>
    </w:div>
    <w:div w:id="1949072869">
      <w:bodyDiv w:val="1"/>
      <w:marLeft w:val="0"/>
      <w:marRight w:val="0"/>
      <w:marTop w:val="0"/>
      <w:marBottom w:val="0"/>
      <w:divBdr>
        <w:top w:val="none" w:sz="0" w:space="0" w:color="auto"/>
        <w:left w:val="none" w:sz="0" w:space="0" w:color="auto"/>
        <w:bottom w:val="none" w:sz="0" w:space="0" w:color="auto"/>
        <w:right w:val="none" w:sz="0" w:space="0" w:color="auto"/>
      </w:divBdr>
    </w:div>
    <w:div w:id="1957981375">
      <w:bodyDiv w:val="1"/>
      <w:marLeft w:val="0"/>
      <w:marRight w:val="0"/>
      <w:marTop w:val="0"/>
      <w:marBottom w:val="0"/>
      <w:divBdr>
        <w:top w:val="none" w:sz="0" w:space="0" w:color="auto"/>
        <w:left w:val="none" w:sz="0" w:space="0" w:color="auto"/>
        <w:bottom w:val="none" w:sz="0" w:space="0" w:color="auto"/>
        <w:right w:val="none" w:sz="0" w:space="0" w:color="auto"/>
      </w:divBdr>
    </w:div>
    <w:div w:id="1983998743">
      <w:bodyDiv w:val="1"/>
      <w:marLeft w:val="0"/>
      <w:marRight w:val="0"/>
      <w:marTop w:val="0"/>
      <w:marBottom w:val="0"/>
      <w:divBdr>
        <w:top w:val="none" w:sz="0" w:space="0" w:color="auto"/>
        <w:left w:val="none" w:sz="0" w:space="0" w:color="auto"/>
        <w:bottom w:val="none" w:sz="0" w:space="0" w:color="auto"/>
        <w:right w:val="none" w:sz="0" w:space="0" w:color="auto"/>
      </w:divBdr>
    </w:div>
    <w:div w:id="2099474201">
      <w:bodyDiv w:val="1"/>
      <w:marLeft w:val="0"/>
      <w:marRight w:val="0"/>
      <w:marTop w:val="0"/>
      <w:marBottom w:val="0"/>
      <w:divBdr>
        <w:top w:val="none" w:sz="0" w:space="0" w:color="auto"/>
        <w:left w:val="none" w:sz="0" w:space="0" w:color="auto"/>
        <w:bottom w:val="none" w:sz="0" w:space="0" w:color="auto"/>
        <w:right w:val="none" w:sz="0" w:space="0" w:color="auto"/>
      </w:divBdr>
    </w:div>
    <w:div w:id="2101488806">
      <w:bodyDiv w:val="1"/>
      <w:marLeft w:val="0"/>
      <w:marRight w:val="0"/>
      <w:marTop w:val="0"/>
      <w:marBottom w:val="0"/>
      <w:divBdr>
        <w:top w:val="none" w:sz="0" w:space="0" w:color="auto"/>
        <w:left w:val="none" w:sz="0" w:space="0" w:color="auto"/>
        <w:bottom w:val="none" w:sz="0" w:space="0" w:color="auto"/>
        <w:right w:val="none" w:sz="0" w:space="0" w:color="auto"/>
      </w:divBdr>
    </w:div>
    <w:div w:id="2106345998">
      <w:bodyDiv w:val="1"/>
      <w:marLeft w:val="0"/>
      <w:marRight w:val="0"/>
      <w:marTop w:val="0"/>
      <w:marBottom w:val="0"/>
      <w:divBdr>
        <w:top w:val="none" w:sz="0" w:space="0" w:color="auto"/>
        <w:left w:val="none" w:sz="0" w:space="0" w:color="auto"/>
        <w:bottom w:val="none" w:sz="0" w:space="0" w:color="auto"/>
        <w:right w:val="none" w:sz="0" w:space="0" w:color="auto"/>
      </w:divBdr>
    </w:div>
    <w:div w:id="2126538239">
      <w:bodyDiv w:val="1"/>
      <w:marLeft w:val="0"/>
      <w:marRight w:val="0"/>
      <w:marTop w:val="0"/>
      <w:marBottom w:val="0"/>
      <w:divBdr>
        <w:top w:val="none" w:sz="0" w:space="0" w:color="auto"/>
        <w:left w:val="none" w:sz="0" w:space="0" w:color="auto"/>
        <w:bottom w:val="none" w:sz="0" w:space="0" w:color="auto"/>
        <w:right w:val="none" w:sz="0" w:space="0" w:color="auto"/>
      </w:divBdr>
    </w:div>
    <w:div w:id="2135521017">
      <w:bodyDiv w:val="1"/>
      <w:marLeft w:val="0"/>
      <w:marRight w:val="0"/>
      <w:marTop w:val="0"/>
      <w:marBottom w:val="0"/>
      <w:divBdr>
        <w:top w:val="none" w:sz="0" w:space="0" w:color="auto"/>
        <w:left w:val="none" w:sz="0" w:space="0" w:color="auto"/>
        <w:bottom w:val="none" w:sz="0" w:space="0" w:color="auto"/>
        <w:right w:val="none" w:sz="0" w:space="0" w:color="auto"/>
      </w:divBdr>
    </w:div>
    <w:div w:id="21468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mailto:president@boise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177B2-FB5F-4CC9-BA2F-C4521C7A7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2487</Words>
  <Characters>14874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17327</CharactersWithSpaces>
  <SharedDoc>false</SharedDoc>
  <HLinks>
    <vt:vector size="6" baseType="variant">
      <vt:variant>
        <vt:i4>2490369</vt:i4>
      </vt:variant>
      <vt:variant>
        <vt:i4>0</vt:i4>
      </vt:variant>
      <vt:variant>
        <vt:i4>0</vt:i4>
      </vt:variant>
      <vt:variant>
        <vt:i4>5</vt:i4>
      </vt:variant>
      <vt:variant>
        <vt:lpwstr>mailto:bobkustra@boisestate.edu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Theresa Arnold</cp:lastModifiedBy>
  <cp:revision>4</cp:revision>
  <cp:lastPrinted>2019-07-31T17:03:00Z</cp:lastPrinted>
  <dcterms:created xsi:type="dcterms:W3CDTF">2022-01-03T20:01:00Z</dcterms:created>
  <dcterms:modified xsi:type="dcterms:W3CDTF">2022-06-01T20:40:00Z</dcterms:modified>
</cp:coreProperties>
</file>