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7342" w14:textId="77777777" w:rsidR="0047556E" w:rsidRPr="00487FCD" w:rsidRDefault="0047556E" w:rsidP="00C540EA">
      <w:pPr>
        <w:pStyle w:val="Heading1"/>
        <w:spacing w:before="0"/>
        <w:rPr>
          <w:rFonts w:ascii="Arial" w:hAnsi="Arial" w:cs="Arial"/>
          <w:i/>
          <w:color w:val="000080"/>
          <w:szCs w:val="24"/>
        </w:rPr>
      </w:pPr>
      <w:r w:rsidRPr="00487FCD">
        <w:rPr>
          <w:rFonts w:ascii="Arial" w:hAnsi="Arial" w:cs="Arial"/>
          <w:i/>
          <w:color w:val="000080"/>
          <w:szCs w:val="24"/>
        </w:rPr>
        <w:t>Part I – Agency Profile</w:t>
      </w:r>
      <w:r w:rsidR="006335B0">
        <w:rPr>
          <w:rFonts w:ascii="Arial" w:hAnsi="Arial" w:cs="Arial"/>
          <w:i/>
          <w:color w:val="000080"/>
          <w:szCs w:val="24"/>
        </w:rPr>
        <w:t xml:space="preserve"> </w:t>
      </w:r>
    </w:p>
    <w:p w14:paraId="779676E0" w14:textId="77777777" w:rsidR="00D9550B" w:rsidRDefault="00D9550B" w:rsidP="005164F7">
      <w:pPr>
        <w:jc w:val="both"/>
        <w:rPr>
          <w:rFonts w:ascii="Arial" w:hAnsi="Arial" w:cs="Arial"/>
          <w:b/>
          <w:bCs/>
        </w:rPr>
      </w:pPr>
    </w:p>
    <w:p w14:paraId="625B6FA7" w14:textId="77777777" w:rsidR="0047182C" w:rsidRPr="00B41E9A" w:rsidRDefault="00103562" w:rsidP="005164F7">
      <w:pPr>
        <w:jc w:val="both"/>
        <w:rPr>
          <w:rFonts w:ascii="Arial" w:hAnsi="Arial" w:cs="Arial"/>
          <w:b/>
          <w:bCs/>
        </w:rPr>
      </w:pPr>
      <w:r>
        <w:rPr>
          <w:rFonts w:ascii="Arial" w:hAnsi="Arial" w:cs="Arial"/>
          <w:b/>
          <w:bCs/>
        </w:rPr>
        <w:t>Agency Overview</w:t>
      </w:r>
    </w:p>
    <w:p w14:paraId="374E49D5" w14:textId="77777777" w:rsidR="00B23877" w:rsidRPr="00F86870" w:rsidRDefault="00B23877" w:rsidP="00B23877">
      <w:pPr>
        <w:ind w:right="-270"/>
        <w:jc w:val="both"/>
        <w:rPr>
          <w:rFonts w:ascii="Arial" w:hAnsi="Arial" w:cs="Arial"/>
          <w:noProof/>
          <w:sz w:val="20"/>
          <w:szCs w:val="20"/>
        </w:rPr>
      </w:pPr>
      <w:r w:rsidRPr="00F86870">
        <w:rPr>
          <w:rFonts w:ascii="Arial" w:hAnsi="Arial" w:cs="Arial"/>
          <w:sz w:val="20"/>
          <w:szCs w:val="20"/>
        </w:rPr>
        <w:t xml:space="preserve">The mission of </w:t>
      </w:r>
      <w:r>
        <w:rPr>
          <w:rFonts w:ascii="Arial" w:hAnsi="Arial" w:cs="Arial"/>
          <w:sz w:val="20"/>
          <w:szCs w:val="20"/>
        </w:rPr>
        <w:t>Idaho</w:t>
      </w:r>
      <w:r w:rsidRPr="00F86870">
        <w:rPr>
          <w:rFonts w:ascii="Arial" w:hAnsi="Arial" w:cs="Arial"/>
          <w:sz w:val="20"/>
          <w:szCs w:val="20"/>
        </w:rPr>
        <w:t xml:space="preserve"> </w:t>
      </w:r>
      <w:r>
        <w:rPr>
          <w:rFonts w:ascii="Arial" w:hAnsi="Arial" w:cs="Arial"/>
          <w:sz w:val="20"/>
          <w:szCs w:val="20"/>
        </w:rPr>
        <w:t xml:space="preserve">Division of </w:t>
      </w:r>
      <w:r w:rsidRPr="00F86870">
        <w:rPr>
          <w:rFonts w:ascii="Arial" w:hAnsi="Arial" w:cs="Arial"/>
          <w:sz w:val="20"/>
          <w:szCs w:val="20"/>
        </w:rPr>
        <w:t>Career Technical Education</w:t>
      </w:r>
      <w:r>
        <w:rPr>
          <w:rFonts w:ascii="Arial" w:hAnsi="Arial" w:cs="Arial"/>
          <w:sz w:val="20"/>
          <w:szCs w:val="20"/>
        </w:rPr>
        <w:t xml:space="preserve"> (IDCTE) </w:t>
      </w:r>
      <w:r w:rsidRPr="00F86870">
        <w:rPr>
          <w:rFonts w:ascii="Arial" w:hAnsi="Arial" w:cs="Arial"/>
          <w:sz w:val="20"/>
          <w:szCs w:val="20"/>
        </w:rPr>
        <w:t xml:space="preserve">is to </w:t>
      </w:r>
      <w:r w:rsidRPr="00F86870">
        <w:rPr>
          <w:rFonts w:ascii="Arial" w:hAnsi="Arial" w:cs="Arial"/>
          <w:noProof/>
          <w:sz w:val="20"/>
          <w:szCs w:val="20"/>
        </w:rPr>
        <w:t>prepare Idaho youth and adults for high-skill, in-demand careers.</w:t>
      </w:r>
    </w:p>
    <w:p w14:paraId="51733C95" w14:textId="77777777" w:rsidR="00B23877" w:rsidRPr="00F86870" w:rsidRDefault="00B23877" w:rsidP="00B23877">
      <w:pPr>
        <w:jc w:val="both"/>
        <w:rPr>
          <w:rFonts w:ascii="Arial" w:hAnsi="Arial" w:cs="Arial"/>
          <w:sz w:val="20"/>
          <w:szCs w:val="20"/>
        </w:rPr>
      </w:pPr>
    </w:p>
    <w:p w14:paraId="4CE7EF8D" w14:textId="77777777" w:rsidR="00B23877" w:rsidRPr="00F86870" w:rsidRDefault="3FF55F0F" w:rsidP="4CC6CE91">
      <w:pPr>
        <w:jc w:val="both"/>
        <w:rPr>
          <w:rFonts w:ascii="Arial" w:hAnsi="Arial" w:cs="Arial"/>
          <w:sz w:val="20"/>
          <w:szCs w:val="20"/>
          <w:lang w:bidi="en-US"/>
        </w:rPr>
      </w:pPr>
      <w:r w:rsidRPr="4CC6CE91">
        <w:rPr>
          <w:rFonts w:ascii="Arial" w:hAnsi="Arial" w:cs="Arial"/>
          <w:sz w:val="20"/>
          <w:szCs w:val="20"/>
          <w:lang w:bidi="en-US"/>
        </w:rPr>
        <w:t xml:space="preserve">Idaho Code </w:t>
      </w:r>
      <w:r w:rsidRPr="4CC6CE91">
        <w:rPr>
          <w:rFonts w:ascii="Arial" w:hAnsi="Arial" w:cs="Arial"/>
          <w:sz w:val="20"/>
          <w:szCs w:val="20"/>
        </w:rPr>
        <w:t>§</w:t>
      </w:r>
      <w:r w:rsidRPr="4CC6CE91">
        <w:rPr>
          <w:rFonts w:ascii="Arial" w:hAnsi="Arial" w:cs="Arial"/>
          <w:sz w:val="20"/>
          <w:szCs w:val="20"/>
          <w:lang w:bidi="en-US"/>
        </w:rPr>
        <w:t>33-2202 defines in section (2) “career technical education” as “secondary, postsecondary and adult courses, programs, training and services administered by the division of career technical education for occupations or careers that require other than a baccalaureate, master’s or doctoral degree.” As approved by the board, this term may also apply to specific courses or programs offered in grades 7 and 8 or offered by any approved public charter school that are delivered through traditional or virtual online instructional methods. This term may also apply to virtual, blended, or other career technical education programs. Section (3) states “the courses, programs, training, and services include, but are not limited to, career, technical and applied technology education. They are delivered through the career technical delivery system of public secondary schools, including public charter schools, irrespective of the delivery method, and postsecondary schools and colleges.”</w:t>
      </w:r>
    </w:p>
    <w:p w14:paraId="78DDE2BD" w14:textId="77777777" w:rsidR="00B23877" w:rsidRPr="00F86870" w:rsidRDefault="00B23877" w:rsidP="4CC6CE91">
      <w:pPr>
        <w:jc w:val="both"/>
        <w:rPr>
          <w:rFonts w:ascii="Arial" w:hAnsi="Arial" w:cs="Arial"/>
          <w:sz w:val="20"/>
          <w:szCs w:val="20"/>
          <w:lang w:bidi="en-US"/>
        </w:rPr>
      </w:pPr>
    </w:p>
    <w:p w14:paraId="714DA414" w14:textId="2504C06E" w:rsidR="594265A8" w:rsidRDefault="594265A8" w:rsidP="4CC6CE91">
      <w:pPr>
        <w:jc w:val="both"/>
        <w:rPr>
          <w:rFonts w:ascii="Arial" w:hAnsi="Arial" w:cs="Arial"/>
          <w:sz w:val="20"/>
          <w:szCs w:val="20"/>
          <w:lang w:bidi="en-US"/>
        </w:rPr>
      </w:pPr>
      <w:r w:rsidRPr="4CC6CE91">
        <w:rPr>
          <w:rFonts w:ascii="Arial" w:hAnsi="Arial" w:cs="Arial"/>
          <w:sz w:val="20"/>
          <w:szCs w:val="20"/>
          <w:lang w:bidi="en-US"/>
        </w:rPr>
        <w:t xml:space="preserve">IDCTE is an agency under the State Board of Education (SBOE) for career technical education (CTE) that provides leadership and technical assistance for </w:t>
      </w:r>
      <w:r w:rsidR="456456B9" w:rsidRPr="4CC6CE91">
        <w:rPr>
          <w:rFonts w:ascii="Arial" w:hAnsi="Arial" w:cs="Arial"/>
          <w:sz w:val="20"/>
          <w:szCs w:val="20"/>
          <w:lang w:bidi="en-US"/>
        </w:rPr>
        <w:t>CTE</w:t>
      </w:r>
      <w:r w:rsidRPr="4CC6CE91">
        <w:rPr>
          <w:rFonts w:ascii="Arial" w:hAnsi="Arial" w:cs="Arial"/>
          <w:sz w:val="20"/>
          <w:szCs w:val="20"/>
          <w:lang w:bidi="en-US"/>
        </w:rPr>
        <w:t xml:space="preserve"> in Idaho, from secondary students through adults, as well as CTE teacher development. </w:t>
      </w:r>
      <w:r w:rsidR="194BB765" w:rsidRPr="4CC6CE91">
        <w:rPr>
          <w:rFonts w:ascii="Arial" w:hAnsi="Arial" w:cs="Arial"/>
          <w:sz w:val="20"/>
          <w:szCs w:val="20"/>
          <w:lang w:bidi="en-US"/>
        </w:rPr>
        <w:t xml:space="preserve">In addition to </w:t>
      </w:r>
      <w:r w:rsidR="7E6DA71E" w:rsidRPr="4CC6CE91">
        <w:rPr>
          <w:rFonts w:ascii="Arial" w:hAnsi="Arial" w:cs="Arial"/>
          <w:sz w:val="20"/>
          <w:szCs w:val="20"/>
          <w:lang w:bidi="en-US"/>
        </w:rPr>
        <w:t>robust</w:t>
      </w:r>
      <w:r w:rsidR="194BB765" w:rsidRPr="4CC6CE91">
        <w:rPr>
          <w:rFonts w:ascii="Arial" w:hAnsi="Arial" w:cs="Arial"/>
          <w:sz w:val="20"/>
          <w:szCs w:val="20"/>
          <w:lang w:bidi="en-US"/>
        </w:rPr>
        <w:t xml:space="preserve"> programs </w:t>
      </w:r>
      <w:r w:rsidR="4252F394" w:rsidRPr="4CC6CE91">
        <w:rPr>
          <w:rFonts w:ascii="Arial" w:hAnsi="Arial" w:cs="Arial"/>
          <w:sz w:val="20"/>
          <w:szCs w:val="20"/>
          <w:lang w:bidi="en-US"/>
        </w:rPr>
        <w:t>within</w:t>
      </w:r>
      <w:r w:rsidR="194BB765" w:rsidRPr="4CC6CE91">
        <w:rPr>
          <w:rFonts w:ascii="Arial" w:hAnsi="Arial" w:cs="Arial"/>
          <w:sz w:val="20"/>
          <w:szCs w:val="20"/>
          <w:lang w:bidi="en-US"/>
        </w:rPr>
        <w:t xml:space="preserve"> secondary and postsecondary education, IDCTE also administers</w:t>
      </w:r>
      <w:r w:rsidR="54AAD76B" w:rsidRPr="4CC6CE91">
        <w:rPr>
          <w:rFonts w:ascii="Arial" w:hAnsi="Arial" w:cs="Arial"/>
          <w:sz w:val="20"/>
          <w:szCs w:val="20"/>
          <w:lang w:bidi="en-US"/>
        </w:rPr>
        <w:t xml:space="preserve"> related</w:t>
      </w:r>
      <w:r w:rsidR="194BB765" w:rsidRPr="4CC6CE91">
        <w:rPr>
          <w:rFonts w:ascii="Arial" w:hAnsi="Arial" w:cs="Arial"/>
          <w:sz w:val="20"/>
          <w:szCs w:val="20"/>
          <w:lang w:bidi="en-US"/>
        </w:rPr>
        <w:t xml:space="preserve"> programs </w:t>
      </w:r>
      <w:r w:rsidR="4F804D40" w:rsidRPr="4CC6CE91">
        <w:rPr>
          <w:rFonts w:ascii="Arial" w:hAnsi="Arial" w:cs="Arial"/>
          <w:sz w:val="20"/>
          <w:szCs w:val="20"/>
          <w:lang w:bidi="en-US"/>
        </w:rPr>
        <w:t xml:space="preserve">that </w:t>
      </w:r>
      <w:r w:rsidRPr="4CC6CE91">
        <w:rPr>
          <w:rFonts w:ascii="Arial" w:hAnsi="Arial" w:cs="Arial"/>
          <w:sz w:val="20"/>
          <w:szCs w:val="20"/>
          <w:lang w:bidi="en-US"/>
        </w:rPr>
        <w:t>include GED, Centers for New Directions</w:t>
      </w:r>
      <w:r w:rsidR="2E011E88" w:rsidRPr="4CC6CE91">
        <w:rPr>
          <w:rFonts w:ascii="Arial" w:hAnsi="Arial" w:cs="Arial"/>
          <w:sz w:val="20"/>
          <w:szCs w:val="20"/>
          <w:lang w:bidi="en-US"/>
        </w:rPr>
        <w:t xml:space="preserve">, Workforce Training Centers, apprenticeships, fire service training, hazardous materials transportation enforcement </w:t>
      </w:r>
      <w:r w:rsidR="22E02FD4" w:rsidRPr="4CC6CE91">
        <w:rPr>
          <w:rFonts w:ascii="Arial" w:hAnsi="Arial" w:cs="Arial"/>
          <w:sz w:val="20"/>
          <w:szCs w:val="20"/>
          <w:lang w:bidi="en-US"/>
        </w:rPr>
        <w:t>education</w:t>
      </w:r>
      <w:r w:rsidRPr="4CC6CE91">
        <w:rPr>
          <w:rFonts w:ascii="Arial" w:hAnsi="Arial" w:cs="Arial"/>
          <w:sz w:val="20"/>
          <w:szCs w:val="20"/>
          <w:lang w:bidi="en-US"/>
        </w:rPr>
        <w:t xml:space="preserve"> and motorcycle safety training.</w:t>
      </w:r>
    </w:p>
    <w:p w14:paraId="6EF75168" w14:textId="77777777" w:rsidR="00B23877" w:rsidRPr="00E842EB" w:rsidRDefault="00B23877" w:rsidP="4CC6CE91">
      <w:pPr>
        <w:jc w:val="both"/>
        <w:rPr>
          <w:rFonts w:ascii="Arial" w:hAnsi="Arial" w:cs="Arial"/>
          <w:sz w:val="20"/>
          <w:szCs w:val="20"/>
          <w:lang w:bidi="en-US"/>
        </w:rPr>
      </w:pPr>
    </w:p>
    <w:p w14:paraId="20FAF9B2" w14:textId="6851F571" w:rsidR="00B23877" w:rsidRPr="00E842EB" w:rsidRDefault="5863C18F" w:rsidP="00B23877">
      <w:pPr>
        <w:jc w:val="both"/>
        <w:rPr>
          <w:rFonts w:ascii="Arial" w:hAnsi="Arial" w:cs="Arial"/>
          <w:sz w:val="20"/>
          <w:szCs w:val="20"/>
          <w:lang w:bidi="en-US"/>
        </w:rPr>
      </w:pPr>
      <w:r w:rsidRPr="4CC6CE91">
        <w:rPr>
          <w:rFonts w:ascii="Arial" w:hAnsi="Arial" w:cs="Arial"/>
          <w:sz w:val="20"/>
          <w:szCs w:val="20"/>
          <w:lang w:bidi="en-US"/>
        </w:rPr>
        <w:t>IDCTE is responsible for preparing and submitting an annual budget for career technical education to the SBOE, Governor and Legislature. Appropriations to IDCTE include state general funds, federal funds</w:t>
      </w:r>
      <w:r w:rsidR="244E92BB" w:rsidRPr="4CC6CE91">
        <w:rPr>
          <w:rFonts w:ascii="Arial" w:hAnsi="Arial" w:cs="Arial"/>
          <w:sz w:val="20"/>
          <w:szCs w:val="20"/>
          <w:lang w:bidi="en-US"/>
        </w:rPr>
        <w:t>,</w:t>
      </w:r>
      <w:r w:rsidRPr="4CC6CE91">
        <w:rPr>
          <w:rFonts w:ascii="Arial" w:hAnsi="Arial" w:cs="Arial"/>
          <w:sz w:val="20"/>
          <w:szCs w:val="20"/>
          <w:lang w:bidi="en-US"/>
        </w:rPr>
        <w:t xml:space="preserve"> miscellaneous revenue funds</w:t>
      </w:r>
      <w:r w:rsidR="7DBD9D10" w:rsidRPr="4CC6CE91">
        <w:rPr>
          <w:rFonts w:ascii="Arial" w:hAnsi="Arial" w:cs="Arial"/>
          <w:sz w:val="20"/>
          <w:szCs w:val="20"/>
          <w:lang w:bidi="en-US"/>
        </w:rPr>
        <w:t xml:space="preserve"> and other dedicated funds</w:t>
      </w:r>
      <w:r w:rsidRPr="4CC6CE91">
        <w:rPr>
          <w:rFonts w:ascii="Arial" w:hAnsi="Arial" w:cs="Arial"/>
          <w:sz w:val="20"/>
          <w:szCs w:val="20"/>
          <w:lang w:bidi="en-US"/>
        </w:rPr>
        <w:t>.</w:t>
      </w:r>
    </w:p>
    <w:p w14:paraId="5749DF54" w14:textId="77777777" w:rsidR="00B23877" w:rsidRPr="00E842EB" w:rsidRDefault="00B23877" w:rsidP="00B23877">
      <w:pPr>
        <w:jc w:val="both"/>
        <w:rPr>
          <w:rFonts w:ascii="Arial" w:hAnsi="Arial" w:cs="Arial"/>
          <w:sz w:val="20"/>
          <w:szCs w:val="20"/>
          <w:lang w:bidi="en-US"/>
        </w:rPr>
      </w:pPr>
    </w:p>
    <w:p w14:paraId="48098629" w14:textId="1B021257" w:rsidR="00B23877" w:rsidRPr="00E842EB" w:rsidRDefault="5863C18F" w:rsidP="00B23877">
      <w:pPr>
        <w:jc w:val="both"/>
        <w:rPr>
          <w:rFonts w:ascii="Arial" w:hAnsi="Arial" w:cs="Arial"/>
          <w:sz w:val="20"/>
          <w:szCs w:val="20"/>
          <w:lang w:bidi="en-US"/>
        </w:rPr>
      </w:pPr>
      <w:r w:rsidRPr="4CC6CE91">
        <w:rPr>
          <w:rFonts w:ascii="Arial" w:hAnsi="Arial" w:cs="Arial"/>
          <w:sz w:val="20"/>
          <w:szCs w:val="20"/>
          <w:lang w:bidi="en-US"/>
        </w:rPr>
        <w:t>Career technical education programs are integrated into the Idaho public education system through school districts, colleges and universities. IDCTE provides the focus for career technical education programs and training within existing schools and institutions by using a statewide system approach with an emphasis on student learning, program quality and industry engagement.</w:t>
      </w:r>
    </w:p>
    <w:p w14:paraId="306CBB45" w14:textId="77777777" w:rsidR="00B23877" w:rsidRPr="00E842EB" w:rsidRDefault="00B23877" w:rsidP="00B23877">
      <w:pPr>
        <w:jc w:val="both"/>
        <w:rPr>
          <w:rFonts w:ascii="Arial" w:hAnsi="Arial" w:cs="Arial"/>
          <w:sz w:val="20"/>
          <w:szCs w:val="20"/>
          <w:lang w:bidi="en-US"/>
        </w:rPr>
      </w:pPr>
    </w:p>
    <w:p w14:paraId="565920E1" w14:textId="42DABB3E" w:rsidR="00B23877" w:rsidRPr="00E842EB" w:rsidRDefault="5863C18F" w:rsidP="00B23877">
      <w:pPr>
        <w:jc w:val="both"/>
        <w:rPr>
          <w:rFonts w:ascii="Arial" w:hAnsi="Arial" w:cs="Arial"/>
          <w:sz w:val="20"/>
          <w:szCs w:val="20"/>
          <w:lang w:bidi="en-US"/>
        </w:rPr>
      </w:pPr>
      <w:r w:rsidRPr="4CC6CE91">
        <w:rPr>
          <w:rFonts w:ascii="Arial" w:hAnsi="Arial" w:cs="Arial"/>
          <w:sz w:val="20"/>
          <w:szCs w:val="20"/>
          <w:lang w:bidi="en-US"/>
        </w:rPr>
        <w:t xml:space="preserve">Secondary career technical education programs and services are provided via junior high/middle schools, comprehensive high schools, career technical schools, and through cooperative programs with the Idaho </w:t>
      </w:r>
      <w:r w:rsidR="3D4C3FBF" w:rsidRPr="4CC6CE91">
        <w:rPr>
          <w:rFonts w:ascii="Arial" w:hAnsi="Arial" w:cs="Arial"/>
          <w:sz w:val="20"/>
          <w:szCs w:val="20"/>
          <w:lang w:bidi="en-US"/>
        </w:rPr>
        <w:t>t</w:t>
      </w:r>
      <w:r w:rsidRPr="4CC6CE91">
        <w:rPr>
          <w:rFonts w:ascii="Arial" w:hAnsi="Arial" w:cs="Arial"/>
          <w:sz w:val="20"/>
          <w:szCs w:val="20"/>
          <w:lang w:bidi="en-US"/>
        </w:rPr>
        <w:t xml:space="preserve">echnical </w:t>
      </w:r>
      <w:r w:rsidR="4A4C102C" w:rsidRPr="4CC6CE91">
        <w:rPr>
          <w:rFonts w:ascii="Arial" w:hAnsi="Arial" w:cs="Arial"/>
          <w:sz w:val="20"/>
          <w:szCs w:val="20"/>
          <w:lang w:bidi="en-US"/>
        </w:rPr>
        <w:t>c</w:t>
      </w:r>
      <w:r w:rsidRPr="4CC6CE91">
        <w:rPr>
          <w:rFonts w:ascii="Arial" w:hAnsi="Arial" w:cs="Arial"/>
          <w:sz w:val="20"/>
          <w:szCs w:val="20"/>
          <w:lang w:bidi="en-US"/>
        </w:rPr>
        <w:t xml:space="preserve">ollege </w:t>
      </w:r>
      <w:r w:rsidR="098ADE98" w:rsidRPr="4CC6CE91">
        <w:rPr>
          <w:rFonts w:ascii="Arial" w:hAnsi="Arial" w:cs="Arial"/>
          <w:sz w:val="20"/>
          <w:szCs w:val="20"/>
          <w:lang w:bidi="en-US"/>
        </w:rPr>
        <w:t>s</w:t>
      </w:r>
      <w:r w:rsidRPr="4CC6CE91">
        <w:rPr>
          <w:rFonts w:ascii="Arial" w:hAnsi="Arial" w:cs="Arial"/>
          <w:sz w:val="20"/>
          <w:szCs w:val="20"/>
          <w:lang w:bidi="en-US"/>
        </w:rPr>
        <w:t>ystem.</w:t>
      </w:r>
    </w:p>
    <w:p w14:paraId="344F3746" w14:textId="77777777" w:rsidR="00B23877" w:rsidRPr="00E842EB" w:rsidRDefault="00B23877" w:rsidP="00B23877">
      <w:pPr>
        <w:jc w:val="both"/>
        <w:rPr>
          <w:rFonts w:ascii="Arial" w:hAnsi="Arial" w:cs="Arial"/>
          <w:sz w:val="20"/>
          <w:szCs w:val="20"/>
          <w:lang w:bidi="en-US"/>
        </w:rPr>
      </w:pPr>
    </w:p>
    <w:p w14:paraId="5E08429B" w14:textId="1B97D2CE" w:rsidR="00B23877" w:rsidRPr="00E842EB" w:rsidRDefault="5863C18F" w:rsidP="00B23877">
      <w:pPr>
        <w:jc w:val="both"/>
        <w:rPr>
          <w:rFonts w:ascii="Arial" w:hAnsi="Arial" w:cs="Arial"/>
          <w:sz w:val="20"/>
          <w:szCs w:val="20"/>
          <w:lang w:bidi="en-US"/>
        </w:rPr>
      </w:pPr>
      <w:r w:rsidRPr="4CC6CE91">
        <w:rPr>
          <w:rFonts w:ascii="Arial" w:hAnsi="Arial" w:cs="Arial"/>
          <w:sz w:val="20"/>
          <w:szCs w:val="20"/>
          <w:lang w:bidi="en-US"/>
        </w:rPr>
        <w:t xml:space="preserve">Postsecondary career technical education programs and services are delivered through Idaho’s six technical colleges. Four technical colleges are located on the campuses of community colleges: College of Eastern Idaho, College of Southern Idaho, College of Western Idaho and North Idaho College. Two technical colleges are on the campus of four-year institutions: Idaho State University and Lewis-Clark State College. The Idaho </w:t>
      </w:r>
      <w:r w:rsidR="5CF1D7A9" w:rsidRPr="4CC6CE91">
        <w:rPr>
          <w:rFonts w:ascii="Arial" w:hAnsi="Arial" w:cs="Arial"/>
          <w:sz w:val="20"/>
          <w:szCs w:val="20"/>
          <w:lang w:bidi="en-US"/>
        </w:rPr>
        <w:t>t</w:t>
      </w:r>
      <w:r w:rsidRPr="4CC6CE91">
        <w:rPr>
          <w:rFonts w:ascii="Arial" w:hAnsi="Arial" w:cs="Arial"/>
          <w:sz w:val="20"/>
          <w:szCs w:val="20"/>
          <w:lang w:bidi="en-US"/>
        </w:rPr>
        <w:t xml:space="preserve">echnical </w:t>
      </w:r>
      <w:r w:rsidR="5955CBAD" w:rsidRPr="4CC6CE91">
        <w:rPr>
          <w:rFonts w:ascii="Arial" w:hAnsi="Arial" w:cs="Arial"/>
          <w:sz w:val="20"/>
          <w:szCs w:val="20"/>
          <w:lang w:bidi="en-US"/>
        </w:rPr>
        <w:t>c</w:t>
      </w:r>
      <w:r w:rsidRPr="4CC6CE91">
        <w:rPr>
          <w:rFonts w:ascii="Arial" w:hAnsi="Arial" w:cs="Arial"/>
          <w:sz w:val="20"/>
          <w:szCs w:val="20"/>
          <w:lang w:bidi="en-US"/>
        </w:rPr>
        <w:t xml:space="preserve">ollege </w:t>
      </w:r>
      <w:r w:rsidR="2E893AE1" w:rsidRPr="4CC6CE91">
        <w:rPr>
          <w:rFonts w:ascii="Arial" w:hAnsi="Arial" w:cs="Arial"/>
          <w:sz w:val="20"/>
          <w:szCs w:val="20"/>
          <w:lang w:bidi="en-US"/>
        </w:rPr>
        <w:t>s</w:t>
      </w:r>
      <w:r w:rsidRPr="4CC6CE91">
        <w:rPr>
          <w:rFonts w:ascii="Arial" w:hAnsi="Arial" w:cs="Arial"/>
          <w:sz w:val="20"/>
          <w:szCs w:val="20"/>
          <w:lang w:bidi="en-US"/>
        </w:rPr>
        <w:t xml:space="preserve">ystem delivers certificate and A.A.S. degree occupational programs on a full- or part-time basis; workforce/short-term training; adult education; displaced homemaker services; and fire service training. </w:t>
      </w:r>
    </w:p>
    <w:p w14:paraId="7DF02DC4" w14:textId="77777777" w:rsidR="00B23877" w:rsidRPr="00E842EB" w:rsidRDefault="00B23877" w:rsidP="00B23877">
      <w:pPr>
        <w:jc w:val="both"/>
        <w:rPr>
          <w:rFonts w:ascii="Arial" w:hAnsi="Arial" w:cs="Arial"/>
          <w:sz w:val="20"/>
          <w:szCs w:val="20"/>
        </w:rPr>
      </w:pPr>
    </w:p>
    <w:p w14:paraId="0218A2E8" w14:textId="2E0886BD" w:rsidR="00B23877" w:rsidRPr="00D17D93" w:rsidRDefault="5863C18F" w:rsidP="00B23877">
      <w:pPr>
        <w:jc w:val="both"/>
        <w:rPr>
          <w:rFonts w:ascii="Arial" w:hAnsi="Arial" w:cs="Arial"/>
          <w:sz w:val="20"/>
          <w:szCs w:val="20"/>
        </w:rPr>
      </w:pPr>
      <w:bookmarkStart w:id="0" w:name="_Hlk76570521"/>
      <w:r w:rsidRPr="4CC6CE91">
        <w:rPr>
          <w:rFonts w:ascii="Arial" w:hAnsi="Arial" w:cs="Arial"/>
          <w:sz w:val="20"/>
          <w:szCs w:val="20"/>
        </w:rPr>
        <w:t>IDCTE was appropriated 41.0 full-time positions (FTP) for agency staff in fiscal year 202</w:t>
      </w:r>
      <w:r w:rsidR="0FFA46FA" w:rsidRPr="4CC6CE91">
        <w:rPr>
          <w:rFonts w:ascii="Arial" w:hAnsi="Arial" w:cs="Arial"/>
          <w:sz w:val="20"/>
          <w:szCs w:val="20"/>
        </w:rPr>
        <w:t>1</w:t>
      </w:r>
      <w:r w:rsidRPr="4CC6CE91">
        <w:rPr>
          <w:rFonts w:ascii="Arial" w:hAnsi="Arial" w:cs="Arial"/>
          <w:sz w:val="20"/>
          <w:szCs w:val="20"/>
        </w:rPr>
        <w:t xml:space="preserve"> of which 32.5 were funded with state general funds and 8.5 with federal grants. The appropriation also included 540.26 FTP for career technical education staff within the six technical colleges.</w:t>
      </w:r>
    </w:p>
    <w:bookmarkEnd w:id="0"/>
    <w:p w14:paraId="062E4493" w14:textId="77777777" w:rsidR="00B23877" w:rsidRPr="00C540EA" w:rsidRDefault="00B23877" w:rsidP="00B23877">
      <w:pPr>
        <w:jc w:val="both"/>
        <w:rPr>
          <w:rFonts w:ascii="Arial" w:hAnsi="Arial" w:cs="Arial"/>
        </w:rPr>
      </w:pPr>
    </w:p>
    <w:p w14:paraId="380967EA" w14:textId="77777777" w:rsidR="00B23877" w:rsidRPr="00183581" w:rsidRDefault="00B23877" w:rsidP="00B23877">
      <w:pPr>
        <w:jc w:val="both"/>
        <w:rPr>
          <w:rFonts w:ascii="Arial" w:hAnsi="Arial" w:cs="Arial"/>
          <w:b/>
        </w:rPr>
      </w:pPr>
      <w:r w:rsidRPr="00183581">
        <w:rPr>
          <w:rFonts w:ascii="Arial" w:hAnsi="Arial" w:cs="Arial"/>
          <w:b/>
        </w:rPr>
        <w:t>Core Functions/Idaho Code</w:t>
      </w:r>
    </w:p>
    <w:p w14:paraId="5BE4426E" w14:textId="691117D9" w:rsidR="00B23877" w:rsidRPr="00F0116C" w:rsidRDefault="5863C18F" w:rsidP="00B23877">
      <w:pPr>
        <w:widowControl w:val="0"/>
        <w:jc w:val="both"/>
        <w:rPr>
          <w:rFonts w:ascii="Arial" w:hAnsi="Arial" w:cs="Arial"/>
          <w:sz w:val="20"/>
          <w:szCs w:val="20"/>
        </w:rPr>
      </w:pPr>
      <w:r w:rsidRPr="4CC6CE91">
        <w:rPr>
          <w:rFonts w:ascii="Arial" w:hAnsi="Arial" w:cs="Arial"/>
          <w:sz w:val="20"/>
          <w:szCs w:val="20"/>
        </w:rPr>
        <w:t>Statutory authority for IDCTE is delineated in Idaho Code, Chapter 22, §§ 33-2201 through 33-2212 and IDAPA 55.  Idaho Code §33-1002G allows school districts to establish career technical schools and §39-5009 established the displaced homemaker account for appropriation to the S</w:t>
      </w:r>
      <w:r w:rsidR="139B6476" w:rsidRPr="4CC6CE91">
        <w:rPr>
          <w:rFonts w:ascii="Arial" w:hAnsi="Arial" w:cs="Arial"/>
          <w:sz w:val="20"/>
          <w:szCs w:val="20"/>
        </w:rPr>
        <w:t>BOE</w:t>
      </w:r>
      <w:r w:rsidRPr="4CC6CE91">
        <w:rPr>
          <w:rFonts w:ascii="Arial" w:hAnsi="Arial" w:cs="Arial"/>
          <w:sz w:val="20"/>
          <w:szCs w:val="20"/>
        </w:rPr>
        <w:t>. The role of IDCTE (IDAPA 55) is to coordinate career technical education in Idaho. Specifically, IDCTE:</w:t>
      </w:r>
    </w:p>
    <w:p w14:paraId="5ED55CFC" w14:textId="77777777" w:rsidR="00B23877" w:rsidRPr="00F0116C" w:rsidRDefault="00B23877" w:rsidP="00B23877">
      <w:pPr>
        <w:widowControl w:val="0"/>
        <w:jc w:val="both"/>
        <w:rPr>
          <w:rFonts w:ascii="Arial" w:hAnsi="Arial" w:cs="Arial"/>
          <w:sz w:val="20"/>
          <w:szCs w:val="22"/>
        </w:rPr>
      </w:pPr>
    </w:p>
    <w:p w14:paraId="3A5D2662"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lastRenderedPageBreak/>
        <w:t xml:space="preserve">Provides statewide leadership and coordination for </w:t>
      </w:r>
      <w:r>
        <w:rPr>
          <w:rFonts w:ascii="Arial" w:hAnsi="Arial" w:cs="Arial"/>
          <w:sz w:val="20"/>
          <w:szCs w:val="22"/>
        </w:rPr>
        <w:t xml:space="preserve">career </w:t>
      </w:r>
      <w:r w:rsidRPr="00F0116C">
        <w:rPr>
          <w:rFonts w:ascii="Arial" w:hAnsi="Arial" w:cs="Arial"/>
          <w:sz w:val="20"/>
          <w:szCs w:val="22"/>
        </w:rPr>
        <w:t>technical education;</w:t>
      </w:r>
    </w:p>
    <w:p w14:paraId="22965A97" w14:textId="7AFA4F81" w:rsidR="00B23877" w:rsidRPr="00F0116C" w:rsidRDefault="5863C18F" w:rsidP="00B23877">
      <w:pPr>
        <w:widowControl w:val="0"/>
        <w:numPr>
          <w:ilvl w:val="0"/>
          <w:numId w:val="11"/>
        </w:numPr>
        <w:jc w:val="both"/>
        <w:rPr>
          <w:rFonts w:ascii="Arial" w:hAnsi="Arial" w:cs="Arial"/>
          <w:sz w:val="20"/>
          <w:szCs w:val="20"/>
        </w:rPr>
      </w:pPr>
      <w:r w:rsidRPr="4CC6CE91">
        <w:rPr>
          <w:rFonts w:ascii="Arial" w:hAnsi="Arial" w:cs="Arial"/>
          <w:sz w:val="20"/>
          <w:szCs w:val="20"/>
        </w:rPr>
        <w:t>Assists local educational agencies in program planning, development and evaluation;</w:t>
      </w:r>
    </w:p>
    <w:p w14:paraId="7D1E164A"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t xml:space="preserve">Promotes the availability and accessibility of </w:t>
      </w:r>
      <w:r>
        <w:rPr>
          <w:rFonts w:ascii="Arial" w:hAnsi="Arial" w:cs="Arial"/>
          <w:sz w:val="20"/>
          <w:szCs w:val="22"/>
        </w:rPr>
        <w:t xml:space="preserve">career </w:t>
      </w:r>
      <w:r w:rsidRPr="00F0116C">
        <w:rPr>
          <w:rFonts w:ascii="Arial" w:hAnsi="Arial" w:cs="Arial"/>
          <w:sz w:val="20"/>
          <w:szCs w:val="22"/>
        </w:rPr>
        <w:t>technical education;</w:t>
      </w:r>
    </w:p>
    <w:p w14:paraId="2CE1B25E"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t>Prepares annual and long-range state plans;</w:t>
      </w:r>
    </w:p>
    <w:p w14:paraId="698486CE" w14:textId="6DE54AA1" w:rsidR="00B23877" w:rsidRPr="00F0116C" w:rsidRDefault="5863C18F" w:rsidP="00B23877">
      <w:pPr>
        <w:widowControl w:val="0"/>
        <w:numPr>
          <w:ilvl w:val="0"/>
          <w:numId w:val="11"/>
        </w:numPr>
        <w:jc w:val="both"/>
        <w:rPr>
          <w:rFonts w:ascii="Arial" w:hAnsi="Arial" w:cs="Arial"/>
          <w:sz w:val="20"/>
          <w:szCs w:val="20"/>
        </w:rPr>
      </w:pPr>
      <w:r w:rsidRPr="4CC6CE91">
        <w:rPr>
          <w:rFonts w:ascii="Arial" w:hAnsi="Arial" w:cs="Arial"/>
          <w:sz w:val="20"/>
          <w:szCs w:val="20"/>
        </w:rPr>
        <w:t>Prepares an annual budget to present to SBOE, Governor and the Legislature;</w:t>
      </w:r>
    </w:p>
    <w:p w14:paraId="1C3471B1"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t xml:space="preserve">Provides a state finance and accountability system for </w:t>
      </w:r>
      <w:r>
        <w:rPr>
          <w:rFonts w:ascii="Arial" w:hAnsi="Arial" w:cs="Arial"/>
          <w:sz w:val="20"/>
          <w:szCs w:val="22"/>
        </w:rPr>
        <w:t xml:space="preserve">career </w:t>
      </w:r>
      <w:r w:rsidRPr="00F0116C">
        <w:rPr>
          <w:rFonts w:ascii="Arial" w:hAnsi="Arial" w:cs="Arial"/>
          <w:sz w:val="20"/>
          <w:szCs w:val="22"/>
        </w:rPr>
        <w:t>technical education;</w:t>
      </w:r>
    </w:p>
    <w:p w14:paraId="22FA5983"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t xml:space="preserve">Evaluates </w:t>
      </w:r>
      <w:r>
        <w:rPr>
          <w:rFonts w:ascii="Arial" w:hAnsi="Arial" w:cs="Arial"/>
          <w:sz w:val="20"/>
          <w:szCs w:val="22"/>
        </w:rPr>
        <w:t xml:space="preserve">career </w:t>
      </w:r>
      <w:r w:rsidRPr="00F0116C">
        <w:rPr>
          <w:rFonts w:ascii="Arial" w:hAnsi="Arial" w:cs="Arial"/>
          <w:sz w:val="20"/>
          <w:szCs w:val="22"/>
        </w:rPr>
        <w:t>technical education programs;</w:t>
      </w:r>
    </w:p>
    <w:p w14:paraId="7948B1A1" w14:textId="31A79A26" w:rsidR="00B23877" w:rsidRPr="00F0116C" w:rsidRDefault="5863C18F" w:rsidP="00B23877">
      <w:pPr>
        <w:widowControl w:val="0"/>
        <w:numPr>
          <w:ilvl w:val="0"/>
          <w:numId w:val="11"/>
        </w:numPr>
        <w:jc w:val="both"/>
        <w:rPr>
          <w:rFonts w:ascii="Arial" w:hAnsi="Arial" w:cs="Arial"/>
          <w:sz w:val="20"/>
          <w:szCs w:val="20"/>
        </w:rPr>
      </w:pPr>
      <w:r w:rsidRPr="4CC6CE91">
        <w:rPr>
          <w:rFonts w:ascii="Arial" w:hAnsi="Arial" w:cs="Arial"/>
          <w:sz w:val="20"/>
          <w:szCs w:val="20"/>
        </w:rPr>
        <w:t>Initiates research, curriculum development and professional development activities;</w:t>
      </w:r>
    </w:p>
    <w:p w14:paraId="74D372C8" w14:textId="7698D1C8" w:rsidR="00B23877" w:rsidRPr="00F0116C" w:rsidRDefault="5863C18F" w:rsidP="00B23877">
      <w:pPr>
        <w:widowControl w:val="0"/>
        <w:numPr>
          <w:ilvl w:val="0"/>
          <w:numId w:val="11"/>
        </w:numPr>
        <w:jc w:val="both"/>
        <w:rPr>
          <w:rFonts w:ascii="Arial" w:hAnsi="Arial" w:cs="Arial"/>
          <w:sz w:val="20"/>
          <w:szCs w:val="20"/>
        </w:rPr>
      </w:pPr>
      <w:r w:rsidRPr="4CC6CE91">
        <w:rPr>
          <w:rFonts w:ascii="Arial" w:hAnsi="Arial" w:cs="Arial"/>
          <w:sz w:val="20"/>
          <w:szCs w:val="20"/>
        </w:rPr>
        <w:t>Collects, analyzes, evaluates and disseminates data and program information;</w:t>
      </w:r>
    </w:p>
    <w:p w14:paraId="6EE76840" w14:textId="77777777" w:rsidR="00B23877" w:rsidRPr="00F0116C" w:rsidRDefault="00B23877" w:rsidP="00B23877">
      <w:pPr>
        <w:widowControl w:val="0"/>
        <w:numPr>
          <w:ilvl w:val="0"/>
          <w:numId w:val="11"/>
        </w:numPr>
        <w:jc w:val="both"/>
        <w:rPr>
          <w:rFonts w:ascii="Arial" w:hAnsi="Arial" w:cs="Arial"/>
          <w:sz w:val="20"/>
          <w:szCs w:val="22"/>
        </w:rPr>
      </w:pPr>
      <w:r w:rsidRPr="00F0116C">
        <w:rPr>
          <w:rFonts w:ascii="Arial" w:hAnsi="Arial" w:cs="Arial"/>
          <w:sz w:val="20"/>
          <w:szCs w:val="22"/>
        </w:rPr>
        <w:t>Administers programs in accordance with state and federal legislation;</w:t>
      </w:r>
    </w:p>
    <w:p w14:paraId="3E975A5C" w14:textId="1DF2094D" w:rsidR="00B23877" w:rsidRPr="003F185E" w:rsidRDefault="5863C18F" w:rsidP="00B23877">
      <w:pPr>
        <w:widowControl w:val="0"/>
        <w:numPr>
          <w:ilvl w:val="0"/>
          <w:numId w:val="11"/>
        </w:numPr>
        <w:jc w:val="both"/>
        <w:rPr>
          <w:rFonts w:ascii="Arial" w:hAnsi="Arial" w:cs="Arial"/>
          <w:sz w:val="20"/>
          <w:szCs w:val="20"/>
        </w:rPr>
      </w:pPr>
      <w:r w:rsidRPr="4CC6CE91">
        <w:rPr>
          <w:rFonts w:ascii="Arial" w:hAnsi="Arial" w:cs="Arial"/>
          <w:sz w:val="20"/>
          <w:szCs w:val="20"/>
        </w:rPr>
        <w:t>Coordinates career technical education related activities with other agencies, officials and organizations.</w:t>
      </w:r>
    </w:p>
    <w:p w14:paraId="0FDA1D1F" w14:textId="77777777" w:rsidR="00212034" w:rsidRPr="005164F7" w:rsidRDefault="00212034" w:rsidP="005164F7">
      <w:pPr>
        <w:widowControl w:val="0"/>
        <w:jc w:val="both"/>
        <w:rPr>
          <w:rFonts w:ascii="Arial" w:hAnsi="Arial" w:cs="Arial"/>
          <w:szCs w:val="28"/>
        </w:rPr>
      </w:pPr>
    </w:p>
    <w:p w14:paraId="3D9BEACE" w14:textId="77777777" w:rsidR="00D12F5A" w:rsidRPr="00B3303A" w:rsidRDefault="00D12F5A" w:rsidP="00D12F5A">
      <w:pPr>
        <w:jc w:val="both"/>
        <w:rPr>
          <w:rFonts w:ascii="Arial" w:hAnsi="Arial" w:cs="Arial"/>
          <w:b/>
          <w:sz w:val="20"/>
          <w:szCs w:val="20"/>
        </w:rPr>
      </w:pPr>
      <w:r w:rsidRPr="00B3303A">
        <w:rPr>
          <w:rFonts w:ascii="Arial" w:hAnsi="Arial" w:cs="Arial"/>
          <w:b/>
          <w:bCs/>
          <w:color w:val="000000"/>
        </w:rPr>
        <w:t>Revenue and Expenditures*</w:t>
      </w:r>
      <w:r w:rsidRPr="00B3303A">
        <w:rPr>
          <w:rFonts w:ascii="Arial" w:hAnsi="Arial" w:cs="Arial"/>
          <w:b/>
          <w:bCs/>
          <w:color w:val="000000"/>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1"/>
        <w:gridCol w:w="1654"/>
        <w:gridCol w:w="1653"/>
        <w:gridCol w:w="1653"/>
        <w:gridCol w:w="1649"/>
      </w:tblGrid>
      <w:tr w:rsidR="00D12F5A" w:rsidRPr="00B3303A" w14:paraId="67757664" w14:textId="77777777" w:rsidTr="4CC6CE91">
        <w:trPr>
          <w:trHeight w:val="276"/>
        </w:trPr>
        <w:tc>
          <w:tcPr>
            <w:tcW w:w="1718" w:type="pct"/>
            <w:shd w:val="clear" w:color="auto" w:fill="000080"/>
            <w:vAlign w:val="center"/>
          </w:tcPr>
          <w:p w14:paraId="218BB1B0" w14:textId="77777777" w:rsidR="00D12F5A" w:rsidRPr="00B3303A" w:rsidRDefault="00D12F5A" w:rsidP="00FB4379">
            <w:pPr>
              <w:pStyle w:val="Default"/>
              <w:rPr>
                <w:color w:val="FFFFFF" w:themeColor="background1"/>
                <w:sz w:val="20"/>
                <w:szCs w:val="20"/>
              </w:rPr>
            </w:pPr>
            <w:r w:rsidRPr="00B3303A">
              <w:rPr>
                <w:b/>
                <w:bCs/>
                <w:color w:val="FFFFFF" w:themeColor="background1"/>
                <w:sz w:val="20"/>
                <w:szCs w:val="20"/>
              </w:rPr>
              <w:t>Revenue</w:t>
            </w:r>
          </w:p>
        </w:tc>
        <w:tc>
          <w:tcPr>
            <w:tcW w:w="821" w:type="pct"/>
            <w:shd w:val="clear" w:color="auto" w:fill="000080"/>
            <w:vAlign w:val="center"/>
          </w:tcPr>
          <w:p w14:paraId="072C600B" w14:textId="28A710B0" w:rsidR="00D12F5A" w:rsidRPr="00B3303A" w:rsidRDefault="00307BEF" w:rsidP="00484550">
            <w:pPr>
              <w:pStyle w:val="Default"/>
              <w:jc w:val="center"/>
              <w:rPr>
                <w:b/>
                <w:bCs/>
                <w:color w:val="FFFFFF" w:themeColor="background1"/>
                <w:sz w:val="20"/>
                <w:szCs w:val="20"/>
              </w:rPr>
            </w:pPr>
            <w:r>
              <w:rPr>
                <w:b/>
                <w:bCs/>
                <w:color w:val="FFFFFF" w:themeColor="background1"/>
                <w:sz w:val="20"/>
                <w:szCs w:val="20"/>
              </w:rPr>
              <w:t>FY 2019</w:t>
            </w:r>
          </w:p>
        </w:tc>
        <w:tc>
          <w:tcPr>
            <w:tcW w:w="821" w:type="pct"/>
            <w:shd w:val="clear" w:color="auto" w:fill="000080"/>
            <w:vAlign w:val="center"/>
          </w:tcPr>
          <w:p w14:paraId="4C6D34D3" w14:textId="3A8E6220" w:rsidR="00D12F5A" w:rsidRPr="00B3303A" w:rsidRDefault="00307BEF" w:rsidP="00484550">
            <w:pPr>
              <w:pStyle w:val="Default"/>
              <w:jc w:val="center"/>
              <w:rPr>
                <w:b/>
                <w:bCs/>
                <w:color w:val="FFFFFF" w:themeColor="background1"/>
                <w:sz w:val="20"/>
                <w:szCs w:val="20"/>
              </w:rPr>
            </w:pPr>
            <w:r>
              <w:rPr>
                <w:b/>
                <w:bCs/>
                <w:color w:val="FFFFFF" w:themeColor="background1"/>
                <w:sz w:val="20"/>
                <w:szCs w:val="20"/>
              </w:rPr>
              <w:t>FY 2020</w:t>
            </w:r>
          </w:p>
        </w:tc>
        <w:tc>
          <w:tcPr>
            <w:tcW w:w="821" w:type="pct"/>
            <w:shd w:val="clear" w:color="auto" w:fill="000080"/>
            <w:vAlign w:val="center"/>
          </w:tcPr>
          <w:p w14:paraId="149070A6" w14:textId="0E7FF91D" w:rsidR="00D12F5A" w:rsidRPr="00B3303A" w:rsidRDefault="00307BEF" w:rsidP="00484550">
            <w:pPr>
              <w:pStyle w:val="Default"/>
              <w:jc w:val="center"/>
              <w:rPr>
                <w:b/>
                <w:bCs/>
                <w:color w:val="FFFFFF" w:themeColor="background1"/>
                <w:sz w:val="20"/>
                <w:szCs w:val="20"/>
              </w:rPr>
            </w:pPr>
            <w:r>
              <w:rPr>
                <w:b/>
                <w:bCs/>
                <w:color w:val="FFFFFF" w:themeColor="background1"/>
                <w:sz w:val="20"/>
                <w:szCs w:val="20"/>
              </w:rPr>
              <w:t>FY 2021</w:t>
            </w:r>
          </w:p>
        </w:tc>
        <w:tc>
          <w:tcPr>
            <w:tcW w:w="819" w:type="pct"/>
            <w:shd w:val="clear" w:color="auto" w:fill="000080"/>
            <w:vAlign w:val="center"/>
          </w:tcPr>
          <w:p w14:paraId="043E5CA9" w14:textId="305C53DB" w:rsidR="00D12F5A" w:rsidRPr="00B3303A" w:rsidRDefault="00307BEF" w:rsidP="00484550">
            <w:pPr>
              <w:pStyle w:val="Default"/>
              <w:jc w:val="center"/>
              <w:rPr>
                <w:b/>
                <w:bCs/>
                <w:color w:val="FFFFFF" w:themeColor="background1"/>
                <w:sz w:val="20"/>
                <w:szCs w:val="20"/>
              </w:rPr>
            </w:pPr>
            <w:r>
              <w:rPr>
                <w:b/>
                <w:bCs/>
                <w:color w:val="FFFFFF" w:themeColor="background1"/>
                <w:sz w:val="20"/>
                <w:szCs w:val="20"/>
              </w:rPr>
              <w:t>FY 2022</w:t>
            </w:r>
          </w:p>
        </w:tc>
      </w:tr>
      <w:tr w:rsidR="00307BEF" w:rsidRPr="00B3303A" w14:paraId="2E4AB749" w14:textId="77777777" w:rsidTr="4CC6CE91">
        <w:trPr>
          <w:trHeight w:val="288"/>
        </w:trPr>
        <w:tc>
          <w:tcPr>
            <w:tcW w:w="1718" w:type="pct"/>
            <w:vAlign w:val="bottom"/>
          </w:tcPr>
          <w:p w14:paraId="204BC09C" w14:textId="77777777" w:rsidR="00307BEF" w:rsidRPr="00B3303A" w:rsidRDefault="00307BEF" w:rsidP="00307BEF">
            <w:pPr>
              <w:pStyle w:val="StyleDefault10pt"/>
              <w:rPr>
                <w:szCs w:val="20"/>
              </w:rPr>
            </w:pPr>
            <w:r w:rsidRPr="00B3303A">
              <w:rPr>
                <w:szCs w:val="20"/>
              </w:rPr>
              <w:t>0001 General Fund</w:t>
            </w:r>
          </w:p>
        </w:tc>
        <w:tc>
          <w:tcPr>
            <w:tcW w:w="821" w:type="pct"/>
            <w:vAlign w:val="bottom"/>
          </w:tcPr>
          <w:p w14:paraId="1528D1D4" w14:textId="14C9629C" w:rsidR="00307BEF" w:rsidRPr="00B3303A" w:rsidRDefault="00307BEF" w:rsidP="00307BEF">
            <w:pPr>
              <w:pStyle w:val="Default"/>
              <w:jc w:val="right"/>
              <w:rPr>
                <w:color w:val="auto"/>
                <w:sz w:val="20"/>
                <w:szCs w:val="20"/>
              </w:rPr>
            </w:pPr>
            <w:r w:rsidRPr="00B3303A">
              <w:rPr>
                <w:sz w:val="20"/>
                <w:szCs w:val="20"/>
              </w:rPr>
              <w:t xml:space="preserve"> 63,806,862</w:t>
            </w:r>
          </w:p>
        </w:tc>
        <w:tc>
          <w:tcPr>
            <w:tcW w:w="821" w:type="pct"/>
            <w:tcBorders>
              <w:bottom w:val="nil"/>
            </w:tcBorders>
            <w:vAlign w:val="bottom"/>
          </w:tcPr>
          <w:p w14:paraId="5A066B7C" w14:textId="0CD8B3EC" w:rsidR="00307BEF" w:rsidRPr="00B3303A" w:rsidRDefault="00307BEF" w:rsidP="00307BEF">
            <w:pPr>
              <w:pStyle w:val="Default"/>
              <w:jc w:val="right"/>
              <w:rPr>
                <w:color w:val="auto"/>
                <w:sz w:val="20"/>
                <w:szCs w:val="20"/>
              </w:rPr>
            </w:pPr>
            <w:r>
              <w:rPr>
                <w:sz w:val="20"/>
                <w:szCs w:val="20"/>
              </w:rPr>
              <w:t xml:space="preserve">$66,967,076 </w:t>
            </w:r>
          </w:p>
        </w:tc>
        <w:tc>
          <w:tcPr>
            <w:tcW w:w="821" w:type="pct"/>
            <w:tcBorders>
              <w:bottom w:val="none" w:sz="4" w:space="0" w:color="000000" w:themeColor="text1"/>
            </w:tcBorders>
            <w:vAlign w:val="bottom"/>
          </w:tcPr>
          <w:p w14:paraId="43565A19" w14:textId="707B0F84"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$64,566,256</w:t>
            </w:r>
          </w:p>
        </w:tc>
        <w:tc>
          <w:tcPr>
            <w:tcW w:w="819" w:type="pct"/>
            <w:vAlign w:val="bottom"/>
          </w:tcPr>
          <w:p w14:paraId="62CB5A0E" w14:textId="61F6A9E9" w:rsidR="00307BEF" w:rsidRPr="00B3303A" w:rsidRDefault="00307BEF" w:rsidP="00307BEF">
            <w:pPr>
              <w:jc w:val="right"/>
              <w:rPr>
                <w:rFonts w:ascii="Arial" w:hAnsi="Arial" w:cs="Arial"/>
                <w:color w:val="000000"/>
                <w:sz w:val="20"/>
                <w:szCs w:val="20"/>
              </w:rPr>
            </w:pPr>
          </w:p>
        </w:tc>
      </w:tr>
      <w:tr w:rsidR="00307BEF" w:rsidRPr="00B3303A" w14:paraId="2ED26572" w14:textId="77777777" w:rsidTr="4CC6CE91">
        <w:trPr>
          <w:trHeight w:val="288"/>
        </w:trPr>
        <w:tc>
          <w:tcPr>
            <w:tcW w:w="1718" w:type="pct"/>
            <w:tcBorders>
              <w:left w:val="single" w:sz="4" w:space="0" w:color="auto"/>
            </w:tcBorders>
            <w:vAlign w:val="bottom"/>
          </w:tcPr>
          <w:p w14:paraId="03662A17" w14:textId="77777777" w:rsidR="00307BEF" w:rsidRPr="00B3303A" w:rsidRDefault="00307BEF" w:rsidP="00307BEF">
            <w:pPr>
              <w:pStyle w:val="StyleDefault10pt"/>
              <w:rPr>
                <w:szCs w:val="20"/>
              </w:rPr>
            </w:pPr>
            <w:r w:rsidRPr="00B3303A">
              <w:rPr>
                <w:szCs w:val="20"/>
              </w:rPr>
              <w:t>0218 Displaced Homemaker</w:t>
            </w:r>
          </w:p>
        </w:tc>
        <w:tc>
          <w:tcPr>
            <w:tcW w:w="821" w:type="pct"/>
            <w:vAlign w:val="bottom"/>
          </w:tcPr>
          <w:p w14:paraId="01695B2C" w14:textId="3C0F304B" w:rsidR="00307BEF" w:rsidRPr="00B3303A" w:rsidRDefault="00307BEF" w:rsidP="00307BEF">
            <w:pPr>
              <w:pStyle w:val="Default"/>
              <w:jc w:val="right"/>
              <w:rPr>
                <w:color w:val="auto"/>
                <w:sz w:val="20"/>
                <w:szCs w:val="20"/>
              </w:rPr>
            </w:pPr>
            <w:r w:rsidRPr="00B3303A">
              <w:rPr>
                <w:sz w:val="20"/>
                <w:szCs w:val="20"/>
              </w:rPr>
              <w:t>145,880</w:t>
            </w:r>
          </w:p>
        </w:tc>
        <w:tc>
          <w:tcPr>
            <w:tcW w:w="821" w:type="pct"/>
            <w:tcBorders>
              <w:top w:val="nil"/>
              <w:bottom w:val="nil"/>
              <w:right w:val="none" w:sz="4" w:space="0" w:color="000000" w:themeColor="text1"/>
            </w:tcBorders>
            <w:vAlign w:val="bottom"/>
          </w:tcPr>
          <w:p w14:paraId="41DB5DE8" w14:textId="2DBC721B" w:rsidR="00307BEF" w:rsidRPr="00B3303A" w:rsidRDefault="00307BEF" w:rsidP="00307BEF">
            <w:pPr>
              <w:pStyle w:val="Default"/>
              <w:jc w:val="right"/>
              <w:rPr>
                <w:color w:val="auto"/>
                <w:sz w:val="20"/>
                <w:szCs w:val="20"/>
              </w:rPr>
            </w:pPr>
            <w:r>
              <w:rPr>
                <w:sz w:val="20"/>
                <w:szCs w:val="20"/>
              </w:rPr>
              <w:t>136,287</w:t>
            </w: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17AE6C98" w14:textId="31724CE0"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144,947</w:t>
            </w:r>
          </w:p>
        </w:tc>
        <w:tc>
          <w:tcPr>
            <w:tcW w:w="819" w:type="pct"/>
            <w:tcBorders>
              <w:left w:val="none" w:sz="4" w:space="0" w:color="000000" w:themeColor="text1"/>
              <w:right w:val="single" w:sz="4" w:space="0" w:color="auto"/>
            </w:tcBorders>
            <w:vAlign w:val="bottom"/>
          </w:tcPr>
          <w:p w14:paraId="1988C3F6" w14:textId="2C7CCCF8" w:rsidR="00307BEF" w:rsidRPr="00B3303A" w:rsidRDefault="00307BEF" w:rsidP="00307BEF">
            <w:pPr>
              <w:jc w:val="right"/>
              <w:rPr>
                <w:rFonts w:ascii="Arial" w:hAnsi="Arial" w:cs="Arial"/>
                <w:color w:val="000000"/>
                <w:sz w:val="20"/>
                <w:szCs w:val="20"/>
              </w:rPr>
            </w:pPr>
          </w:p>
        </w:tc>
      </w:tr>
      <w:tr w:rsidR="00307BEF" w:rsidRPr="00B3303A" w14:paraId="63618744" w14:textId="77777777" w:rsidTr="4CC6CE91">
        <w:trPr>
          <w:trHeight w:val="288"/>
        </w:trPr>
        <w:tc>
          <w:tcPr>
            <w:tcW w:w="1718" w:type="pct"/>
            <w:tcBorders>
              <w:left w:val="single" w:sz="4" w:space="0" w:color="auto"/>
            </w:tcBorders>
            <w:vAlign w:val="bottom"/>
          </w:tcPr>
          <w:p w14:paraId="588A9F47" w14:textId="77777777" w:rsidR="00307BEF" w:rsidRPr="00B3303A" w:rsidRDefault="00307BEF" w:rsidP="00307BEF">
            <w:pPr>
              <w:pStyle w:val="StyleDefault10pt"/>
              <w:rPr>
                <w:szCs w:val="20"/>
              </w:rPr>
            </w:pPr>
            <w:r w:rsidRPr="00B3303A">
              <w:rPr>
                <w:szCs w:val="20"/>
              </w:rPr>
              <w:t>0274 Haz-Mat Waste Training</w:t>
            </w:r>
          </w:p>
        </w:tc>
        <w:tc>
          <w:tcPr>
            <w:tcW w:w="821" w:type="pct"/>
            <w:vAlign w:val="bottom"/>
          </w:tcPr>
          <w:p w14:paraId="590D50F7" w14:textId="08FC09C4" w:rsidR="00307BEF" w:rsidRPr="00B3303A" w:rsidRDefault="00307BEF" w:rsidP="00307BEF">
            <w:pPr>
              <w:pStyle w:val="Default"/>
              <w:jc w:val="right"/>
              <w:rPr>
                <w:color w:val="auto"/>
                <w:sz w:val="20"/>
                <w:szCs w:val="20"/>
              </w:rPr>
            </w:pPr>
            <w:r w:rsidRPr="00B3303A">
              <w:rPr>
                <w:sz w:val="20"/>
                <w:szCs w:val="20"/>
              </w:rPr>
              <w:t>67,800</w:t>
            </w:r>
          </w:p>
        </w:tc>
        <w:tc>
          <w:tcPr>
            <w:tcW w:w="821" w:type="pct"/>
            <w:tcBorders>
              <w:top w:val="nil"/>
              <w:bottom w:val="nil"/>
              <w:right w:val="none" w:sz="4" w:space="0" w:color="000000" w:themeColor="text1"/>
            </w:tcBorders>
            <w:vAlign w:val="bottom"/>
          </w:tcPr>
          <w:p w14:paraId="6EE7FC54" w14:textId="480F5641" w:rsidR="00307BEF" w:rsidRPr="00B3303A" w:rsidRDefault="00307BEF" w:rsidP="00307BEF">
            <w:pPr>
              <w:pStyle w:val="Default"/>
              <w:jc w:val="right"/>
              <w:rPr>
                <w:color w:val="auto"/>
                <w:sz w:val="20"/>
                <w:szCs w:val="20"/>
              </w:rPr>
            </w:pPr>
            <w:r>
              <w:rPr>
                <w:sz w:val="20"/>
                <w:szCs w:val="20"/>
              </w:rPr>
              <w:t>67,800</w:t>
            </w: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54C8123C" w14:textId="0F6CE258"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67,800</w:t>
            </w:r>
          </w:p>
        </w:tc>
        <w:tc>
          <w:tcPr>
            <w:tcW w:w="819" w:type="pct"/>
            <w:tcBorders>
              <w:left w:val="none" w:sz="4" w:space="0" w:color="000000" w:themeColor="text1"/>
              <w:right w:val="single" w:sz="4" w:space="0" w:color="auto"/>
            </w:tcBorders>
            <w:vAlign w:val="bottom"/>
          </w:tcPr>
          <w:p w14:paraId="1A705B0B" w14:textId="74229E26" w:rsidR="00307BEF" w:rsidRPr="00B3303A" w:rsidRDefault="00307BEF" w:rsidP="00307BEF">
            <w:pPr>
              <w:jc w:val="right"/>
              <w:rPr>
                <w:rFonts w:ascii="Arial" w:hAnsi="Arial" w:cs="Arial"/>
                <w:color w:val="000000"/>
                <w:sz w:val="20"/>
                <w:szCs w:val="20"/>
              </w:rPr>
            </w:pPr>
          </w:p>
        </w:tc>
      </w:tr>
      <w:tr w:rsidR="00307BEF" w:rsidRPr="00B3303A" w14:paraId="526BCB49" w14:textId="77777777" w:rsidTr="4CC6CE91">
        <w:trPr>
          <w:trHeight w:val="288"/>
        </w:trPr>
        <w:tc>
          <w:tcPr>
            <w:tcW w:w="1718" w:type="pct"/>
            <w:tcBorders>
              <w:left w:val="single" w:sz="4" w:space="0" w:color="auto"/>
            </w:tcBorders>
            <w:vAlign w:val="bottom"/>
          </w:tcPr>
          <w:p w14:paraId="2F8F267A" w14:textId="50E56814" w:rsidR="00307BEF" w:rsidRPr="00B3303A" w:rsidRDefault="00307BEF" w:rsidP="00307BEF">
            <w:pPr>
              <w:pStyle w:val="StyleDefault10pt"/>
            </w:pPr>
            <w:r>
              <w:t>0319 Motorcycle Safety**</w:t>
            </w:r>
          </w:p>
        </w:tc>
        <w:tc>
          <w:tcPr>
            <w:tcW w:w="821" w:type="pct"/>
            <w:vAlign w:val="bottom"/>
          </w:tcPr>
          <w:p w14:paraId="21C3E9F1" w14:textId="5F33FE91" w:rsidR="00307BEF" w:rsidRPr="00B3303A" w:rsidRDefault="00307BEF" w:rsidP="00307BEF">
            <w:pPr>
              <w:pStyle w:val="Default"/>
              <w:jc w:val="right"/>
              <w:rPr>
                <w:color w:val="auto"/>
                <w:sz w:val="20"/>
                <w:szCs w:val="20"/>
              </w:rPr>
            </w:pPr>
            <w:r w:rsidRPr="4CC6CE91">
              <w:rPr>
                <w:sz w:val="20"/>
                <w:szCs w:val="20"/>
              </w:rPr>
              <w:t>778,949</w:t>
            </w:r>
          </w:p>
        </w:tc>
        <w:tc>
          <w:tcPr>
            <w:tcW w:w="821" w:type="pct"/>
            <w:tcBorders>
              <w:top w:val="nil"/>
              <w:bottom w:val="nil"/>
              <w:right w:val="none" w:sz="4" w:space="0" w:color="000000" w:themeColor="text1"/>
            </w:tcBorders>
            <w:vAlign w:val="bottom"/>
          </w:tcPr>
          <w:p w14:paraId="73F2914C" w14:textId="68B9EE25" w:rsidR="00307BEF" w:rsidRPr="00B3303A" w:rsidRDefault="00307BEF" w:rsidP="00307BEF">
            <w:pPr>
              <w:pStyle w:val="Default"/>
              <w:jc w:val="right"/>
              <w:rPr>
                <w:color w:val="auto"/>
                <w:sz w:val="20"/>
                <w:szCs w:val="20"/>
              </w:rPr>
            </w:pPr>
            <w:r w:rsidRPr="4CC6CE91">
              <w:rPr>
                <w:color w:val="000000" w:themeColor="text1"/>
                <w:sz w:val="20"/>
                <w:szCs w:val="20"/>
              </w:rPr>
              <w:t>670,229</w:t>
            </w: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3BBD0D24" w14:textId="3FF1E9BE"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573,645</w:t>
            </w:r>
          </w:p>
        </w:tc>
        <w:tc>
          <w:tcPr>
            <w:tcW w:w="819" w:type="pct"/>
            <w:tcBorders>
              <w:left w:val="none" w:sz="4" w:space="0" w:color="000000" w:themeColor="text1"/>
              <w:right w:val="single" w:sz="4" w:space="0" w:color="auto"/>
            </w:tcBorders>
            <w:vAlign w:val="bottom"/>
          </w:tcPr>
          <w:p w14:paraId="5EADF3B8" w14:textId="2AE97D9A" w:rsidR="00307BEF" w:rsidRPr="00B3303A" w:rsidRDefault="00307BEF" w:rsidP="00307BEF">
            <w:pPr>
              <w:jc w:val="right"/>
              <w:rPr>
                <w:rFonts w:ascii="Arial" w:hAnsi="Arial" w:cs="Arial"/>
                <w:color w:val="000000"/>
                <w:sz w:val="20"/>
                <w:szCs w:val="20"/>
              </w:rPr>
            </w:pPr>
          </w:p>
        </w:tc>
      </w:tr>
      <w:tr w:rsidR="00307BEF" w14:paraId="3A1ED5A2" w14:textId="77777777" w:rsidTr="00307BEF">
        <w:trPr>
          <w:trHeight w:val="288"/>
        </w:trPr>
        <w:tc>
          <w:tcPr>
            <w:tcW w:w="1718" w:type="pct"/>
            <w:tcBorders>
              <w:left w:val="single" w:sz="4" w:space="0" w:color="auto"/>
            </w:tcBorders>
            <w:vAlign w:val="bottom"/>
          </w:tcPr>
          <w:p w14:paraId="28D9A50A" w14:textId="4D68E264" w:rsidR="00307BEF" w:rsidRDefault="00307BEF" w:rsidP="00307BEF">
            <w:pPr>
              <w:pStyle w:val="StyleDefault10pt"/>
              <w:rPr>
                <w:color w:val="000000" w:themeColor="text1"/>
                <w:szCs w:val="20"/>
              </w:rPr>
            </w:pPr>
            <w:r w:rsidRPr="4CC6CE91">
              <w:rPr>
                <w:color w:val="000000" w:themeColor="text1"/>
                <w:szCs w:val="20"/>
              </w:rPr>
              <w:t>0345 CARES Act</w:t>
            </w:r>
          </w:p>
        </w:tc>
        <w:tc>
          <w:tcPr>
            <w:tcW w:w="821" w:type="pct"/>
            <w:vAlign w:val="bottom"/>
          </w:tcPr>
          <w:p w14:paraId="0D9F9848" w14:textId="5DF65824" w:rsidR="00307BEF" w:rsidRDefault="00307BEF" w:rsidP="00307BEF">
            <w:pPr>
              <w:pStyle w:val="Default"/>
              <w:jc w:val="right"/>
              <w:rPr>
                <w:color w:val="000000" w:themeColor="text1"/>
                <w:sz w:val="20"/>
                <w:szCs w:val="20"/>
              </w:rPr>
            </w:pPr>
          </w:p>
        </w:tc>
        <w:tc>
          <w:tcPr>
            <w:tcW w:w="821" w:type="pct"/>
            <w:tcBorders>
              <w:top w:val="nil"/>
              <w:bottom w:val="nil"/>
              <w:right w:val="none" w:sz="4" w:space="0" w:color="000000" w:themeColor="text1"/>
            </w:tcBorders>
            <w:vAlign w:val="bottom"/>
          </w:tcPr>
          <w:p w14:paraId="63313EA6" w14:textId="1FF85FCF" w:rsidR="00307BEF" w:rsidRDefault="00307BEF" w:rsidP="00307BEF">
            <w:pPr>
              <w:pStyle w:val="Default"/>
              <w:jc w:val="right"/>
              <w:rPr>
                <w:color w:val="000000" w:themeColor="text1"/>
                <w:sz w:val="20"/>
                <w:szCs w:val="20"/>
              </w:rPr>
            </w:pP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3852B49A" w14:textId="3EA0F1DE" w:rsidR="00307BEF" w:rsidRDefault="00307BEF" w:rsidP="00307BEF">
            <w:pPr>
              <w:jc w:val="right"/>
              <w:rPr>
                <w:rFonts w:ascii="Arial" w:hAnsi="Arial" w:cs="Arial"/>
                <w:color w:val="000000" w:themeColor="text1"/>
                <w:sz w:val="20"/>
                <w:szCs w:val="20"/>
              </w:rPr>
            </w:pPr>
            <w:r w:rsidRPr="4CC6CE91">
              <w:rPr>
                <w:rFonts w:ascii="Arial" w:hAnsi="Arial" w:cs="Arial"/>
                <w:color w:val="000000" w:themeColor="text1"/>
                <w:sz w:val="20"/>
                <w:szCs w:val="20"/>
              </w:rPr>
              <w:t>1,570,528</w:t>
            </w:r>
          </w:p>
        </w:tc>
        <w:tc>
          <w:tcPr>
            <w:tcW w:w="819" w:type="pct"/>
            <w:tcBorders>
              <w:left w:val="none" w:sz="4" w:space="0" w:color="000000" w:themeColor="text1"/>
              <w:right w:val="single" w:sz="4" w:space="0" w:color="auto"/>
            </w:tcBorders>
            <w:vAlign w:val="bottom"/>
          </w:tcPr>
          <w:p w14:paraId="39E642AC" w14:textId="72C7B9D9" w:rsidR="00307BEF" w:rsidRDefault="00307BEF" w:rsidP="00307BEF">
            <w:pPr>
              <w:jc w:val="right"/>
              <w:rPr>
                <w:rFonts w:ascii="Arial" w:hAnsi="Arial" w:cs="Arial"/>
                <w:color w:val="000000" w:themeColor="text1"/>
                <w:sz w:val="20"/>
                <w:szCs w:val="20"/>
              </w:rPr>
            </w:pPr>
          </w:p>
        </w:tc>
      </w:tr>
      <w:tr w:rsidR="00307BEF" w:rsidRPr="00B3303A" w14:paraId="7ACEF4BA" w14:textId="77777777" w:rsidTr="4CC6CE91">
        <w:trPr>
          <w:trHeight w:val="288"/>
        </w:trPr>
        <w:tc>
          <w:tcPr>
            <w:tcW w:w="1718" w:type="pct"/>
            <w:tcBorders>
              <w:left w:val="single" w:sz="4" w:space="0" w:color="auto"/>
            </w:tcBorders>
            <w:vAlign w:val="bottom"/>
          </w:tcPr>
          <w:p w14:paraId="0C628983" w14:textId="77777777" w:rsidR="00307BEF" w:rsidRPr="00B3303A" w:rsidRDefault="00307BEF" w:rsidP="00307BEF">
            <w:pPr>
              <w:pStyle w:val="StyleDefault10pt"/>
              <w:rPr>
                <w:szCs w:val="20"/>
              </w:rPr>
            </w:pPr>
            <w:r w:rsidRPr="00B3303A">
              <w:rPr>
                <w:szCs w:val="20"/>
              </w:rPr>
              <w:t>0348 Federal Grants</w:t>
            </w:r>
          </w:p>
        </w:tc>
        <w:tc>
          <w:tcPr>
            <w:tcW w:w="821" w:type="pct"/>
            <w:vAlign w:val="bottom"/>
          </w:tcPr>
          <w:p w14:paraId="3B421FD6" w14:textId="3F6BB54E" w:rsidR="00307BEF" w:rsidRPr="00B3303A" w:rsidRDefault="00307BEF" w:rsidP="00307BEF">
            <w:pPr>
              <w:pStyle w:val="Default"/>
              <w:jc w:val="right"/>
              <w:rPr>
                <w:color w:val="auto"/>
                <w:sz w:val="20"/>
                <w:szCs w:val="20"/>
              </w:rPr>
            </w:pPr>
            <w:r w:rsidRPr="00B3303A">
              <w:rPr>
                <w:sz w:val="20"/>
                <w:szCs w:val="20"/>
              </w:rPr>
              <w:t>9,148,240</w:t>
            </w:r>
          </w:p>
        </w:tc>
        <w:tc>
          <w:tcPr>
            <w:tcW w:w="821" w:type="pct"/>
            <w:tcBorders>
              <w:top w:val="nil"/>
              <w:bottom w:val="nil"/>
              <w:right w:val="none" w:sz="4" w:space="0" w:color="000000" w:themeColor="text1"/>
            </w:tcBorders>
            <w:vAlign w:val="bottom"/>
          </w:tcPr>
          <w:p w14:paraId="72CC25E3" w14:textId="22173B24" w:rsidR="00307BEF" w:rsidRPr="00B3303A" w:rsidRDefault="00307BEF" w:rsidP="00307BEF">
            <w:pPr>
              <w:pStyle w:val="Default"/>
              <w:jc w:val="right"/>
              <w:rPr>
                <w:color w:val="auto"/>
                <w:sz w:val="20"/>
                <w:szCs w:val="20"/>
              </w:rPr>
            </w:pPr>
            <w:r>
              <w:rPr>
                <w:sz w:val="20"/>
                <w:szCs w:val="20"/>
              </w:rPr>
              <w:t>8,841,768</w:t>
            </w: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1CD66ACE" w14:textId="7044AAB1"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9,085,603</w:t>
            </w:r>
          </w:p>
        </w:tc>
        <w:tc>
          <w:tcPr>
            <w:tcW w:w="819" w:type="pct"/>
            <w:tcBorders>
              <w:left w:val="none" w:sz="4" w:space="0" w:color="000000" w:themeColor="text1"/>
              <w:right w:val="single" w:sz="4" w:space="0" w:color="auto"/>
            </w:tcBorders>
            <w:vAlign w:val="bottom"/>
          </w:tcPr>
          <w:p w14:paraId="68CC25B1" w14:textId="73319EC2" w:rsidR="00307BEF" w:rsidRPr="00B3303A" w:rsidRDefault="00307BEF" w:rsidP="00307BEF">
            <w:pPr>
              <w:jc w:val="right"/>
              <w:rPr>
                <w:rFonts w:ascii="Arial" w:hAnsi="Arial" w:cs="Arial"/>
                <w:color w:val="000000"/>
                <w:sz w:val="20"/>
                <w:szCs w:val="20"/>
              </w:rPr>
            </w:pPr>
          </w:p>
        </w:tc>
      </w:tr>
      <w:tr w:rsidR="00307BEF" w:rsidRPr="00B3303A" w14:paraId="751465B2" w14:textId="77777777" w:rsidTr="4CC6CE91">
        <w:trPr>
          <w:trHeight w:val="288"/>
        </w:trPr>
        <w:tc>
          <w:tcPr>
            <w:tcW w:w="1718" w:type="pct"/>
            <w:tcBorders>
              <w:left w:val="single" w:sz="4" w:space="0" w:color="auto"/>
            </w:tcBorders>
            <w:vAlign w:val="bottom"/>
          </w:tcPr>
          <w:p w14:paraId="708F8651" w14:textId="77777777" w:rsidR="00307BEF" w:rsidRPr="00B3303A" w:rsidRDefault="00307BEF" w:rsidP="00307BEF">
            <w:pPr>
              <w:pStyle w:val="StyleDefault10pt"/>
              <w:rPr>
                <w:szCs w:val="20"/>
              </w:rPr>
            </w:pPr>
            <w:r w:rsidRPr="00B3303A">
              <w:rPr>
                <w:szCs w:val="20"/>
              </w:rPr>
              <w:t>0349 Miscellaneous Revenue</w:t>
            </w:r>
          </w:p>
        </w:tc>
        <w:tc>
          <w:tcPr>
            <w:tcW w:w="821" w:type="pct"/>
            <w:vAlign w:val="bottom"/>
          </w:tcPr>
          <w:p w14:paraId="4D20D047" w14:textId="1555479B" w:rsidR="00307BEF" w:rsidRPr="00B3303A" w:rsidRDefault="00307BEF" w:rsidP="00307BEF">
            <w:pPr>
              <w:pStyle w:val="Default"/>
              <w:jc w:val="right"/>
              <w:rPr>
                <w:color w:val="auto"/>
                <w:sz w:val="20"/>
                <w:szCs w:val="20"/>
              </w:rPr>
            </w:pPr>
            <w:r w:rsidRPr="00B3303A">
              <w:rPr>
                <w:sz w:val="20"/>
                <w:szCs w:val="20"/>
              </w:rPr>
              <w:t>159,631</w:t>
            </w:r>
          </w:p>
        </w:tc>
        <w:tc>
          <w:tcPr>
            <w:tcW w:w="821" w:type="pct"/>
            <w:tcBorders>
              <w:top w:val="nil"/>
              <w:bottom w:val="nil"/>
              <w:right w:val="none" w:sz="4" w:space="0" w:color="000000" w:themeColor="text1"/>
            </w:tcBorders>
            <w:vAlign w:val="bottom"/>
          </w:tcPr>
          <w:p w14:paraId="7EE3218F" w14:textId="03A8D02A" w:rsidR="00307BEF" w:rsidRPr="00B3303A" w:rsidRDefault="00307BEF" w:rsidP="00307BEF">
            <w:pPr>
              <w:pStyle w:val="Default"/>
              <w:jc w:val="right"/>
              <w:rPr>
                <w:color w:val="auto"/>
                <w:sz w:val="20"/>
                <w:szCs w:val="20"/>
              </w:rPr>
            </w:pPr>
            <w:r>
              <w:rPr>
                <w:sz w:val="20"/>
                <w:szCs w:val="20"/>
              </w:rPr>
              <w:t>169,386</w:t>
            </w:r>
          </w:p>
        </w:tc>
        <w:tc>
          <w:tcPr>
            <w:tcW w:w="821"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6A8B6F1F" w14:textId="7E46A057"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45,226</w:t>
            </w:r>
          </w:p>
        </w:tc>
        <w:tc>
          <w:tcPr>
            <w:tcW w:w="819" w:type="pct"/>
            <w:tcBorders>
              <w:left w:val="none" w:sz="4" w:space="0" w:color="000000" w:themeColor="text1"/>
              <w:right w:val="single" w:sz="4" w:space="0" w:color="auto"/>
            </w:tcBorders>
            <w:vAlign w:val="bottom"/>
          </w:tcPr>
          <w:p w14:paraId="0232E1FD" w14:textId="6EAF25BA" w:rsidR="00307BEF" w:rsidRPr="00B3303A" w:rsidRDefault="00307BEF" w:rsidP="00307BEF">
            <w:pPr>
              <w:jc w:val="right"/>
              <w:rPr>
                <w:rFonts w:ascii="Arial" w:hAnsi="Arial" w:cs="Arial"/>
                <w:color w:val="000000"/>
                <w:sz w:val="20"/>
                <w:szCs w:val="20"/>
              </w:rPr>
            </w:pPr>
          </w:p>
        </w:tc>
      </w:tr>
      <w:tr w:rsidR="00307BEF" w:rsidRPr="00B3303A" w14:paraId="09CEE986" w14:textId="77777777" w:rsidTr="00475A9A">
        <w:trPr>
          <w:trHeight w:val="288"/>
        </w:trPr>
        <w:tc>
          <w:tcPr>
            <w:tcW w:w="1718" w:type="pct"/>
            <w:vAlign w:val="bottom"/>
          </w:tcPr>
          <w:p w14:paraId="2A8E661D" w14:textId="77777777" w:rsidR="00307BEF" w:rsidRPr="00B3303A" w:rsidRDefault="00307BEF" w:rsidP="00307BEF">
            <w:pPr>
              <w:pStyle w:val="StyleDefault10pt"/>
              <w:rPr>
                <w:szCs w:val="20"/>
              </w:rPr>
            </w:pPr>
            <w:r w:rsidRPr="00B3303A">
              <w:rPr>
                <w:szCs w:val="20"/>
              </w:rPr>
              <w:t>0401 Seminars and Publications</w:t>
            </w:r>
          </w:p>
        </w:tc>
        <w:tc>
          <w:tcPr>
            <w:tcW w:w="821" w:type="pct"/>
            <w:tcBorders>
              <w:bottom w:val="nil"/>
            </w:tcBorders>
            <w:vAlign w:val="bottom"/>
          </w:tcPr>
          <w:p w14:paraId="33F02819" w14:textId="76821593" w:rsidR="00307BEF" w:rsidRPr="00475A9A" w:rsidRDefault="00307BEF" w:rsidP="00307BEF">
            <w:pPr>
              <w:jc w:val="right"/>
              <w:rPr>
                <w:rFonts w:ascii="Arial" w:hAnsi="Arial" w:cs="Arial"/>
                <w:sz w:val="20"/>
                <w:szCs w:val="20"/>
                <w:u w:val="single"/>
              </w:rPr>
            </w:pPr>
            <w:r w:rsidRPr="00475A9A">
              <w:rPr>
                <w:rFonts w:ascii="Arial" w:hAnsi="Arial" w:cs="Arial"/>
                <w:color w:val="000000"/>
                <w:sz w:val="20"/>
                <w:szCs w:val="20"/>
                <w:u w:val="single"/>
              </w:rPr>
              <w:t>0</w:t>
            </w:r>
          </w:p>
        </w:tc>
        <w:tc>
          <w:tcPr>
            <w:tcW w:w="821" w:type="pct"/>
            <w:tcBorders>
              <w:top w:val="nil"/>
              <w:bottom w:val="nil"/>
            </w:tcBorders>
            <w:vAlign w:val="bottom"/>
          </w:tcPr>
          <w:p w14:paraId="1F3F1E73" w14:textId="77829EDC" w:rsidR="00307BEF" w:rsidRPr="00475A9A" w:rsidRDefault="00307BEF" w:rsidP="00307BEF">
            <w:pPr>
              <w:jc w:val="right"/>
              <w:rPr>
                <w:rFonts w:ascii="Arial" w:hAnsi="Arial" w:cs="Arial"/>
                <w:sz w:val="20"/>
                <w:szCs w:val="20"/>
                <w:u w:val="single"/>
              </w:rPr>
            </w:pPr>
            <w:r w:rsidRPr="00475A9A">
              <w:rPr>
                <w:rFonts w:ascii="Arial" w:hAnsi="Arial" w:cs="Arial"/>
                <w:color w:val="000000"/>
                <w:sz w:val="20"/>
                <w:szCs w:val="20"/>
                <w:u w:val="single"/>
              </w:rPr>
              <w:t>0</w:t>
            </w:r>
          </w:p>
        </w:tc>
        <w:tc>
          <w:tcPr>
            <w:tcW w:w="821" w:type="pct"/>
            <w:tcBorders>
              <w:top w:val="none" w:sz="4" w:space="0" w:color="000000" w:themeColor="text1"/>
              <w:bottom w:val="nil"/>
            </w:tcBorders>
            <w:vAlign w:val="bottom"/>
          </w:tcPr>
          <w:p w14:paraId="537FF3AC" w14:textId="691564DE" w:rsidR="00307BEF" w:rsidRPr="00475A9A" w:rsidRDefault="00307BEF" w:rsidP="00307BEF">
            <w:pPr>
              <w:jc w:val="right"/>
              <w:rPr>
                <w:rFonts w:ascii="Arial" w:hAnsi="Arial" w:cs="Arial"/>
                <w:color w:val="000000"/>
                <w:sz w:val="20"/>
                <w:szCs w:val="20"/>
                <w:u w:val="single"/>
              </w:rPr>
            </w:pPr>
            <w:r w:rsidRPr="00475A9A">
              <w:rPr>
                <w:rFonts w:ascii="Arial" w:hAnsi="Arial" w:cs="Arial"/>
                <w:color w:val="000000" w:themeColor="text1"/>
                <w:sz w:val="20"/>
                <w:szCs w:val="20"/>
                <w:u w:val="single"/>
              </w:rPr>
              <w:t>0</w:t>
            </w:r>
          </w:p>
        </w:tc>
        <w:tc>
          <w:tcPr>
            <w:tcW w:w="819" w:type="pct"/>
            <w:tcBorders>
              <w:bottom w:val="nil"/>
            </w:tcBorders>
            <w:vAlign w:val="bottom"/>
          </w:tcPr>
          <w:p w14:paraId="6EB3FBC7" w14:textId="730B450C" w:rsidR="00307BEF" w:rsidRPr="00475A9A" w:rsidRDefault="00307BEF" w:rsidP="00307BEF">
            <w:pPr>
              <w:jc w:val="right"/>
              <w:rPr>
                <w:rFonts w:ascii="Arial" w:hAnsi="Arial" w:cs="Arial"/>
                <w:color w:val="000000"/>
                <w:sz w:val="20"/>
                <w:szCs w:val="20"/>
                <w:u w:val="single"/>
              </w:rPr>
            </w:pPr>
          </w:p>
        </w:tc>
      </w:tr>
      <w:tr w:rsidR="00307BEF" w:rsidRPr="00B3303A" w14:paraId="3BB26F34" w14:textId="77777777" w:rsidTr="00475A9A">
        <w:trPr>
          <w:trHeight w:val="276"/>
        </w:trPr>
        <w:tc>
          <w:tcPr>
            <w:tcW w:w="1718" w:type="pct"/>
            <w:vAlign w:val="bottom"/>
          </w:tcPr>
          <w:p w14:paraId="61E16044" w14:textId="77777777" w:rsidR="00307BEF" w:rsidRPr="00B3303A" w:rsidRDefault="00307BEF" w:rsidP="00307BEF">
            <w:pPr>
              <w:pStyle w:val="Default"/>
              <w:rPr>
                <w:sz w:val="20"/>
                <w:szCs w:val="20"/>
              </w:rPr>
            </w:pPr>
            <w:r w:rsidRPr="00B3303A">
              <w:rPr>
                <w:b/>
                <w:bCs/>
                <w:sz w:val="20"/>
                <w:szCs w:val="20"/>
              </w:rPr>
              <w:t xml:space="preserve">   Total </w:t>
            </w:r>
          </w:p>
        </w:tc>
        <w:tc>
          <w:tcPr>
            <w:tcW w:w="821" w:type="pct"/>
            <w:tcBorders>
              <w:top w:val="nil"/>
            </w:tcBorders>
            <w:vAlign w:val="bottom"/>
          </w:tcPr>
          <w:p w14:paraId="1E36FF73" w14:textId="74CB77BB" w:rsidR="00307BEF" w:rsidRPr="00B3303A" w:rsidRDefault="00307BEF" w:rsidP="00307BEF">
            <w:pPr>
              <w:jc w:val="right"/>
              <w:rPr>
                <w:rFonts w:ascii="Arial" w:hAnsi="Arial" w:cs="Arial"/>
                <w:b/>
                <w:bCs/>
                <w:sz w:val="20"/>
                <w:szCs w:val="20"/>
              </w:rPr>
            </w:pPr>
            <w:r w:rsidRPr="4CC6CE91">
              <w:rPr>
                <w:rFonts w:ascii="Arial" w:hAnsi="Arial" w:cs="Arial"/>
                <w:b/>
                <w:bCs/>
                <w:color w:val="000000" w:themeColor="text1"/>
                <w:sz w:val="20"/>
                <w:szCs w:val="20"/>
              </w:rPr>
              <w:t>$74,107,362</w:t>
            </w:r>
          </w:p>
        </w:tc>
        <w:tc>
          <w:tcPr>
            <w:tcW w:w="821" w:type="pct"/>
            <w:tcBorders>
              <w:top w:val="nil"/>
            </w:tcBorders>
            <w:vAlign w:val="bottom"/>
          </w:tcPr>
          <w:p w14:paraId="3EF2A416" w14:textId="3CBD2E08" w:rsidR="00307BEF" w:rsidRPr="00B3303A" w:rsidRDefault="00307BEF" w:rsidP="00307BEF">
            <w:pPr>
              <w:jc w:val="right"/>
              <w:rPr>
                <w:rFonts w:ascii="Arial" w:hAnsi="Arial" w:cs="Arial"/>
                <w:b/>
                <w:bCs/>
                <w:sz w:val="20"/>
                <w:szCs w:val="20"/>
              </w:rPr>
            </w:pPr>
            <w:r w:rsidRPr="4CC6CE91">
              <w:rPr>
                <w:rFonts w:ascii="Arial" w:hAnsi="Arial" w:cs="Arial"/>
                <w:b/>
                <w:bCs/>
                <w:color w:val="000000" w:themeColor="text1"/>
                <w:sz w:val="20"/>
                <w:szCs w:val="20"/>
              </w:rPr>
              <w:t>$76,852,546</w:t>
            </w:r>
          </w:p>
        </w:tc>
        <w:tc>
          <w:tcPr>
            <w:tcW w:w="821" w:type="pct"/>
            <w:tcBorders>
              <w:top w:val="nil"/>
            </w:tcBorders>
            <w:vAlign w:val="bottom"/>
          </w:tcPr>
          <w:p w14:paraId="7D8DBA81" w14:textId="409BAE5D" w:rsidR="00307BEF" w:rsidRPr="00B3303A" w:rsidRDefault="00307BEF" w:rsidP="00307BEF">
            <w:pPr>
              <w:jc w:val="right"/>
              <w:rPr>
                <w:rFonts w:ascii="Arial" w:hAnsi="Arial" w:cs="Arial"/>
                <w:b/>
                <w:bCs/>
                <w:color w:val="000000"/>
                <w:sz w:val="20"/>
                <w:szCs w:val="20"/>
              </w:rPr>
            </w:pPr>
            <w:r w:rsidRPr="4CC6CE91">
              <w:rPr>
                <w:rFonts w:ascii="Arial" w:hAnsi="Arial" w:cs="Arial"/>
                <w:b/>
                <w:bCs/>
                <w:color w:val="000000" w:themeColor="text1"/>
                <w:sz w:val="20"/>
                <w:szCs w:val="20"/>
              </w:rPr>
              <w:t>$76,635,198</w:t>
            </w:r>
          </w:p>
        </w:tc>
        <w:tc>
          <w:tcPr>
            <w:tcW w:w="819" w:type="pct"/>
            <w:tcBorders>
              <w:top w:val="nil"/>
            </w:tcBorders>
            <w:vAlign w:val="bottom"/>
          </w:tcPr>
          <w:p w14:paraId="4138D0E3" w14:textId="67880FFB" w:rsidR="00307BEF" w:rsidRPr="00B3303A" w:rsidRDefault="00307BEF" w:rsidP="00307BEF">
            <w:pPr>
              <w:jc w:val="right"/>
              <w:rPr>
                <w:rFonts w:ascii="Arial" w:hAnsi="Arial" w:cs="Arial"/>
                <w:b/>
                <w:bCs/>
                <w:color w:val="000000"/>
                <w:sz w:val="20"/>
                <w:szCs w:val="20"/>
              </w:rPr>
            </w:pPr>
          </w:p>
        </w:tc>
      </w:tr>
      <w:tr w:rsidR="00307BEF" w:rsidRPr="00B3303A" w14:paraId="355E2FB8" w14:textId="77777777" w:rsidTr="4CC6CE91">
        <w:trPr>
          <w:trHeight w:val="276"/>
        </w:trPr>
        <w:tc>
          <w:tcPr>
            <w:tcW w:w="1718" w:type="pct"/>
            <w:shd w:val="clear" w:color="auto" w:fill="000080"/>
            <w:vAlign w:val="center"/>
          </w:tcPr>
          <w:p w14:paraId="4760F675" w14:textId="77777777" w:rsidR="00307BEF" w:rsidRPr="00B3303A" w:rsidRDefault="00307BEF" w:rsidP="00307BEF">
            <w:pPr>
              <w:pStyle w:val="Default"/>
              <w:rPr>
                <w:color w:val="FFFFFF" w:themeColor="background1"/>
                <w:sz w:val="20"/>
                <w:szCs w:val="20"/>
              </w:rPr>
            </w:pPr>
            <w:r w:rsidRPr="00B3303A">
              <w:rPr>
                <w:b/>
                <w:bCs/>
                <w:color w:val="FFFFFF" w:themeColor="background1"/>
                <w:sz w:val="20"/>
                <w:szCs w:val="20"/>
              </w:rPr>
              <w:t>Expenditures</w:t>
            </w:r>
          </w:p>
        </w:tc>
        <w:tc>
          <w:tcPr>
            <w:tcW w:w="821" w:type="pct"/>
            <w:shd w:val="clear" w:color="auto" w:fill="000080"/>
            <w:vAlign w:val="center"/>
          </w:tcPr>
          <w:p w14:paraId="6DDBB4CD" w14:textId="6B97F593" w:rsidR="00307BEF" w:rsidRPr="00B3303A" w:rsidRDefault="00307BEF" w:rsidP="00307BEF">
            <w:pPr>
              <w:pStyle w:val="Default"/>
              <w:jc w:val="center"/>
              <w:rPr>
                <w:b/>
                <w:bCs/>
                <w:color w:val="FFFFFF" w:themeColor="background1"/>
                <w:sz w:val="20"/>
                <w:szCs w:val="20"/>
              </w:rPr>
            </w:pPr>
            <w:r>
              <w:rPr>
                <w:b/>
                <w:bCs/>
                <w:color w:val="FFFFFF" w:themeColor="background1"/>
                <w:sz w:val="20"/>
                <w:szCs w:val="20"/>
              </w:rPr>
              <w:t>FY 2020</w:t>
            </w:r>
          </w:p>
        </w:tc>
        <w:tc>
          <w:tcPr>
            <w:tcW w:w="821" w:type="pct"/>
            <w:shd w:val="clear" w:color="auto" w:fill="000080"/>
            <w:vAlign w:val="center"/>
          </w:tcPr>
          <w:p w14:paraId="20B4158F" w14:textId="3FB50A2E" w:rsidR="00307BEF" w:rsidRPr="00B3303A" w:rsidRDefault="00307BEF" w:rsidP="00307BEF">
            <w:pPr>
              <w:pStyle w:val="Default"/>
              <w:jc w:val="center"/>
              <w:rPr>
                <w:b/>
                <w:bCs/>
                <w:color w:val="FFFFFF" w:themeColor="background1"/>
                <w:sz w:val="20"/>
                <w:szCs w:val="20"/>
              </w:rPr>
            </w:pPr>
            <w:r>
              <w:rPr>
                <w:b/>
                <w:bCs/>
                <w:color w:val="FFFFFF" w:themeColor="background1"/>
                <w:sz w:val="20"/>
                <w:szCs w:val="20"/>
              </w:rPr>
              <w:t>FY 2021</w:t>
            </w:r>
          </w:p>
        </w:tc>
        <w:tc>
          <w:tcPr>
            <w:tcW w:w="821" w:type="pct"/>
            <w:shd w:val="clear" w:color="auto" w:fill="000080"/>
            <w:vAlign w:val="center"/>
          </w:tcPr>
          <w:p w14:paraId="37ABD6CE" w14:textId="1F545144" w:rsidR="00307BEF" w:rsidRPr="00B3303A" w:rsidRDefault="00307BEF" w:rsidP="00307BEF">
            <w:pPr>
              <w:pStyle w:val="Default"/>
              <w:jc w:val="center"/>
              <w:rPr>
                <w:b/>
                <w:bCs/>
                <w:color w:val="FFFFFF" w:themeColor="background1"/>
                <w:sz w:val="20"/>
                <w:szCs w:val="20"/>
              </w:rPr>
            </w:pPr>
            <w:r>
              <w:rPr>
                <w:b/>
                <w:bCs/>
                <w:color w:val="FFFFFF" w:themeColor="background1"/>
                <w:sz w:val="20"/>
                <w:szCs w:val="20"/>
              </w:rPr>
              <w:t>FY 2022</w:t>
            </w:r>
          </w:p>
        </w:tc>
        <w:tc>
          <w:tcPr>
            <w:tcW w:w="819" w:type="pct"/>
            <w:shd w:val="clear" w:color="auto" w:fill="000080"/>
            <w:vAlign w:val="center"/>
          </w:tcPr>
          <w:p w14:paraId="565C7E18" w14:textId="7E22CE7E" w:rsidR="00307BEF" w:rsidRPr="00B3303A" w:rsidRDefault="00307BEF" w:rsidP="00307BEF">
            <w:pPr>
              <w:pStyle w:val="Default"/>
              <w:jc w:val="center"/>
              <w:rPr>
                <w:b/>
                <w:bCs/>
                <w:color w:val="FFFFFF" w:themeColor="background1"/>
                <w:sz w:val="20"/>
                <w:szCs w:val="20"/>
              </w:rPr>
            </w:pPr>
          </w:p>
        </w:tc>
      </w:tr>
      <w:tr w:rsidR="00307BEF" w:rsidRPr="00B3303A" w14:paraId="7C47E613" w14:textId="77777777" w:rsidTr="4CC6CE91">
        <w:trPr>
          <w:trHeight w:val="288"/>
        </w:trPr>
        <w:tc>
          <w:tcPr>
            <w:tcW w:w="1718" w:type="pct"/>
            <w:vAlign w:val="bottom"/>
          </w:tcPr>
          <w:p w14:paraId="795966E1" w14:textId="77777777" w:rsidR="00307BEF" w:rsidRPr="00B3303A" w:rsidRDefault="00307BEF" w:rsidP="00307BEF">
            <w:pPr>
              <w:pStyle w:val="StyleDefault10pt"/>
              <w:rPr>
                <w:szCs w:val="20"/>
              </w:rPr>
            </w:pPr>
            <w:r w:rsidRPr="00B3303A">
              <w:rPr>
                <w:szCs w:val="20"/>
              </w:rPr>
              <w:t xml:space="preserve">4000 Personnel Costs </w:t>
            </w:r>
          </w:p>
        </w:tc>
        <w:tc>
          <w:tcPr>
            <w:tcW w:w="821" w:type="pct"/>
            <w:vAlign w:val="bottom"/>
          </w:tcPr>
          <w:p w14:paraId="75CCB90D" w14:textId="2F6A23A3" w:rsidR="00307BEF" w:rsidRPr="00B3303A" w:rsidRDefault="00307BEF" w:rsidP="00307BEF">
            <w:pPr>
              <w:jc w:val="right"/>
              <w:rPr>
                <w:rFonts w:ascii="Arial" w:hAnsi="Arial" w:cs="Arial"/>
                <w:color w:val="000000"/>
                <w:sz w:val="20"/>
                <w:szCs w:val="20"/>
              </w:rPr>
            </w:pPr>
            <w:r w:rsidRPr="00B3303A">
              <w:rPr>
                <w:rFonts w:ascii="Arial" w:hAnsi="Arial" w:cs="Arial"/>
                <w:color w:val="000000"/>
                <w:sz w:val="20"/>
                <w:szCs w:val="20"/>
              </w:rPr>
              <w:t>$3,306,576</w:t>
            </w:r>
          </w:p>
        </w:tc>
        <w:tc>
          <w:tcPr>
            <w:tcW w:w="821" w:type="pct"/>
            <w:vAlign w:val="bottom"/>
          </w:tcPr>
          <w:p w14:paraId="49E4168B" w14:textId="15E5E508" w:rsidR="00307BEF" w:rsidRPr="00B3303A" w:rsidRDefault="00307BEF" w:rsidP="00307BEF">
            <w:pPr>
              <w:jc w:val="right"/>
              <w:rPr>
                <w:rFonts w:ascii="Arial" w:hAnsi="Arial" w:cs="Arial"/>
                <w:color w:val="000000"/>
                <w:sz w:val="20"/>
                <w:szCs w:val="20"/>
              </w:rPr>
            </w:pPr>
            <w:r>
              <w:rPr>
                <w:rFonts w:ascii="Arial" w:hAnsi="Arial" w:cs="Arial"/>
                <w:color w:val="000000"/>
                <w:sz w:val="20"/>
                <w:szCs w:val="20"/>
              </w:rPr>
              <w:t xml:space="preserve">$3,349,802 </w:t>
            </w:r>
          </w:p>
        </w:tc>
        <w:tc>
          <w:tcPr>
            <w:tcW w:w="821" w:type="pct"/>
            <w:vAlign w:val="bottom"/>
          </w:tcPr>
          <w:p w14:paraId="4E419ED9" w14:textId="2F901BF4"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$3,580,841</w:t>
            </w:r>
          </w:p>
        </w:tc>
        <w:tc>
          <w:tcPr>
            <w:tcW w:w="819" w:type="pct"/>
            <w:vAlign w:val="bottom"/>
          </w:tcPr>
          <w:p w14:paraId="4677C831" w14:textId="00543AB4" w:rsidR="00307BEF" w:rsidRPr="00B3303A" w:rsidRDefault="00307BEF" w:rsidP="00307BEF">
            <w:pPr>
              <w:jc w:val="right"/>
              <w:rPr>
                <w:rFonts w:ascii="Arial" w:hAnsi="Arial" w:cs="Arial"/>
                <w:color w:val="000000"/>
                <w:sz w:val="20"/>
                <w:szCs w:val="20"/>
              </w:rPr>
            </w:pPr>
          </w:p>
        </w:tc>
      </w:tr>
      <w:tr w:rsidR="00307BEF" w:rsidRPr="00B3303A" w14:paraId="44A1731B" w14:textId="77777777" w:rsidTr="4CC6CE91">
        <w:trPr>
          <w:trHeight w:val="288"/>
        </w:trPr>
        <w:tc>
          <w:tcPr>
            <w:tcW w:w="1718" w:type="pct"/>
            <w:vAlign w:val="bottom"/>
          </w:tcPr>
          <w:p w14:paraId="6D5264C8" w14:textId="77777777" w:rsidR="00307BEF" w:rsidRPr="00B3303A" w:rsidRDefault="00307BEF" w:rsidP="00307BEF">
            <w:pPr>
              <w:pStyle w:val="StyleDefault10pt"/>
              <w:rPr>
                <w:szCs w:val="20"/>
              </w:rPr>
            </w:pPr>
            <w:r w:rsidRPr="00B3303A">
              <w:rPr>
                <w:szCs w:val="20"/>
              </w:rPr>
              <w:t xml:space="preserve">5000 Operating Expenditures </w:t>
            </w:r>
          </w:p>
        </w:tc>
        <w:tc>
          <w:tcPr>
            <w:tcW w:w="821" w:type="pct"/>
            <w:vAlign w:val="bottom"/>
          </w:tcPr>
          <w:p w14:paraId="0CF12C7E" w14:textId="468D3462" w:rsidR="00307BEF" w:rsidRPr="00B3303A" w:rsidRDefault="00307BEF" w:rsidP="00307BEF">
            <w:pPr>
              <w:jc w:val="right"/>
              <w:rPr>
                <w:rFonts w:ascii="Arial" w:hAnsi="Arial" w:cs="Arial"/>
                <w:color w:val="000000"/>
                <w:sz w:val="20"/>
                <w:szCs w:val="20"/>
              </w:rPr>
            </w:pPr>
            <w:r w:rsidRPr="00B3303A">
              <w:rPr>
                <w:rFonts w:ascii="Arial" w:hAnsi="Arial" w:cs="Arial"/>
                <w:color w:val="000000"/>
                <w:sz w:val="20"/>
                <w:szCs w:val="20"/>
              </w:rPr>
              <w:t>1,100,955</w:t>
            </w:r>
          </w:p>
        </w:tc>
        <w:tc>
          <w:tcPr>
            <w:tcW w:w="821" w:type="pct"/>
            <w:vAlign w:val="bottom"/>
          </w:tcPr>
          <w:p w14:paraId="1B449D8A" w14:textId="321F7E27" w:rsidR="00307BEF" w:rsidRPr="00B3303A" w:rsidRDefault="00307BEF" w:rsidP="00307BEF">
            <w:pPr>
              <w:jc w:val="right"/>
              <w:rPr>
                <w:rFonts w:ascii="Arial" w:hAnsi="Arial" w:cs="Arial"/>
                <w:color w:val="000000"/>
                <w:sz w:val="20"/>
                <w:szCs w:val="20"/>
              </w:rPr>
            </w:pPr>
            <w:r>
              <w:rPr>
                <w:rFonts w:ascii="Arial" w:hAnsi="Arial" w:cs="Arial"/>
                <w:color w:val="000000"/>
                <w:sz w:val="20"/>
                <w:szCs w:val="20"/>
              </w:rPr>
              <w:t>1,008,203</w:t>
            </w:r>
          </w:p>
        </w:tc>
        <w:tc>
          <w:tcPr>
            <w:tcW w:w="821" w:type="pct"/>
            <w:vAlign w:val="bottom"/>
          </w:tcPr>
          <w:p w14:paraId="325C80B7" w14:textId="7D375CE1"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2,498,129</w:t>
            </w:r>
          </w:p>
        </w:tc>
        <w:tc>
          <w:tcPr>
            <w:tcW w:w="819" w:type="pct"/>
            <w:vAlign w:val="bottom"/>
          </w:tcPr>
          <w:p w14:paraId="21C2AE32" w14:textId="7F3518F9" w:rsidR="00307BEF" w:rsidRPr="00B3303A" w:rsidRDefault="00307BEF" w:rsidP="00307BEF">
            <w:pPr>
              <w:jc w:val="right"/>
              <w:rPr>
                <w:rFonts w:ascii="Arial" w:hAnsi="Arial" w:cs="Arial"/>
                <w:color w:val="000000"/>
                <w:sz w:val="20"/>
                <w:szCs w:val="20"/>
              </w:rPr>
            </w:pPr>
          </w:p>
        </w:tc>
      </w:tr>
      <w:tr w:rsidR="00307BEF" w:rsidRPr="00B3303A" w14:paraId="037B882B" w14:textId="77777777" w:rsidTr="00475A9A">
        <w:trPr>
          <w:trHeight w:val="288"/>
        </w:trPr>
        <w:tc>
          <w:tcPr>
            <w:tcW w:w="1718" w:type="pct"/>
            <w:vAlign w:val="bottom"/>
          </w:tcPr>
          <w:p w14:paraId="00C99C78" w14:textId="77777777" w:rsidR="00307BEF" w:rsidRPr="00B3303A" w:rsidRDefault="00307BEF" w:rsidP="00307BEF">
            <w:pPr>
              <w:pStyle w:val="StyleDefault10pt"/>
              <w:rPr>
                <w:szCs w:val="20"/>
              </w:rPr>
            </w:pPr>
            <w:r w:rsidRPr="00B3303A">
              <w:rPr>
                <w:szCs w:val="20"/>
              </w:rPr>
              <w:t xml:space="preserve">6000 Capital Outlay </w:t>
            </w:r>
          </w:p>
        </w:tc>
        <w:tc>
          <w:tcPr>
            <w:tcW w:w="821" w:type="pct"/>
            <w:tcBorders>
              <w:bottom w:val="nil"/>
            </w:tcBorders>
            <w:vAlign w:val="bottom"/>
          </w:tcPr>
          <w:p w14:paraId="518449E9" w14:textId="4FF32537" w:rsidR="00307BEF" w:rsidRPr="00B3303A" w:rsidRDefault="00307BEF" w:rsidP="00307BEF">
            <w:pPr>
              <w:jc w:val="right"/>
              <w:rPr>
                <w:rFonts w:ascii="Arial" w:hAnsi="Arial" w:cs="Arial"/>
                <w:color w:val="000000"/>
                <w:sz w:val="20"/>
                <w:szCs w:val="20"/>
              </w:rPr>
            </w:pPr>
            <w:r w:rsidRPr="00B3303A">
              <w:rPr>
                <w:rFonts w:ascii="Arial" w:hAnsi="Arial" w:cs="Arial"/>
                <w:color w:val="000000"/>
                <w:sz w:val="20"/>
                <w:szCs w:val="20"/>
              </w:rPr>
              <w:t>148,270</w:t>
            </w:r>
          </w:p>
        </w:tc>
        <w:tc>
          <w:tcPr>
            <w:tcW w:w="821" w:type="pct"/>
            <w:tcBorders>
              <w:bottom w:val="nil"/>
            </w:tcBorders>
            <w:vAlign w:val="bottom"/>
          </w:tcPr>
          <w:p w14:paraId="5B1450D4" w14:textId="3DE78406" w:rsidR="00307BEF" w:rsidRPr="00B3303A" w:rsidRDefault="00307BEF" w:rsidP="00307BEF">
            <w:pPr>
              <w:jc w:val="right"/>
              <w:rPr>
                <w:rFonts w:ascii="Arial" w:hAnsi="Arial" w:cs="Arial"/>
                <w:color w:val="000000"/>
                <w:sz w:val="20"/>
                <w:szCs w:val="20"/>
              </w:rPr>
            </w:pPr>
            <w:r>
              <w:rPr>
                <w:rFonts w:ascii="Arial" w:hAnsi="Arial" w:cs="Arial"/>
                <w:color w:val="000000"/>
                <w:sz w:val="20"/>
                <w:szCs w:val="20"/>
              </w:rPr>
              <w:t>181,419</w:t>
            </w:r>
          </w:p>
        </w:tc>
        <w:tc>
          <w:tcPr>
            <w:tcW w:w="821" w:type="pct"/>
            <w:tcBorders>
              <w:bottom w:val="nil"/>
            </w:tcBorders>
            <w:vAlign w:val="bottom"/>
          </w:tcPr>
          <w:p w14:paraId="356DAA83" w14:textId="75C0BA3C" w:rsidR="00307BEF" w:rsidRPr="00B3303A" w:rsidRDefault="00307BEF" w:rsidP="00307BEF">
            <w:pPr>
              <w:jc w:val="right"/>
              <w:rPr>
                <w:rFonts w:ascii="Arial" w:hAnsi="Arial" w:cs="Arial"/>
                <w:color w:val="000000"/>
                <w:sz w:val="20"/>
                <w:szCs w:val="20"/>
              </w:rPr>
            </w:pPr>
            <w:r w:rsidRPr="4CC6CE91">
              <w:rPr>
                <w:rFonts w:ascii="Arial" w:hAnsi="Arial" w:cs="Arial"/>
                <w:color w:val="000000" w:themeColor="text1"/>
                <w:sz w:val="20"/>
                <w:szCs w:val="20"/>
              </w:rPr>
              <w:t>174,404</w:t>
            </w:r>
          </w:p>
        </w:tc>
        <w:tc>
          <w:tcPr>
            <w:tcW w:w="819" w:type="pct"/>
            <w:tcBorders>
              <w:bottom w:val="nil"/>
            </w:tcBorders>
            <w:vAlign w:val="bottom"/>
          </w:tcPr>
          <w:p w14:paraId="4B3320BB" w14:textId="00126980" w:rsidR="00307BEF" w:rsidRPr="00B3303A" w:rsidRDefault="00307BEF" w:rsidP="00307BEF">
            <w:pPr>
              <w:jc w:val="right"/>
              <w:rPr>
                <w:rFonts w:ascii="Arial" w:hAnsi="Arial" w:cs="Arial"/>
                <w:color w:val="000000"/>
                <w:sz w:val="20"/>
                <w:szCs w:val="20"/>
              </w:rPr>
            </w:pPr>
          </w:p>
        </w:tc>
      </w:tr>
      <w:tr w:rsidR="00307BEF" w:rsidRPr="00B3303A" w14:paraId="5DA853D3" w14:textId="77777777" w:rsidTr="00475A9A">
        <w:trPr>
          <w:trHeight w:val="288"/>
        </w:trPr>
        <w:tc>
          <w:tcPr>
            <w:tcW w:w="1718" w:type="pct"/>
            <w:vAlign w:val="bottom"/>
          </w:tcPr>
          <w:p w14:paraId="3523921E" w14:textId="77777777" w:rsidR="00307BEF" w:rsidRPr="00B3303A" w:rsidRDefault="00307BEF" w:rsidP="00307BEF">
            <w:pPr>
              <w:pStyle w:val="StyleDefault10pt"/>
              <w:rPr>
                <w:szCs w:val="20"/>
              </w:rPr>
            </w:pPr>
            <w:r w:rsidRPr="00B3303A">
              <w:rPr>
                <w:szCs w:val="20"/>
              </w:rPr>
              <w:t xml:space="preserve">7000 Trustee/Benefit Payments </w:t>
            </w:r>
          </w:p>
        </w:tc>
        <w:tc>
          <w:tcPr>
            <w:tcW w:w="821" w:type="pct"/>
            <w:tcBorders>
              <w:top w:val="nil"/>
              <w:bottom w:val="nil"/>
            </w:tcBorders>
            <w:vAlign w:val="bottom"/>
          </w:tcPr>
          <w:p w14:paraId="30A96117" w14:textId="7DB58AC0" w:rsidR="00307BEF" w:rsidRPr="00475A9A" w:rsidRDefault="00307BEF" w:rsidP="00307BEF">
            <w:pPr>
              <w:jc w:val="right"/>
              <w:rPr>
                <w:rFonts w:ascii="Arial" w:hAnsi="Arial" w:cs="Arial"/>
                <w:color w:val="000000"/>
                <w:sz w:val="20"/>
                <w:szCs w:val="20"/>
                <w:u w:val="single"/>
              </w:rPr>
            </w:pPr>
            <w:r w:rsidRPr="00475A9A">
              <w:rPr>
                <w:rFonts w:ascii="Arial" w:hAnsi="Arial" w:cs="Arial"/>
                <w:color w:val="000000"/>
                <w:sz w:val="20"/>
                <w:szCs w:val="20"/>
                <w:u w:val="single"/>
              </w:rPr>
              <w:t>72,264,278</w:t>
            </w:r>
          </w:p>
        </w:tc>
        <w:tc>
          <w:tcPr>
            <w:tcW w:w="821" w:type="pct"/>
            <w:tcBorders>
              <w:top w:val="nil"/>
              <w:bottom w:val="nil"/>
            </w:tcBorders>
            <w:vAlign w:val="bottom"/>
          </w:tcPr>
          <w:p w14:paraId="6CFE812D" w14:textId="3898EACD" w:rsidR="00307BEF" w:rsidRPr="00475A9A" w:rsidRDefault="00307BEF" w:rsidP="00307BEF">
            <w:pPr>
              <w:jc w:val="right"/>
              <w:rPr>
                <w:rFonts w:ascii="Arial" w:hAnsi="Arial" w:cs="Arial"/>
                <w:color w:val="000000"/>
                <w:sz w:val="20"/>
                <w:szCs w:val="20"/>
                <w:u w:val="single"/>
              </w:rPr>
            </w:pPr>
            <w:r w:rsidRPr="00475A9A">
              <w:rPr>
                <w:rFonts w:ascii="Arial" w:hAnsi="Arial" w:cs="Arial"/>
                <w:color w:val="000000"/>
                <w:sz w:val="20"/>
                <w:szCs w:val="20"/>
                <w:u w:val="single"/>
              </w:rPr>
              <w:t>72,503,422</w:t>
            </w:r>
          </w:p>
        </w:tc>
        <w:tc>
          <w:tcPr>
            <w:tcW w:w="821" w:type="pct"/>
            <w:tcBorders>
              <w:top w:val="nil"/>
              <w:bottom w:val="nil"/>
            </w:tcBorders>
            <w:vAlign w:val="bottom"/>
          </w:tcPr>
          <w:p w14:paraId="7AAE82AC" w14:textId="5D748879" w:rsidR="00307BEF" w:rsidRPr="00475A9A" w:rsidRDefault="00307BEF" w:rsidP="00307BEF">
            <w:pPr>
              <w:jc w:val="right"/>
              <w:rPr>
                <w:rFonts w:ascii="Arial" w:hAnsi="Arial" w:cs="Arial"/>
                <w:color w:val="000000"/>
                <w:sz w:val="20"/>
                <w:szCs w:val="20"/>
                <w:u w:val="single"/>
              </w:rPr>
            </w:pPr>
            <w:r w:rsidRPr="00475A9A">
              <w:rPr>
                <w:rFonts w:ascii="Arial" w:hAnsi="Arial" w:cs="Arial"/>
                <w:color w:val="000000" w:themeColor="text1"/>
                <w:sz w:val="20"/>
                <w:szCs w:val="20"/>
                <w:u w:val="single"/>
              </w:rPr>
              <w:t>70,381,824</w:t>
            </w:r>
          </w:p>
        </w:tc>
        <w:tc>
          <w:tcPr>
            <w:tcW w:w="819" w:type="pct"/>
            <w:tcBorders>
              <w:top w:val="nil"/>
              <w:bottom w:val="nil"/>
            </w:tcBorders>
            <w:vAlign w:val="bottom"/>
          </w:tcPr>
          <w:p w14:paraId="13D7ECE9" w14:textId="39B87CDF" w:rsidR="00307BEF" w:rsidRPr="00475A9A" w:rsidRDefault="00307BEF" w:rsidP="00307BEF">
            <w:pPr>
              <w:jc w:val="right"/>
              <w:rPr>
                <w:rFonts w:ascii="Arial" w:hAnsi="Arial" w:cs="Arial"/>
                <w:color w:val="000000"/>
                <w:sz w:val="20"/>
                <w:szCs w:val="20"/>
                <w:u w:val="single"/>
              </w:rPr>
            </w:pPr>
          </w:p>
        </w:tc>
      </w:tr>
      <w:tr w:rsidR="00307BEF" w:rsidRPr="00B3303A" w14:paraId="3DC8F84D" w14:textId="77777777" w:rsidTr="00475A9A">
        <w:trPr>
          <w:trHeight w:val="276"/>
        </w:trPr>
        <w:tc>
          <w:tcPr>
            <w:tcW w:w="1718" w:type="pct"/>
            <w:vAlign w:val="bottom"/>
          </w:tcPr>
          <w:p w14:paraId="1DA4B3CD" w14:textId="77777777" w:rsidR="00307BEF" w:rsidRPr="00B3303A" w:rsidRDefault="00307BEF" w:rsidP="00307BEF">
            <w:pPr>
              <w:pStyle w:val="Default"/>
              <w:rPr>
                <w:sz w:val="20"/>
                <w:szCs w:val="20"/>
              </w:rPr>
            </w:pPr>
            <w:r w:rsidRPr="00B3303A">
              <w:rPr>
                <w:b/>
                <w:bCs/>
                <w:sz w:val="20"/>
                <w:szCs w:val="20"/>
              </w:rPr>
              <w:t xml:space="preserve">   Total </w:t>
            </w:r>
          </w:p>
        </w:tc>
        <w:tc>
          <w:tcPr>
            <w:tcW w:w="821" w:type="pct"/>
            <w:tcBorders>
              <w:top w:val="nil"/>
            </w:tcBorders>
            <w:vAlign w:val="bottom"/>
          </w:tcPr>
          <w:p w14:paraId="52927366" w14:textId="5AA4672B" w:rsidR="00307BEF" w:rsidRPr="00B3303A" w:rsidRDefault="00307BEF" w:rsidP="00307BEF">
            <w:pPr>
              <w:jc w:val="right"/>
              <w:rPr>
                <w:rFonts w:ascii="Arial" w:hAnsi="Arial" w:cs="Arial"/>
                <w:b/>
                <w:bCs/>
                <w:color w:val="000000"/>
                <w:sz w:val="20"/>
                <w:szCs w:val="20"/>
              </w:rPr>
            </w:pPr>
            <w:r w:rsidRPr="00B3303A">
              <w:rPr>
                <w:rFonts w:ascii="Arial" w:hAnsi="Arial" w:cs="Arial"/>
                <w:b/>
                <w:color w:val="000000"/>
                <w:sz w:val="20"/>
                <w:szCs w:val="20"/>
              </w:rPr>
              <w:t>$76,820,079</w:t>
            </w:r>
          </w:p>
        </w:tc>
        <w:tc>
          <w:tcPr>
            <w:tcW w:w="821" w:type="pct"/>
            <w:tcBorders>
              <w:top w:val="nil"/>
            </w:tcBorders>
            <w:vAlign w:val="bottom"/>
          </w:tcPr>
          <w:p w14:paraId="5761E52C" w14:textId="7016B4F5" w:rsidR="00307BEF" w:rsidRPr="00B3303A" w:rsidRDefault="00307BEF" w:rsidP="00307BEF">
            <w:pPr>
              <w:jc w:val="right"/>
              <w:rPr>
                <w:rFonts w:ascii="Arial" w:hAnsi="Arial" w:cs="Arial"/>
                <w:b/>
                <w:bCs/>
                <w:color w:val="000000"/>
                <w:sz w:val="20"/>
                <w:szCs w:val="20"/>
              </w:rPr>
            </w:pPr>
            <w:r>
              <w:rPr>
                <w:rFonts w:ascii="Arial" w:hAnsi="Arial" w:cs="Arial"/>
                <w:b/>
                <w:color w:val="000000"/>
                <w:sz w:val="20"/>
                <w:szCs w:val="20"/>
              </w:rPr>
              <w:t>$77,042,847</w:t>
            </w:r>
          </w:p>
        </w:tc>
        <w:tc>
          <w:tcPr>
            <w:tcW w:w="821" w:type="pct"/>
            <w:tcBorders>
              <w:top w:val="nil"/>
            </w:tcBorders>
            <w:vAlign w:val="bottom"/>
          </w:tcPr>
          <w:p w14:paraId="61A1B002" w14:textId="32292120" w:rsidR="00307BEF" w:rsidRPr="00B3303A" w:rsidRDefault="00307BEF" w:rsidP="00307BEF">
            <w:pPr>
              <w:jc w:val="right"/>
              <w:rPr>
                <w:rFonts w:ascii="Arial" w:hAnsi="Arial" w:cs="Arial"/>
                <w:b/>
                <w:color w:val="000000"/>
                <w:sz w:val="20"/>
                <w:szCs w:val="20"/>
              </w:rPr>
            </w:pPr>
            <w:r w:rsidRPr="4CC6CE91">
              <w:rPr>
                <w:rFonts w:ascii="Arial" w:hAnsi="Arial" w:cs="Arial"/>
                <w:b/>
                <w:bCs/>
                <w:color w:val="000000" w:themeColor="text1"/>
                <w:sz w:val="20"/>
                <w:szCs w:val="20"/>
              </w:rPr>
              <w:t>$76,635,198</w:t>
            </w:r>
          </w:p>
        </w:tc>
        <w:tc>
          <w:tcPr>
            <w:tcW w:w="819" w:type="pct"/>
            <w:tcBorders>
              <w:top w:val="nil"/>
            </w:tcBorders>
            <w:vAlign w:val="bottom"/>
          </w:tcPr>
          <w:p w14:paraId="12EA3391" w14:textId="339FE416" w:rsidR="00307BEF" w:rsidRPr="00B3303A" w:rsidRDefault="00307BEF" w:rsidP="00307BEF">
            <w:pPr>
              <w:jc w:val="right"/>
              <w:rPr>
                <w:rFonts w:ascii="Arial" w:hAnsi="Arial" w:cs="Arial"/>
                <w:b/>
                <w:bCs/>
                <w:color w:val="000000"/>
                <w:sz w:val="20"/>
                <w:szCs w:val="20"/>
              </w:rPr>
            </w:pPr>
          </w:p>
        </w:tc>
      </w:tr>
    </w:tbl>
    <w:p w14:paraId="61EA6568" w14:textId="757E1879" w:rsidR="00D12F5A" w:rsidRPr="00B3303A" w:rsidRDefault="737D8062" w:rsidP="00C540EA">
      <w:pPr>
        <w:jc w:val="both"/>
        <w:rPr>
          <w:rFonts w:ascii="Arial" w:hAnsi="Arial" w:cs="Arial"/>
          <w:sz w:val="20"/>
          <w:szCs w:val="20"/>
        </w:rPr>
      </w:pPr>
      <w:r w:rsidRPr="4CC6CE91">
        <w:rPr>
          <w:rFonts w:ascii="Arial" w:hAnsi="Arial" w:cs="Arial"/>
          <w:sz w:val="20"/>
          <w:szCs w:val="20"/>
        </w:rPr>
        <w:t>*All values are for budgeted fiscal years (BFY) to eliminate timing issues from encumbrances. Federal grants are two-year funding sources based on reimbursements within the period. BFY 2018 was first year without re-appropriation authority for general funds and thus T/B payments were higher from utilization of prior appropriation.</w:t>
      </w:r>
    </w:p>
    <w:p w14:paraId="04A1F094" w14:textId="5A484CD9" w:rsidR="6A3B6469" w:rsidRDefault="6A3B6469" w:rsidP="4CC6CE91">
      <w:pPr>
        <w:jc w:val="both"/>
        <w:rPr>
          <w:rFonts w:ascii="Arial" w:hAnsi="Arial" w:cs="Arial"/>
        </w:rPr>
      </w:pPr>
      <w:r w:rsidRPr="4CC6CE91">
        <w:rPr>
          <w:rFonts w:ascii="Arial" w:hAnsi="Arial" w:cs="Arial"/>
          <w:sz w:val="20"/>
          <w:szCs w:val="20"/>
        </w:rPr>
        <w:t>**All values now include continuous appropriations.</w:t>
      </w:r>
    </w:p>
    <w:p w14:paraId="784132E6" w14:textId="77777777" w:rsidR="00B3303A" w:rsidRDefault="00B3303A" w:rsidP="005164F7">
      <w:pPr>
        <w:rPr>
          <w:rFonts w:ascii="Arial" w:hAnsi="Arial" w:cs="Arial"/>
          <w:b/>
        </w:rPr>
      </w:pPr>
    </w:p>
    <w:p w14:paraId="784AA5E0" w14:textId="77777777" w:rsidR="00AE467C" w:rsidRDefault="00103562" w:rsidP="005164F7">
      <w:pPr>
        <w:rPr>
          <w:rFonts w:ascii="Arial" w:hAnsi="Arial" w:cs="Arial"/>
          <w:b/>
        </w:rPr>
      </w:pPr>
      <w:r>
        <w:rPr>
          <w:rFonts w:ascii="Arial" w:hAnsi="Arial" w:cs="Arial"/>
          <w:b/>
        </w:rPr>
        <w:t>Profile of Cases Managed and/or Key Services Provided</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2"/>
        <w:gridCol w:w="1187"/>
        <w:gridCol w:w="1189"/>
        <w:gridCol w:w="1189"/>
        <w:gridCol w:w="1187"/>
      </w:tblGrid>
      <w:tr w:rsidR="005E5A6E" w14:paraId="3939F9BD" w14:textId="77777777" w:rsidTr="00307BEF">
        <w:trPr>
          <w:trHeight w:val="242"/>
          <w:tblHeader/>
        </w:trPr>
        <w:tc>
          <w:tcPr>
            <w:tcW w:w="2641" w:type="pct"/>
            <w:shd w:val="clear" w:color="auto" w:fill="000080"/>
          </w:tcPr>
          <w:p w14:paraId="62CA7A2F" w14:textId="77777777" w:rsidR="005E5A6E" w:rsidRDefault="005E5A6E" w:rsidP="005164F7">
            <w:pPr>
              <w:jc w:val="center"/>
              <w:rPr>
                <w:rFonts w:ascii="Arial" w:hAnsi="Arial" w:cs="Arial"/>
                <w:b/>
                <w:bCs/>
                <w:color w:val="FFFFFF"/>
                <w:sz w:val="20"/>
              </w:rPr>
            </w:pPr>
            <w:r>
              <w:rPr>
                <w:rFonts w:ascii="Arial" w:hAnsi="Arial" w:cs="Arial"/>
                <w:b/>
                <w:bCs/>
                <w:color w:val="FFFFFF"/>
                <w:sz w:val="20"/>
              </w:rPr>
              <w:t>Cases Managed and/or Key Services Provided</w:t>
            </w:r>
          </w:p>
        </w:tc>
        <w:tc>
          <w:tcPr>
            <w:tcW w:w="589" w:type="pct"/>
            <w:shd w:val="clear" w:color="auto" w:fill="000080"/>
            <w:vAlign w:val="center"/>
          </w:tcPr>
          <w:p w14:paraId="0CBE4800" w14:textId="017DD72B" w:rsidR="005E5A6E" w:rsidRDefault="00307BEF" w:rsidP="00021762">
            <w:pPr>
              <w:jc w:val="center"/>
              <w:rPr>
                <w:rFonts w:ascii="Arial" w:hAnsi="Arial" w:cs="Arial"/>
                <w:b/>
                <w:bCs/>
                <w:color w:val="FFFFFF"/>
                <w:sz w:val="20"/>
              </w:rPr>
            </w:pPr>
            <w:r>
              <w:rPr>
                <w:rFonts w:ascii="Arial" w:hAnsi="Arial" w:cs="Arial"/>
                <w:b/>
                <w:bCs/>
                <w:color w:val="FFFFFF"/>
                <w:sz w:val="20"/>
              </w:rPr>
              <w:t>FY 2019</w:t>
            </w:r>
          </w:p>
        </w:tc>
        <w:tc>
          <w:tcPr>
            <w:tcW w:w="590" w:type="pct"/>
            <w:shd w:val="clear" w:color="auto" w:fill="000080"/>
            <w:vAlign w:val="center"/>
          </w:tcPr>
          <w:p w14:paraId="7ADCE331" w14:textId="2BD82C88" w:rsidR="005E5A6E" w:rsidRDefault="00307BEF" w:rsidP="00021762">
            <w:pPr>
              <w:jc w:val="center"/>
              <w:rPr>
                <w:rFonts w:ascii="Arial" w:hAnsi="Arial" w:cs="Arial"/>
                <w:b/>
                <w:bCs/>
                <w:color w:val="FFFFFF"/>
                <w:sz w:val="20"/>
              </w:rPr>
            </w:pPr>
            <w:r>
              <w:rPr>
                <w:rFonts w:ascii="Arial" w:hAnsi="Arial" w:cs="Arial"/>
                <w:b/>
                <w:bCs/>
                <w:color w:val="FFFFFF"/>
                <w:sz w:val="20"/>
              </w:rPr>
              <w:t>FY 2020</w:t>
            </w:r>
          </w:p>
        </w:tc>
        <w:tc>
          <w:tcPr>
            <w:tcW w:w="590" w:type="pct"/>
            <w:shd w:val="clear" w:color="auto" w:fill="000080"/>
          </w:tcPr>
          <w:p w14:paraId="0704BBAD" w14:textId="035A91F1" w:rsidR="005E5A6E" w:rsidRDefault="00307BEF" w:rsidP="00021762">
            <w:pPr>
              <w:jc w:val="center"/>
              <w:rPr>
                <w:rFonts w:ascii="Arial" w:hAnsi="Arial" w:cs="Arial"/>
                <w:b/>
                <w:bCs/>
                <w:color w:val="FFFFFF"/>
                <w:sz w:val="20"/>
              </w:rPr>
            </w:pPr>
            <w:r>
              <w:rPr>
                <w:rFonts w:ascii="Arial" w:hAnsi="Arial" w:cs="Arial"/>
                <w:b/>
                <w:bCs/>
                <w:color w:val="FFFFFF"/>
                <w:sz w:val="20"/>
              </w:rPr>
              <w:t>FY 2021</w:t>
            </w:r>
          </w:p>
        </w:tc>
        <w:tc>
          <w:tcPr>
            <w:tcW w:w="589" w:type="pct"/>
            <w:shd w:val="clear" w:color="auto" w:fill="000080"/>
          </w:tcPr>
          <w:p w14:paraId="5BA08C7A" w14:textId="1A196158" w:rsidR="005E5A6E" w:rsidRDefault="00307BEF" w:rsidP="009D3D51">
            <w:pPr>
              <w:jc w:val="center"/>
              <w:rPr>
                <w:rFonts w:ascii="Arial" w:hAnsi="Arial" w:cs="Arial"/>
                <w:b/>
                <w:bCs/>
                <w:color w:val="FFFFFF"/>
                <w:sz w:val="20"/>
              </w:rPr>
            </w:pPr>
            <w:r>
              <w:rPr>
                <w:rFonts w:ascii="Arial" w:hAnsi="Arial" w:cs="Arial"/>
                <w:b/>
                <w:bCs/>
                <w:color w:val="FFFFFF"/>
                <w:sz w:val="20"/>
              </w:rPr>
              <w:t>FY 2022</w:t>
            </w:r>
          </w:p>
        </w:tc>
      </w:tr>
      <w:tr w:rsidR="00307BEF" w14:paraId="53C169A3" w14:textId="77777777" w:rsidTr="00307BEF">
        <w:trPr>
          <w:trHeight w:val="553"/>
        </w:trPr>
        <w:tc>
          <w:tcPr>
            <w:tcW w:w="2641" w:type="pct"/>
            <w:vAlign w:val="center"/>
          </w:tcPr>
          <w:p w14:paraId="002EA433" w14:textId="5640F96C" w:rsidR="00307BEF" w:rsidRPr="00003FE1" w:rsidRDefault="00307BEF" w:rsidP="00307BEF">
            <w:pPr>
              <w:rPr>
                <w:rFonts w:ascii="Arial" w:hAnsi="Arial" w:cs="Arial"/>
                <w:sz w:val="20"/>
                <w:szCs w:val="20"/>
              </w:rPr>
            </w:pPr>
            <w:r w:rsidRPr="4CC6CE91">
              <w:rPr>
                <w:rFonts w:ascii="Arial" w:hAnsi="Arial" w:cs="Arial"/>
                <w:sz w:val="20"/>
                <w:szCs w:val="20"/>
              </w:rPr>
              <w:t>Number of Students Enrolled in High School CTE Programs (headcount)</w:t>
            </w:r>
            <w:r>
              <w:rPr>
                <w:rFonts w:ascii="Arial" w:hAnsi="Arial" w:cs="Arial"/>
                <w:sz w:val="20"/>
                <w:szCs w:val="20"/>
              </w:rPr>
              <w:t>*</w:t>
            </w:r>
            <w:r w:rsidRPr="4CC6CE91">
              <w:rPr>
                <w:rFonts w:ascii="Arial" w:hAnsi="Arial" w:cs="Arial"/>
                <w:sz w:val="20"/>
                <w:szCs w:val="20"/>
              </w:rPr>
              <w:t xml:space="preserve"> </w:t>
            </w:r>
          </w:p>
        </w:tc>
        <w:tc>
          <w:tcPr>
            <w:tcW w:w="589" w:type="pct"/>
            <w:shd w:val="clear" w:color="auto" w:fill="auto"/>
            <w:vAlign w:val="center"/>
          </w:tcPr>
          <w:p w14:paraId="185DF885" w14:textId="18D8B236" w:rsidR="00307BEF" w:rsidRPr="00003FE1" w:rsidRDefault="00307BEF" w:rsidP="00307BEF">
            <w:pPr>
              <w:jc w:val="center"/>
              <w:rPr>
                <w:rFonts w:ascii="Arial" w:hAnsi="Arial" w:cs="Arial"/>
                <w:sz w:val="20"/>
                <w:szCs w:val="20"/>
              </w:rPr>
            </w:pPr>
            <w:r>
              <w:rPr>
                <w:rFonts w:ascii="Arial" w:hAnsi="Arial" w:cs="Arial"/>
                <w:sz w:val="20"/>
                <w:szCs w:val="20"/>
              </w:rPr>
              <w:t>114,142</w:t>
            </w:r>
          </w:p>
        </w:tc>
        <w:tc>
          <w:tcPr>
            <w:tcW w:w="590" w:type="pct"/>
            <w:vAlign w:val="center"/>
          </w:tcPr>
          <w:p w14:paraId="6813BE70" w14:textId="4C398880" w:rsidR="00307BEF" w:rsidRPr="00003FE1" w:rsidRDefault="00307BEF" w:rsidP="00307BEF">
            <w:pPr>
              <w:jc w:val="center"/>
              <w:rPr>
                <w:rFonts w:ascii="Arial" w:hAnsi="Arial" w:cs="Arial"/>
                <w:sz w:val="20"/>
                <w:szCs w:val="20"/>
              </w:rPr>
            </w:pPr>
            <w:r w:rsidRPr="00522B57">
              <w:rPr>
                <w:rFonts w:ascii="Arial" w:hAnsi="Arial" w:cs="Arial"/>
                <w:sz w:val="20"/>
                <w:szCs w:val="20"/>
              </w:rPr>
              <w:t>114,</w:t>
            </w:r>
            <w:r>
              <w:rPr>
                <w:rFonts w:ascii="Arial" w:hAnsi="Arial" w:cs="Arial"/>
                <w:sz w:val="20"/>
                <w:szCs w:val="20"/>
              </w:rPr>
              <w:t>606</w:t>
            </w:r>
          </w:p>
        </w:tc>
        <w:tc>
          <w:tcPr>
            <w:tcW w:w="590" w:type="pct"/>
            <w:shd w:val="clear" w:color="auto" w:fill="auto"/>
            <w:vAlign w:val="center"/>
          </w:tcPr>
          <w:p w14:paraId="587DB8C4" w14:textId="563669E5" w:rsidR="00307BEF" w:rsidRPr="00AD77E1" w:rsidRDefault="00307BEF" w:rsidP="00307BEF">
            <w:pPr>
              <w:jc w:val="center"/>
              <w:rPr>
                <w:rFonts w:ascii="Arial" w:hAnsi="Arial" w:cs="Arial"/>
                <w:sz w:val="20"/>
                <w:szCs w:val="20"/>
              </w:rPr>
            </w:pPr>
            <w:r w:rsidRPr="00973082">
              <w:rPr>
                <w:rFonts w:ascii="Arial" w:hAnsi="Arial" w:cs="Arial"/>
                <w:sz w:val="20"/>
                <w:szCs w:val="20"/>
              </w:rPr>
              <w:t>117,003</w:t>
            </w:r>
          </w:p>
        </w:tc>
        <w:tc>
          <w:tcPr>
            <w:tcW w:w="589" w:type="pct"/>
            <w:vAlign w:val="center"/>
          </w:tcPr>
          <w:p w14:paraId="6A2620B3" w14:textId="03A1710F" w:rsidR="00307BEF" w:rsidRPr="00AD77E1" w:rsidRDefault="00307BEF" w:rsidP="00307BEF">
            <w:pPr>
              <w:jc w:val="center"/>
              <w:rPr>
                <w:rFonts w:ascii="Arial" w:hAnsi="Arial" w:cs="Arial"/>
                <w:sz w:val="20"/>
                <w:szCs w:val="20"/>
              </w:rPr>
            </w:pPr>
          </w:p>
        </w:tc>
      </w:tr>
      <w:tr w:rsidR="00307BEF" w14:paraId="5E9E253C" w14:textId="2465011A" w:rsidTr="00307BEF">
        <w:trPr>
          <w:trHeight w:val="486"/>
        </w:trPr>
        <w:tc>
          <w:tcPr>
            <w:tcW w:w="2641" w:type="pct"/>
            <w:vAlign w:val="center"/>
          </w:tcPr>
          <w:p w14:paraId="3DFE80A9" w14:textId="5ABBA00C" w:rsidR="00307BEF" w:rsidRPr="00003FE1" w:rsidRDefault="00307BEF" w:rsidP="00307BEF">
            <w:pPr>
              <w:rPr>
                <w:rFonts w:ascii="Arial" w:hAnsi="Arial" w:cs="Arial"/>
                <w:sz w:val="20"/>
                <w:szCs w:val="20"/>
              </w:rPr>
            </w:pPr>
            <w:r w:rsidRPr="004D5998">
              <w:rPr>
                <w:rFonts w:ascii="Arial" w:hAnsi="Arial" w:cs="Arial"/>
                <w:sz w:val="20"/>
                <w:szCs w:val="20"/>
              </w:rPr>
              <w:t>Number of Students Enrolled in Postsecondary CTE Programs (headcount)</w:t>
            </w:r>
          </w:p>
        </w:tc>
        <w:tc>
          <w:tcPr>
            <w:tcW w:w="589" w:type="pct"/>
            <w:shd w:val="clear" w:color="auto" w:fill="auto"/>
            <w:vAlign w:val="center"/>
          </w:tcPr>
          <w:p w14:paraId="679AA331" w14:textId="00895667" w:rsidR="00307BEF" w:rsidRPr="00003FE1" w:rsidRDefault="00307BEF" w:rsidP="00307BEF">
            <w:pPr>
              <w:jc w:val="center"/>
              <w:rPr>
                <w:rFonts w:ascii="Arial" w:hAnsi="Arial" w:cs="Arial"/>
                <w:sz w:val="20"/>
                <w:szCs w:val="20"/>
              </w:rPr>
            </w:pPr>
            <w:r w:rsidRPr="00B919CD">
              <w:rPr>
                <w:rFonts w:ascii="Arial" w:hAnsi="Arial" w:cs="Arial"/>
                <w:sz w:val="20"/>
                <w:szCs w:val="20"/>
              </w:rPr>
              <w:t>5,234</w:t>
            </w:r>
          </w:p>
        </w:tc>
        <w:tc>
          <w:tcPr>
            <w:tcW w:w="590" w:type="pct"/>
            <w:vAlign w:val="center"/>
          </w:tcPr>
          <w:p w14:paraId="327379CD" w14:textId="2FC46996" w:rsidR="00307BEF" w:rsidRPr="00003FE1" w:rsidRDefault="00307BEF" w:rsidP="00307BEF">
            <w:pPr>
              <w:jc w:val="center"/>
              <w:rPr>
                <w:rFonts w:ascii="Arial" w:hAnsi="Arial" w:cs="Arial"/>
                <w:sz w:val="20"/>
                <w:szCs w:val="20"/>
              </w:rPr>
            </w:pPr>
            <w:r w:rsidRPr="00280F94">
              <w:rPr>
                <w:rFonts w:ascii="Arial" w:hAnsi="Arial" w:cs="Arial"/>
                <w:sz w:val="20"/>
                <w:szCs w:val="20"/>
              </w:rPr>
              <w:t>5,402*</w:t>
            </w:r>
            <w:r>
              <w:rPr>
                <w:rFonts w:ascii="Arial" w:hAnsi="Arial" w:cs="Arial"/>
                <w:sz w:val="20"/>
                <w:szCs w:val="20"/>
              </w:rPr>
              <w:t>*</w:t>
            </w:r>
          </w:p>
        </w:tc>
        <w:tc>
          <w:tcPr>
            <w:tcW w:w="590" w:type="pct"/>
            <w:vAlign w:val="center"/>
          </w:tcPr>
          <w:p w14:paraId="13146FA3" w14:textId="1D1373DD" w:rsidR="00307BEF" w:rsidRPr="00003FE1" w:rsidRDefault="00307BEF" w:rsidP="00307BEF">
            <w:pPr>
              <w:jc w:val="center"/>
              <w:rPr>
                <w:rFonts w:ascii="Arial" w:hAnsi="Arial" w:cs="Arial"/>
                <w:sz w:val="20"/>
                <w:szCs w:val="20"/>
              </w:rPr>
            </w:pPr>
            <w:r w:rsidRPr="4CC6CE91">
              <w:rPr>
                <w:rFonts w:ascii="Arial" w:hAnsi="Arial" w:cs="Arial"/>
                <w:sz w:val="20"/>
                <w:szCs w:val="20"/>
              </w:rPr>
              <w:t>5,328</w:t>
            </w:r>
          </w:p>
        </w:tc>
        <w:tc>
          <w:tcPr>
            <w:tcW w:w="589" w:type="pct"/>
            <w:vAlign w:val="center"/>
          </w:tcPr>
          <w:p w14:paraId="120B829B" w14:textId="4CDC393B" w:rsidR="00307BEF" w:rsidRPr="0023749A" w:rsidRDefault="00307BEF" w:rsidP="00307BEF">
            <w:pPr>
              <w:jc w:val="center"/>
              <w:rPr>
                <w:rFonts w:ascii="Arial" w:hAnsi="Arial" w:cs="Arial"/>
                <w:sz w:val="20"/>
                <w:szCs w:val="20"/>
                <w:highlight w:val="cyan"/>
              </w:rPr>
            </w:pPr>
          </w:p>
        </w:tc>
      </w:tr>
      <w:tr w:rsidR="00307BEF" w14:paraId="6B9005D3" w14:textId="77777777" w:rsidTr="00307BEF">
        <w:trPr>
          <w:trHeight w:val="350"/>
        </w:trPr>
        <w:tc>
          <w:tcPr>
            <w:tcW w:w="2641" w:type="pct"/>
            <w:vAlign w:val="center"/>
          </w:tcPr>
          <w:p w14:paraId="74076016" w14:textId="3DE30B0E" w:rsidR="00307BEF" w:rsidRPr="00003FE1" w:rsidRDefault="00307BEF" w:rsidP="00307BEF">
            <w:pPr>
              <w:rPr>
                <w:rFonts w:ascii="Arial" w:hAnsi="Arial" w:cs="Arial"/>
                <w:bCs/>
                <w:sz w:val="20"/>
                <w:szCs w:val="20"/>
              </w:rPr>
            </w:pPr>
            <w:r w:rsidRPr="00003FE1">
              <w:rPr>
                <w:rFonts w:ascii="Arial" w:hAnsi="Arial" w:cs="Arial"/>
                <w:bCs/>
                <w:sz w:val="20"/>
                <w:szCs w:val="20"/>
              </w:rPr>
              <w:t>Number of Technical College FTE enrollments</w:t>
            </w:r>
          </w:p>
        </w:tc>
        <w:tc>
          <w:tcPr>
            <w:tcW w:w="589" w:type="pct"/>
            <w:vAlign w:val="center"/>
          </w:tcPr>
          <w:p w14:paraId="59FE1E68" w14:textId="0E50B87F" w:rsidR="00307BEF" w:rsidRPr="00003FE1" w:rsidRDefault="00307BEF" w:rsidP="00307BEF">
            <w:pPr>
              <w:jc w:val="center"/>
              <w:rPr>
                <w:rFonts w:ascii="Arial" w:hAnsi="Arial" w:cs="Arial"/>
                <w:bCs/>
                <w:sz w:val="20"/>
                <w:szCs w:val="20"/>
              </w:rPr>
            </w:pPr>
            <w:r w:rsidRPr="00B919CD">
              <w:rPr>
                <w:rFonts w:ascii="Arial" w:hAnsi="Arial" w:cs="Arial"/>
                <w:bCs/>
                <w:sz w:val="20"/>
                <w:szCs w:val="20"/>
              </w:rPr>
              <w:t>3,321</w:t>
            </w:r>
          </w:p>
        </w:tc>
        <w:tc>
          <w:tcPr>
            <w:tcW w:w="590" w:type="pct"/>
            <w:vAlign w:val="center"/>
          </w:tcPr>
          <w:p w14:paraId="04E163B6" w14:textId="49C29BBE" w:rsidR="00307BEF" w:rsidRPr="00003FE1" w:rsidRDefault="00307BEF" w:rsidP="00307BEF">
            <w:pPr>
              <w:jc w:val="center"/>
              <w:rPr>
                <w:rFonts w:ascii="Arial" w:hAnsi="Arial" w:cs="Arial"/>
                <w:bCs/>
                <w:sz w:val="20"/>
                <w:szCs w:val="20"/>
              </w:rPr>
            </w:pPr>
            <w:r w:rsidRPr="00B919CD">
              <w:rPr>
                <w:rFonts w:ascii="Arial" w:hAnsi="Arial" w:cs="Arial"/>
                <w:bCs/>
                <w:sz w:val="20"/>
                <w:szCs w:val="20"/>
              </w:rPr>
              <w:t>3,3</w:t>
            </w:r>
            <w:r>
              <w:rPr>
                <w:rFonts w:ascii="Arial" w:hAnsi="Arial" w:cs="Arial"/>
                <w:bCs/>
                <w:sz w:val="20"/>
                <w:szCs w:val="20"/>
              </w:rPr>
              <w:t>02</w:t>
            </w:r>
          </w:p>
        </w:tc>
        <w:tc>
          <w:tcPr>
            <w:tcW w:w="590" w:type="pct"/>
            <w:vAlign w:val="center"/>
          </w:tcPr>
          <w:p w14:paraId="55BAEE1F" w14:textId="49DDA1AD" w:rsidR="00307BEF" w:rsidRPr="00003FE1" w:rsidRDefault="00307BEF" w:rsidP="00307BEF">
            <w:pPr>
              <w:jc w:val="center"/>
              <w:rPr>
                <w:rFonts w:ascii="Arial" w:hAnsi="Arial" w:cs="Arial"/>
                <w:bCs/>
                <w:sz w:val="20"/>
                <w:szCs w:val="20"/>
              </w:rPr>
            </w:pPr>
            <w:r w:rsidRPr="00B919CD">
              <w:rPr>
                <w:rFonts w:ascii="Arial" w:hAnsi="Arial" w:cs="Arial"/>
                <w:bCs/>
                <w:sz w:val="20"/>
                <w:szCs w:val="20"/>
              </w:rPr>
              <w:t>3,</w:t>
            </w:r>
            <w:r>
              <w:rPr>
                <w:rFonts w:ascii="Arial" w:hAnsi="Arial" w:cs="Arial"/>
                <w:bCs/>
                <w:sz w:val="20"/>
                <w:szCs w:val="20"/>
              </w:rPr>
              <w:t>261</w:t>
            </w:r>
          </w:p>
        </w:tc>
        <w:tc>
          <w:tcPr>
            <w:tcW w:w="589" w:type="pct"/>
            <w:vAlign w:val="center"/>
          </w:tcPr>
          <w:p w14:paraId="7F4DED28" w14:textId="4C641E69" w:rsidR="00307BEF" w:rsidRPr="0023749A" w:rsidRDefault="00307BEF" w:rsidP="00307BEF">
            <w:pPr>
              <w:jc w:val="center"/>
              <w:rPr>
                <w:rFonts w:ascii="Arial" w:hAnsi="Arial" w:cs="Arial"/>
                <w:bCs/>
                <w:sz w:val="20"/>
                <w:szCs w:val="20"/>
                <w:highlight w:val="cyan"/>
              </w:rPr>
            </w:pPr>
          </w:p>
        </w:tc>
      </w:tr>
      <w:tr w:rsidR="00307BEF" w14:paraId="68668822" w14:textId="77777777" w:rsidTr="00307BEF">
        <w:trPr>
          <w:trHeight w:val="611"/>
        </w:trPr>
        <w:tc>
          <w:tcPr>
            <w:tcW w:w="2641" w:type="pct"/>
            <w:vAlign w:val="center"/>
          </w:tcPr>
          <w:p w14:paraId="0F3C57E2" w14:textId="111B37B9" w:rsidR="00307BEF" w:rsidRPr="00003FE1" w:rsidRDefault="00307BEF" w:rsidP="00307BEF">
            <w:pPr>
              <w:rPr>
                <w:rFonts w:ascii="Arial" w:hAnsi="Arial" w:cs="Arial"/>
                <w:sz w:val="20"/>
                <w:szCs w:val="20"/>
              </w:rPr>
            </w:pPr>
            <w:r w:rsidRPr="00003FE1">
              <w:rPr>
                <w:rFonts w:ascii="Arial" w:hAnsi="Arial" w:cs="Arial"/>
                <w:sz w:val="20"/>
                <w:szCs w:val="20"/>
              </w:rPr>
              <w:t xml:space="preserve">Number of Workforce Training Network (WTN) enrollments (headcount) </w:t>
            </w:r>
          </w:p>
        </w:tc>
        <w:tc>
          <w:tcPr>
            <w:tcW w:w="589" w:type="pct"/>
            <w:vAlign w:val="center"/>
          </w:tcPr>
          <w:p w14:paraId="56903D51" w14:textId="77777777" w:rsidR="00307BEF" w:rsidRPr="00B919CD" w:rsidRDefault="00307BEF" w:rsidP="00307BEF">
            <w:pPr>
              <w:jc w:val="center"/>
              <w:rPr>
                <w:rFonts w:ascii="Arial" w:hAnsi="Arial" w:cs="Arial"/>
                <w:color w:val="FF0000"/>
                <w:sz w:val="20"/>
                <w:szCs w:val="20"/>
              </w:rPr>
            </w:pPr>
          </w:p>
          <w:p w14:paraId="768D3399" w14:textId="77777777" w:rsidR="00307BEF" w:rsidRPr="00B919CD" w:rsidRDefault="00307BEF" w:rsidP="00307BEF">
            <w:pPr>
              <w:jc w:val="center"/>
              <w:rPr>
                <w:rFonts w:ascii="Arial" w:hAnsi="Arial" w:cs="Arial"/>
                <w:sz w:val="20"/>
                <w:szCs w:val="20"/>
              </w:rPr>
            </w:pPr>
            <w:r w:rsidRPr="00B919CD">
              <w:rPr>
                <w:rFonts w:ascii="Arial" w:hAnsi="Arial" w:cs="Arial"/>
                <w:sz w:val="20"/>
                <w:szCs w:val="20"/>
              </w:rPr>
              <w:t>54,032</w:t>
            </w:r>
          </w:p>
          <w:p w14:paraId="19041FB1" w14:textId="2936AE57" w:rsidR="00307BEF" w:rsidRPr="00003FE1" w:rsidRDefault="00307BEF" w:rsidP="00307BEF">
            <w:pPr>
              <w:jc w:val="center"/>
              <w:rPr>
                <w:rFonts w:ascii="Arial" w:hAnsi="Arial" w:cs="Arial"/>
                <w:sz w:val="20"/>
                <w:szCs w:val="20"/>
              </w:rPr>
            </w:pPr>
          </w:p>
        </w:tc>
        <w:tc>
          <w:tcPr>
            <w:tcW w:w="590" w:type="pct"/>
            <w:vAlign w:val="center"/>
          </w:tcPr>
          <w:p w14:paraId="4E4091AE" w14:textId="2201795B" w:rsidR="00307BEF" w:rsidRPr="00003FE1" w:rsidRDefault="00307BEF" w:rsidP="00307BEF">
            <w:pPr>
              <w:jc w:val="center"/>
              <w:rPr>
                <w:rFonts w:ascii="Arial" w:hAnsi="Arial" w:cs="Arial"/>
                <w:sz w:val="20"/>
                <w:szCs w:val="20"/>
              </w:rPr>
            </w:pPr>
            <w:r w:rsidRPr="00B919CD">
              <w:rPr>
                <w:rFonts w:ascii="Arial" w:hAnsi="Arial" w:cs="Arial"/>
                <w:sz w:val="20"/>
                <w:szCs w:val="20"/>
              </w:rPr>
              <w:t>39,898</w:t>
            </w:r>
            <w:r>
              <w:rPr>
                <w:rFonts w:ascii="Arial" w:hAnsi="Arial" w:cs="Arial"/>
                <w:sz w:val="20"/>
                <w:szCs w:val="20"/>
              </w:rPr>
              <w:t>***</w:t>
            </w:r>
          </w:p>
        </w:tc>
        <w:tc>
          <w:tcPr>
            <w:tcW w:w="590" w:type="pct"/>
          </w:tcPr>
          <w:p w14:paraId="2D996CCE" w14:textId="77777777" w:rsidR="00307BEF" w:rsidRPr="00003FE1" w:rsidRDefault="00307BEF" w:rsidP="00307BEF">
            <w:pPr>
              <w:spacing w:line="259" w:lineRule="auto"/>
              <w:jc w:val="center"/>
              <w:rPr>
                <w:rFonts w:ascii="Arial" w:hAnsi="Arial" w:cs="Arial"/>
                <w:sz w:val="20"/>
                <w:szCs w:val="20"/>
              </w:rPr>
            </w:pPr>
          </w:p>
          <w:p w14:paraId="031B8C10" w14:textId="71EFDF05" w:rsidR="00307BEF" w:rsidRPr="00003FE1" w:rsidRDefault="00307BEF" w:rsidP="00307BEF">
            <w:pPr>
              <w:jc w:val="center"/>
              <w:rPr>
                <w:rFonts w:ascii="Arial" w:hAnsi="Arial" w:cs="Arial"/>
                <w:sz w:val="20"/>
                <w:szCs w:val="20"/>
              </w:rPr>
            </w:pPr>
            <w:r w:rsidRPr="4CC6CE91">
              <w:rPr>
                <w:rFonts w:ascii="Arial" w:hAnsi="Arial" w:cs="Arial"/>
                <w:sz w:val="20"/>
                <w:szCs w:val="20"/>
              </w:rPr>
              <w:t>43,809</w:t>
            </w:r>
          </w:p>
        </w:tc>
        <w:tc>
          <w:tcPr>
            <w:tcW w:w="589" w:type="pct"/>
          </w:tcPr>
          <w:p w14:paraId="52D8F61D" w14:textId="0C5BC0E4" w:rsidR="00307BEF" w:rsidRPr="00003FE1" w:rsidRDefault="00307BEF" w:rsidP="00307BEF">
            <w:pPr>
              <w:spacing w:line="259" w:lineRule="auto"/>
              <w:jc w:val="center"/>
              <w:rPr>
                <w:rFonts w:ascii="Arial" w:hAnsi="Arial" w:cs="Arial"/>
                <w:sz w:val="20"/>
                <w:szCs w:val="20"/>
              </w:rPr>
            </w:pPr>
          </w:p>
        </w:tc>
      </w:tr>
      <w:tr w:rsidR="00307BEF" w14:paraId="24BCCCFC" w14:textId="4B934EB5" w:rsidTr="00307BEF">
        <w:trPr>
          <w:trHeight w:val="557"/>
        </w:trPr>
        <w:tc>
          <w:tcPr>
            <w:tcW w:w="2641" w:type="pct"/>
            <w:vAlign w:val="center"/>
          </w:tcPr>
          <w:p w14:paraId="408169C7" w14:textId="24EA1A78" w:rsidR="00307BEF" w:rsidRPr="00003FE1" w:rsidRDefault="00307BEF" w:rsidP="00307BEF">
            <w:pPr>
              <w:rPr>
                <w:rFonts w:ascii="Arial" w:hAnsi="Arial" w:cs="Arial"/>
                <w:sz w:val="20"/>
                <w:szCs w:val="20"/>
              </w:rPr>
            </w:pPr>
            <w:bookmarkStart w:id="1" w:name="_Hlk76466487"/>
            <w:r w:rsidRPr="4CC6CE91">
              <w:rPr>
                <w:rFonts w:ascii="Arial" w:hAnsi="Arial" w:cs="Arial"/>
                <w:sz w:val="20"/>
                <w:szCs w:val="20"/>
              </w:rPr>
              <w:t>Number of enrollments for Fire and Emergency Services Training (headcount)</w:t>
            </w:r>
            <w:bookmarkEnd w:id="1"/>
          </w:p>
        </w:tc>
        <w:tc>
          <w:tcPr>
            <w:tcW w:w="589" w:type="pct"/>
            <w:vAlign w:val="center"/>
          </w:tcPr>
          <w:p w14:paraId="3FC3C093" w14:textId="1A4BA7E6" w:rsidR="00307BEF" w:rsidRPr="00003FE1" w:rsidRDefault="00307BEF" w:rsidP="00307BEF">
            <w:pPr>
              <w:jc w:val="center"/>
              <w:rPr>
                <w:rFonts w:ascii="Arial" w:hAnsi="Arial" w:cs="Arial"/>
                <w:sz w:val="20"/>
                <w:szCs w:val="20"/>
              </w:rPr>
            </w:pPr>
            <w:r w:rsidRPr="00B919CD">
              <w:rPr>
                <w:rFonts w:ascii="Arial" w:hAnsi="Arial" w:cs="Arial"/>
                <w:sz w:val="20"/>
                <w:szCs w:val="20"/>
              </w:rPr>
              <w:t>5,098</w:t>
            </w:r>
          </w:p>
        </w:tc>
        <w:tc>
          <w:tcPr>
            <w:tcW w:w="590" w:type="pct"/>
            <w:vAlign w:val="center"/>
          </w:tcPr>
          <w:p w14:paraId="53BF939B" w14:textId="6374D761" w:rsidR="00307BEF" w:rsidRPr="00003FE1" w:rsidRDefault="00307BEF" w:rsidP="00307BEF">
            <w:pPr>
              <w:jc w:val="center"/>
              <w:rPr>
                <w:rFonts w:ascii="Arial" w:hAnsi="Arial" w:cs="Arial"/>
                <w:sz w:val="20"/>
                <w:szCs w:val="20"/>
              </w:rPr>
            </w:pPr>
            <w:r w:rsidRPr="00B919CD">
              <w:rPr>
                <w:rFonts w:ascii="Arial" w:hAnsi="Arial" w:cs="Arial"/>
                <w:sz w:val="20"/>
                <w:szCs w:val="20"/>
              </w:rPr>
              <w:t>3,182</w:t>
            </w:r>
            <w:r>
              <w:rPr>
                <w:rFonts w:ascii="Arial" w:hAnsi="Arial" w:cs="Arial"/>
                <w:sz w:val="20"/>
                <w:szCs w:val="20"/>
              </w:rPr>
              <w:t>***</w:t>
            </w:r>
          </w:p>
        </w:tc>
        <w:tc>
          <w:tcPr>
            <w:tcW w:w="590" w:type="pct"/>
            <w:vAlign w:val="center"/>
          </w:tcPr>
          <w:p w14:paraId="778E70BB" w14:textId="14778041" w:rsidR="00307BEF" w:rsidRPr="00003FE1" w:rsidRDefault="00307BEF" w:rsidP="00307BEF">
            <w:pPr>
              <w:jc w:val="center"/>
              <w:rPr>
                <w:rFonts w:ascii="Arial" w:hAnsi="Arial" w:cs="Arial"/>
                <w:sz w:val="20"/>
                <w:szCs w:val="20"/>
              </w:rPr>
            </w:pPr>
            <w:r w:rsidRPr="00F557F9">
              <w:rPr>
                <w:rFonts w:ascii="Arial" w:hAnsi="Arial" w:cs="Arial"/>
                <w:sz w:val="20"/>
                <w:szCs w:val="20"/>
              </w:rPr>
              <w:t>2,</w:t>
            </w:r>
            <w:r>
              <w:rPr>
                <w:rFonts w:ascii="Arial" w:hAnsi="Arial" w:cs="Arial"/>
                <w:sz w:val="20"/>
                <w:szCs w:val="20"/>
              </w:rPr>
              <w:t>832</w:t>
            </w:r>
          </w:p>
        </w:tc>
        <w:tc>
          <w:tcPr>
            <w:tcW w:w="589" w:type="pct"/>
            <w:vAlign w:val="center"/>
          </w:tcPr>
          <w:p w14:paraId="2E87A474" w14:textId="1F27FBAB" w:rsidR="00307BEF" w:rsidRPr="00003FE1" w:rsidRDefault="00307BEF" w:rsidP="00307BEF">
            <w:pPr>
              <w:spacing w:line="259" w:lineRule="auto"/>
              <w:jc w:val="center"/>
              <w:rPr>
                <w:rFonts w:ascii="Arial" w:hAnsi="Arial" w:cs="Arial"/>
                <w:highlight w:val="yellow"/>
              </w:rPr>
            </w:pPr>
          </w:p>
        </w:tc>
      </w:tr>
      <w:tr w:rsidR="00307BEF" w:rsidRPr="00003FE1" w14:paraId="72FAFBAB" w14:textId="77777777" w:rsidTr="00307BEF">
        <w:trPr>
          <w:trHeight w:val="530"/>
        </w:trPr>
        <w:tc>
          <w:tcPr>
            <w:tcW w:w="2641" w:type="pct"/>
            <w:vAlign w:val="center"/>
          </w:tcPr>
          <w:p w14:paraId="7A10A706" w14:textId="1914A293" w:rsidR="00307BEF" w:rsidRPr="00003FE1" w:rsidRDefault="00307BEF" w:rsidP="00307BEF">
            <w:pPr>
              <w:rPr>
                <w:rFonts w:ascii="Arial" w:hAnsi="Arial" w:cs="Arial"/>
                <w:sz w:val="20"/>
                <w:szCs w:val="20"/>
              </w:rPr>
            </w:pPr>
            <w:r w:rsidRPr="00003FE1">
              <w:rPr>
                <w:rFonts w:ascii="Arial" w:hAnsi="Arial" w:cs="Arial"/>
                <w:sz w:val="20"/>
                <w:szCs w:val="20"/>
              </w:rPr>
              <w:lastRenderedPageBreak/>
              <w:t>Number of clients served in the Adult Education program (headcount)</w:t>
            </w:r>
          </w:p>
        </w:tc>
        <w:tc>
          <w:tcPr>
            <w:tcW w:w="589" w:type="pct"/>
            <w:vAlign w:val="center"/>
          </w:tcPr>
          <w:p w14:paraId="6BE49C52" w14:textId="62D9C830" w:rsidR="00307BEF" w:rsidRPr="00003FE1" w:rsidRDefault="00307BEF" w:rsidP="00307BEF">
            <w:pPr>
              <w:jc w:val="center"/>
              <w:rPr>
                <w:rFonts w:ascii="Arial" w:hAnsi="Arial" w:cs="Arial"/>
                <w:sz w:val="20"/>
                <w:szCs w:val="20"/>
              </w:rPr>
            </w:pPr>
            <w:r w:rsidRPr="00B919CD">
              <w:rPr>
                <w:rFonts w:ascii="Arial" w:hAnsi="Arial" w:cs="Arial"/>
                <w:sz w:val="20"/>
                <w:szCs w:val="20"/>
              </w:rPr>
              <w:t>5,141</w:t>
            </w:r>
          </w:p>
        </w:tc>
        <w:tc>
          <w:tcPr>
            <w:tcW w:w="590" w:type="pct"/>
            <w:vAlign w:val="center"/>
          </w:tcPr>
          <w:p w14:paraId="3C4DDB78" w14:textId="57E1BED0" w:rsidR="00307BEF" w:rsidRPr="00003FE1" w:rsidRDefault="00307BEF" w:rsidP="00307BEF">
            <w:pPr>
              <w:jc w:val="center"/>
              <w:rPr>
                <w:rFonts w:ascii="Arial" w:hAnsi="Arial" w:cs="Arial"/>
                <w:sz w:val="20"/>
                <w:szCs w:val="20"/>
              </w:rPr>
            </w:pPr>
            <w:r w:rsidRPr="00B919CD">
              <w:rPr>
                <w:rFonts w:ascii="Arial" w:hAnsi="Arial" w:cs="Arial"/>
                <w:color w:val="000000"/>
                <w:sz w:val="20"/>
                <w:szCs w:val="20"/>
              </w:rPr>
              <w:t>4,187</w:t>
            </w:r>
          </w:p>
        </w:tc>
        <w:tc>
          <w:tcPr>
            <w:tcW w:w="590" w:type="pct"/>
            <w:vAlign w:val="center"/>
          </w:tcPr>
          <w:p w14:paraId="11E950CE" w14:textId="0A62288D" w:rsidR="00307BEF" w:rsidRPr="00003FE1" w:rsidRDefault="00307BEF" w:rsidP="00307BEF">
            <w:pPr>
              <w:jc w:val="center"/>
              <w:rPr>
                <w:rFonts w:ascii="Arial" w:hAnsi="Arial" w:cs="Arial"/>
                <w:sz w:val="20"/>
                <w:szCs w:val="20"/>
              </w:rPr>
            </w:pPr>
            <w:r w:rsidRPr="00C943F9">
              <w:rPr>
                <w:rFonts w:ascii="Arial" w:hAnsi="Arial" w:cs="Arial"/>
                <w:color w:val="000000"/>
                <w:sz w:val="18"/>
                <w:szCs w:val="18"/>
              </w:rPr>
              <w:t>Reported in October</w:t>
            </w:r>
          </w:p>
        </w:tc>
        <w:tc>
          <w:tcPr>
            <w:tcW w:w="589" w:type="pct"/>
            <w:vAlign w:val="center"/>
          </w:tcPr>
          <w:p w14:paraId="3ECDA9E1" w14:textId="01808FBE" w:rsidR="00307BEF" w:rsidRPr="00C943F9" w:rsidRDefault="00307BEF" w:rsidP="00307BEF">
            <w:pPr>
              <w:jc w:val="center"/>
              <w:rPr>
                <w:rFonts w:ascii="Arial" w:hAnsi="Arial" w:cs="Arial"/>
                <w:sz w:val="18"/>
                <w:szCs w:val="18"/>
              </w:rPr>
            </w:pPr>
          </w:p>
        </w:tc>
      </w:tr>
      <w:tr w:rsidR="00307BEF" w14:paraId="185615F1" w14:textId="77777777" w:rsidTr="00307BEF">
        <w:trPr>
          <w:trHeight w:val="530"/>
        </w:trPr>
        <w:tc>
          <w:tcPr>
            <w:tcW w:w="2641" w:type="pct"/>
            <w:vAlign w:val="center"/>
          </w:tcPr>
          <w:p w14:paraId="2195D4A5" w14:textId="6AC7BB4D" w:rsidR="00307BEF" w:rsidRPr="00003FE1" w:rsidRDefault="00307BEF" w:rsidP="00307BEF">
            <w:pPr>
              <w:rPr>
                <w:rFonts w:ascii="Arial" w:hAnsi="Arial" w:cs="Arial"/>
                <w:sz w:val="20"/>
                <w:szCs w:val="20"/>
              </w:rPr>
            </w:pPr>
            <w:r w:rsidRPr="00003FE1">
              <w:rPr>
                <w:rFonts w:ascii="Arial" w:hAnsi="Arial" w:cs="Arial"/>
                <w:sz w:val="20"/>
                <w:szCs w:val="20"/>
              </w:rPr>
              <w:t>Number of Adults Served in the Displaced Homemaker Program (Center for New Directions)</w:t>
            </w:r>
          </w:p>
        </w:tc>
        <w:tc>
          <w:tcPr>
            <w:tcW w:w="589" w:type="pct"/>
            <w:shd w:val="clear" w:color="auto" w:fill="auto"/>
            <w:vAlign w:val="center"/>
          </w:tcPr>
          <w:p w14:paraId="0C0B8BCC" w14:textId="72BA6DC7" w:rsidR="00307BEF" w:rsidRPr="00003FE1" w:rsidRDefault="00307BEF" w:rsidP="00307BEF">
            <w:pPr>
              <w:jc w:val="center"/>
              <w:rPr>
                <w:rFonts w:ascii="Arial" w:hAnsi="Arial" w:cs="Arial"/>
                <w:sz w:val="20"/>
                <w:szCs w:val="20"/>
              </w:rPr>
            </w:pPr>
            <w:r w:rsidRPr="00B919CD">
              <w:rPr>
                <w:rFonts w:ascii="Arial" w:hAnsi="Arial" w:cs="Arial"/>
                <w:sz w:val="20"/>
                <w:szCs w:val="20"/>
              </w:rPr>
              <w:t>389</w:t>
            </w:r>
          </w:p>
        </w:tc>
        <w:tc>
          <w:tcPr>
            <w:tcW w:w="590" w:type="pct"/>
            <w:shd w:val="clear" w:color="auto" w:fill="auto"/>
            <w:vAlign w:val="center"/>
          </w:tcPr>
          <w:p w14:paraId="31FEBA05" w14:textId="75127336" w:rsidR="00307BEF" w:rsidRPr="00003FE1" w:rsidRDefault="00307BEF" w:rsidP="00307BEF">
            <w:pPr>
              <w:jc w:val="center"/>
              <w:rPr>
                <w:rFonts w:ascii="Arial" w:hAnsi="Arial" w:cs="Arial"/>
                <w:sz w:val="20"/>
                <w:szCs w:val="20"/>
              </w:rPr>
            </w:pPr>
            <w:r w:rsidRPr="00B919CD">
              <w:rPr>
                <w:rFonts w:ascii="Arial" w:hAnsi="Arial" w:cs="Arial"/>
                <w:sz w:val="20"/>
                <w:szCs w:val="20"/>
              </w:rPr>
              <w:t>453</w:t>
            </w:r>
          </w:p>
        </w:tc>
        <w:tc>
          <w:tcPr>
            <w:tcW w:w="590" w:type="pct"/>
            <w:shd w:val="clear" w:color="auto" w:fill="auto"/>
            <w:vAlign w:val="center"/>
          </w:tcPr>
          <w:p w14:paraId="14333267" w14:textId="5FDACBA3" w:rsidR="00307BEF" w:rsidRPr="00003FE1" w:rsidRDefault="00307BEF" w:rsidP="00307BEF">
            <w:pPr>
              <w:jc w:val="center"/>
              <w:rPr>
                <w:rFonts w:ascii="Arial" w:hAnsi="Arial" w:cs="Arial"/>
                <w:sz w:val="20"/>
                <w:szCs w:val="20"/>
              </w:rPr>
            </w:pPr>
            <w:r w:rsidRPr="00C943F9">
              <w:rPr>
                <w:rFonts w:ascii="Arial" w:hAnsi="Arial" w:cs="Arial"/>
                <w:sz w:val="20"/>
                <w:szCs w:val="20"/>
              </w:rPr>
              <w:t>598</w:t>
            </w:r>
          </w:p>
        </w:tc>
        <w:tc>
          <w:tcPr>
            <w:tcW w:w="589" w:type="pct"/>
            <w:shd w:val="clear" w:color="auto" w:fill="auto"/>
            <w:vAlign w:val="center"/>
          </w:tcPr>
          <w:p w14:paraId="0B215211" w14:textId="145A7B59" w:rsidR="00307BEF" w:rsidRPr="00C943F9" w:rsidRDefault="00307BEF" w:rsidP="00307BEF">
            <w:pPr>
              <w:jc w:val="center"/>
              <w:rPr>
                <w:rFonts w:ascii="Arial" w:hAnsi="Arial" w:cs="Arial"/>
                <w:sz w:val="20"/>
                <w:szCs w:val="20"/>
              </w:rPr>
            </w:pPr>
          </w:p>
        </w:tc>
      </w:tr>
      <w:tr w:rsidR="00307BEF" w:rsidRPr="00AD4893" w14:paraId="0730053E" w14:textId="77777777" w:rsidTr="00307BEF">
        <w:trPr>
          <w:trHeight w:val="530"/>
        </w:trPr>
        <w:tc>
          <w:tcPr>
            <w:tcW w:w="2641" w:type="pct"/>
            <w:vAlign w:val="center"/>
          </w:tcPr>
          <w:p w14:paraId="39948822" w14:textId="77777777" w:rsidR="00307BEF" w:rsidRPr="00AD4893" w:rsidRDefault="00307BEF" w:rsidP="00307BEF">
            <w:pPr>
              <w:rPr>
                <w:rFonts w:ascii="Arial" w:hAnsi="Arial" w:cs="Arial"/>
                <w:color w:val="000000" w:themeColor="text1"/>
                <w:sz w:val="20"/>
                <w:szCs w:val="20"/>
              </w:rPr>
            </w:pPr>
            <w:r w:rsidRPr="00AD4893">
              <w:rPr>
                <w:rFonts w:ascii="Arial" w:hAnsi="Arial" w:cs="Arial"/>
                <w:color w:val="000000" w:themeColor="text1"/>
                <w:sz w:val="20"/>
                <w:szCs w:val="20"/>
              </w:rPr>
              <w:t>Number of Students Enrolled in Digital CTE Courses (Idaho Digital Learning Alliance)</w:t>
            </w:r>
          </w:p>
        </w:tc>
        <w:tc>
          <w:tcPr>
            <w:tcW w:w="589" w:type="pct"/>
            <w:shd w:val="clear" w:color="auto" w:fill="auto"/>
            <w:vAlign w:val="center"/>
          </w:tcPr>
          <w:p w14:paraId="12374211" w14:textId="67C31124" w:rsidR="00307BEF" w:rsidRPr="00AD4893" w:rsidRDefault="00307BEF" w:rsidP="00307BEF">
            <w:pPr>
              <w:jc w:val="center"/>
              <w:rPr>
                <w:rFonts w:ascii="Arial" w:hAnsi="Arial" w:cs="Arial"/>
                <w:color w:val="000000" w:themeColor="text1"/>
                <w:sz w:val="20"/>
                <w:szCs w:val="20"/>
              </w:rPr>
            </w:pPr>
            <w:r w:rsidRPr="00AD4893">
              <w:rPr>
                <w:rFonts w:ascii="Arial" w:hAnsi="Arial" w:cs="Arial"/>
                <w:color w:val="000000" w:themeColor="text1"/>
                <w:sz w:val="20"/>
                <w:szCs w:val="20"/>
              </w:rPr>
              <w:t>1,694</w:t>
            </w:r>
          </w:p>
        </w:tc>
        <w:tc>
          <w:tcPr>
            <w:tcW w:w="590" w:type="pct"/>
            <w:shd w:val="clear" w:color="auto" w:fill="auto"/>
            <w:vAlign w:val="center"/>
          </w:tcPr>
          <w:p w14:paraId="6C1E6557" w14:textId="4175859E" w:rsidR="00307BEF" w:rsidRPr="00AD4893" w:rsidRDefault="00307BEF" w:rsidP="00307BEF">
            <w:pPr>
              <w:jc w:val="center"/>
              <w:rPr>
                <w:rFonts w:ascii="Arial" w:hAnsi="Arial" w:cs="Arial"/>
                <w:color w:val="000000" w:themeColor="text1"/>
                <w:sz w:val="20"/>
                <w:szCs w:val="20"/>
              </w:rPr>
            </w:pPr>
            <w:r w:rsidRPr="00AD4893">
              <w:rPr>
                <w:rFonts w:ascii="Arial" w:hAnsi="Arial" w:cs="Arial"/>
                <w:color w:val="000000" w:themeColor="text1"/>
                <w:sz w:val="20"/>
                <w:szCs w:val="20"/>
              </w:rPr>
              <w:t>1,425</w:t>
            </w:r>
          </w:p>
        </w:tc>
        <w:tc>
          <w:tcPr>
            <w:tcW w:w="590" w:type="pct"/>
            <w:shd w:val="clear" w:color="auto" w:fill="auto"/>
            <w:vAlign w:val="center"/>
          </w:tcPr>
          <w:p w14:paraId="6522A2C1" w14:textId="5493DBAF" w:rsidR="00307BEF" w:rsidRPr="00AD4893" w:rsidRDefault="00307BEF" w:rsidP="00307BEF">
            <w:pPr>
              <w:jc w:val="center"/>
              <w:rPr>
                <w:rFonts w:ascii="Arial" w:hAnsi="Arial" w:cs="Arial"/>
                <w:color w:val="000000" w:themeColor="text1"/>
                <w:sz w:val="20"/>
                <w:szCs w:val="20"/>
              </w:rPr>
            </w:pPr>
            <w:r>
              <w:rPr>
                <w:rFonts w:ascii="Arial" w:hAnsi="Arial" w:cs="Arial"/>
                <w:color w:val="000000" w:themeColor="text1"/>
                <w:sz w:val="20"/>
                <w:szCs w:val="20"/>
              </w:rPr>
              <w:t>1,931</w:t>
            </w:r>
          </w:p>
        </w:tc>
        <w:tc>
          <w:tcPr>
            <w:tcW w:w="589" w:type="pct"/>
            <w:shd w:val="clear" w:color="auto" w:fill="auto"/>
            <w:vAlign w:val="center"/>
          </w:tcPr>
          <w:p w14:paraId="7CCAB288" w14:textId="34FC9892" w:rsidR="00307BEF" w:rsidRPr="00AD4893" w:rsidRDefault="00307BEF" w:rsidP="00307BEF">
            <w:pPr>
              <w:jc w:val="center"/>
              <w:rPr>
                <w:rFonts w:ascii="Arial" w:hAnsi="Arial" w:cs="Arial"/>
                <w:color w:val="000000" w:themeColor="text1"/>
                <w:sz w:val="20"/>
                <w:szCs w:val="20"/>
              </w:rPr>
            </w:pPr>
          </w:p>
        </w:tc>
      </w:tr>
      <w:tr w:rsidR="00307BEF" w14:paraId="73E7A329" w14:textId="77777777" w:rsidTr="00307BEF">
        <w:trPr>
          <w:trHeight w:val="530"/>
        </w:trPr>
        <w:tc>
          <w:tcPr>
            <w:tcW w:w="2641" w:type="pct"/>
            <w:vAlign w:val="center"/>
          </w:tcPr>
          <w:p w14:paraId="5845DC7C" w14:textId="096F8864" w:rsidR="00307BEF" w:rsidRPr="00AD4893" w:rsidRDefault="00307BEF" w:rsidP="00307BEF">
            <w:pPr>
              <w:rPr>
                <w:rFonts w:ascii="Arial" w:hAnsi="Arial" w:cs="Arial"/>
                <w:color w:val="000000" w:themeColor="text1"/>
                <w:sz w:val="20"/>
                <w:szCs w:val="20"/>
              </w:rPr>
            </w:pPr>
            <w:r w:rsidRPr="00AD4893">
              <w:rPr>
                <w:rFonts w:ascii="Arial" w:hAnsi="Arial" w:cs="Arial"/>
                <w:color w:val="000000" w:themeColor="text1"/>
                <w:sz w:val="20"/>
                <w:szCs w:val="20"/>
              </w:rPr>
              <w:t>Number of SkillStack® Badges Awarded (Secondary)</w:t>
            </w:r>
            <w:r>
              <w:rPr>
                <w:rFonts w:ascii="Arial" w:hAnsi="Arial" w:cs="Arial"/>
                <w:color w:val="000000" w:themeColor="text1"/>
                <w:sz w:val="20"/>
                <w:szCs w:val="20"/>
              </w:rPr>
              <w:t>****</w:t>
            </w:r>
          </w:p>
        </w:tc>
        <w:tc>
          <w:tcPr>
            <w:tcW w:w="589" w:type="pct"/>
            <w:shd w:val="clear" w:color="auto" w:fill="auto"/>
            <w:vAlign w:val="center"/>
          </w:tcPr>
          <w:p w14:paraId="0B286D66" w14:textId="475FA7E2" w:rsidR="00307BEF" w:rsidRPr="00003FE1" w:rsidRDefault="00307BEF" w:rsidP="00307BEF">
            <w:pPr>
              <w:jc w:val="center"/>
              <w:rPr>
                <w:rFonts w:ascii="Arial" w:hAnsi="Arial" w:cs="Arial"/>
                <w:sz w:val="20"/>
                <w:szCs w:val="20"/>
              </w:rPr>
            </w:pPr>
            <w:r>
              <w:rPr>
                <w:rFonts w:ascii="Arial" w:hAnsi="Arial" w:cs="Arial"/>
                <w:sz w:val="20"/>
                <w:szCs w:val="20"/>
              </w:rPr>
              <w:t>5,372</w:t>
            </w:r>
          </w:p>
        </w:tc>
        <w:tc>
          <w:tcPr>
            <w:tcW w:w="590" w:type="pct"/>
            <w:shd w:val="clear" w:color="auto" w:fill="auto"/>
            <w:vAlign w:val="center"/>
          </w:tcPr>
          <w:p w14:paraId="28F98832" w14:textId="3BB864BD" w:rsidR="00307BEF" w:rsidRPr="00003FE1" w:rsidRDefault="00307BEF" w:rsidP="00307BEF">
            <w:pPr>
              <w:jc w:val="center"/>
              <w:rPr>
                <w:rFonts w:ascii="Arial" w:hAnsi="Arial" w:cs="Arial"/>
                <w:sz w:val="20"/>
                <w:szCs w:val="20"/>
              </w:rPr>
            </w:pPr>
            <w:r w:rsidRPr="00003FE1">
              <w:rPr>
                <w:rFonts w:ascii="Arial" w:hAnsi="Arial" w:cs="Arial"/>
                <w:sz w:val="20"/>
                <w:szCs w:val="20"/>
              </w:rPr>
              <w:t>10,0</w:t>
            </w:r>
            <w:r>
              <w:rPr>
                <w:rFonts w:ascii="Arial" w:hAnsi="Arial" w:cs="Arial"/>
                <w:sz w:val="20"/>
                <w:szCs w:val="20"/>
              </w:rPr>
              <w:t>06</w:t>
            </w:r>
          </w:p>
        </w:tc>
        <w:tc>
          <w:tcPr>
            <w:tcW w:w="590" w:type="pct"/>
            <w:shd w:val="clear" w:color="auto" w:fill="auto"/>
            <w:vAlign w:val="center"/>
          </w:tcPr>
          <w:p w14:paraId="07EAAB1A" w14:textId="2BFD861F" w:rsidR="00307BEF" w:rsidRPr="00003FE1" w:rsidRDefault="00307BEF" w:rsidP="00307BEF">
            <w:pPr>
              <w:jc w:val="center"/>
              <w:rPr>
                <w:rFonts w:ascii="Arial" w:hAnsi="Arial" w:cs="Arial"/>
                <w:sz w:val="20"/>
                <w:szCs w:val="20"/>
              </w:rPr>
            </w:pPr>
            <w:r w:rsidRPr="00590503">
              <w:rPr>
                <w:rFonts w:ascii="Arial" w:hAnsi="Arial" w:cs="Arial"/>
                <w:sz w:val="20"/>
                <w:szCs w:val="20"/>
              </w:rPr>
              <w:t>23,261</w:t>
            </w:r>
          </w:p>
        </w:tc>
        <w:tc>
          <w:tcPr>
            <w:tcW w:w="589" w:type="pct"/>
            <w:shd w:val="clear" w:color="auto" w:fill="auto"/>
            <w:vAlign w:val="center"/>
          </w:tcPr>
          <w:p w14:paraId="50B2BC1E" w14:textId="0F597E46" w:rsidR="00307BEF" w:rsidRPr="00724540" w:rsidRDefault="00307BEF" w:rsidP="00307BEF">
            <w:pPr>
              <w:jc w:val="center"/>
              <w:rPr>
                <w:rFonts w:ascii="Arial" w:hAnsi="Arial" w:cs="Arial"/>
                <w:sz w:val="20"/>
                <w:szCs w:val="20"/>
              </w:rPr>
            </w:pPr>
          </w:p>
        </w:tc>
      </w:tr>
      <w:tr w:rsidR="00307BEF" w14:paraId="536CA2B3" w14:textId="77777777" w:rsidTr="00307BEF">
        <w:trPr>
          <w:trHeight w:val="530"/>
        </w:trPr>
        <w:tc>
          <w:tcPr>
            <w:tcW w:w="2641" w:type="pct"/>
            <w:vAlign w:val="center"/>
          </w:tcPr>
          <w:p w14:paraId="186B5B0D" w14:textId="77777777" w:rsidR="00307BEF" w:rsidRPr="00AD4893" w:rsidRDefault="00307BEF" w:rsidP="00307BEF">
            <w:pPr>
              <w:rPr>
                <w:rFonts w:ascii="Arial" w:hAnsi="Arial" w:cs="Arial"/>
                <w:color w:val="000000" w:themeColor="text1"/>
                <w:sz w:val="20"/>
                <w:szCs w:val="20"/>
              </w:rPr>
            </w:pPr>
            <w:r w:rsidRPr="00AD4893">
              <w:rPr>
                <w:rFonts w:ascii="Arial" w:hAnsi="Arial" w:cs="Arial"/>
                <w:color w:val="000000" w:themeColor="text1"/>
                <w:sz w:val="20"/>
                <w:szCs w:val="20"/>
              </w:rPr>
              <w:t>Number of SkillStack® Badges Awarded (Postsecondary)</w:t>
            </w:r>
          </w:p>
        </w:tc>
        <w:tc>
          <w:tcPr>
            <w:tcW w:w="589" w:type="pct"/>
            <w:shd w:val="clear" w:color="auto" w:fill="auto"/>
            <w:vAlign w:val="center"/>
          </w:tcPr>
          <w:p w14:paraId="6990BEA3" w14:textId="380F1679" w:rsidR="00307BEF" w:rsidRPr="00003FE1" w:rsidRDefault="00307BEF" w:rsidP="00307BEF">
            <w:pPr>
              <w:jc w:val="center"/>
              <w:rPr>
                <w:rFonts w:ascii="Arial" w:hAnsi="Arial" w:cs="Arial"/>
                <w:sz w:val="20"/>
                <w:szCs w:val="20"/>
              </w:rPr>
            </w:pPr>
            <w:r>
              <w:rPr>
                <w:rFonts w:ascii="Arial" w:hAnsi="Arial" w:cs="Arial"/>
                <w:sz w:val="20"/>
                <w:szCs w:val="20"/>
              </w:rPr>
              <w:t>733</w:t>
            </w:r>
          </w:p>
        </w:tc>
        <w:tc>
          <w:tcPr>
            <w:tcW w:w="590" w:type="pct"/>
            <w:shd w:val="clear" w:color="auto" w:fill="auto"/>
            <w:vAlign w:val="center"/>
          </w:tcPr>
          <w:p w14:paraId="70EE66E7" w14:textId="35DDF72D" w:rsidR="00307BEF" w:rsidRPr="00003FE1" w:rsidRDefault="00307BEF" w:rsidP="00307BEF">
            <w:pPr>
              <w:jc w:val="center"/>
              <w:rPr>
                <w:rFonts w:ascii="Arial" w:hAnsi="Arial" w:cs="Arial"/>
                <w:sz w:val="20"/>
                <w:szCs w:val="20"/>
              </w:rPr>
            </w:pPr>
            <w:r w:rsidRPr="00003FE1">
              <w:rPr>
                <w:rFonts w:ascii="Arial" w:hAnsi="Arial" w:cs="Arial"/>
                <w:sz w:val="20"/>
                <w:szCs w:val="20"/>
              </w:rPr>
              <w:t>1,1</w:t>
            </w:r>
            <w:r>
              <w:rPr>
                <w:rFonts w:ascii="Arial" w:hAnsi="Arial" w:cs="Arial"/>
                <w:sz w:val="20"/>
                <w:szCs w:val="20"/>
              </w:rPr>
              <w:t>54</w:t>
            </w:r>
          </w:p>
        </w:tc>
        <w:tc>
          <w:tcPr>
            <w:tcW w:w="590" w:type="pct"/>
            <w:shd w:val="clear" w:color="auto" w:fill="auto"/>
            <w:vAlign w:val="center"/>
          </w:tcPr>
          <w:p w14:paraId="04EE9725" w14:textId="1F603D4F" w:rsidR="00307BEF" w:rsidRPr="00003FE1" w:rsidRDefault="00307BEF" w:rsidP="00307BEF">
            <w:pPr>
              <w:jc w:val="center"/>
              <w:rPr>
                <w:rFonts w:ascii="Arial" w:hAnsi="Arial" w:cs="Arial"/>
                <w:sz w:val="20"/>
                <w:szCs w:val="20"/>
              </w:rPr>
            </w:pPr>
            <w:r w:rsidRPr="00590503">
              <w:rPr>
                <w:rFonts w:ascii="Arial" w:hAnsi="Arial" w:cs="Arial"/>
                <w:sz w:val="20"/>
                <w:szCs w:val="20"/>
              </w:rPr>
              <w:t>343***</w:t>
            </w:r>
            <w:r>
              <w:rPr>
                <w:rFonts w:ascii="Arial" w:hAnsi="Arial" w:cs="Arial"/>
                <w:sz w:val="20"/>
                <w:szCs w:val="20"/>
              </w:rPr>
              <w:t>**</w:t>
            </w:r>
          </w:p>
        </w:tc>
        <w:tc>
          <w:tcPr>
            <w:tcW w:w="589" w:type="pct"/>
            <w:shd w:val="clear" w:color="auto" w:fill="auto"/>
            <w:vAlign w:val="center"/>
          </w:tcPr>
          <w:p w14:paraId="50291738" w14:textId="0B6D3CCF" w:rsidR="00307BEF" w:rsidRPr="00003FE1" w:rsidRDefault="00307BEF" w:rsidP="00307BEF">
            <w:pPr>
              <w:jc w:val="center"/>
              <w:rPr>
                <w:rFonts w:ascii="Arial" w:hAnsi="Arial" w:cs="Arial"/>
                <w:sz w:val="20"/>
                <w:szCs w:val="20"/>
              </w:rPr>
            </w:pPr>
          </w:p>
        </w:tc>
      </w:tr>
    </w:tbl>
    <w:p w14:paraId="6D300DE3" w14:textId="77777777" w:rsidR="00003FE1" w:rsidRDefault="00003FE1" w:rsidP="00C540EA">
      <w:pPr>
        <w:jc w:val="both"/>
        <w:rPr>
          <w:rFonts w:ascii="Arial" w:hAnsi="Arial" w:cs="Arial"/>
          <w:color w:val="000000"/>
          <w:sz w:val="20"/>
          <w:szCs w:val="20"/>
        </w:rPr>
      </w:pPr>
    </w:p>
    <w:p w14:paraId="5EC8330D" w14:textId="58559F0F" w:rsidR="00522B57" w:rsidRDefault="00133DC5" w:rsidP="00C540EA">
      <w:pPr>
        <w:jc w:val="both"/>
        <w:rPr>
          <w:rFonts w:ascii="Arial" w:hAnsi="Arial" w:cs="Arial"/>
          <w:sz w:val="20"/>
          <w:szCs w:val="20"/>
        </w:rPr>
      </w:pPr>
      <w:r w:rsidRPr="00280F94">
        <w:rPr>
          <w:rFonts w:ascii="Arial" w:hAnsi="Arial" w:cs="Arial"/>
          <w:sz w:val="20"/>
          <w:szCs w:val="20"/>
        </w:rPr>
        <w:t>*</w:t>
      </w:r>
      <w:r w:rsidR="00522B57">
        <w:rPr>
          <w:rFonts w:ascii="Arial" w:hAnsi="Arial" w:cs="Arial"/>
          <w:sz w:val="20"/>
          <w:szCs w:val="20"/>
        </w:rPr>
        <w:t>New enrollment methodology, data updated from FY 2018 – FY 2021.</w:t>
      </w:r>
    </w:p>
    <w:p w14:paraId="67D26AC9" w14:textId="77777777" w:rsidR="00522B57" w:rsidRDefault="00522B57" w:rsidP="00C540EA">
      <w:pPr>
        <w:jc w:val="both"/>
        <w:rPr>
          <w:rFonts w:ascii="Arial" w:hAnsi="Arial" w:cs="Arial"/>
          <w:sz w:val="20"/>
          <w:szCs w:val="20"/>
        </w:rPr>
      </w:pPr>
    </w:p>
    <w:p w14:paraId="6791BB44" w14:textId="08BA123F" w:rsidR="00785D0A" w:rsidRPr="00280F94" w:rsidRDefault="00522B57" w:rsidP="00C540EA">
      <w:pPr>
        <w:jc w:val="both"/>
        <w:rPr>
          <w:rFonts w:ascii="Arial" w:hAnsi="Arial" w:cs="Arial"/>
          <w:sz w:val="20"/>
          <w:szCs w:val="20"/>
        </w:rPr>
      </w:pPr>
      <w:r>
        <w:rPr>
          <w:rFonts w:ascii="Arial" w:hAnsi="Arial" w:cs="Arial"/>
          <w:sz w:val="20"/>
          <w:szCs w:val="20"/>
        </w:rPr>
        <w:t>**</w:t>
      </w:r>
      <w:r w:rsidR="00A23379" w:rsidRPr="00280F94">
        <w:rPr>
          <w:rFonts w:ascii="Arial" w:hAnsi="Arial" w:cs="Arial"/>
          <w:sz w:val="20"/>
          <w:szCs w:val="20"/>
        </w:rPr>
        <w:t>After submission of our</w:t>
      </w:r>
      <w:r w:rsidR="00003FE1" w:rsidRPr="00280F94">
        <w:rPr>
          <w:rFonts w:ascii="Arial" w:hAnsi="Arial" w:cs="Arial"/>
          <w:sz w:val="20"/>
          <w:szCs w:val="20"/>
        </w:rPr>
        <w:t xml:space="preserve"> FY</w:t>
      </w:r>
      <w:r w:rsidR="00280F94">
        <w:rPr>
          <w:rFonts w:ascii="Arial" w:hAnsi="Arial" w:cs="Arial"/>
          <w:sz w:val="20"/>
          <w:szCs w:val="20"/>
        </w:rPr>
        <w:t xml:space="preserve"> </w:t>
      </w:r>
      <w:r w:rsidR="00003FE1" w:rsidRPr="00280F94">
        <w:rPr>
          <w:rFonts w:ascii="Arial" w:hAnsi="Arial" w:cs="Arial"/>
          <w:sz w:val="20"/>
          <w:szCs w:val="20"/>
        </w:rPr>
        <w:t>20</w:t>
      </w:r>
      <w:r w:rsidR="00B23877" w:rsidRPr="00280F94">
        <w:rPr>
          <w:rFonts w:ascii="Arial" w:hAnsi="Arial" w:cs="Arial"/>
          <w:sz w:val="20"/>
          <w:szCs w:val="20"/>
        </w:rPr>
        <w:t>20</w:t>
      </w:r>
      <w:r w:rsidR="00A23379" w:rsidRPr="00280F94">
        <w:rPr>
          <w:rFonts w:ascii="Arial" w:hAnsi="Arial" w:cs="Arial"/>
          <w:sz w:val="20"/>
          <w:szCs w:val="20"/>
        </w:rPr>
        <w:t xml:space="preserve"> </w:t>
      </w:r>
      <w:r w:rsidR="00280F94" w:rsidRPr="00280F94">
        <w:rPr>
          <w:rFonts w:ascii="Arial" w:hAnsi="Arial" w:cs="Arial"/>
          <w:sz w:val="20"/>
          <w:szCs w:val="20"/>
        </w:rPr>
        <w:t>r</w:t>
      </w:r>
      <w:r w:rsidR="00003FE1" w:rsidRPr="00280F94">
        <w:rPr>
          <w:rFonts w:ascii="Arial" w:hAnsi="Arial" w:cs="Arial"/>
          <w:sz w:val="20"/>
          <w:szCs w:val="20"/>
        </w:rPr>
        <w:t>eport</w:t>
      </w:r>
      <w:r w:rsidR="00A23379" w:rsidRPr="00280F94">
        <w:rPr>
          <w:rFonts w:ascii="Arial" w:hAnsi="Arial" w:cs="Arial"/>
          <w:sz w:val="20"/>
          <w:szCs w:val="20"/>
        </w:rPr>
        <w:t>, updated n</w:t>
      </w:r>
      <w:r w:rsidR="00133DC5" w:rsidRPr="00280F94">
        <w:rPr>
          <w:rFonts w:ascii="Arial" w:hAnsi="Arial" w:cs="Arial"/>
          <w:sz w:val="20"/>
          <w:szCs w:val="20"/>
        </w:rPr>
        <w:t>umbers</w:t>
      </w:r>
      <w:r w:rsidR="00A23379" w:rsidRPr="00280F94">
        <w:rPr>
          <w:rFonts w:ascii="Arial" w:hAnsi="Arial" w:cs="Arial"/>
          <w:sz w:val="20"/>
          <w:szCs w:val="20"/>
        </w:rPr>
        <w:t xml:space="preserve"> were </w:t>
      </w:r>
      <w:r w:rsidR="00003FE1" w:rsidRPr="00280F94">
        <w:rPr>
          <w:rFonts w:ascii="Arial" w:hAnsi="Arial" w:cs="Arial"/>
          <w:sz w:val="20"/>
          <w:szCs w:val="20"/>
        </w:rPr>
        <w:t>provided</w:t>
      </w:r>
      <w:r w:rsidR="00A23379" w:rsidRPr="00280F94">
        <w:rPr>
          <w:rFonts w:ascii="Arial" w:hAnsi="Arial" w:cs="Arial"/>
          <w:sz w:val="20"/>
          <w:szCs w:val="20"/>
        </w:rPr>
        <w:t>.</w:t>
      </w:r>
    </w:p>
    <w:p w14:paraId="5CCA1F01" w14:textId="77777777" w:rsidR="005551DA" w:rsidRDefault="005551DA" w:rsidP="00C540EA">
      <w:pPr>
        <w:jc w:val="both"/>
        <w:rPr>
          <w:rFonts w:ascii="Arial" w:hAnsi="Arial" w:cs="Arial"/>
          <w:color w:val="000000"/>
          <w:sz w:val="20"/>
          <w:szCs w:val="20"/>
        </w:rPr>
      </w:pPr>
    </w:p>
    <w:p w14:paraId="68D2F241" w14:textId="53696416" w:rsidR="00B23877" w:rsidRDefault="3FF55F0F" w:rsidP="4CC6CE91">
      <w:pPr>
        <w:jc w:val="both"/>
        <w:rPr>
          <w:rFonts w:ascii="Arial" w:hAnsi="Arial" w:cs="Arial"/>
          <w:color w:val="000000"/>
          <w:sz w:val="20"/>
          <w:szCs w:val="20"/>
          <w:highlight w:val="yellow"/>
        </w:rPr>
      </w:pPr>
      <w:r w:rsidRPr="4CC6CE91">
        <w:rPr>
          <w:rFonts w:ascii="Arial" w:hAnsi="Arial" w:cs="Arial"/>
          <w:color w:val="000000" w:themeColor="text1"/>
          <w:sz w:val="20"/>
          <w:szCs w:val="20"/>
        </w:rPr>
        <w:t>*</w:t>
      </w:r>
      <w:r w:rsidR="6CC58A9F" w:rsidRPr="4CC6CE91">
        <w:rPr>
          <w:rFonts w:ascii="Arial" w:hAnsi="Arial" w:cs="Arial"/>
          <w:color w:val="000000" w:themeColor="text1"/>
          <w:sz w:val="20"/>
          <w:szCs w:val="20"/>
        </w:rPr>
        <w:t>*</w:t>
      </w:r>
      <w:r w:rsidR="00522B57">
        <w:rPr>
          <w:rFonts w:ascii="Arial" w:hAnsi="Arial" w:cs="Arial"/>
          <w:color w:val="000000" w:themeColor="text1"/>
          <w:sz w:val="20"/>
          <w:szCs w:val="20"/>
        </w:rPr>
        <w:t>*</w:t>
      </w:r>
      <w:r w:rsidRPr="4CC6CE91">
        <w:rPr>
          <w:rFonts w:ascii="Arial" w:hAnsi="Arial" w:cs="Arial"/>
          <w:color w:val="000000" w:themeColor="text1"/>
          <w:sz w:val="20"/>
          <w:szCs w:val="20"/>
        </w:rPr>
        <w:t>Nearly four months of training events were canceled in FY 2020 due to the pandemic.</w:t>
      </w:r>
      <w:r w:rsidR="2CF378B1" w:rsidRPr="4CC6CE91">
        <w:rPr>
          <w:rFonts w:ascii="Arial" w:hAnsi="Arial" w:cs="Arial"/>
          <w:color w:val="000000" w:themeColor="text1"/>
          <w:sz w:val="20"/>
          <w:szCs w:val="20"/>
        </w:rPr>
        <w:t xml:space="preserve"> </w:t>
      </w:r>
    </w:p>
    <w:p w14:paraId="7FA48B7D" w14:textId="77777777" w:rsidR="00B23877" w:rsidRDefault="00B23877" w:rsidP="00B23877">
      <w:pPr>
        <w:jc w:val="both"/>
        <w:rPr>
          <w:rFonts w:ascii="Arial" w:hAnsi="Arial" w:cs="Arial"/>
          <w:color w:val="000000"/>
          <w:sz w:val="20"/>
          <w:szCs w:val="20"/>
        </w:rPr>
      </w:pPr>
    </w:p>
    <w:p w14:paraId="66883F7B" w14:textId="472248B2" w:rsidR="00B23877" w:rsidRPr="00280F94" w:rsidRDefault="00522B57" w:rsidP="00B23877">
      <w:pPr>
        <w:jc w:val="both"/>
        <w:rPr>
          <w:rFonts w:ascii="Arial" w:hAnsi="Arial" w:cs="Arial"/>
          <w:color w:val="000000"/>
          <w:sz w:val="20"/>
          <w:szCs w:val="20"/>
        </w:rPr>
      </w:pPr>
      <w:r>
        <w:rPr>
          <w:rFonts w:ascii="Arial" w:hAnsi="Arial" w:cs="Arial"/>
          <w:color w:val="000000" w:themeColor="text1"/>
          <w:sz w:val="20"/>
          <w:szCs w:val="20"/>
        </w:rPr>
        <w:t>*</w:t>
      </w:r>
      <w:r w:rsidR="3FF55F0F" w:rsidRPr="4CC6CE91">
        <w:rPr>
          <w:rFonts w:ascii="Arial" w:hAnsi="Arial" w:cs="Arial"/>
          <w:color w:val="000000" w:themeColor="text1"/>
          <w:sz w:val="20"/>
          <w:szCs w:val="20"/>
        </w:rPr>
        <w:t>*</w:t>
      </w:r>
      <w:r w:rsidR="6CC58A9F" w:rsidRPr="4CC6CE91">
        <w:rPr>
          <w:rFonts w:ascii="Arial" w:hAnsi="Arial" w:cs="Arial"/>
          <w:color w:val="000000" w:themeColor="text1"/>
          <w:sz w:val="20"/>
          <w:szCs w:val="20"/>
        </w:rPr>
        <w:t>*</w:t>
      </w:r>
      <w:r w:rsidR="3FF55F0F" w:rsidRPr="4CC6CE91">
        <w:rPr>
          <w:rFonts w:ascii="Arial" w:hAnsi="Arial" w:cs="Arial"/>
          <w:color w:val="000000" w:themeColor="text1"/>
          <w:sz w:val="20"/>
          <w:szCs w:val="20"/>
        </w:rPr>
        <w:t xml:space="preserve">*Badges increased </w:t>
      </w:r>
      <w:r w:rsidR="6CC58A9F" w:rsidRPr="4CC6CE91">
        <w:rPr>
          <w:rFonts w:ascii="Arial" w:hAnsi="Arial" w:cs="Arial"/>
          <w:color w:val="000000" w:themeColor="text1"/>
          <w:sz w:val="20"/>
          <w:szCs w:val="20"/>
        </w:rPr>
        <w:t xml:space="preserve">in FY 2020 </w:t>
      </w:r>
      <w:r w:rsidR="3FF55F0F" w:rsidRPr="4CC6CE91">
        <w:rPr>
          <w:rFonts w:ascii="Arial" w:hAnsi="Arial" w:cs="Arial"/>
          <w:color w:val="000000" w:themeColor="text1"/>
          <w:sz w:val="20"/>
          <w:szCs w:val="20"/>
        </w:rPr>
        <w:t>with new assessment badges, increased teacher activity and more aligned programs. In FY 2021, the Workforce Readiness Incentive was implemented.</w:t>
      </w:r>
    </w:p>
    <w:p w14:paraId="13F8424E" w14:textId="77777777" w:rsidR="00B23877" w:rsidRDefault="00B23877" w:rsidP="00B23877">
      <w:pPr>
        <w:jc w:val="both"/>
        <w:rPr>
          <w:rFonts w:ascii="Arial" w:hAnsi="Arial" w:cs="Arial"/>
          <w:color w:val="000000"/>
          <w:sz w:val="20"/>
          <w:szCs w:val="20"/>
        </w:rPr>
      </w:pPr>
    </w:p>
    <w:p w14:paraId="36145E0A" w14:textId="1BEF48DF" w:rsidR="00B23877" w:rsidRDefault="3FF55F0F" w:rsidP="00B23877">
      <w:pPr>
        <w:jc w:val="both"/>
        <w:rPr>
          <w:rFonts w:ascii="Arial" w:hAnsi="Arial" w:cs="Arial"/>
          <w:color w:val="000000"/>
          <w:sz w:val="20"/>
          <w:szCs w:val="20"/>
        </w:rPr>
      </w:pPr>
      <w:r w:rsidRPr="4CC6CE91">
        <w:rPr>
          <w:rFonts w:ascii="Arial" w:hAnsi="Arial" w:cs="Arial"/>
          <w:color w:val="000000" w:themeColor="text1"/>
          <w:sz w:val="20"/>
          <w:szCs w:val="20"/>
        </w:rPr>
        <w:t>*</w:t>
      </w:r>
      <w:r w:rsidR="00522B57">
        <w:rPr>
          <w:rFonts w:ascii="Arial" w:hAnsi="Arial" w:cs="Arial"/>
          <w:color w:val="000000" w:themeColor="text1"/>
          <w:sz w:val="20"/>
          <w:szCs w:val="20"/>
        </w:rPr>
        <w:t>*</w:t>
      </w:r>
      <w:r w:rsidRPr="4CC6CE91">
        <w:rPr>
          <w:rFonts w:ascii="Arial" w:hAnsi="Arial" w:cs="Arial"/>
          <w:color w:val="000000" w:themeColor="text1"/>
          <w:sz w:val="20"/>
          <w:szCs w:val="20"/>
        </w:rPr>
        <w:t>*</w:t>
      </w:r>
      <w:r w:rsidR="6CC58A9F" w:rsidRPr="4CC6CE91">
        <w:rPr>
          <w:rFonts w:ascii="Arial" w:hAnsi="Arial" w:cs="Arial"/>
          <w:color w:val="000000" w:themeColor="text1"/>
          <w:sz w:val="20"/>
          <w:szCs w:val="20"/>
        </w:rPr>
        <w:t>*</w:t>
      </w:r>
      <w:r w:rsidRPr="4CC6CE91">
        <w:rPr>
          <w:rFonts w:ascii="Arial" w:hAnsi="Arial" w:cs="Arial"/>
          <w:color w:val="000000" w:themeColor="text1"/>
          <w:sz w:val="20"/>
          <w:szCs w:val="20"/>
        </w:rPr>
        <w:t>*</w:t>
      </w:r>
      <w:r w:rsidR="0C73B17C" w:rsidRPr="4CC6CE91">
        <w:rPr>
          <w:rFonts w:ascii="Arial" w:hAnsi="Arial" w:cs="Arial"/>
          <w:color w:val="000000" w:themeColor="text1"/>
          <w:sz w:val="20"/>
          <w:szCs w:val="20"/>
        </w:rPr>
        <w:t>D</w:t>
      </w:r>
      <w:r w:rsidRPr="4CC6CE91">
        <w:rPr>
          <w:rFonts w:ascii="Arial" w:hAnsi="Arial" w:cs="Arial"/>
          <w:color w:val="000000" w:themeColor="text1"/>
          <w:sz w:val="20"/>
          <w:szCs w:val="20"/>
        </w:rPr>
        <w:t>ecrease</w:t>
      </w:r>
      <w:r w:rsidR="0C73B17C" w:rsidRPr="4CC6CE91">
        <w:rPr>
          <w:rFonts w:ascii="Arial" w:hAnsi="Arial" w:cs="Arial"/>
          <w:color w:val="000000" w:themeColor="text1"/>
          <w:sz w:val="20"/>
          <w:szCs w:val="20"/>
        </w:rPr>
        <w:t xml:space="preserve"> in postsecondary badges d</w:t>
      </w:r>
      <w:r w:rsidR="0356DEB1" w:rsidRPr="4CC6CE91">
        <w:rPr>
          <w:rFonts w:ascii="Arial" w:hAnsi="Arial" w:cs="Arial"/>
          <w:color w:val="000000" w:themeColor="text1"/>
          <w:sz w:val="20"/>
          <w:szCs w:val="20"/>
        </w:rPr>
        <w:t xml:space="preserve">ue to </w:t>
      </w:r>
      <w:r w:rsidR="0C73B17C" w:rsidRPr="4CC6CE91">
        <w:rPr>
          <w:rFonts w:ascii="Arial" w:hAnsi="Arial" w:cs="Arial"/>
          <w:color w:val="000000" w:themeColor="text1"/>
          <w:sz w:val="20"/>
          <w:szCs w:val="20"/>
        </w:rPr>
        <w:t xml:space="preserve">programmatic changes </w:t>
      </w:r>
      <w:r w:rsidR="449F516C" w:rsidRPr="4CC6CE91">
        <w:rPr>
          <w:rFonts w:ascii="Arial" w:hAnsi="Arial" w:cs="Arial"/>
          <w:color w:val="000000" w:themeColor="text1"/>
          <w:sz w:val="20"/>
          <w:szCs w:val="20"/>
        </w:rPr>
        <w:t>with</w:t>
      </w:r>
      <w:r w:rsidR="0C73B17C" w:rsidRPr="4CC6CE91">
        <w:rPr>
          <w:rFonts w:ascii="Arial" w:hAnsi="Arial" w:cs="Arial"/>
          <w:color w:val="000000" w:themeColor="text1"/>
          <w:sz w:val="20"/>
          <w:szCs w:val="20"/>
        </w:rPr>
        <w:t xml:space="preserve"> the pandemic</w:t>
      </w:r>
      <w:r w:rsidR="75C78179" w:rsidRPr="4CC6CE91">
        <w:rPr>
          <w:rFonts w:ascii="Arial" w:hAnsi="Arial" w:cs="Arial"/>
          <w:color w:val="000000" w:themeColor="text1"/>
          <w:sz w:val="20"/>
          <w:szCs w:val="20"/>
        </w:rPr>
        <w:t>.</w:t>
      </w:r>
    </w:p>
    <w:p w14:paraId="15A49AAE" w14:textId="77777777" w:rsidR="007B655B" w:rsidRDefault="007B655B" w:rsidP="007B655B">
      <w:pPr>
        <w:jc w:val="both"/>
        <w:rPr>
          <w:rFonts w:ascii="Arial" w:hAnsi="Arial" w:cs="Arial"/>
          <w:color w:val="000000"/>
          <w:sz w:val="20"/>
          <w:szCs w:val="20"/>
        </w:rPr>
      </w:pPr>
    </w:p>
    <w:p w14:paraId="42FB4FD7" w14:textId="77777777" w:rsidR="0047556E" w:rsidRDefault="0047556E" w:rsidP="00C540EA">
      <w:pPr>
        <w:jc w:val="both"/>
        <w:outlineLvl w:val="0"/>
        <w:rPr>
          <w:rFonts w:ascii="Arial" w:hAnsi="Arial" w:cs="Arial"/>
          <w:b/>
          <w:i/>
          <w:color w:val="000080"/>
          <w:sz w:val="28"/>
          <w:szCs w:val="28"/>
        </w:rPr>
      </w:pPr>
      <w:bookmarkStart w:id="2" w:name="OLE_LINK5"/>
      <w:bookmarkStart w:id="3" w:name="OLE_LINK6"/>
      <w:r w:rsidRPr="004B2482">
        <w:rPr>
          <w:rFonts w:ascii="Arial" w:hAnsi="Arial" w:cs="Arial"/>
          <w:b/>
          <w:i/>
          <w:color w:val="000080"/>
          <w:sz w:val="28"/>
          <w:szCs w:val="28"/>
        </w:rPr>
        <w:t>Part II – Performance Measures</w:t>
      </w:r>
    </w:p>
    <w:p w14:paraId="3E32B429" w14:textId="77777777" w:rsidR="004F7B28" w:rsidRDefault="004F7B28" w:rsidP="00C540EA">
      <w:pPr>
        <w:jc w:val="both"/>
        <w:outlineLvl w:val="0"/>
        <w:rPr>
          <w:rFonts w:ascii="Arial" w:hAnsi="Arial" w:cs="Arial"/>
          <w:b/>
          <w:i/>
          <w:color w:val="000080"/>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51"/>
        <w:gridCol w:w="1064"/>
        <w:gridCol w:w="1085"/>
        <w:gridCol w:w="995"/>
        <w:gridCol w:w="995"/>
        <w:gridCol w:w="995"/>
        <w:gridCol w:w="995"/>
      </w:tblGrid>
      <w:tr w:rsidR="004F7B28" w:rsidRPr="00E85C14" w14:paraId="1A701E60" w14:textId="77777777" w:rsidTr="4CC6CE91">
        <w:tc>
          <w:tcPr>
            <w:tcW w:w="5015" w:type="dxa"/>
            <w:gridSpan w:val="2"/>
            <w:shd w:val="clear" w:color="auto" w:fill="000080"/>
            <w:vAlign w:val="bottom"/>
            <w:hideMark/>
          </w:tcPr>
          <w:p w14:paraId="3A36668E" w14:textId="77777777" w:rsidR="004F7B28" w:rsidRPr="00E85C14" w:rsidRDefault="004F7B28" w:rsidP="00BD1622">
            <w:pPr>
              <w:jc w:val="center"/>
              <w:rPr>
                <w:rFonts w:ascii="Arial" w:hAnsi="Arial" w:cs="Arial"/>
                <w:b/>
                <w:bCs/>
                <w:color w:val="FFFFFF"/>
                <w:sz w:val="20"/>
              </w:rPr>
            </w:pPr>
            <w:r w:rsidRPr="00E85C14">
              <w:rPr>
                <w:rFonts w:ascii="Arial" w:hAnsi="Arial" w:cs="Arial"/>
                <w:b/>
                <w:bCs/>
                <w:color w:val="FFFFFF"/>
                <w:sz w:val="20"/>
              </w:rPr>
              <w:t>Performance Measure</w:t>
            </w:r>
          </w:p>
        </w:tc>
        <w:tc>
          <w:tcPr>
            <w:tcW w:w="1085" w:type="dxa"/>
            <w:shd w:val="clear" w:color="auto" w:fill="000080"/>
            <w:vAlign w:val="bottom"/>
          </w:tcPr>
          <w:p w14:paraId="5409315F" w14:textId="37CB7887" w:rsidR="004F7B28" w:rsidRPr="00E85C14" w:rsidRDefault="00307BEF" w:rsidP="00BD1622">
            <w:pPr>
              <w:jc w:val="center"/>
              <w:rPr>
                <w:rFonts w:ascii="Arial" w:hAnsi="Arial" w:cs="Arial"/>
                <w:b/>
                <w:bCs/>
                <w:color w:val="FFFFFF"/>
                <w:sz w:val="20"/>
              </w:rPr>
            </w:pPr>
            <w:r>
              <w:rPr>
                <w:rFonts w:ascii="Arial" w:hAnsi="Arial" w:cs="Arial"/>
                <w:b/>
                <w:bCs/>
                <w:color w:val="FFFFFF"/>
                <w:sz w:val="20"/>
              </w:rPr>
              <w:t>FY 2019</w:t>
            </w:r>
          </w:p>
        </w:tc>
        <w:tc>
          <w:tcPr>
            <w:tcW w:w="995" w:type="dxa"/>
            <w:shd w:val="clear" w:color="auto" w:fill="000080"/>
            <w:vAlign w:val="bottom"/>
          </w:tcPr>
          <w:p w14:paraId="7FB7F6E7" w14:textId="6591CFC4" w:rsidR="004F7B28" w:rsidRPr="00E85C14" w:rsidRDefault="00307BEF" w:rsidP="00BD1622">
            <w:pPr>
              <w:jc w:val="center"/>
              <w:rPr>
                <w:rFonts w:ascii="Arial" w:hAnsi="Arial" w:cs="Arial"/>
                <w:b/>
                <w:bCs/>
                <w:color w:val="FFFFFF"/>
                <w:sz w:val="20"/>
              </w:rPr>
            </w:pPr>
            <w:r>
              <w:rPr>
                <w:rFonts w:ascii="Arial" w:hAnsi="Arial" w:cs="Arial"/>
                <w:b/>
                <w:bCs/>
                <w:color w:val="FFFFFF"/>
                <w:sz w:val="20"/>
              </w:rPr>
              <w:t>FY 2020</w:t>
            </w:r>
          </w:p>
        </w:tc>
        <w:tc>
          <w:tcPr>
            <w:tcW w:w="995" w:type="dxa"/>
            <w:shd w:val="clear" w:color="auto" w:fill="000080"/>
            <w:vAlign w:val="bottom"/>
          </w:tcPr>
          <w:p w14:paraId="4F88039D" w14:textId="126353B0" w:rsidR="004F7B28" w:rsidRPr="00E85C14" w:rsidRDefault="00307BEF" w:rsidP="00BD1622">
            <w:pPr>
              <w:jc w:val="center"/>
              <w:rPr>
                <w:rFonts w:ascii="Arial" w:hAnsi="Arial" w:cs="Arial"/>
                <w:b/>
                <w:bCs/>
                <w:color w:val="FFFFFF"/>
                <w:sz w:val="20"/>
              </w:rPr>
            </w:pPr>
            <w:r>
              <w:rPr>
                <w:rFonts w:ascii="Arial" w:hAnsi="Arial" w:cs="Arial"/>
                <w:b/>
                <w:bCs/>
                <w:color w:val="FFFFFF"/>
                <w:sz w:val="20"/>
              </w:rPr>
              <w:t>FY 2021</w:t>
            </w:r>
          </w:p>
        </w:tc>
        <w:tc>
          <w:tcPr>
            <w:tcW w:w="995" w:type="dxa"/>
            <w:shd w:val="clear" w:color="auto" w:fill="000080"/>
            <w:vAlign w:val="bottom"/>
          </w:tcPr>
          <w:p w14:paraId="2FFF7614" w14:textId="11D6BAB4" w:rsidR="004F7B28" w:rsidRPr="00E85C14" w:rsidRDefault="00307BEF" w:rsidP="00BD1622">
            <w:pPr>
              <w:jc w:val="center"/>
              <w:rPr>
                <w:rFonts w:ascii="Arial" w:hAnsi="Arial" w:cs="Arial"/>
                <w:b/>
                <w:bCs/>
                <w:color w:val="FFFFFF"/>
                <w:sz w:val="20"/>
              </w:rPr>
            </w:pPr>
            <w:r>
              <w:rPr>
                <w:rFonts w:ascii="Arial" w:hAnsi="Arial" w:cs="Arial"/>
                <w:b/>
                <w:bCs/>
                <w:color w:val="FFFFFF"/>
                <w:sz w:val="20"/>
              </w:rPr>
              <w:t>FY 2022</w:t>
            </w:r>
          </w:p>
        </w:tc>
        <w:tc>
          <w:tcPr>
            <w:tcW w:w="995" w:type="dxa"/>
            <w:shd w:val="clear" w:color="auto" w:fill="000080"/>
            <w:vAlign w:val="bottom"/>
          </w:tcPr>
          <w:p w14:paraId="7661A126" w14:textId="04E63EFD" w:rsidR="004F7B28" w:rsidRPr="00E85C14" w:rsidRDefault="00307BEF" w:rsidP="00BD1622">
            <w:pPr>
              <w:jc w:val="center"/>
              <w:rPr>
                <w:rFonts w:ascii="Arial" w:hAnsi="Arial" w:cs="Arial"/>
                <w:b/>
                <w:bCs/>
                <w:color w:val="FFFFFF"/>
                <w:sz w:val="20"/>
              </w:rPr>
            </w:pPr>
            <w:r>
              <w:rPr>
                <w:rFonts w:ascii="Arial" w:hAnsi="Arial" w:cs="Arial"/>
                <w:b/>
                <w:bCs/>
                <w:color w:val="FFFFFF"/>
                <w:sz w:val="20"/>
              </w:rPr>
              <w:t>FY 2023</w:t>
            </w:r>
          </w:p>
        </w:tc>
      </w:tr>
      <w:tr w:rsidR="004F7B28" w:rsidRPr="00E85C14" w14:paraId="6025BA40" w14:textId="77777777" w:rsidTr="4CC6CE91">
        <w:trPr>
          <w:trHeight w:val="323"/>
        </w:trPr>
        <w:tc>
          <w:tcPr>
            <w:tcW w:w="10080" w:type="dxa"/>
            <w:gridSpan w:val="7"/>
            <w:shd w:val="clear" w:color="auto" w:fill="DBE5F1" w:themeFill="accent1" w:themeFillTint="33"/>
            <w:vAlign w:val="center"/>
            <w:hideMark/>
          </w:tcPr>
          <w:p w14:paraId="5A4A0E2F" w14:textId="77777777" w:rsidR="004F7B28" w:rsidRPr="00A5582C" w:rsidRDefault="004F7B28" w:rsidP="00BD1622">
            <w:pPr>
              <w:jc w:val="center"/>
              <w:rPr>
                <w:rFonts w:ascii="Arial" w:hAnsi="Arial" w:cs="Arial"/>
                <w:b/>
                <w:sz w:val="20"/>
              </w:rPr>
            </w:pPr>
            <w:r w:rsidRPr="00A5582C">
              <w:rPr>
                <w:rFonts w:ascii="Arial" w:hAnsi="Arial" w:cs="Arial"/>
                <w:b/>
                <w:sz w:val="20"/>
              </w:rPr>
              <w:t>Board Goal 1</w:t>
            </w:r>
          </w:p>
          <w:p w14:paraId="660EFB96" w14:textId="77777777" w:rsidR="004F7B28" w:rsidRPr="00B3303A" w:rsidRDefault="004F7B28" w:rsidP="00BD1622">
            <w:pPr>
              <w:jc w:val="center"/>
              <w:rPr>
                <w:rFonts w:ascii="Arial" w:hAnsi="Arial" w:cs="Arial"/>
                <w:i/>
                <w:sz w:val="20"/>
              </w:rPr>
            </w:pPr>
            <w:r w:rsidRPr="00B3303A">
              <w:rPr>
                <w:rFonts w:ascii="Arial" w:hAnsi="Arial" w:cs="Arial"/>
                <w:i/>
                <w:sz w:val="20"/>
              </w:rPr>
              <w:t>EDUCATIONAL SYSTEM ALIGNMENT – Ensure that all components of the educational system are</w:t>
            </w:r>
          </w:p>
          <w:p w14:paraId="67D69383" w14:textId="77777777" w:rsidR="004F7B28" w:rsidRPr="00B3303A" w:rsidRDefault="004F7B28" w:rsidP="00BD1622">
            <w:pPr>
              <w:jc w:val="center"/>
              <w:rPr>
                <w:rFonts w:ascii="Arial" w:hAnsi="Arial" w:cs="Arial"/>
                <w:i/>
                <w:sz w:val="20"/>
              </w:rPr>
            </w:pPr>
            <w:r w:rsidRPr="00B3303A">
              <w:rPr>
                <w:rFonts w:ascii="Arial" w:hAnsi="Arial" w:cs="Arial"/>
                <w:i/>
                <w:sz w:val="20"/>
              </w:rPr>
              <w:t>integrated and coordinated to maximize opportunities for all students.</w:t>
            </w:r>
          </w:p>
          <w:p w14:paraId="2DE6099E" w14:textId="77777777" w:rsidR="004F7B28" w:rsidRPr="00B3303A" w:rsidRDefault="004F7B28" w:rsidP="00BD1622">
            <w:pPr>
              <w:jc w:val="center"/>
              <w:rPr>
                <w:rFonts w:ascii="Arial" w:hAnsi="Arial" w:cs="Arial"/>
                <w:i/>
                <w:sz w:val="20"/>
                <w:szCs w:val="20"/>
              </w:rPr>
            </w:pPr>
          </w:p>
          <w:p w14:paraId="6D0BC3FE" w14:textId="77777777" w:rsidR="004F7B28" w:rsidRPr="00B3303A" w:rsidRDefault="004F7B28" w:rsidP="00BD1622">
            <w:pPr>
              <w:pStyle w:val="ListParagraph"/>
              <w:autoSpaceDE w:val="0"/>
              <w:autoSpaceDN w:val="0"/>
              <w:adjustRightInd w:val="0"/>
              <w:ind w:left="279"/>
              <w:jc w:val="center"/>
              <w:rPr>
                <w:rFonts w:ascii="Arial" w:hAnsi="Arial" w:cs="Arial"/>
                <w:sz w:val="20"/>
                <w:szCs w:val="20"/>
              </w:rPr>
            </w:pPr>
            <w:r w:rsidRPr="00B3303A">
              <w:rPr>
                <w:rFonts w:ascii="Arial" w:hAnsi="Arial" w:cs="Arial"/>
                <w:sz w:val="20"/>
                <w:szCs w:val="20"/>
              </w:rPr>
              <w:t>CTE Objective: Student Success – Create systems, services, resources, and operations that support</w:t>
            </w:r>
          </w:p>
          <w:p w14:paraId="776AE00E" w14:textId="77777777" w:rsidR="004F7B28" w:rsidRPr="00B3303A" w:rsidRDefault="004F7B28" w:rsidP="00BD1622">
            <w:pPr>
              <w:pStyle w:val="ListParagraph"/>
              <w:autoSpaceDE w:val="0"/>
              <w:autoSpaceDN w:val="0"/>
              <w:adjustRightInd w:val="0"/>
              <w:ind w:left="279"/>
              <w:jc w:val="center"/>
              <w:rPr>
                <w:rFonts w:ascii="Arial" w:hAnsi="Arial" w:cs="Arial"/>
                <w:b/>
              </w:rPr>
            </w:pPr>
            <w:r w:rsidRPr="00B3303A">
              <w:rPr>
                <w:rFonts w:ascii="Arial" w:hAnsi="Arial" w:cs="Arial"/>
                <w:sz w:val="20"/>
                <w:szCs w:val="20"/>
              </w:rPr>
              <w:t>high performing students in high performing programs and lead to positive placements.</w:t>
            </w:r>
          </w:p>
          <w:p w14:paraId="5A2271CB" w14:textId="77777777" w:rsidR="004F7B28" w:rsidRPr="00B3303A" w:rsidRDefault="004F7B28" w:rsidP="00BD1622">
            <w:pPr>
              <w:pStyle w:val="ListParagraph"/>
              <w:autoSpaceDE w:val="0"/>
              <w:autoSpaceDN w:val="0"/>
              <w:adjustRightInd w:val="0"/>
              <w:ind w:left="279"/>
              <w:jc w:val="center"/>
              <w:rPr>
                <w:rFonts w:ascii="Arial" w:hAnsi="Arial" w:cs="Arial"/>
                <w:i/>
                <w:sz w:val="20"/>
                <w:szCs w:val="20"/>
              </w:rPr>
            </w:pPr>
            <w:r w:rsidRPr="00B3303A">
              <w:rPr>
                <w:rFonts w:ascii="Arial" w:hAnsi="Arial" w:cs="Arial"/>
                <w:i/>
                <w:sz w:val="20"/>
                <w:szCs w:val="20"/>
              </w:rPr>
              <w:t>Performance Measures I – III, V (see pages 3 – 4)</w:t>
            </w:r>
          </w:p>
          <w:p w14:paraId="76746A8F" w14:textId="77777777" w:rsidR="004F7B28" w:rsidRPr="00B3303A" w:rsidRDefault="004F7B28" w:rsidP="00BD1622">
            <w:pPr>
              <w:pStyle w:val="ListParagraph"/>
              <w:autoSpaceDE w:val="0"/>
              <w:autoSpaceDN w:val="0"/>
              <w:adjustRightInd w:val="0"/>
              <w:ind w:left="279"/>
              <w:jc w:val="center"/>
              <w:rPr>
                <w:rFonts w:ascii="Arial" w:hAnsi="Arial" w:cs="Arial"/>
                <w:i/>
                <w:sz w:val="20"/>
                <w:szCs w:val="20"/>
              </w:rPr>
            </w:pPr>
          </w:p>
          <w:p w14:paraId="6B28ECC7" w14:textId="77777777" w:rsidR="004F7B28" w:rsidRPr="00B3303A" w:rsidRDefault="004F7B28" w:rsidP="00BD1622">
            <w:pPr>
              <w:jc w:val="center"/>
              <w:rPr>
                <w:rFonts w:ascii="Arial" w:hAnsi="Arial" w:cs="Arial"/>
                <w:b/>
                <w:sz w:val="20"/>
              </w:rPr>
            </w:pPr>
            <w:r w:rsidRPr="00B3303A">
              <w:rPr>
                <w:rFonts w:ascii="Arial" w:hAnsi="Arial" w:cs="Arial"/>
                <w:b/>
                <w:sz w:val="20"/>
              </w:rPr>
              <w:t>Board Goal 2</w:t>
            </w:r>
          </w:p>
          <w:p w14:paraId="1C107FD0" w14:textId="77777777" w:rsidR="004F7B28" w:rsidRPr="00B3303A" w:rsidRDefault="004F7B28" w:rsidP="00BD1622">
            <w:pPr>
              <w:jc w:val="center"/>
              <w:rPr>
                <w:rFonts w:ascii="Arial" w:hAnsi="Arial" w:cs="Arial"/>
                <w:i/>
                <w:sz w:val="20"/>
              </w:rPr>
            </w:pPr>
            <w:r w:rsidRPr="00B3303A">
              <w:rPr>
                <w:rFonts w:ascii="Arial" w:hAnsi="Arial" w:cs="Arial"/>
                <w:i/>
                <w:sz w:val="20"/>
              </w:rPr>
              <w:t>EDUCATIONAL ATTAINMENT – Idaho’s public colleges and universities will award enough degrees</w:t>
            </w:r>
          </w:p>
          <w:p w14:paraId="4004093B" w14:textId="77777777" w:rsidR="004F7B28" w:rsidRPr="00B3303A" w:rsidRDefault="004F7B28" w:rsidP="00BD1622">
            <w:pPr>
              <w:jc w:val="center"/>
              <w:rPr>
                <w:rFonts w:ascii="Arial" w:hAnsi="Arial" w:cs="Arial"/>
                <w:i/>
                <w:sz w:val="20"/>
              </w:rPr>
            </w:pPr>
            <w:r w:rsidRPr="00B3303A">
              <w:rPr>
                <w:rFonts w:ascii="Arial" w:hAnsi="Arial" w:cs="Arial"/>
                <w:i/>
                <w:sz w:val="20"/>
              </w:rPr>
              <w:t>and certificates to meet the education and forecasted workforce needs of Idaho residents necessary</w:t>
            </w:r>
          </w:p>
          <w:p w14:paraId="75E2FEE3" w14:textId="77777777" w:rsidR="004F7B28" w:rsidRPr="00B3303A" w:rsidRDefault="004F7B28" w:rsidP="00BD1622">
            <w:pPr>
              <w:jc w:val="center"/>
              <w:rPr>
                <w:rFonts w:ascii="Arial" w:hAnsi="Arial" w:cs="Arial"/>
                <w:i/>
                <w:sz w:val="20"/>
              </w:rPr>
            </w:pPr>
            <w:r w:rsidRPr="00B3303A">
              <w:rPr>
                <w:rFonts w:ascii="Arial" w:hAnsi="Arial" w:cs="Arial"/>
                <w:i/>
                <w:sz w:val="20"/>
              </w:rPr>
              <w:t>to survive and thrive in the changing economy.</w:t>
            </w:r>
          </w:p>
          <w:p w14:paraId="20593E3B" w14:textId="77777777" w:rsidR="004F7B28" w:rsidRPr="00B3303A" w:rsidRDefault="004F7B28" w:rsidP="00BD1622">
            <w:pPr>
              <w:pStyle w:val="ListParagraph"/>
              <w:autoSpaceDE w:val="0"/>
              <w:autoSpaceDN w:val="0"/>
              <w:adjustRightInd w:val="0"/>
              <w:ind w:left="279"/>
              <w:jc w:val="center"/>
              <w:rPr>
                <w:rFonts w:ascii="Arial" w:hAnsi="Arial" w:cs="Arial"/>
                <w:i/>
                <w:sz w:val="20"/>
                <w:szCs w:val="20"/>
              </w:rPr>
            </w:pPr>
          </w:p>
          <w:p w14:paraId="1AB52957" w14:textId="77777777" w:rsidR="004F7B28" w:rsidRPr="00B3303A" w:rsidRDefault="004F7B28" w:rsidP="00BD1622">
            <w:pPr>
              <w:jc w:val="center"/>
              <w:rPr>
                <w:rFonts w:ascii="Arial" w:hAnsi="Arial" w:cs="Arial"/>
                <w:sz w:val="20"/>
                <w:szCs w:val="20"/>
              </w:rPr>
            </w:pPr>
            <w:r w:rsidRPr="00B3303A">
              <w:rPr>
                <w:rFonts w:ascii="Arial" w:hAnsi="Arial" w:cs="Arial"/>
                <w:sz w:val="20"/>
                <w:szCs w:val="20"/>
              </w:rPr>
              <w:t>CTE Objective: Talent Pipelines/Career Pathways – CTE students will successfully transition from</w:t>
            </w:r>
          </w:p>
          <w:p w14:paraId="32FFA228" w14:textId="77777777" w:rsidR="004F7B28" w:rsidRPr="00B3303A" w:rsidRDefault="004F7B28" w:rsidP="00BD1622">
            <w:pPr>
              <w:jc w:val="center"/>
              <w:rPr>
                <w:rFonts w:ascii="Arial" w:hAnsi="Arial" w:cs="Arial"/>
                <w:sz w:val="20"/>
                <w:szCs w:val="20"/>
              </w:rPr>
            </w:pPr>
            <w:r w:rsidRPr="00B3303A">
              <w:rPr>
                <w:rFonts w:ascii="Arial" w:hAnsi="Arial" w:cs="Arial"/>
                <w:sz w:val="20"/>
                <w:szCs w:val="20"/>
              </w:rPr>
              <w:t>high school and postsecondary education to the workplace through a statewide career pathways model.</w:t>
            </w:r>
          </w:p>
          <w:p w14:paraId="13FCB12D" w14:textId="77777777" w:rsidR="004F7B28" w:rsidRPr="00FF079C" w:rsidRDefault="004F7B28" w:rsidP="00BD1622">
            <w:pPr>
              <w:pStyle w:val="ListParagraph"/>
              <w:autoSpaceDE w:val="0"/>
              <w:autoSpaceDN w:val="0"/>
              <w:adjustRightInd w:val="0"/>
              <w:ind w:left="279"/>
              <w:jc w:val="center"/>
              <w:rPr>
                <w:rFonts w:ascii="Arial" w:hAnsi="Arial" w:cs="Arial"/>
                <w:i/>
                <w:color w:val="FF0000"/>
                <w:sz w:val="20"/>
                <w:szCs w:val="20"/>
              </w:rPr>
            </w:pPr>
            <w:r w:rsidRPr="00B3303A">
              <w:rPr>
                <w:rFonts w:ascii="Arial" w:hAnsi="Arial" w:cs="Arial"/>
                <w:i/>
                <w:sz w:val="20"/>
                <w:szCs w:val="20"/>
              </w:rPr>
              <w:t>Performance Measures I – III (see pages 4 – 5)</w:t>
            </w:r>
          </w:p>
        </w:tc>
      </w:tr>
      <w:tr w:rsidR="00307BEF" w:rsidRPr="00E85C14" w14:paraId="55020D74" w14:textId="77777777" w:rsidTr="00047979">
        <w:trPr>
          <w:trHeight w:val="288"/>
        </w:trPr>
        <w:tc>
          <w:tcPr>
            <w:tcW w:w="3951" w:type="dxa"/>
            <w:vMerge w:val="restart"/>
            <w:hideMark/>
          </w:tcPr>
          <w:p w14:paraId="22671E37" w14:textId="77777777" w:rsidR="00307BEF" w:rsidRPr="00FF079C" w:rsidRDefault="00307BEF" w:rsidP="00307BEF">
            <w:pPr>
              <w:pStyle w:val="ListParagraph"/>
              <w:numPr>
                <w:ilvl w:val="0"/>
                <w:numId w:val="19"/>
              </w:numPr>
              <w:ind w:left="279" w:hanging="270"/>
              <w:rPr>
                <w:rFonts w:ascii="Arial" w:hAnsi="Arial" w:cs="Arial"/>
                <w:bCs/>
                <w:i/>
                <w:sz w:val="20"/>
              </w:rPr>
            </w:pPr>
            <w:r w:rsidRPr="00FF079C">
              <w:rPr>
                <w:rFonts w:ascii="Arial" w:hAnsi="Arial" w:cs="Arial"/>
                <w:bCs/>
                <w:i/>
                <w:sz w:val="20"/>
              </w:rPr>
              <w:t>Secondary student pass rate for Technical Skill Assessment (TSA)</w:t>
            </w:r>
          </w:p>
        </w:tc>
        <w:tc>
          <w:tcPr>
            <w:tcW w:w="1064" w:type="dxa"/>
            <w:shd w:val="clear" w:color="auto" w:fill="D9D9D9" w:themeFill="background1" w:themeFillShade="D9"/>
            <w:vAlign w:val="center"/>
            <w:hideMark/>
          </w:tcPr>
          <w:p w14:paraId="68FEEC36" w14:textId="77777777" w:rsidR="00307BEF" w:rsidRPr="00E85C14" w:rsidRDefault="00307BEF" w:rsidP="00307BEF">
            <w:pPr>
              <w:jc w:val="center"/>
              <w:rPr>
                <w:rFonts w:ascii="Arial" w:hAnsi="Arial" w:cs="Arial"/>
                <w:sz w:val="20"/>
              </w:rPr>
            </w:pPr>
            <w:r w:rsidRPr="00E85C14">
              <w:rPr>
                <w:rFonts w:ascii="Arial" w:hAnsi="Arial" w:cs="Arial"/>
                <w:sz w:val="20"/>
              </w:rPr>
              <w:t>actual</w:t>
            </w:r>
          </w:p>
        </w:tc>
        <w:tc>
          <w:tcPr>
            <w:tcW w:w="1085" w:type="dxa"/>
            <w:shd w:val="clear" w:color="auto" w:fill="D9D9D9" w:themeFill="background1" w:themeFillShade="D9"/>
            <w:vAlign w:val="center"/>
          </w:tcPr>
          <w:p w14:paraId="16B8B15B" w14:textId="7773AB9C" w:rsidR="00307BEF" w:rsidRPr="00E85C14" w:rsidRDefault="00307BEF" w:rsidP="00307BEF">
            <w:pPr>
              <w:jc w:val="center"/>
              <w:rPr>
                <w:rFonts w:ascii="Arial" w:hAnsi="Arial" w:cs="Arial"/>
                <w:bCs/>
                <w:sz w:val="18"/>
                <w:szCs w:val="18"/>
                <w:highlight w:val="yellow"/>
              </w:rPr>
            </w:pPr>
            <w:r>
              <w:rPr>
                <w:rFonts w:ascii="Arial" w:hAnsi="Arial" w:cs="Arial"/>
                <w:sz w:val="20"/>
              </w:rPr>
              <w:t>67.2</w:t>
            </w:r>
          </w:p>
        </w:tc>
        <w:tc>
          <w:tcPr>
            <w:tcW w:w="995" w:type="dxa"/>
            <w:shd w:val="clear" w:color="auto" w:fill="D9D9D9" w:themeFill="background1" w:themeFillShade="D9"/>
            <w:vAlign w:val="center"/>
          </w:tcPr>
          <w:p w14:paraId="4678AC73" w14:textId="2B8B6FFE" w:rsidR="00307BEF" w:rsidRPr="00E85C14" w:rsidRDefault="00307BEF" w:rsidP="00307BEF">
            <w:pPr>
              <w:jc w:val="center"/>
              <w:rPr>
                <w:rFonts w:ascii="Arial" w:hAnsi="Arial" w:cs="Arial"/>
                <w:sz w:val="20"/>
              </w:rPr>
            </w:pPr>
            <w:r>
              <w:rPr>
                <w:rFonts w:ascii="Arial" w:hAnsi="Arial" w:cs="Arial"/>
                <w:sz w:val="20"/>
              </w:rPr>
              <w:t>n/a</w:t>
            </w:r>
          </w:p>
        </w:tc>
        <w:tc>
          <w:tcPr>
            <w:tcW w:w="995" w:type="dxa"/>
            <w:shd w:val="clear" w:color="auto" w:fill="D9D9D9" w:themeFill="background1" w:themeFillShade="D9"/>
            <w:vAlign w:val="center"/>
          </w:tcPr>
          <w:p w14:paraId="1E7CA10E" w14:textId="1F54218B" w:rsidR="00307BEF" w:rsidRPr="00E85C14" w:rsidRDefault="00307BEF" w:rsidP="00307BEF">
            <w:pPr>
              <w:jc w:val="center"/>
              <w:rPr>
                <w:rFonts w:ascii="Arial" w:hAnsi="Arial" w:cs="Arial"/>
                <w:sz w:val="20"/>
              </w:rPr>
            </w:pPr>
            <w:r w:rsidRPr="00BA7601">
              <w:rPr>
                <w:rFonts w:ascii="Arial" w:hAnsi="Arial" w:cs="Arial"/>
                <w:sz w:val="20"/>
                <w:szCs w:val="20"/>
              </w:rPr>
              <w:t>65.6</w:t>
            </w:r>
          </w:p>
        </w:tc>
        <w:tc>
          <w:tcPr>
            <w:tcW w:w="995" w:type="dxa"/>
            <w:shd w:val="clear" w:color="auto" w:fill="D9D9D9" w:themeFill="background1" w:themeFillShade="D9"/>
          </w:tcPr>
          <w:p w14:paraId="2E3B516E" w14:textId="799782CC" w:rsidR="00307BEF" w:rsidRPr="00E85C14" w:rsidRDefault="00307BEF" w:rsidP="00307BEF">
            <w:pPr>
              <w:jc w:val="center"/>
              <w:rPr>
                <w:rFonts w:ascii="Arial" w:hAnsi="Arial" w:cs="Arial"/>
                <w:color w:val="FF0000"/>
                <w:sz w:val="20"/>
                <w:szCs w:val="20"/>
              </w:rPr>
            </w:pPr>
            <w:r w:rsidRPr="00E85C14">
              <w:rPr>
                <w:rFonts w:ascii="Arial" w:hAnsi="Arial" w:cs="Arial"/>
                <w:sz w:val="20"/>
              </w:rPr>
              <w:t>----------</w:t>
            </w:r>
          </w:p>
        </w:tc>
        <w:tc>
          <w:tcPr>
            <w:tcW w:w="995" w:type="dxa"/>
            <w:shd w:val="clear" w:color="auto" w:fill="D9D9D9" w:themeFill="background1" w:themeFillShade="D9"/>
          </w:tcPr>
          <w:p w14:paraId="34AFBD68" w14:textId="652EA56C" w:rsidR="00307BEF" w:rsidRPr="00E85C14" w:rsidRDefault="00307BEF" w:rsidP="00307BEF">
            <w:pPr>
              <w:jc w:val="center"/>
              <w:rPr>
                <w:rFonts w:ascii="Arial" w:hAnsi="Arial" w:cs="Arial"/>
                <w:sz w:val="20"/>
              </w:rPr>
            </w:pPr>
          </w:p>
        </w:tc>
      </w:tr>
      <w:tr w:rsidR="00307BEF" w:rsidRPr="00E85C14" w14:paraId="5544D031" w14:textId="77777777" w:rsidTr="4CC6CE91">
        <w:trPr>
          <w:trHeight w:val="288"/>
        </w:trPr>
        <w:tc>
          <w:tcPr>
            <w:tcW w:w="3951" w:type="dxa"/>
            <w:vMerge/>
            <w:vAlign w:val="center"/>
            <w:hideMark/>
          </w:tcPr>
          <w:p w14:paraId="4ACB10B4" w14:textId="77777777" w:rsidR="00307BEF" w:rsidRPr="00FF079C" w:rsidRDefault="00307BEF" w:rsidP="00307BEF">
            <w:pPr>
              <w:rPr>
                <w:rFonts w:ascii="Arial" w:hAnsi="Arial" w:cs="Arial"/>
                <w:bCs/>
                <w:i/>
                <w:sz w:val="20"/>
              </w:rPr>
            </w:pPr>
          </w:p>
        </w:tc>
        <w:tc>
          <w:tcPr>
            <w:tcW w:w="1064" w:type="dxa"/>
            <w:shd w:val="clear" w:color="auto" w:fill="FFFFFF" w:themeFill="background1"/>
            <w:vAlign w:val="center"/>
            <w:hideMark/>
          </w:tcPr>
          <w:p w14:paraId="6B4CA301" w14:textId="77777777" w:rsidR="00307BEF" w:rsidRPr="00E85C14" w:rsidRDefault="00307BEF" w:rsidP="00307BEF">
            <w:pPr>
              <w:jc w:val="center"/>
              <w:rPr>
                <w:rFonts w:ascii="Arial" w:hAnsi="Arial" w:cs="Arial"/>
                <w:i/>
                <w:sz w:val="16"/>
                <w:szCs w:val="16"/>
              </w:rPr>
            </w:pPr>
            <w:r>
              <w:rPr>
                <w:rFonts w:ascii="Arial" w:hAnsi="Arial" w:cs="Arial"/>
                <w:i/>
                <w:sz w:val="16"/>
                <w:szCs w:val="16"/>
              </w:rPr>
              <w:t>benchmark</w:t>
            </w:r>
          </w:p>
        </w:tc>
        <w:tc>
          <w:tcPr>
            <w:tcW w:w="1085" w:type="dxa"/>
            <w:shd w:val="clear" w:color="auto" w:fill="FFFFFF" w:themeFill="background1"/>
            <w:vAlign w:val="center"/>
          </w:tcPr>
          <w:p w14:paraId="7616407E" w14:textId="4481B9E1" w:rsidR="00307BEF" w:rsidRPr="00E85C14" w:rsidRDefault="00307BEF" w:rsidP="00307BEF">
            <w:pPr>
              <w:jc w:val="center"/>
              <w:rPr>
                <w:rFonts w:ascii="Arial" w:hAnsi="Arial" w:cs="Arial"/>
                <w:i/>
                <w:sz w:val="16"/>
                <w:szCs w:val="16"/>
              </w:rPr>
            </w:pPr>
            <w:r>
              <w:rPr>
                <w:rFonts w:ascii="Arial" w:hAnsi="Arial" w:cs="Arial"/>
                <w:i/>
                <w:sz w:val="16"/>
                <w:szCs w:val="16"/>
              </w:rPr>
              <w:t>67.0</w:t>
            </w:r>
          </w:p>
        </w:tc>
        <w:tc>
          <w:tcPr>
            <w:tcW w:w="995" w:type="dxa"/>
            <w:shd w:val="clear" w:color="auto" w:fill="FFFFFF" w:themeFill="background1"/>
            <w:vAlign w:val="center"/>
          </w:tcPr>
          <w:p w14:paraId="4EB5079A" w14:textId="3FC4CAA0" w:rsidR="00307BEF" w:rsidRPr="00E85C14" w:rsidRDefault="00307BEF" w:rsidP="00307BEF">
            <w:pPr>
              <w:jc w:val="center"/>
              <w:rPr>
                <w:rFonts w:ascii="Arial" w:hAnsi="Arial" w:cs="Arial"/>
                <w:i/>
                <w:sz w:val="16"/>
                <w:szCs w:val="16"/>
              </w:rPr>
            </w:pPr>
            <w:r>
              <w:rPr>
                <w:rFonts w:ascii="Arial" w:hAnsi="Arial" w:cs="Arial"/>
                <w:i/>
                <w:sz w:val="16"/>
                <w:szCs w:val="16"/>
              </w:rPr>
              <w:t>n/a</w:t>
            </w:r>
          </w:p>
        </w:tc>
        <w:tc>
          <w:tcPr>
            <w:tcW w:w="995" w:type="dxa"/>
            <w:shd w:val="clear" w:color="auto" w:fill="FFFFFF" w:themeFill="background1"/>
            <w:vAlign w:val="center"/>
          </w:tcPr>
          <w:p w14:paraId="11F17318" w14:textId="7B9E2673" w:rsidR="00307BEF" w:rsidRPr="00E85C14" w:rsidRDefault="00307BEF" w:rsidP="00307BEF">
            <w:pPr>
              <w:jc w:val="center"/>
              <w:rPr>
                <w:rFonts w:ascii="Arial" w:hAnsi="Arial" w:cs="Arial"/>
                <w:i/>
                <w:sz w:val="16"/>
                <w:szCs w:val="16"/>
              </w:rPr>
            </w:pPr>
            <w:r w:rsidRPr="4CC6CE91">
              <w:rPr>
                <w:rFonts w:ascii="Arial" w:hAnsi="Arial" w:cs="Arial"/>
                <w:i/>
                <w:iCs/>
                <w:sz w:val="16"/>
                <w:szCs w:val="16"/>
              </w:rPr>
              <w:t>67.3</w:t>
            </w:r>
          </w:p>
        </w:tc>
        <w:tc>
          <w:tcPr>
            <w:tcW w:w="995" w:type="dxa"/>
            <w:shd w:val="clear" w:color="auto" w:fill="FFFFFF" w:themeFill="background1"/>
            <w:vAlign w:val="center"/>
          </w:tcPr>
          <w:p w14:paraId="76D91284" w14:textId="7D36112B" w:rsidR="00307BEF" w:rsidRPr="00E85C14" w:rsidRDefault="00307BEF" w:rsidP="00307BEF">
            <w:pPr>
              <w:jc w:val="center"/>
              <w:rPr>
                <w:rFonts w:ascii="Arial" w:hAnsi="Arial" w:cs="Arial"/>
                <w:i/>
                <w:iCs/>
                <w:sz w:val="16"/>
                <w:szCs w:val="16"/>
              </w:rPr>
            </w:pPr>
            <w:r>
              <w:rPr>
                <w:rFonts w:ascii="Arial" w:hAnsi="Arial" w:cs="Arial"/>
                <w:i/>
                <w:sz w:val="16"/>
                <w:szCs w:val="16"/>
              </w:rPr>
              <w:t>67.6</w:t>
            </w:r>
          </w:p>
        </w:tc>
        <w:tc>
          <w:tcPr>
            <w:tcW w:w="995" w:type="dxa"/>
            <w:shd w:val="clear" w:color="auto" w:fill="FFFFFF" w:themeFill="background1"/>
            <w:vAlign w:val="center"/>
          </w:tcPr>
          <w:p w14:paraId="00A85801" w14:textId="3F1F3A1A" w:rsidR="00307BEF" w:rsidRPr="00E85C14" w:rsidRDefault="00307BEF" w:rsidP="00307BEF">
            <w:pPr>
              <w:jc w:val="center"/>
              <w:rPr>
                <w:rFonts w:ascii="Arial" w:hAnsi="Arial" w:cs="Arial"/>
                <w:i/>
                <w:sz w:val="16"/>
                <w:szCs w:val="16"/>
              </w:rPr>
            </w:pPr>
          </w:p>
        </w:tc>
      </w:tr>
      <w:tr w:rsidR="00307BEF" w:rsidRPr="00E85C14" w14:paraId="138A3CB9" w14:textId="77777777" w:rsidTr="00047979">
        <w:trPr>
          <w:trHeight w:val="288"/>
        </w:trPr>
        <w:tc>
          <w:tcPr>
            <w:tcW w:w="3951" w:type="dxa"/>
            <w:vMerge w:val="restart"/>
            <w:shd w:val="clear" w:color="auto" w:fill="auto"/>
            <w:hideMark/>
          </w:tcPr>
          <w:p w14:paraId="4BF3B9A0" w14:textId="77777777" w:rsidR="00307BEF" w:rsidRPr="00B3303A" w:rsidRDefault="00307BEF" w:rsidP="00307BEF">
            <w:pPr>
              <w:pStyle w:val="ListParagraph"/>
              <w:numPr>
                <w:ilvl w:val="0"/>
                <w:numId w:val="19"/>
              </w:numPr>
              <w:ind w:left="279" w:hanging="279"/>
              <w:rPr>
                <w:rFonts w:ascii="Arial" w:hAnsi="Arial" w:cs="Arial"/>
                <w:bCs/>
                <w:i/>
                <w:sz w:val="20"/>
              </w:rPr>
            </w:pPr>
            <w:r w:rsidRPr="00B3303A">
              <w:rPr>
                <w:rFonts w:ascii="Arial" w:hAnsi="Arial" w:cs="Arial"/>
                <w:bCs/>
                <w:i/>
                <w:sz w:val="20"/>
              </w:rPr>
              <w:t>Positive placement rate of secondary concentrators</w:t>
            </w:r>
          </w:p>
        </w:tc>
        <w:tc>
          <w:tcPr>
            <w:tcW w:w="1064" w:type="dxa"/>
            <w:shd w:val="clear" w:color="auto" w:fill="D9D9D9" w:themeFill="background1" w:themeFillShade="D9"/>
            <w:vAlign w:val="center"/>
            <w:hideMark/>
          </w:tcPr>
          <w:p w14:paraId="6024FB8D" w14:textId="77777777" w:rsidR="00307BEF" w:rsidRPr="00E85C14" w:rsidRDefault="00307BEF" w:rsidP="00307BEF">
            <w:pPr>
              <w:jc w:val="center"/>
              <w:rPr>
                <w:rFonts w:ascii="Arial" w:hAnsi="Arial" w:cs="Arial"/>
                <w:sz w:val="20"/>
                <w:szCs w:val="20"/>
              </w:rPr>
            </w:pPr>
            <w:r w:rsidRPr="00E85C14">
              <w:rPr>
                <w:rFonts w:ascii="Arial" w:hAnsi="Arial" w:cs="Arial"/>
                <w:sz w:val="20"/>
                <w:szCs w:val="20"/>
              </w:rPr>
              <w:t>actual</w:t>
            </w:r>
          </w:p>
        </w:tc>
        <w:tc>
          <w:tcPr>
            <w:tcW w:w="1085" w:type="dxa"/>
            <w:shd w:val="clear" w:color="auto" w:fill="D9D9D9" w:themeFill="background1" w:themeFillShade="D9"/>
            <w:vAlign w:val="center"/>
          </w:tcPr>
          <w:p w14:paraId="05D3348E" w14:textId="1E3DA784" w:rsidR="00307BEF" w:rsidRPr="00E85C14" w:rsidRDefault="00307BEF" w:rsidP="00307BEF">
            <w:pPr>
              <w:jc w:val="center"/>
              <w:rPr>
                <w:rFonts w:ascii="Arial" w:hAnsi="Arial" w:cs="Arial"/>
                <w:sz w:val="20"/>
                <w:szCs w:val="20"/>
              </w:rPr>
            </w:pPr>
            <w:r w:rsidRPr="001377E6">
              <w:rPr>
                <w:rFonts w:ascii="Arial" w:hAnsi="Arial" w:cs="Arial"/>
                <w:sz w:val="20"/>
              </w:rPr>
              <w:t>95.0</w:t>
            </w:r>
          </w:p>
        </w:tc>
        <w:tc>
          <w:tcPr>
            <w:tcW w:w="995" w:type="dxa"/>
            <w:shd w:val="clear" w:color="auto" w:fill="D9D9D9" w:themeFill="background1" w:themeFillShade="D9"/>
            <w:vAlign w:val="center"/>
          </w:tcPr>
          <w:p w14:paraId="1293E762" w14:textId="3E504766" w:rsidR="00307BEF" w:rsidRPr="00E85C14" w:rsidRDefault="00307BEF" w:rsidP="00307BEF">
            <w:pPr>
              <w:jc w:val="center"/>
              <w:rPr>
                <w:rFonts w:ascii="Arial" w:hAnsi="Arial" w:cs="Arial"/>
                <w:sz w:val="20"/>
              </w:rPr>
            </w:pPr>
            <w:r w:rsidRPr="007239D3">
              <w:rPr>
                <w:rFonts w:ascii="Arial" w:hAnsi="Arial" w:cs="Arial"/>
                <w:sz w:val="20"/>
              </w:rPr>
              <w:t>96.3</w:t>
            </w:r>
          </w:p>
        </w:tc>
        <w:tc>
          <w:tcPr>
            <w:tcW w:w="995" w:type="dxa"/>
            <w:shd w:val="clear" w:color="auto" w:fill="D9D9D9" w:themeFill="background1" w:themeFillShade="D9"/>
            <w:vAlign w:val="center"/>
          </w:tcPr>
          <w:p w14:paraId="4F204C21" w14:textId="28CFE2BB" w:rsidR="00307BEF" w:rsidRPr="00E85C14" w:rsidRDefault="00307BEF" w:rsidP="00307BEF">
            <w:pPr>
              <w:jc w:val="center"/>
              <w:rPr>
                <w:rFonts w:ascii="Arial" w:hAnsi="Arial" w:cs="Arial"/>
                <w:sz w:val="20"/>
              </w:rPr>
            </w:pPr>
            <w:r w:rsidRPr="4CC6CE91">
              <w:rPr>
                <w:rFonts w:ascii="Arial" w:hAnsi="Arial" w:cs="Arial"/>
                <w:sz w:val="20"/>
                <w:szCs w:val="20"/>
              </w:rPr>
              <w:t>87.9</w:t>
            </w:r>
          </w:p>
        </w:tc>
        <w:tc>
          <w:tcPr>
            <w:tcW w:w="995" w:type="dxa"/>
            <w:shd w:val="clear" w:color="auto" w:fill="D9D9D9" w:themeFill="background1" w:themeFillShade="D9"/>
          </w:tcPr>
          <w:p w14:paraId="25156A4D" w14:textId="4A39EF22" w:rsidR="00307BEF" w:rsidRPr="004F37E1" w:rsidRDefault="00307BEF" w:rsidP="00307BEF">
            <w:pPr>
              <w:spacing w:line="259" w:lineRule="auto"/>
              <w:jc w:val="center"/>
              <w:rPr>
                <w:rFonts w:ascii="Arial" w:hAnsi="Arial" w:cs="Arial"/>
                <w:sz w:val="20"/>
                <w:szCs w:val="20"/>
              </w:rPr>
            </w:pPr>
            <w:r w:rsidRPr="00E85C14">
              <w:rPr>
                <w:rFonts w:ascii="Arial" w:hAnsi="Arial" w:cs="Arial"/>
                <w:sz w:val="20"/>
              </w:rPr>
              <w:t>----------</w:t>
            </w:r>
          </w:p>
        </w:tc>
        <w:tc>
          <w:tcPr>
            <w:tcW w:w="995" w:type="dxa"/>
            <w:shd w:val="clear" w:color="auto" w:fill="D9D9D9" w:themeFill="background1" w:themeFillShade="D9"/>
          </w:tcPr>
          <w:p w14:paraId="419BDD6C" w14:textId="7CBF8420" w:rsidR="00307BEF" w:rsidRPr="00E85C14" w:rsidRDefault="00307BEF" w:rsidP="00307BEF">
            <w:pPr>
              <w:jc w:val="center"/>
              <w:rPr>
                <w:rFonts w:ascii="Arial" w:hAnsi="Arial" w:cs="Arial"/>
                <w:sz w:val="20"/>
              </w:rPr>
            </w:pPr>
          </w:p>
        </w:tc>
      </w:tr>
      <w:tr w:rsidR="00307BEF" w:rsidRPr="00E85C14" w14:paraId="11BDFFE3" w14:textId="77777777" w:rsidTr="4CC6CE91">
        <w:trPr>
          <w:trHeight w:val="395"/>
        </w:trPr>
        <w:tc>
          <w:tcPr>
            <w:tcW w:w="3951" w:type="dxa"/>
            <w:vMerge/>
            <w:vAlign w:val="center"/>
            <w:hideMark/>
          </w:tcPr>
          <w:p w14:paraId="3948396F" w14:textId="77777777" w:rsidR="00307BEF" w:rsidRPr="00B3303A" w:rsidRDefault="00307BEF" w:rsidP="00307BEF">
            <w:pPr>
              <w:rPr>
                <w:rFonts w:ascii="Arial" w:hAnsi="Arial" w:cs="Arial"/>
                <w:bCs/>
                <w:i/>
                <w:sz w:val="20"/>
              </w:rPr>
            </w:pPr>
          </w:p>
        </w:tc>
        <w:tc>
          <w:tcPr>
            <w:tcW w:w="1064" w:type="dxa"/>
            <w:shd w:val="clear" w:color="auto" w:fill="FFFFFF" w:themeFill="background1"/>
            <w:vAlign w:val="center"/>
            <w:hideMark/>
          </w:tcPr>
          <w:p w14:paraId="22D021F4" w14:textId="77777777" w:rsidR="00307BEF" w:rsidRPr="00E85C14" w:rsidRDefault="00307BEF" w:rsidP="00307BEF">
            <w:pPr>
              <w:jc w:val="center"/>
              <w:rPr>
                <w:rFonts w:ascii="Arial" w:hAnsi="Arial" w:cs="Arial"/>
                <w:sz w:val="20"/>
              </w:rPr>
            </w:pPr>
            <w:r>
              <w:rPr>
                <w:rFonts w:ascii="Arial" w:hAnsi="Arial" w:cs="Arial"/>
                <w:i/>
                <w:sz w:val="16"/>
                <w:szCs w:val="16"/>
              </w:rPr>
              <w:t>benchmark</w:t>
            </w:r>
          </w:p>
        </w:tc>
        <w:tc>
          <w:tcPr>
            <w:tcW w:w="1085" w:type="dxa"/>
            <w:shd w:val="clear" w:color="auto" w:fill="FFFFFF" w:themeFill="background1"/>
            <w:vAlign w:val="center"/>
          </w:tcPr>
          <w:p w14:paraId="25B3642F" w14:textId="2B97C4F8" w:rsidR="00307BEF" w:rsidRPr="00E85C14" w:rsidRDefault="00307BEF" w:rsidP="00307BEF">
            <w:pPr>
              <w:jc w:val="center"/>
              <w:rPr>
                <w:rFonts w:ascii="Arial" w:hAnsi="Arial" w:cs="Arial"/>
                <w:i/>
                <w:sz w:val="16"/>
                <w:szCs w:val="16"/>
              </w:rPr>
            </w:pPr>
            <w:r>
              <w:rPr>
                <w:rFonts w:ascii="Arial" w:hAnsi="Arial" w:cs="Arial"/>
                <w:i/>
                <w:sz w:val="16"/>
                <w:szCs w:val="16"/>
              </w:rPr>
              <w:t>94.3</w:t>
            </w:r>
          </w:p>
        </w:tc>
        <w:tc>
          <w:tcPr>
            <w:tcW w:w="995" w:type="dxa"/>
            <w:shd w:val="clear" w:color="auto" w:fill="FFFFFF" w:themeFill="background1"/>
            <w:vAlign w:val="center"/>
          </w:tcPr>
          <w:p w14:paraId="6E17310B" w14:textId="786C1ADC" w:rsidR="00307BEF" w:rsidRPr="00E85C14" w:rsidRDefault="00307BEF" w:rsidP="00307BEF">
            <w:pPr>
              <w:jc w:val="center"/>
              <w:rPr>
                <w:rFonts w:ascii="Arial" w:hAnsi="Arial" w:cs="Arial"/>
                <w:i/>
                <w:sz w:val="16"/>
                <w:szCs w:val="16"/>
              </w:rPr>
            </w:pPr>
            <w:r w:rsidRPr="004F37E1">
              <w:rPr>
                <w:rFonts w:ascii="Arial" w:hAnsi="Arial" w:cs="Arial"/>
                <w:i/>
                <w:sz w:val="16"/>
                <w:szCs w:val="16"/>
              </w:rPr>
              <w:t>n/a</w:t>
            </w:r>
          </w:p>
        </w:tc>
        <w:tc>
          <w:tcPr>
            <w:tcW w:w="995" w:type="dxa"/>
            <w:shd w:val="clear" w:color="auto" w:fill="FFFFFF" w:themeFill="background1"/>
            <w:vAlign w:val="center"/>
          </w:tcPr>
          <w:p w14:paraId="0AC16843" w14:textId="664F4FAC" w:rsidR="00307BEF" w:rsidRPr="00E85C14" w:rsidRDefault="00307BEF" w:rsidP="00307BEF">
            <w:pPr>
              <w:jc w:val="center"/>
              <w:rPr>
                <w:rFonts w:ascii="Arial" w:hAnsi="Arial" w:cs="Arial"/>
                <w:i/>
                <w:sz w:val="16"/>
                <w:szCs w:val="16"/>
              </w:rPr>
            </w:pPr>
            <w:r>
              <w:rPr>
                <w:rFonts w:ascii="Arial" w:hAnsi="Arial" w:cs="Arial"/>
                <w:i/>
                <w:sz w:val="16"/>
                <w:szCs w:val="16"/>
              </w:rPr>
              <w:t>95.0</w:t>
            </w:r>
          </w:p>
        </w:tc>
        <w:tc>
          <w:tcPr>
            <w:tcW w:w="995" w:type="dxa"/>
            <w:shd w:val="clear" w:color="auto" w:fill="FFFFFF" w:themeFill="background1"/>
            <w:vAlign w:val="center"/>
          </w:tcPr>
          <w:p w14:paraId="38C99028" w14:textId="0BB06D1A" w:rsidR="00307BEF" w:rsidRPr="00E85C14" w:rsidRDefault="00307BEF" w:rsidP="00307BEF">
            <w:pPr>
              <w:jc w:val="center"/>
              <w:rPr>
                <w:rFonts w:ascii="Arial" w:hAnsi="Arial" w:cs="Arial"/>
                <w:i/>
                <w:sz w:val="16"/>
                <w:szCs w:val="16"/>
              </w:rPr>
            </w:pPr>
            <w:r>
              <w:rPr>
                <w:rFonts w:ascii="Arial" w:hAnsi="Arial" w:cs="Arial"/>
                <w:i/>
                <w:sz w:val="16"/>
                <w:szCs w:val="16"/>
              </w:rPr>
              <w:t xml:space="preserve"> 95.0</w:t>
            </w:r>
          </w:p>
        </w:tc>
        <w:tc>
          <w:tcPr>
            <w:tcW w:w="995" w:type="dxa"/>
            <w:shd w:val="clear" w:color="auto" w:fill="FFFFFF" w:themeFill="background1"/>
            <w:vAlign w:val="center"/>
          </w:tcPr>
          <w:p w14:paraId="27AC22C1" w14:textId="627008C0" w:rsidR="00307BEF" w:rsidRPr="00E85C14" w:rsidRDefault="00307BEF" w:rsidP="00307BEF">
            <w:pPr>
              <w:jc w:val="center"/>
              <w:rPr>
                <w:rFonts w:ascii="Arial" w:hAnsi="Arial" w:cs="Arial"/>
                <w:i/>
                <w:sz w:val="16"/>
                <w:szCs w:val="16"/>
              </w:rPr>
            </w:pPr>
          </w:p>
        </w:tc>
      </w:tr>
      <w:tr w:rsidR="00307BEF" w:rsidRPr="00E85C14" w14:paraId="7162DB9B" w14:textId="77777777" w:rsidTr="00047979">
        <w:trPr>
          <w:trHeight w:val="288"/>
        </w:trPr>
        <w:tc>
          <w:tcPr>
            <w:tcW w:w="3951" w:type="dxa"/>
            <w:vMerge w:val="restart"/>
            <w:shd w:val="clear" w:color="auto" w:fill="auto"/>
          </w:tcPr>
          <w:p w14:paraId="410E5CAA" w14:textId="4340672C" w:rsidR="00307BEF" w:rsidRPr="00B3303A" w:rsidRDefault="00307BEF" w:rsidP="00307BEF">
            <w:pPr>
              <w:pStyle w:val="ListParagraph"/>
              <w:numPr>
                <w:ilvl w:val="0"/>
                <w:numId w:val="19"/>
              </w:numPr>
              <w:ind w:left="279" w:hanging="279"/>
              <w:rPr>
                <w:rFonts w:ascii="Arial" w:hAnsi="Arial" w:cs="Arial"/>
                <w:bCs/>
                <w:i/>
                <w:sz w:val="20"/>
              </w:rPr>
            </w:pPr>
            <w:bookmarkStart w:id="4" w:name="_Hlk77497041"/>
            <w:r w:rsidRPr="00330383">
              <w:rPr>
                <w:rFonts w:ascii="Arial" w:hAnsi="Arial" w:cs="Arial"/>
                <w:bCs/>
                <w:i/>
                <w:sz w:val="20"/>
              </w:rPr>
              <w:t>Number of program standards and outcomes that align with industry standards</w:t>
            </w:r>
            <w:r>
              <w:rPr>
                <w:rFonts w:ascii="Arial" w:hAnsi="Arial" w:cs="Arial"/>
                <w:bCs/>
                <w:i/>
                <w:sz w:val="20"/>
              </w:rPr>
              <w:t xml:space="preserve"> and outcomes</w:t>
            </w:r>
          </w:p>
        </w:tc>
        <w:tc>
          <w:tcPr>
            <w:tcW w:w="1064" w:type="dxa"/>
            <w:shd w:val="clear" w:color="auto" w:fill="D9D9D9" w:themeFill="background1" w:themeFillShade="D9"/>
            <w:vAlign w:val="center"/>
          </w:tcPr>
          <w:p w14:paraId="5F05BE3F" w14:textId="77777777" w:rsidR="00307BEF" w:rsidRPr="00E85C14" w:rsidRDefault="00307BEF" w:rsidP="00307BEF">
            <w:pPr>
              <w:jc w:val="center"/>
              <w:rPr>
                <w:rFonts w:ascii="Arial" w:hAnsi="Arial" w:cs="Arial"/>
                <w:sz w:val="20"/>
              </w:rPr>
            </w:pPr>
            <w:r w:rsidRPr="00E85C14">
              <w:rPr>
                <w:rFonts w:ascii="Arial" w:hAnsi="Arial" w:cs="Arial"/>
                <w:sz w:val="20"/>
              </w:rPr>
              <w:t>actual</w:t>
            </w:r>
          </w:p>
        </w:tc>
        <w:tc>
          <w:tcPr>
            <w:tcW w:w="1085" w:type="dxa"/>
            <w:shd w:val="clear" w:color="auto" w:fill="D9D9D9" w:themeFill="background1" w:themeFillShade="D9"/>
            <w:vAlign w:val="center"/>
          </w:tcPr>
          <w:p w14:paraId="0A563C57" w14:textId="77777777" w:rsidR="00307BEF" w:rsidRDefault="00307BEF" w:rsidP="00307BEF">
            <w:pPr>
              <w:jc w:val="center"/>
              <w:rPr>
                <w:rFonts w:ascii="Arial" w:hAnsi="Arial" w:cs="Arial"/>
                <w:sz w:val="20"/>
              </w:rPr>
            </w:pPr>
            <w:r>
              <w:rPr>
                <w:rFonts w:ascii="Arial" w:hAnsi="Arial" w:cs="Arial"/>
                <w:sz w:val="20"/>
              </w:rPr>
              <w:t>100%</w:t>
            </w:r>
          </w:p>
          <w:p w14:paraId="7A606494" w14:textId="29558A6E" w:rsidR="00307BEF" w:rsidRPr="00280F94" w:rsidRDefault="00307BEF" w:rsidP="00307BEF">
            <w:pPr>
              <w:jc w:val="center"/>
              <w:rPr>
                <w:rFonts w:ascii="Arial" w:hAnsi="Arial" w:cs="Arial"/>
                <w:bCs/>
                <w:sz w:val="16"/>
                <w:szCs w:val="16"/>
                <w:highlight w:val="yellow"/>
              </w:rPr>
            </w:pPr>
            <w:r w:rsidRPr="00280F94">
              <w:rPr>
                <w:rFonts w:ascii="Arial" w:hAnsi="Arial" w:cs="Arial"/>
                <w:sz w:val="16"/>
                <w:szCs w:val="16"/>
              </w:rPr>
              <w:t xml:space="preserve">(52 of 52) </w:t>
            </w:r>
          </w:p>
        </w:tc>
        <w:tc>
          <w:tcPr>
            <w:tcW w:w="995" w:type="dxa"/>
            <w:shd w:val="clear" w:color="auto" w:fill="D9D9D9" w:themeFill="background1" w:themeFillShade="D9"/>
            <w:vAlign w:val="center"/>
          </w:tcPr>
          <w:p w14:paraId="51AC79F9" w14:textId="77777777" w:rsidR="00307BEF" w:rsidRDefault="00307BEF" w:rsidP="00307BEF">
            <w:pPr>
              <w:jc w:val="center"/>
              <w:rPr>
                <w:rFonts w:ascii="Arial" w:hAnsi="Arial" w:cs="Arial"/>
                <w:sz w:val="20"/>
              </w:rPr>
            </w:pPr>
            <w:r>
              <w:rPr>
                <w:rFonts w:ascii="Arial" w:hAnsi="Arial" w:cs="Arial"/>
                <w:sz w:val="20"/>
              </w:rPr>
              <w:t>96%</w:t>
            </w:r>
          </w:p>
          <w:p w14:paraId="5EFF7EF8" w14:textId="60D02164" w:rsidR="00307BEF" w:rsidRPr="00280F94" w:rsidRDefault="00307BEF" w:rsidP="00307BEF">
            <w:pPr>
              <w:jc w:val="center"/>
              <w:rPr>
                <w:rFonts w:ascii="Arial" w:hAnsi="Arial" w:cs="Arial"/>
                <w:sz w:val="16"/>
                <w:szCs w:val="16"/>
              </w:rPr>
            </w:pPr>
            <w:r w:rsidRPr="4CC6CE91">
              <w:rPr>
                <w:rFonts w:ascii="Arial" w:hAnsi="Arial" w:cs="Arial"/>
                <w:sz w:val="16"/>
                <w:szCs w:val="16"/>
              </w:rPr>
              <w:t>(52 of 53)</w:t>
            </w:r>
          </w:p>
        </w:tc>
        <w:tc>
          <w:tcPr>
            <w:tcW w:w="995" w:type="dxa"/>
            <w:shd w:val="clear" w:color="auto" w:fill="D9D9D9" w:themeFill="background1" w:themeFillShade="D9"/>
            <w:vAlign w:val="center"/>
          </w:tcPr>
          <w:p w14:paraId="2B9DF4A9" w14:textId="77777777" w:rsidR="00307BEF" w:rsidRDefault="00307BEF" w:rsidP="00307BEF">
            <w:pPr>
              <w:jc w:val="center"/>
              <w:rPr>
                <w:rFonts w:ascii="Arial" w:hAnsi="Arial" w:cs="Arial"/>
                <w:sz w:val="20"/>
              </w:rPr>
            </w:pPr>
            <w:r>
              <w:rPr>
                <w:rFonts w:ascii="Arial" w:hAnsi="Arial" w:cs="Arial"/>
                <w:sz w:val="20"/>
              </w:rPr>
              <w:t>100%</w:t>
            </w:r>
          </w:p>
          <w:p w14:paraId="0AB6DE04" w14:textId="65BFD07B" w:rsidR="00307BEF" w:rsidRPr="00280F94" w:rsidRDefault="00307BEF" w:rsidP="00307BEF">
            <w:pPr>
              <w:jc w:val="center"/>
              <w:rPr>
                <w:rFonts w:ascii="Arial" w:hAnsi="Arial" w:cs="Arial"/>
                <w:sz w:val="16"/>
                <w:szCs w:val="16"/>
              </w:rPr>
            </w:pPr>
            <w:r w:rsidRPr="4CC6CE91">
              <w:rPr>
                <w:rFonts w:ascii="Arial" w:hAnsi="Arial" w:cs="Arial"/>
                <w:sz w:val="16"/>
                <w:szCs w:val="16"/>
              </w:rPr>
              <w:t>(54 of 53)</w:t>
            </w:r>
          </w:p>
        </w:tc>
        <w:tc>
          <w:tcPr>
            <w:tcW w:w="995" w:type="dxa"/>
            <w:shd w:val="clear" w:color="auto" w:fill="D9D9D9" w:themeFill="background1" w:themeFillShade="D9"/>
          </w:tcPr>
          <w:p w14:paraId="247004D7" w14:textId="0AADFDC4" w:rsidR="00307BEF" w:rsidRPr="00280F94" w:rsidRDefault="00307BEF" w:rsidP="00307BEF">
            <w:pPr>
              <w:jc w:val="center"/>
              <w:rPr>
                <w:rFonts w:ascii="Arial" w:hAnsi="Arial" w:cs="Arial"/>
                <w:sz w:val="16"/>
                <w:szCs w:val="16"/>
              </w:rPr>
            </w:pPr>
            <w:r w:rsidRPr="00E85C14">
              <w:rPr>
                <w:rFonts w:ascii="Arial" w:hAnsi="Arial" w:cs="Arial"/>
                <w:sz w:val="20"/>
              </w:rPr>
              <w:t>----------</w:t>
            </w:r>
          </w:p>
        </w:tc>
        <w:tc>
          <w:tcPr>
            <w:tcW w:w="995" w:type="dxa"/>
            <w:shd w:val="clear" w:color="auto" w:fill="D9D9D9" w:themeFill="background1" w:themeFillShade="D9"/>
          </w:tcPr>
          <w:p w14:paraId="78766739" w14:textId="5D7CD772" w:rsidR="00307BEF" w:rsidRPr="00E85C14" w:rsidRDefault="00307BEF" w:rsidP="00307BEF">
            <w:pPr>
              <w:jc w:val="center"/>
              <w:rPr>
                <w:rFonts w:ascii="Arial" w:hAnsi="Arial" w:cs="Arial"/>
                <w:sz w:val="20"/>
              </w:rPr>
            </w:pPr>
          </w:p>
        </w:tc>
      </w:tr>
      <w:tr w:rsidR="00307BEF" w:rsidRPr="00E85C14" w14:paraId="547F5421" w14:textId="77777777" w:rsidTr="4CC6CE91">
        <w:trPr>
          <w:trHeight w:val="288"/>
        </w:trPr>
        <w:tc>
          <w:tcPr>
            <w:tcW w:w="3951" w:type="dxa"/>
            <w:vMerge/>
          </w:tcPr>
          <w:p w14:paraId="788FCAB5" w14:textId="77777777" w:rsidR="00307BEF" w:rsidRPr="00B3303A" w:rsidRDefault="00307BEF" w:rsidP="00307BEF">
            <w:pPr>
              <w:pStyle w:val="ListParagraph"/>
              <w:numPr>
                <w:ilvl w:val="0"/>
                <w:numId w:val="19"/>
              </w:numPr>
              <w:ind w:left="279" w:hanging="279"/>
              <w:rPr>
                <w:rFonts w:ascii="Arial" w:hAnsi="Arial" w:cs="Arial"/>
                <w:bCs/>
                <w:i/>
                <w:sz w:val="20"/>
              </w:rPr>
            </w:pPr>
          </w:p>
        </w:tc>
        <w:tc>
          <w:tcPr>
            <w:tcW w:w="1064" w:type="dxa"/>
            <w:shd w:val="clear" w:color="auto" w:fill="auto"/>
            <w:vAlign w:val="center"/>
          </w:tcPr>
          <w:p w14:paraId="3F607645" w14:textId="77777777" w:rsidR="00307BEF" w:rsidRPr="00E85C14" w:rsidRDefault="00307BEF" w:rsidP="00307BEF">
            <w:pPr>
              <w:jc w:val="center"/>
              <w:rPr>
                <w:rFonts w:ascii="Arial" w:hAnsi="Arial" w:cs="Arial"/>
                <w:i/>
                <w:sz w:val="16"/>
                <w:szCs w:val="16"/>
              </w:rPr>
            </w:pPr>
            <w:r>
              <w:rPr>
                <w:rFonts w:ascii="Arial" w:hAnsi="Arial" w:cs="Arial"/>
                <w:i/>
                <w:sz w:val="16"/>
                <w:szCs w:val="16"/>
              </w:rPr>
              <w:t>benchmark</w:t>
            </w:r>
          </w:p>
        </w:tc>
        <w:tc>
          <w:tcPr>
            <w:tcW w:w="1085" w:type="dxa"/>
            <w:shd w:val="clear" w:color="auto" w:fill="auto"/>
            <w:vAlign w:val="center"/>
          </w:tcPr>
          <w:p w14:paraId="72A5F9EC" w14:textId="4FECFE13" w:rsidR="00307BEF" w:rsidRPr="00E85C14" w:rsidRDefault="00307BEF" w:rsidP="00307BEF">
            <w:pPr>
              <w:jc w:val="center"/>
              <w:rPr>
                <w:rFonts w:ascii="Arial" w:hAnsi="Arial" w:cs="Arial"/>
                <w:i/>
                <w:sz w:val="16"/>
                <w:szCs w:val="16"/>
              </w:rPr>
            </w:pPr>
            <w:r>
              <w:rPr>
                <w:rFonts w:ascii="Arial" w:hAnsi="Arial" w:cs="Arial"/>
                <w:i/>
                <w:sz w:val="16"/>
                <w:szCs w:val="16"/>
              </w:rPr>
              <w:t>100%</w:t>
            </w:r>
          </w:p>
        </w:tc>
        <w:tc>
          <w:tcPr>
            <w:tcW w:w="995" w:type="dxa"/>
            <w:shd w:val="clear" w:color="auto" w:fill="auto"/>
            <w:vAlign w:val="center"/>
          </w:tcPr>
          <w:p w14:paraId="6471D02A" w14:textId="51DC0FBE" w:rsidR="00307BEF" w:rsidRPr="00E85C14" w:rsidRDefault="00307BEF" w:rsidP="00307BEF">
            <w:pPr>
              <w:jc w:val="center"/>
              <w:rPr>
                <w:rFonts w:ascii="Arial" w:hAnsi="Arial" w:cs="Arial"/>
                <w:i/>
                <w:sz w:val="16"/>
                <w:szCs w:val="16"/>
              </w:rPr>
            </w:pPr>
            <w:r>
              <w:rPr>
                <w:rFonts w:ascii="Arial" w:hAnsi="Arial" w:cs="Arial"/>
                <w:i/>
                <w:sz w:val="16"/>
                <w:szCs w:val="16"/>
              </w:rPr>
              <w:t>100%</w:t>
            </w:r>
          </w:p>
        </w:tc>
        <w:tc>
          <w:tcPr>
            <w:tcW w:w="995" w:type="dxa"/>
            <w:shd w:val="clear" w:color="auto" w:fill="auto"/>
            <w:vAlign w:val="center"/>
          </w:tcPr>
          <w:p w14:paraId="7D4BB7CA" w14:textId="0254DAFF" w:rsidR="00307BEF" w:rsidRPr="00E85C14" w:rsidRDefault="00307BEF" w:rsidP="00307BEF">
            <w:pPr>
              <w:jc w:val="center"/>
              <w:rPr>
                <w:rFonts w:ascii="Arial" w:hAnsi="Arial" w:cs="Arial"/>
                <w:i/>
                <w:sz w:val="16"/>
                <w:szCs w:val="16"/>
              </w:rPr>
            </w:pPr>
            <w:r>
              <w:rPr>
                <w:rFonts w:ascii="Arial" w:hAnsi="Arial" w:cs="Arial"/>
                <w:i/>
                <w:sz w:val="16"/>
                <w:szCs w:val="16"/>
              </w:rPr>
              <w:t>100%</w:t>
            </w:r>
          </w:p>
        </w:tc>
        <w:tc>
          <w:tcPr>
            <w:tcW w:w="995" w:type="dxa"/>
            <w:shd w:val="clear" w:color="auto" w:fill="auto"/>
            <w:vAlign w:val="center"/>
          </w:tcPr>
          <w:p w14:paraId="5CD6CD19" w14:textId="0C621C7E" w:rsidR="00307BEF" w:rsidRPr="00E85C14" w:rsidRDefault="00307BEF" w:rsidP="00307BEF">
            <w:pPr>
              <w:jc w:val="center"/>
              <w:rPr>
                <w:rFonts w:ascii="Arial" w:hAnsi="Arial" w:cs="Arial"/>
                <w:i/>
                <w:sz w:val="16"/>
                <w:szCs w:val="16"/>
              </w:rPr>
            </w:pPr>
            <w:r>
              <w:rPr>
                <w:rFonts w:ascii="Arial" w:hAnsi="Arial" w:cs="Arial"/>
                <w:i/>
                <w:sz w:val="16"/>
                <w:szCs w:val="16"/>
              </w:rPr>
              <w:t>100%</w:t>
            </w:r>
          </w:p>
        </w:tc>
        <w:tc>
          <w:tcPr>
            <w:tcW w:w="995" w:type="dxa"/>
            <w:shd w:val="clear" w:color="auto" w:fill="auto"/>
            <w:vAlign w:val="center"/>
          </w:tcPr>
          <w:p w14:paraId="378716B8" w14:textId="759B7E3E" w:rsidR="00307BEF" w:rsidRPr="00E85C14" w:rsidRDefault="00307BEF" w:rsidP="00307BEF">
            <w:pPr>
              <w:jc w:val="center"/>
              <w:rPr>
                <w:rFonts w:ascii="Arial" w:hAnsi="Arial" w:cs="Arial"/>
                <w:i/>
                <w:sz w:val="16"/>
                <w:szCs w:val="16"/>
              </w:rPr>
            </w:pPr>
          </w:p>
        </w:tc>
      </w:tr>
      <w:bookmarkEnd w:id="4"/>
      <w:tr w:rsidR="00307BEF" w:rsidRPr="00E85C14" w14:paraId="36CD5356" w14:textId="77777777" w:rsidTr="00047979">
        <w:trPr>
          <w:trHeight w:val="288"/>
        </w:trPr>
        <w:tc>
          <w:tcPr>
            <w:tcW w:w="3951" w:type="dxa"/>
            <w:vMerge w:val="restart"/>
            <w:shd w:val="clear" w:color="auto" w:fill="auto"/>
            <w:vAlign w:val="center"/>
          </w:tcPr>
          <w:p w14:paraId="33CB542D" w14:textId="77777777" w:rsidR="00307BEF" w:rsidRPr="00A07357" w:rsidRDefault="00307BEF" w:rsidP="00307BEF">
            <w:pPr>
              <w:pStyle w:val="ListParagraph"/>
              <w:numPr>
                <w:ilvl w:val="0"/>
                <w:numId w:val="19"/>
              </w:numPr>
              <w:ind w:left="279" w:hanging="279"/>
              <w:rPr>
                <w:rFonts w:ascii="Arial" w:hAnsi="Arial" w:cs="Arial"/>
                <w:bCs/>
                <w:i/>
                <w:sz w:val="20"/>
              </w:rPr>
            </w:pPr>
            <w:r w:rsidRPr="00A07357">
              <w:rPr>
                <w:rFonts w:ascii="Arial" w:hAnsi="Arial" w:cs="Arial"/>
                <w:bCs/>
                <w:i/>
                <w:sz w:val="20"/>
              </w:rPr>
              <w:t>Placement rate of postsecondary program completers in jobs related to their training.</w:t>
            </w:r>
          </w:p>
        </w:tc>
        <w:tc>
          <w:tcPr>
            <w:tcW w:w="1064" w:type="dxa"/>
            <w:shd w:val="clear" w:color="auto" w:fill="D9D9D9" w:themeFill="background1" w:themeFillShade="D9"/>
            <w:vAlign w:val="center"/>
          </w:tcPr>
          <w:p w14:paraId="1A690230" w14:textId="77777777" w:rsidR="00307BEF" w:rsidRPr="00E85C14" w:rsidRDefault="00307BEF" w:rsidP="00307BEF">
            <w:pPr>
              <w:jc w:val="center"/>
              <w:rPr>
                <w:rFonts w:ascii="Arial" w:hAnsi="Arial" w:cs="Arial"/>
                <w:sz w:val="20"/>
              </w:rPr>
            </w:pPr>
            <w:r w:rsidRPr="00E85C14">
              <w:rPr>
                <w:rFonts w:ascii="Arial" w:hAnsi="Arial" w:cs="Arial"/>
                <w:sz w:val="20"/>
              </w:rPr>
              <w:t>actual</w:t>
            </w:r>
          </w:p>
        </w:tc>
        <w:tc>
          <w:tcPr>
            <w:tcW w:w="1085" w:type="dxa"/>
            <w:shd w:val="clear" w:color="auto" w:fill="D9D9D9" w:themeFill="background1" w:themeFillShade="D9"/>
            <w:vAlign w:val="center"/>
          </w:tcPr>
          <w:p w14:paraId="4985BBFC" w14:textId="2AEBB590" w:rsidR="00307BEF" w:rsidRPr="00E85C14" w:rsidRDefault="00307BEF" w:rsidP="00307BEF">
            <w:pPr>
              <w:jc w:val="center"/>
              <w:rPr>
                <w:rFonts w:ascii="Arial" w:hAnsi="Arial" w:cs="Arial"/>
                <w:sz w:val="20"/>
              </w:rPr>
            </w:pPr>
            <w:r>
              <w:rPr>
                <w:rFonts w:ascii="Arial" w:hAnsi="Arial" w:cs="Arial"/>
                <w:sz w:val="20"/>
              </w:rPr>
              <w:t>62.3</w:t>
            </w:r>
          </w:p>
        </w:tc>
        <w:tc>
          <w:tcPr>
            <w:tcW w:w="995" w:type="dxa"/>
            <w:shd w:val="clear" w:color="auto" w:fill="D9D9D9" w:themeFill="background1" w:themeFillShade="D9"/>
            <w:vAlign w:val="center"/>
          </w:tcPr>
          <w:p w14:paraId="2A899681" w14:textId="2FA13117" w:rsidR="00307BEF" w:rsidRPr="00E85C14" w:rsidRDefault="00307BEF" w:rsidP="00307BEF">
            <w:pPr>
              <w:jc w:val="center"/>
              <w:rPr>
                <w:rFonts w:ascii="Arial" w:hAnsi="Arial" w:cs="Arial"/>
                <w:sz w:val="20"/>
              </w:rPr>
            </w:pPr>
            <w:r w:rsidRPr="00AD4893">
              <w:rPr>
                <w:rFonts w:ascii="Arial" w:hAnsi="Arial" w:cs="Arial"/>
                <w:sz w:val="20"/>
              </w:rPr>
              <w:t>69.7</w:t>
            </w:r>
          </w:p>
        </w:tc>
        <w:tc>
          <w:tcPr>
            <w:tcW w:w="995" w:type="dxa"/>
            <w:shd w:val="clear" w:color="auto" w:fill="D9D9D9" w:themeFill="background1" w:themeFillShade="D9"/>
            <w:vAlign w:val="center"/>
          </w:tcPr>
          <w:p w14:paraId="7B5F922D" w14:textId="55E51D80" w:rsidR="00307BEF" w:rsidRPr="00E85C14" w:rsidRDefault="00307BEF" w:rsidP="00307BEF">
            <w:pPr>
              <w:jc w:val="center"/>
              <w:rPr>
                <w:rFonts w:ascii="Arial" w:hAnsi="Arial" w:cs="Arial"/>
                <w:sz w:val="20"/>
              </w:rPr>
            </w:pPr>
            <w:r w:rsidRPr="4CC6CE91">
              <w:rPr>
                <w:rFonts w:ascii="Arial" w:hAnsi="Arial" w:cs="Arial"/>
                <w:sz w:val="20"/>
                <w:szCs w:val="20"/>
              </w:rPr>
              <w:t>79.1</w:t>
            </w:r>
          </w:p>
        </w:tc>
        <w:tc>
          <w:tcPr>
            <w:tcW w:w="995" w:type="dxa"/>
            <w:shd w:val="clear" w:color="auto" w:fill="D9D9D9" w:themeFill="background1" w:themeFillShade="D9"/>
          </w:tcPr>
          <w:p w14:paraId="1C77B4D9" w14:textId="51A9AD66" w:rsidR="00307BEF" w:rsidRPr="0023749A" w:rsidRDefault="00307BEF" w:rsidP="00307BEF">
            <w:pPr>
              <w:jc w:val="center"/>
              <w:rPr>
                <w:rFonts w:ascii="Arial" w:hAnsi="Arial" w:cs="Arial"/>
                <w:sz w:val="20"/>
                <w:szCs w:val="20"/>
              </w:rPr>
            </w:pPr>
            <w:r w:rsidRPr="00E85C14">
              <w:rPr>
                <w:rFonts w:ascii="Arial" w:hAnsi="Arial" w:cs="Arial"/>
                <w:sz w:val="20"/>
              </w:rPr>
              <w:t>----------</w:t>
            </w:r>
          </w:p>
        </w:tc>
        <w:tc>
          <w:tcPr>
            <w:tcW w:w="995" w:type="dxa"/>
            <w:shd w:val="clear" w:color="auto" w:fill="D9D9D9" w:themeFill="background1" w:themeFillShade="D9"/>
          </w:tcPr>
          <w:p w14:paraId="37619CE8" w14:textId="122DD791" w:rsidR="00307BEF" w:rsidRPr="00E85C14" w:rsidRDefault="00307BEF" w:rsidP="00307BEF">
            <w:pPr>
              <w:jc w:val="center"/>
              <w:rPr>
                <w:rFonts w:ascii="Arial" w:hAnsi="Arial" w:cs="Arial"/>
                <w:sz w:val="20"/>
              </w:rPr>
            </w:pPr>
          </w:p>
        </w:tc>
      </w:tr>
      <w:tr w:rsidR="00307BEF" w:rsidRPr="00E85C14" w14:paraId="5CB29375" w14:textId="77777777" w:rsidTr="4CC6CE91">
        <w:trPr>
          <w:trHeight w:val="288"/>
        </w:trPr>
        <w:tc>
          <w:tcPr>
            <w:tcW w:w="3951" w:type="dxa"/>
            <w:vMerge/>
            <w:vAlign w:val="center"/>
          </w:tcPr>
          <w:p w14:paraId="7E02E906" w14:textId="77777777" w:rsidR="00307BEF" w:rsidRPr="00B3303A" w:rsidRDefault="00307BEF" w:rsidP="00307BEF">
            <w:pPr>
              <w:pStyle w:val="ListParagraph"/>
              <w:ind w:left="342"/>
              <w:rPr>
                <w:rFonts w:ascii="Arial" w:hAnsi="Arial" w:cs="Arial"/>
                <w:i/>
                <w:sz w:val="20"/>
                <w:szCs w:val="20"/>
              </w:rPr>
            </w:pPr>
          </w:p>
        </w:tc>
        <w:tc>
          <w:tcPr>
            <w:tcW w:w="1064" w:type="dxa"/>
            <w:shd w:val="clear" w:color="auto" w:fill="auto"/>
            <w:vAlign w:val="center"/>
          </w:tcPr>
          <w:p w14:paraId="50B282C4" w14:textId="77777777" w:rsidR="00307BEF" w:rsidRPr="00E85C14" w:rsidRDefault="00307BEF" w:rsidP="00307BEF">
            <w:pPr>
              <w:jc w:val="center"/>
              <w:rPr>
                <w:rFonts w:ascii="Arial" w:hAnsi="Arial" w:cs="Arial"/>
                <w:sz w:val="20"/>
              </w:rPr>
            </w:pPr>
            <w:r>
              <w:rPr>
                <w:rFonts w:ascii="Arial" w:hAnsi="Arial" w:cs="Arial"/>
                <w:i/>
                <w:sz w:val="16"/>
                <w:szCs w:val="16"/>
              </w:rPr>
              <w:t>benchmark</w:t>
            </w:r>
          </w:p>
        </w:tc>
        <w:tc>
          <w:tcPr>
            <w:tcW w:w="1085" w:type="dxa"/>
            <w:shd w:val="clear" w:color="auto" w:fill="auto"/>
            <w:vAlign w:val="center"/>
          </w:tcPr>
          <w:p w14:paraId="6B4F6F25" w14:textId="17D549E9" w:rsidR="00307BEF" w:rsidRPr="00E85C14" w:rsidRDefault="00307BEF" w:rsidP="00307BEF">
            <w:pPr>
              <w:jc w:val="center"/>
              <w:rPr>
                <w:rFonts w:ascii="Arial" w:hAnsi="Arial" w:cs="Arial"/>
                <w:sz w:val="16"/>
                <w:szCs w:val="16"/>
              </w:rPr>
            </w:pPr>
            <w:r w:rsidRPr="00E85C14">
              <w:rPr>
                <w:rFonts w:ascii="Arial" w:hAnsi="Arial" w:cs="Arial"/>
                <w:i/>
                <w:sz w:val="16"/>
                <w:szCs w:val="16"/>
              </w:rPr>
              <w:t>65</w:t>
            </w:r>
          </w:p>
        </w:tc>
        <w:tc>
          <w:tcPr>
            <w:tcW w:w="995" w:type="dxa"/>
            <w:shd w:val="clear" w:color="auto" w:fill="auto"/>
            <w:vAlign w:val="center"/>
          </w:tcPr>
          <w:p w14:paraId="6167C564" w14:textId="340FECB3" w:rsidR="00307BEF" w:rsidRPr="00E85C14" w:rsidRDefault="00307BEF" w:rsidP="00307BEF">
            <w:pPr>
              <w:jc w:val="center"/>
              <w:rPr>
                <w:rFonts w:ascii="Arial" w:hAnsi="Arial" w:cs="Arial"/>
                <w:sz w:val="16"/>
                <w:szCs w:val="16"/>
              </w:rPr>
            </w:pPr>
            <w:r w:rsidRPr="00E85C14">
              <w:rPr>
                <w:rFonts w:ascii="Arial" w:hAnsi="Arial" w:cs="Arial"/>
                <w:i/>
                <w:sz w:val="16"/>
                <w:szCs w:val="16"/>
              </w:rPr>
              <w:t>65</w:t>
            </w:r>
          </w:p>
        </w:tc>
        <w:tc>
          <w:tcPr>
            <w:tcW w:w="995" w:type="dxa"/>
            <w:shd w:val="clear" w:color="auto" w:fill="auto"/>
            <w:vAlign w:val="center"/>
          </w:tcPr>
          <w:p w14:paraId="650C7D58" w14:textId="0E4F8731" w:rsidR="00307BEF" w:rsidRPr="00E85C14" w:rsidRDefault="00307BEF" w:rsidP="00307BEF">
            <w:pPr>
              <w:jc w:val="center"/>
              <w:rPr>
                <w:rFonts w:ascii="Arial" w:hAnsi="Arial" w:cs="Arial"/>
                <w:sz w:val="16"/>
                <w:szCs w:val="16"/>
              </w:rPr>
            </w:pPr>
            <w:r w:rsidRPr="0023749A">
              <w:rPr>
                <w:rFonts w:ascii="Arial" w:hAnsi="Arial" w:cs="Arial"/>
                <w:i/>
                <w:sz w:val="16"/>
                <w:szCs w:val="16"/>
              </w:rPr>
              <w:t>65</w:t>
            </w:r>
          </w:p>
        </w:tc>
        <w:tc>
          <w:tcPr>
            <w:tcW w:w="995" w:type="dxa"/>
            <w:shd w:val="clear" w:color="auto" w:fill="auto"/>
            <w:vAlign w:val="center"/>
          </w:tcPr>
          <w:p w14:paraId="2B318804" w14:textId="16BBB7DD" w:rsidR="00307BEF" w:rsidRPr="00E85C14" w:rsidRDefault="00307BEF" w:rsidP="00307BEF">
            <w:pPr>
              <w:jc w:val="center"/>
              <w:rPr>
                <w:rFonts w:ascii="Arial" w:hAnsi="Arial" w:cs="Arial"/>
                <w:sz w:val="16"/>
                <w:szCs w:val="16"/>
              </w:rPr>
            </w:pPr>
            <w:r w:rsidRPr="00E85C14">
              <w:rPr>
                <w:rFonts w:ascii="Arial" w:hAnsi="Arial" w:cs="Arial"/>
                <w:i/>
                <w:sz w:val="16"/>
                <w:szCs w:val="16"/>
              </w:rPr>
              <w:t>65</w:t>
            </w:r>
          </w:p>
        </w:tc>
        <w:tc>
          <w:tcPr>
            <w:tcW w:w="995" w:type="dxa"/>
            <w:shd w:val="clear" w:color="auto" w:fill="auto"/>
            <w:vAlign w:val="center"/>
          </w:tcPr>
          <w:p w14:paraId="263BBC46" w14:textId="3A896557" w:rsidR="00307BEF" w:rsidRPr="00E85C14" w:rsidRDefault="00307BEF" w:rsidP="00307BEF">
            <w:pPr>
              <w:jc w:val="center"/>
              <w:rPr>
                <w:rFonts w:ascii="Arial" w:hAnsi="Arial" w:cs="Arial"/>
                <w:sz w:val="16"/>
                <w:szCs w:val="16"/>
              </w:rPr>
            </w:pPr>
            <w:r w:rsidRPr="00E85C14">
              <w:rPr>
                <w:rFonts w:ascii="Arial" w:hAnsi="Arial" w:cs="Arial"/>
                <w:i/>
                <w:sz w:val="16"/>
                <w:szCs w:val="16"/>
              </w:rPr>
              <w:t>65</w:t>
            </w:r>
          </w:p>
        </w:tc>
      </w:tr>
      <w:tr w:rsidR="00F0458C" w:rsidRPr="00E85C14" w14:paraId="7D914379" w14:textId="77777777" w:rsidTr="00200927">
        <w:trPr>
          <w:trHeight w:val="288"/>
        </w:trPr>
        <w:tc>
          <w:tcPr>
            <w:tcW w:w="3951" w:type="dxa"/>
            <w:vMerge w:val="restart"/>
            <w:shd w:val="clear" w:color="auto" w:fill="auto"/>
            <w:hideMark/>
          </w:tcPr>
          <w:p w14:paraId="49CFDB07" w14:textId="77777777" w:rsidR="00F0458C" w:rsidRPr="00A07357" w:rsidRDefault="00F0458C" w:rsidP="00F0458C">
            <w:pPr>
              <w:pStyle w:val="ListParagraph"/>
              <w:numPr>
                <w:ilvl w:val="0"/>
                <w:numId w:val="19"/>
              </w:numPr>
              <w:ind w:left="279" w:hanging="279"/>
              <w:rPr>
                <w:rFonts w:ascii="Arial" w:hAnsi="Arial" w:cs="Arial"/>
                <w:bCs/>
                <w:i/>
                <w:sz w:val="20"/>
              </w:rPr>
            </w:pPr>
            <w:r w:rsidRPr="00A07357">
              <w:rPr>
                <w:rFonts w:ascii="Arial" w:hAnsi="Arial" w:cs="Arial"/>
                <w:bCs/>
                <w:i/>
                <w:sz w:val="20"/>
              </w:rPr>
              <w:t>Positive placement rate of postsecondary program completers</w:t>
            </w:r>
          </w:p>
        </w:tc>
        <w:tc>
          <w:tcPr>
            <w:tcW w:w="1064" w:type="dxa"/>
            <w:shd w:val="clear" w:color="auto" w:fill="D9D9D9" w:themeFill="background1" w:themeFillShade="D9"/>
            <w:vAlign w:val="center"/>
            <w:hideMark/>
          </w:tcPr>
          <w:p w14:paraId="4612681F" w14:textId="77777777" w:rsidR="00F0458C" w:rsidRPr="00E85C14" w:rsidRDefault="00F0458C" w:rsidP="00F0458C">
            <w:pPr>
              <w:jc w:val="center"/>
              <w:rPr>
                <w:rFonts w:ascii="Arial" w:hAnsi="Arial" w:cs="Arial"/>
                <w:sz w:val="20"/>
              </w:rPr>
            </w:pPr>
            <w:r w:rsidRPr="00E85C14">
              <w:rPr>
                <w:rFonts w:ascii="Arial" w:hAnsi="Arial" w:cs="Arial"/>
                <w:sz w:val="20"/>
              </w:rPr>
              <w:t>actual</w:t>
            </w:r>
          </w:p>
        </w:tc>
        <w:tc>
          <w:tcPr>
            <w:tcW w:w="1085" w:type="dxa"/>
            <w:shd w:val="clear" w:color="auto" w:fill="D9D9D9" w:themeFill="background1" w:themeFillShade="D9"/>
            <w:vAlign w:val="center"/>
          </w:tcPr>
          <w:p w14:paraId="4B31392A" w14:textId="3EE0FBF6" w:rsidR="00F0458C" w:rsidRPr="00E85C14" w:rsidRDefault="00F0458C" w:rsidP="00F0458C">
            <w:pPr>
              <w:jc w:val="center"/>
              <w:rPr>
                <w:rFonts w:ascii="Arial" w:hAnsi="Arial" w:cs="Arial"/>
                <w:sz w:val="20"/>
                <w:szCs w:val="20"/>
              </w:rPr>
            </w:pPr>
            <w:r w:rsidRPr="001377E6">
              <w:rPr>
                <w:rFonts w:ascii="Arial" w:hAnsi="Arial" w:cs="Arial"/>
                <w:sz w:val="20"/>
              </w:rPr>
              <w:t>9</w:t>
            </w:r>
            <w:r>
              <w:rPr>
                <w:rFonts w:ascii="Arial" w:hAnsi="Arial" w:cs="Arial"/>
                <w:sz w:val="20"/>
              </w:rPr>
              <w:t>4.7</w:t>
            </w:r>
          </w:p>
        </w:tc>
        <w:tc>
          <w:tcPr>
            <w:tcW w:w="995" w:type="dxa"/>
            <w:shd w:val="clear" w:color="auto" w:fill="D9D9D9" w:themeFill="background1" w:themeFillShade="D9"/>
            <w:vAlign w:val="center"/>
          </w:tcPr>
          <w:p w14:paraId="3A6ADA2C" w14:textId="582EF172" w:rsidR="00F0458C" w:rsidRPr="00E85C14" w:rsidRDefault="00F0458C" w:rsidP="00F0458C">
            <w:pPr>
              <w:jc w:val="center"/>
              <w:rPr>
                <w:rFonts w:ascii="Arial" w:hAnsi="Arial" w:cs="Arial"/>
                <w:sz w:val="20"/>
              </w:rPr>
            </w:pPr>
            <w:r w:rsidRPr="00AD4893">
              <w:rPr>
                <w:rFonts w:ascii="Arial" w:hAnsi="Arial" w:cs="Arial"/>
                <w:sz w:val="20"/>
              </w:rPr>
              <w:t>94.9</w:t>
            </w:r>
          </w:p>
        </w:tc>
        <w:tc>
          <w:tcPr>
            <w:tcW w:w="995" w:type="dxa"/>
            <w:shd w:val="clear" w:color="auto" w:fill="D9D9D9" w:themeFill="background1" w:themeFillShade="D9"/>
            <w:vAlign w:val="center"/>
          </w:tcPr>
          <w:p w14:paraId="3040A2A0" w14:textId="1BF17D88" w:rsidR="00F0458C" w:rsidRPr="00E85C14" w:rsidRDefault="00F0458C" w:rsidP="00F0458C">
            <w:pPr>
              <w:jc w:val="center"/>
              <w:rPr>
                <w:rFonts w:ascii="Arial" w:hAnsi="Arial" w:cs="Arial"/>
                <w:sz w:val="20"/>
              </w:rPr>
            </w:pPr>
            <w:r w:rsidRPr="4CC6CE91">
              <w:rPr>
                <w:rFonts w:ascii="Arial" w:hAnsi="Arial" w:cs="Arial"/>
                <w:sz w:val="20"/>
                <w:szCs w:val="20"/>
              </w:rPr>
              <w:t>93.0</w:t>
            </w:r>
          </w:p>
        </w:tc>
        <w:tc>
          <w:tcPr>
            <w:tcW w:w="995" w:type="dxa"/>
            <w:shd w:val="clear" w:color="auto" w:fill="D9D9D9" w:themeFill="background1" w:themeFillShade="D9"/>
          </w:tcPr>
          <w:p w14:paraId="3AABA965" w14:textId="1A697917" w:rsidR="00F0458C" w:rsidRPr="0023749A" w:rsidRDefault="00F0458C" w:rsidP="00F0458C">
            <w:pPr>
              <w:spacing w:line="259" w:lineRule="auto"/>
              <w:jc w:val="center"/>
              <w:rPr>
                <w:rFonts w:ascii="Arial" w:hAnsi="Arial" w:cs="Arial"/>
              </w:rPr>
            </w:pPr>
            <w:r w:rsidRPr="00E85C14">
              <w:rPr>
                <w:rFonts w:ascii="Arial" w:hAnsi="Arial" w:cs="Arial"/>
                <w:sz w:val="20"/>
              </w:rPr>
              <w:t>----------</w:t>
            </w:r>
          </w:p>
        </w:tc>
        <w:tc>
          <w:tcPr>
            <w:tcW w:w="995" w:type="dxa"/>
            <w:shd w:val="clear" w:color="auto" w:fill="D9D9D9" w:themeFill="background1" w:themeFillShade="D9"/>
          </w:tcPr>
          <w:p w14:paraId="668E564A" w14:textId="25282683" w:rsidR="00F0458C" w:rsidRPr="00E85C14" w:rsidRDefault="00F0458C" w:rsidP="00F0458C">
            <w:pPr>
              <w:jc w:val="center"/>
              <w:rPr>
                <w:rFonts w:ascii="Arial" w:hAnsi="Arial" w:cs="Arial"/>
                <w:sz w:val="20"/>
              </w:rPr>
            </w:pPr>
          </w:p>
        </w:tc>
      </w:tr>
      <w:tr w:rsidR="00F0458C" w:rsidRPr="00E85C14" w14:paraId="65FBF520" w14:textId="77777777" w:rsidTr="4CC6CE91">
        <w:trPr>
          <w:trHeight w:val="288"/>
        </w:trPr>
        <w:tc>
          <w:tcPr>
            <w:tcW w:w="3951" w:type="dxa"/>
            <w:vMerge/>
            <w:hideMark/>
          </w:tcPr>
          <w:p w14:paraId="48D67D0E" w14:textId="77777777" w:rsidR="00F0458C" w:rsidRPr="00B3303A" w:rsidRDefault="00F0458C" w:rsidP="00F0458C">
            <w:pPr>
              <w:rPr>
                <w:rFonts w:ascii="Arial" w:hAnsi="Arial" w:cs="Arial"/>
                <w:bCs/>
                <w:i/>
                <w:sz w:val="20"/>
                <w:szCs w:val="20"/>
              </w:rPr>
            </w:pPr>
          </w:p>
        </w:tc>
        <w:tc>
          <w:tcPr>
            <w:tcW w:w="1064" w:type="dxa"/>
            <w:shd w:val="clear" w:color="auto" w:fill="FFFFFF" w:themeFill="background1"/>
            <w:vAlign w:val="center"/>
            <w:hideMark/>
          </w:tcPr>
          <w:p w14:paraId="678864EA" w14:textId="77777777" w:rsidR="00F0458C" w:rsidRPr="00E85C14" w:rsidRDefault="00F0458C" w:rsidP="00F0458C">
            <w:pPr>
              <w:jc w:val="center"/>
              <w:rPr>
                <w:rFonts w:ascii="Arial" w:hAnsi="Arial" w:cs="Arial"/>
                <w:sz w:val="20"/>
              </w:rPr>
            </w:pPr>
            <w:r>
              <w:rPr>
                <w:rFonts w:ascii="Arial" w:hAnsi="Arial" w:cs="Arial"/>
                <w:i/>
                <w:sz w:val="16"/>
                <w:szCs w:val="16"/>
              </w:rPr>
              <w:t>benchmark</w:t>
            </w:r>
          </w:p>
        </w:tc>
        <w:tc>
          <w:tcPr>
            <w:tcW w:w="1085" w:type="dxa"/>
            <w:shd w:val="clear" w:color="auto" w:fill="FFFFFF" w:themeFill="background1"/>
            <w:vAlign w:val="center"/>
          </w:tcPr>
          <w:p w14:paraId="7694553F" w14:textId="5B57210D" w:rsidR="00F0458C" w:rsidRPr="00E85C14" w:rsidRDefault="00F0458C" w:rsidP="00F0458C">
            <w:pPr>
              <w:jc w:val="center"/>
              <w:rPr>
                <w:rFonts w:ascii="Arial" w:hAnsi="Arial" w:cs="Arial"/>
                <w:i/>
                <w:sz w:val="16"/>
                <w:szCs w:val="16"/>
                <w:highlight w:val="yellow"/>
              </w:rPr>
            </w:pPr>
            <w:r>
              <w:rPr>
                <w:rFonts w:ascii="Arial" w:hAnsi="Arial" w:cs="Arial"/>
                <w:sz w:val="16"/>
                <w:szCs w:val="16"/>
              </w:rPr>
              <w:t>95.6</w:t>
            </w:r>
          </w:p>
        </w:tc>
        <w:tc>
          <w:tcPr>
            <w:tcW w:w="995" w:type="dxa"/>
            <w:shd w:val="clear" w:color="auto" w:fill="FFFFFF" w:themeFill="background1"/>
            <w:vAlign w:val="center"/>
          </w:tcPr>
          <w:p w14:paraId="339755D6" w14:textId="389BC451" w:rsidR="00F0458C" w:rsidRPr="00E85C14" w:rsidRDefault="00F0458C" w:rsidP="00F0458C">
            <w:pPr>
              <w:jc w:val="center"/>
              <w:rPr>
                <w:rFonts w:ascii="Arial" w:hAnsi="Arial" w:cs="Arial"/>
                <w:i/>
                <w:sz w:val="16"/>
                <w:szCs w:val="16"/>
                <w:highlight w:val="yellow"/>
              </w:rPr>
            </w:pPr>
            <w:r w:rsidRPr="0023749A">
              <w:rPr>
                <w:rFonts w:ascii="Arial" w:hAnsi="Arial" w:cs="Arial"/>
                <w:sz w:val="16"/>
                <w:szCs w:val="16"/>
              </w:rPr>
              <w:t>n/a</w:t>
            </w:r>
          </w:p>
        </w:tc>
        <w:tc>
          <w:tcPr>
            <w:tcW w:w="995" w:type="dxa"/>
            <w:shd w:val="clear" w:color="auto" w:fill="auto"/>
            <w:vAlign w:val="center"/>
          </w:tcPr>
          <w:p w14:paraId="4FC4C7A3" w14:textId="4AC73409" w:rsidR="00F0458C" w:rsidRPr="00E85C14" w:rsidRDefault="00F0458C" w:rsidP="00F0458C">
            <w:pPr>
              <w:jc w:val="center"/>
              <w:rPr>
                <w:rFonts w:ascii="Arial" w:hAnsi="Arial" w:cs="Arial"/>
                <w:i/>
                <w:sz w:val="16"/>
                <w:szCs w:val="16"/>
                <w:highlight w:val="yellow"/>
              </w:rPr>
            </w:pPr>
            <w:r w:rsidRPr="000118F1">
              <w:rPr>
                <w:rFonts w:ascii="Arial" w:hAnsi="Arial" w:cs="Arial"/>
                <w:i/>
                <w:sz w:val="16"/>
                <w:szCs w:val="16"/>
              </w:rPr>
              <w:t>95.0</w:t>
            </w:r>
          </w:p>
        </w:tc>
        <w:tc>
          <w:tcPr>
            <w:tcW w:w="995" w:type="dxa"/>
            <w:shd w:val="clear" w:color="auto" w:fill="auto"/>
            <w:vAlign w:val="center"/>
          </w:tcPr>
          <w:p w14:paraId="4B2B8A56" w14:textId="57242A97" w:rsidR="00F0458C" w:rsidRPr="00E85C14" w:rsidRDefault="00F0458C" w:rsidP="00F0458C">
            <w:pPr>
              <w:jc w:val="center"/>
              <w:rPr>
                <w:rFonts w:ascii="Arial" w:hAnsi="Arial" w:cs="Arial"/>
                <w:i/>
                <w:sz w:val="16"/>
                <w:szCs w:val="16"/>
                <w:highlight w:val="yellow"/>
              </w:rPr>
            </w:pPr>
            <w:r w:rsidRPr="000118F1">
              <w:rPr>
                <w:rFonts w:ascii="Arial" w:hAnsi="Arial" w:cs="Arial"/>
                <w:i/>
                <w:sz w:val="16"/>
                <w:szCs w:val="16"/>
              </w:rPr>
              <w:t>95.0</w:t>
            </w:r>
          </w:p>
        </w:tc>
        <w:tc>
          <w:tcPr>
            <w:tcW w:w="995" w:type="dxa"/>
            <w:shd w:val="clear" w:color="auto" w:fill="auto"/>
            <w:vAlign w:val="center"/>
          </w:tcPr>
          <w:p w14:paraId="6066E214" w14:textId="7318ED5D" w:rsidR="00F0458C" w:rsidRPr="00E85C14" w:rsidRDefault="00F0458C" w:rsidP="00F0458C">
            <w:pPr>
              <w:jc w:val="center"/>
              <w:rPr>
                <w:rFonts w:ascii="Arial" w:hAnsi="Arial" w:cs="Arial"/>
                <w:i/>
                <w:sz w:val="16"/>
                <w:szCs w:val="16"/>
                <w:highlight w:val="yellow"/>
              </w:rPr>
            </w:pPr>
          </w:p>
        </w:tc>
      </w:tr>
      <w:tr w:rsidR="00F0458C" w:rsidRPr="00E85C14" w14:paraId="64FA5818" w14:textId="77777777" w:rsidTr="00200927">
        <w:trPr>
          <w:trHeight w:val="288"/>
        </w:trPr>
        <w:tc>
          <w:tcPr>
            <w:tcW w:w="3951" w:type="dxa"/>
            <w:vMerge w:val="restart"/>
            <w:shd w:val="clear" w:color="auto" w:fill="auto"/>
          </w:tcPr>
          <w:p w14:paraId="0DF7C0FE" w14:textId="77777777" w:rsidR="00F0458C" w:rsidRPr="00A07357" w:rsidRDefault="00F0458C" w:rsidP="00F0458C">
            <w:pPr>
              <w:pStyle w:val="ListParagraph"/>
              <w:numPr>
                <w:ilvl w:val="0"/>
                <w:numId w:val="19"/>
              </w:numPr>
              <w:ind w:left="279" w:hanging="279"/>
              <w:rPr>
                <w:rFonts w:ascii="Arial" w:hAnsi="Arial" w:cs="Arial"/>
                <w:bCs/>
                <w:i/>
                <w:sz w:val="20"/>
              </w:rPr>
            </w:pPr>
            <w:r w:rsidRPr="00A07357">
              <w:rPr>
                <w:rFonts w:ascii="Arial" w:hAnsi="Arial" w:cs="Arial"/>
                <w:bCs/>
                <w:i/>
                <w:sz w:val="20"/>
              </w:rPr>
              <w:t>The percent of secondary CTE concentrators who transition to postsecondary education</w:t>
            </w:r>
            <w:r w:rsidRPr="00A07357" w:rsidDel="003D75C8">
              <w:rPr>
                <w:rFonts w:ascii="Arial" w:hAnsi="Arial" w:cs="Arial"/>
                <w:bCs/>
                <w:i/>
                <w:sz w:val="20"/>
              </w:rPr>
              <w:t xml:space="preserve"> </w:t>
            </w:r>
          </w:p>
        </w:tc>
        <w:tc>
          <w:tcPr>
            <w:tcW w:w="1064" w:type="dxa"/>
            <w:shd w:val="clear" w:color="auto" w:fill="D9D9D9" w:themeFill="background1" w:themeFillShade="D9"/>
            <w:vAlign w:val="center"/>
          </w:tcPr>
          <w:p w14:paraId="74B3871E" w14:textId="77777777" w:rsidR="00F0458C" w:rsidRPr="00E85C14" w:rsidRDefault="00F0458C" w:rsidP="00F0458C">
            <w:pPr>
              <w:jc w:val="center"/>
              <w:rPr>
                <w:rFonts w:ascii="Arial" w:hAnsi="Arial" w:cs="Arial"/>
                <w:sz w:val="20"/>
              </w:rPr>
            </w:pPr>
            <w:r w:rsidRPr="00E85C14">
              <w:rPr>
                <w:rFonts w:ascii="Arial" w:hAnsi="Arial" w:cs="Arial"/>
                <w:sz w:val="20"/>
              </w:rPr>
              <w:t>actual</w:t>
            </w:r>
          </w:p>
        </w:tc>
        <w:tc>
          <w:tcPr>
            <w:tcW w:w="1085" w:type="dxa"/>
            <w:shd w:val="clear" w:color="auto" w:fill="D9D9D9" w:themeFill="background1" w:themeFillShade="D9"/>
            <w:vAlign w:val="center"/>
          </w:tcPr>
          <w:p w14:paraId="2653889B" w14:textId="2182BD39" w:rsidR="00F0458C" w:rsidRPr="00E85C14" w:rsidRDefault="00F0458C" w:rsidP="00F0458C">
            <w:pPr>
              <w:jc w:val="center"/>
              <w:rPr>
                <w:rFonts w:ascii="Arial" w:hAnsi="Arial" w:cs="Arial"/>
                <w:sz w:val="20"/>
                <w:szCs w:val="20"/>
              </w:rPr>
            </w:pPr>
            <w:r w:rsidRPr="4CC6CE91">
              <w:rPr>
                <w:rFonts w:ascii="Arial" w:hAnsi="Arial" w:cs="Arial"/>
                <w:sz w:val="20"/>
                <w:szCs w:val="20"/>
              </w:rPr>
              <w:t>44.8</w:t>
            </w:r>
          </w:p>
        </w:tc>
        <w:tc>
          <w:tcPr>
            <w:tcW w:w="995" w:type="dxa"/>
            <w:shd w:val="clear" w:color="auto" w:fill="D9D9D9" w:themeFill="background1" w:themeFillShade="D9"/>
            <w:vAlign w:val="center"/>
          </w:tcPr>
          <w:p w14:paraId="6DAC5BC7" w14:textId="2FA1E96F" w:rsidR="00F0458C" w:rsidRPr="00E85C14" w:rsidRDefault="00F0458C" w:rsidP="00F0458C">
            <w:pPr>
              <w:jc w:val="center"/>
              <w:rPr>
                <w:rFonts w:ascii="Arial" w:hAnsi="Arial" w:cs="Arial"/>
              </w:rPr>
            </w:pPr>
            <w:r w:rsidRPr="4CC6CE91">
              <w:rPr>
                <w:rFonts w:ascii="Arial" w:hAnsi="Arial" w:cs="Arial"/>
                <w:sz w:val="20"/>
                <w:szCs w:val="20"/>
              </w:rPr>
              <w:t>41.0</w:t>
            </w:r>
          </w:p>
        </w:tc>
        <w:tc>
          <w:tcPr>
            <w:tcW w:w="995" w:type="dxa"/>
            <w:shd w:val="clear" w:color="auto" w:fill="D9D9D9" w:themeFill="background1" w:themeFillShade="D9"/>
            <w:vAlign w:val="center"/>
          </w:tcPr>
          <w:p w14:paraId="0849C759" w14:textId="718503DD" w:rsidR="00F0458C" w:rsidRPr="00E85C14" w:rsidRDefault="00F0458C" w:rsidP="00F0458C">
            <w:pPr>
              <w:spacing w:line="259" w:lineRule="auto"/>
              <w:jc w:val="center"/>
              <w:rPr>
                <w:rFonts w:ascii="Arial" w:hAnsi="Arial" w:cs="Arial"/>
              </w:rPr>
            </w:pPr>
            <w:r w:rsidRPr="4CC6CE91">
              <w:rPr>
                <w:rFonts w:ascii="Arial" w:hAnsi="Arial" w:cs="Arial"/>
                <w:sz w:val="20"/>
                <w:szCs w:val="20"/>
              </w:rPr>
              <w:t>44.4</w:t>
            </w:r>
          </w:p>
        </w:tc>
        <w:tc>
          <w:tcPr>
            <w:tcW w:w="995" w:type="dxa"/>
            <w:shd w:val="clear" w:color="auto" w:fill="D9D9D9" w:themeFill="background1" w:themeFillShade="D9"/>
          </w:tcPr>
          <w:p w14:paraId="11716419" w14:textId="16F22C80" w:rsidR="00F0458C" w:rsidRPr="004F37E1" w:rsidRDefault="00F0458C" w:rsidP="00F0458C">
            <w:pPr>
              <w:spacing w:line="259" w:lineRule="auto"/>
              <w:jc w:val="center"/>
              <w:rPr>
                <w:rFonts w:ascii="Arial" w:hAnsi="Arial" w:cs="Arial"/>
                <w:sz w:val="20"/>
                <w:szCs w:val="20"/>
              </w:rPr>
            </w:pPr>
            <w:r w:rsidRPr="00E85C14">
              <w:rPr>
                <w:rFonts w:ascii="Arial" w:hAnsi="Arial" w:cs="Arial"/>
                <w:sz w:val="20"/>
              </w:rPr>
              <w:t>----------</w:t>
            </w:r>
          </w:p>
        </w:tc>
        <w:tc>
          <w:tcPr>
            <w:tcW w:w="995" w:type="dxa"/>
            <w:shd w:val="clear" w:color="auto" w:fill="D9D9D9" w:themeFill="background1" w:themeFillShade="D9"/>
          </w:tcPr>
          <w:p w14:paraId="4619C07D" w14:textId="44CAC7F4" w:rsidR="00F0458C" w:rsidRPr="00E85C14" w:rsidRDefault="00F0458C" w:rsidP="00F0458C">
            <w:pPr>
              <w:jc w:val="center"/>
              <w:rPr>
                <w:rFonts w:ascii="Arial" w:hAnsi="Arial" w:cs="Arial"/>
                <w:sz w:val="20"/>
              </w:rPr>
            </w:pPr>
          </w:p>
        </w:tc>
      </w:tr>
      <w:tr w:rsidR="00F0458C" w:rsidRPr="00E85C14" w14:paraId="70D8C0E6" w14:textId="77777777" w:rsidTr="4CC6CE91">
        <w:trPr>
          <w:trHeight w:val="288"/>
        </w:trPr>
        <w:tc>
          <w:tcPr>
            <w:tcW w:w="3951" w:type="dxa"/>
            <w:vMerge/>
            <w:vAlign w:val="center"/>
          </w:tcPr>
          <w:p w14:paraId="73128501" w14:textId="77777777" w:rsidR="00F0458C" w:rsidRPr="00E85C14" w:rsidRDefault="00F0458C" w:rsidP="00F0458C">
            <w:pPr>
              <w:rPr>
                <w:rFonts w:ascii="Arial" w:hAnsi="Arial" w:cs="Arial"/>
                <w:bCs/>
                <w:sz w:val="20"/>
              </w:rPr>
            </w:pPr>
          </w:p>
        </w:tc>
        <w:tc>
          <w:tcPr>
            <w:tcW w:w="1064" w:type="dxa"/>
            <w:shd w:val="clear" w:color="auto" w:fill="FFFFFF" w:themeFill="background1"/>
            <w:vAlign w:val="center"/>
          </w:tcPr>
          <w:p w14:paraId="288573F9" w14:textId="77777777" w:rsidR="00F0458C" w:rsidRPr="00E85C14" w:rsidRDefault="00F0458C" w:rsidP="00F0458C">
            <w:pPr>
              <w:jc w:val="center"/>
              <w:rPr>
                <w:rFonts w:ascii="Arial" w:hAnsi="Arial" w:cs="Arial"/>
                <w:i/>
                <w:sz w:val="16"/>
                <w:szCs w:val="16"/>
              </w:rPr>
            </w:pPr>
            <w:r>
              <w:rPr>
                <w:rFonts w:ascii="Arial" w:hAnsi="Arial" w:cs="Arial"/>
                <w:i/>
                <w:sz w:val="16"/>
                <w:szCs w:val="16"/>
              </w:rPr>
              <w:t>benchmark</w:t>
            </w:r>
          </w:p>
        </w:tc>
        <w:tc>
          <w:tcPr>
            <w:tcW w:w="1085" w:type="dxa"/>
            <w:shd w:val="clear" w:color="auto" w:fill="FFFFFF" w:themeFill="background1"/>
            <w:vAlign w:val="center"/>
          </w:tcPr>
          <w:p w14:paraId="22BECDA2" w14:textId="63A1DDAD" w:rsidR="00F0458C" w:rsidRPr="00E85C14" w:rsidRDefault="00F0458C" w:rsidP="00F0458C">
            <w:pPr>
              <w:jc w:val="center"/>
              <w:rPr>
                <w:rFonts w:ascii="Arial" w:hAnsi="Arial" w:cs="Arial"/>
                <w:i/>
                <w:sz w:val="16"/>
                <w:szCs w:val="16"/>
              </w:rPr>
            </w:pPr>
            <w:r>
              <w:rPr>
                <w:rFonts w:ascii="Arial" w:hAnsi="Arial" w:cs="Arial"/>
                <w:i/>
                <w:sz w:val="16"/>
                <w:szCs w:val="16"/>
              </w:rPr>
              <w:t>60</w:t>
            </w:r>
          </w:p>
        </w:tc>
        <w:tc>
          <w:tcPr>
            <w:tcW w:w="995" w:type="dxa"/>
            <w:shd w:val="clear" w:color="auto" w:fill="FFFFFF" w:themeFill="background1"/>
            <w:vAlign w:val="center"/>
          </w:tcPr>
          <w:p w14:paraId="0CE37FD8" w14:textId="53C21202" w:rsidR="00F0458C" w:rsidRPr="00E85C14" w:rsidRDefault="00F0458C" w:rsidP="00F0458C">
            <w:pPr>
              <w:jc w:val="center"/>
              <w:rPr>
                <w:rFonts w:ascii="Arial" w:hAnsi="Arial" w:cs="Arial"/>
                <w:i/>
                <w:sz w:val="16"/>
                <w:szCs w:val="16"/>
              </w:rPr>
            </w:pPr>
            <w:r>
              <w:rPr>
                <w:rFonts w:ascii="Arial" w:hAnsi="Arial" w:cs="Arial"/>
                <w:i/>
                <w:sz w:val="16"/>
                <w:szCs w:val="16"/>
              </w:rPr>
              <w:t>60</w:t>
            </w:r>
          </w:p>
        </w:tc>
        <w:tc>
          <w:tcPr>
            <w:tcW w:w="995" w:type="dxa"/>
            <w:shd w:val="clear" w:color="auto" w:fill="auto"/>
            <w:vAlign w:val="center"/>
          </w:tcPr>
          <w:p w14:paraId="0EAC3998" w14:textId="5739C099" w:rsidR="00F0458C" w:rsidRPr="00E85C14" w:rsidRDefault="00F0458C" w:rsidP="00F0458C">
            <w:pPr>
              <w:jc w:val="center"/>
              <w:rPr>
                <w:rFonts w:ascii="Arial" w:hAnsi="Arial" w:cs="Arial"/>
                <w:i/>
                <w:sz w:val="16"/>
                <w:szCs w:val="16"/>
              </w:rPr>
            </w:pPr>
            <w:r>
              <w:rPr>
                <w:rFonts w:ascii="Arial" w:hAnsi="Arial" w:cs="Arial"/>
                <w:i/>
                <w:sz w:val="16"/>
                <w:szCs w:val="16"/>
              </w:rPr>
              <w:t>60</w:t>
            </w:r>
          </w:p>
        </w:tc>
        <w:tc>
          <w:tcPr>
            <w:tcW w:w="995" w:type="dxa"/>
            <w:shd w:val="clear" w:color="auto" w:fill="auto"/>
            <w:vAlign w:val="center"/>
          </w:tcPr>
          <w:p w14:paraId="002A3192" w14:textId="5D9EA0AC" w:rsidR="00F0458C" w:rsidRPr="00E85C14" w:rsidRDefault="00F0458C" w:rsidP="00F0458C">
            <w:pPr>
              <w:jc w:val="center"/>
              <w:rPr>
                <w:rFonts w:ascii="Arial" w:hAnsi="Arial" w:cs="Arial"/>
                <w:i/>
                <w:sz w:val="16"/>
                <w:szCs w:val="16"/>
              </w:rPr>
            </w:pPr>
            <w:r>
              <w:rPr>
                <w:rFonts w:ascii="Arial" w:hAnsi="Arial" w:cs="Arial"/>
                <w:i/>
                <w:sz w:val="16"/>
                <w:szCs w:val="16"/>
              </w:rPr>
              <w:t>60</w:t>
            </w:r>
          </w:p>
        </w:tc>
        <w:tc>
          <w:tcPr>
            <w:tcW w:w="995" w:type="dxa"/>
            <w:shd w:val="clear" w:color="auto" w:fill="auto"/>
            <w:vAlign w:val="center"/>
          </w:tcPr>
          <w:p w14:paraId="6DBC6E1A" w14:textId="49C74929" w:rsidR="00F0458C" w:rsidRPr="00E85C14" w:rsidRDefault="00F0458C" w:rsidP="00F0458C">
            <w:pPr>
              <w:jc w:val="center"/>
              <w:rPr>
                <w:rFonts w:ascii="Arial" w:hAnsi="Arial" w:cs="Arial"/>
                <w:i/>
                <w:sz w:val="16"/>
                <w:szCs w:val="16"/>
              </w:rPr>
            </w:pPr>
          </w:p>
        </w:tc>
      </w:tr>
    </w:tbl>
    <w:p w14:paraId="466D1D88" w14:textId="77777777" w:rsidR="004F7B28" w:rsidRDefault="004F7B28" w:rsidP="00C540EA">
      <w:pPr>
        <w:jc w:val="both"/>
        <w:outlineLvl w:val="0"/>
        <w:rPr>
          <w:rFonts w:ascii="Arial" w:hAnsi="Arial" w:cs="Arial"/>
          <w:b/>
          <w:i/>
          <w:color w:val="000080"/>
          <w:sz w:val="28"/>
          <w:szCs w:val="28"/>
        </w:rPr>
      </w:pPr>
    </w:p>
    <w:bookmarkEnd w:id="2"/>
    <w:bookmarkEnd w:id="3"/>
    <w:p w14:paraId="6312CC7C" w14:textId="77777777" w:rsidR="0023749A" w:rsidRDefault="00E91300" w:rsidP="00AD4893">
      <w:pPr>
        <w:tabs>
          <w:tab w:val="left" w:pos="180"/>
        </w:tabs>
        <w:ind w:left="270" w:hanging="270"/>
        <w:jc w:val="both"/>
        <w:rPr>
          <w:rFonts w:ascii="Arial" w:hAnsi="Arial" w:cs="Arial"/>
          <w:b/>
          <w:bCs/>
        </w:rPr>
      </w:pPr>
      <w:r w:rsidRPr="00EE7BC6">
        <w:rPr>
          <w:rFonts w:ascii="Arial" w:hAnsi="Arial" w:cs="Arial"/>
          <w:b/>
          <w:bCs/>
        </w:rPr>
        <w:t>Performance Measure Explanatory Notes</w:t>
      </w:r>
    </w:p>
    <w:p w14:paraId="633BA855" w14:textId="77777777" w:rsidR="00AD4893" w:rsidRPr="00AD4893" w:rsidRDefault="00AD4893" w:rsidP="00AD4893">
      <w:pPr>
        <w:tabs>
          <w:tab w:val="left" w:pos="180"/>
        </w:tabs>
        <w:ind w:left="270" w:hanging="270"/>
        <w:jc w:val="both"/>
        <w:rPr>
          <w:rFonts w:ascii="Arial" w:hAnsi="Arial" w:cs="Arial"/>
          <w:b/>
          <w:bCs/>
        </w:rPr>
      </w:pPr>
    </w:p>
    <w:p w14:paraId="1B9D0E95" w14:textId="77777777" w:rsidR="00855462" w:rsidRPr="00D32CA6" w:rsidRDefault="00855462" w:rsidP="00855462">
      <w:pPr>
        <w:tabs>
          <w:tab w:val="left" w:pos="180"/>
        </w:tabs>
        <w:ind w:left="270" w:hanging="270"/>
        <w:jc w:val="both"/>
        <w:rPr>
          <w:rFonts w:ascii="Arial" w:hAnsi="Arial" w:cs="Arial"/>
          <w:b/>
          <w:sz w:val="20"/>
          <w:szCs w:val="18"/>
        </w:rPr>
      </w:pPr>
      <w:r w:rsidRPr="00D32CA6">
        <w:rPr>
          <w:rFonts w:ascii="Arial" w:hAnsi="Arial" w:cs="Arial"/>
          <w:b/>
          <w:sz w:val="20"/>
          <w:szCs w:val="18"/>
        </w:rPr>
        <w:t>Performance Measure 1):</w:t>
      </w:r>
    </w:p>
    <w:p w14:paraId="4BC3CD1E" w14:textId="7306C38C" w:rsidR="00855462" w:rsidRPr="0023749A" w:rsidRDefault="2DE41E11" w:rsidP="4CC6CE91">
      <w:pPr>
        <w:jc w:val="both"/>
        <w:rPr>
          <w:rFonts w:ascii="Arial" w:hAnsi="Arial" w:cs="Arial"/>
          <w:sz w:val="20"/>
          <w:szCs w:val="20"/>
        </w:rPr>
      </w:pPr>
      <w:r w:rsidRPr="4CC6CE91">
        <w:rPr>
          <w:rFonts w:ascii="Arial" w:hAnsi="Arial" w:cs="Arial"/>
          <w:sz w:val="20"/>
          <w:szCs w:val="20"/>
        </w:rPr>
        <w:t>In FY 2020, assessment data was not required due to the pandemic.</w:t>
      </w:r>
      <w:r w:rsidR="0C588497" w:rsidRPr="4CC6CE91">
        <w:rPr>
          <w:rFonts w:ascii="Arial" w:hAnsi="Arial" w:cs="Arial"/>
          <w:sz w:val="20"/>
          <w:szCs w:val="20"/>
        </w:rPr>
        <w:t xml:space="preserve"> </w:t>
      </w:r>
      <w:r w:rsidRPr="4CC6CE91">
        <w:rPr>
          <w:rFonts w:ascii="Arial" w:hAnsi="Arial" w:cs="Arial"/>
          <w:sz w:val="20"/>
          <w:szCs w:val="20"/>
        </w:rPr>
        <w:t>As states transitioned from Perkins IV to V, benchmarks were not required in FY 2020.</w:t>
      </w:r>
    </w:p>
    <w:p w14:paraId="31A0C5AD" w14:textId="77777777" w:rsidR="00855462" w:rsidRDefault="00855462" w:rsidP="00855462">
      <w:pPr>
        <w:tabs>
          <w:tab w:val="left" w:pos="270"/>
        </w:tabs>
        <w:ind w:left="270" w:hanging="270"/>
        <w:jc w:val="both"/>
        <w:rPr>
          <w:rFonts w:ascii="Arial" w:hAnsi="Arial" w:cs="Arial"/>
          <w:sz w:val="20"/>
          <w:szCs w:val="18"/>
        </w:rPr>
      </w:pPr>
    </w:p>
    <w:p w14:paraId="7FCC4626" w14:textId="77777777" w:rsidR="00855462" w:rsidRPr="00B3303A" w:rsidRDefault="00855462" w:rsidP="00855462">
      <w:pPr>
        <w:tabs>
          <w:tab w:val="left" w:pos="180"/>
        </w:tabs>
        <w:ind w:left="270" w:hanging="270"/>
        <w:jc w:val="both"/>
        <w:rPr>
          <w:rFonts w:ascii="Arial" w:hAnsi="Arial" w:cs="Arial"/>
          <w:b/>
          <w:sz w:val="20"/>
          <w:szCs w:val="18"/>
        </w:rPr>
      </w:pPr>
      <w:r w:rsidRPr="00B3303A">
        <w:rPr>
          <w:rFonts w:ascii="Arial" w:hAnsi="Arial" w:cs="Arial"/>
          <w:b/>
          <w:sz w:val="20"/>
          <w:szCs w:val="18"/>
        </w:rPr>
        <w:t>Performance Measure 2):</w:t>
      </w:r>
    </w:p>
    <w:p w14:paraId="5AAC2ADF" w14:textId="77777777" w:rsidR="00855462" w:rsidRPr="00B3303A" w:rsidRDefault="00855462" w:rsidP="00855462">
      <w:pPr>
        <w:tabs>
          <w:tab w:val="left" w:pos="270"/>
        </w:tabs>
        <w:ind w:left="270" w:hanging="270"/>
        <w:jc w:val="both"/>
        <w:rPr>
          <w:rFonts w:ascii="Arial" w:hAnsi="Arial" w:cs="Arial"/>
          <w:sz w:val="20"/>
          <w:szCs w:val="18"/>
        </w:rPr>
      </w:pPr>
      <w:r w:rsidRPr="00B3303A">
        <w:rPr>
          <w:rFonts w:ascii="Arial" w:hAnsi="Arial" w:cs="Arial"/>
          <w:sz w:val="20"/>
          <w:szCs w:val="18"/>
        </w:rPr>
        <w:t xml:space="preserve">A secondary CTE concentrator is a junior or senior student enrolled in a capstone course during the school year. </w:t>
      </w:r>
    </w:p>
    <w:p w14:paraId="19F58BA6" w14:textId="77777777" w:rsidR="00855462" w:rsidRPr="00B3303A" w:rsidRDefault="00855462" w:rsidP="00855462">
      <w:pPr>
        <w:tabs>
          <w:tab w:val="left" w:pos="270"/>
        </w:tabs>
        <w:jc w:val="both"/>
        <w:rPr>
          <w:rFonts w:ascii="Arial" w:hAnsi="Arial" w:cs="Arial"/>
          <w:sz w:val="20"/>
          <w:szCs w:val="18"/>
        </w:rPr>
      </w:pPr>
      <w:r w:rsidRPr="00B3303A">
        <w:rPr>
          <w:rFonts w:ascii="Arial" w:hAnsi="Arial" w:cs="Arial"/>
          <w:sz w:val="20"/>
          <w:szCs w:val="18"/>
        </w:rPr>
        <w:t>A capstone course is the final course in a state approved pathway. Positive placement represents the percent of</w:t>
      </w:r>
    </w:p>
    <w:p w14:paraId="7BFB2296" w14:textId="702F459E" w:rsidR="00855462" w:rsidRDefault="71AA123B" w:rsidP="00855462">
      <w:pPr>
        <w:tabs>
          <w:tab w:val="left" w:pos="270"/>
        </w:tabs>
        <w:ind w:left="270" w:hanging="270"/>
        <w:jc w:val="both"/>
        <w:rPr>
          <w:rFonts w:ascii="Arial" w:hAnsi="Arial" w:cs="Arial"/>
          <w:sz w:val="20"/>
          <w:szCs w:val="20"/>
        </w:rPr>
      </w:pPr>
      <w:r w:rsidRPr="4CC6CE91">
        <w:rPr>
          <w:rFonts w:ascii="Arial" w:hAnsi="Arial" w:cs="Arial"/>
          <w:sz w:val="20"/>
          <w:szCs w:val="20"/>
        </w:rPr>
        <w:t>secondary concentrators who attain employment, join the military or continue their education.</w:t>
      </w:r>
    </w:p>
    <w:p w14:paraId="6C6AD90A" w14:textId="77777777" w:rsidR="00855462" w:rsidRDefault="00855462" w:rsidP="00855462">
      <w:pPr>
        <w:tabs>
          <w:tab w:val="left" w:pos="270"/>
        </w:tabs>
        <w:ind w:left="270" w:hanging="270"/>
        <w:jc w:val="both"/>
        <w:rPr>
          <w:rFonts w:ascii="Arial" w:hAnsi="Arial" w:cs="Arial"/>
          <w:sz w:val="20"/>
          <w:szCs w:val="18"/>
        </w:rPr>
      </w:pPr>
    </w:p>
    <w:p w14:paraId="1747DD4A" w14:textId="6169C2F9" w:rsidR="00855462" w:rsidRPr="00B3303A" w:rsidRDefault="2DE41E11" w:rsidP="4CC6CE91">
      <w:pPr>
        <w:jc w:val="both"/>
        <w:rPr>
          <w:rFonts w:ascii="Arial" w:hAnsi="Arial" w:cs="Arial"/>
          <w:b/>
          <w:bCs/>
          <w:sz w:val="20"/>
          <w:szCs w:val="20"/>
        </w:rPr>
      </w:pPr>
      <w:r w:rsidRPr="4CC6CE91">
        <w:rPr>
          <w:rFonts w:ascii="Arial" w:hAnsi="Arial" w:cs="Arial"/>
          <w:sz w:val="20"/>
          <w:szCs w:val="20"/>
        </w:rPr>
        <w:t>As states transitioned from Perkins IV to V, benchmarks were not required in FY 2020.</w:t>
      </w:r>
      <w:r w:rsidR="06EBBE2D" w:rsidRPr="4CC6CE91">
        <w:rPr>
          <w:rFonts w:ascii="Arial" w:hAnsi="Arial" w:cs="Arial"/>
          <w:sz w:val="20"/>
          <w:szCs w:val="20"/>
        </w:rPr>
        <w:t xml:space="preserve"> </w:t>
      </w:r>
    </w:p>
    <w:p w14:paraId="5D3E69A4" w14:textId="654855F5" w:rsidR="00855462" w:rsidRPr="00B3303A" w:rsidRDefault="00855462" w:rsidP="4CC6CE91">
      <w:pPr>
        <w:jc w:val="both"/>
        <w:rPr>
          <w:rFonts w:ascii="Arial" w:hAnsi="Arial" w:cs="Arial"/>
          <w:b/>
          <w:bCs/>
          <w:sz w:val="20"/>
          <w:szCs w:val="20"/>
        </w:rPr>
      </w:pPr>
    </w:p>
    <w:p w14:paraId="3EB7E899" w14:textId="015815C9" w:rsidR="00855462" w:rsidRPr="00B3303A" w:rsidRDefault="2DE41E11" w:rsidP="4CC6CE91">
      <w:pPr>
        <w:jc w:val="both"/>
        <w:rPr>
          <w:rFonts w:ascii="Arial" w:hAnsi="Arial" w:cs="Arial"/>
          <w:b/>
          <w:bCs/>
          <w:sz w:val="20"/>
          <w:szCs w:val="20"/>
        </w:rPr>
      </w:pPr>
      <w:r w:rsidRPr="4CC6CE91">
        <w:rPr>
          <w:rFonts w:ascii="Arial" w:hAnsi="Arial" w:cs="Arial"/>
          <w:b/>
          <w:bCs/>
          <w:sz w:val="20"/>
          <w:szCs w:val="20"/>
        </w:rPr>
        <w:t>Performance Measure 3):</w:t>
      </w:r>
    </w:p>
    <w:p w14:paraId="30631784" w14:textId="4098E2C8" w:rsidR="00855462" w:rsidRPr="00B3303A" w:rsidRDefault="2DE41E11" w:rsidP="4CC6CE91">
      <w:pPr>
        <w:tabs>
          <w:tab w:val="left" w:pos="270"/>
        </w:tabs>
        <w:spacing w:line="259" w:lineRule="auto"/>
        <w:jc w:val="both"/>
        <w:rPr>
          <w:rFonts w:ascii="Arial" w:hAnsi="Arial" w:cs="Arial"/>
          <w:sz w:val="20"/>
          <w:szCs w:val="20"/>
        </w:rPr>
      </w:pPr>
      <w:r w:rsidRPr="4CC6CE91">
        <w:rPr>
          <w:rFonts w:ascii="Arial" w:hAnsi="Arial" w:cs="Arial"/>
          <w:sz w:val="20"/>
          <w:szCs w:val="20"/>
        </w:rPr>
        <w:t>Due to the pandemic, alignment efforts were stalled.</w:t>
      </w:r>
      <w:r w:rsidR="0A33AD31" w:rsidRPr="4CC6CE91">
        <w:rPr>
          <w:rFonts w:ascii="Arial" w:hAnsi="Arial" w:cs="Arial"/>
          <w:sz w:val="20"/>
          <w:szCs w:val="20"/>
        </w:rPr>
        <w:t xml:space="preserve"> The number of programs in our strategic plan reference 54 programs and the number is actually 53.</w:t>
      </w:r>
    </w:p>
    <w:p w14:paraId="6489E5F0" w14:textId="77777777" w:rsidR="00855462" w:rsidRPr="00B3303A" w:rsidRDefault="00855462" w:rsidP="00855462">
      <w:pPr>
        <w:tabs>
          <w:tab w:val="left" w:pos="270"/>
        </w:tabs>
        <w:ind w:left="270" w:hanging="270"/>
        <w:jc w:val="both"/>
        <w:rPr>
          <w:rFonts w:ascii="Arial" w:hAnsi="Arial" w:cs="Arial"/>
          <w:sz w:val="20"/>
          <w:szCs w:val="18"/>
        </w:rPr>
      </w:pPr>
    </w:p>
    <w:p w14:paraId="194710DD" w14:textId="77777777" w:rsidR="00855462" w:rsidRPr="00B3303A" w:rsidRDefault="00855462" w:rsidP="00855462">
      <w:pPr>
        <w:tabs>
          <w:tab w:val="left" w:pos="180"/>
        </w:tabs>
        <w:ind w:left="270" w:hanging="270"/>
        <w:jc w:val="both"/>
        <w:rPr>
          <w:rFonts w:ascii="Arial" w:hAnsi="Arial" w:cs="Arial"/>
          <w:b/>
          <w:sz w:val="20"/>
          <w:szCs w:val="18"/>
        </w:rPr>
      </w:pPr>
      <w:r w:rsidRPr="00B3303A">
        <w:rPr>
          <w:rFonts w:ascii="Arial" w:hAnsi="Arial" w:cs="Arial"/>
          <w:b/>
          <w:sz w:val="20"/>
          <w:szCs w:val="18"/>
        </w:rPr>
        <w:t xml:space="preserve">Performance Measures </w:t>
      </w:r>
      <w:r>
        <w:rPr>
          <w:rFonts w:ascii="Arial" w:hAnsi="Arial" w:cs="Arial"/>
          <w:b/>
          <w:sz w:val="20"/>
          <w:szCs w:val="18"/>
        </w:rPr>
        <w:t>4, 5,</w:t>
      </w:r>
      <w:r w:rsidRPr="00B3303A">
        <w:rPr>
          <w:rFonts w:ascii="Arial" w:hAnsi="Arial" w:cs="Arial"/>
          <w:b/>
          <w:sz w:val="20"/>
          <w:szCs w:val="18"/>
        </w:rPr>
        <w:t xml:space="preserve"> and 6):</w:t>
      </w:r>
    </w:p>
    <w:p w14:paraId="565EBE9B" w14:textId="76C662A7" w:rsidR="00855462" w:rsidRPr="00B3303A" w:rsidRDefault="71AA123B" w:rsidP="00855462">
      <w:pPr>
        <w:tabs>
          <w:tab w:val="left" w:pos="270"/>
        </w:tabs>
        <w:ind w:left="270" w:hanging="270"/>
        <w:jc w:val="both"/>
        <w:rPr>
          <w:rFonts w:ascii="Arial" w:hAnsi="Arial" w:cs="Arial"/>
          <w:sz w:val="20"/>
          <w:szCs w:val="20"/>
        </w:rPr>
      </w:pPr>
      <w:r w:rsidRPr="4CC6CE91">
        <w:rPr>
          <w:rFonts w:ascii="Arial" w:hAnsi="Arial" w:cs="Arial"/>
          <w:sz w:val="20"/>
          <w:szCs w:val="20"/>
        </w:rPr>
        <w:t xml:space="preserve">A technical college </w:t>
      </w:r>
      <w:r w:rsidR="2DE41E11" w:rsidRPr="4CC6CE91">
        <w:rPr>
          <w:rFonts w:ascii="Arial" w:hAnsi="Arial" w:cs="Arial"/>
          <w:sz w:val="20"/>
          <w:szCs w:val="20"/>
        </w:rPr>
        <w:t>CTE</w:t>
      </w:r>
      <w:r w:rsidR="047C829C" w:rsidRPr="4CC6CE91">
        <w:rPr>
          <w:rFonts w:ascii="Arial" w:hAnsi="Arial" w:cs="Arial"/>
          <w:sz w:val="20"/>
          <w:szCs w:val="20"/>
        </w:rPr>
        <w:t xml:space="preserve"> </w:t>
      </w:r>
      <w:r w:rsidRPr="4CC6CE91">
        <w:rPr>
          <w:rFonts w:ascii="Arial" w:hAnsi="Arial" w:cs="Arial"/>
          <w:sz w:val="20"/>
          <w:szCs w:val="20"/>
        </w:rPr>
        <w:t>completer is a postsecondary student who has completed all the requirements for a</w:t>
      </w:r>
    </w:p>
    <w:p w14:paraId="0BC335BA" w14:textId="77777777" w:rsidR="00855462" w:rsidRPr="00B3303A" w:rsidRDefault="00855462" w:rsidP="00855462">
      <w:pPr>
        <w:tabs>
          <w:tab w:val="left" w:pos="270"/>
        </w:tabs>
        <w:ind w:left="270" w:hanging="270"/>
        <w:jc w:val="both"/>
        <w:rPr>
          <w:rFonts w:ascii="Arial" w:hAnsi="Arial" w:cs="Arial"/>
          <w:sz w:val="20"/>
          <w:szCs w:val="18"/>
        </w:rPr>
      </w:pPr>
      <w:r w:rsidRPr="00B3303A">
        <w:rPr>
          <w:rFonts w:ascii="Arial" w:hAnsi="Arial" w:cs="Arial"/>
          <w:sz w:val="20"/>
          <w:szCs w:val="18"/>
        </w:rPr>
        <w:t>certificate or an A.A.S. degree in a state approved career technical education program. This person must have</w:t>
      </w:r>
    </w:p>
    <w:p w14:paraId="5AF0C5E2" w14:textId="77777777" w:rsidR="00855462" w:rsidRPr="00B3303A" w:rsidRDefault="00855462" w:rsidP="00855462">
      <w:pPr>
        <w:tabs>
          <w:tab w:val="left" w:pos="270"/>
        </w:tabs>
        <w:ind w:left="270" w:hanging="270"/>
        <w:jc w:val="both"/>
        <w:rPr>
          <w:rFonts w:ascii="Arial" w:hAnsi="Arial" w:cs="Arial"/>
          <w:sz w:val="20"/>
          <w:szCs w:val="18"/>
        </w:rPr>
      </w:pPr>
      <w:r w:rsidRPr="00B3303A">
        <w:rPr>
          <w:rFonts w:ascii="Arial" w:hAnsi="Arial" w:cs="Arial"/>
          <w:sz w:val="20"/>
          <w:szCs w:val="18"/>
        </w:rPr>
        <w:t>met all the requirements of the institution for program completion, whether or not the person officially graduated</w:t>
      </w:r>
    </w:p>
    <w:p w14:paraId="61E45A79" w14:textId="1538EC7F" w:rsidR="00855462" w:rsidRPr="00B3303A" w:rsidRDefault="71AA123B" w:rsidP="00855462">
      <w:pPr>
        <w:tabs>
          <w:tab w:val="left" w:pos="270"/>
        </w:tabs>
        <w:ind w:left="270" w:hanging="270"/>
        <w:jc w:val="both"/>
        <w:rPr>
          <w:rFonts w:ascii="Arial" w:hAnsi="Arial" w:cs="Arial"/>
          <w:sz w:val="20"/>
          <w:szCs w:val="20"/>
        </w:rPr>
      </w:pPr>
      <w:r w:rsidRPr="4CC6CE91">
        <w:rPr>
          <w:rFonts w:ascii="Arial" w:hAnsi="Arial" w:cs="Arial"/>
          <w:sz w:val="20"/>
          <w:szCs w:val="20"/>
        </w:rPr>
        <w:t>from the institution. Positive placement represents the percent of technical college completers who attain</w:t>
      </w:r>
    </w:p>
    <w:p w14:paraId="106FB8F7" w14:textId="3C77BA83" w:rsidR="00855462" w:rsidRDefault="71AA123B" w:rsidP="00855462">
      <w:pPr>
        <w:tabs>
          <w:tab w:val="left" w:pos="270"/>
        </w:tabs>
        <w:ind w:left="270" w:hanging="270"/>
        <w:jc w:val="both"/>
        <w:rPr>
          <w:rFonts w:ascii="Arial" w:hAnsi="Arial" w:cs="Arial"/>
          <w:sz w:val="20"/>
          <w:szCs w:val="20"/>
        </w:rPr>
      </w:pPr>
      <w:r w:rsidRPr="4CC6CE91">
        <w:rPr>
          <w:rFonts w:ascii="Arial" w:hAnsi="Arial" w:cs="Arial"/>
          <w:sz w:val="20"/>
          <w:szCs w:val="20"/>
        </w:rPr>
        <w:t xml:space="preserve">employment, join the military or continue their education within six months of completing. </w:t>
      </w:r>
    </w:p>
    <w:p w14:paraId="29178983" w14:textId="77777777" w:rsidR="00855462" w:rsidRDefault="00855462" w:rsidP="00855462">
      <w:pPr>
        <w:tabs>
          <w:tab w:val="left" w:pos="270"/>
        </w:tabs>
        <w:ind w:left="270" w:hanging="270"/>
        <w:jc w:val="both"/>
        <w:rPr>
          <w:rFonts w:ascii="Arial" w:hAnsi="Arial" w:cs="Arial"/>
          <w:sz w:val="20"/>
          <w:szCs w:val="18"/>
        </w:rPr>
      </w:pPr>
    </w:p>
    <w:p w14:paraId="07033FC2" w14:textId="77777777" w:rsidR="00855462" w:rsidRDefault="00855462" w:rsidP="00855462">
      <w:pPr>
        <w:tabs>
          <w:tab w:val="left" w:pos="270"/>
        </w:tabs>
        <w:jc w:val="both"/>
        <w:rPr>
          <w:rFonts w:ascii="Arial" w:hAnsi="Arial" w:cs="Arial"/>
          <w:color w:val="000000"/>
          <w:sz w:val="20"/>
          <w:szCs w:val="20"/>
        </w:rPr>
      </w:pPr>
      <w:r w:rsidRPr="00B3303A">
        <w:rPr>
          <w:rFonts w:ascii="Arial" w:hAnsi="Arial" w:cs="Arial"/>
          <w:sz w:val="20"/>
          <w:szCs w:val="18"/>
        </w:rPr>
        <w:t xml:space="preserve">Historical trends for positive placement show that job related training employment declines when additional education increases. </w:t>
      </w:r>
      <w:r w:rsidRPr="00B3303A">
        <w:rPr>
          <w:rFonts w:ascii="Arial" w:hAnsi="Arial" w:cs="Arial"/>
          <w:color w:val="000000"/>
          <w:sz w:val="20"/>
          <w:szCs w:val="20"/>
        </w:rPr>
        <w:t xml:space="preserve">(Measure </w:t>
      </w:r>
      <w:r>
        <w:rPr>
          <w:rFonts w:ascii="Arial" w:hAnsi="Arial" w:cs="Arial"/>
          <w:color w:val="000000"/>
          <w:sz w:val="20"/>
          <w:szCs w:val="20"/>
        </w:rPr>
        <w:t>4</w:t>
      </w:r>
      <w:r w:rsidRPr="00B3303A">
        <w:rPr>
          <w:rFonts w:ascii="Arial" w:hAnsi="Arial" w:cs="Arial"/>
          <w:color w:val="000000"/>
          <w:sz w:val="20"/>
          <w:szCs w:val="20"/>
        </w:rPr>
        <w:t>).</w:t>
      </w:r>
    </w:p>
    <w:p w14:paraId="22B1AECC" w14:textId="77777777" w:rsidR="00855462" w:rsidRDefault="00855462" w:rsidP="00855462">
      <w:pPr>
        <w:tabs>
          <w:tab w:val="left" w:pos="270"/>
        </w:tabs>
        <w:ind w:left="270" w:hanging="270"/>
        <w:jc w:val="both"/>
        <w:rPr>
          <w:rFonts w:ascii="Arial" w:hAnsi="Arial" w:cs="Arial"/>
          <w:color w:val="000000"/>
          <w:sz w:val="20"/>
          <w:szCs w:val="20"/>
        </w:rPr>
      </w:pPr>
    </w:p>
    <w:p w14:paraId="158BA03A" w14:textId="73069260" w:rsidR="00855462" w:rsidRPr="0023749A" w:rsidRDefault="00855462" w:rsidP="00855462">
      <w:pPr>
        <w:tabs>
          <w:tab w:val="left" w:pos="0"/>
        </w:tabs>
        <w:jc w:val="both"/>
        <w:rPr>
          <w:rFonts w:ascii="Arial" w:hAnsi="Arial" w:cs="Arial"/>
          <w:sz w:val="20"/>
          <w:szCs w:val="18"/>
        </w:rPr>
      </w:pPr>
      <w:r w:rsidRPr="0023749A">
        <w:rPr>
          <w:rFonts w:ascii="Arial" w:hAnsi="Arial" w:cs="Arial"/>
          <w:sz w:val="20"/>
          <w:szCs w:val="18"/>
        </w:rPr>
        <w:t>As states transitioned from Perkins IV to V, benchmarks were not required in FY 2020 (</w:t>
      </w:r>
      <w:r>
        <w:rPr>
          <w:rFonts w:ascii="Arial" w:hAnsi="Arial" w:cs="Arial"/>
          <w:sz w:val="20"/>
          <w:szCs w:val="18"/>
        </w:rPr>
        <w:t>Measure 5</w:t>
      </w:r>
      <w:r w:rsidRPr="0023749A">
        <w:rPr>
          <w:rFonts w:ascii="Arial" w:hAnsi="Arial" w:cs="Arial"/>
          <w:sz w:val="20"/>
          <w:szCs w:val="18"/>
        </w:rPr>
        <w:t xml:space="preserve">). </w:t>
      </w:r>
    </w:p>
    <w:p w14:paraId="288E9BED" w14:textId="77777777" w:rsidR="00855462" w:rsidRDefault="00855462" w:rsidP="00855462">
      <w:pPr>
        <w:tabs>
          <w:tab w:val="left" w:pos="270"/>
        </w:tabs>
        <w:ind w:left="270" w:hanging="270"/>
        <w:jc w:val="both"/>
        <w:rPr>
          <w:rFonts w:ascii="Arial" w:hAnsi="Arial" w:cs="Arial"/>
          <w:sz w:val="20"/>
          <w:szCs w:val="18"/>
        </w:rPr>
      </w:pPr>
    </w:p>
    <w:p w14:paraId="02009830" w14:textId="77777777" w:rsidR="00855462" w:rsidRPr="00B3303A" w:rsidRDefault="00855462" w:rsidP="00855462">
      <w:pPr>
        <w:tabs>
          <w:tab w:val="left" w:pos="180"/>
        </w:tabs>
        <w:ind w:left="270" w:hanging="270"/>
        <w:jc w:val="both"/>
        <w:rPr>
          <w:rFonts w:ascii="Arial" w:hAnsi="Arial" w:cs="Arial"/>
          <w:b/>
          <w:sz w:val="20"/>
          <w:szCs w:val="18"/>
        </w:rPr>
      </w:pPr>
      <w:r w:rsidRPr="00B3303A">
        <w:rPr>
          <w:rFonts w:ascii="Arial" w:hAnsi="Arial" w:cs="Arial"/>
          <w:b/>
          <w:sz w:val="20"/>
          <w:szCs w:val="18"/>
        </w:rPr>
        <w:t>Performance Measures 6):</w:t>
      </w:r>
    </w:p>
    <w:p w14:paraId="659C1AF6" w14:textId="77777777" w:rsidR="008B65B0" w:rsidRPr="008B65B0" w:rsidRDefault="71AA123B" w:rsidP="4CC6CE91">
      <w:pPr>
        <w:tabs>
          <w:tab w:val="left" w:pos="270"/>
        </w:tabs>
        <w:spacing w:line="259" w:lineRule="auto"/>
        <w:ind w:left="270" w:hanging="270"/>
        <w:jc w:val="both"/>
        <w:rPr>
          <w:rFonts w:ascii="Arial" w:hAnsi="Arial" w:cs="Arial"/>
          <w:sz w:val="20"/>
          <w:szCs w:val="20"/>
        </w:rPr>
      </w:pPr>
      <w:r w:rsidRPr="008B65B0">
        <w:rPr>
          <w:rFonts w:ascii="Arial" w:hAnsi="Arial" w:cs="Arial"/>
          <w:sz w:val="20"/>
          <w:szCs w:val="20"/>
        </w:rPr>
        <w:t>In the past, IDCTE used self-reported survey data for students that responded to a follow-up survey. Historical and</w:t>
      </w:r>
    </w:p>
    <w:p w14:paraId="4DF961FD" w14:textId="45FB9A39" w:rsidR="008B65B0" w:rsidRPr="008B65B0" w:rsidRDefault="71AA123B" w:rsidP="4CC6CE91">
      <w:pPr>
        <w:tabs>
          <w:tab w:val="left" w:pos="270"/>
        </w:tabs>
        <w:spacing w:line="259" w:lineRule="auto"/>
        <w:ind w:left="270" w:hanging="270"/>
        <w:jc w:val="both"/>
        <w:rPr>
          <w:rFonts w:ascii="Arial" w:hAnsi="Arial" w:cs="Arial"/>
          <w:sz w:val="20"/>
          <w:szCs w:val="20"/>
        </w:rPr>
      </w:pPr>
      <w:r w:rsidRPr="008B65B0">
        <w:rPr>
          <w:rFonts w:ascii="Arial" w:hAnsi="Arial" w:cs="Arial"/>
          <w:sz w:val="20"/>
          <w:szCs w:val="20"/>
        </w:rPr>
        <w:t>current data includes (FY</w:t>
      </w:r>
      <w:r w:rsidR="6490BEC5" w:rsidRPr="008B65B0">
        <w:rPr>
          <w:rFonts w:ascii="Arial" w:hAnsi="Arial" w:cs="Arial"/>
          <w:sz w:val="20"/>
          <w:szCs w:val="20"/>
        </w:rPr>
        <w:t xml:space="preserve"> 20</w:t>
      </w:r>
      <w:r w:rsidRPr="008B65B0">
        <w:rPr>
          <w:rFonts w:ascii="Arial" w:hAnsi="Arial" w:cs="Arial"/>
          <w:sz w:val="20"/>
          <w:szCs w:val="20"/>
        </w:rPr>
        <w:t>18–FY</w:t>
      </w:r>
      <w:r w:rsidR="003E995E" w:rsidRPr="008B65B0">
        <w:rPr>
          <w:rFonts w:ascii="Arial" w:hAnsi="Arial" w:cs="Arial"/>
          <w:sz w:val="20"/>
          <w:szCs w:val="20"/>
        </w:rPr>
        <w:t xml:space="preserve"> 20</w:t>
      </w:r>
      <w:r w:rsidRPr="008B65B0">
        <w:rPr>
          <w:rFonts w:ascii="Arial" w:hAnsi="Arial" w:cs="Arial"/>
          <w:sz w:val="20"/>
          <w:szCs w:val="20"/>
        </w:rPr>
        <w:t>19) updated data for students identified through National Clearinghouse data.</w:t>
      </w:r>
    </w:p>
    <w:p w14:paraId="108B214A" w14:textId="4EA2934A" w:rsidR="00B841D2" w:rsidRPr="008B65B0" w:rsidRDefault="2DE41E11" w:rsidP="4CC6CE91">
      <w:pPr>
        <w:tabs>
          <w:tab w:val="left" w:pos="270"/>
        </w:tabs>
        <w:spacing w:line="259" w:lineRule="auto"/>
        <w:ind w:left="270" w:hanging="270"/>
        <w:jc w:val="both"/>
        <w:rPr>
          <w:rFonts w:ascii="Arial" w:hAnsi="Arial" w:cs="Arial"/>
          <w:sz w:val="20"/>
          <w:szCs w:val="20"/>
        </w:rPr>
      </w:pPr>
      <w:r w:rsidRPr="008B65B0">
        <w:rPr>
          <w:rFonts w:ascii="Arial" w:hAnsi="Arial" w:cs="Arial"/>
          <w:sz w:val="20"/>
          <w:szCs w:val="20"/>
        </w:rPr>
        <w:t>This matches OSBE methodology.</w:t>
      </w:r>
    </w:p>
    <w:p w14:paraId="3813AD26" w14:textId="77777777" w:rsidR="008B65B0" w:rsidRPr="008B65B0" w:rsidRDefault="008B65B0" w:rsidP="4CC6CE91">
      <w:pPr>
        <w:tabs>
          <w:tab w:val="left" w:pos="270"/>
        </w:tabs>
        <w:spacing w:line="259" w:lineRule="auto"/>
        <w:ind w:left="270" w:hanging="270"/>
        <w:jc w:val="both"/>
        <w:rPr>
          <w:rFonts w:ascii="Arial" w:hAnsi="Arial" w:cs="Arial"/>
          <w:sz w:val="20"/>
          <w:szCs w:val="20"/>
        </w:rPr>
      </w:pPr>
    </w:p>
    <w:p w14:paraId="5DA2A93D" w14:textId="77777777" w:rsidR="008B65B0" w:rsidRPr="008B65B0" w:rsidRDefault="168DC53B" w:rsidP="4CC6CE91">
      <w:pPr>
        <w:tabs>
          <w:tab w:val="left" w:pos="270"/>
        </w:tabs>
        <w:spacing w:line="259" w:lineRule="auto"/>
        <w:ind w:left="270" w:hanging="270"/>
        <w:jc w:val="both"/>
        <w:rPr>
          <w:rFonts w:ascii="Arial" w:hAnsi="Arial" w:cs="Arial"/>
          <w:sz w:val="20"/>
          <w:szCs w:val="20"/>
        </w:rPr>
      </w:pPr>
      <w:r w:rsidRPr="008B65B0">
        <w:rPr>
          <w:rFonts w:ascii="Arial" w:hAnsi="Arial" w:cs="Arial"/>
          <w:sz w:val="20"/>
          <w:szCs w:val="20"/>
        </w:rPr>
        <w:t>Numbers have been updated</w:t>
      </w:r>
      <w:r w:rsidR="16C07A81" w:rsidRPr="008B65B0">
        <w:rPr>
          <w:rFonts w:ascii="Arial" w:hAnsi="Arial" w:cs="Arial"/>
          <w:sz w:val="20"/>
          <w:szCs w:val="20"/>
        </w:rPr>
        <w:t xml:space="preserve"> on this report to reflect when </w:t>
      </w:r>
      <w:r w:rsidRPr="008B65B0">
        <w:rPr>
          <w:rFonts w:ascii="Arial" w:hAnsi="Arial" w:cs="Arial"/>
          <w:sz w:val="20"/>
          <w:szCs w:val="20"/>
        </w:rPr>
        <w:t xml:space="preserve">placement </w:t>
      </w:r>
      <w:r w:rsidR="2ECF9D9D" w:rsidRPr="008B65B0">
        <w:rPr>
          <w:rFonts w:ascii="Arial" w:hAnsi="Arial" w:cs="Arial"/>
          <w:sz w:val="20"/>
          <w:szCs w:val="20"/>
        </w:rPr>
        <w:t xml:space="preserve">data </w:t>
      </w:r>
      <w:r w:rsidR="5005FC2A" w:rsidRPr="008B65B0">
        <w:rPr>
          <w:rFonts w:ascii="Arial" w:hAnsi="Arial" w:cs="Arial"/>
          <w:sz w:val="20"/>
          <w:szCs w:val="20"/>
        </w:rPr>
        <w:t>is collected.</w:t>
      </w:r>
      <w:r w:rsidR="66AD9AB3" w:rsidRPr="008B65B0">
        <w:rPr>
          <w:rFonts w:ascii="Arial" w:hAnsi="Arial" w:cs="Arial"/>
          <w:sz w:val="20"/>
          <w:szCs w:val="20"/>
        </w:rPr>
        <w:t xml:space="preserve"> For example, students from</w:t>
      </w:r>
    </w:p>
    <w:p w14:paraId="0CBF303C" w14:textId="52E95D07" w:rsidR="168DC53B" w:rsidRPr="008B65B0" w:rsidRDefault="66AD9AB3" w:rsidP="4CC6CE91">
      <w:pPr>
        <w:tabs>
          <w:tab w:val="left" w:pos="270"/>
        </w:tabs>
        <w:spacing w:line="259" w:lineRule="auto"/>
        <w:ind w:left="270" w:hanging="270"/>
        <w:jc w:val="both"/>
        <w:rPr>
          <w:rFonts w:ascii="Arial" w:hAnsi="Arial" w:cs="Arial"/>
        </w:rPr>
      </w:pPr>
      <w:r w:rsidRPr="008B65B0">
        <w:rPr>
          <w:rFonts w:ascii="Arial" w:hAnsi="Arial" w:cs="Arial"/>
          <w:sz w:val="20"/>
          <w:szCs w:val="20"/>
        </w:rPr>
        <w:t>19/20 were followed up in 20/21.</w:t>
      </w:r>
    </w:p>
    <w:p w14:paraId="082D5070" w14:textId="77777777" w:rsidR="00855462" w:rsidRPr="008B65B0" w:rsidRDefault="00855462" w:rsidP="00855462">
      <w:pPr>
        <w:tabs>
          <w:tab w:val="left" w:pos="270"/>
        </w:tabs>
        <w:ind w:left="270" w:hanging="270"/>
        <w:jc w:val="both"/>
        <w:rPr>
          <w:rFonts w:ascii="Arial" w:hAnsi="Arial" w:cs="Arial"/>
          <w:sz w:val="20"/>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103562" w:rsidRPr="008B2B99" w14:paraId="633F7B40" w14:textId="77777777" w:rsidTr="4CC6CE91">
        <w:trPr>
          <w:trHeight w:val="1932"/>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4E7D2448" w14:textId="77777777" w:rsidR="00103562" w:rsidRDefault="00103562" w:rsidP="005164F7">
            <w:pPr>
              <w:jc w:val="center"/>
              <w:rPr>
                <w:rFonts w:ascii="Arial" w:hAnsi="Arial" w:cs="Arial"/>
                <w:b/>
                <w:bCs/>
                <w:sz w:val="20"/>
                <w:szCs w:val="20"/>
              </w:rPr>
            </w:pPr>
            <w:r w:rsidRPr="008B2B99">
              <w:rPr>
                <w:rFonts w:ascii="Arial" w:hAnsi="Arial" w:cs="Arial"/>
                <w:b/>
                <w:bCs/>
                <w:sz w:val="20"/>
                <w:szCs w:val="20"/>
              </w:rPr>
              <w:lastRenderedPageBreak/>
              <w:t>For More Information Contact</w:t>
            </w:r>
          </w:p>
          <w:p w14:paraId="31E5CA94" w14:textId="77777777" w:rsidR="000D407E" w:rsidRDefault="000D407E" w:rsidP="005164F7">
            <w:pPr>
              <w:jc w:val="center"/>
              <w:rPr>
                <w:rFonts w:ascii="Arial" w:hAnsi="Arial" w:cs="Arial"/>
                <w:b/>
                <w:bCs/>
                <w:sz w:val="20"/>
                <w:szCs w:val="20"/>
              </w:rPr>
            </w:pPr>
          </w:p>
          <w:p w14:paraId="5799633C" w14:textId="0DF050C3" w:rsidR="00FC0922" w:rsidRPr="008B2B99" w:rsidRDefault="0A6FB8AA" w:rsidP="005164F7">
            <w:pPr>
              <w:ind w:left="252"/>
              <w:rPr>
                <w:rFonts w:ascii="Arial" w:hAnsi="Arial" w:cs="Arial"/>
                <w:noProof/>
                <w:sz w:val="20"/>
                <w:szCs w:val="20"/>
              </w:rPr>
            </w:pPr>
            <w:r w:rsidRPr="4CC6CE91">
              <w:rPr>
                <w:rFonts w:ascii="Arial" w:hAnsi="Arial" w:cs="Arial"/>
                <w:noProof/>
                <w:sz w:val="20"/>
                <w:szCs w:val="20"/>
              </w:rPr>
              <w:t>Clay Long</w:t>
            </w:r>
            <w:r w:rsidR="519F8AB6" w:rsidRPr="4CC6CE91">
              <w:rPr>
                <w:rFonts w:ascii="Arial" w:hAnsi="Arial" w:cs="Arial"/>
                <w:noProof/>
                <w:sz w:val="20"/>
                <w:szCs w:val="20"/>
              </w:rPr>
              <w:t>,</w:t>
            </w:r>
            <w:r w:rsidR="093F0860" w:rsidRPr="4CC6CE91">
              <w:rPr>
                <w:rFonts w:ascii="Arial" w:hAnsi="Arial" w:cs="Arial"/>
                <w:noProof/>
                <w:sz w:val="20"/>
                <w:szCs w:val="20"/>
              </w:rPr>
              <w:t xml:space="preserve"> </w:t>
            </w:r>
            <w:r w:rsidR="64A4E166" w:rsidRPr="4CC6CE91">
              <w:rPr>
                <w:rFonts w:ascii="Arial" w:hAnsi="Arial" w:cs="Arial"/>
                <w:noProof/>
                <w:sz w:val="20"/>
                <w:szCs w:val="20"/>
              </w:rPr>
              <w:t xml:space="preserve">State </w:t>
            </w:r>
            <w:r w:rsidR="519F8AB6" w:rsidRPr="4CC6CE91">
              <w:rPr>
                <w:rFonts w:ascii="Arial" w:hAnsi="Arial" w:cs="Arial"/>
                <w:noProof/>
                <w:sz w:val="20"/>
                <w:szCs w:val="20"/>
              </w:rPr>
              <w:t>Administrator</w:t>
            </w:r>
          </w:p>
          <w:p w14:paraId="3280DBF9" w14:textId="77777777" w:rsidR="00103562" w:rsidRPr="008B2B99" w:rsidRDefault="00103562" w:rsidP="005164F7">
            <w:pPr>
              <w:ind w:left="252"/>
              <w:rPr>
                <w:rFonts w:ascii="Arial" w:hAnsi="Arial" w:cs="Arial"/>
                <w:sz w:val="20"/>
                <w:szCs w:val="20"/>
              </w:rPr>
            </w:pPr>
            <w:r w:rsidRPr="008B2B99">
              <w:rPr>
                <w:rFonts w:ascii="Arial" w:hAnsi="Arial" w:cs="Arial"/>
                <w:noProof/>
                <w:sz w:val="20"/>
                <w:szCs w:val="20"/>
              </w:rPr>
              <w:t xml:space="preserve">650 W State </w:t>
            </w:r>
            <w:r w:rsidR="00972F37">
              <w:rPr>
                <w:rFonts w:ascii="Arial" w:hAnsi="Arial" w:cs="Arial"/>
                <w:noProof/>
                <w:sz w:val="20"/>
                <w:szCs w:val="20"/>
              </w:rPr>
              <w:t xml:space="preserve">Ste </w:t>
            </w:r>
            <w:r w:rsidRPr="008B2B99">
              <w:rPr>
                <w:rFonts w:ascii="Arial" w:hAnsi="Arial" w:cs="Arial"/>
                <w:noProof/>
                <w:sz w:val="20"/>
                <w:szCs w:val="20"/>
              </w:rPr>
              <w:t>324</w:t>
            </w:r>
          </w:p>
          <w:p w14:paraId="1483BDDF" w14:textId="77777777" w:rsidR="00103562" w:rsidRPr="008B2B99" w:rsidRDefault="00103562" w:rsidP="005164F7">
            <w:pPr>
              <w:ind w:left="252"/>
              <w:rPr>
                <w:rFonts w:ascii="Arial" w:hAnsi="Arial" w:cs="Arial"/>
                <w:sz w:val="20"/>
                <w:szCs w:val="20"/>
                <w:lang w:val="fr-FR"/>
              </w:rPr>
            </w:pPr>
            <w:r w:rsidRPr="008B2B99">
              <w:rPr>
                <w:rFonts w:ascii="Arial" w:hAnsi="Arial" w:cs="Arial"/>
                <w:noProof/>
                <w:sz w:val="20"/>
                <w:szCs w:val="20"/>
                <w:lang w:val="fr-FR"/>
              </w:rPr>
              <w:t>Boise</w:t>
            </w:r>
            <w:r w:rsidRPr="008B2B99">
              <w:rPr>
                <w:rFonts w:ascii="Arial" w:hAnsi="Arial" w:cs="Arial"/>
                <w:sz w:val="20"/>
                <w:szCs w:val="20"/>
                <w:lang w:val="fr-FR"/>
              </w:rPr>
              <w:t xml:space="preserve">, </w:t>
            </w:r>
            <w:r w:rsidRPr="008B2B99">
              <w:rPr>
                <w:rFonts w:ascii="Arial" w:hAnsi="Arial" w:cs="Arial"/>
                <w:noProof/>
                <w:sz w:val="20"/>
                <w:szCs w:val="20"/>
                <w:lang w:val="fr-FR"/>
              </w:rPr>
              <w:t>ID</w:t>
            </w:r>
            <w:r w:rsidRPr="008B2B99">
              <w:rPr>
                <w:rFonts w:ascii="Arial" w:hAnsi="Arial" w:cs="Arial"/>
                <w:sz w:val="20"/>
                <w:szCs w:val="20"/>
                <w:lang w:val="fr-FR"/>
              </w:rPr>
              <w:t xml:space="preserve">  </w:t>
            </w:r>
            <w:r w:rsidRPr="008B2B99">
              <w:rPr>
                <w:rFonts w:ascii="Arial" w:hAnsi="Arial" w:cs="Arial"/>
                <w:noProof/>
                <w:sz w:val="20"/>
                <w:szCs w:val="20"/>
                <w:lang w:val="fr-FR"/>
              </w:rPr>
              <w:t>837</w:t>
            </w:r>
            <w:r w:rsidR="00972F37">
              <w:rPr>
                <w:rFonts w:ascii="Arial" w:hAnsi="Arial" w:cs="Arial"/>
                <w:noProof/>
                <w:sz w:val="20"/>
                <w:szCs w:val="20"/>
                <w:lang w:val="fr-FR"/>
              </w:rPr>
              <w:t>02-5936</w:t>
            </w:r>
          </w:p>
          <w:p w14:paraId="1D17C265" w14:textId="20E64D2A" w:rsidR="00103562" w:rsidRPr="008B2B99" w:rsidRDefault="323DA6B1" w:rsidP="005164F7">
            <w:pPr>
              <w:ind w:left="252"/>
              <w:rPr>
                <w:rFonts w:ascii="Arial" w:hAnsi="Arial" w:cs="Arial"/>
                <w:sz w:val="20"/>
                <w:szCs w:val="20"/>
                <w:lang w:val="fr-FR"/>
              </w:rPr>
            </w:pPr>
            <w:r w:rsidRPr="4CC6CE91">
              <w:rPr>
                <w:rFonts w:ascii="Arial" w:hAnsi="Arial" w:cs="Arial"/>
                <w:sz w:val="20"/>
                <w:szCs w:val="20"/>
                <w:lang w:val="fr-FR"/>
              </w:rPr>
              <w:t>Phone: 208</w:t>
            </w:r>
            <w:r w:rsidR="25F66713" w:rsidRPr="4CC6CE91">
              <w:rPr>
                <w:rFonts w:ascii="Arial" w:hAnsi="Arial" w:cs="Arial"/>
                <w:sz w:val="20"/>
                <w:szCs w:val="20"/>
                <w:lang w:val="fr-FR"/>
              </w:rPr>
              <w:t>-</w:t>
            </w:r>
            <w:r w:rsidRPr="4CC6CE91">
              <w:rPr>
                <w:rFonts w:ascii="Arial" w:hAnsi="Arial" w:cs="Arial"/>
                <w:sz w:val="20"/>
                <w:szCs w:val="20"/>
                <w:lang w:val="fr-FR"/>
              </w:rPr>
              <w:t>4</w:t>
            </w:r>
            <w:r w:rsidR="0A6FB8AA" w:rsidRPr="4CC6CE91">
              <w:rPr>
                <w:rFonts w:ascii="Arial" w:hAnsi="Arial" w:cs="Arial"/>
                <w:sz w:val="20"/>
                <w:szCs w:val="20"/>
                <w:lang w:val="fr-FR"/>
              </w:rPr>
              <w:t>29</w:t>
            </w:r>
            <w:r w:rsidRPr="4CC6CE91">
              <w:rPr>
                <w:rFonts w:ascii="Arial" w:hAnsi="Arial" w:cs="Arial"/>
                <w:sz w:val="20"/>
                <w:szCs w:val="20"/>
                <w:lang w:val="fr-FR"/>
              </w:rPr>
              <w:t>-</w:t>
            </w:r>
            <w:r w:rsidR="0A6FB8AA" w:rsidRPr="4CC6CE91">
              <w:rPr>
                <w:rFonts w:ascii="Arial" w:hAnsi="Arial" w:cs="Arial"/>
                <w:sz w:val="20"/>
                <w:szCs w:val="20"/>
                <w:lang w:val="fr-FR"/>
              </w:rPr>
              <w:t>5500</w:t>
            </w:r>
          </w:p>
          <w:p w14:paraId="338960E1" w14:textId="77777777" w:rsidR="00EE09D6" w:rsidRDefault="00103562" w:rsidP="001438BB">
            <w:pPr>
              <w:ind w:left="252"/>
              <w:rPr>
                <w:rFonts w:ascii="Arial" w:hAnsi="Arial" w:cs="Arial"/>
                <w:sz w:val="20"/>
                <w:szCs w:val="20"/>
                <w:lang w:val="fr-FR"/>
              </w:rPr>
            </w:pPr>
            <w:r w:rsidRPr="008B2B99">
              <w:rPr>
                <w:rFonts w:ascii="Arial" w:hAnsi="Arial" w:cs="Arial"/>
                <w:sz w:val="20"/>
                <w:szCs w:val="20"/>
                <w:lang w:val="fr-FR"/>
              </w:rPr>
              <w:t xml:space="preserve">Email: </w:t>
            </w:r>
            <w:hyperlink r:id="rId11" w:history="1">
              <w:r w:rsidR="006335B0" w:rsidRPr="00675196">
                <w:rPr>
                  <w:rStyle w:val="Hyperlink"/>
                  <w:rFonts w:ascii="Arial" w:hAnsi="Arial" w:cs="Arial"/>
                  <w:sz w:val="20"/>
                  <w:szCs w:val="20"/>
                  <w:lang w:val="fr-FR"/>
                </w:rPr>
                <w:t>clay.long@cte.idaho.gov</w:t>
              </w:r>
            </w:hyperlink>
          </w:p>
          <w:p w14:paraId="38565674" w14:textId="77777777" w:rsidR="000D407E" w:rsidRPr="008B2B99" w:rsidRDefault="000D407E" w:rsidP="006335B0">
            <w:pPr>
              <w:rPr>
                <w:rFonts w:ascii="Arial" w:hAnsi="Arial" w:cs="Arial"/>
                <w:sz w:val="20"/>
                <w:szCs w:val="20"/>
                <w:lang w:val="fr-FR"/>
              </w:rPr>
            </w:pPr>
          </w:p>
        </w:tc>
      </w:tr>
    </w:tbl>
    <w:p w14:paraId="7EDD7F40" w14:textId="30C7447E" w:rsidR="4CC6CE91" w:rsidRDefault="4CC6CE91" w:rsidP="00BA7601">
      <w:pPr>
        <w:jc w:val="both"/>
        <w:rPr>
          <w:rFonts w:ascii="Arial" w:hAnsi="Arial" w:cs="Arial"/>
          <w:lang w:val="fr-FR"/>
        </w:rPr>
      </w:pPr>
    </w:p>
    <w:sectPr w:rsidR="4CC6CE91" w:rsidSect="0007271E">
      <w:headerReference w:type="default" r:id="rId12"/>
      <w:footerReference w:type="default" r:id="rId13"/>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A461" w14:textId="77777777" w:rsidR="00C928B2" w:rsidRDefault="00C928B2">
      <w:r>
        <w:separator/>
      </w:r>
    </w:p>
  </w:endnote>
  <w:endnote w:type="continuationSeparator" w:id="0">
    <w:p w14:paraId="535085EB" w14:textId="77777777" w:rsidR="00C928B2" w:rsidRDefault="00C9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0872"/>
      <w:docPartObj>
        <w:docPartGallery w:val="Page Numbers (Bottom of Page)"/>
        <w:docPartUnique/>
      </w:docPartObj>
    </w:sdtPr>
    <w:sdtEndPr>
      <w:rPr>
        <w:noProof/>
      </w:rPr>
    </w:sdtEndPr>
    <w:sdtContent>
      <w:p w14:paraId="78041868" w14:textId="77777777" w:rsidR="00D9550B" w:rsidRPr="00D9550B" w:rsidRDefault="00D9550B" w:rsidP="004A11C9">
        <w:pPr>
          <w:pStyle w:val="Footer"/>
          <w:tabs>
            <w:tab w:val="clear" w:pos="4320"/>
            <w:tab w:val="clear" w:pos="8640"/>
            <w:tab w:val="center" w:pos="4680"/>
            <w:tab w:val="right" w:pos="10080"/>
          </w:tabs>
          <w:rPr>
            <w:rFonts w:ascii="Arial" w:hAnsi="Arial" w:cs="Arial"/>
            <w:sz w:val="20"/>
            <w:szCs w:val="20"/>
          </w:rPr>
        </w:pPr>
      </w:p>
      <w:p w14:paraId="50294930" w14:textId="77777777" w:rsidR="00B434AA" w:rsidRPr="004A11C9" w:rsidRDefault="00B434AA" w:rsidP="004A11C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6C7869">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AA17" w14:textId="77777777" w:rsidR="00C928B2" w:rsidRDefault="00C928B2">
      <w:r>
        <w:separator/>
      </w:r>
    </w:p>
  </w:footnote>
  <w:footnote w:type="continuationSeparator" w:id="0">
    <w:p w14:paraId="66C92EE3" w14:textId="77777777" w:rsidR="00C928B2" w:rsidRDefault="00C9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B434AA" w14:paraId="169E5C3A" w14:textId="77777777" w:rsidTr="0007271E">
      <w:tc>
        <w:tcPr>
          <w:tcW w:w="10080" w:type="dxa"/>
          <w:shd w:val="clear" w:color="auto" w:fill="000080"/>
        </w:tcPr>
        <w:p w14:paraId="352CE6C8" w14:textId="77777777" w:rsidR="00B434AA" w:rsidRDefault="00B434AA" w:rsidP="00DD6707">
          <w:pPr>
            <w:tabs>
              <w:tab w:val="right" w:pos="9852"/>
            </w:tabs>
            <w:rPr>
              <w:rFonts w:ascii="Arial" w:hAnsi="Arial" w:cs="Arial"/>
              <w:color w:val="FFFFFF"/>
            </w:rPr>
          </w:pPr>
          <w:r>
            <w:rPr>
              <w:rFonts w:ascii="Arial" w:hAnsi="Arial" w:cs="Arial"/>
              <w:b/>
              <w:bCs/>
              <w:noProof/>
              <w:color w:val="FFFFFF"/>
            </w:rPr>
            <w:t>Idaho</w:t>
          </w:r>
          <w:r w:rsidR="00972F37">
            <w:rPr>
              <w:rFonts w:ascii="Arial" w:hAnsi="Arial" w:cs="Arial"/>
              <w:b/>
              <w:bCs/>
              <w:noProof/>
              <w:color w:val="FFFFFF"/>
            </w:rPr>
            <w:t xml:space="preserve"> Division of</w:t>
          </w:r>
          <w:r>
            <w:rPr>
              <w:rFonts w:ascii="Arial" w:hAnsi="Arial" w:cs="Arial"/>
              <w:b/>
              <w:bCs/>
              <w:noProof/>
              <w:color w:val="FFFFFF"/>
            </w:rPr>
            <w:t xml:space="preserve"> Career Technical Education</w:t>
          </w:r>
          <w:r>
            <w:rPr>
              <w:rFonts w:ascii="Arial" w:hAnsi="Arial" w:cs="Arial"/>
              <w:b/>
              <w:bCs/>
              <w:color w:val="FFFFFF"/>
            </w:rPr>
            <w:tab/>
          </w:r>
          <w:r>
            <w:rPr>
              <w:rFonts w:ascii="Arial" w:hAnsi="Arial" w:cs="Arial"/>
              <w:color w:val="FFFFFF"/>
            </w:rPr>
            <w:t>Performance Report</w:t>
          </w:r>
          <w:r w:rsidR="00B969E4">
            <w:rPr>
              <w:rFonts w:ascii="Arial" w:hAnsi="Arial" w:cs="Arial"/>
              <w:color w:val="FFFFFF"/>
            </w:rPr>
            <w:t xml:space="preserve"> </w:t>
          </w:r>
        </w:p>
      </w:tc>
    </w:tr>
    <w:tr w:rsidR="00B434AA" w14:paraId="717F7FD1" w14:textId="77777777" w:rsidTr="0007271E">
      <w:trPr>
        <w:trHeight w:hRule="exact" w:val="90"/>
      </w:trPr>
      <w:tc>
        <w:tcPr>
          <w:tcW w:w="10080" w:type="dxa"/>
          <w:tcBorders>
            <w:top w:val="nil"/>
            <w:bottom w:val="single" w:sz="4" w:space="0" w:color="auto"/>
          </w:tcBorders>
        </w:tcPr>
        <w:p w14:paraId="5444E12E" w14:textId="77777777" w:rsidR="00B434AA" w:rsidRDefault="00B434AA" w:rsidP="00625FC9"/>
      </w:tc>
    </w:tr>
    <w:tr w:rsidR="00B434AA" w14:paraId="0E043B6D" w14:textId="77777777" w:rsidTr="0007271E">
      <w:tc>
        <w:tcPr>
          <w:tcW w:w="10080" w:type="dxa"/>
          <w:tcBorders>
            <w:top w:val="single" w:sz="4" w:space="0" w:color="auto"/>
            <w:bottom w:val="nil"/>
          </w:tcBorders>
          <w:shd w:val="clear" w:color="auto" w:fill="000080"/>
        </w:tcPr>
        <w:p w14:paraId="43577A86" w14:textId="77777777" w:rsidR="00B434AA" w:rsidRDefault="00B434AA" w:rsidP="00625FC9"/>
      </w:tc>
    </w:tr>
  </w:tbl>
  <w:p w14:paraId="536888C8" w14:textId="77777777" w:rsidR="00B434AA" w:rsidRDefault="00B434AA" w:rsidP="00D9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C16"/>
    <w:multiLevelType w:val="hybridMultilevel"/>
    <w:tmpl w:val="A3AC9A58"/>
    <w:lvl w:ilvl="0" w:tplc="FA7ADD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3089E"/>
    <w:multiLevelType w:val="hybridMultilevel"/>
    <w:tmpl w:val="C46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82E23"/>
    <w:multiLevelType w:val="hybridMultilevel"/>
    <w:tmpl w:val="3B6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2A8C"/>
    <w:multiLevelType w:val="hybridMultilevel"/>
    <w:tmpl w:val="346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71754"/>
    <w:multiLevelType w:val="hybridMultilevel"/>
    <w:tmpl w:val="01D8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C07D6"/>
    <w:multiLevelType w:val="hybridMultilevel"/>
    <w:tmpl w:val="A0BE1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E266D"/>
    <w:multiLevelType w:val="hybridMultilevel"/>
    <w:tmpl w:val="0ADC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815A8"/>
    <w:multiLevelType w:val="hybridMultilevel"/>
    <w:tmpl w:val="1DE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C3FC4"/>
    <w:multiLevelType w:val="hybridMultilevel"/>
    <w:tmpl w:val="E4F4E3F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A3E2B44"/>
    <w:multiLevelType w:val="hybridMultilevel"/>
    <w:tmpl w:val="15A0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A6753"/>
    <w:multiLevelType w:val="hybridMultilevel"/>
    <w:tmpl w:val="699A91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A6583"/>
    <w:multiLevelType w:val="hybridMultilevel"/>
    <w:tmpl w:val="4A86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B4A88"/>
    <w:multiLevelType w:val="hybridMultilevel"/>
    <w:tmpl w:val="ED428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B22458"/>
    <w:multiLevelType w:val="hybridMultilevel"/>
    <w:tmpl w:val="6464D66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4866"/>
    <w:multiLevelType w:val="hybridMultilevel"/>
    <w:tmpl w:val="543603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5FED3FDB"/>
    <w:multiLevelType w:val="hybridMultilevel"/>
    <w:tmpl w:val="F156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E73D1"/>
    <w:multiLevelType w:val="hybridMultilevel"/>
    <w:tmpl w:val="BBAAE05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B7993"/>
    <w:multiLevelType w:val="hybridMultilevel"/>
    <w:tmpl w:val="B8B8EC80"/>
    <w:lvl w:ilvl="0" w:tplc="1D280F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937E77"/>
    <w:multiLevelType w:val="hybridMultilevel"/>
    <w:tmpl w:val="041E32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B6241"/>
    <w:multiLevelType w:val="hybridMultilevel"/>
    <w:tmpl w:val="295E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80A8B"/>
    <w:multiLevelType w:val="hybridMultilevel"/>
    <w:tmpl w:val="709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952">
    <w:abstractNumId w:val="18"/>
  </w:num>
  <w:num w:numId="2" w16cid:durableId="212935225">
    <w:abstractNumId w:val="19"/>
  </w:num>
  <w:num w:numId="3" w16cid:durableId="1530297731">
    <w:abstractNumId w:val="13"/>
  </w:num>
  <w:num w:numId="4" w16cid:durableId="403453378">
    <w:abstractNumId w:val="8"/>
  </w:num>
  <w:num w:numId="5" w16cid:durableId="1928877877">
    <w:abstractNumId w:val="17"/>
  </w:num>
  <w:num w:numId="6" w16cid:durableId="713113943">
    <w:abstractNumId w:val="12"/>
  </w:num>
  <w:num w:numId="7" w16cid:durableId="470632970">
    <w:abstractNumId w:val="10"/>
  </w:num>
  <w:num w:numId="8" w16cid:durableId="411241449">
    <w:abstractNumId w:val="14"/>
  </w:num>
  <w:num w:numId="9" w16cid:durableId="339740295">
    <w:abstractNumId w:val="0"/>
  </w:num>
  <w:num w:numId="10" w16cid:durableId="2064908949">
    <w:abstractNumId w:val="7"/>
  </w:num>
  <w:num w:numId="11" w16cid:durableId="1544441708">
    <w:abstractNumId w:val="2"/>
  </w:num>
  <w:num w:numId="12" w16cid:durableId="958413913">
    <w:abstractNumId w:val="5"/>
  </w:num>
  <w:num w:numId="13" w16cid:durableId="858276515">
    <w:abstractNumId w:val="20"/>
  </w:num>
  <w:num w:numId="14" w16cid:durableId="1320429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692079">
    <w:abstractNumId w:val="16"/>
  </w:num>
  <w:num w:numId="16" w16cid:durableId="1667047619">
    <w:abstractNumId w:val="4"/>
  </w:num>
  <w:num w:numId="17" w16cid:durableId="1999723586">
    <w:abstractNumId w:val="11"/>
  </w:num>
  <w:num w:numId="18" w16cid:durableId="1959290114">
    <w:abstractNumId w:val="1"/>
  </w:num>
  <w:num w:numId="19" w16cid:durableId="1666200781">
    <w:abstractNumId w:val="3"/>
  </w:num>
  <w:num w:numId="20" w16cid:durableId="1979722181">
    <w:abstractNumId w:val="15"/>
  </w:num>
  <w:num w:numId="21" w16cid:durableId="1853490217">
    <w:abstractNumId w:val="6"/>
  </w:num>
  <w:num w:numId="22" w16cid:durableId="1435516110">
    <w:abstractNumId w:val="21"/>
  </w:num>
  <w:num w:numId="23" w16cid:durableId="166685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3B"/>
    <w:rsid w:val="00002EC4"/>
    <w:rsid w:val="00003FE1"/>
    <w:rsid w:val="0001130A"/>
    <w:rsid w:val="00011E1D"/>
    <w:rsid w:val="00013A86"/>
    <w:rsid w:val="000150B3"/>
    <w:rsid w:val="00015635"/>
    <w:rsid w:val="00020704"/>
    <w:rsid w:val="00022F71"/>
    <w:rsid w:val="0002359A"/>
    <w:rsid w:val="00023C26"/>
    <w:rsid w:val="00030143"/>
    <w:rsid w:val="00033D0B"/>
    <w:rsid w:val="00035855"/>
    <w:rsid w:val="000377E9"/>
    <w:rsid w:val="00040563"/>
    <w:rsid w:val="000408AA"/>
    <w:rsid w:val="0004433F"/>
    <w:rsid w:val="0004616E"/>
    <w:rsid w:val="000515B5"/>
    <w:rsid w:val="00051EED"/>
    <w:rsid w:val="00056975"/>
    <w:rsid w:val="00065F29"/>
    <w:rsid w:val="0007271E"/>
    <w:rsid w:val="00075787"/>
    <w:rsid w:val="00077ECD"/>
    <w:rsid w:val="00080DEF"/>
    <w:rsid w:val="00084FE2"/>
    <w:rsid w:val="00085FFD"/>
    <w:rsid w:val="000877A1"/>
    <w:rsid w:val="0009243B"/>
    <w:rsid w:val="000A09CA"/>
    <w:rsid w:val="000A23B7"/>
    <w:rsid w:val="000A456D"/>
    <w:rsid w:val="000B0113"/>
    <w:rsid w:val="000B6804"/>
    <w:rsid w:val="000C7A59"/>
    <w:rsid w:val="000C7D12"/>
    <w:rsid w:val="000D2FDC"/>
    <w:rsid w:val="000D407E"/>
    <w:rsid w:val="000D5546"/>
    <w:rsid w:val="000D5C6B"/>
    <w:rsid w:val="000E12D7"/>
    <w:rsid w:val="000E2EB7"/>
    <w:rsid w:val="000E555F"/>
    <w:rsid w:val="000F69DA"/>
    <w:rsid w:val="001008EC"/>
    <w:rsid w:val="00100F4D"/>
    <w:rsid w:val="001010D8"/>
    <w:rsid w:val="00102BEB"/>
    <w:rsid w:val="00103562"/>
    <w:rsid w:val="00104CD6"/>
    <w:rsid w:val="00105EE5"/>
    <w:rsid w:val="00106DDE"/>
    <w:rsid w:val="00111519"/>
    <w:rsid w:val="001118E4"/>
    <w:rsid w:val="00111C16"/>
    <w:rsid w:val="0011203F"/>
    <w:rsid w:val="00114D87"/>
    <w:rsid w:val="00121DE5"/>
    <w:rsid w:val="00121ECF"/>
    <w:rsid w:val="00130781"/>
    <w:rsid w:val="00133DC5"/>
    <w:rsid w:val="00134AE3"/>
    <w:rsid w:val="001377E6"/>
    <w:rsid w:val="001438BB"/>
    <w:rsid w:val="001469A2"/>
    <w:rsid w:val="001541B4"/>
    <w:rsid w:val="00157365"/>
    <w:rsid w:val="001647FE"/>
    <w:rsid w:val="00172DC8"/>
    <w:rsid w:val="00174C66"/>
    <w:rsid w:val="00183581"/>
    <w:rsid w:val="00185107"/>
    <w:rsid w:val="00186EFA"/>
    <w:rsid w:val="00187DD0"/>
    <w:rsid w:val="001914BA"/>
    <w:rsid w:val="001916BF"/>
    <w:rsid w:val="00195F3A"/>
    <w:rsid w:val="00196702"/>
    <w:rsid w:val="00197A64"/>
    <w:rsid w:val="001A2CD6"/>
    <w:rsid w:val="001A361A"/>
    <w:rsid w:val="001A6485"/>
    <w:rsid w:val="001A7296"/>
    <w:rsid w:val="001C0689"/>
    <w:rsid w:val="001C1A1D"/>
    <w:rsid w:val="001C3BB9"/>
    <w:rsid w:val="001C6070"/>
    <w:rsid w:val="001D38C5"/>
    <w:rsid w:val="001D49C2"/>
    <w:rsid w:val="001D7DB7"/>
    <w:rsid w:val="001E1147"/>
    <w:rsid w:val="001E278D"/>
    <w:rsid w:val="001E3306"/>
    <w:rsid w:val="001F0CBD"/>
    <w:rsid w:val="001F1F9C"/>
    <w:rsid w:val="001F6457"/>
    <w:rsid w:val="001F69A1"/>
    <w:rsid w:val="00200B2B"/>
    <w:rsid w:val="00201F57"/>
    <w:rsid w:val="0021113D"/>
    <w:rsid w:val="00212034"/>
    <w:rsid w:val="0021621F"/>
    <w:rsid w:val="00216832"/>
    <w:rsid w:val="00216ADF"/>
    <w:rsid w:val="00222A9E"/>
    <w:rsid w:val="00225352"/>
    <w:rsid w:val="0022716D"/>
    <w:rsid w:val="002334A1"/>
    <w:rsid w:val="00234FB9"/>
    <w:rsid w:val="002353B5"/>
    <w:rsid w:val="00235C08"/>
    <w:rsid w:val="0023749A"/>
    <w:rsid w:val="0024226F"/>
    <w:rsid w:val="00244CA4"/>
    <w:rsid w:val="002539BE"/>
    <w:rsid w:val="002560FD"/>
    <w:rsid w:val="0025785B"/>
    <w:rsid w:val="00260539"/>
    <w:rsid w:val="00261197"/>
    <w:rsid w:val="0026413A"/>
    <w:rsid w:val="0026492F"/>
    <w:rsid w:val="00266FA3"/>
    <w:rsid w:val="0026707A"/>
    <w:rsid w:val="00267ECA"/>
    <w:rsid w:val="00280F94"/>
    <w:rsid w:val="00282C9B"/>
    <w:rsid w:val="00284D76"/>
    <w:rsid w:val="00286FDF"/>
    <w:rsid w:val="00290FE5"/>
    <w:rsid w:val="002915CB"/>
    <w:rsid w:val="00295F72"/>
    <w:rsid w:val="00297FE1"/>
    <w:rsid w:val="002A03D1"/>
    <w:rsid w:val="002A246C"/>
    <w:rsid w:val="002B0C6D"/>
    <w:rsid w:val="002B22C5"/>
    <w:rsid w:val="002B4ABB"/>
    <w:rsid w:val="002B5DB6"/>
    <w:rsid w:val="002B69D6"/>
    <w:rsid w:val="002C3A4D"/>
    <w:rsid w:val="002C6DB9"/>
    <w:rsid w:val="002D1E40"/>
    <w:rsid w:val="002D2A01"/>
    <w:rsid w:val="002D346F"/>
    <w:rsid w:val="002E0436"/>
    <w:rsid w:val="002E0FF3"/>
    <w:rsid w:val="002E1CF8"/>
    <w:rsid w:val="002E59B3"/>
    <w:rsid w:val="002F0B33"/>
    <w:rsid w:val="002F47AD"/>
    <w:rsid w:val="002F496E"/>
    <w:rsid w:val="002F7C40"/>
    <w:rsid w:val="003037B3"/>
    <w:rsid w:val="00307BEF"/>
    <w:rsid w:val="00310D6E"/>
    <w:rsid w:val="00312325"/>
    <w:rsid w:val="00313A7C"/>
    <w:rsid w:val="003163B9"/>
    <w:rsid w:val="00320F24"/>
    <w:rsid w:val="0032473F"/>
    <w:rsid w:val="00335C71"/>
    <w:rsid w:val="00335D54"/>
    <w:rsid w:val="00337083"/>
    <w:rsid w:val="003378DD"/>
    <w:rsid w:val="003409ED"/>
    <w:rsid w:val="00340C36"/>
    <w:rsid w:val="00341A34"/>
    <w:rsid w:val="003455BC"/>
    <w:rsid w:val="003509C5"/>
    <w:rsid w:val="003529AE"/>
    <w:rsid w:val="003570F8"/>
    <w:rsid w:val="00375C99"/>
    <w:rsid w:val="0038027F"/>
    <w:rsid w:val="00380D85"/>
    <w:rsid w:val="0038425B"/>
    <w:rsid w:val="00385202"/>
    <w:rsid w:val="00386976"/>
    <w:rsid w:val="0039701C"/>
    <w:rsid w:val="003A15CA"/>
    <w:rsid w:val="003A32A7"/>
    <w:rsid w:val="003A4B30"/>
    <w:rsid w:val="003A607C"/>
    <w:rsid w:val="003B47A4"/>
    <w:rsid w:val="003B77F6"/>
    <w:rsid w:val="003C0522"/>
    <w:rsid w:val="003C2EF9"/>
    <w:rsid w:val="003C3C77"/>
    <w:rsid w:val="003D069A"/>
    <w:rsid w:val="003D458E"/>
    <w:rsid w:val="003D660B"/>
    <w:rsid w:val="003D75C8"/>
    <w:rsid w:val="003E1D90"/>
    <w:rsid w:val="003E3382"/>
    <w:rsid w:val="003E4D8C"/>
    <w:rsid w:val="003E5D8F"/>
    <w:rsid w:val="003E6574"/>
    <w:rsid w:val="003E995E"/>
    <w:rsid w:val="003F156E"/>
    <w:rsid w:val="003F185E"/>
    <w:rsid w:val="003F29C7"/>
    <w:rsid w:val="003F2EC9"/>
    <w:rsid w:val="003F5134"/>
    <w:rsid w:val="0040095F"/>
    <w:rsid w:val="00400CDF"/>
    <w:rsid w:val="00401515"/>
    <w:rsid w:val="00401E24"/>
    <w:rsid w:val="0040422A"/>
    <w:rsid w:val="0040480F"/>
    <w:rsid w:val="00407AE5"/>
    <w:rsid w:val="00410B26"/>
    <w:rsid w:val="004111D5"/>
    <w:rsid w:val="004251CE"/>
    <w:rsid w:val="0042646D"/>
    <w:rsid w:val="00432F40"/>
    <w:rsid w:val="00436589"/>
    <w:rsid w:val="00441794"/>
    <w:rsid w:val="00442D63"/>
    <w:rsid w:val="00444DD6"/>
    <w:rsid w:val="00446042"/>
    <w:rsid w:val="00451793"/>
    <w:rsid w:val="004607D6"/>
    <w:rsid w:val="004628B9"/>
    <w:rsid w:val="004637D4"/>
    <w:rsid w:val="0046541B"/>
    <w:rsid w:val="00466851"/>
    <w:rsid w:val="0047182C"/>
    <w:rsid w:val="0047313E"/>
    <w:rsid w:val="00473631"/>
    <w:rsid w:val="00474323"/>
    <w:rsid w:val="0047556E"/>
    <w:rsid w:val="00475A9A"/>
    <w:rsid w:val="004765CA"/>
    <w:rsid w:val="004802B6"/>
    <w:rsid w:val="004818B9"/>
    <w:rsid w:val="00484550"/>
    <w:rsid w:val="0048486C"/>
    <w:rsid w:val="004862E3"/>
    <w:rsid w:val="004905A2"/>
    <w:rsid w:val="00490AB3"/>
    <w:rsid w:val="00495C07"/>
    <w:rsid w:val="0049745F"/>
    <w:rsid w:val="004A11C9"/>
    <w:rsid w:val="004A2333"/>
    <w:rsid w:val="004A2E96"/>
    <w:rsid w:val="004A3AE8"/>
    <w:rsid w:val="004A4406"/>
    <w:rsid w:val="004A4E12"/>
    <w:rsid w:val="004A531E"/>
    <w:rsid w:val="004A702F"/>
    <w:rsid w:val="004A77C4"/>
    <w:rsid w:val="004B0DDE"/>
    <w:rsid w:val="004B4900"/>
    <w:rsid w:val="004B6FD1"/>
    <w:rsid w:val="004C0874"/>
    <w:rsid w:val="004C19C8"/>
    <w:rsid w:val="004D4ED6"/>
    <w:rsid w:val="004D5998"/>
    <w:rsid w:val="004D63D9"/>
    <w:rsid w:val="004D6BB1"/>
    <w:rsid w:val="004D7222"/>
    <w:rsid w:val="004E01A7"/>
    <w:rsid w:val="004E42D2"/>
    <w:rsid w:val="004E599E"/>
    <w:rsid w:val="004F37E1"/>
    <w:rsid w:val="004F69A7"/>
    <w:rsid w:val="004F7B28"/>
    <w:rsid w:val="00502776"/>
    <w:rsid w:val="005079D2"/>
    <w:rsid w:val="0051310B"/>
    <w:rsid w:val="00516032"/>
    <w:rsid w:val="005164F7"/>
    <w:rsid w:val="005204ED"/>
    <w:rsid w:val="00522B57"/>
    <w:rsid w:val="005331F9"/>
    <w:rsid w:val="00533B85"/>
    <w:rsid w:val="00547784"/>
    <w:rsid w:val="0054B766"/>
    <w:rsid w:val="005551DA"/>
    <w:rsid w:val="00555CD1"/>
    <w:rsid w:val="00557F12"/>
    <w:rsid w:val="005619DA"/>
    <w:rsid w:val="00562057"/>
    <w:rsid w:val="00565154"/>
    <w:rsid w:val="005658DB"/>
    <w:rsid w:val="0057176F"/>
    <w:rsid w:val="00582037"/>
    <w:rsid w:val="00593835"/>
    <w:rsid w:val="005959CE"/>
    <w:rsid w:val="00596B2D"/>
    <w:rsid w:val="00597E27"/>
    <w:rsid w:val="005A4149"/>
    <w:rsid w:val="005A644E"/>
    <w:rsid w:val="005B265B"/>
    <w:rsid w:val="005B59A1"/>
    <w:rsid w:val="005C1EBB"/>
    <w:rsid w:val="005C7500"/>
    <w:rsid w:val="005C7D91"/>
    <w:rsid w:val="005C7FF7"/>
    <w:rsid w:val="005D0C4F"/>
    <w:rsid w:val="005D3BD7"/>
    <w:rsid w:val="005D5F79"/>
    <w:rsid w:val="005E021A"/>
    <w:rsid w:val="005E2CAA"/>
    <w:rsid w:val="005E5A6E"/>
    <w:rsid w:val="005E7088"/>
    <w:rsid w:val="005F16C0"/>
    <w:rsid w:val="005F2C5E"/>
    <w:rsid w:val="005F7016"/>
    <w:rsid w:val="00601BD5"/>
    <w:rsid w:val="00602989"/>
    <w:rsid w:val="006053D1"/>
    <w:rsid w:val="00606A1D"/>
    <w:rsid w:val="006174FF"/>
    <w:rsid w:val="00621861"/>
    <w:rsid w:val="00625B4E"/>
    <w:rsid w:val="00625FC9"/>
    <w:rsid w:val="0062777A"/>
    <w:rsid w:val="00627EE3"/>
    <w:rsid w:val="006302CD"/>
    <w:rsid w:val="00632071"/>
    <w:rsid w:val="006335B0"/>
    <w:rsid w:val="00635D8D"/>
    <w:rsid w:val="006402C5"/>
    <w:rsid w:val="00640877"/>
    <w:rsid w:val="00640A52"/>
    <w:rsid w:val="00640E17"/>
    <w:rsid w:val="006415CC"/>
    <w:rsid w:val="00641FAA"/>
    <w:rsid w:val="006476E8"/>
    <w:rsid w:val="00652A44"/>
    <w:rsid w:val="0065533B"/>
    <w:rsid w:val="006561C1"/>
    <w:rsid w:val="00656B21"/>
    <w:rsid w:val="006572F0"/>
    <w:rsid w:val="00657C8B"/>
    <w:rsid w:val="00662F23"/>
    <w:rsid w:val="00666DC2"/>
    <w:rsid w:val="006711DB"/>
    <w:rsid w:val="006772B7"/>
    <w:rsid w:val="00680C81"/>
    <w:rsid w:val="0068347D"/>
    <w:rsid w:val="00684B49"/>
    <w:rsid w:val="006857C6"/>
    <w:rsid w:val="0069163B"/>
    <w:rsid w:val="00693ACE"/>
    <w:rsid w:val="006A053C"/>
    <w:rsid w:val="006A18AC"/>
    <w:rsid w:val="006A1C06"/>
    <w:rsid w:val="006A2804"/>
    <w:rsid w:val="006A6C49"/>
    <w:rsid w:val="006B09F8"/>
    <w:rsid w:val="006B3E46"/>
    <w:rsid w:val="006B6257"/>
    <w:rsid w:val="006C0625"/>
    <w:rsid w:val="006C2536"/>
    <w:rsid w:val="006C2543"/>
    <w:rsid w:val="006C3F74"/>
    <w:rsid w:val="006C760C"/>
    <w:rsid w:val="006C7869"/>
    <w:rsid w:val="006D00EB"/>
    <w:rsid w:val="006D0484"/>
    <w:rsid w:val="006D1983"/>
    <w:rsid w:val="006E0477"/>
    <w:rsid w:val="006E3061"/>
    <w:rsid w:val="006E4DDF"/>
    <w:rsid w:val="006E7EDE"/>
    <w:rsid w:val="006F20EF"/>
    <w:rsid w:val="006F473D"/>
    <w:rsid w:val="006F60A8"/>
    <w:rsid w:val="006F6A86"/>
    <w:rsid w:val="006F7249"/>
    <w:rsid w:val="00700189"/>
    <w:rsid w:val="007017D9"/>
    <w:rsid w:val="0070664B"/>
    <w:rsid w:val="007067EB"/>
    <w:rsid w:val="00711CB5"/>
    <w:rsid w:val="00712181"/>
    <w:rsid w:val="0071428B"/>
    <w:rsid w:val="007146E3"/>
    <w:rsid w:val="007217EF"/>
    <w:rsid w:val="0072191C"/>
    <w:rsid w:val="007239D3"/>
    <w:rsid w:val="00724540"/>
    <w:rsid w:val="0072454B"/>
    <w:rsid w:val="00727F02"/>
    <w:rsid w:val="007329A3"/>
    <w:rsid w:val="00732E89"/>
    <w:rsid w:val="00733ABA"/>
    <w:rsid w:val="00734EA2"/>
    <w:rsid w:val="00737393"/>
    <w:rsid w:val="00741304"/>
    <w:rsid w:val="00744FCC"/>
    <w:rsid w:val="007604DA"/>
    <w:rsid w:val="007605B5"/>
    <w:rsid w:val="0076295A"/>
    <w:rsid w:val="00763494"/>
    <w:rsid w:val="00764060"/>
    <w:rsid w:val="00764C94"/>
    <w:rsid w:val="0077094A"/>
    <w:rsid w:val="00785D0A"/>
    <w:rsid w:val="00787220"/>
    <w:rsid w:val="007963B2"/>
    <w:rsid w:val="007A005F"/>
    <w:rsid w:val="007A23CE"/>
    <w:rsid w:val="007A3D76"/>
    <w:rsid w:val="007A4842"/>
    <w:rsid w:val="007A4B0F"/>
    <w:rsid w:val="007B62F7"/>
    <w:rsid w:val="007B652D"/>
    <w:rsid w:val="007B655B"/>
    <w:rsid w:val="007C32F5"/>
    <w:rsid w:val="007D281C"/>
    <w:rsid w:val="007D2838"/>
    <w:rsid w:val="007D6FE3"/>
    <w:rsid w:val="007E0D8F"/>
    <w:rsid w:val="007E5044"/>
    <w:rsid w:val="007E6C1A"/>
    <w:rsid w:val="007E7F51"/>
    <w:rsid w:val="007F1236"/>
    <w:rsid w:val="007F1C85"/>
    <w:rsid w:val="007F4077"/>
    <w:rsid w:val="007F43A8"/>
    <w:rsid w:val="007F65D6"/>
    <w:rsid w:val="007F6727"/>
    <w:rsid w:val="00801443"/>
    <w:rsid w:val="00802346"/>
    <w:rsid w:val="00803021"/>
    <w:rsid w:val="00807955"/>
    <w:rsid w:val="00810A6B"/>
    <w:rsid w:val="00812D2F"/>
    <w:rsid w:val="0082148E"/>
    <w:rsid w:val="0082213B"/>
    <w:rsid w:val="008260CB"/>
    <w:rsid w:val="00827570"/>
    <w:rsid w:val="00827B5D"/>
    <w:rsid w:val="00830126"/>
    <w:rsid w:val="00843CCB"/>
    <w:rsid w:val="00846FBC"/>
    <w:rsid w:val="00851AAB"/>
    <w:rsid w:val="00851DAC"/>
    <w:rsid w:val="008540AB"/>
    <w:rsid w:val="00855462"/>
    <w:rsid w:val="00856458"/>
    <w:rsid w:val="008601A5"/>
    <w:rsid w:val="00862061"/>
    <w:rsid w:val="0086405E"/>
    <w:rsid w:val="00870527"/>
    <w:rsid w:val="00872F2B"/>
    <w:rsid w:val="00875D1B"/>
    <w:rsid w:val="00884808"/>
    <w:rsid w:val="008917EA"/>
    <w:rsid w:val="00893172"/>
    <w:rsid w:val="00894001"/>
    <w:rsid w:val="008941FE"/>
    <w:rsid w:val="008943EE"/>
    <w:rsid w:val="00894F5E"/>
    <w:rsid w:val="00895335"/>
    <w:rsid w:val="00896A13"/>
    <w:rsid w:val="008A1713"/>
    <w:rsid w:val="008A4459"/>
    <w:rsid w:val="008A7908"/>
    <w:rsid w:val="008B244E"/>
    <w:rsid w:val="008B2521"/>
    <w:rsid w:val="008B2B99"/>
    <w:rsid w:val="008B5DAB"/>
    <w:rsid w:val="008B65B0"/>
    <w:rsid w:val="008C0C25"/>
    <w:rsid w:val="008C1690"/>
    <w:rsid w:val="008C5A4F"/>
    <w:rsid w:val="008C691C"/>
    <w:rsid w:val="008D2673"/>
    <w:rsid w:val="008D37A9"/>
    <w:rsid w:val="008D7B00"/>
    <w:rsid w:val="008E15B4"/>
    <w:rsid w:val="008E1FFC"/>
    <w:rsid w:val="008E5D44"/>
    <w:rsid w:val="008E7796"/>
    <w:rsid w:val="008F0824"/>
    <w:rsid w:val="008F2009"/>
    <w:rsid w:val="00900859"/>
    <w:rsid w:val="009021FD"/>
    <w:rsid w:val="00903010"/>
    <w:rsid w:val="00905AAF"/>
    <w:rsid w:val="009118DF"/>
    <w:rsid w:val="00913F74"/>
    <w:rsid w:val="0091410F"/>
    <w:rsid w:val="009159F7"/>
    <w:rsid w:val="009257B2"/>
    <w:rsid w:val="00925ED4"/>
    <w:rsid w:val="0093197F"/>
    <w:rsid w:val="009321C2"/>
    <w:rsid w:val="009323F5"/>
    <w:rsid w:val="00932491"/>
    <w:rsid w:val="00932B04"/>
    <w:rsid w:val="00932F0E"/>
    <w:rsid w:val="009342C9"/>
    <w:rsid w:val="00940736"/>
    <w:rsid w:val="009438BC"/>
    <w:rsid w:val="00944558"/>
    <w:rsid w:val="0094468B"/>
    <w:rsid w:val="00947AE7"/>
    <w:rsid w:val="009527BF"/>
    <w:rsid w:val="00952832"/>
    <w:rsid w:val="00953305"/>
    <w:rsid w:val="00956737"/>
    <w:rsid w:val="00960A31"/>
    <w:rsid w:val="00967365"/>
    <w:rsid w:val="00972F37"/>
    <w:rsid w:val="00973082"/>
    <w:rsid w:val="00974581"/>
    <w:rsid w:val="00974E33"/>
    <w:rsid w:val="00974F3E"/>
    <w:rsid w:val="00976BF0"/>
    <w:rsid w:val="00986249"/>
    <w:rsid w:val="009879E4"/>
    <w:rsid w:val="00994A1B"/>
    <w:rsid w:val="00997239"/>
    <w:rsid w:val="009A073C"/>
    <w:rsid w:val="009A3D7C"/>
    <w:rsid w:val="009A5D8F"/>
    <w:rsid w:val="009A7354"/>
    <w:rsid w:val="009A7B82"/>
    <w:rsid w:val="009B4FF3"/>
    <w:rsid w:val="009B5596"/>
    <w:rsid w:val="009B6895"/>
    <w:rsid w:val="009C19CD"/>
    <w:rsid w:val="009C2275"/>
    <w:rsid w:val="009C23DA"/>
    <w:rsid w:val="009C6E02"/>
    <w:rsid w:val="009D3D51"/>
    <w:rsid w:val="009D5439"/>
    <w:rsid w:val="009E0DAD"/>
    <w:rsid w:val="009E170D"/>
    <w:rsid w:val="009F3EDD"/>
    <w:rsid w:val="009F64A8"/>
    <w:rsid w:val="009F6801"/>
    <w:rsid w:val="00A02C95"/>
    <w:rsid w:val="00A14585"/>
    <w:rsid w:val="00A145D8"/>
    <w:rsid w:val="00A20A2B"/>
    <w:rsid w:val="00A21F6C"/>
    <w:rsid w:val="00A2212B"/>
    <w:rsid w:val="00A227D5"/>
    <w:rsid w:val="00A232B3"/>
    <w:rsid w:val="00A23379"/>
    <w:rsid w:val="00A23711"/>
    <w:rsid w:val="00A2671F"/>
    <w:rsid w:val="00A2682D"/>
    <w:rsid w:val="00A32121"/>
    <w:rsid w:val="00A345EA"/>
    <w:rsid w:val="00A46227"/>
    <w:rsid w:val="00A543AC"/>
    <w:rsid w:val="00A5582C"/>
    <w:rsid w:val="00A55BDB"/>
    <w:rsid w:val="00A575BE"/>
    <w:rsid w:val="00A66316"/>
    <w:rsid w:val="00A8022F"/>
    <w:rsid w:val="00A842AC"/>
    <w:rsid w:val="00A8622E"/>
    <w:rsid w:val="00A87409"/>
    <w:rsid w:val="00A957E4"/>
    <w:rsid w:val="00A95DA9"/>
    <w:rsid w:val="00A96C74"/>
    <w:rsid w:val="00AA36B6"/>
    <w:rsid w:val="00AA3D17"/>
    <w:rsid w:val="00AB1A16"/>
    <w:rsid w:val="00AB463A"/>
    <w:rsid w:val="00AB4743"/>
    <w:rsid w:val="00AB6449"/>
    <w:rsid w:val="00AB6B87"/>
    <w:rsid w:val="00AC2509"/>
    <w:rsid w:val="00AC3256"/>
    <w:rsid w:val="00AC4C98"/>
    <w:rsid w:val="00AD27C3"/>
    <w:rsid w:val="00AD4893"/>
    <w:rsid w:val="00AD77E1"/>
    <w:rsid w:val="00AE43FF"/>
    <w:rsid w:val="00AE467C"/>
    <w:rsid w:val="00AE57BF"/>
    <w:rsid w:val="00AF5166"/>
    <w:rsid w:val="00AF637B"/>
    <w:rsid w:val="00B0138F"/>
    <w:rsid w:val="00B0382B"/>
    <w:rsid w:val="00B106F7"/>
    <w:rsid w:val="00B11C05"/>
    <w:rsid w:val="00B14479"/>
    <w:rsid w:val="00B21163"/>
    <w:rsid w:val="00B21941"/>
    <w:rsid w:val="00B23774"/>
    <w:rsid w:val="00B23877"/>
    <w:rsid w:val="00B25C1B"/>
    <w:rsid w:val="00B2635D"/>
    <w:rsid w:val="00B26871"/>
    <w:rsid w:val="00B31DB6"/>
    <w:rsid w:val="00B3303A"/>
    <w:rsid w:val="00B41E9A"/>
    <w:rsid w:val="00B434AA"/>
    <w:rsid w:val="00B43A77"/>
    <w:rsid w:val="00B445D9"/>
    <w:rsid w:val="00B44F74"/>
    <w:rsid w:val="00B53BB6"/>
    <w:rsid w:val="00B5450C"/>
    <w:rsid w:val="00B560DD"/>
    <w:rsid w:val="00B562C6"/>
    <w:rsid w:val="00B60B2F"/>
    <w:rsid w:val="00B6311F"/>
    <w:rsid w:val="00B64CAC"/>
    <w:rsid w:val="00B65F25"/>
    <w:rsid w:val="00B668C1"/>
    <w:rsid w:val="00B67C9D"/>
    <w:rsid w:val="00B77BFB"/>
    <w:rsid w:val="00B80B98"/>
    <w:rsid w:val="00B82119"/>
    <w:rsid w:val="00B8265B"/>
    <w:rsid w:val="00B841D2"/>
    <w:rsid w:val="00B84CB2"/>
    <w:rsid w:val="00B9059D"/>
    <w:rsid w:val="00B969E4"/>
    <w:rsid w:val="00B97D56"/>
    <w:rsid w:val="00BA7601"/>
    <w:rsid w:val="00BB69EF"/>
    <w:rsid w:val="00BC516B"/>
    <w:rsid w:val="00BD62F2"/>
    <w:rsid w:val="00BD6972"/>
    <w:rsid w:val="00BD730F"/>
    <w:rsid w:val="00BE07C6"/>
    <w:rsid w:val="00BE2B59"/>
    <w:rsid w:val="00BE3E54"/>
    <w:rsid w:val="00BF0CD8"/>
    <w:rsid w:val="00BF6DCE"/>
    <w:rsid w:val="00C00214"/>
    <w:rsid w:val="00C0556C"/>
    <w:rsid w:val="00C11469"/>
    <w:rsid w:val="00C11A5B"/>
    <w:rsid w:val="00C135B7"/>
    <w:rsid w:val="00C15A7C"/>
    <w:rsid w:val="00C2256D"/>
    <w:rsid w:val="00C266F1"/>
    <w:rsid w:val="00C27D56"/>
    <w:rsid w:val="00C32B74"/>
    <w:rsid w:val="00C43251"/>
    <w:rsid w:val="00C436E9"/>
    <w:rsid w:val="00C45444"/>
    <w:rsid w:val="00C461C0"/>
    <w:rsid w:val="00C500CE"/>
    <w:rsid w:val="00C50802"/>
    <w:rsid w:val="00C540EA"/>
    <w:rsid w:val="00C56C17"/>
    <w:rsid w:val="00C56CEA"/>
    <w:rsid w:val="00C605DE"/>
    <w:rsid w:val="00C6089B"/>
    <w:rsid w:val="00C610C3"/>
    <w:rsid w:val="00C63D07"/>
    <w:rsid w:val="00C66042"/>
    <w:rsid w:val="00C70C2E"/>
    <w:rsid w:val="00C7667E"/>
    <w:rsid w:val="00C80C17"/>
    <w:rsid w:val="00C913FD"/>
    <w:rsid w:val="00C928B2"/>
    <w:rsid w:val="00C943F9"/>
    <w:rsid w:val="00C96C8F"/>
    <w:rsid w:val="00C97D52"/>
    <w:rsid w:val="00CA071E"/>
    <w:rsid w:val="00CA18F2"/>
    <w:rsid w:val="00CB1EB6"/>
    <w:rsid w:val="00CB25A3"/>
    <w:rsid w:val="00CB5619"/>
    <w:rsid w:val="00CB6CCF"/>
    <w:rsid w:val="00CC0307"/>
    <w:rsid w:val="00CC1576"/>
    <w:rsid w:val="00CC1DBA"/>
    <w:rsid w:val="00CC3215"/>
    <w:rsid w:val="00CC354A"/>
    <w:rsid w:val="00CC5F41"/>
    <w:rsid w:val="00CC66ED"/>
    <w:rsid w:val="00CC75EA"/>
    <w:rsid w:val="00CD02EF"/>
    <w:rsid w:val="00CD0789"/>
    <w:rsid w:val="00CD1B93"/>
    <w:rsid w:val="00CD4D03"/>
    <w:rsid w:val="00CD5872"/>
    <w:rsid w:val="00CD6307"/>
    <w:rsid w:val="00CD78C3"/>
    <w:rsid w:val="00CE62A7"/>
    <w:rsid w:val="00CF015A"/>
    <w:rsid w:val="00CF05C5"/>
    <w:rsid w:val="00CF0FFA"/>
    <w:rsid w:val="00CF1CDE"/>
    <w:rsid w:val="00CF3F36"/>
    <w:rsid w:val="00CF49D1"/>
    <w:rsid w:val="00D00451"/>
    <w:rsid w:val="00D01502"/>
    <w:rsid w:val="00D02B1E"/>
    <w:rsid w:val="00D04CF9"/>
    <w:rsid w:val="00D1009B"/>
    <w:rsid w:val="00D101F7"/>
    <w:rsid w:val="00D12F5A"/>
    <w:rsid w:val="00D17D93"/>
    <w:rsid w:val="00D201F5"/>
    <w:rsid w:val="00D21FFD"/>
    <w:rsid w:val="00D24B0F"/>
    <w:rsid w:val="00D24BF2"/>
    <w:rsid w:val="00D24DAA"/>
    <w:rsid w:val="00D262BC"/>
    <w:rsid w:val="00D32CA6"/>
    <w:rsid w:val="00D34F35"/>
    <w:rsid w:val="00D40C48"/>
    <w:rsid w:val="00D42A0C"/>
    <w:rsid w:val="00D44753"/>
    <w:rsid w:val="00D4537A"/>
    <w:rsid w:val="00D4569D"/>
    <w:rsid w:val="00D47843"/>
    <w:rsid w:val="00D52EF4"/>
    <w:rsid w:val="00D64D17"/>
    <w:rsid w:val="00D66D14"/>
    <w:rsid w:val="00D67810"/>
    <w:rsid w:val="00D679E7"/>
    <w:rsid w:val="00D728FE"/>
    <w:rsid w:val="00D74B8F"/>
    <w:rsid w:val="00D76D49"/>
    <w:rsid w:val="00D774F5"/>
    <w:rsid w:val="00D8063F"/>
    <w:rsid w:val="00D808BE"/>
    <w:rsid w:val="00D82485"/>
    <w:rsid w:val="00D84E81"/>
    <w:rsid w:val="00D8688D"/>
    <w:rsid w:val="00D9143B"/>
    <w:rsid w:val="00D95494"/>
    <w:rsid w:val="00D9550B"/>
    <w:rsid w:val="00D97AD2"/>
    <w:rsid w:val="00DA011E"/>
    <w:rsid w:val="00DA3CFE"/>
    <w:rsid w:val="00DB2235"/>
    <w:rsid w:val="00DB6423"/>
    <w:rsid w:val="00DB6908"/>
    <w:rsid w:val="00DC213A"/>
    <w:rsid w:val="00DC6430"/>
    <w:rsid w:val="00DD62DF"/>
    <w:rsid w:val="00DD6642"/>
    <w:rsid w:val="00DD6707"/>
    <w:rsid w:val="00DD7038"/>
    <w:rsid w:val="00DE1E02"/>
    <w:rsid w:val="00DE3728"/>
    <w:rsid w:val="00DE37AD"/>
    <w:rsid w:val="00E011A3"/>
    <w:rsid w:val="00E030A6"/>
    <w:rsid w:val="00E04E75"/>
    <w:rsid w:val="00E06767"/>
    <w:rsid w:val="00E10871"/>
    <w:rsid w:val="00E11805"/>
    <w:rsid w:val="00E12D75"/>
    <w:rsid w:val="00E2019C"/>
    <w:rsid w:val="00E23909"/>
    <w:rsid w:val="00E276D3"/>
    <w:rsid w:val="00E318EF"/>
    <w:rsid w:val="00E31B9C"/>
    <w:rsid w:val="00E368AC"/>
    <w:rsid w:val="00E42580"/>
    <w:rsid w:val="00E45A2F"/>
    <w:rsid w:val="00E54001"/>
    <w:rsid w:val="00E56374"/>
    <w:rsid w:val="00E6199B"/>
    <w:rsid w:val="00E71017"/>
    <w:rsid w:val="00E72B33"/>
    <w:rsid w:val="00E842EB"/>
    <w:rsid w:val="00E85C14"/>
    <w:rsid w:val="00E863ED"/>
    <w:rsid w:val="00E869F8"/>
    <w:rsid w:val="00E86E3F"/>
    <w:rsid w:val="00E91300"/>
    <w:rsid w:val="00E924F7"/>
    <w:rsid w:val="00E9485D"/>
    <w:rsid w:val="00E94BA5"/>
    <w:rsid w:val="00E95720"/>
    <w:rsid w:val="00E95AD3"/>
    <w:rsid w:val="00EA3079"/>
    <w:rsid w:val="00EA6A4F"/>
    <w:rsid w:val="00EB0346"/>
    <w:rsid w:val="00EB2280"/>
    <w:rsid w:val="00EB27B5"/>
    <w:rsid w:val="00EB3770"/>
    <w:rsid w:val="00EC4EAE"/>
    <w:rsid w:val="00EC7338"/>
    <w:rsid w:val="00ED14A8"/>
    <w:rsid w:val="00ED2B22"/>
    <w:rsid w:val="00ED3B66"/>
    <w:rsid w:val="00ED46BC"/>
    <w:rsid w:val="00EE09D6"/>
    <w:rsid w:val="00EE44B6"/>
    <w:rsid w:val="00EE7BC6"/>
    <w:rsid w:val="00EE7FE6"/>
    <w:rsid w:val="00EF1426"/>
    <w:rsid w:val="00EF1CD9"/>
    <w:rsid w:val="00EF35CF"/>
    <w:rsid w:val="00EF485B"/>
    <w:rsid w:val="00EF66BE"/>
    <w:rsid w:val="00EF742D"/>
    <w:rsid w:val="00EF7459"/>
    <w:rsid w:val="00F00201"/>
    <w:rsid w:val="00F0116C"/>
    <w:rsid w:val="00F0458C"/>
    <w:rsid w:val="00F1018C"/>
    <w:rsid w:val="00F10F4E"/>
    <w:rsid w:val="00F11D37"/>
    <w:rsid w:val="00F1736D"/>
    <w:rsid w:val="00F21674"/>
    <w:rsid w:val="00F23623"/>
    <w:rsid w:val="00F27D53"/>
    <w:rsid w:val="00F27FDA"/>
    <w:rsid w:val="00F33145"/>
    <w:rsid w:val="00F34BB9"/>
    <w:rsid w:val="00F34EFC"/>
    <w:rsid w:val="00F40ABC"/>
    <w:rsid w:val="00F43267"/>
    <w:rsid w:val="00F4696E"/>
    <w:rsid w:val="00F54912"/>
    <w:rsid w:val="00F557F9"/>
    <w:rsid w:val="00F60BAC"/>
    <w:rsid w:val="00F66175"/>
    <w:rsid w:val="00F70005"/>
    <w:rsid w:val="00F75E92"/>
    <w:rsid w:val="00F85D06"/>
    <w:rsid w:val="00F86870"/>
    <w:rsid w:val="00F87C33"/>
    <w:rsid w:val="00F927F0"/>
    <w:rsid w:val="00F96166"/>
    <w:rsid w:val="00F971F0"/>
    <w:rsid w:val="00F97CBF"/>
    <w:rsid w:val="00FB26FB"/>
    <w:rsid w:val="00FB4396"/>
    <w:rsid w:val="00FB4592"/>
    <w:rsid w:val="00FC0922"/>
    <w:rsid w:val="00FC1CFB"/>
    <w:rsid w:val="00FC1D71"/>
    <w:rsid w:val="00FC2DC7"/>
    <w:rsid w:val="00FC4205"/>
    <w:rsid w:val="00FC74BB"/>
    <w:rsid w:val="00FD1FB4"/>
    <w:rsid w:val="00FD6C52"/>
    <w:rsid w:val="00FD75D9"/>
    <w:rsid w:val="00FE1133"/>
    <w:rsid w:val="00FE19E7"/>
    <w:rsid w:val="00FF079C"/>
    <w:rsid w:val="00FF279E"/>
    <w:rsid w:val="00FF46EF"/>
    <w:rsid w:val="010D9B2E"/>
    <w:rsid w:val="01408CD3"/>
    <w:rsid w:val="0159B530"/>
    <w:rsid w:val="02508974"/>
    <w:rsid w:val="026BA859"/>
    <w:rsid w:val="027DD1FD"/>
    <w:rsid w:val="03475EBF"/>
    <w:rsid w:val="0356DEB1"/>
    <w:rsid w:val="03D81CB5"/>
    <w:rsid w:val="03F83621"/>
    <w:rsid w:val="047C829C"/>
    <w:rsid w:val="04883098"/>
    <w:rsid w:val="04D5FC56"/>
    <w:rsid w:val="06EBBE2D"/>
    <w:rsid w:val="07410BEC"/>
    <w:rsid w:val="0818BD35"/>
    <w:rsid w:val="08612D61"/>
    <w:rsid w:val="093F0860"/>
    <w:rsid w:val="0949B592"/>
    <w:rsid w:val="098ADE98"/>
    <w:rsid w:val="0A2280B6"/>
    <w:rsid w:val="0A33AD31"/>
    <w:rsid w:val="0A56F5D2"/>
    <w:rsid w:val="0A6FB8AA"/>
    <w:rsid w:val="0AE21A97"/>
    <w:rsid w:val="0B1793C9"/>
    <w:rsid w:val="0BC9A77B"/>
    <w:rsid w:val="0BD34486"/>
    <w:rsid w:val="0C588497"/>
    <w:rsid w:val="0C73B17C"/>
    <w:rsid w:val="0CAFA649"/>
    <w:rsid w:val="0CCBEAAE"/>
    <w:rsid w:val="0CEC2E58"/>
    <w:rsid w:val="0D41E3B6"/>
    <w:rsid w:val="0D6577DC"/>
    <w:rsid w:val="0DF03D0F"/>
    <w:rsid w:val="0E5F1F42"/>
    <w:rsid w:val="0FC3098A"/>
    <w:rsid w:val="0FFA46FA"/>
    <w:rsid w:val="0FFAEFA3"/>
    <w:rsid w:val="0FFB6424"/>
    <w:rsid w:val="1006526D"/>
    <w:rsid w:val="1023CF1A"/>
    <w:rsid w:val="108326F3"/>
    <w:rsid w:val="11698321"/>
    <w:rsid w:val="11A81C7F"/>
    <w:rsid w:val="12E24978"/>
    <w:rsid w:val="139B6476"/>
    <w:rsid w:val="13D9A643"/>
    <w:rsid w:val="1421A0A0"/>
    <w:rsid w:val="14845282"/>
    <w:rsid w:val="154E4745"/>
    <w:rsid w:val="155F7AE3"/>
    <w:rsid w:val="168DC53B"/>
    <w:rsid w:val="16C07A81"/>
    <w:rsid w:val="172C0A06"/>
    <w:rsid w:val="17ABF180"/>
    <w:rsid w:val="1872A8FE"/>
    <w:rsid w:val="18A557CF"/>
    <w:rsid w:val="18B4CCA0"/>
    <w:rsid w:val="18B9D2C3"/>
    <w:rsid w:val="194635BC"/>
    <w:rsid w:val="194BB765"/>
    <w:rsid w:val="195BD0F1"/>
    <w:rsid w:val="1988CF0B"/>
    <w:rsid w:val="19F19391"/>
    <w:rsid w:val="1A2D5C6A"/>
    <w:rsid w:val="1A40D8C1"/>
    <w:rsid w:val="1A98BF9F"/>
    <w:rsid w:val="1AEAFD29"/>
    <w:rsid w:val="1B269EC7"/>
    <w:rsid w:val="1B4B300E"/>
    <w:rsid w:val="1BF155D6"/>
    <w:rsid w:val="1C58785F"/>
    <w:rsid w:val="1D15F6A9"/>
    <w:rsid w:val="1D59D0F2"/>
    <w:rsid w:val="1D91ABA1"/>
    <w:rsid w:val="1DAA2F65"/>
    <w:rsid w:val="1DABE718"/>
    <w:rsid w:val="1DBE354B"/>
    <w:rsid w:val="1E5034BE"/>
    <w:rsid w:val="1E77DB11"/>
    <w:rsid w:val="1E8FD6C7"/>
    <w:rsid w:val="1F26B6DE"/>
    <w:rsid w:val="1F78BD19"/>
    <w:rsid w:val="1FC3AF1C"/>
    <w:rsid w:val="202AFD1E"/>
    <w:rsid w:val="2230B64A"/>
    <w:rsid w:val="22A0CC40"/>
    <w:rsid w:val="22CFDD1D"/>
    <w:rsid w:val="22E02FD4"/>
    <w:rsid w:val="23E33F5E"/>
    <w:rsid w:val="244E92BB"/>
    <w:rsid w:val="248064A0"/>
    <w:rsid w:val="24B92927"/>
    <w:rsid w:val="24E0DE36"/>
    <w:rsid w:val="24F4944F"/>
    <w:rsid w:val="25F66713"/>
    <w:rsid w:val="260DC5AE"/>
    <w:rsid w:val="266A7E55"/>
    <w:rsid w:val="2686AB61"/>
    <w:rsid w:val="26914E2C"/>
    <w:rsid w:val="27F1C21E"/>
    <w:rsid w:val="29B2DA06"/>
    <w:rsid w:val="29CC6D2D"/>
    <w:rsid w:val="2A5A6E68"/>
    <w:rsid w:val="2AA4CEF0"/>
    <w:rsid w:val="2B0A3D64"/>
    <w:rsid w:val="2B71AD9C"/>
    <w:rsid w:val="2C59FA99"/>
    <w:rsid w:val="2CA02914"/>
    <w:rsid w:val="2CDE5B9E"/>
    <w:rsid w:val="2CF378B1"/>
    <w:rsid w:val="2D06D4EC"/>
    <w:rsid w:val="2D18AE5A"/>
    <w:rsid w:val="2D2B1CD9"/>
    <w:rsid w:val="2D5AC411"/>
    <w:rsid w:val="2D8A35EB"/>
    <w:rsid w:val="2DD0FD95"/>
    <w:rsid w:val="2DE41E11"/>
    <w:rsid w:val="2E011E88"/>
    <w:rsid w:val="2E893AE1"/>
    <w:rsid w:val="2ECF9D9D"/>
    <w:rsid w:val="30B3DFD4"/>
    <w:rsid w:val="3176AB6E"/>
    <w:rsid w:val="31DC5125"/>
    <w:rsid w:val="31F02706"/>
    <w:rsid w:val="323A0411"/>
    <w:rsid w:val="323DA6B1"/>
    <w:rsid w:val="3249C1A6"/>
    <w:rsid w:val="32ECC721"/>
    <w:rsid w:val="336D981C"/>
    <w:rsid w:val="337EDD53"/>
    <w:rsid w:val="33E82851"/>
    <w:rsid w:val="34B39EFA"/>
    <w:rsid w:val="355614F9"/>
    <w:rsid w:val="359902F9"/>
    <w:rsid w:val="35D72AE4"/>
    <w:rsid w:val="360A0F7E"/>
    <w:rsid w:val="3722E5A9"/>
    <w:rsid w:val="37C7B999"/>
    <w:rsid w:val="3824C6DD"/>
    <w:rsid w:val="383BA200"/>
    <w:rsid w:val="39D77261"/>
    <w:rsid w:val="3AC201EF"/>
    <w:rsid w:val="3BDAEF20"/>
    <w:rsid w:val="3C235137"/>
    <w:rsid w:val="3C5C2914"/>
    <w:rsid w:val="3CD7CF5A"/>
    <w:rsid w:val="3D032958"/>
    <w:rsid w:val="3D291337"/>
    <w:rsid w:val="3D4C3FBF"/>
    <w:rsid w:val="3DCB20CB"/>
    <w:rsid w:val="3DCF19FE"/>
    <w:rsid w:val="3DDA8BB5"/>
    <w:rsid w:val="3E103D57"/>
    <w:rsid w:val="3E176CC7"/>
    <w:rsid w:val="3E30FFEE"/>
    <w:rsid w:val="3E94EA04"/>
    <w:rsid w:val="3F19CA0C"/>
    <w:rsid w:val="3F2ADAF8"/>
    <w:rsid w:val="3F2B0376"/>
    <w:rsid w:val="3F8412BC"/>
    <w:rsid w:val="3FCAB2D9"/>
    <w:rsid w:val="3FF55F0F"/>
    <w:rsid w:val="40088B7D"/>
    <w:rsid w:val="407B2027"/>
    <w:rsid w:val="40B97135"/>
    <w:rsid w:val="415D858D"/>
    <w:rsid w:val="41D070B5"/>
    <w:rsid w:val="42010146"/>
    <w:rsid w:val="42348D23"/>
    <w:rsid w:val="4252F394"/>
    <w:rsid w:val="425DA7B2"/>
    <w:rsid w:val="426E7A3C"/>
    <w:rsid w:val="42A28B21"/>
    <w:rsid w:val="43F28416"/>
    <w:rsid w:val="440E8B2F"/>
    <w:rsid w:val="44673AF9"/>
    <w:rsid w:val="44965901"/>
    <w:rsid w:val="449F516C"/>
    <w:rsid w:val="45187295"/>
    <w:rsid w:val="456456B9"/>
    <w:rsid w:val="466B13A6"/>
    <w:rsid w:val="47E60D39"/>
    <w:rsid w:val="47FBB62F"/>
    <w:rsid w:val="48249A17"/>
    <w:rsid w:val="483725EF"/>
    <w:rsid w:val="48C71FFD"/>
    <w:rsid w:val="48DE9B35"/>
    <w:rsid w:val="49155EE9"/>
    <w:rsid w:val="49FD4FCA"/>
    <w:rsid w:val="4A4C102C"/>
    <w:rsid w:val="4B9997F2"/>
    <w:rsid w:val="4BC8555F"/>
    <w:rsid w:val="4C296E8F"/>
    <w:rsid w:val="4C7D4AAF"/>
    <w:rsid w:val="4CC6CE91"/>
    <w:rsid w:val="4D907F18"/>
    <w:rsid w:val="4EA035A7"/>
    <w:rsid w:val="4F804D40"/>
    <w:rsid w:val="5005FC2A"/>
    <w:rsid w:val="506EE3B8"/>
    <w:rsid w:val="51600046"/>
    <w:rsid w:val="519F8AB6"/>
    <w:rsid w:val="522201D3"/>
    <w:rsid w:val="52808D0A"/>
    <w:rsid w:val="52A77414"/>
    <w:rsid w:val="539A5488"/>
    <w:rsid w:val="548D9BE0"/>
    <w:rsid w:val="54AAD76B"/>
    <w:rsid w:val="550394E8"/>
    <w:rsid w:val="55A0224B"/>
    <w:rsid w:val="56920FFF"/>
    <w:rsid w:val="573AD5D0"/>
    <w:rsid w:val="57416195"/>
    <w:rsid w:val="57B2B9F5"/>
    <w:rsid w:val="57D00D8C"/>
    <w:rsid w:val="5813259C"/>
    <w:rsid w:val="585C743E"/>
    <w:rsid w:val="5863C18F"/>
    <w:rsid w:val="5916B598"/>
    <w:rsid w:val="594265A8"/>
    <w:rsid w:val="5955CBAD"/>
    <w:rsid w:val="5A18A821"/>
    <w:rsid w:val="5A57512C"/>
    <w:rsid w:val="5A6360A9"/>
    <w:rsid w:val="5A768882"/>
    <w:rsid w:val="5AA9BA07"/>
    <w:rsid w:val="5ABCBFBE"/>
    <w:rsid w:val="5AC785A2"/>
    <w:rsid w:val="5B0970C3"/>
    <w:rsid w:val="5C5811FF"/>
    <w:rsid w:val="5C85264C"/>
    <w:rsid w:val="5CD1E158"/>
    <w:rsid w:val="5CF1D7A9"/>
    <w:rsid w:val="5D570CBC"/>
    <w:rsid w:val="5E8BABF6"/>
    <w:rsid w:val="5EDFE345"/>
    <w:rsid w:val="5FF81B86"/>
    <w:rsid w:val="60209CB3"/>
    <w:rsid w:val="612B687B"/>
    <w:rsid w:val="61593CEB"/>
    <w:rsid w:val="6256D193"/>
    <w:rsid w:val="62F9906B"/>
    <w:rsid w:val="63A35276"/>
    <w:rsid w:val="6490BEC5"/>
    <w:rsid w:val="64A4E166"/>
    <w:rsid w:val="64CF2AB1"/>
    <w:rsid w:val="65391A22"/>
    <w:rsid w:val="663CB937"/>
    <w:rsid w:val="668FAD98"/>
    <w:rsid w:val="66AD9AB3"/>
    <w:rsid w:val="66E102C3"/>
    <w:rsid w:val="677B07C5"/>
    <w:rsid w:val="6794C199"/>
    <w:rsid w:val="6821DE3B"/>
    <w:rsid w:val="6873A39A"/>
    <w:rsid w:val="68875C6C"/>
    <w:rsid w:val="693091FA"/>
    <w:rsid w:val="6960957A"/>
    <w:rsid w:val="6961CD1B"/>
    <w:rsid w:val="69E08CEE"/>
    <w:rsid w:val="6A3B6469"/>
    <w:rsid w:val="6AB65694"/>
    <w:rsid w:val="6ADD073E"/>
    <w:rsid w:val="6AF5AD6A"/>
    <w:rsid w:val="6B1F0CC5"/>
    <w:rsid w:val="6B72EE1F"/>
    <w:rsid w:val="6C1A82C7"/>
    <w:rsid w:val="6C1E3FCD"/>
    <w:rsid w:val="6C1E5D46"/>
    <w:rsid w:val="6CC58A9F"/>
    <w:rsid w:val="6D441ED3"/>
    <w:rsid w:val="6D583D17"/>
    <w:rsid w:val="6EF40D78"/>
    <w:rsid w:val="6F8AE00F"/>
    <w:rsid w:val="6F95938B"/>
    <w:rsid w:val="71AA123B"/>
    <w:rsid w:val="73646170"/>
    <w:rsid w:val="737D8062"/>
    <w:rsid w:val="73AE563E"/>
    <w:rsid w:val="749B6C34"/>
    <w:rsid w:val="74BA4D04"/>
    <w:rsid w:val="754A269F"/>
    <w:rsid w:val="75902987"/>
    <w:rsid w:val="75B1224F"/>
    <w:rsid w:val="75BF8DAA"/>
    <w:rsid w:val="75C78179"/>
    <w:rsid w:val="764F49E8"/>
    <w:rsid w:val="77153268"/>
    <w:rsid w:val="77367FF1"/>
    <w:rsid w:val="786B57FF"/>
    <w:rsid w:val="786F65C0"/>
    <w:rsid w:val="788577D8"/>
    <w:rsid w:val="798DF9CE"/>
    <w:rsid w:val="79FAE46A"/>
    <w:rsid w:val="7A628262"/>
    <w:rsid w:val="7A64C8A4"/>
    <w:rsid w:val="7B5FD031"/>
    <w:rsid w:val="7B7631EA"/>
    <w:rsid w:val="7CF33F05"/>
    <w:rsid w:val="7DBD9D10"/>
    <w:rsid w:val="7DED390C"/>
    <w:rsid w:val="7E6DA71E"/>
    <w:rsid w:val="7ED1B5A7"/>
    <w:rsid w:val="7FA7F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6903D604"/>
  <w15:docId w15:val="{C300E1F2-A1B6-4E49-A689-E6093495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02"/>
    <w:rPr>
      <w:sz w:val="24"/>
      <w:szCs w:val="24"/>
    </w:rPr>
  </w:style>
  <w:style w:type="paragraph" w:styleId="Heading1">
    <w:name w:val="heading 1"/>
    <w:basedOn w:val="Normal"/>
    <w:next w:val="Normal"/>
    <w:link w:val="Heading1Char"/>
    <w:qFormat/>
    <w:rsid w:val="00475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221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0802"/>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C50802"/>
    <w:pPr>
      <w:tabs>
        <w:tab w:val="center" w:pos="4320"/>
        <w:tab w:val="right" w:pos="8640"/>
      </w:tabs>
    </w:pPr>
  </w:style>
  <w:style w:type="paragraph" w:styleId="Footer">
    <w:name w:val="footer"/>
    <w:basedOn w:val="Normal"/>
    <w:link w:val="FooterChar"/>
    <w:uiPriority w:val="99"/>
    <w:rsid w:val="00C50802"/>
    <w:pPr>
      <w:tabs>
        <w:tab w:val="center" w:pos="4320"/>
        <w:tab w:val="right" w:pos="8640"/>
      </w:tabs>
    </w:pPr>
  </w:style>
  <w:style w:type="character" w:styleId="PageNumber">
    <w:name w:val="page number"/>
    <w:basedOn w:val="DefaultParagraphFont"/>
    <w:rsid w:val="00C50802"/>
  </w:style>
  <w:style w:type="character" w:styleId="Hyperlink">
    <w:name w:val="Hyperlink"/>
    <w:basedOn w:val="DefaultParagraphFont"/>
    <w:rsid w:val="00C50802"/>
    <w:rPr>
      <w:color w:val="0000FF"/>
      <w:u w:val="single"/>
    </w:rPr>
  </w:style>
  <w:style w:type="paragraph" w:styleId="BalloonText">
    <w:name w:val="Balloon Text"/>
    <w:basedOn w:val="Normal"/>
    <w:semiHidden/>
    <w:rsid w:val="00C50802"/>
    <w:rPr>
      <w:rFonts w:ascii="Tahoma" w:hAnsi="Tahoma" w:cs="Tahoma"/>
      <w:sz w:val="16"/>
      <w:szCs w:val="16"/>
    </w:rPr>
  </w:style>
  <w:style w:type="paragraph" w:customStyle="1" w:styleId="Default">
    <w:name w:val="Default"/>
    <w:rsid w:val="00B21941"/>
    <w:pPr>
      <w:autoSpaceDE w:val="0"/>
      <w:autoSpaceDN w:val="0"/>
      <w:adjustRightInd w:val="0"/>
    </w:pPr>
    <w:rPr>
      <w:rFonts w:ascii="Arial" w:eastAsia="Calibri" w:hAnsi="Arial" w:cs="Arial"/>
      <w:color w:val="000000"/>
      <w:sz w:val="24"/>
      <w:szCs w:val="24"/>
    </w:rPr>
  </w:style>
  <w:style w:type="paragraph" w:customStyle="1" w:styleId="StyleDefault10pt">
    <w:name w:val="Style Default + 10 pt"/>
    <w:basedOn w:val="Default"/>
    <w:rsid w:val="00BD6972"/>
    <w:rPr>
      <w:sz w:val="20"/>
    </w:rPr>
  </w:style>
  <w:style w:type="paragraph" w:styleId="ListParagraph">
    <w:name w:val="List Paragraph"/>
    <w:basedOn w:val="Normal"/>
    <w:uiPriority w:val="34"/>
    <w:qFormat/>
    <w:rsid w:val="00A575BE"/>
    <w:pPr>
      <w:ind w:left="720"/>
      <w:contextualSpacing/>
    </w:pPr>
  </w:style>
  <w:style w:type="paragraph" w:styleId="NormalWeb">
    <w:name w:val="Normal (Web)"/>
    <w:basedOn w:val="Normal"/>
    <w:uiPriority w:val="99"/>
    <w:unhideWhenUsed/>
    <w:rsid w:val="008B2521"/>
    <w:pPr>
      <w:spacing w:before="100" w:beforeAutospacing="1" w:after="100" w:afterAutospacing="1"/>
    </w:pPr>
  </w:style>
  <w:style w:type="character" w:customStyle="1" w:styleId="FooterChar">
    <w:name w:val="Footer Char"/>
    <w:basedOn w:val="DefaultParagraphFont"/>
    <w:link w:val="Footer"/>
    <w:uiPriority w:val="99"/>
    <w:rsid w:val="004A11C9"/>
    <w:rPr>
      <w:sz w:val="24"/>
      <w:szCs w:val="24"/>
    </w:rPr>
  </w:style>
  <w:style w:type="paragraph" w:styleId="Revision">
    <w:name w:val="Revision"/>
    <w:hidden/>
    <w:uiPriority w:val="99"/>
    <w:semiHidden/>
    <w:rsid w:val="00896A13"/>
    <w:rPr>
      <w:sz w:val="24"/>
      <w:szCs w:val="24"/>
    </w:rPr>
  </w:style>
  <w:style w:type="character" w:styleId="CommentReference">
    <w:name w:val="annotation reference"/>
    <w:basedOn w:val="DefaultParagraphFont"/>
    <w:semiHidden/>
    <w:unhideWhenUsed/>
    <w:rsid w:val="004862E3"/>
    <w:rPr>
      <w:sz w:val="16"/>
      <w:szCs w:val="16"/>
    </w:rPr>
  </w:style>
  <w:style w:type="paragraph" w:styleId="CommentText">
    <w:name w:val="annotation text"/>
    <w:basedOn w:val="Normal"/>
    <w:link w:val="CommentTextChar"/>
    <w:semiHidden/>
    <w:unhideWhenUsed/>
    <w:rsid w:val="004862E3"/>
    <w:rPr>
      <w:sz w:val="20"/>
      <w:szCs w:val="20"/>
    </w:rPr>
  </w:style>
  <w:style w:type="character" w:customStyle="1" w:styleId="CommentTextChar">
    <w:name w:val="Comment Text Char"/>
    <w:basedOn w:val="DefaultParagraphFont"/>
    <w:link w:val="CommentText"/>
    <w:semiHidden/>
    <w:rsid w:val="004862E3"/>
  </w:style>
  <w:style w:type="paragraph" w:styleId="CommentSubject">
    <w:name w:val="annotation subject"/>
    <w:basedOn w:val="CommentText"/>
    <w:next w:val="CommentText"/>
    <w:link w:val="CommentSubjectChar"/>
    <w:semiHidden/>
    <w:unhideWhenUsed/>
    <w:rsid w:val="004862E3"/>
    <w:rPr>
      <w:b/>
      <w:bCs/>
    </w:rPr>
  </w:style>
  <w:style w:type="character" w:customStyle="1" w:styleId="CommentSubjectChar">
    <w:name w:val="Comment Subject Char"/>
    <w:basedOn w:val="CommentTextChar"/>
    <w:link w:val="CommentSubject"/>
    <w:semiHidden/>
    <w:rsid w:val="004862E3"/>
    <w:rPr>
      <w:b/>
      <w:bCs/>
    </w:rPr>
  </w:style>
  <w:style w:type="character" w:customStyle="1" w:styleId="Heading1Char">
    <w:name w:val="Heading 1 Char"/>
    <w:basedOn w:val="DefaultParagraphFont"/>
    <w:link w:val="Heading1"/>
    <w:rsid w:val="0047556E"/>
    <w:rPr>
      <w:rFonts w:asciiTheme="majorHAnsi" w:eastAsiaTheme="majorEastAsia" w:hAnsiTheme="majorHAnsi" w:cstheme="majorBidi"/>
      <w:b/>
      <w:bCs/>
      <w:color w:val="365F91" w:themeColor="accent1" w:themeShade="BF"/>
      <w:sz w:val="28"/>
      <w:szCs w:val="28"/>
    </w:rPr>
  </w:style>
  <w:style w:type="character" w:styleId="EndnoteReference">
    <w:name w:val="endnote reference"/>
    <w:basedOn w:val="DefaultParagraphFont"/>
    <w:uiPriority w:val="99"/>
    <w:semiHidden/>
    <w:unhideWhenUsed/>
    <w:rsid w:val="00E276D3"/>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605">
      <w:bodyDiv w:val="1"/>
      <w:marLeft w:val="0"/>
      <w:marRight w:val="0"/>
      <w:marTop w:val="0"/>
      <w:marBottom w:val="0"/>
      <w:divBdr>
        <w:top w:val="none" w:sz="0" w:space="0" w:color="auto"/>
        <w:left w:val="none" w:sz="0" w:space="0" w:color="auto"/>
        <w:bottom w:val="none" w:sz="0" w:space="0" w:color="auto"/>
        <w:right w:val="none" w:sz="0" w:space="0" w:color="auto"/>
      </w:divBdr>
    </w:div>
    <w:div w:id="467207657">
      <w:bodyDiv w:val="1"/>
      <w:marLeft w:val="0"/>
      <w:marRight w:val="0"/>
      <w:marTop w:val="0"/>
      <w:marBottom w:val="0"/>
      <w:divBdr>
        <w:top w:val="none" w:sz="0" w:space="0" w:color="auto"/>
        <w:left w:val="none" w:sz="0" w:space="0" w:color="auto"/>
        <w:bottom w:val="none" w:sz="0" w:space="0" w:color="auto"/>
        <w:right w:val="none" w:sz="0" w:space="0" w:color="auto"/>
      </w:divBdr>
    </w:div>
    <w:div w:id="472019973">
      <w:bodyDiv w:val="1"/>
      <w:marLeft w:val="0"/>
      <w:marRight w:val="0"/>
      <w:marTop w:val="0"/>
      <w:marBottom w:val="0"/>
      <w:divBdr>
        <w:top w:val="none" w:sz="0" w:space="0" w:color="auto"/>
        <w:left w:val="none" w:sz="0" w:space="0" w:color="auto"/>
        <w:bottom w:val="none" w:sz="0" w:space="0" w:color="auto"/>
        <w:right w:val="none" w:sz="0" w:space="0" w:color="auto"/>
      </w:divBdr>
    </w:div>
    <w:div w:id="503084090">
      <w:bodyDiv w:val="1"/>
      <w:marLeft w:val="0"/>
      <w:marRight w:val="0"/>
      <w:marTop w:val="0"/>
      <w:marBottom w:val="0"/>
      <w:divBdr>
        <w:top w:val="none" w:sz="0" w:space="0" w:color="auto"/>
        <w:left w:val="none" w:sz="0" w:space="0" w:color="auto"/>
        <w:bottom w:val="none" w:sz="0" w:space="0" w:color="auto"/>
        <w:right w:val="none" w:sz="0" w:space="0" w:color="auto"/>
      </w:divBdr>
    </w:div>
    <w:div w:id="768082303">
      <w:bodyDiv w:val="1"/>
      <w:marLeft w:val="0"/>
      <w:marRight w:val="0"/>
      <w:marTop w:val="0"/>
      <w:marBottom w:val="0"/>
      <w:divBdr>
        <w:top w:val="none" w:sz="0" w:space="0" w:color="auto"/>
        <w:left w:val="none" w:sz="0" w:space="0" w:color="auto"/>
        <w:bottom w:val="none" w:sz="0" w:space="0" w:color="auto"/>
        <w:right w:val="none" w:sz="0" w:space="0" w:color="auto"/>
      </w:divBdr>
    </w:div>
    <w:div w:id="969094663">
      <w:bodyDiv w:val="1"/>
      <w:marLeft w:val="0"/>
      <w:marRight w:val="0"/>
      <w:marTop w:val="0"/>
      <w:marBottom w:val="0"/>
      <w:divBdr>
        <w:top w:val="none" w:sz="0" w:space="0" w:color="auto"/>
        <w:left w:val="none" w:sz="0" w:space="0" w:color="auto"/>
        <w:bottom w:val="none" w:sz="0" w:space="0" w:color="auto"/>
        <w:right w:val="none" w:sz="0" w:space="0" w:color="auto"/>
      </w:divBdr>
    </w:div>
    <w:div w:id="1062752159">
      <w:bodyDiv w:val="1"/>
      <w:marLeft w:val="0"/>
      <w:marRight w:val="0"/>
      <w:marTop w:val="0"/>
      <w:marBottom w:val="0"/>
      <w:divBdr>
        <w:top w:val="none" w:sz="0" w:space="0" w:color="auto"/>
        <w:left w:val="none" w:sz="0" w:space="0" w:color="auto"/>
        <w:bottom w:val="none" w:sz="0" w:space="0" w:color="auto"/>
        <w:right w:val="none" w:sz="0" w:space="0" w:color="auto"/>
      </w:divBdr>
    </w:div>
    <w:div w:id="1100687489">
      <w:bodyDiv w:val="1"/>
      <w:marLeft w:val="0"/>
      <w:marRight w:val="0"/>
      <w:marTop w:val="0"/>
      <w:marBottom w:val="0"/>
      <w:divBdr>
        <w:top w:val="none" w:sz="0" w:space="0" w:color="auto"/>
        <w:left w:val="none" w:sz="0" w:space="0" w:color="auto"/>
        <w:bottom w:val="none" w:sz="0" w:space="0" w:color="auto"/>
        <w:right w:val="none" w:sz="0" w:space="0" w:color="auto"/>
      </w:divBdr>
    </w:div>
    <w:div w:id="1172135802">
      <w:bodyDiv w:val="1"/>
      <w:marLeft w:val="0"/>
      <w:marRight w:val="0"/>
      <w:marTop w:val="0"/>
      <w:marBottom w:val="0"/>
      <w:divBdr>
        <w:top w:val="none" w:sz="0" w:space="0" w:color="auto"/>
        <w:left w:val="none" w:sz="0" w:space="0" w:color="auto"/>
        <w:bottom w:val="none" w:sz="0" w:space="0" w:color="auto"/>
        <w:right w:val="none" w:sz="0" w:space="0" w:color="auto"/>
      </w:divBdr>
    </w:div>
    <w:div w:id="1218131341">
      <w:bodyDiv w:val="1"/>
      <w:marLeft w:val="0"/>
      <w:marRight w:val="0"/>
      <w:marTop w:val="0"/>
      <w:marBottom w:val="0"/>
      <w:divBdr>
        <w:top w:val="none" w:sz="0" w:space="0" w:color="auto"/>
        <w:left w:val="none" w:sz="0" w:space="0" w:color="auto"/>
        <w:bottom w:val="none" w:sz="0" w:space="0" w:color="auto"/>
        <w:right w:val="none" w:sz="0" w:space="0" w:color="auto"/>
      </w:divBdr>
    </w:div>
    <w:div w:id="1321079066">
      <w:bodyDiv w:val="1"/>
      <w:marLeft w:val="0"/>
      <w:marRight w:val="0"/>
      <w:marTop w:val="0"/>
      <w:marBottom w:val="0"/>
      <w:divBdr>
        <w:top w:val="none" w:sz="0" w:space="0" w:color="auto"/>
        <w:left w:val="none" w:sz="0" w:space="0" w:color="auto"/>
        <w:bottom w:val="none" w:sz="0" w:space="0" w:color="auto"/>
        <w:right w:val="none" w:sz="0" w:space="0" w:color="auto"/>
      </w:divBdr>
    </w:div>
    <w:div w:id="1465778586">
      <w:bodyDiv w:val="1"/>
      <w:marLeft w:val="0"/>
      <w:marRight w:val="0"/>
      <w:marTop w:val="0"/>
      <w:marBottom w:val="0"/>
      <w:divBdr>
        <w:top w:val="none" w:sz="0" w:space="0" w:color="auto"/>
        <w:left w:val="none" w:sz="0" w:space="0" w:color="auto"/>
        <w:bottom w:val="none" w:sz="0" w:space="0" w:color="auto"/>
        <w:right w:val="none" w:sz="0" w:space="0" w:color="auto"/>
      </w:divBdr>
    </w:div>
    <w:div w:id="1491287040">
      <w:bodyDiv w:val="1"/>
      <w:marLeft w:val="0"/>
      <w:marRight w:val="0"/>
      <w:marTop w:val="0"/>
      <w:marBottom w:val="0"/>
      <w:divBdr>
        <w:top w:val="none" w:sz="0" w:space="0" w:color="auto"/>
        <w:left w:val="none" w:sz="0" w:space="0" w:color="auto"/>
        <w:bottom w:val="none" w:sz="0" w:space="0" w:color="auto"/>
        <w:right w:val="none" w:sz="0" w:space="0" w:color="auto"/>
      </w:divBdr>
    </w:div>
    <w:div w:id="1535653850">
      <w:bodyDiv w:val="1"/>
      <w:marLeft w:val="0"/>
      <w:marRight w:val="0"/>
      <w:marTop w:val="0"/>
      <w:marBottom w:val="0"/>
      <w:divBdr>
        <w:top w:val="none" w:sz="0" w:space="0" w:color="auto"/>
        <w:left w:val="none" w:sz="0" w:space="0" w:color="auto"/>
        <w:bottom w:val="none" w:sz="0" w:space="0" w:color="auto"/>
        <w:right w:val="none" w:sz="0" w:space="0" w:color="auto"/>
      </w:divBdr>
    </w:div>
    <w:div w:id="1734308780">
      <w:bodyDiv w:val="1"/>
      <w:marLeft w:val="0"/>
      <w:marRight w:val="0"/>
      <w:marTop w:val="0"/>
      <w:marBottom w:val="0"/>
      <w:divBdr>
        <w:top w:val="none" w:sz="0" w:space="0" w:color="auto"/>
        <w:left w:val="none" w:sz="0" w:space="0" w:color="auto"/>
        <w:bottom w:val="none" w:sz="0" w:space="0" w:color="auto"/>
        <w:right w:val="none" w:sz="0" w:space="0" w:color="auto"/>
      </w:divBdr>
    </w:div>
    <w:div w:id="1765302209">
      <w:bodyDiv w:val="1"/>
      <w:marLeft w:val="0"/>
      <w:marRight w:val="0"/>
      <w:marTop w:val="0"/>
      <w:marBottom w:val="0"/>
      <w:divBdr>
        <w:top w:val="none" w:sz="0" w:space="0" w:color="auto"/>
        <w:left w:val="none" w:sz="0" w:space="0" w:color="auto"/>
        <w:bottom w:val="none" w:sz="0" w:space="0" w:color="auto"/>
        <w:right w:val="none" w:sz="0" w:space="0" w:color="auto"/>
      </w:divBdr>
    </w:div>
    <w:div w:id="1845852143">
      <w:bodyDiv w:val="1"/>
      <w:marLeft w:val="0"/>
      <w:marRight w:val="0"/>
      <w:marTop w:val="0"/>
      <w:marBottom w:val="0"/>
      <w:divBdr>
        <w:top w:val="none" w:sz="0" w:space="0" w:color="auto"/>
        <w:left w:val="none" w:sz="0" w:space="0" w:color="auto"/>
        <w:bottom w:val="none" w:sz="0" w:space="0" w:color="auto"/>
        <w:right w:val="none" w:sz="0" w:space="0" w:color="auto"/>
      </w:divBdr>
    </w:div>
    <w:div w:id="190120955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y.long@cte.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A4F15EBB17BC4AB2CE481D7B86F6E4" ma:contentTypeVersion="7" ma:contentTypeDescription="Create a new document." ma:contentTypeScope="" ma:versionID="bd85fb0854153730fd3b749730cb7772">
  <xsd:schema xmlns:xsd="http://www.w3.org/2001/XMLSchema" xmlns:xs="http://www.w3.org/2001/XMLSchema" xmlns:p="http://schemas.microsoft.com/office/2006/metadata/properties" xmlns:ns3="c2ccbd62-64df-4d57-b6f2-ad81ed26303a" xmlns:ns4="eba721b1-9697-48c9-9452-3534f5184740" targetNamespace="http://schemas.microsoft.com/office/2006/metadata/properties" ma:root="true" ma:fieldsID="312b5c9d1f88cba50da2ca1e5afcea2d" ns3:_="" ns4:_="">
    <xsd:import namespace="c2ccbd62-64df-4d57-b6f2-ad81ed26303a"/>
    <xsd:import namespace="eba721b1-9697-48c9-9452-3534f51847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bd62-64df-4d57-b6f2-ad81ed263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721b1-9697-48c9-9452-3534f5184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06E5-32F1-4070-8C57-CD9500136216}">
  <ds:schemaRefs>
    <ds:schemaRef ds:uri="http://www.w3.org/XML/1998/namespace"/>
    <ds:schemaRef ds:uri="eba721b1-9697-48c9-9452-3534f5184740"/>
    <ds:schemaRef ds:uri="c2ccbd62-64df-4d57-b6f2-ad81ed26303a"/>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31F4220-C8DA-43D7-BD36-47F2726FC907}">
  <ds:schemaRefs>
    <ds:schemaRef ds:uri="http://schemas.microsoft.com/sharepoint/v3/contenttype/forms"/>
  </ds:schemaRefs>
</ds:datastoreItem>
</file>

<file path=customXml/itemProps3.xml><?xml version="1.0" encoding="utf-8"?>
<ds:datastoreItem xmlns:ds="http://schemas.openxmlformats.org/officeDocument/2006/customXml" ds:itemID="{943EFBF2-862A-4511-9728-31D83BDB7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cbd62-64df-4d57-b6f2-ad81ed26303a"/>
    <ds:schemaRef ds:uri="eba721b1-9697-48c9-9452-3534f518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9F6AE-DBA5-4CF6-8926-E3D6977F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1630</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Theresa Arnold</cp:lastModifiedBy>
  <cp:revision>4</cp:revision>
  <cp:lastPrinted>2019-08-04T21:54:00Z</cp:lastPrinted>
  <dcterms:created xsi:type="dcterms:W3CDTF">2021-08-10T00:21:00Z</dcterms:created>
  <dcterms:modified xsi:type="dcterms:W3CDTF">2022-06-01T20:37:00Z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0x010100D1A4F15EBB17BC4AB2CE481D7B86F6E4</vt:lpwstr>
  </property>
</Properties>
</file>