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FF23" w14:textId="77777777" w:rsidR="00384237" w:rsidRPr="00384237" w:rsidRDefault="00384237" w:rsidP="003D3986">
      <w:pPr>
        <w:pStyle w:val="Heading1"/>
        <w:rPr>
          <w:rFonts w:cs="Arial"/>
          <w:i/>
          <w:color w:val="000080"/>
          <w:sz w:val="28"/>
          <w:szCs w:val="24"/>
          <w:u w:val="none"/>
        </w:rPr>
      </w:pPr>
      <w:bookmarkStart w:id="0" w:name="OLE_LINK2"/>
      <w:bookmarkStart w:id="1" w:name="OLE_LINK1"/>
      <w:r w:rsidRPr="00384237">
        <w:rPr>
          <w:rFonts w:cs="Arial"/>
          <w:i/>
          <w:color w:val="000080"/>
          <w:sz w:val="28"/>
          <w:szCs w:val="24"/>
          <w:u w:val="none"/>
        </w:rPr>
        <w:t>Part I – Agency Profile</w:t>
      </w:r>
      <w:bookmarkEnd w:id="0"/>
      <w:bookmarkEnd w:id="1"/>
    </w:p>
    <w:p w14:paraId="6D57A094" w14:textId="77777777" w:rsidR="00070FA7" w:rsidRDefault="00070FA7">
      <w:pPr>
        <w:rPr>
          <w:rFonts w:ascii="Arial" w:hAnsi="Arial"/>
          <w:b/>
        </w:rPr>
      </w:pPr>
    </w:p>
    <w:p w14:paraId="55B836D0" w14:textId="77777777" w:rsidR="00F5768E" w:rsidRDefault="00F5768E">
      <w:pPr>
        <w:rPr>
          <w:rFonts w:ascii="Arial" w:hAnsi="Arial"/>
        </w:rPr>
      </w:pPr>
      <w:r>
        <w:rPr>
          <w:rFonts w:ascii="Arial" w:hAnsi="Arial"/>
          <w:b/>
        </w:rPr>
        <w:t>Agency Overview</w:t>
      </w:r>
    </w:p>
    <w:p w14:paraId="171BBCE1" w14:textId="77777777" w:rsidR="005B476C" w:rsidRPr="00CF702F" w:rsidRDefault="005B476C">
      <w:pPr>
        <w:jc w:val="both"/>
        <w:rPr>
          <w:rFonts w:ascii="Arial" w:hAnsi="Arial"/>
          <w:b/>
          <w:i/>
          <w:sz w:val="20"/>
        </w:rPr>
      </w:pPr>
      <w:r w:rsidRPr="00CF702F">
        <w:rPr>
          <w:rFonts w:ascii="Arial" w:hAnsi="Arial"/>
          <w:b/>
          <w:i/>
          <w:sz w:val="20"/>
        </w:rPr>
        <w:t xml:space="preserve">Mission, Vision, </w:t>
      </w:r>
      <w:r w:rsidR="00CF702F" w:rsidRPr="00CF702F">
        <w:rPr>
          <w:rFonts w:ascii="Arial" w:hAnsi="Arial"/>
          <w:b/>
          <w:i/>
          <w:sz w:val="20"/>
        </w:rPr>
        <w:t>Purpose</w:t>
      </w:r>
    </w:p>
    <w:p w14:paraId="1E29CC1F" w14:textId="2ACDDAF9" w:rsidR="005B476C" w:rsidRDefault="008A2C75" w:rsidP="2567E06E">
      <w:pPr>
        <w:jc w:val="both"/>
        <w:rPr>
          <w:rFonts w:ascii="Arial" w:hAnsi="Arial"/>
          <w:sz w:val="20"/>
        </w:rPr>
      </w:pPr>
      <w:r>
        <w:rPr>
          <w:rFonts w:ascii="Arial" w:hAnsi="Arial"/>
          <w:sz w:val="20"/>
        </w:rPr>
        <w:t>During FY21</w:t>
      </w:r>
      <w:r w:rsidR="00265AA2">
        <w:rPr>
          <w:rFonts w:ascii="Arial" w:hAnsi="Arial"/>
          <w:sz w:val="20"/>
        </w:rPr>
        <w:t>,</w:t>
      </w:r>
      <w:r>
        <w:rPr>
          <w:rFonts w:ascii="Arial" w:hAnsi="Arial"/>
          <w:sz w:val="20"/>
        </w:rPr>
        <w:t xml:space="preserve"> and presently</w:t>
      </w:r>
      <w:r w:rsidR="00265AA2">
        <w:rPr>
          <w:rFonts w:ascii="Arial" w:hAnsi="Arial"/>
          <w:sz w:val="20"/>
        </w:rPr>
        <w:t>, the</w:t>
      </w:r>
      <w:r w:rsidR="00CC7E00" w:rsidRPr="2567E06E">
        <w:rPr>
          <w:rFonts w:ascii="Arial" w:hAnsi="Arial"/>
          <w:sz w:val="20"/>
        </w:rPr>
        <w:t xml:space="preserve"> </w:t>
      </w:r>
      <w:r w:rsidR="00F5768E" w:rsidRPr="2567E06E">
        <w:rPr>
          <w:rFonts w:ascii="Arial" w:hAnsi="Arial"/>
          <w:sz w:val="20"/>
        </w:rPr>
        <w:t xml:space="preserve">Idaho Department of Correction’s mission </w:t>
      </w:r>
      <w:r w:rsidR="00265AA2">
        <w:rPr>
          <w:rFonts w:ascii="Arial" w:hAnsi="Arial"/>
          <w:sz w:val="20"/>
        </w:rPr>
        <w:t>is</w:t>
      </w:r>
      <w:r w:rsidR="00F5768E" w:rsidRPr="2567E06E">
        <w:rPr>
          <w:rFonts w:ascii="Arial" w:hAnsi="Arial"/>
          <w:sz w:val="20"/>
        </w:rPr>
        <w:t xml:space="preserve"> to </w:t>
      </w:r>
      <w:r w:rsidR="19CA7312" w:rsidRPr="2567E06E">
        <w:rPr>
          <w:rFonts w:ascii="Arial" w:hAnsi="Arial"/>
          <w:sz w:val="20"/>
        </w:rPr>
        <w:t>create a model correctional system that provides equitable access to programming and opportunities that reflect a community experience, foster connection, and restore victims of crime.</w:t>
      </w:r>
      <w:r w:rsidR="103CB929" w:rsidRPr="2567E06E">
        <w:rPr>
          <w:rFonts w:ascii="Arial" w:hAnsi="Arial"/>
          <w:sz w:val="20"/>
        </w:rPr>
        <w:t xml:space="preserve"> </w:t>
      </w:r>
      <w:r w:rsidR="00EE2578" w:rsidRPr="2567E06E">
        <w:rPr>
          <w:rFonts w:ascii="Arial" w:hAnsi="Arial"/>
          <w:sz w:val="20"/>
        </w:rPr>
        <w:t xml:space="preserve">The </w:t>
      </w:r>
      <w:r w:rsidR="00CF702F" w:rsidRPr="2567E06E">
        <w:rPr>
          <w:rFonts w:ascii="Arial" w:hAnsi="Arial"/>
          <w:sz w:val="20"/>
        </w:rPr>
        <w:t>D</w:t>
      </w:r>
      <w:r w:rsidR="00F5768E" w:rsidRPr="2567E06E">
        <w:rPr>
          <w:rFonts w:ascii="Arial" w:hAnsi="Arial"/>
          <w:sz w:val="20"/>
        </w:rPr>
        <w:t xml:space="preserve">epartment </w:t>
      </w:r>
      <w:r w:rsidR="41689D0F" w:rsidRPr="2567E06E">
        <w:rPr>
          <w:rFonts w:ascii="Arial" w:hAnsi="Arial"/>
          <w:sz w:val="20"/>
        </w:rPr>
        <w:t>envision</w:t>
      </w:r>
      <w:r w:rsidR="00265AA2">
        <w:rPr>
          <w:rFonts w:ascii="Arial" w:hAnsi="Arial"/>
          <w:sz w:val="20"/>
        </w:rPr>
        <w:t>s</w:t>
      </w:r>
      <w:r w:rsidR="41689D0F" w:rsidRPr="2567E06E">
        <w:rPr>
          <w:rFonts w:ascii="Arial" w:hAnsi="Arial"/>
          <w:sz w:val="20"/>
        </w:rPr>
        <w:t xml:space="preserve"> a safer Idaho with fewer people in its correctional system. We value: </w:t>
      </w:r>
      <w:r w:rsidR="00B470A6" w:rsidRPr="2567E06E">
        <w:rPr>
          <w:rFonts w:ascii="Arial" w:hAnsi="Arial"/>
          <w:sz w:val="20"/>
        </w:rPr>
        <w:t xml:space="preserve">1) </w:t>
      </w:r>
      <w:r w:rsidR="22E960B3" w:rsidRPr="2567E06E">
        <w:rPr>
          <w:rFonts w:ascii="Arial" w:hAnsi="Arial"/>
          <w:sz w:val="20"/>
        </w:rPr>
        <w:t>integrity in all of our interactions</w:t>
      </w:r>
      <w:r w:rsidR="00B470A6" w:rsidRPr="2567E06E">
        <w:rPr>
          <w:rFonts w:ascii="Arial" w:hAnsi="Arial"/>
          <w:sz w:val="20"/>
        </w:rPr>
        <w:t xml:space="preserve">; 2) </w:t>
      </w:r>
      <w:r w:rsidR="0145F47A" w:rsidRPr="2567E06E">
        <w:rPr>
          <w:rFonts w:ascii="Arial" w:hAnsi="Arial"/>
          <w:sz w:val="20"/>
        </w:rPr>
        <w:t>respect for diversity and humanity in each other and those under our jurisdiction</w:t>
      </w:r>
      <w:r w:rsidR="00B470A6" w:rsidRPr="2567E06E">
        <w:rPr>
          <w:rFonts w:ascii="Arial" w:hAnsi="Arial"/>
          <w:sz w:val="20"/>
        </w:rPr>
        <w:t xml:space="preserve">; and 3) </w:t>
      </w:r>
      <w:r w:rsidR="5D9C0E16" w:rsidRPr="2567E06E">
        <w:rPr>
          <w:rFonts w:ascii="Arial" w:hAnsi="Arial"/>
          <w:sz w:val="20"/>
        </w:rPr>
        <w:t xml:space="preserve">positive attitude that recognizes everyone’s ability </w:t>
      </w:r>
      <w:r w:rsidR="3004BB4E" w:rsidRPr="2567E06E">
        <w:rPr>
          <w:rFonts w:ascii="Arial" w:hAnsi="Arial"/>
          <w:sz w:val="20"/>
        </w:rPr>
        <w:t xml:space="preserve">to </w:t>
      </w:r>
      <w:r w:rsidR="5D9C0E16" w:rsidRPr="2567E06E">
        <w:rPr>
          <w:rFonts w:ascii="Arial" w:hAnsi="Arial"/>
          <w:sz w:val="20"/>
        </w:rPr>
        <w:t>change</w:t>
      </w:r>
      <w:r w:rsidR="00B470A6" w:rsidRPr="2567E06E">
        <w:rPr>
          <w:rFonts w:ascii="Arial" w:hAnsi="Arial"/>
          <w:sz w:val="20"/>
        </w:rPr>
        <w:t xml:space="preserve">. </w:t>
      </w:r>
      <w:r w:rsidR="005B476C" w:rsidRPr="2567E06E">
        <w:rPr>
          <w:rFonts w:ascii="Arial" w:hAnsi="Arial"/>
          <w:sz w:val="20"/>
        </w:rPr>
        <w:t xml:space="preserve">The agency mission and values encourage ethical, safe, and </w:t>
      </w:r>
      <w:r w:rsidR="00603FF9" w:rsidRPr="2567E06E">
        <w:rPr>
          <w:rFonts w:ascii="Arial" w:hAnsi="Arial"/>
          <w:sz w:val="20"/>
        </w:rPr>
        <w:t>evidence-based</w:t>
      </w:r>
      <w:r w:rsidR="005B476C" w:rsidRPr="2567E06E">
        <w:rPr>
          <w:rFonts w:ascii="Arial" w:hAnsi="Arial"/>
          <w:sz w:val="20"/>
        </w:rPr>
        <w:t xml:space="preserve"> practices while providing care and custody for</w:t>
      </w:r>
      <w:r w:rsidR="006C77E3" w:rsidRPr="2567E06E">
        <w:rPr>
          <w:rFonts w:ascii="Arial" w:hAnsi="Arial"/>
          <w:sz w:val="20"/>
        </w:rPr>
        <w:t xml:space="preserve"> </w:t>
      </w:r>
      <w:r w:rsidR="00F5768E" w:rsidRPr="2567E06E">
        <w:rPr>
          <w:rFonts w:ascii="Arial" w:hAnsi="Arial"/>
          <w:sz w:val="20"/>
        </w:rPr>
        <w:t xml:space="preserve">adult felons, pre-sentence </w:t>
      </w:r>
      <w:r w:rsidR="005B476C" w:rsidRPr="2567E06E">
        <w:rPr>
          <w:rFonts w:ascii="Arial" w:hAnsi="Arial"/>
          <w:sz w:val="20"/>
        </w:rPr>
        <w:t xml:space="preserve">investigation </w:t>
      </w:r>
      <w:r w:rsidR="00F5768E" w:rsidRPr="2567E06E">
        <w:rPr>
          <w:rFonts w:ascii="Arial" w:hAnsi="Arial"/>
          <w:sz w:val="20"/>
        </w:rPr>
        <w:t xml:space="preserve">reports for </w:t>
      </w:r>
      <w:r w:rsidR="006C77E3" w:rsidRPr="2567E06E">
        <w:rPr>
          <w:rFonts w:ascii="Arial" w:hAnsi="Arial"/>
          <w:sz w:val="20"/>
        </w:rPr>
        <w:t>the courts, and supervis</w:t>
      </w:r>
      <w:r w:rsidR="005B476C" w:rsidRPr="2567E06E">
        <w:rPr>
          <w:rFonts w:ascii="Arial" w:hAnsi="Arial"/>
          <w:sz w:val="20"/>
        </w:rPr>
        <w:t>ion of</w:t>
      </w:r>
      <w:r w:rsidR="006C77E3" w:rsidRPr="2567E06E">
        <w:rPr>
          <w:rFonts w:ascii="Arial" w:hAnsi="Arial"/>
          <w:sz w:val="20"/>
        </w:rPr>
        <w:t xml:space="preserve"> </w:t>
      </w:r>
      <w:r w:rsidR="00F5768E" w:rsidRPr="2567E06E">
        <w:rPr>
          <w:rFonts w:ascii="Arial" w:hAnsi="Arial"/>
          <w:sz w:val="20"/>
        </w:rPr>
        <w:t xml:space="preserve">probationers and parolees. </w:t>
      </w:r>
    </w:p>
    <w:p w14:paraId="44888692" w14:textId="77777777" w:rsidR="005B476C" w:rsidRDefault="005B476C">
      <w:pPr>
        <w:jc w:val="both"/>
        <w:rPr>
          <w:rFonts w:ascii="Arial" w:hAnsi="Arial"/>
          <w:sz w:val="20"/>
        </w:rPr>
      </w:pPr>
    </w:p>
    <w:p w14:paraId="449F698D" w14:textId="77777777" w:rsidR="00CF702F" w:rsidRPr="00CF702F" w:rsidRDefault="005824A3">
      <w:pPr>
        <w:jc w:val="both"/>
        <w:rPr>
          <w:rFonts w:ascii="Arial" w:hAnsi="Arial"/>
          <w:b/>
          <w:i/>
          <w:sz w:val="20"/>
        </w:rPr>
      </w:pPr>
      <w:r>
        <w:rPr>
          <w:rFonts w:ascii="Arial" w:hAnsi="Arial"/>
          <w:b/>
          <w:i/>
          <w:sz w:val="20"/>
        </w:rPr>
        <w:t>Governance and Structure</w:t>
      </w:r>
    </w:p>
    <w:p w14:paraId="32A1303F" w14:textId="6B2AE521" w:rsidR="00F5768E" w:rsidRDefault="00CF702F">
      <w:pPr>
        <w:jc w:val="both"/>
        <w:rPr>
          <w:rFonts w:ascii="Arial" w:hAnsi="Arial"/>
          <w:sz w:val="20"/>
        </w:rPr>
      </w:pPr>
      <w:r>
        <w:rPr>
          <w:rFonts w:ascii="Arial" w:hAnsi="Arial"/>
          <w:sz w:val="20"/>
        </w:rPr>
        <w:t xml:space="preserve">The Idaho Board of Correction appointed </w:t>
      </w:r>
      <w:r w:rsidR="00FC7694">
        <w:rPr>
          <w:rFonts w:ascii="Arial" w:hAnsi="Arial"/>
          <w:sz w:val="20"/>
        </w:rPr>
        <w:t>Josh Tewalt</w:t>
      </w:r>
      <w:r>
        <w:rPr>
          <w:rFonts w:ascii="Arial" w:hAnsi="Arial"/>
          <w:sz w:val="20"/>
        </w:rPr>
        <w:t xml:space="preserve"> as Director in December 201</w:t>
      </w:r>
      <w:r w:rsidR="00FC7694">
        <w:rPr>
          <w:rFonts w:ascii="Arial" w:hAnsi="Arial"/>
          <w:sz w:val="20"/>
        </w:rPr>
        <w:t>8</w:t>
      </w:r>
      <w:r>
        <w:rPr>
          <w:rFonts w:ascii="Arial" w:hAnsi="Arial"/>
          <w:sz w:val="20"/>
        </w:rPr>
        <w:t xml:space="preserve">. </w:t>
      </w:r>
      <w:r w:rsidR="00CC7E00">
        <w:rPr>
          <w:rFonts w:ascii="Arial" w:hAnsi="Arial"/>
          <w:sz w:val="20"/>
        </w:rPr>
        <w:t>A three-member G</w:t>
      </w:r>
      <w:r w:rsidR="00F5768E">
        <w:rPr>
          <w:rFonts w:ascii="Arial" w:hAnsi="Arial"/>
          <w:sz w:val="20"/>
        </w:rPr>
        <w:t>overnor-appointed</w:t>
      </w:r>
      <w:r w:rsidR="00CC7E00">
        <w:rPr>
          <w:rFonts w:ascii="Arial" w:hAnsi="Arial"/>
          <w:sz w:val="20"/>
        </w:rPr>
        <w:t xml:space="preserve"> board provides oversight to the agency.  Dr. David McClusky was appointed in January 2013 and serves as Chairman. Dodds Hayden was appointed in January 2019 and serves as Vice-Chairman</w:t>
      </w:r>
      <w:r w:rsidR="001C5739">
        <w:rPr>
          <w:rFonts w:ascii="Arial" w:hAnsi="Arial"/>
          <w:sz w:val="20"/>
        </w:rPr>
        <w:t>.</w:t>
      </w:r>
      <w:r w:rsidR="00CC7E00">
        <w:rPr>
          <w:rFonts w:ascii="Arial" w:hAnsi="Arial"/>
          <w:sz w:val="20"/>
        </w:rPr>
        <w:t xml:space="preserve"> </w:t>
      </w:r>
      <w:r w:rsidR="001C5739">
        <w:rPr>
          <w:rFonts w:ascii="Arial" w:hAnsi="Arial"/>
          <w:sz w:val="20"/>
        </w:rPr>
        <w:t>Dr. Karen Neill</w:t>
      </w:r>
      <w:r w:rsidR="00CC7E00">
        <w:rPr>
          <w:rFonts w:ascii="Arial" w:hAnsi="Arial"/>
          <w:sz w:val="20"/>
        </w:rPr>
        <w:t xml:space="preserve"> </w:t>
      </w:r>
      <w:r w:rsidR="001C5739">
        <w:rPr>
          <w:rFonts w:ascii="Arial" w:hAnsi="Arial"/>
          <w:sz w:val="20"/>
        </w:rPr>
        <w:t xml:space="preserve">serves as </w:t>
      </w:r>
      <w:r w:rsidR="00CC7E00">
        <w:rPr>
          <w:rFonts w:ascii="Arial" w:hAnsi="Arial"/>
          <w:sz w:val="20"/>
        </w:rPr>
        <w:t>Secretary</w:t>
      </w:r>
      <w:r w:rsidR="001C5739">
        <w:rPr>
          <w:rFonts w:ascii="Arial" w:hAnsi="Arial"/>
          <w:sz w:val="20"/>
        </w:rPr>
        <w:t xml:space="preserve"> and was appointed in June of 2019. The Board is appointed to six-year terms.</w:t>
      </w:r>
      <w:r w:rsidR="00CC7E00">
        <w:rPr>
          <w:rFonts w:ascii="Arial" w:hAnsi="Arial"/>
          <w:sz w:val="20"/>
        </w:rPr>
        <w:t xml:space="preserve"> </w:t>
      </w:r>
    </w:p>
    <w:p w14:paraId="6CC4BB8C" w14:textId="77777777" w:rsidR="00CF702F" w:rsidRDefault="00CF702F">
      <w:pPr>
        <w:jc w:val="both"/>
        <w:rPr>
          <w:rFonts w:ascii="Arial" w:hAnsi="Arial"/>
          <w:sz w:val="20"/>
        </w:rPr>
      </w:pPr>
    </w:p>
    <w:p w14:paraId="525BE1D2" w14:textId="70A9573B" w:rsidR="005824A3" w:rsidRPr="00A71B09" w:rsidRDefault="005824A3" w:rsidP="005824A3">
      <w:pPr>
        <w:jc w:val="both"/>
        <w:rPr>
          <w:rFonts w:ascii="Arial" w:hAnsi="Arial"/>
          <w:sz w:val="20"/>
        </w:rPr>
      </w:pPr>
      <w:r>
        <w:rPr>
          <w:rFonts w:ascii="Arial" w:hAnsi="Arial"/>
          <w:sz w:val="20"/>
        </w:rPr>
        <w:t xml:space="preserve">The Idaho Department of Correction employs </w:t>
      </w:r>
      <w:r w:rsidR="000462A5">
        <w:rPr>
          <w:rFonts w:ascii="Arial" w:hAnsi="Arial"/>
          <w:sz w:val="20"/>
        </w:rPr>
        <w:t>2,0</w:t>
      </w:r>
      <w:r w:rsidR="00603FF9">
        <w:rPr>
          <w:rFonts w:ascii="Arial" w:hAnsi="Arial"/>
          <w:sz w:val="20"/>
        </w:rPr>
        <w:t>45 full and part time professionals</w:t>
      </w:r>
      <w:r>
        <w:rPr>
          <w:rFonts w:ascii="Arial" w:hAnsi="Arial"/>
          <w:sz w:val="20"/>
        </w:rPr>
        <w:t xml:space="preserve"> and is organized into three</w:t>
      </w:r>
      <w:r w:rsidRPr="00A71B09">
        <w:rPr>
          <w:rFonts w:ascii="Arial" w:hAnsi="Arial"/>
          <w:sz w:val="20"/>
        </w:rPr>
        <w:t xml:space="preserve"> divisions</w:t>
      </w:r>
      <w:r>
        <w:rPr>
          <w:rFonts w:ascii="Arial" w:hAnsi="Arial"/>
          <w:sz w:val="20"/>
        </w:rPr>
        <w:t xml:space="preserve">: 1) prisons; 2) probation and parole; and 3) management services. </w:t>
      </w:r>
    </w:p>
    <w:p w14:paraId="29F307C9" w14:textId="77777777" w:rsidR="005824A3" w:rsidRPr="0014498D" w:rsidRDefault="005824A3" w:rsidP="005824A3">
      <w:pPr>
        <w:jc w:val="both"/>
        <w:rPr>
          <w:rFonts w:ascii="Arial" w:hAnsi="Arial"/>
          <w:sz w:val="18"/>
          <w:szCs w:val="18"/>
        </w:rPr>
      </w:pPr>
    </w:p>
    <w:p w14:paraId="6B7E8355" w14:textId="098CFA3E" w:rsidR="005824A3" w:rsidRDefault="005824A3" w:rsidP="005824A3">
      <w:pPr>
        <w:numPr>
          <w:ilvl w:val="0"/>
          <w:numId w:val="26"/>
        </w:numPr>
        <w:jc w:val="both"/>
        <w:rPr>
          <w:rFonts w:ascii="Arial" w:hAnsi="Arial"/>
          <w:sz w:val="20"/>
        </w:rPr>
      </w:pPr>
      <w:r w:rsidRPr="00A71B09">
        <w:rPr>
          <w:rFonts w:ascii="Arial" w:hAnsi="Arial"/>
          <w:sz w:val="20"/>
        </w:rPr>
        <w:t xml:space="preserve">The Prisons </w:t>
      </w:r>
      <w:r>
        <w:rPr>
          <w:rFonts w:ascii="Arial" w:hAnsi="Arial"/>
          <w:sz w:val="20"/>
        </w:rPr>
        <w:t xml:space="preserve">Division </w:t>
      </w:r>
      <w:r w:rsidRPr="00A71B09">
        <w:rPr>
          <w:rFonts w:ascii="Arial" w:hAnsi="Arial"/>
          <w:sz w:val="20"/>
        </w:rPr>
        <w:t xml:space="preserve">manages </w:t>
      </w:r>
      <w:r w:rsidR="00104EA7">
        <w:rPr>
          <w:rFonts w:ascii="Arial" w:hAnsi="Arial"/>
          <w:sz w:val="20"/>
        </w:rPr>
        <w:t>residents</w:t>
      </w:r>
      <w:r w:rsidRPr="00A71B09">
        <w:rPr>
          <w:rFonts w:ascii="Arial" w:hAnsi="Arial"/>
          <w:sz w:val="20"/>
        </w:rPr>
        <w:t xml:space="preserve"> in </w:t>
      </w:r>
      <w:r w:rsidR="004D30EC">
        <w:rPr>
          <w:rFonts w:ascii="Arial" w:hAnsi="Arial"/>
          <w:sz w:val="20"/>
        </w:rPr>
        <w:t>nine</w:t>
      </w:r>
      <w:r w:rsidRPr="00A71B09">
        <w:rPr>
          <w:rFonts w:ascii="Arial" w:hAnsi="Arial"/>
          <w:sz w:val="20"/>
        </w:rPr>
        <w:t xml:space="preserve"> state correctional institutions</w:t>
      </w:r>
      <w:r w:rsidR="00C932E9">
        <w:rPr>
          <w:rFonts w:ascii="Arial" w:hAnsi="Arial"/>
          <w:sz w:val="20"/>
        </w:rPr>
        <w:t>, providing</w:t>
      </w:r>
      <w:r>
        <w:rPr>
          <w:rFonts w:ascii="Arial" w:hAnsi="Arial"/>
          <w:sz w:val="20"/>
        </w:rPr>
        <w:t xml:space="preserve"> institutional safety services and </w:t>
      </w:r>
      <w:r w:rsidR="00ED13E4">
        <w:rPr>
          <w:rFonts w:ascii="Arial" w:hAnsi="Arial"/>
          <w:sz w:val="20"/>
        </w:rPr>
        <w:t>management of</w:t>
      </w:r>
      <w:r>
        <w:rPr>
          <w:rFonts w:ascii="Arial" w:hAnsi="Arial"/>
          <w:sz w:val="20"/>
        </w:rPr>
        <w:t xml:space="preserve"> special projects.  The division is </w:t>
      </w:r>
      <w:r w:rsidR="00C932E9">
        <w:rPr>
          <w:rFonts w:ascii="Arial" w:hAnsi="Arial"/>
          <w:sz w:val="20"/>
        </w:rPr>
        <w:t xml:space="preserve">also </w:t>
      </w:r>
      <w:r>
        <w:rPr>
          <w:rFonts w:ascii="Arial" w:hAnsi="Arial"/>
          <w:sz w:val="20"/>
        </w:rPr>
        <w:t xml:space="preserve">responsible for </w:t>
      </w:r>
      <w:r w:rsidR="00104EA7">
        <w:rPr>
          <w:rFonts w:ascii="Arial" w:hAnsi="Arial"/>
          <w:sz w:val="20"/>
        </w:rPr>
        <w:t>resident</w:t>
      </w:r>
      <w:r>
        <w:rPr>
          <w:rFonts w:ascii="Arial" w:hAnsi="Arial"/>
          <w:sz w:val="20"/>
        </w:rPr>
        <w:t xml:space="preserve"> placement</w:t>
      </w:r>
      <w:r w:rsidR="00C932E9">
        <w:rPr>
          <w:rFonts w:ascii="Arial" w:hAnsi="Arial"/>
          <w:sz w:val="20"/>
        </w:rPr>
        <w:t>,</w:t>
      </w:r>
      <w:r>
        <w:rPr>
          <w:rFonts w:ascii="Arial" w:hAnsi="Arial"/>
          <w:sz w:val="20"/>
        </w:rPr>
        <w:t xml:space="preserve"> education</w:t>
      </w:r>
      <w:r w:rsidR="00A5314B">
        <w:rPr>
          <w:rFonts w:ascii="Arial" w:hAnsi="Arial"/>
          <w:sz w:val="20"/>
        </w:rPr>
        <w:t>,</w:t>
      </w:r>
      <w:r>
        <w:rPr>
          <w:rFonts w:ascii="Arial" w:hAnsi="Arial"/>
          <w:sz w:val="20"/>
        </w:rPr>
        <w:t xml:space="preserve"> and treatment services.</w:t>
      </w:r>
      <w:r w:rsidR="004D30EC">
        <w:rPr>
          <w:rFonts w:ascii="Arial" w:hAnsi="Arial"/>
          <w:sz w:val="20"/>
        </w:rPr>
        <w:t xml:space="preserve"> In addition, the Prison Division provides oversight over contracted facilities in and out of state.</w:t>
      </w:r>
    </w:p>
    <w:p w14:paraId="6F81417F" w14:textId="19D70055" w:rsidR="005824A3" w:rsidRDefault="005824A3" w:rsidP="005824A3">
      <w:pPr>
        <w:numPr>
          <w:ilvl w:val="0"/>
          <w:numId w:val="26"/>
        </w:numPr>
        <w:jc w:val="both"/>
        <w:rPr>
          <w:rFonts w:ascii="Arial" w:hAnsi="Arial"/>
          <w:sz w:val="20"/>
        </w:rPr>
      </w:pPr>
      <w:r w:rsidRPr="00A71B09">
        <w:rPr>
          <w:rFonts w:ascii="Arial" w:hAnsi="Arial"/>
          <w:sz w:val="20"/>
        </w:rPr>
        <w:t xml:space="preserve">The Probation and Parole </w:t>
      </w:r>
      <w:r>
        <w:rPr>
          <w:rFonts w:ascii="Arial" w:hAnsi="Arial"/>
          <w:sz w:val="20"/>
        </w:rPr>
        <w:t xml:space="preserve">Division supervises </w:t>
      </w:r>
      <w:r w:rsidRPr="00A71B09">
        <w:rPr>
          <w:rFonts w:ascii="Arial" w:hAnsi="Arial"/>
          <w:sz w:val="20"/>
        </w:rPr>
        <w:t>probationer</w:t>
      </w:r>
      <w:r>
        <w:rPr>
          <w:rFonts w:ascii="Arial" w:hAnsi="Arial"/>
          <w:sz w:val="20"/>
        </w:rPr>
        <w:t>s</w:t>
      </w:r>
      <w:r w:rsidR="002B7D24">
        <w:rPr>
          <w:rFonts w:ascii="Arial" w:hAnsi="Arial"/>
          <w:sz w:val="20"/>
        </w:rPr>
        <w:t xml:space="preserve"> and</w:t>
      </w:r>
      <w:r w:rsidRPr="00A71B09">
        <w:rPr>
          <w:rFonts w:ascii="Arial" w:hAnsi="Arial"/>
          <w:sz w:val="20"/>
        </w:rPr>
        <w:t xml:space="preserve"> parolees</w:t>
      </w:r>
      <w:r w:rsidR="00AD08CA">
        <w:rPr>
          <w:rFonts w:ascii="Arial" w:hAnsi="Arial"/>
          <w:sz w:val="20"/>
        </w:rPr>
        <w:t xml:space="preserve"> living within seven Idaho districts</w:t>
      </w:r>
      <w:r w:rsidR="002B7D24">
        <w:rPr>
          <w:rFonts w:ascii="Arial" w:hAnsi="Arial"/>
          <w:sz w:val="20"/>
        </w:rPr>
        <w:t xml:space="preserve">, managing </w:t>
      </w:r>
      <w:r w:rsidR="00AD08CA">
        <w:rPr>
          <w:rFonts w:ascii="Arial" w:hAnsi="Arial"/>
          <w:sz w:val="20"/>
        </w:rPr>
        <w:t>2</w:t>
      </w:r>
      <w:r w:rsidR="00AD5BBB">
        <w:rPr>
          <w:rFonts w:ascii="Arial" w:hAnsi="Arial"/>
          <w:sz w:val="20"/>
        </w:rPr>
        <w:t>5</w:t>
      </w:r>
      <w:r w:rsidR="00AD08CA">
        <w:rPr>
          <w:rFonts w:ascii="Arial" w:hAnsi="Arial"/>
          <w:sz w:val="20"/>
        </w:rPr>
        <w:t xml:space="preserve"> probation and parole offices</w:t>
      </w:r>
      <w:r w:rsidR="00C932E9">
        <w:rPr>
          <w:rFonts w:ascii="Arial" w:hAnsi="Arial"/>
          <w:sz w:val="20"/>
        </w:rPr>
        <w:t xml:space="preserve"> and</w:t>
      </w:r>
      <w:r>
        <w:rPr>
          <w:rFonts w:ascii="Arial" w:hAnsi="Arial"/>
          <w:sz w:val="20"/>
        </w:rPr>
        <w:t xml:space="preserve"> Interstate Compact</w:t>
      </w:r>
      <w:r w:rsidR="00AD08CA">
        <w:rPr>
          <w:rFonts w:ascii="Arial" w:hAnsi="Arial"/>
          <w:sz w:val="20"/>
        </w:rPr>
        <w:t xml:space="preserve">. </w:t>
      </w:r>
      <w:r>
        <w:rPr>
          <w:rFonts w:ascii="Arial" w:hAnsi="Arial"/>
          <w:sz w:val="20"/>
        </w:rPr>
        <w:t xml:space="preserve">The division </w:t>
      </w:r>
      <w:r w:rsidR="00C932E9">
        <w:rPr>
          <w:rFonts w:ascii="Arial" w:hAnsi="Arial"/>
          <w:sz w:val="20"/>
        </w:rPr>
        <w:t xml:space="preserve">also </w:t>
      </w:r>
      <w:r w:rsidRPr="00A71B09">
        <w:rPr>
          <w:rFonts w:ascii="Arial" w:hAnsi="Arial"/>
          <w:sz w:val="20"/>
        </w:rPr>
        <w:t>manag</w:t>
      </w:r>
      <w:r>
        <w:rPr>
          <w:rFonts w:ascii="Arial" w:hAnsi="Arial"/>
          <w:sz w:val="20"/>
        </w:rPr>
        <w:t>es four community reentry centers</w:t>
      </w:r>
      <w:r w:rsidR="002B7D24">
        <w:rPr>
          <w:rFonts w:ascii="Arial" w:hAnsi="Arial"/>
          <w:sz w:val="20"/>
        </w:rPr>
        <w:t>,</w:t>
      </w:r>
      <w:r>
        <w:rPr>
          <w:rFonts w:ascii="Arial" w:hAnsi="Arial"/>
          <w:sz w:val="20"/>
        </w:rPr>
        <w:t xml:space="preserve"> community-based substance abuse treatment</w:t>
      </w:r>
      <w:r w:rsidR="002B7D24">
        <w:rPr>
          <w:rFonts w:ascii="Arial" w:hAnsi="Arial"/>
          <w:sz w:val="20"/>
        </w:rPr>
        <w:t>, and provid</w:t>
      </w:r>
      <w:r w:rsidR="00AD08CA" w:rsidRPr="00A71B09">
        <w:rPr>
          <w:rFonts w:ascii="Arial" w:hAnsi="Arial"/>
          <w:sz w:val="20"/>
        </w:rPr>
        <w:t>es pre-sentence investigation</w:t>
      </w:r>
      <w:r w:rsidR="00AD08CA">
        <w:rPr>
          <w:rFonts w:ascii="Arial" w:hAnsi="Arial"/>
          <w:sz w:val="20"/>
        </w:rPr>
        <w:t xml:space="preserve"> reports to the courts</w:t>
      </w:r>
      <w:r w:rsidR="00AD08CA" w:rsidRPr="00A71B09">
        <w:rPr>
          <w:rFonts w:ascii="Arial" w:hAnsi="Arial"/>
          <w:sz w:val="20"/>
        </w:rPr>
        <w:t xml:space="preserve">. </w:t>
      </w:r>
    </w:p>
    <w:p w14:paraId="4CBA9B73" w14:textId="43C8B678" w:rsidR="005824A3" w:rsidRDefault="005824A3" w:rsidP="005824A3">
      <w:pPr>
        <w:numPr>
          <w:ilvl w:val="0"/>
          <w:numId w:val="26"/>
        </w:numPr>
        <w:jc w:val="both"/>
        <w:rPr>
          <w:rFonts w:ascii="Arial" w:hAnsi="Arial"/>
          <w:sz w:val="20"/>
        </w:rPr>
      </w:pPr>
      <w:r w:rsidRPr="00C96A1E">
        <w:rPr>
          <w:rFonts w:ascii="Arial" w:hAnsi="Arial"/>
          <w:sz w:val="20"/>
        </w:rPr>
        <w:t xml:space="preserve">The Management Services Division </w:t>
      </w:r>
      <w:r w:rsidR="00AD08CA">
        <w:rPr>
          <w:rFonts w:ascii="Arial" w:hAnsi="Arial"/>
          <w:sz w:val="20"/>
        </w:rPr>
        <w:t>has oversight over</w:t>
      </w:r>
      <w:r w:rsidRPr="00C96A1E">
        <w:rPr>
          <w:rFonts w:ascii="Arial" w:hAnsi="Arial"/>
          <w:sz w:val="20"/>
        </w:rPr>
        <w:t xml:space="preserve"> </w:t>
      </w:r>
      <w:r w:rsidR="00911A49">
        <w:rPr>
          <w:rFonts w:ascii="Arial" w:hAnsi="Arial"/>
          <w:sz w:val="20"/>
        </w:rPr>
        <w:t>capital construction</w:t>
      </w:r>
      <w:r>
        <w:rPr>
          <w:rFonts w:ascii="Arial" w:hAnsi="Arial"/>
          <w:sz w:val="20"/>
        </w:rPr>
        <w:t>,</w:t>
      </w:r>
      <w:r w:rsidR="006C59F1">
        <w:rPr>
          <w:rFonts w:ascii="Arial" w:hAnsi="Arial"/>
          <w:sz w:val="20"/>
        </w:rPr>
        <w:t xml:space="preserve"> grant administration, contract services and monitoring, central records, </w:t>
      </w:r>
      <w:r>
        <w:rPr>
          <w:rFonts w:ascii="Arial" w:hAnsi="Arial"/>
          <w:sz w:val="20"/>
        </w:rPr>
        <w:t>purchasing</w:t>
      </w:r>
      <w:r w:rsidR="006C59F1">
        <w:rPr>
          <w:rFonts w:ascii="Arial" w:hAnsi="Arial"/>
          <w:sz w:val="20"/>
        </w:rPr>
        <w:t>,</w:t>
      </w:r>
      <w:r w:rsidR="002B7D24">
        <w:rPr>
          <w:rFonts w:ascii="Arial" w:hAnsi="Arial"/>
          <w:sz w:val="20"/>
        </w:rPr>
        <w:t xml:space="preserve"> and</w:t>
      </w:r>
      <w:r w:rsidRPr="00C96A1E">
        <w:rPr>
          <w:rFonts w:ascii="Arial" w:hAnsi="Arial"/>
          <w:sz w:val="20"/>
        </w:rPr>
        <w:t xml:space="preserve"> </w:t>
      </w:r>
      <w:r w:rsidR="002B7D24" w:rsidRPr="00A71B09">
        <w:rPr>
          <w:rFonts w:ascii="Arial" w:hAnsi="Arial"/>
          <w:sz w:val="20"/>
        </w:rPr>
        <w:t xml:space="preserve">health </w:t>
      </w:r>
      <w:r w:rsidR="002B7D24">
        <w:rPr>
          <w:rFonts w:ascii="Arial" w:hAnsi="Arial"/>
          <w:sz w:val="20"/>
        </w:rPr>
        <w:t>care services</w:t>
      </w:r>
      <w:r w:rsidR="002B7D24" w:rsidRPr="00C96A1E">
        <w:rPr>
          <w:rFonts w:ascii="Arial" w:hAnsi="Arial"/>
          <w:sz w:val="20"/>
        </w:rPr>
        <w:t xml:space="preserve"> </w:t>
      </w:r>
      <w:r w:rsidRPr="00C96A1E">
        <w:rPr>
          <w:rFonts w:ascii="Arial" w:hAnsi="Arial"/>
          <w:sz w:val="20"/>
        </w:rPr>
        <w:t>for prison facilities</w:t>
      </w:r>
      <w:r w:rsidR="002B7D24">
        <w:rPr>
          <w:rFonts w:ascii="Arial" w:hAnsi="Arial"/>
          <w:sz w:val="20"/>
        </w:rPr>
        <w:t xml:space="preserve"> and </w:t>
      </w:r>
      <w:r w:rsidRPr="00C96A1E">
        <w:rPr>
          <w:rFonts w:ascii="Arial" w:hAnsi="Arial"/>
          <w:sz w:val="20"/>
        </w:rPr>
        <w:t>county jails.</w:t>
      </w:r>
    </w:p>
    <w:p w14:paraId="2DEA5D6D" w14:textId="77777777" w:rsidR="005824A3" w:rsidRPr="0014498D" w:rsidRDefault="005824A3" w:rsidP="005824A3">
      <w:pPr>
        <w:jc w:val="both"/>
        <w:rPr>
          <w:rFonts w:ascii="Arial" w:hAnsi="Arial"/>
          <w:sz w:val="18"/>
          <w:szCs w:val="18"/>
        </w:rPr>
      </w:pPr>
    </w:p>
    <w:p w14:paraId="130EDF7D" w14:textId="679A6491" w:rsidR="00C932E9" w:rsidRDefault="00C932E9" w:rsidP="005824A3">
      <w:pPr>
        <w:jc w:val="both"/>
        <w:rPr>
          <w:rFonts w:ascii="Arial" w:hAnsi="Arial"/>
          <w:sz w:val="20"/>
        </w:rPr>
      </w:pPr>
      <w:r>
        <w:rPr>
          <w:rFonts w:ascii="Arial" w:hAnsi="Arial"/>
          <w:sz w:val="20"/>
        </w:rPr>
        <w:t>In addition</w:t>
      </w:r>
      <w:r w:rsidR="00886BB9">
        <w:rPr>
          <w:rFonts w:ascii="Arial" w:hAnsi="Arial"/>
          <w:sz w:val="20"/>
        </w:rPr>
        <w:t xml:space="preserve"> to the above core divisions</w:t>
      </w:r>
      <w:r>
        <w:rPr>
          <w:rFonts w:ascii="Arial" w:hAnsi="Arial"/>
          <w:sz w:val="20"/>
        </w:rPr>
        <w:t>, the Director’s Office manages the functions of Human Resource</w:t>
      </w:r>
      <w:r w:rsidRPr="00A71B09">
        <w:rPr>
          <w:rFonts w:ascii="Arial" w:hAnsi="Arial"/>
          <w:sz w:val="20"/>
        </w:rPr>
        <w:t xml:space="preserve">s, </w:t>
      </w:r>
      <w:r>
        <w:rPr>
          <w:rFonts w:ascii="Arial" w:hAnsi="Arial"/>
          <w:sz w:val="20"/>
        </w:rPr>
        <w:t>Victims’ Services, C</w:t>
      </w:r>
      <w:r w:rsidRPr="003B6656">
        <w:rPr>
          <w:rFonts w:ascii="Arial" w:hAnsi="Arial"/>
          <w:sz w:val="20"/>
        </w:rPr>
        <w:t>ommunication</w:t>
      </w:r>
      <w:r w:rsidR="00886BB9">
        <w:rPr>
          <w:rFonts w:ascii="Arial" w:hAnsi="Arial"/>
          <w:sz w:val="20"/>
        </w:rPr>
        <w:t>s</w:t>
      </w:r>
      <w:r w:rsidRPr="003B6656">
        <w:rPr>
          <w:rFonts w:ascii="Arial" w:hAnsi="Arial"/>
          <w:sz w:val="20"/>
        </w:rPr>
        <w:t xml:space="preserve">, </w:t>
      </w:r>
      <w:r>
        <w:rPr>
          <w:rFonts w:ascii="Arial" w:hAnsi="Arial"/>
          <w:sz w:val="20"/>
        </w:rPr>
        <w:t>Evaluation &amp; Compliance,</w:t>
      </w:r>
      <w:r w:rsidR="004D30EC">
        <w:rPr>
          <w:rFonts w:ascii="Arial" w:hAnsi="Arial"/>
          <w:sz w:val="20"/>
        </w:rPr>
        <w:t xml:space="preserve"> Reentry,</w:t>
      </w:r>
      <w:r>
        <w:rPr>
          <w:rFonts w:ascii="Arial" w:hAnsi="Arial"/>
          <w:sz w:val="20"/>
        </w:rPr>
        <w:t xml:space="preserve"> and the Sex Offender Management Board</w:t>
      </w:r>
      <w:r w:rsidR="00886BB9">
        <w:rPr>
          <w:rFonts w:ascii="Arial" w:hAnsi="Arial"/>
          <w:sz w:val="20"/>
        </w:rPr>
        <w:t>. The director and deputy director</w:t>
      </w:r>
      <w:r w:rsidR="00036D0D">
        <w:rPr>
          <w:rFonts w:ascii="Arial" w:hAnsi="Arial"/>
          <w:sz w:val="20"/>
        </w:rPr>
        <w:t>s</w:t>
      </w:r>
      <w:r w:rsidR="00886BB9">
        <w:rPr>
          <w:rFonts w:ascii="Arial" w:hAnsi="Arial"/>
          <w:sz w:val="20"/>
        </w:rPr>
        <w:t xml:space="preserve"> also provide</w:t>
      </w:r>
      <w:r>
        <w:rPr>
          <w:rFonts w:ascii="Arial" w:hAnsi="Arial"/>
          <w:sz w:val="20"/>
        </w:rPr>
        <w:t xml:space="preserve"> oversight </w:t>
      </w:r>
      <w:r w:rsidR="00886BB9">
        <w:rPr>
          <w:rFonts w:ascii="Arial" w:hAnsi="Arial"/>
          <w:sz w:val="20"/>
        </w:rPr>
        <w:t>to</w:t>
      </w:r>
      <w:r>
        <w:rPr>
          <w:rFonts w:ascii="Arial" w:hAnsi="Arial"/>
          <w:sz w:val="20"/>
        </w:rPr>
        <w:t xml:space="preserve"> Special Investigations, and </w:t>
      </w:r>
      <w:r w:rsidR="00F27BE5">
        <w:rPr>
          <w:rFonts w:ascii="Arial" w:hAnsi="Arial"/>
          <w:sz w:val="20"/>
        </w:rPr>
        <w:t xml:space="preserve">Idaho </w:t>
      </w:r>
      <w:r>
        <w:rPr>
          <w:rFonts w:ascii="Arial" w:hAnsi="Arial"/>
          <w:sz w:val="20"/>
        </w:rPr>
        <w:t xml:space="preserve">Correctional Industries (a self-funded </w:t>
      </w:r>
      <w:r w:rsidR="006626D8">
        <w:rPr>
          <w:rFonts w:ascii="Arial" w:hAnsi="Arial"/>
          <w:sz w:val="20"/>
        </w:rPr>
        <w:t>incarcerated resident</w:t>
      </w:r>
      <w:r>
        <w:rPr>
          <w:rFonts w:ascii="Arial" w:hAnsi="Arial"/>
          <w:sz w:val="20"/>
        </w:rPr>
        <w:t xml:space="preserve"> training program established as a separate agency).</w:t>
      </w:r>
    </w:p>
    <w:p w14:paraId="3CA07D6D" w14:textId="77777777" w:rsidR="00C932E9" w:rsidRDefault="00C932E9" w:rsidP="005824A3">
      <w:pPr>
        <w:jc w:val="both"/>
        <w:rPr>
          <w:rFonts w:ascii="Arial" w:hAnsi="Arial"/>
          <w:sz w:val="20"/>
        </w:rPr>
      </w:pPr>
    </w:p>
    <w:p w14:paraId="73F88F38" w14:textId="77777777" w:rsidR="005824A3" w:rsidRDefault="005824A3" w:rsidP="005824A3">
      <w:pPr>
        <w:jc w:val="both"/>
        <w:rPr>
          <w:rFonts w:ascii="Arial" w:hAnsi="Arial"/>
          <w:sz w:val="20"/>
        </w:rPr>
      </w:pPr>
      <w:r w:rsidRPr="009F7796">
        <w:rPr>
          <w:rFonts w:ascii="Arial" w:hAnsi="Arial"/>
          <w:sz w:val="20"/>
        </w:rPr>
        <w:t>Revenue</w:t>
      </w:r>
      <w:r w:rsidR="00886BB9">
        <w:rPr>
          <w:rFonts w:ascii="Arial" w:hAnsi="Arial"/>
          <w:sz w:val="20"/>
        </w:rPr>
        <w:t xml:space="preserve"> for the Idaho Department of Correction</w:t>
      </w:r>
      <w:r w:rsidRPr="009F7796">
        <w:rPr>
          <w:rFonts w:ascii="Arial" w:hAnsi="Arial"/>
          <w:sz w:val="20"/>
        </w:rPr>
        <w:t xml:space="preserve"> </w:t>
      </w:r>
      <w:r w:rsidRPr="00A71B09">
        <w:rPr>
          <w:rFonts w:ascii="Arial" w:hAnsi="Arial"/>
          <w:sz w:val="20"/>
        </w:rPr>
        <w:t>comes</w:t>
      </w:r>
      <w:r>
        <w:rPr>
          <w:rFonts w:ascii="Arial" w:hAnsi="Arial"/>
          <w:sz w:val="20"/>
        </w:rPr>
        <w:t xml:space="preserve"> from the general fund, cost of supervision fees, work crew revenue, miscellaneous revenue (Inmate Management Fund), penitentiary (endowment), Millennium and liquor funds, and federal grants.</w:t>
      </w:r>
    </w:p>
    <w:p w14:paraId="219B4245" w14:textId="77777777" w:rsidR="005824A3" w:rsidRPr="007E39FA" w:rsidRDefault="005824A3">
      <w:pPr>
        <w:jc w:val="both"/>
        <w:rPr>
          <w:rFonts w:ascii="Arial" w:hAnsi="Arial"/>
          <w:szCs w:val="24"/>
        </w:rPr>
      </w:pPr>
    </w:p>
    <w:p w14:paraId="5C4A0C55" w14:textId="77777777" w:rsidR="00F5768E" w:rsidRDefault="00F5768E">
      <w:pPr>
        <w:jc w:val="both"/>
        <w:rPr>
          <w:rFonts w:ascii="Arial" w:hAnsi="Arial"/>
          <w:b/>
        </w:rPr>
      </w:pPr>
      <w:r>
        <w:rPr>
          <w:rFonts w:ascii="Arial" w:hAnsi="Arial"/>
          <w:b/>
        </w:rPr>
        <w:t>Core Functions/Idaho Code</w:t>
      </w:r>
    </w:p>
    <w:p w14:paraId="1FC80CB8" w14:textId="78B22D31" w:rsidR="00F5768E" w:rsidRDefault="00F5768E" w:rsidP="2567E06E">
      <w:pPr>
        <w:jc w:val="both"/>
        <w:rPr>
          <w:rFonts w:ascii="Arial" w:hAnsi="Arial"/>
          <w:sz w:val="20"/>
        </w:rPr>
      </w:pPr>
      <w:r w:rsidRPr="2567E06E">
        <w:rPr>
          <w:rFonts w:ascii="Arial" w:hAnsi="Arial"/>
          <w:sz w:val="20"/>
          <w:u w:val="single"/>
        </w:rPr>
        <w:t>Incarceration Services:</w:t>
      </w:r>
      <w:r w:rsidRPr="2567E06E">
        <w:rPr>
          <w:rFonts w:ascii="Arial" w:hAnsi="Arial"/>
          <w:sz w:val="20"/>
        </w:rPr>
        <w:t xml:space="preserve">  Provide for the care and custody of felony </w:t>
      </w:r>
      <w:r w:rsidR="3C12E163" w:rsidRPr="2567E06E">
        <w:rPr>
          <w:rFonts w:ascii="Arial" w:hAnsi="Arial"/>
          <w:sz w:val="20"/>
        </w:rPr>
        <w:t xml:space="preserve">residents </w:t>
      </w:r>
      <w:r w:rsidRPr="2567E06E">
        <w:rPr>
          <w:rFonts w:ascii="Arial" w:hAnsi="Arial"/>
          <w:sz w:val="20"/>
        </w:rPr>
        <w:t>committed to the custody of the state Board of Correction. (Title 20, Chapter 1)</w:t>
      </w:r>
    </w:p>
    <w:p w14:paraId="589CC1A3" w14:textId="77777777" w:rsidR="0085391F" w:rsidRDefault="0085391F">
      <w:pPr>
        <w:jc w:val="both"/>
        <w:rPr>
          <w:rFonts w:ascii="Arial" w:hAnsi="Arial"/>
          <w:sz w:val="20"/>
        </w:rPr>
      </w:pPr>
    </w:p>
    <w:p w14:paraId="10BD7F68" w14:textId="77777777" w:rsidR="00F5768E" w:rsidRDefault="00F5768E">
      <w:pPr>
        <w:jc w:val="both"/>
        <w:rPr>
          <w:rFonts w:ascii="Arial" w:hAnsi="Arial"/>
          <w:sz w:val="20"/>
        </w:rPr>
      </w:pPr>
      <w:r>
        <w:rPr>
          <w:rFonts w:ascii="Arial" w:hAnsi="Arial"/>
          <w:sz w:val="20"/>
          <w:u w:val="single"/>
        </w:rPr>
        <w:t>Probation and Parole Supervision:</w:t>
      </w:r>
      <w:r>
        <w:rPr>
          <w:rFonts w:ascii="Arial" w:hAnsi="Arial"/>
          <w:sz w:val="20"/>
        </w:rPr>
        <w:t xml:space="preserve"> Supervise all persons convicted of a felony and placed on probation or released from prison and placed on parole. (Title 20, Chapter 2)</w:t>
      </w:r>
    </w:p>
    <w:p w14:paraId="50CD6F8E" w14:textId="77777777" w:rsidR="0085391F" w:rsidRDefault="0085391F">
      <w:pPr>
        <w:jc w:val="both"/>
        <w:rPr>
          <w:rFonts w:ascii="Arial" w:hAnsi="Arial"/>
          <w:sz w:val="20"/>
        </w:rPr>
      </w:pPr>
    </w:p>
    <w:p w14:paraId="743D6BF5" w14:textId="56256E6B" w:rsidR="00F5768E" w:rsidRDefault="00F5768E" w:rsidP="2567E06E">
      <w:pPr>
        <w:jc w:val="both"/>
        <w:rPr>
          <w:rFonts w:ascii="Arial" w:hAnsi="Arial"/>
          <w:sz w:val="20"/>
        </w:rPr>
      </w:pPr>
      <w:r w:rsidRPr="2567E06E">
        <w:rPr>
          <w:rFonts w:ascii="Arial" w:hAnsi="Arial"/>
          <w:sz w:val="20"/>
          <w:u w:val="single"/>
        </w:rPr>
        <w:t>Programs and Education:</w:t>
      </w:r>
      <w:r w:rsidRPr="2567E06E">
        <w:rPr>
          <w:rFonts w:ascii="Arial" w:hAnsi="Arial"/>
          <w:sz w:val="20"/>
        </w:rPr>
        <w:t xml:space="preserve"> Provide rehabilitation to reduce risk to re-offend. (Title 20, Chapter 1) </w:t>
      </w:r>
    </w:p>
    <w:p w14:paraId="736379E1" w14:textId="77777777" w:rsidR="0085391F" w:rsidRDefault="0085391F">
      <w:pPr>
        <w:jc w:val="both"/>
        <w:rPr>
          <w:rFonts w:ascii="Arial" w:hAnsi="Arial"/>
          <w:sz w:val="20"/>
        </w:rPr>
      </w:pPr>
    </w:p>
    <w:p w14:paraId="3DC26FC0" w14:textId="3A8957F9" w:rsidR="00B73C95" w:rsidRDefault="00F5768E" w:rsidP="3869E50A">
      <w:pPr>
        <w:jc w:val="both"/>
        <w:rPr>
          <w:rFonts w:ascii="Arial" w:hAnsi="Arial"/>
          <w:sz w:val="20"/>
        </w:rPr>
      </w:pPr>
      <w:r w:rsidRPr="2567E06E">
        <w:rPr>
          <w:rFonts w:ascii="Arial" w:hAnsi="Arial"/>
          <w:sz w:val="20"/>
          <w:u w:val="single"/>
        </w:rPr>
        <w:t>Pre-sentence Reports:</w:t>
      </w:r>
      <w:r w:rsidRPr="2567E06E">
        <w:rPr>
          <w:rFonts w:ascii="Arial" w:hAnsi="Arial"/>
          <w:sz w:val="20"/>
        </w:rPr>
        <w:t xml:space="preserve"> Investigate backgrounds and create reports to help the courts with sentencing decisions. (Title 20, Chapter 2)</w:t>
      </w:r>
    </w:p>
    <w:p w14:paraId="6745FB94" w14:textId="77777777" w:rsidR="00F5768E" w:rsidRDefault="00E55C12">
      <w:pPr>
        <w:jc w:val="both"/>
        <w:rPr>
          <w:rFonts w:ascii="Arial" w:hAnsi="Arial"/>
          <w:b/>
        </w:rPr>
      </w:pPr>
      <w:r>
        <w:rPr>
          <w:rFonts w:ascii="Arial" w:hAnsi="Arial"/>
          <w:b/>
        </w:rPr>
        <w:lastRenderedPageBreak/>
        <w:t>Revenue and Expenditures</w:t>
      </w: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8"/>
        <w:gridCol w:w="1803"/>
        <w:gridCol w:w="1803"/>
        <w:gridCol w:w="1803"/>
        <w:gridCol w:w="1803"/>
      </w:tblGrid>
      <w:tr w:rsidR="00B4270C" w14:paraId="63607808" w14:textId="77777777" w:rsidTr="004903BC">
        <w:tc>
          <w:tcPr>
            <w:tcW w:w="2868" w:type="dxa"/>
            <w:shd w:val="clear" w:color="auto" w:fill="000080"/>
          </w:tcPr>
          <w:p w14:paraId="02D14D03" w14:textId="77777777" w:rsidR="00B4270C" w:rsidRDefault="00B4270C" w:rsidP="00B4270C">
            <w:pPr>
              <w:rPr>
                <w:rFonts w:ascii="Arial" w:hAnsi="Arial"/>
                <w:b/>
                <w:color w:val="FFFFFF"/>
                <w:sz w:val="20"/>
              </w:rPr>
            </w:pPr>
            <w:r>
              <w:rPr>
                <w:rFonts w:ascii="Arial" w:hAnsi="Arial"/>
                <w:b/>
                <w:color w:val="FFFFFF"/>
                <w:sz w:val="20"/>
              </w:rPr>
              <w:t>Revenue</w:t>
            </w:r>
          </w:p>
        </w:tc>
        <w:tc>
          <w:tcPr>
            <w:tcW w:w="1803" w:type="dxa"/>
            <w:shd w:val="clear" w:color="auto" w:fill="000080"/>
          </w:tcPr>
          <w:p w14:paraId="32842350" w14:textId="6D2C51FF" w:rsidR="00B4270C" w:rsidRDefault="00DA50DB" w:rsidP="003D3986">
            <w:pPr>
              <w:jc w:val="right"/>
              <w:rPr>
                <w:rFonts w:ascii="Arial" w:hAnsi="Arial"/>
                <w:b/>
                <w:color w:val="FFFFFF"/>
                <w:sz w:val="20"/>
              </w:rPr>
            </w:pPr>
            <w:r>
              <w:rPr>
                <w:rFonts w:ascii="Arial" w:hAnsi="Arial"/>
                <w:b/>
                <w:color w:val="FFFFFF"/>
                <w:sz w:val="20"/>
              </w:rPr>
              <w:t>FY 2019</w:t>
            </w:r>
          </w:p>
        </w:tc>
        <w:tc>
          <w:tcPr>
            <w:tcW w:w="1803" w:type="dxa"/>
            <w:shd w:val="clear" w:color="auto" w:fill="000080"/>
          </w:tcPr>
          <w:p w14:paraId="124B88E3" w14:textId="227D8391" w:rsidR="00B4270C" w:rsidRDefault="00DA50DB" w:rsidP="003D3986">
            <w:pPr>
              <w:jc w:val="right"/>
              <w:rPr>
                <w:rFonts w:ascii="Arial" w:hAnsi="Arial"/>
                <w:b/>
                <w:color w:val="FFFFFF"/>
                <w:sz w:val="20"/>
              </w:rPr>
            </w:pPr>
            <w:r>
              <w:rPr>
                <w:rFonts w:ascii="Arial" w:hAnsi="Arial"/>
                <w:b/>
                <w:color w:val="FFFFFF"/>
                <w:sz w:val="20"/>
              </w:rPr>
              <w:t>FY 2020</w:t>
            </w:r>
          </w:p>
        </w:tc>
        <w:tc>
          <w:tcPr>
            <w:tcW w:w="1803" w:type="dxa"/>
            <w:shd w:val="clear" w:color="auto" w:fill="000080"/>
          </w:tcPr>
          <w:p w14:paraId="76CF2841" w14:textId="2565114E" w:rsidR="00B4270C" w:rsidRDefault="00DA50DB" w:rsidP="003D3986">
            <w:pPr>
              <w:jc w:val="right"/>
              <w:rPr>
                <w:rFonts w:ascii="Arial" w:hAnsi="Arial"/>
                <w:b/>
                <w:color w:val="FFFFFF"/>
                <w:sz w:val="20"/>
              </w:rPr>
            </w:pPr>
            <w:r>
              <w:rPr>
                <w:rFonts w:ascii="Arial" w:hAnsi="Arial"/>
                <w:b/>
                <w:color w:val="FFFFFF"/>
                <w:sz w:val="20"/>
              </w:rPr>
              <w:t>FY 2021</w:t>
            </w:r>
          </w:p>
        </w:tc>
        <w:tc>
          <w:tcPr>
            <w:tcW w:w="1803" w:type="dxa"/>
            <w:shd w:val="clear" w:color="auto" w:fill="000080"/>
          </w:tcPr>
          <w:p w14:paraId="044843DF" w14:textId="7AAFBFD0" w:rsidR="00B4270C" w:rsidRDefault="00DA50DB" w:rsidP="003D3986">
            <w:pPr>
              <w:jc w:val="right"/>
              <w:rPr>
                <w:rFonts w:ascii="Arial" w:hAnsi="Arial"/>
                <w:b/>
                <w:color w:val="FFFFFF"/>
                <w:sz w:val="20"/>
              </w:rPr>
            </w:pPr>
            <w:r>
              <w:rPr>
                <w:rFonts w:ascii="Arial" w:hAnsi="Arial"/>
                <w:b/>
                <w:color w:val="FFFFFF"/>
                <w:sz w:val="20"/>
              </w:rPr>
              <w:t>FY 2022</w:t>
            </w:r>
          </w:p>
        </w:tc>
      </w:tr>
      <w:tr w:rsidR="00DA50DB" w14:paraId="3E6696B4" w14:textId="77777777" w:rsidTr="00C44896">
        <w:tc>
          <w:tcPr>
            <w:tcW w:w="2868" w:type="dxa"/>
            <w:vAlign w:val="bottom"/>
          </w:tcPr>
          <w:p w14:paraId="06E9C9B0" w14:textId="77777777" w:rsidR="00DA50DB" w:rsidRDefault="00DA50DB" w:rsidP="00DA50DB">
            <w:pPr>
              <w:rPr>
                <w:rFonts w:ascii="Arial" w:eastAsia="Arial Unicode MS" w:hAnsi="Arial"/>
                <w:color w:val="000000"/>
                <w:sz w:val="20"/>
              </w:rPr>
            </w:pPr>
            <w:r>
              <w:rPr>
                <w:rFonts w:ascii="Arial" w:hAnsi="Arial"/>
                <w:color w:val="000000"/>
                <w:sz w:val="20"/>
              </w:rPr>
              <w:t>General Fund</w:t>
            </w:r>
          </w:p>
        </w:tc>
        <w:tc>
          <w:tcPr>
            <w:tcW w:w="1803" w:type="dxa"/>
            <w:vAlign w:val="center"/>
          </w:tcPr>
          <w:p w14:paraId="51EB254D" w14:textId="5849E110" w:rsidR="00DA50DB" w:rsidRDefault="00DA50DB" w:rsidP="00DA50DB">
            <w:pPr>
              <w:jc w:val="right"/>
              <w:rPr>
                <w:rFonts w:ascii="Arial" w:hAnsi="Arial"/>
                <w:color w:val="000000"/>
                <w:sz w:val="20"/>
              </w:rPr>
            </w:pPr>
            <w:r>
              <w:rPr>
                <w:rFonts w:ascii="Arial" w:hAnsi="Arial" w:cs="Arial"/>
                <w:color w:val="000000"/>
                <w:sz w:val="20"/>
              </w:rPr>
              <w:t>$239,616,400</w:t>
            </w:r>
          </w:p>
        </w:tc>
        <w:tc>
          <w:tcPr>
            <w:tcW w:w="1803" w:type="dxa"/>
            <w:vAlign w:val="center"/>
          </w:tcPr>
          <w:p w14:paraId="4502D5F0" w14:textId="254C0E7D" w:rsidR="00DA50DB" w:rsidRDefault="00DA50DB" w:rsidP="00DA50DB">
            <w:pPr>
              <w:jc w:val="right"/>
              <w:rPr>
                <w:rFonts w:ascii="Arial" w:hAnsi="Arial"/>
                <w:color w:val="000000"/>
                <w:sz w:val="20"/>
              </w:rPr>
            </w:pPr>
            <w:r>
              <w:rPr>
                <w:rFonts w:ascii="Arial" w:hAnsi="Arial" w:cs="Arial"/>
                <w:color w:val="000000"/>
                <w:sz w:val="20"/>
              </w:rPr>
              <w:t>$267,130,600</w:t>
            </w:r>
          </w:p>
        </w:tc>
        <w:tc>
          <w:tcPr>
            <w:tcW w:w="1803" w:type="dxa"/>
            <w:vAlign w:val="center"/>
          </w:tcPr>
          <w:p w14:paraId="18D61F4C" w14:textId="71D4858F" w:rsidR="00DA50DB" w:rsidRDefault="00DA50DB" w:rsidP="00DA50DB">
            <w:pPr>
              <w:jc w:val="right"/>
              <w:rPr>
                <w:rFonts w:ascii="Arial" w:hAnsi="Arial"/>
                <w:color w:val="000000"/>
                <w:sz w:val="20"/>
              </w:rPr>
            </w:pPr>
            <w:r>
              <w:rPr>
                <w:rFonts w:ascii="Arial" w:hAnsi="Arial"/>
                <w:color w:val="000000"/>
                <w:sz w:val="20"/>
              </w:rPr>
              <w:t>$263,106,700</w:t>
            </w:r>
          </w:p>
        </w:tc>
        <w:tc>
          <w:tcPr>
            <w:tcW w:w="1803" w:type="dxa"/>
            <w:vAlign w:val="center"/>
          </w:tcPr>
          <w:p w14:paraId="697B688B" w14:textId="24563606" w:rsidR="00DA50DB" w:rsidRDefault="00DA50DB" w:rsidP="00DA50DB">
            <w:pPr>
              <w:jc w:val="right"/>
              <w:rPr>
                <w:rFonts w:ascii="Arial" w:hAnsi="Arial"/>
                <w:color w:val="000000"/>
                <w:sz w:val="20"/>
              </w:rPr>
            </w:pPr>
          </w:p>
        </w:tc>
      </w:tr>
      <w:tr w:rsidR="00DA50DB" w14:paraId="58E6A786" w14:textId="77777777" w:rsidTr="00C44896">
        <w:tc>
          <w:tcPr>
            <w:tcW w:w="2868" w:type="dxa"/>
            <w:vAlign w:val="bottom"/>
          </w:tcPr>
          <w:p w14:paraId="00B05B0D" w14:textId="77777777" w:rsidR="00DA50DB" w:rsidRDefault="00DA50DB" w:rsidP="00DA50DB">
            <w:pPr>
              <w:rPr>
                <w:rFonts w:ascii="Arial" w:eastAsia="Arial Unicode MS" w:hAnsi="Arial"/>
                <w:color w:val="000000"/>
                <w:sz w:val="20"/>
              </w:rPr>
            </w:pPr>
            <w:r>
              <w:rPr>
                <w:rFonts w:ascii="Arial" w:hAnsi="Arial"/>
                <w:color w:val="000000"/>
                <w:sz w:val="20"/>
              </w:rPr>
              <w:t>Work Crews</w:t>
            </w:r>
          </w:p>
        </w:tc>
        <w:tc>
          <w:tcPr>
            <w:tcW w:w="1803" w:type="dxa"/>
            <w:vAlign w:val="center"/>
          </w:tcPr>
          <w:p w14:paraId="08A1A52B" w14:textId="0114A8FA" w:rsidR="00DA50DB" w:rsidRDefault="00DA50DB" w:rsidP="00DA50DB">
            <w:pPr>
              <w:jc w:val="right"/>
              <w:rPr>
                <w:rFonts w:ascii="Arial" w:hAnsi="Arial"/>
                <w:color w:val="000000"/>
                <w:sz w:val="20"/>
              </w:rPr>
            </w:pPr>
            <w:r>
              <w:rPr>
                <w:rFonts w:ascii="Arial" w:hAnsi="Arial" w:cs="Arial"/>
                <w:color w:val="000000"/>
                <w:sz w:val="20"/>
              </w:rPr>
              <w:t>$8,378,800</w:t>
            </w:r>
          </w:p>
        </w:tc>
        <w:tc>
          <w:tcPr>
            <w:tcW w:w="1803" w:type="dxa"/>
            <w:vAlign w:val="center"/>
          </w:tcPr>
          <w:p w14:paraId="3C4A12E0" w14:textId="10A33333" w:rsidR="00DA50DB" w:rsidRDefault="00DA50DB" w:rsidP="00DA50DB">
            <w:pPr>
              <w:jc w:val="right"/>
              <w:rPr>
                <w:rFonts w:ascii="Arial" w:hAnsi="Arial"/>
                <w:color w:val="000000"/>
                <w:sz w:val="20"/>
              </w:rPr>
            </w:pPr>
            <w:r>
              <w:rPr>
                <w:rFonts w:ascii="Arial" w:hAnsi="Arial" w:cs="Arial"/>
                <w:color w:val="000000"/>
                <w:sz w:val="20"/>
              </w:rPr>
              <w:t>$8,666,000</w:t>
            </w:r>
          </w:p>
        </w:tc>
        <w:tc>
          <w:tcPr>
            <w:tcW w:w="1803" w:type="dxa"/>
            <w:vAlign w:val="center"/>
          </w:tcPr>
          <w:p w14:paraId="00C2FFD2" w14:textId="5FEFDDBB" w:rsidR="00DA50DB" w:rsidRDefault="00DA50DB" w:rsidP="00DA50DB">
            <w:pPr>
              <w:jc w:val="right"/>
              <w:rPr>
                <w:rFonts w:ascii="Arial" w:hAnsi="Arial"/>
                <w:color w:val="000000"/>
                <w:sz w:val="20"/>
              </w:rPr>
            </w:pPr>
            <w:r>
              <w:rPr>
                <w:rFonts w:ascii="Arial" w:hAnsi="Arial"/>
                <w:color w:val="000000"/>
                <w:sz w:val="20"/>
              </w:rPr>
              <w:t>$8,072,800</w:t>
            </w:r>
          </w:p>
        </w:tc>
        <w:tc>
          <w:tcPr>
            <w:tcW w:w="1803" w:type="dxa"/>
            <w:vAlign w:val="center"/>
          </w:tcPr>
          <w:p w14:paraId="53DCCE64" w14:textId="66BF4B3C" w:rsidR="00DA50DB" w:rsidRDefault="00DA50DB" w:rsidP="00DA50DB">
            <w:pPr>
              <w:jc w:val="right"/>
              <w:rPr>
                <w:rFonts w:ascii="Arial" w:hAnsi="Arial"/>
                <w:color w:val="000000"/>
                <w:sz w:val="20"/>
              </w:rPr>
            </w:pPr>
          </w:p>
        </w:tc>
      </w:tr>
      <w:tr w:rsidR="00DA50DB" w14:paraId="72AB3B8D" w14:textId="77777777" w:rsidTr="00C44896">
        <w:tc>
          <w:tcPr>
            <w:tcW w:w="2868" w:type="dxa"/>
            <w:vAlign w:val="bottom"/>
          </w:tcPr>
          <w:p w14:paraId="23B592C7" w14:textId="77777777" w:rsidR="00DA50DB" w:rsidRDefault="00DA50DB" w:rsidP="00DA50DB">
            <w:pPr>
              <w:rPr>
                <w:rFonts w:ascii="Arial" w:eastAsia="Arial Unicode MS" w:hAnsi="Arial"/>
                <w:color w:val="000000"/>
                <w:sz w:val="20"/>
              </w:rPr>
            </w:pPr>
            <w:r>
              <w:rPr>
                <w:rFonts w:ascii="Arial" w:hAnsi="Arial"/>
                <w:color w:val="000000"/>
                <w:sz w:val="20"/>
              </w:rPr>
              <w:t>Parolee Supervision Fund</w:t>
            </w:r>
          </w:p>
        </w:tc>
        <w:tc>
          <w:tcPr>
            <w:tcW w:w="1803" w:type="dxa"/>
            <w:vAlign w:val="center"/>
          </w:tcPr>
          <w:p w14:paraId="07CCA0A2" w14:textId="101A28BD" w:rsidR="00DA50DB" w:rsidRDefault="00DA50DB" w:rsidP="00DA50DB">
            <w:pPr>
              <w:jc w:val="right"/>
              <w:rPr>
                <w:rFonts w:ascii="Arial" w:hAnsi="Arial"/>
                <w:color w:val="000000"/>
                <w:sz w:val="20"/>
              </w:rPr>
            </w:pPr>
            <w:r>
              <w:rPr>
                <w:rFonts w:ascii="Arial" w:hAnsi="Arial" w:cs="Arial"/>
                <w:color w:val="000000"/>
                <w:sz w:val="20"/>
              </w:rPr>
              <w:t>$7,324,200</w:t>
            </w:r>
          </w:p>
        </w:tc>
        <w:tc>
          <w:tcPr>
            <w:tcW w:w="1803" w:type="dxa"/>
            <w:vAlign w:val="center"/>
          </w:tcPr>
          <w:p w14:paraId="503B0D24" w14:textId="569995B4" w:rsidR="00DA50DB" w:rsidRDefault="00DA50DB" w:rsidP="00DA50DB">
            <w:pPr>
              <w:jc w:val="right"/>
              <w:rPr>
                <w:rFonts w:ascii="Arial" w:hAnsi="Arial"/>
                <w:color w:val="000000"/>
                <w:sz w:val="20"/>
              </w:rPr>
            </w:pPr>
            <w:r>
              <w:rPr>
                <w:rFonts w:ascii="Arial" w:hAnsi="Arial" w:cs="Arial"/>
                <w:color w:val="000000"/>
                <w:sz w:val="20"/>
              </w:rPr>
              <w:t>$7,083,000</w:t>
            </w:r>
          </w:p>
        </w:tc>
        <w:tc>
          <w:tcPr>
            <w:tcW w:w="1803" w:type="dxa"/>
            <w:vAlign w:val="center"/>
          </w:tcPr>
          <w:p w14:paraId="0473F0F4" w14:textId="5D10F953" w:rsidR="00DA50DB" w:rsidRDefault="00DA50DB" w:rsidP="00DA50DB">
            <w:pPr>
              <w:jc w:val="right"/>
              <w:rPr>
                <w:rFonts w:ascii="Arial" w:hAnsi="Arial"/>
                <w:color w:val="000000"/>
                <w:sz w:val="20"/>
              </w:rPr>
            </w:pPr>
            <w:r>
              <w:rPr>
                <w:rFonts w:ascii="Arial" w:hAnsi="Arial"/>
                <w:color w:val="000000"/>
                <w:sz w:val="20"/>
              </w:rPr>
              <w:t>$6,598,300</w:t>
            </w:r>
          </w:p>
        </w:tc>
        <w:tc>
          <w:tcPr>
            <w:tcW w:w="1803" w:type="dxa"/>
            <w:vAlign w:val="center"/>
          </w:tcPr>
          <w:p w14:paraId="6EEF7011" w14:textId="1DF371E0" w:rsidR="00DA50DB" w:rsidRDefault="00DA50DB" w:rsidP="00DA50DB">
            <w:pPr>
              <w:jc w:val="right"/>
              <w:rPr>
                <w:rFonts w:ascii="Arial" w:hAnsi="Arial"/>
                <w:color w:val="000000"/>
                <w:sz w:val="20"/>
              </w:rPr>
            </w:pPr>
          </w:p>
        </w:tc>
      </w:tr>
      <w:tr w:rsidR="00DA50DB" w14:paraId="4349272B" w14:textId="77777777" w:rsidTr="00C44896">
        <w:tc>
          <w:tcPr>
            <w:tcW w:w="2868" w:type="dxa"/>
            <w:vAlign w:val="bottom"/>
          </w:tcPr>
          <w:p w14:paraId="2E188856" w14:textId="77777777" w:rsidR="00DA50DB" w:rsidRDefault="00DA50DB" w:rsidP="00DA50DB">
            <w:pPr>
              <w:rPr>
                <w:rFonts w:ascii="Arial" w:eastAsia="Arial Unicode MS" w:hAnsi="Arial"/>
                <w:color w:val="000000"/>
                <w:sz w:val="20"/>
              </w:rPr>
            </w:pPr>
            <w:r>
              <w:rPr>
                <w:rFonts w:ascii="Arial" w:hAnsi="Arial"/>
                <w:color w:val="000000"/>
                <w:sz w:val="20"/>
              </w:rPr>
              <w:t>Federal Grant</w:t>
            </w:r>
          </w:p>
        </w:tc>
        <w:tc>
          <w:tcPr>
            <w:tcW w:w="1803" w:type="dxa"/>
            <w:vAlign w:val="center"/>
          </w:tcPr>
          <w:p w14:paraId="7E33054F" w14:textId="6F39C44F" w:rsidR="00DA50DB" w:rsidRDefault="00DA50DB" w:rsidP="00DA50DB">
            <w:pPr>
              <w:jc w:val="right"/>
              <w:rPr>
                <w:rFonts w:ascii="Arial" w:hAnsi="Arial"/>
                <w:color w:val="000000"/>
                <w:sz w:val="20"/>
              </w:rPr>
            </w:pPr>
            <w:r>
              <w:rPr>
                <w:rFonts w:ascii="Arial" w:hAnsi="Arial" w:cs="Arial"/>
                <w:color w:val="000000"/>
                <w:sz w:val="20"/>
              </w:rPr>
              <w:t>$1,072,700</w:t>
            </w:r>
          </w:p>
        </w:tc>
        <w:tc>
          <w:tcPr>
            <w:tcW w:w="1803" w:type="dxa"/>
            <w:vAlign w:val="center"/>
          </w:tcPr>
          <w:p w14:paraId="065F9F24" w14:textId="162CFEC4" w:rsidR="00DA50DB" w:rsidRDefault="00DA50DB" w:rsidP="00DA50DB">
            <w:pPr>
              <w:jc w:val="right"/>
              <w:rPr>
                <w:rFonts w:ascii="Arial" w:hAnsi="Arial"/>
                <w:color w:val="000000"/>
                <w:sz w:val="20"/>
              </w:rPr>
            </w:pPr>
            <w:r>
              <w:rPr>
                <w:rFonts w:ascii="Arial" w:hAnsi="Arial" w:cs="Arial"/>
                <w:color w:val="000000"/>
                <w:sz w:val="20"/>
              </w:rPr>
              <w:t>$2,106,600</w:t>
            </w:r>
          </w:p>
        </w:tc>
        <w:tc>
          <w:tcPr>
            <w:tcW w:w="1803" w:type="dxa"/>
            <w:vAlign w:val="center"/>
          </w:tcPr>
          <w:p w14:paraId="1D68C9E0" w14:textId="5736669D" w:rsidR="00DA50DB" w:rsidRDefault="00DA50DB" w:rsidP="00DA50DB">
            <w:pPr>
              <w:jc w:val="right"/>
              <w:rPr>
                <w:rFonts w:ascii="Arial" w:hAnsi="Arial"/>
                <w:color w:val="000000"/>
                <w:sz w:val="20"/>
              </w:rPr>
            </w:pPr>
            <w:r>
              <w:rPr>
                <w:rFonts w:ascii="Arial" w:hAnsi="Arial"/>
                <w:color w:val="000000"/>
                <w:sz w:val="20"/>
              </w:rPr>
              <w:t>$2,243,200</w:t>
            </w:r>
          </w:p>
        </w:tc>
        <w:tc>
          <w:tcPr>
            <w:tcW w:w="1803" w:type="dxa"/>
            <w:vAlign w:val="center"/>
          </w:tcPr>
          <w:p w14:paraId="581546C7" w14:textId="27DE6E02" w:rsidR="00DA50DB" w:rsidRDefault="00DA50DB" w:rsidP="00DA50DB">
            <w:pPr>
              <w:jc w:val="right"/>
              <w:rPr>
                <w:rFonts w:ascii="Arial" w:hAnsi="Arial"/>
                <w:color w:val="000000"/>
                <w:sz w:val="20"/>
              </w:rPr>
            </w:pPr>
          </w:p>
        </w:tc>
      </w:tr>
      <w:tr w:rsidR="00DA50DB" w14:paraId="76F6D070" w14:textId="77777777" w:rsidTr="00C44896">
        <w:tc>
          <w:tcPr>
            <w:tcW w:w="2868" w:type="dxa"/>
            <w:vAlign w:val="bottom"/>
          </w:tcPr>
          <w:p w14:paraId="68708585" w14:textId="77777777" w:rsidR="00DA50DB" w:rsidRDefault="00DA50DB" w:rsidP="00DA50DB">
            <w:pPr>
              <w:rPr>
                <w:rFonts w:ascii="Arial" w:eastAsia="Arial Unicode MS" w:hAnsi="Arial"/>
                <w:color w:val="000000"/>
                <w:sz w:val="20"/>
              </w:rPr>
            </w:pPr>
            <w:r>
              <w:rPr>
                <w:rFonts w:ascii="Arial" w:hAnsi="Arial"/>
                <w:color w:val="000000"/>
                <w:sz w:val="20"/>
              </w:rPr>
              <w:t>Miscellaneous Revenue</w:t>
            </w:r>
          </w:p>
        </w:tc>
        <w:tc>
          <w:tcPr>
            <w:tcW w:w="1803" w:type="dxa"/>
            <w:vAlign w:val="center"/>
          </w:tcPr>
          <w:p w14:paraId="3FBF248B" w14:textId="5D0B84D4" w:rsidR="00DA50DB" w:rsidRDefault="00DA50DB" w:rsidP="00DA50DB">
            <w:pPr>
              <w:jc w:val="right"/>
              <w:rPr>
                <w:rFonts w:ascii="Arial" w:hAnsi="Arial"/>
                <w:color w:val="000000"/>
                <w:sz w:val="20"/>
              </w:rPr>
            </w:pPr>
            <w:r>
              <w:rPr>
                <w:rFonts w:ascii="Arial" w:hAnsi="Arial" w:cs="Arial"/>
                <w:color w:val="000000"/>
                <w:sz w:val="20"/>
              </w:rPr>
              <w:t>$4,665,700</w:t>
            </w:r>
          </w:p>
        </w:tc>
        <w:tc>
          <w:tcPr>
            <w:tcW w:w="1803" w:type="dxa"/>
            <w:vAlign w:val="center"/>
          </w:tcPr>
          <w:p w14:paraId="22E9D18C" w14:textId="1DF39328" w:rsidR="00DA50DB" w:rsidRDefault="00DA50DB" w:rsidP="00DA50DB">
            <w:pPr>
              <w:jc w:val="right"/>
              <w:rPr>
                <w:rFonts w:ascii="Arial" w:hAnsi="Arial"/>
                <w:color w:val="000000"/>
                <w:sz w:val="20"/>
              </w:rPr>
            </w:pPr>
            <w:r>
              <w:rPr>
                <w:rFonts w:ascii="Arial" w:hAnsi="Arial" w:cs="Arial"/>
                <w:color w:val="000000"/>
                <w:sz w:val="20"/>
              </w:rPr>
              <w:t>$4,285,000</w:t>
            </w:r>
          </w:p>
        </w:tc>
        <w:tc>
          <w:tcPr>
            <w:tcW w:w="1803" w:type="dxa"/>
            <w:vAlign w:val="center"/>
          </w:tcPr>
          <w:p w14:paraId="7F18B4A8" w14:textId="24612CB7" w:rsidR="00DA50DB" w:rsidRDefault="00DA50DB" w:rsidP="00DA50DB">
            <w:pPr>
              <w:jc w:val="right"/>
              <w:rPr>
                <w:rFonts w:ascii="Arial" w:hAnsi="Arial"/>
                <w:color w:val="000000"/>
                <w:sz w:val="20"/>
              </w:rPr>
            </w:pPr>
            <w:r>
              <w:rPr>
                <w:rFonts w:ascii="Arial" w:hAnsi="Arial"/>
                <w:color w:val="000000"/>
                <w:sz w:val="20"/>
              </w:rPr>
              <w:t>$4,409,100</w:t>
            </w:r>
          </w:p>
        </w:tc>
        <w:tc>
          <w:tcPr>
            <w:tcW w:w="1803" w:type="dxa"/>
            <w:vAlign w:val="center"/>
          </w:tcPr>
          <w:p w14:paraId="71D79833" w14:textId="0C1F216E" w:rsidR="00DA50DB" w:rsidRDefault="00DA50DB" w:rsidP="00DA50DB">
            <w:pPr>
              <w:jc w:val="right"/>
              <w:rPr>
                <w:rFonts w:ascii="Arial" w:hAnsi="Arial"/>
                <w:color w:val="000000"/>
                <w:sz w:val="20"/>
              </w:rPr>
            </w:pPr>
          </w:p>
        </w:tc>
      </w:tr>
      <w:tr w:rsidR="00DA50DB" w14:paraId="0775D7A9" w14:textId="77777777" w:rsidTr="00C44896">
        <w:tc>
          <w:tcPr>
            <w:tcW w:w="2868" w:type="dxa"/>
            <w:vAlign w:val="bottom"/>
          </w:tcPr>
          <w:p w14:paraId="75A758E3" w14:textId="5D0C54B7" w:rsidR="00DA50DB" w:rsidRDefault="00DA50DB" w:rsidP="00DA50DB">
            <w:pPr>
              <w:rPr>
                <w:rFonts w:ascii="Arial" w:hAnsi="Arial"/>
                <w:color w:val="000000"/>
                <w:sz w:val="20"/>
              </w:rPr>
            </w:pPr>
            <w:r>
              <w:rPr>
                <w:rFonts w:ascii="Arial" w:hAnsi="Arial"/>
                <w:color w:val="000000"/>
                <w:sz w:val="20"/>
              </w:rPr>
              <w:t>ARRA/CARES</w:t>
            </w:r>
          </w:p>
        </w:tc>
        <w:tc>
          <w:tcPr>
            <w:tcW w:w="1803" w:type="dxa"/>
            <w:vAlign w:val="center"/>
          </w:tcPr>
          <w:p w14:paraId="3009F494" w14:textId="77777777" w:rsidR="00DA50DB" w:rsidRDefault="00DA50DB" w:rsidP="00DA50DB">
            <w:pPr>
              <w:jc w:val="right"/>
              <w:rPr>
                <w:rFonts w:ascii="Arial" w:hAnsi="Arial"/>
                <w:color w:val="000000"/>
                <w:sz w:val="20"/>
              </w:rPr>
            </w:pPr>
          </w:p>
        </w:tc>
        <w:tc>
          <w:tcPr>
            <w:tcW w:w="1803" w:type="dxa"/>
            <w:vAlign w:val="center"/>
          </w:tcPr>
          <w:p w14:paraId="08F88BD7" w14:textId="3EFD3163" w:rsidR="00DA50DB" w:rsidRDefault="00DA50DB" w:rsidP="00DA50DB">
            <w:pPr>
              <w:jc w:val="right"/>
              <w:rPr>
                <w:rFonts w:ascii="Arial" w:hAnsi="Arial"/>
                <w:color w:val="000000"/>
                <w:sz w:val="20"/>
              </w:rPr>
            </w:pPr>
            <w:r>
              <w:rPr>
                <w:rFonts w:ascii="Arial" w:hAnsi="Arial" w:cs="Arial"/>
                <w:color w:val="000000"/>
                <w:sz w:val="20"/>
              </w:rPr>
              <w:t> </w:t>
            </w:r>
          </w:p>
        </w:tc>
        <w:tc>
          <w:tcPr>
            <w:tcW w:w="1803" w:type="dxa"/>
            <w:vAlign w:val="center"/>
          </w:tcPr>
          <w:p w14:paraId="421961D1" w14:textId="125C72B1" w:rsidR="00DA50DB" w:rsidRDefault="00DA50DB" w:rsidP="00DA50DB">
            <w:pPr>
              <w:jc w:val="right"/>
              <w:rPr>
                <w:rFonts w:ascii="Arial" w:hAnsi="Arial"/>
                <w:color w:val="000000"/>
                <w:sz w:val="20"/>
              </w:rPr>
            </w:pPr>
            <w:r>
              <w:rPr>
                <w:rFonts w:ascii="Arial" w:hAnsi="Arial"/>
                <w:color w:val="000000"/>
                <w:sz w:val="20"/>
              </w:rPr>
              <w:t>$10,194,000</w:t>
            </w:r>
          </w:p>
        </w:tc>
        <w:tc>
          <w:tcPr>
            <w:tcW w:w="1803" w:type="dxa"/>
            <w:vAlign w:val="center"/>
          </w:tcPr>
          <w:p w14:paraId="62CA56EE" w14:textId="13CF0E3F" w:rsidR="00DA50DB" w:rsidRDefault="00DA50DB" w:rsidP="00DA50DB">
            <w:pPr>
              <w:jc w:val="right"/>
              <w:rPr>
                <w:rFonts w:ascii="Arial" w:hAnsi="Arial"/>
                <w:color w:val="000000"/>
                <w:sz w:val="20"/>
              </w:rPr>
            </w:pPr>
          </w:p>
        </w:tc>
      </w:tr>
      <w:tr w:rsidR="00DA50DB" w14:paraId="684C7DC9" w14:textId="77777777" w:rsidTr="00C44896">
        <w:tc>
          <w:tcPr>
            <w:tcW w:w="2868" w:type="dxa"/>
            <w:vAlign w:val="bottom"/>
          </w:tcPr>
          <w:p w14:paraId="4EDF10C9" w14:textId="77777777" w:rsidR="00DA50DB" w:rsidRDefault="00DA50DB" w:rsidP="00DA50DB">
            <w:pPr>
              <w:rPr>
                <w:rFonts w:ascii="Arial" w:eastAsia="Arial Unicode MS" w:hAnsi="Arial"/>
                <w:color w:val="000000"/>
                <w:sz w:val="20"/>
              </w:rPr>
            </w:pPr>
            <w:r>
              <w:rPr>
                <w:rFonts w:ascii="Arial" w:eastAsia="Arial Unicode MS" w:hAnsi="Arial"/>
                <w:color w:val="000000"/>
                <w:sz w:val="20"/>
              </w:rPr>
              <w:t>Liquor Fund</w:t>
            </w:r>
          </w:p>
        </w:tc>
        <w:tc>
          <w:tcPr>
            <w:tcW w:w="1803" w:type="dxa"/>
            <w:vAlign w:val="center"/>
          </w:tcPr>
          <w:p w14:paraId="5E93D72B" w14:textId="7FA8ADF7" w:rsidR="00DA50DB" w:rsidRDefault="00DA50DB" w:rsidP="00DA50DB">
            <w:pPr>
              <w:jc w:val="right"/>
              <w:rPr>
                <w:rFonts w:ascii="Arial" w:hAnsi="Arial"/>
                <w:color w:val="000000"/>
                <w:sz w:val="20"/>
              </w:rPr>
            </w:pPr>
            <w:r>
              <w:rPr>
                <w:rFonts w:ascii="Arial" w:hAnsi="Arial" w:cs="Arial"/>
                <w:color w:val="000000"/>
                <w:sz w:val="20"/>
              </w:rPr>
              <w:t>$440,900</w:t>
            </w:r>
          </w:p>
        </w:tc>
        <w:tc>
          <w:tcPr>
            <w:tcW w:w="1803" w:type="dxa"/>
            <w:vAlign w:val="center"/>
          </w:tcPr>
          <w:p w14:paraId="68B278E4" w14:textId="0526C961" w:rsidR="00DA50DB" w:rsidRDefault="00DA50DB" w:rsidP="00DA50DB">
            <w:pPr>
              <w:jc w:val="right"/>
              <w:rPr>
                <w:rFonts w:ascii="Arial" w:hAnsi="Arial"/>
                <w:color w:val="000000"/>
                <w:sz w:val="20"/>
              </w:rPr>
            </w:pPr>
            <w:r>
              <w:rPr>
                <w:rFonts w:ascii="Arial" w:hAnsi="Arial" w:cs="Arial"/>
                <w:color w:val="000000"/>
                <w:sz w:val="20"/>
              </w:rPr>
              <w:t>$440,400</w:t>
            </w:r>
          </w:p>
        </w:tc>
        <w:tc>
          <w:tcPr>
            <w:tcW w:w="1803" w:type="dxa"/>
            <w:vAlign w:val="center"/>
          </w:tcPr>
          <w:p w14:paraId="21D4AEBA" w14:textId="3C085067" w:rsidR="00DA50DB" w:rsidRDefault="00DA50DB" w:rsidP="00DA50DB">
            <w:pPr>
              <w:jc w:val="right"/>
              <w:rPr>
                <w:rFonts w:ascii="Arial" w:hAnsi="Arial"/>
                <w:color w:val="000000"/>
                <w:sz w:val="20"/>
              </w:rPr>
            </w:pPr>
            <w:r>
              <w:rPr>
                <w:rFonts w:ascii="Arial" w:hAnsi="Arial"/>
                <w:color w:val="000000"/>
                <w:sz w:val="20"/>
              </w:rPr>
              <w:t>$430,800</w:t>
            </w:r>
          </w:p>
        </w:tc>
        <w:tc>
          <w:tcPr>
            <w:tcW w:w="1803" w:type="dxa"/>
            <w:vAlign w:val="center"/>
          </w:tcPr>
          <w:p w14:paraId="773FDE9F" w14:textId="1726C1D1" w:rsidR="00DA50DB" w:rsidRDefault="00DA50DB" w:rsidP="00DA50DB">
            <w:pPr>
              <w:jc w:val="right"/>
              <w:rPr>
                <w:rFonts w:ascii="Arial" w:hAnsi="Arial"/>
                <w:color w:val="000000"/>
                <w:sz w:val="20"/>
              </w:rPr>
            </w:pPr>
          </w:p>
        </w:tc>
      </w:tr>
      <w:tr w:rsidR="00DA50DB" w:rsidRPr="00221061" w14:paraId="33EBD8F3" w14:textId="77777777" w:rsidTr="00C44896">
        <w:tc>
          <w:tcPr>
            <w:tcW w:w="2868" w:type="dxa"/>
            <w:vAlign w:val="bottom"/>
          </w:tcPr>
          <w:p w14:paraId="598263F5" w14:textId="77777777" w:rsidR="00DA50DB" w:rsidRDefault="00DA50DB" w:rsidP="00DA50DB">
            <w:pPr>
              <w:rPr>
                <w:rFonts w:ascii="Arial" w:hAnsi="Arial"/>
                <w:color w:val="000000"/>
                <w:sz w:val="20"/>
              </w:rPr>
            </w:pPr>
            <w:r>
              <w:rPr>
                <w:rFonts w:ascii="Arial" w:hAnsi="Arial"/>
                <w:color w:val="000000"/>
                <w:sz w:val="20"/>
              </w:rPr>
              <w:t>Millennium Fund</w:t>
            </w:r>
          </w:p>
        </w:tc>
        <w:tc>
          <w:tcPr>
            <w:tcW w:w="1803" w:type="dxa"/>
            <w:vAlign w:val="center"/>
          </w:tcPr>
          <w:p w14:paraId="7A4182F8" w14:textId="260141CE" w:rsidR="00DA50DB" w:rsidRPr="009F7796" w:rsidRDefault="00DA50DB" w:rsidP="00DA50DB">
            <w:pPr>
              <w:jc w:val="right"/>
              <w:rPr>
                <w:rFonts w:ascii="Arial" w:hAnsi="Arial"/>
                <w:color w:val="000000"/>
                <w:sz w:val="20"/>
              </w:rPr>
            </w:pPr>
            <w:r>
              <w:rPr>
                <w:rFonts w:ascii="Arial" w:hAnsi="Arial" w:cs="Arial"/>
                <w:color w:val="000000"/>
                <w:sz w:val="20"/>
              </w:rPr>
              <w:t>$2,078,100</w:t>
            </w:r>
          </w:p>
        </w:tc>
        <w:tc>
          <w:tcPr>
            <w:tcW w:w="1803" w:type="dxa"/>
            <w:vAlign w:val="center"/>
          </w:tcPr>
          <w:p w14:paraId="3E4A638C" w14:textId="19465321" w:rsidR="00DA50DB" w:rsidRPr="00C96A1E" w:rsidRDefault="00DA50DB" w:rsidP="00DA50DB">
            <w:pPr>
              <w:jc w:val="right"/>
              <w:rPr>
                <w:rFonts w:ascii="Arial" w:hAnsi="Arial"/>
                <w:color w:val="000000"/>
                <w:sz w:val="20"/>
              </w:rPr>
            </w:pPr>
            <w:r>
              <w:rPr>
                <w:rFonts w:ascii="Arial" w:hAnsi="Arial" w:cs="Arial"/>
                <w:color w:val="000000"/>
                <w:sz w:val="20"/>
              </w:rPr>
              <w:t>$1,039,000</w:t>
            </w:r>
          </w:p>
        </w:tc>
        <w:tc>
          <w:tcPr>
            <w:tcW w:w="1803" w:type="dxa"/>
            <w:vAlign w:val="center"/>
          </w:tcPr>
          <w:p w14:paraId="46D9CAA6" w14:textId="2163FDAB" w:rsidR="00DA50DB" w:rsidRPr="00F4349F" w:rsidRDefault="00DA50DB" w:rsidP="00DA50DB">
            <w:pPr>
              <w:jc w:val="right"/>
              <w:rPr>
                <w:rFonts w:ascii="Arial" w:hAnsi="Arial"/>
                <w:color w:val="000000"/>
                <w:sz w:val="20"/>
              </w:rPr>
            </w:pPr>
          </w:p>
        </w:tc>
        <w:tc>
          <w:tcPr>
            <w:tcW w:w="1803" w:type="dxa"/>
            <w:vAlign w:val="center"/>
          </w:tcPr>
          <w:p w14:paraId="2C402583" w14:textId="7DD4D157" w:rsidR="00DA50DB" w:rsidRPr="00F4349F" w:rsidRDefault="00DA50DB" w:rsidP="00DA50DB">
            <w:pPr>
              <w:jc w:val="right"/>
              <w:rPr>
                <w:rFonts w:ascii="Arial" w:hAnsi="Arial"/>
                <w:color w:val="000000"/>
                <w:sz w:val="20"/>
              </w:rPr>
            </w:pPr>
          </w:p>
        </w:tc>
      </w:tr>
      <w:tr w:rsidR="00DA50DB" w14:paraId="6D55A707" w14:textId="77777777" w:rsidTr="00C44896">
        <w:tc>
          <w:tcPr>
            <w:tcW w:w="2868" w:type="dxa"/>
            <w:vAlign w:val="bottom"/>
          </w:tcPr>
          <w:p w14:paraId="79EEAB41" w14:textId="77777777" w:rsidR="00DA50DB" w:rsidRDefault="00DA50DB" w:rsidP="00DA50DB">
            <w:pPr>
              <w:rPr>
                <w:rFonts w:ascii="Arial" w:eastAsia="Arial Unicode MS" w:hAnsi="Arial"/>
                <w:color w:val="000000"/>
                <w:sz w:val="20"/>
              </w:rPr>
            </w:pPr>
            <w:r>
              <w:rPr>
                <w:rFonts w:ascii="Arial" w:hAnsi="Arial"/>
                <w:color w:val="000000"/>
                <w:sz w:val="20"/>
              </w:rPr>
              <w:t>Penitentiary</w:t>
            </w:r>
          </w:p>
        </w:tc>
        <w:tc>
          <w:tcPr>
            <w:tcW w:w="1803" w:type="dxa"/>
            <w:vAlign w:val="center"/>
          </w:tcPr>
          <w:p w14:paraId="542CD9AB" w14:textId="39EFE3EB" w:rsidR="00DA50DB" w:rsidRDefault="00DA50DB" w:rsidP="00DA50DB">
            <w:pPr>
              <w:jc w:val="right"/>
              <w:rPr>
                <w:rFonts w:ascii="Arial" w:hAnsi="Arial"/>
                <w:color w:val="000000"/>
                <w:sz w:val="20"/>
                <w:u w:val="single"/>
              </w:rPr>
            </w:pPr>
            <w:r>
              <w:rPr>
                <w:rFonts w:ascii="Arial" w:hAnsi="Arial" w:cs="Arial"/>
                <w:color w:val="000000"/>
                <w:sz w:val="20"/>
                <w:u w:val="single"/>
              </w:rPr>
              <w:t>$2,210,700</w:t>
            </w:r>
          </w:p>
        </w:tc>
        <w:tc>
          <w:tcPr>
            <w:tcW w:w="1803" w:type="dxa"/>
            <w:vAlign w:val="center"/>
          </w:tcPr>
          <w:p w14:paraId="57A7551A" w14:textId="43077A6C" w:rsidR="00DA50DB" w:rsidRDefault="00DA50DB" w:rsidP="00DA50DB">
            <w:pPr>
              <w:jc w:val="right"/>
              <w:rPr>
                <w:rFonts w:ascii="Arial" w:hAnsi="Arial"/>
                <w:color w:val="000000"/>
                <w:sz w:val="20"/>
                <w:u w:val="single"/>
              </w:rPr>
            </w:pPr>
            <w:r>
              <w:rPr>
                <w:rFonts w:ascii="Arial" w:hAnsi="Arial" w:cs="Arial"/>
                <w:color w:val="000000"/>
                <w:sz w:val="20"/>
                <w:u w:val="single"/>
              </w:rPr>
              <w:t>$2,261,600</w:t>
            </w:r>
          </w:p>
        </w:tc>
        <w:tc>
          <w:tcPr>
            <w:tcW w:w="1803" w:type="dxa"/>
            <w:vAlign w:val="center"/>
          </w:tcPr>
          <w:p w14:paraId="4978BA6F" w14:textId="10F06917" w:rsidR="00DA50DB" w:rsidRDefault="00DA50DB" w:rsidP="00DA50DB">
            <w:pPr>
              <w:jc w:val="right"/>
              <w:rPr>
                <w:rFonts w:ascii="Arial" w:hAnsi="Arial"/>
                <w:color w:val="000000" w:themeColor="text1"/>
                <w:sz w:val="20"/>
                <w:u w:val="single"/>
              </w:rPr>
            </w:pPr>
            <w:r>
              <w:rPr>
                <w:rFonts w:ascii="Arial" w:hAnsi="Arial"/>
                <w:color w:val="000000" w:themeColor="text1"/>
                <w:sz w:val="20"/>
                <w:u w:val="single"/>
              </w:rPr>
              <w:t>$2,066,700</w:t>
            </w:r>
          </w:p>
        </w:tc>
        <w:tc>
          <w:tcPr>
            <w:tcW w:w="1803" w:type="dxa"/>
            <w:vAlign w:val="center"/>
          </w:tcPr>
          <w:p w14:paraId="3795150F" w14:textId="7627FA2E" w:rsidR="00DA50DB" w:rsidRDefault="00DA50DB" w:rsidP="00DA50DB">
            <w:pPr>
              <w:jc w:val="right"/>
              <w:rPr>
                <w:rFonts w:ascii="Arial" w:hAnsi="Arial"/>
                <w:color w:val="000000" w:themeColor="text1"/>
                <w:sz w:val="20"/>
                <w:u w:val="single"/>
              </w:rPr>
            </w:pPr>
          </w:p>
        </w:tc>
      </w:tr>
      <w:tr w:rsidR="00DA50DB" w14:paraId="37CC4925" w14:textId="77777777" w:rsidTr="00C44896">
        <w:tc>
          <w:tcPr>
            <w:tcW w:w="2868" w:type="dxa"/>
          </w:tcPr>
          <w:p w14:paraId="09F5BBCC" w14:textId="77777777" w:rsidR="00DA50DB" w:rsidRDefault="00DA50DB" w:rsidP="00DA50DB">
            <w:pPr>
              <w:jc w:val="right"/>
              <w:rPr>
                <w:rFonts w:ascii="Arial" w:eastAsia="Arial Unicode MS" w:hAnsi="Arial"/>
                <w:b/>
                <w:color w:val="000000"/>
                <w:sz w:val="20"/>
              </w:rPr>
            </w:pPr>
            <w:r>
              <w:rPr>
                <w:rFonts w:ascii="Arial" w:hAnsi="Arial"/>
                <w:b/>
                <w:color w:val="000000"/>
                <w:sz w:val="20"/>
              </w:rPr>
              <w:t>Total</w:t>
            </w:r>
          </w:p>
        </w:tc>
        <w:tc>
          <w:tcPr>
            <w:tcW w:w="1803" w:type="dxa"/>
            <w:vAlign w:val="center"/>
          </w:tcPr>
          <w:p w14:paraId="33322527" w14:textId="71FC4163" w:rsidR="00DA50DB" w:rsidRDefault="00DA50DB" w:rsidP="00DA50DB">
            <w:pPr>
              <w:jc w:val="right"/>
              <w:rPr>
                <w:rFonts w:ascii="Arial" w:hAnsi="Arial"/>
                <w:b/>
                <w:sz w:val="20"/>
              </w:rPr>
            </w:pPr>
            <w:r>
              <w:rPr>
                <w:rFonts w:ascii="Arial" w:hAnsi="Arial" w:cs="Arial"/>
                <w:b/>
                <w:bCs/>
                <w:color w:val="000000"/>
                <w:sz w:val="20"/>
              </w:rPr>
              <w:t>$265,787,500</w:t>
            </w:r>
          </w:p>
        </w:tc>
        <w:tc>
          <w:tcPr>
            <w:tcW w:w="1803" w:type="dxa"/>
            <w:vAlign w:val="center"/>
          </w:tcPr>
          <w:p w14:paraId="25C80ACF" w14:textId="75656F58" w:rsidR="00DA50DB" w:rsidRDefault="00DA50DB" w:rsidP="00DA50DB">
            <w:pPr>
              <w:jc w:val="right"/>
              <w:rPr>
                <w:rFonts w:ascii="Arial" w:hAnsi="Arial"/>
                <w:b/>
                <w:sz w:val="20"/>
              </w:rPr>
            </w:pPr>
            <w:r>
              <w:rPr>
                <w:rFonts w:ascii="Arial" w:hAnsi="Arial" w:cs="Arial"/>
                <w:b/>
                <w:bCs/>
                <w:color w:val="000000"/>
                <w:sz w:val="20"/>
              </w:rPr>
              <w:t>$293,012,200</w:t>
            </w:r>
          </w:p>
        </w:tc>
        <w:tc>
          <w:tcPr>
            <w:tcW w:w="1803" w:type="dxa"/>
            <w:vAlign w:val="center"/>
          </w:tcPr>
          <w:p w14:paraId="06535F2D" w14:textId="4F6D70E3" w:rsidR="00DA50DB" w:rsidRDefault="00DA50DB" w:rsidP="00DA50DB">
            <w:pPr>
              <w:jc w:val="right"/>
              <w:rPr>
                <w:rFonts w:ascii="Arial" w:hAnsi="Arial"/>
                <w:b/>
                <w:color w:val="000000"/>
                <w:sz w:val="20"/>
              </w:rPr>
            </w:pPr>
            <w:r>
              <w:rPr>
                <w:rFonts w:ascii="Arial" w:hAnsi="Arial"/>
                <w:b/>
                <w:color w:val="000000"/>
                <w:sz w:val="20"/>
              </w:rPr>
              <w:t>$297,121,600</w:t>
            </w:r>
          </w:p>
        </w:tc>
        <w:tc>
          <w:tcPr>
            <w:tcW w:w="1803" w:type="dxa"/>
            <w:vAlign w:val="center"/>
          </w:tcPr>
          <w:p w14:paraId="4776E8C3" w14:textId="06304344" w:rsidR="00DA50DB" w:rsidRDefault="00DA50DB" w:rsidP="00DA50DB">
            <w:pPr>
              <w:jc w:val="right"/>
              <w:rPr>
                <w:rFonts w:ascii="Arial" w:hAnsi="Arial"/>
                <w:b/>
                <w:color w:val="000000"/>
                <w:sz w:val="20"/>
              </w:rPr>
            </w:pPr>
          </w:p>
        </w:tc>
      </w:tr>
      <w:tr w:rsidR="00DA50DB" w14:paraId="6BE67EF7" w14:textId="77777777" w:rsidTr="00D7051E">
        <w:tc>
          <w:tcPr>
            <w:tcW w:w="2868" w:type="dxa"/>
            <w:shd w:val="clear" w:color="auto" w:fill="000080"/>
          </w:tcPr>
          <w:p w14:paraId="331EF525" w14:textId="77777777" w:rsidR="00DA50DB" w:rsidRDefault="00DA50DB" w:rsidP="00DA50DB">
            <w:pPr>
              <w:jc w:val="both"/>
              <w:rPr>
                <w:rFonts w:ascii="Arial" w:hAnsi="Arial"/>
                <w:b/>
                <w:color w:val="FFFFFF"/>
                <w:sz w:val="20"/>
              </w:rPr>
            </w:pPr>
            <w:bookmarkStart w:id="2" w:name="_Hlk150572951"/>
            <w:r>
              <w:rPr>
                <w:rFonts w:ascii="Arial" w:hAnsi="Arial"/>
                <w:b/>
                <w:color w:val="FFFFFF"/>
                <w:sz w:val="20"/>
              </w:rPr>
              <w:t>Expenditures</w:t>
            </w:r>
          </w:p>
        </w:tc>
        <w:tc>
          <w:tcPr>
            <w:tcW w:w="1803" w:type="dxa"/>
            <w:shd w:val="clear" w:color="auto" w:fill="000080"/>
          </w:tcPr>
          <w:p w14:paraId="45AF6B13" w14:textId="683203FC" w:rsidR="00DA50DB" w:rsidRDefault="00DA50DB" w:rsidP="00DA50DB">
            <w:pPr>
              <w:jc w:val="right"/>
              <w:rPr>
                <w:rFonts w:ascii="Arial" w:hAnsi="Arial"/>
                <w:b/>
                <w:color w:val="FFFFFF"/>
                <w:sz w:val="20"/>
              </w:rPr>
            </w:pPr>
            <w:r>
              <w:rPr>
                <w:rFonts w:ascii="Arial" w:hAnsi="Arial"/>
                <w:b/>
                <w:color w:val="FFFFFF"/>
                <w:sz w:val="20"/>
              </w:rPr>
              <w:t>FY 2019</w:t>
            </w:r>
          </w:p>
        </w:tc>
        <w:tc>
          <w:tcPr>
            <w:tcW w:w="1803" w:type="dxa"/>
            <w:shd w:val="clear" w:color="auto" w:fill="000080"/>
          </w:tcPr>
          <w:p w14:paraId="75ABA18C" w14:textId="6AB81FE2" w:rsidR="00DA50DB" w:rsidRDefault="00DA50DB" w:rsidP="00DA50DB">
            <w:pPr>
              <w:jc w:val="right"/>
              <w:rPr>
                <w:rFonts w:ascii="Arial" w:hAnsi="Arial"/>
                <w:b/>
                <w:color w:val="FFFFFF"/>
                <w:sz w:val="20"/>
              </w:rPr>
            </w:pPr>
            <w:r>
              <w:rPr>
                <w:rFonts w:ascii="Arial" w:hAnsi="Arial"/>
                <w:b/>
                <w:color w:val="FFFFFF"/>
                <w:sz w:val="20"/>
              </w:rPr>
              <w:t>FY 2020</w:t>
            </w:r>
          </w:p>
        </w:tc>
        <w:tc>
          <w:tcPr>
            <w:tcW w:w="1803" w:type="dxa"/>
            <w:shd w:val="clear" w:color="auto" w:fill="000080"/>
            <w:vAlign w:val="center"/>
          </w:tcPr>
          <w:p w14:paraId="54617C68" w14:textId="6441626E" w:rsidR="00DA50DB" w:rsidRDefault="00DA50DB" w:rsidP="00DA50DB">
            <w:pPr>
              <w:jc w:val="right"/>
              <w:rPr>
                <w:rFonts w:ascii="Arial" w:hAnsi="Arial"/>
                <w:b/>
                <w:color w:val="FFFFFF"/>
                <w:sz w:val="20"/>
              </w:rPr>
            </w:pPr>
            <w:r>
              <w:rPr>
                <w:rFonts w:ascii="Arial" w:hAnsi="Arial" w:cs="Arial"/>
                <w:b/>
                <w:bCs/>
                <w:color w:val="FFFFFF"/>
                <w:sz w:val="20"/>
              </w:rPr>
              <w:t>FY 2021</w:t>
            </w:r>
          </w:p>
        </w:tc>
        <w:tc>
          <w:tcPr>
            <w:tcW w:w="1803" w:type="dxa"/>
            <w:shd w:val="clear" w:color="auto" w:fill="000080"/>
            <w:vAlign w:val="center"/>
          </w:tcPr>
          <w:p w14:paraId="3AEE880F" w14:textId="7765AC71" w:rsidR="00DA50DB" w:rsidRDefault="00DA50DB" w:rsidP="00DA50DB">
            <w:pPr>
              <w:jc w:val="right"/>
              <w:rPr>
                <w:rFonts w:ascii="Arial" w:hAnsi="Arial"/>
                <w:b/>
                <w:color w:val="FFFFFF"/>
                <w:sz w:val="20"/>
              </w:rPr>
            </w:pPr>
            <w:r>
              <w:rPr>
                <w:rFonts w:ascii="Arial" w:hAnsi="Arial" w:cs="Arial"/>
                <w:b/>
                <w:bCs/>
                <w:color w:val="FFFFFF"/>
                <w:sz w:val="20"/>
              </w:rPr>
              <w:t>FY 2022</w:t>
            </w:r>
          </w:p>
        </w:tc>
      </w:tr>
      <w:tr w:rsidR="00DA50DB" w14:paraId="40F15B0E" w14:textId="77777777" w:rsidTr="006811DC">
        <w:tc>
          <w:tcPr>
            <w:tcW w:w="2868" w:type="dxa"/>
          </w:tcPr>
          <w:p w14:paraId="04A1A991" w14:textId="77777777" w:rsidR="00DA50DB" w:rsidRDefault="00DA50DB" w:rsidP="00DA50DB">
            <w:pPr>
              <w:jc w:val="both"/>
              <w:rPr>
                <w:rFonts w:ascii="Arial" w:hAnsi="Arial"/>
                <w:sz w:val="20"/>
              </w:rPr>
            </w:pPr>
            <w:bookmarkStart w:id="3" w:name="_Hlk332114650"/>
            <w:bookmarkEnd w:id="2"/>
            <w:r>
              <w:rPr>
                <w:rFonts w:ascii="Arial" w:hAnsi="Arial"/>
                <w:sz w:val="20"/>
              </w:rPr>
              <w:t>Personnel Costs</w:t>
            </w:r>
          </w:p>
        </w:tc>
        <w:tc>
          <w:tcPr>
            <w:tcW w:w="1803" w:type="dxa"/>
            <w:vAlign w:val="center"/>
          </w:tcPr>
          <w:p w14:paraId="48F2DF71" w14:textId="64C826B5" w:rsidR="00DA50DB" w:rsidRDefault="00DA50DB" w:rsidP="00DA50DB">
            <w:pPr>
              <w:jc w:val="right"/>
              <w:rPr>
                <w:rFonts w:ascii="Arial" w:hAnsi="Arial"/>
                <w:sz w:val="20"/>
              </w:rPr>
            </w:pPr>
            <w:r>
              <w:rPr>
                <w:rFonts w:ascii="Arial" w:hAnsi="Arial" w:cs="Arial"/>
                <w:color w:val="000000"/>
                <w:sz w:val="20"/>
              </w:rPr>
              <w:t>$131,374,739</w:t>
            </w:r>
          </w:p>
        </w:tc>
        <w:tc>
          <w:tcPr>
            <w:tcW w:w="1803" w:type="dxa"/>
            <w:vAlign w:val="center"/>
          </w:tcPr>
          <w:p w14:paraId="2872BBA2" w14:textId="6D81EC4E" w:rsidR="00DA50DB" w:rsidRDefault="00DA50DB" w:rsidP="00DA50DB">
            <w:pPr>
              <w:jc w:val="right"/>
              <w:rPr>
                <w:rFonts w:ascii="Arial" w:hAnsi="Arial"/>
                <w:sz w:val="20"/>
              </w:rPr>
            </w:pPr>
            <w:r>
              <w:rPr>
                <w:rFonts w:ascii="Arial" w:hAnsi="Arial" w:cs="Arial"/>
                <w:color w:val="000000"/>
                <w:sz w:val="20"/>
              </w:rPr>
              <w:t>$140,466,864</w:t>
            </w:r>
          </w:p>
        </w:tc>
        <w:tc>
          <w:tcPr>
            <w:tcW w:w="1803" w:type="dxa"/>
            <w:vAlign w:val="center"/>
          </w:tcPr>
          <w:p w14:paraId="5494F790" w14:textId="2C536486" w:rsidR="00DA50DB" w:rsidRDefault="00DA50DB" w:rsidP="00DA50DB">
            <w:pPr>
              <w:jc w:val="right"/>
              <w:rPr>
                <w:rFonts w:ascii="Arial" w:hAnsi="Arial"/>
                <w:color w:val="000000"/>
                <w:sz w:val="20"/>
              </w:rPr>
            </w:pPr>
            <w:r>
              <w:rPr>
                <w:rFonts w:ascii="Arial" w:hAnsi="Arial"/>
                <w:color w:val="000000"/>
                <w:sz w:val="20"/>
              </w:rPr>
              <w:t>$135,173,900</w:t>
            </w:r>
          </w:p>
        </w:tc>
        <w:tc>
          <w:tcPr>
            <w:tcW w:w="1803" w:type="dxa"/>
            <w:vAlign w:val="center"/>
          </w:tcPr>
          <w:p w14:paraId="71EA349D" w14:textId="140628F4" w:rsidR="00DA50DB" w:rsidRDefault="00DA50DB" w:rsidP="00DA50DB">
            <w:pPr>
              <w:jc w:val="right"/>
              <w:rPr>
                <w:rFonts w:ascii="Arial" w:hAnsi="Arial"/>
                <w:color w:val="000000"/>
                <w:sz w:val="20"/>
              </w:rPr>
            </w:pPr>
          </w:p>
        </w:tc>
      </w:tr>
      <w:tr w:rsidR="00DA50DB" w14:paraId="6C1D32D2" w14:textId="77777777" w:rsidTr="006811DC">
        <w:tc>
          <w:tcPr>
            <w:tcW w:w="2868" w:type="dxa"/>
          </w:tcPr>
          <w:p w14:paraId="063EF0D8" w14:textId="77777777" w:rsidR="00DA50DB" w:rsidRDefault="00DA50DB" w:rsidP="00DA50DB">
            <w:pPr>
              <w:jc w:val="both"/>
              <w:rPr>
                <w:rFonts w:ascii="Arial" w:hAnsi="Arial"/>
                <w:sz w:val="20"/>
              </w:rPr>
            </w:pPr>
            <w:r>
              <w:rPr>
                <w:rFonts w:ascii="Arial" w:hAnsi="Arial"/>
                <w:sz w:val="20"/>
              </w:rPr>
              <w:t>Operating Expenditures</w:t>
            </w:r>
          </w:p>
        </w:tc>
        <w:tc>
          <w:tcPr>
            <w:tcW w:w="1803" w:type="dxa"/>
            <w:vAlign w:val="center"/>
          </w:tcPr>
          <w:p w14:paraId="37AA5042" w14:textId="164429A5" w:rsidR="00DA50DB" w:rsidRDefault="00DA50DB" w:rsidP="00DA50DB">
            <w:pPr>
              <w:jc w:val="right"/>
              <w:rPr>
                <w:rFonts w:ascii="Arial" w:hAnsi="Arial"/>
                <w:sz w:val="20"/>
              </w:rPr>
            </w:pPr>
            <w:r>
              <w:rPr>
                <w:rFonts w:ascii="Arial" w:hAnsi="Arial" w:cs="Arial"/>
                <w:color w:val="000000"/>
                <w:sz w:val="20"/>
              </w:rPr>
              <w:t>$122,597,994</w:t>
            </w:r>
          </w:p>
        </w:tc>
        <w:tc>
          <w:tcPr>
            <w:tcW w:w="1803" w:type="dxa"/>
            <w:vAlign w:val="center"/>
          </w:tcPr>
          <w:p w14:paraId="1BD5B9E3" w14:textId="4FFE64EC" w:rsidR="00DA50DB" w:rsidRDefault="00DA50DB" w:rsidP="00DA50DB">
            <w:pPr>
              <w:jc w:val="right"/>
              <w:rPr>
                <w:rFonts w:ascii="Arial" w:hAnsi="Arial"/>
                <w:sz w:val="20"/>
              </w:rPr>
            </w:pPr>
            <w:r>
              <w:rPr>
                <w:rFonts w:ascii="Arial" w:hAnsi="Arial" w:cs="Arial"/>
                <w:color w:val="000000"/>
                <w:sz w:val="20"/>
              </w:rPr>
              <w:t>$144,908,371</w:t>
            </w:r>
          </w:p>
        </w:tc>
        <w:tc>
          <w:tcPr>
            <w:tcW w:w="1803" w:type="dxa"/>
            <w:vAlign w:val="center"/>
          </w:tcPr>
          <w:p w14:paraId="7148FEFF" w14:textId="6D72A499" w:rsidR="00DA50DB" w:rsidRDefault="00DA50DB" w:rsidP="00DA50DB">
            <w:pPr>
              <w:jc w:val="right"/>
              <w:rPr>
                <w:rFonts w:ascii="Arial" w:hAnsi="Arial"/>
                <w:color w:val="000000"/>
                <w:sz w:val="20"/>
              </w:rPr>
            </w:pPr>
            <w:r>
              <w:rPr>
                <w:rFonts w:ascii="Arial" w:hAnsi="Arial"/>
                <w:color w:val="000000"/>
                <w:sz w:val="20"/>
              </w:rPr>
              <w:t>$154,235,400</w:t>
            </w:r>
          </w:p>
        </w:tc>
        <w:tc>
          <w:tcPr>
            <w:tcW w:w="1803" w:type="dxa"/>
            <w:vAlign w:val="center"/>
          </w:tcPr>
          <w:p w14:paraId="186B6C0F" w14:textId="20A7125E" w:rsidR="00DA50DB" w:rsidRDefault="00DA50DB" w:rsidP="00DA50DB">
            <w:pPr>
              <w:jc w:val="right"/>
              <w:rPr>
                <w:rFonts w:ascii="Arial" w:hAnsi="Arial"/>
                <w:color w:val="000000"/>
                <w:sz w:val="20"/>
              </w:rPr>
            </w:pPr>
          </w:p>
        </w:tc>
      </w:tr>
      <w:tr w:rsidR="00DA50DB" w14:paraId="3B66E429" w14:textId="77777777" w:rsidTr="006811DC">
        <w:tc>
          <w:tcPr>
            <w:tcW w:w="2868" w:type="dxa"/>
          </w:tcPr>
          <w:p w14:paraId="3733850C" w14:textId="77777777" w:rsidR="00DA50DB" w:rsidRDefault="00DA50DB" w:rsidP="00DA50DB">
            <w:pPr>
              <w:jc w:val="both"/>
              <w:rPr>
                <w:rFonts w:ascii="Arial" w:hAnsi="Arial"/>
                <w:sz w:val="20"/>
              </w:rPr>
            </w:pPr>
            <w:r>
              <w:rPr>
                <w:rFonts w:ascii="Arial" w:hAnsi="Arial"/>
                <w:sz w:val="20"/>
              </w:rPr>
              <w:t>Capital Outlay</w:t>
            </w:r>
          </w:p>
        </w:tc>
        <w:tc>
          <w:tcPr>
            <w:tcW w:w="1803" w:type="dxa"/>
            <w:vAlign w:val="center"/>
          </w:tcPr>
          <w:p w14:paraId="4E83E06B" w14:textId="62216CE1" w:rsidR="00DA50DB" w:rsidRDefault="00DA50DB" w:rsidP="00DA50DB">
            <w:pPr>
              <w:jc w:val="right"/>
              <w:rPr>
                <w:rFonts w:ascii="Arial" w:hAnsi="Arial"/>
                <w:sz w:val="20"/>
              </w:rPr>
            </w:pPr>
            <w:r>
              <w:rPr>
                <w:rFonts w:ascii="Arial" w:hAnsi="Arial" w:cs="Arial"/>
                <w:color w:val="000000"/>
                <w:sz w:val="20"/>
              </w:rPr>
              <w:t>$4,066,148</w:t>
            </w:r>
          </w:p>
        </w:tc>
        <w:tc>
          <w:tcPr>
            <w:tcW w:w="1803" w:type="dxa"/>
            <w:vAlign w:val="center"/>
          </w:tcPr>
          <w:p w14:paraId="34455884" w14:textId="375AD1C6" w:rsidR="00DA50DB" w:rsidRDefault="00DA50DB" w:rsidP="00DA50DB">
            <w:pPr>
              <w:jc w:val="right"/>
              <w:rPr>
                <w:rFonts w:ascii="Arial" w:hAnsi="Arial"/>
                <w:sz w:val="20"/>
              </w:rPr>
            </w:pPr>
            <w:r>
              <w:rPr>
                <w:rFonts w:ascii="Arial" w:hAnsi="Arial" w:cs="Arial"/>
                <w:color w:val="000000"/>
                <w:sz w:val="20"/>
              </w:rPr>
              <w:t>$3,143,056</w:t>
            </w:r>
          </w:p>
        </w:tc>
        <w:tc>
          <w:tcPr>
            <w:tcW w:w="1803" w:type="dxa"/>
            <w:vAlign w:val="center"/>
          </w:tcPr>
          <w:p w14:paraId="63618C27" w14:textId="322E7132" w:rsidR="00DA50DB" w:rsidRDefault="00DA50DB" w:rsidP="00DA50DB">
            <w:pPr>
              <w:jc w:val="right"/>
              <w:rPr>
                <w:rFonts w:ascii="Arial" w:hAnsi="Arial"/>
                <w:color w:val="000000"/>
                <w:sz w:val="20"/>
              </w:rPr>
            </w:pPr>
            <w:r>
              <w:rPr>
                <w:rFonts w:ascii="Arial" w:hAnsi="Arial"/>
                <w:color w:val="000000"/>
                <w:sz w:val="20"/>
              </w:rPr>
              <w:t>$5,070,300</w:t>
            </w:r>
          </w:p>
        </w:tc>
        <w:tc>
          <w:tcPr>
            <w:tcW w:w="1803" w:type="dxa"/>
            <w:vAlign w:val="center"/>
          </w:tcPr>
          <w:p w14:paraId="304AA9F5" w14:textId="311A8C26" w:rsidR="00DA50DB" w:rsidRDefault="00DA50DB" w:rsidP="00DA50DB">
            <w:pPr>
              <w:jc w:val="right"/>
              <w:rPr>
                <w:rFonts w:ascii="Arial" w:hAnsi="Arial"/>
                <w:color w:val="000000"/>
                <w:sz w:val="20"/>
              </w:rPr>
            </w:pPr>
          </w:p>
        </w:tc>
      </w:tr>
      <w:tr w:rsidR="00DA50DB" w14:paraId="744A1FFA" w14:textId="77777777" w:rsidTr="006811DC">
        <w:tc>
          <w:tcPr>
            <w:tcW w:w="2868" w:type="dxa"/>
          </w:tcPr>
          <w:p w14:paraId="754BCFA9" w14:textId="77777777" w:rsidR="00DA50DB" w:rsidRDefault="00DA50DB" w:rsidP="00DA50DB">
            <w:pPr>
              <w:jc w:val="both"/>
              <w:rPr>
                <w:rFonts w:ascii="Arial" w:hAnsi="Arial"/>
                <w:sz w:val="20"/>
              </w:rPr>
            </w:pPr>
            <w:r>
              <w:rPr>
                <w:rFonts w:ascii="Arial" w:hAnsi="Arial"/>
                <w:sz w:val="20"/>
              </w:rPr>
              <w:t>Trustee/Benefit Payments</w:t>
            </w:r>
          </w:p>
        </w:tc>
        <w:tc>
          <w:tcPr>
            <w:tcW w:w="1803" w:type="dxa"/>
            <w:vAlign w:val="center"/>
          </w:tcPr>
          <w:p w14:paraId="786A6D45" w14:textId="3AB963F4" w:rsidR="00DA50DB" w:rsidRDefault="00DA50DB" w:rsidP="00DA50DB">
            <w:pPr>
              <w:jc w:val="right"/>
              <w:rPr>
                <w:rFonts w:ascii="Arial" w:hAnsi="Arial"/>
                <w:sz w:val="20"/>
                <w:u w:val="single"/>
              </w:rPr>
            </w:pPr>
            <w:r>
              <w:rPr>
                <w:rFonts w:ascii="Arial" w:hAnsi="Arial" w:cs="Arial"/>
                <w:color w:val="000000"/>
                <w:sz w:val="20"/>
                <w:u w:val="single"/>
              </w:rPr>
              <w:t>$8,543,297</w:t>
            </w:r>
          </w:p>
        </w:tc>
        <w:tc>
          <w:tcPr>
            <w:tcW w:w="1803" w:type="dxa"/>
            <w:vAlign w:val="center"/>
          </w:tcPr>
          <w:p w14:paraId="25EED90B" w14:textId="753C6AD8" w:rsidR="00DA50DB" w:rsidRDefault="00DA50DB" w:rsidP="00DA50DB">
            <w:pPr>
              <w:jc w:val="right"/>
              <w:rPr>
                <w:rFonts w:ascii="Arial" w:hAnsi="Arial"/>
                <w:sz w:val="20"/>
                <w:u w:val="single"/>
              </w:rPr>
            </w:pPr>
            <w:r>
              <w:rPr>
                <w:rFonts w:ascii="Arial" w:hAnsi="Arial" w:cs="Arial"/>
                <w:color w:val="000000"/>
                <w:sz w:val="20"/>
                <w:u w:val="single"/>
              </w:rPr>
              <w:t>$4,588,282</w:t>
            </w:r>
          </w:p>
        </w:tc>
        <w:tc>
          <w:tcPr>
            <w:tcW w:w="1803" w:type="dxa"/>
            <w:vAlign w:val="center"/>
          </w:tcPr>
          <w:p w14:paraId="570940E7" w14:textId="29DBCD31" w:rsidR="00DA50DB" w:rsidRDefault="00DA50DB" w:rsidP="00DA50DB">
            <w:pPr>
              <w:jc w:val="right"/>
              <w:rPr>
                <w:rFonts w:ascii="Arial" w:hAnsi="Arial"/>
                <w:color w:val="000000"/>
                <w:sz w:val="20"/>
                <w:u w:val="single"/>
              </w:rPr>
            </w:pPr>
            <w:r>
              <w:rPr>
                <w:rFonts w:ascii="Arial" w:hAnsi="Arial"/>
                <w:color w:val="000000"/>
                <w:sz w:val="20"/>
                <w:u w:val="single"/>
              </w:rPr>
              <w:t>$2,642,000</w:t>
            </w:r>
          </w:p>
        </w:tc>
        <w:tc>
          <w:tcPr>
            <w:tcW w:w="1803" w:type="dxa"/>
            <w:vAlign w:val="center"/>
          </w:tcPr>
          <w:p w14:paraId="190BC9D1" w14:textId="239F2292" w:rsidR="00DA50DB" w:rsidRDefault="00DA50DB" w:rsidP="00DA50DB">
            <w:pPr>
              <w:jc w:val="right"/>
              <w:rPr>
                <w:rFonts w:ascii="Arial" w:hAnsi="Arial"/>
                <w:color w:val="000000"/>
                <w:sz w:val="20"/>
                <w:u w:val="single"/>
              </w:rPr>
            </w:pPr>
          </w:p>
        </w:tc>
      </w:tr>
      <w:bookmarkEnd w:id="3"/>
      <w:tr w:rsidR="00DA50DB" w14:paraId="2F9E9787" w14:textId="77777777" w:rsidTr="006811DC">
        <w:tc>
          <w:tcPr>
            <w:tcW w:w="2868" w:type="dxa"/>
          </w:tcPr>
          <w:p w14:paraId="5AB9BDD8" w14:textId="77777777" w:rsidR="00DA50DB" w:rsidRDefault="00DA50DB" w:rsidP="00DA50DB">
            <w:pPr>
              <w:ind w:left="240"/>
              <w:jc w:val="right"/>
              <w:rPr>
                <w:rFonts w:ascii="Arial" w:hAnsi="Arial"/>
                <w:b/>
                <w:sz w:val="20"/>
              </w:rPr>
            </w:pPr>
            <w:r>
              <w:rPr>
                <w:rFonts w:ascii="Arial" w:hAnsi="Arial"/>
                <w:b/>
                <w:sz w:val="20"/>
              </w:rPr>
              <w:t>Total</w:t>
            </w:r>
          </w:p>
        </w:tc>
        <w:tc>
          <w:tcPr>
            <w:tcW w:w="1803" w:type="dxa"/>
            <w:vAlign w:val="center"/>
          </w:tcPr>
          <w:p w14:paraId="22B4E368" w14:textId="705B99DA" w:rsidR="00DA50DB" w:rsidRDefault="00DA50DB" w:rsidP="00DA50DB">
            <w:pPr>
              <w:jc w:val="right"/>
              <w:rPr>
                <w:rFonts w:ascii="Arial" w:hAnsi="Arial"/>
                <w:b/>
                <w:sz w:val="20"/>
              </w:rPr>
            </w:pPr>
            <w:r>
              <w:rPr>
                <w:rFonts w:ascii="Arial" w:hAnsi="Arial" w:cs="Arial"/>
                <w:b/>
                <w:bCs/>
                <w:color w:val="000000"/>
                <w:sz w:val="20"/>
              </w:rPr>
              <w:t>$266,582,178</w:t>
            </w:r>
          </w:p>
        </w:tc>
        <w:tc>
          <w:tcPr>
            <w:tcW w:w="1803" w:type="dxa"/>
            <w:vAlign w:val="center"/>
          </w:tcPr>
          <w:p w14:paraId="1084E1C1" w14:textId="052A4439" w:rsidR="00DA50DB" w:rsidRDefault="00DA50DB" w:rsidP="00DA50DB">
            <w:pPr>
              <w:jc w:val="right"/>
              <w:rPr>
                <w:rFonts w:ascii="Arial" w:hAnsi="Arial"/>
                <w:b/>
                <w:sz w:val="20"/>
              </w:rPr>
            </w:pPr>
            <w:r>
              <w:rPr>
                <w:rFonts w:ascii="Arial" w:hAnsi="Arial" w:cs="Arial"/>
                <w:b/>
                <w:bCs/>
                <w:color w:val="000000"/>
                <w:sz w:val="20"/>
              </w:rPr>
              <w:t>$293,106,573</w:t>
            </w:r>
          </w:p>
        </w:tc>
        <w:tc>
          <w:tcPr>
            <w:tcW w:w="1803" w:type="dxa"/>
            <w:vAlign w:val="center"/>
          </w:tcPr>
          <w:p w14:paraId="54D55BD7" w14:textId="4187F448" w:rsidR="00DA50DB" w:rsidRDefault="00DA50DB" w:rsidP="00DA50DB">
            <w:pPr>
              <w:jc w:val="right"/>
              <w:rPr>
                <w:rFonts w:ascii="Arial" w:hAnsi="Arial"/>
                <w:b/>
                <w:color w:val="000000"/>
                <w:sz w:val="20"/>
              </w:rPr>
            </w:pPr>
            <w:r>
              <w:rPr>
                <w:rFonts w:ascii="Arial" w:hAnsi="Arial"/>
                <w:b/>
                <w:color w:val="000000"/>
                <w:sz w:val="20"/>
              </w:rPr>
              <w:t>$297,121,600</w:t>
            </w:r>
          </w:p>
        </w:tc>
        <w:tc>
          <w:tcPr>
            <w:tcW w:w="1803" w:type="dxa"/>
            <w:vAlign w:val="center"/>
          </w:tcPr>
          <w:p w14:paraId="18311FD3" w14:textId="684B42A1" w:rsidR="00DA50DB" w:rsidRDefault="00DA50DB" w:rsidP="00DA50DB">
            <w:pPr>
              <w:jc w:val="right"/>
              <w:rPr>
                <w:rFonts w:ascii="Arial" w:hAnsi="Arial"/>
                <w:b/>
                <w:color w:val="000000"/>
                <w:sz w:val="20"/>
              </w:rPr>
            </w:pPr>
          </w:p>
        </w:tc>
      </w:tr>
    </w:tbl>
    <w:p w14:paraId="7227E085" w14:textId="77777777" w:rsidR="00F76154" w:rsidRPr="00FB4B50" w:rsidRDefault="00F76154" w:rsidP="00F76154">
      <w:pPr>
        <w:jc w:val="both"/>
        <w:rPr>
          <w:rFonts w:ascii="Arial" w:hAnsi="Arial"/>
        </w:rPr>
      </w:pPr>
    </w:p>
    <w:p w14:paraId="7EDD3D48" w14:textId="77777777" w:rsidR="009F2722" w:rsidRDefault="00F5768E" w:rsidP="00F76154">
      <w:pPr>
        <w:jc w:val="both"/>
        <w:rPr>
          <w:rFonts w:ascii="Arial" w:hAnsi="Arial"/>
          <w:b/>
        </w:rPr>
      </w:pPr>
      <w:r>
        <w:rPr>
          <w:rFonts w:ascii="Arial" w:hAnsi="Arial"/>
          <w:b/>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8"/>
        <w:gridCol w:w="1478"/>
        <w:gridCol w:w="1478"/>
        <w:gridCol w:w="1478"/>
        <w:gridCol w:w="1478"/>
      </w:tblGrid>
      <w:tr w:rsidR="00B4270C" w14:paraId="60B739FC" w14:textId="77777777" w:rsidTr="002E1D2E">
        <w:tc>
          <w:tcPr>
            <w:tcW w:w="4168" w:type="dxa"/>
            <w:tcBorders>
              <w:bottom w:val="single" w:sz="4" w:space="0" w:color="auto"/>
            </w:tcBorders>
            <w:shd w:val="clear" w:color="auto" w:fill="000080"/>
          </w:tcPr>
          <w:p w14:paraId="0884F3D0" w14:textId="77777777" w:rsidR="00B4270C" w:rsidRDefault="00B4270C" w:rsidP="00B4270C">
            <w:pPr>
              <w:jc w:val="center"/>
              <w:rPr>
                <w:rFonts w:ascii="Arial" w:hAnsi="Arial"/>
                <w:b/>
                <w:color w:val="FFFFFF"/>
                <w:sz w:val="20"/>
              </w:rPr>
            </w:pPr>
            <w:r>
              <w:rPr>
                <w:rFonts w:ascii="Arial" w:hAnsi="Arial"/>
                <w:b/>
                <w:color w:val="FFFFFF"/>
                <w:sz w:val="20"/>
              </w:rPr>
              <w:t>Cases Managed and/or Key Services Provided</w:t>
            </w:r>
          </w:p>
        </w:tc>
        <w:tc>
          <w:tcPr>
            <w:tcW w:w="1478" w:type="dxa"/>
            <w:tcBorders>
              <w:bottom w:val="single" w:sz="4" w:space="0" w:color="auto"/>
            </w:tcBorders>
            <w:shd w:val="clear" w:color="auto" w:fill="000080"/>
            <w:vAlign w:val="bottom"/>
          </w:tcPr>
          <w:p w14:paraId="6F8A2164" w14:textId="390FDBF8" w:rsidR="00B4270C" w:rsidRDefault="00DA50DB" w:rsidP="00B4270C">
            <w:pPr>
              <w:jc w:val="center"/>
              <w:rPr>
                <w:rFonts w:ascii="Arial" w:hAnsi="Arial"/>
                <w:b/>
                <w:color w:val="FFFFFF"/>
                <w:sz w:val="20"/>
              </w:rPr>
            </w:pPr>
            <w:r>
              <w:rPr>
                <w:rFonts w:ascii="Arial" w:hAnsi="Arial"/>
                <w:b/>
                <w:color w:val="FFFFFF"/>
                <w:sz w:val="20"/>
              </w:rPr>
              <w:t>FY 2019</w:t>
            </w:r>
          </w:p>
        </w:tc>
        <w:tc>
          <w:tcPr>
            <w:tcW w:w="1478" w:type="dxa"/>
            <w:tcBorders>
              <w:bottom w:val="single" w:sz="4" w:space="0" w:color="auto"/>
            </w:tcBorders>
            <w:shd w:val="clear" w:color="auto" w:fill="000080"/>
            <w:vAlign w:val="bottom"/>
          </w:tcPr>
          <w:p w14:paraId="212FE753" w14:textId="6A52DC02" w:rsidR="00B4270C" w:rsidRDefault="00DA50DB" w:rsidP="00B4270C">
            <w:pPr>
              <w:jc w:val="center"/>
              <w:rPr>
                <w:rFonts w:ascii="Arial" w:hAnsi="Arial"/>
                <w:b/>
                <w:color w:val="FFFFFF"/>
                <w:sz w:val="20"/>
              </w:rPr>
            </w:pPr>
            <w:r>
              <w:rPr>
                <w:rFonts w:ascii="Arial" w:hAnsi="Arial"/>
                <w:b/>
                <w:color w:val="FFFFFF"/>
                <w:sz w:val="20"/>
              </w:rPr>
              <w:t>FY 2020</w:t>
            </w:r>
          </w:p>
        </w:tc>
        <w:tc>
          <w:tcPr>
            <w:tcW w:w="1478" w:type="dxa"/>
            <w:tcBorders>
              <w:bottom w:val="single" w:sz="4" w:space="0" w:color="auto"/>
            </w:tcBorders>
            <w:shd w:val="clear" w:color="auto" w:fill="000080"/>
            <w:vAlign w:val="bottom"/>
          </w:tcPr>
          <w:p w14:paraId="45CA2781" w14:textId="11D8B2E9" w:rsidR="00B4270C" w:rsidRDefault="00DA50DB" w:rsidP="00B4270C">
            <w:pPr>
              <w:jc w:val="center"/>
              <w:rPr>
                <w:rFonts w:ascii="Arial" w:hAnsi="Arial"/>
                <w:b/>
                <w:color w:val="FFFFFF"/>
                <w:sz w:val="20"/>
              </w:rPr>
            </w:pPr>
            <w:r>
              <w:rPr>
                <w:rFonts w:ascii="Arial" w:hAnsi="Arial"/>
                <w:b/>
                <w:color w:val="FFFFFF"/>
                <w:sz w:val="20"/>
              </w:rPr>
              <w:t>FY 2021</w:t>
            </w:r>
          </w:p>
        </w:tc>
        <w:tc>
          <w:tcPr>
            <w:tcW w:w="1478" w:type="dxa"/>
            <w:tcBorders>
              <w:bottom w:val="single" w:sz="4" w:space="0" w:color="auto"/>
            </w:tcBorders>
            <w:shd w:val="clear" w:color="auto" w:fill="000080"/>
            <w:vAlign w:val="bottom"/>
          </w:tcPr>
          <w:p w14:paraId="775A5D39" w14:textId="78D6C924" w:rsidR="00B4270C" w:rsidRDefault="00DA50DB" w:rsidP="00B4270C">
            <w:pPr>
              <w:jc w:val="center"/>
              <w:rPr>
                <w:rFonts w:ascii="Arial" w:hAnsi="Arial"/>
                <w:b/>
                <w:color w:val="FFFFFF"/>
                <w:sz w:val="20"/>
              </w:rPr>
            </w:pPr>
            <w:r>
              <w:rPr>
                <w:rFonts w:ascii="Arial" w:hAnsi="Arial"/>
                <w:b/>
                <w:color w:val="FFFFFF"/>
                <w:sz w:val="20"/>
              </w:rPr>
              <w:t>FY 2022</w:t>
            </w:r>
          </w:p>
        </w:tc>
      </w:tr>
      <w:tr w:rsidR="00DA50DB" w:rsidRPr="002E1D2E" w14:paraId="444F22F7" w14:textId="77777777" w:rsidTr="002E1D2E">
        <w:tc>
          <w:tcPr>
            <w:tcW w:w="4168" w:type="dxa"/>
            <w:shd w:val="clear" w:color="auto" w:fill="auto"/>
          </w:tcPr>
          <w:p w14:paraId="70385023" w14:textId="77777777" w:rsidR="00DA50DB" w:rsidRPr="002E1D2E" w:rsidRDefault="00DA50DB" w:rsidP="00DA50DB">
            <w:pPr>
              <w:rPr>
                <w:rFonts w:ascii="Arial" w:hAnsi="Arial"/>
                <w:sz w:val="20"/>
              </w:rPr>
            </w:pPr>
            <w:bookmarkStart w:id="4" w:name="_Hlk270687858"/>
            <w:r w:rsidRPr="002E1D2E">
              <w:rPr>
                <w:rFonts w:ascii="Arial" w:hAnsi="Arial"/>
                <w:sz w:val="20"/>
              </w:rPr>
              <w:t xml:space="preserve">Incarcerated Offenders </w:t>
            </w:r>
            <w:r w:rsidRPr="002E1D2E">
              <w:rPr>
                <w:rFonts w:ascii="Arial" w:hAnsi="Arial"/>
                <w:i/>
                <w:sz w:val="20"/>
              </w:rPr>
              <w:t>(Year-end)</w:t>
            </w:r>
            <w:r w:rsidRPr="002E1D2E">
              <w:rPr>
                <w:rFonts w:ascii="Arial" w:hAnsi="Arial"/>
                <w:sz w:val="20"/>
              </w:rPr>
              <w:t xml:space="preserve">  </w:t>
            </w:r>
          </w:p>
        </w:tc>
        <w:tc>
          <w:tcPr>
            <w:tcW w:w="1478" w:type="dxa"/>
            <w:shd w:val="clear" w:color="auto" w:fill="auto"/>
          </w:tcPr>
          <w:p w14:paraId="3B673584" w14:textId="13D01F08" w:rsidR="00DA50DB" w:rsidRPr="002E1D2E" w:rsidRDefault="00DA50DB" w:rsidP="00DA50DB">
            <w:pPr>
              <w:jc w:val="right"/>
              <w:rPr>
                <w:rFonts w:ascii="Arial" w:hAnsi="Arial"/>
                <w:snapToGrid w:val="0"/>
                <w:color w:val="000000"/>
                <w:sz w:val="20"/>
              </w:rPr>
            </w:pPr>
            <w:r w:rsidRPr="002E1D2E">
              <w:rPr>
                <w:rFonts w:ascii="Arial" w:hAnsi="Arial"/>
                <w:snapToGrid w:val="0"/>
                <w:color w:val="000000"/>
                <w:sz w:val="20"/>
              </w:rPr>
              <w:t>9,030</w:t>
            </w:r>
          </w:p>
        </w:tc>
        <w:tc>
          <w:tcPr>
            <w:tcW w:w="1478" w:type="dxa"/>
            <w:shd w:val="clear" w:color="auto" w:fill="auto"/>
          </w:tcPr>
          <w:p w14:paraId="017CEAE3" w14:textId="32432D0E" w:rsidR="00DA50DB" w:rsidRPr="002E1D2E" w:rsidRDefault="00DA50DB" w:rsidP="00DA50DB">
            <w:pPr>
              <w:jc w:val="right"/>
              <w:rPr>
                <w:rFonts w:ascii="Arial" w:hAnsi="Arial"/>
                <w:snapToGrid w:val="0"/>
                <w:color w:val="000000"/>
                <w:sz w:val="20"/>
              </w:rPr>
            </w:pPr>
            <w:r w:rsidRPr="002E1D2E">
              <w:rPr>
                <w:rFonts w:ascii="Arial" w:hAnsi="Arial"/>
                <w:snapToGrid w:val="0"/>
                <w:color w:val="000000"/>
                <w:sz w:val="20"/>
              </w:rPr>
              <w:t>8,775</w:t>
            </w:r>
          </w:p>
        </w:tc>
        <w:tc>
          <w:tcPr>
            <w:tcW w:w="1478" w:type="dxa"/>
            <w:shd w:val="clear" w:color="auto" w:fill="auto"/>
          </w:tcPr>
          <w:p w14:paraId="304BC974" w14:textId="56243FEF" w:rsidR="00DA50DB" w:rsidRPr="002E1D2E" w:rsidRDefault="00DA50DB" w:rsidP="00DA50DB">
            <w:pPr>
              <w:jc w:val="right"/>
              <w:rPr>
                <w:rFonts w:ascii="Arial" w:hAnsi="Arial"/>
                <w:snapToGrid w:val="0"/>
                <w:color w:val="000000"/>
                <w:sz w:val="20"/>
              </w:rPr>
            </w:pPr>
            <w:r w:rsidRPr="002E1D2E">
              <w:rPr>
                <w:rFonts w:ascii="Arial" w:hAnsi="Arial"/>
                <w:color w:val="000000" w:themeColor="text1"/>
                <w:sz w:val="20"/>
              </w:rPr>
              <w:t>8,518</w:t>
            </w:r>
          </w:p>
        </w:tc>
        <w:tc>
          <w:tcPr>
            <w:tcW w:w="1478" w:type="dxa"/>
            <w:shd w:val="clear" w:color="auto" w:fill="auto"/>
          </w:tcPr>
          <w:p w14:paraId="667C2974" w14:textId="0DA99856" w:rsidR="00DA50DB" w:rsidRPr="002E1D2E" w:rsidRDefault="00DA50DB" w:rsidP="00DA50DB">
            <w:pPr>
              <w:jc w:val="right"/>
              <w:rPr>
                <w:rFonts w:ascii="Arial" w:hAnsi="Arial"/>
                <w:snapToGrid w:val="0"/>
                <w:color w:val="000000"/>
                <w:sz w:val="20"/>
              </w:rPr>
            </w:pPr>
          </w:p>
        </w:tc>
      </w:tr>
      <w:tr w:rsidR="00DA50DB" w:rsidRPr="002E1D2E" w14:paraId="6232F365" w14:textId="77777777" w:rsidTr="002E1D2E">
        <w:tc>
          <w:tcPr>
            <w:tcW w:w="4168" w:type="dxa"/>
            <w:tcBorders>
              <w:bottom w:val="single" w:sz="4" w:space="0" w:color="auto"/>
            </w:tcBorders>
            <w:shd w:val="clear" w:color="auto" w:fill="auto"/>
          </w:tcPr>
          <w:p w14:paraId="2AFD3B64" w14:textId="77777777" w:rsidR="00DA50DB" w:rsidRPr="002E1D2E" w:rsidRDefault="00DA50DB" w:rsidP="00DA50DB">
            <w:pPr>
              <w:rPr>
                <w:rFonts w:ascii="Arial" w:hAnsi="Arial"/>
                <w:sz w:val="20"/>
              </w:rPr>
            </w:pPr>
            <w:r w:rsidRPr="002E1D2E">
              <w:rPr>
                <w:rFonts w:ascii="Arial" w:hAnsi="Arial"/>
                <w:sz w:val="20"/>
              </w:rPr>
              <w:t xml:space="preserve">Supervised Offenders, In State </w:t>
            </w:r>
            <w:r w:rsidRPr="002E1D2E">
              <w:rPr>
                <w:rFonts w:ascii="Arial" w:hAnsi="Arial"/>
                <w:i/>
                <w:sz w:val="20"/>
              </w:rPr>
              <w:t>(Year-end</w:t>
            </w:r>
            <w:r w:rsidRPr="002E1D2E">
              <w:rPr>
                <w:rFonts w:ascii="Arial" w:hAnsi="Arial"/>
                <w:i/>
                <w:sz w:val="20"/>
                <w:vertAlign w:val="superscript"/>
              </w:rPr>
              <w:t>1</w:t>
            </w:r>
            <w:r w:rsidRPr="002E1D2E">
              <w:rPr>
                <w:rFonts w:ascii="Arial" w:hAnsi="Arial"/>
                <w:i/>
                <w:sz w:val="20"/>
              </w:rPr>
              <w:t>)</w:t>
            </w:r>
          </w:p>
        </w:tc>
        <w:tc>
          <w:tcPr>
            <w:tcW w:w="1478" w:type="dxa"/>
            <w:tcBorders>
              <w:bottom w:val="single" w:sz="4" w:space="0" w:color="auto"/>
            </w:tcBorders>
            <w:shd w:val="clear" w:color="auto" w:fill="auto"/>
          </w:tcPr>
          <w:p w14:paraId="4FDC471D" w14:textId="47B5A976" w:rsidR="00DA50DB" w:rsidRPr="002E1D2E" w:rsidRDefault="00DA50DB" w:rsidP="00DA50DB">
            <w:pPr>
              <w:jc w:val="right"/>
              <w:rPr>
                <w:rFonts w:ascii="Arial" w:hAnsi="Arial"/>
                <w:snapToGrid w:val="0"/>
                <w:color w:val="000000"/>
                <w:sz w:val="20"/>
              </w:rPr>
            </w:pPr>
            <w:r w:rsidRPr="002E1D2E">
              <w:rPr>
                <w:rFonts w:ascii="Arial" w:hAnsi="Arial"/>
                <w:snapToGrid w:val="0"/>
                <w:sz w:val="20"/>
              </w:rPr>
              <w:t>16,820</w:t>
            </w:r>
          </w:p>
        </w:tc>
        <w:tc>
          <w:tcPr>
            <w:tcW w:w="1478" w:type="dxa"/>
            <w:tcBorders>
              <w:bottom w:val="single" w:sz="4" w:space="0" w:color="auto"/>
            </w:tcBorders>
            <w:shd w:val="clear" w:color="auto" w:fill="auto"/>
          </w:tcPr>
          <w:p w14:paraId="50A110EE" w14:textId="1F32F474" w:rsidR="00DA50DB" w:rsidRPr="002E1D2E" w:rsidRDefault="00DA50DB" w:rsidP="00DA50DB">
            <w:pPr>
              <w:jc w:val="right"/>
              <w:rPr>
                <w:rFonts w:ascii="Arial" w:hAnsi="Arial"/>
                <w:snapToGrid w:val="0"/>
                <w:color w:val="000000"/>
                <w:sz w:val="20"/>
              </w:rPr>
            </w:pPr>
            <w:r w:rsidRPr="002E1D2E">
              <w:rPr>
                <w:rFonts w:ascii="Arial" w:hAnsi="Arial"/>
                <w:snapToGrid w:val="0"/>
                <w:sz w:val="20"/>
              </w:rPr>
              <w:t>17,403</w:t>
            </w:r>
          </w:p>
        </w:tc>
        <w:tc>
          <w:tcPr>
            <w:tcW w:w="1478" w:type="dxa"/>
            <w:tcBorders>
              <w:bottom w:val="single" w:sz="4" w:space="0" w:color="auto"/>
            </w:tcBorders>
            <w:shd w:val="clear" w:color="auto" w:fill="auto"/>
          </w:tcPr>
          <w:p w14:paraId="4E135BCB" w14:textId="00D8BECA" w:rsidR="00DA50DB" w:rsidRPr="002E1D2E" w:rsidRDefault="00DA50DB" w:rsidP="00DA50DB">
            <w:pPr>
              <w:jc w:val="right"/>
              <w:rPr>
                <w:rFonts w:ascii="Arial" w:hAnsi="Arial"/>
                <w:snapToGrid w:val="0"/>
                <w:sz w:val="20"/>
              </w:rPr>
            </w:pPr>
            <w:r w:rsidRPr="002E1D2E">
              <w:rPr>
                <w:rFonts w:ascii="Arial" w:hAnsi="Arial"/>
                <w:sz w:val="20"/>
              </w:rPr>
              <w:t>16,579</w:t>
            </w:r>
          </w:p>
        </w:tc>
        <w:tc>
          <w:tcPr>
            <w:tcW w:w="1478" w:type="dxa"/>
            <w:tcBorders>
              <w:bottom w:val="single" w:sz="4" w:space="0" w:color="auto"/>
            </w:tcBorders>
            <w:shd w:val="clear" w:color="auto" w:fill="auto"/>
          </w:tcPr>
          <w:p w14:paraId="57B552B6" w14:textId="275C6564" w:rsidR="00DA50DB" w:rsidRPr="002E1D2E" w:rsidRDefault="00DA50DB" w:rsidP="00DA50DB">
            <w:pPr>
              <w:jc w:val="right"/>
              <w:rPr>
                <w:rFonts w:ascii="Arial" w:hAnsi="Arial"/>
                <w:snapToGrid w:val="0"/>
                <w:sz w:val="20"/>
              </w:rPr>
            </w:pPr>
          </w:p>
        </w:tc>
      </w:tr>
      <w:tr w:rsidR="00DA50DB" w:rsidRPr="002E1D2E" w14:paraId="7D656480" w14:textId="77777777" w:rsidTr="002E1D2E">
        <w:tc>
          <w:tcPr>
            <w:tcW w:w="4168" w:type="dxa"/>
            <w:tcBorders>
              <w:bottom w:val="single" w:sz="4" w:space="0" w:color="auto"/>
            </w:tcBorders>
            <w:shd w:val="clear" w:color="auto" w:fill="auto"/>
          </w:tcPr>
          <w:p w14:paraId="57B05D61" w14:textId="77777777" w:rsidR="00DA50DB" w:rsidRPr="002E1D2E" w:rsidRDefault="00DA50DB" w:rsidP="00DA50DB">
            <w:pPr>
              <w:rPr>
                <w:rFonts w:ascii="Arial" w:hAnsi="Arial"/>
                <w:sz w:val="20"/>
              </w:rPr>
            </w:pPr>
            <w:r w:rsidRPr="002E1D2E">
              <w:rPr>
                <w:rFonts w:ascii="Arial" w:hAnsi="Arial"/>
                <w:sz w:val="20"/>
              </w:rPr>
              <w:t>Interstate Compact Supervised Offenders</w:t>
            </w:r>
            <w:r w:rsidRPr="002E1D2E">
              <w:rPr>
                <w:rFonts w:ascii="Arial" w:hAnsi="Arial"/>
                <w:sz w:val="20"/>
                <w:vertAlign w:val="superscript"/>
              </w:rPr>
              <w:t>2</w:t>
            </w:r>
          </w:p>
        </w:tc>
        <w:tc>
          <w:tcPr>
            <w:tcW w:w="1478" w:type="dxa"/>
            <w:tcBorders>
              <w:bottom w:val="single" w:sz="4" w:space="0" w:color="auto"/>
            </w:tcBorders>
            <w:shd w:val="clear" w:color="auto" w:fill="auto"/>
          </w:tcPr>
          <w:p w14:paraId="23FB3D76" w14:textId="161C0B26" w:rsidR="00DA50DB" w:rsidRPr="002E1D2E" w:rsidRDefault="00DA50DB" w:rsidP="00DA50DB">
            <w:pPr>
              <w:jc w:val="right"/>
              <w:rPr>
                <w:rFonts w:ascii="Arial" w:hAnsi="Arial"/>
                <w:snapToGrid w:val="0"/>
                <w:color w:val="000000"/>
                <w:sz w:val="20"/>
              </w:rPr>
            </w:pPr>
            <w:r w:rsidRPr="002E1D2E">
              <w:rPr>
                <w:rFonts w:ascii="Arial" w:hAnsi="Arial"/>
                <w:snapToGrid w:val="0"/>
                <w:sz w:val="20"/>
              </w:rPr>
              <w:t>2,295</w:t>
            </w:r>
          </w:p>
        </w:tc>
        <w:tc>
          <w:tcPr>
            <w:tcW w:w="1478" w:type="dxa"/>
            <w:tcBorders>
              <w:bottom w:val="single" w:sz="4" w:space="0" w:color="auto"/>
            </w:tcBorders>
            <w:shd w:val="clear" w:color="auto" w:fill="auto"/>
          </w:tcPr>
          <w:p w14:paraId="7871AEEE" w14:textId="4CE47A63" w:rsidR="00DA50DB" w:rsidRPr="002E1D2E" w:rsidRDefault="00DA50DB" w:rsidP="00DA50DB">
            <w:pPr>
              <w:jc w:val="right"/>
              <w:rPr>
                <w:rFonts w:ascii="Arial" w:hAnsi="Arial"/>
                <w:snapToGrid w:val="0"/>
                <w:color w:val="000000"/>
                <w:sz w:val="20"/>
              </w:rPr>
            </w:pPr>
            <w:r w:rsidRPr="002E1D2E">
              <w:rPr>
                <w:rFonts w:ascii="Arial" w:hAnsi="Arial"/>
                <w:snapToGrid w:val="0"/>
                <w:sz w:val="20"/>
              </w:rPr>
              <w:t>2,387</w:t>
            </w:r>
          </w:p>
        </w:tc>
        <w:tc>
          <w:tcPr>
            <w:tcW w:w="1478" w:type="dxa"/>
            <w:tcBorders>
              <w:bottom w:val="single" w:sz="4" w:space="0" w:color="auto"/>
            </w:tcBorders>
            <w:shd w:val="clear" w:color="auto" w:fill="auto"/>
          </w:tcPr>
          <w:p w14:paraId="3C50E336" w14:textId="7437F52D" w:rsidR="00DA50DB" w:rsidRPr="002E1D2E" w:rsidRDefault="00DA50DB" w:rsidP="00DA50DB">
            <w:pPr>
              <w:jc w:val="right"/>
              <w:rPr>
                <w:rFonts w:ascii="Arial" w:hAnsi="Arial"/>
                <w:snapToGrid w:val="0"/>
                <w:sz w:val="20"/>
              </w:rPr>
            </w:pPr>
            <w:r w:rsidRPr="002E1D2E">
              <w:rPr>
                <w:rFonts w:ascii="Arial" w:hAnsi="Arial"/>
                <w:sz w:val="20"/>
              </w:rPr>
              <w:t>2,390</w:t>
            </w:r>
          </w:p>
        </w:tc>
        <w:tc>
          <w:tcPr>
            <w:tcW w:w="1478" w:type="dxa"/>
            <w:tcBorders>
              <w:bottom w:val="single" w:sz="4" w:space="0" w:color="auto"/>
            </w:tcBorders>
            <w:shd w:val="clear" w:color="auto" w:fill="auto"/>
          </w:tcPr>
          <w:p w14:paraId="0629671D" w14:textId="0A13C9D0" w:rsidR="00DA50DB" w:rsidRPr="002E1D2E" w:rsidRDefault="00DA50DB" w:rsidP="00DA50DB">
            <w:pPr>
              <w:spacing w:line="259" w:lineRule="auto"/>
              <w:jc w:val="right"/>
              <w:rPr>
                <w:rFonts w:ascii="Arial" w:hAnsi="Arial"/>
                <w:szCs w:val="24"/>
              </w:rPr>
            </w:pPr>
          </w:p>
        </w:tc>
      </w:tr>
      <w:tr w:rsidR="00DA50DB" w:rsidRPr="002E1D2E" w14:paraId="599888C1" w14:textId="77777777" w:rsidTr="002E1D2E">
        <w:tc>
          <w:tcPr>
            <w:tcW w:w="4168" w:type="dxa"/>
            <w:tcBorders>
              <w:bottom w:val="single" w:sz="4" w:space="0" w:color="auto"/>
            </w:tcBorders>
            <w:shd w:val="clear" w:color="auto" w:fill="auto"/>
          </w:tcPr>
          <w:p w14:paraId="35CD7FB5" w14:textId="77777777" w:rsidR="00DA50DB" w:rsidRPr="002E1D2E" w:rsidRDefault="00DA50DB" w:rsidP="00DA50DB">
            <w:pPr>
              <w:rPr>
                <w:rFonts w:ascii="Arial" w:hAnsi="Arial"/>
                <w:sz w:val="20"/>
              </w:rPr>
            </w:pPr>
            <w:r w:rsidRPr="002E1D2E">
              <w:rPr>
                <w:rFonts w:ascii="Arial" w:hAnsi="Arial"/>
                <w:sz w:val="20"/>
              </w:rPr>
              <w:t>Pre-sentence Investigation Reports</w:t>
            </w:r>
          </w:p>
        </w:tc>
        <w:tc>
          <w:tcPr>
            <w:tcW w:w="1478" w:type="dxa"/>
            <w:tcBorders>
              <w:bottom w:val="single" w:sz="4" w:space="0" w:color="auto"/>
            </w:tcBorders>
            <w:shd w:val="clear" w:color="auto" w:fill="auto"/>
          </w:tcPr>
          <w:p w14:paraId="27A90A50" w14:textId="21C5B357" w:rsidR="00DA50DB" w:rsidRPr="002E1D2E" w:rsidRDefault="00DA50DB" w:rsidP="00DA50DB">
            <w:pPr>
              <w:jc w:val="right"/>
              <w:rPr>
                <w:rFonts w:ascii="Arial" w:hAnsi="Arial"/>
                <w:snapToGrid w:val="0"/>
                <w:color w:val="000000"/>
                <w:sz w:val="20"/>
              </w:rPr>
            </w:pPr>
            <w:r w:rsidRPr="002E1D2E">
              <w:rPr>
                <w:rFonts w:ascii="Arial" w:hAnsi="Arial"/>
                <w:snapToGrid w:val="0"/>
                <w:color w:val="000000"/>
                <w:sz w:val="20"/>
              </w:rPr>
              <w:t>6,039</w:t>
            </w:r>
          </w:p>
        </w:tc>
        <w:tc>
          <w:tcPr>
            <w:tcW w:w="1478" w:type="dxa"/>
            <w:tcBorders>
              <w:bottom w:val="single" w:sz="4" w:space="0" w:color="auto"/>
            </w:tcBorders>
            <w:shd w:val="clear" w:color="auto" w:fill="auto"/>
          </w:tcPr>
          <w:p w14:paraId="1AFD6473" w14:textId="387DCAFA" w:rsidR="00DA50DB" w:rsidRPr="002E1D2E" w:rsidRDefault="00DA50DB" w:rsidP="00DA50DB">
            <w:pPr>
              <w:jc w:val="right"/>
              <w:rPr>
                <w:rFonts w:ascii="Arial" w:hAnsi="Arial"/>
                <w:snapToGrid w:val="0"/>
                <w:color w:val="000000"/>
                <w:sz w:val="20"/>
              </w:rPr>
            </w:pPr>
            <w:r w:rsidRPr="002E1D2E">
              <w:rPr>
                <w:rFonts w:ascii="Arial" w:hAnsi="Arial"/>
                <w:snapToGrid w:val="0"/>
                <w:color w:val="000000"/>
                <w:sz w:val="20"/>
              </w:rPr>
              <w:t>4,879</w:t>
            </w:r>
          </w:p>
        </w:tc>
        <w:tc>
          <w:tcPr>
            <w:tcW w:w="1478" w:type="dxa"/>
            <w:tcBorders>
              <w:bottom w:val="single" w:sz="4" w:space="0" w:color="auto"/>
            </w:tcBorders>
            <w:shd w:val="clear" w:color="auto" w:fill="auto"/>
          </w:tcPr>
          <w:p w14:paraId="06034AE6" w14:textId="4CE09F67" w:rsidR="00DA50DB" w:rsidRPr="002E1D2E" w:rsidRDefault="00DA50DB" w:rsidP="00DA50DB">
            <w:pPr>
              <w:jc w:val="right"/>
              <w:rPr>
                <w:rFonts w:ascii="Arial" w:hAnsi="Arial"/>
                <w:snapToGrid w:val="0"/>
                <w:color w:val="000000"/>
                <w:sz w:val="20"/>
              </w:rPr>
            </w:pPr>
            <w:r w:rsidRPr="002E1D2E">
              <w:rPr>
                <w:rFonts w:ascii="Arial" w:hAnsi="Arial"/>
                <w:color w:val="000000" w:themeColor="text1"/>
                <w:sz w:val="20"/>
              </w:rPr>
              <w:t>4,310</w:t>
            </w:r>
          </w:p>
        </w:tc>
        <w:tc>
          <w:tcPr>
            <w:tcW w:w="1478" w:type="dxa"/>
            <w:tcBorders>
              <w:bottom w:val="single" w:sz="4" w:space="0" w:color="auto"/>
            </w:tcBorders>
            <w:shd w:val="clear" w:color="auto" w:fill="auto"/>
          </w:tcPr>
          <w:p w14:paraId="475D1918" w14:textId="1EE7CFA0" w:rsidR="00DA50DB" w:rsidRPr="002E1D2E" w:rsidRDefault="00DA50DB" w:rsidP="00DA50DB">
            <w:pPr>
              <w:spacing w:line="259" w:lineRule="auto"/>
              <w:jc w:val="right"/>
              <w:rPr>
                <w:rFonts w:ascii="Arial" w:hAnsi="Arial"/>
                <w:color w:val="000000" w:themeColor="text1"/>
                <w:szCs w:val="24"/>
              </w:rPr>
            </w:pPr>
          </w:p>
        </w:tc>
      </w:tr>
      <w:tr w:rsidR="00DA50DB" w:rsidRPr="002E1D2E" w14:paraId="6C7377AE" w14:textId="77777777" w:rsidTr="002E1D2E">
        <w:tc>
          <w:tcPr>
            <w:tcW w:w="4168" w:type="dxa"/>
            <w:tcBorders>
              <w:bottom w:val="single" w:sz="4" w:space="0" w:color="auto"/>
            </w:tcBorders>
            <w:shd w:val="clear" w:color="auto" w:fill="auto"/>
            <w:vAlign w:val="bottom"/>
          </w:tcPr>
          <w:p w14:paraId="4BC3488D" w14:textId="77777777" w:rsidR="00DA50DB" w:rsidRPr="002E1D2E" w:rsidRDefault="00DA50DB" w:rsidP="00DA50DB">
            <w:pPr>
              <w:rPr>
                <w:rFonts w:ascii="Arial" w:hAnsi="Arial"/>
                <w:sz w:val="20"/>
              </w:rPr>
            </w:pPr>
            <w:r w:rsidRPr="002E1D2E">
              <w:rPr>
                <w:rFonts w:ascii="Arial" w:hAnsi="Arial" w:cs="Arial"/>
                <w:color w:val="000000"/>
                <w:sz w:val="20"/>
              </w:rPr>
              <w:t xml:space="preserve">Term Prison Admissions </w:t>
            </w:r>
          </w:p>
        </w:tc>
        <w:tc>
          <w:tcPr>
            <w:tcW w:w="1478" w:type="dxa"/>
            <w:tcBorders>
              <w:bottom w:val="single" w:sz="4" w:space="0" w:color="auto"/>
            </w:tcBorders>
            <w:shd w:val="clear" w:color="auto" w:fill="auto"/>
            <w:vAlign w:val="bottom"/>
          </w:tcPr>
          <w:p w14:paraId="1DC32D67" w14:textId="6050104D" w:rsidR="00DA50DB" w:rsidRPr="002E1D2E" w:rsidRDefault="00DA50DB" w:rsidP="00DA50DB">
            <w:pPr>
              <w:jc w:val="right"/>
              <w:rPr>
                <w:rFonts w:ascii="Arial" w:hAnsi="Arial"/>
                <w:snapToGrid w:val="0"/>
                <w:color w:val="000000"/>
                <w:sz w:val="20"/>
              </w:rPr>
            </w:pPr>
            <w:r w:rsidRPr="002E1D2E">
              <w:rPr>
                <w:rFonts w:ascii="Arial" w:hAnsi="Arial"/>
                <w:snapToGrid w:val="0"/>
                <w:color w:val="000000"/>
                <w:sz w:val="20"/>
              </w:rPr>
              <w:t>2,731</w:t>
            </w:r>
          </w:p>
        </w:tc>
        <w:tc>
          <w:tcPr>
            <w:tcW w:w="1478" w:type="dxa"/>
            <w:tcBorders>
              <w:bottom w:val="single" w:sz="4" w:space="0" w:color="auto"/>
            </w:tcBorders>
            <w:shd w:val="clear" w:color="auto" w:fill="auto"/>
            <w:vAlign w:val="bottom"/>
          </w:tcPr>
          <w:p w14:paraId="63B19CA3" w14:textId="7A8E4AA9" w:rsidR="00DA50DB" w:rsidRPr="002E1D2E" w:rsidRDefault="00DA50DB" w:rsidP="00DA50DB">
            <w:pPr>
              <w:jc w:val="right"/>
              <w:rPr>
                <w:rFonts w:ascii="Arial" w:hAnsi="Arial"/>
                <w:snapToGrid w:val="0"/>
                <w:color w:val="000000"/>
                <w:sz w:val="20"/>
              </w:rPr>
            </w:pPr>
            <w:r w:rsidRPr="002E1D2E">
              <w:rPr>
                <w:rFonts w:ascii="Arial" w:hAnsi="Arial"/>
                <w:snapToGrid w:val="0"/>
                <w:color w:val="000000"/>
                <w:sz w:val="20"/>
              </w:rPr>
              <w:t>2,693</w:t>
            </w:r>
          </w:p>
        </w:tc>
        <w:tc>
          <w:tcPr>
            <w:tcW w:w="1478" w:type="dxa"/>
            <w:tcBorders>
              <w:bottom w:val="single" w:sz="4" w:space="0" w:color="auto"/>
            </w:tcBorders>
            <w:shd w:val="clear" w:color="auto" w:fill="auto"/>
            <w:vAlign w:val="bottom"/>
          </w:tcPr>
          <w:p w14:paraId="2FD2F959" w14:textId="3FD33CCA" w:rsidR="00DA50DB" w:rsidRPr="002E1D2E" w:rsidRDefault="00DA50DB" w:rsidP="00DA50DB">
            <w:pPr>
              <w:jc w:val="right"/>
              <w:rPr>
                <w:rFonts w:ascii="Arial" w:hAnsi="Arial"/>
                <w:snapToGrid w:val="0"/>
                <w:color w:val="000000"/>
                <w:sz w:val="20"/>
              </w:rPr>
            </w:pPr>
            <w:r w:rsidRPr="002E1D2E">
              <w:rPr>
                <w:rFonts w:ascii="Arial" w:hAnsi="Arial"/>
                <w:color w:val="000000" w:themeColor="text1"/>
                <w:sz w:val="20"/>
              </w:rPr>
              <w:t>2,484</w:t>
            </w:r>
          </w:p>
        </w:tc>
        <w:tc>
          <w:tcPr>
            <w:tcW w:w="1478" w:type="dxa"/>
            <w:tcBorders>
              <w:bottom w:val="single" w:sz="4" w:space="0" w:color="auto"/>
            </w:tcBorders>
            <w:shd w:val="clear" w:color="auto" w:fill="auto"/>
            <w:vAlign w:val="bottom"/>
          </w:tcPr>
          <w:p w14:paraId="4BB4A6E5" w14:textId="4D74AEFD" w:rsidR="00DA50DB" w:rsidRPr="002E1D2E" w:rsidRDefault="00DA50DB" w:rsidP="00DA50DB">
            <w:pPr>
              <w:jc w:val="right"/>
              <w:rPr>
                <w:rFonts w:ascii="Arial" w:hAnsi="Arial"/>
                <w:snapToGrid w:val="0"/>
                <w:color w:val="000000"/>
                <w:sz w:val="20"/>
              </w:rPr>
            </w:pPr>
          </w:p>
        </w:tc>
      </w:tr>
      <w:tr w:rsidR="00DA50DB" w:rsidRPr="002E1D2E" w14:paraId="0BAFAB08" w14:textId="77777777" w:rsidTr="002E1D2E">
        <w:tc>
          <w:tcPr>
            <w:tcW w:w="4168" w:type="dxa"/>
            <w:tcBorders>
              <w:bottom w:val="single" w:sz="4" w:space="0" w:color="auto"/>
            </w:tcBorders>
            <w:shd w:val="clear" w:color="auto" w:fill="auto"/>
            <w:vAlign w:val="bottom"/>
          </w:tcPr>
          <w:p w14:paraId="24C33BE8" w14:textId="77777777" w:rsidR="00DA50DB" w:rsidRPr="002E1D2E" w:rsidRDefault="00DA50DB" w:rsidP="00DA50DB">
            <w:pPr>
              <w:rPr>
                <w:rFonts w:ascii="Arial" w:hAnsi="Arial" w:cs="Arial"/>
                <w:color w:val="000000"/>
                <w:sz w:val="20"/>
              </w:rPr>
            </w:pPr>
            <w:r w:rsidRPr="002E1D2E">
              <w:rPr>
                <w:rFonts w:ascii="Arial" w:hAnsi="Arial" w:cs="Arial"/>
                <w:color w:val="000000"/>
                <w:sz w:val="20"/>
              </w:rPr>
              <w:t>Retained Jurisdiction Prison Admissions</w:t>
            </w:r>
          </w:p>
        </w:tc>
        <w:tc>
          <w:tcPr>
            <w:tcW w:w="1478" w:type="dxa"/>
            <w:tcBorders>
              <w:bottom w:val="single" w:sz="4" w:space="0" w:color="auto"/>
            </w:tcBorders>
            <w:shd w:val="clear" w:color="auto" w:fill="auto"/>
            <w:vAlign w:val="bottom"/>
          </w:tcPr>
          <w:p w14:paraId="70DE0A1F" w14:textId="25CFF3EA" w:rsidR="00DA50DB" w:rsidRPr="002E1D2E" w:rsidRDefault="00DA50DB" w:rsidP="00DA50DB">
            <w:pPr>
              <w:jc w:val="right"/>
              <w:rPr>
                <w:rFonts w:ascii="Arial" w:hAnsi="Arial" w:cs="Arial"/>
                <w:color w:val="000000"/>
                <w:sz w:val="20"/>
              </w:rPr>
            </w:pPr>
            <w:r w:rsidRPr="002E1D2E">
              <w:rPr>
                <w:rFonts w:ascii="Arial" w:hAnsi="Arial" w:cs="Arial"/>
                <w:color w:val="000000"/>
                <w:sz w:val="20"/>
              </w:rPr>
              <w:t>2,555</w:t>
            </w:r>
          </w:p>
        </w:tc>
        <w:tc>
          <w:tcPr>
            <w:tcW w:w="1478" w:type="dxa"/>
            <w:tcBorders>
              <w:bottom w:val="single" w:sz="4" w:space="0" w:color="auto"/>
            </w:tcBorders>
            <w:shd w:val="clear" w:color="auto" w:fill="auto"/>
            <w:vAlign w:val="bottom"/>
          </w:tcPr>
          <w:p w14:paraId="1137351C" w14:textId="35CD2C61" w:rsidR="00DA50DB" w:rsidRPr="002E1D2E" w:rsidRDefault="00DA50DB" w:rsidP="00DA50DB">
            <w:pPr>
              <w:jc w:val="right"/>
              <w:rPr>
                <w:rFonts w:ascii="Arial" w:hAnsi="Arial" w:cs="Arial"/>
                <w:color w:val="000000"/>
                <w:sz w:val="20"/>
              </w:rPr>
            </w:pPr>
            <w:r w:rsidRPr="002E1D2E">
              <w:rPr>
                <w:rFonts w:ascii="Arial" w:hAnsi="Arial" w:cs="Arial"/>
                <w:color w:val="000000"/>
                <w:sz w:val="20"/>
              </w:rPr>
              <w:t>2,537</w:t>
            </w:r>
          </w:p>
        </w:tc>
        <w:tc>
          <w:tcPr>
            <w:tcW w:w="1478" w:type="dxa"/>
            <w:tcBorders>
              <w:bottom w:val="single" w:sz="4" w:space="0" w:color="auto"/>
            </w:tcBorders>
            <w:shd w:val="clear" w:color="auto" w:fill="auto"/>
            <w:vAlign w:val="bottom"/>
          </w:tcPr>
          <w:p w14:paraId="0DFD31BE" w14:textId="1B2C4CF2" w:rsidR="00DA50DB" w:rsidRPr="002E1D2E" w:rsidRDefault="00DA50DB" w:rsidP="00DA50DB">
            <w:pPr>
              <w:jc w:val="right"/>
              <w:rPr>
                <w:rFonts w:ascii="Arial" w:hAnsi="Arial" w:cs="Arial"/>
                <w:color w:val="000000"/>
                <w:sz w:val="20"/>
              </w:rPr>
            </w:pPr>
            <w:r w:rsidRPr="002E1D2E">
              <w:rPr>
                <w:rFonts w:ascii="Arial" w:hAnsi="Arial" w:cs="Arial"/>
                <w:color w:val="000000" w:themeColor="text1"/>
                <w:sz w:val="20"/>
              </w:rPr>
              <w:t>1,929</w:t>
            </w:r>
          </w:p>
        </w:tc>
        <w:tc>
          <w:tcPr>
            <w:tcW w:w="1478" w:type="dxa"/>
            <w:tcBorders>
              <w:bottom w:val="single" w:sz="4" w:space="0" w:color="auto"/>
            </w:tcBorders>
            <w:shd w:val="clear" w:color="auto" w:fill="auto"/>
            <w:vAlign w:val="bottom"/>
          </w:tcPr>
          <w:p w14:paraId="4569ECD6" w14:textId="46236382" w:rsidR="00DA50DB" w:rsidRPr="002E1D2E" w:rsidRDefault="00DA50DB" w:rsidP="00DA50DB">
            <w:pPr>
              <w:jc w:val="right"/>
              <w:rPr>
                <w:rFonts w:ascii="Arial" w:hAnsi="Arial" w:cs="Arial"/>
                <w:color w:val="000000"/>
                <w:sz w:val="20"/>
              </w:rPr>
            </w:pPr>
          </w:p>
        </w:tc>
      </w:tr>
      <w:tr w:rsidR="00DA50DB" w:rsidRPr="002E1D2E" w14:paraId="63DC96DD" w14:textId="77777777" w:rsidTr="002E1D2E">
        <w:tc>
          <w:tcPr>
            <w:tcW w:w="4168" w:type="dxa"/>
            <w:tcBorders>
              <w:bottom w:val="single" w:sz="4" w:space="0" w:color="auto"/>
            </w:tcBorders>
            <w:shd w:val="clear" w:color="auto" w:fill="auto"/>
            <w:vAlign w:val="bottom"/>
          </w:tcPr>
          <w:p w14:paraId="6D410AD9" w14:textId="77777777" w:rsidR="00DA50DB" w:rsidRPr="002E1D2E" w:rsidRDefault="00DA50DB" w:rsidP="00DA50DB">
            <w:pPr>
              <w:rPr>
                <w:rFonts w:ascii="Arial" w:hAnsi="Arial" w:cs="Arial"/>
                <w:color w:val="000000"/>
                <w:sz w:val="20"/>
              </w:rPr>
            </w:pPr>
            <w:r w:rsidRPr="002E1D2E">
              <w:rPr>
                <w:rFonts w:ascii="Arial" w:hAnsi="Arial" w:cs="Arial"/>
                <w:color w:val="000000"/>
                <w:sz w:val="20"/>
              </w:rPr>
              <w:t>Parole Violator Prison Admissions</w:t>
            </w:r>
          </w:p>
        </w:tc>
        <w:tc>
          <w:tcPr>
            <w:tcW w:w="1478" w:type="dxa"/>
            <w:tcBorders>
              <w:bottom w:val="single" w:sz="4" w:space="0" w:color="auto"/>
            </w:tcBorders>
            <w:shd w:val="clear" w:color="auto" w:fill="auto"/>
            <w:vAlign w:val="bottom"/>
          </w:tcPr>
          <w:p w14:paraId="734A28D4" w14:textId="0D90B33D" w:rsidR="00DA50DB" w:rsidRPr="002E1D2E" w:rsidRDefault="00DA50DB" w:rsidP="00DA50DB">
            <w:pPr>
              <w:jc w:val="right"/>
              <w:rPr>
                <w:rFonts w:ascii="Arial" w:hAnsi="Arial" w:cs="Arial"/>
                <w:color w:val="000000"/>
                <w:sz w:val="20"/>
              </w:rPr>
            </w:pPr>
            <w:r w:rsidRPr="002E1D2E">
              <w:rPr>
                <w:rFonts w:ascii="Arial" w:hAnsi="Arial" w:cs="Arial"/>
                <w:color w:val="000000"/>
                <w:sz w:val="20"/>
              </w:rPr>
              <w:t>1,779</w:t>
            </w:r>
          </w:p>
        </w:tc>
        <w:tc>
          <w:tcPr>
            <w:tcW w:w="1478" w:type="dxa"/>
            <w:tcBorders>
              <w:bottom w:val="single" w:sz="4" w:space="0" w:color="auto"/>
            </w:tcBorders>
            <w:shd w:val="clear" w:color="auto" w:fill="auto"/>
            <w:vAlign w:val="bottom"/>
          </w:tcPr>
          <w:p w14:paraId="7F0D52E9" w14:textId="0338DE0A" w:rsidR="00DA50DB" w:rsidRPr="002E1D2E" w:rsidRDefault="00DA50DB" w:rsidP="00DA50DB">
            <w:pPr>
              <w:jc w:val="right"/>
              <w:rPr>
                <w:rFonts w:ascii="Arial" w:hAnsi="Arial" w:cs="Arial"/>
                <w:color w:val="000000"/>
                <w:sz w:val="20"/>
              </w:rPr>
            </w:pPr>
            <w:r w:rsidRPr="002E1D2E">
              <w:rPr>
                <w:rFonts w:ascii="Arial" w:hAnsi="Arial" w:cs="Arial"/>
                <w:color w:val="000000"/>
                <w:sz w:val="20"/>
              </w:rPr>
              <w:t>1,842</w:t>
            </w:r>
          </w:p>
        </w:tc>
        <w:tc>
          <w:tcPr>
            <w:tcW w:w="1478" w:type="dxa"/>
            <w:tcBorders>
              <w:bottom w:val="single" w:sz="4" w:space="0" w:color="auto"/>
            </w:tcBorders>
            <w:shd w:val="clear" w:color="auto" w:fill="auto"/>
            <w:vAlign w:val="bottom"/>
          </w:tcPr>
          <w:p w14:paraId="3D32A543" w14:textId="37AAE5EC" w:rsidR="00DA50DB" w:rsidRPr="002E1D2E" w:rsidRDefault="00DA50DB" w:rsidP="00DA50DB">
            <w:pPr>
              <w:jc w:val="right"/>
              <w:rPr>
                <w:rFonts w:ascii="Arial" w:hAnsi="Arial" w:cs="Arial"/>
                <w:color w:val="000000"/>
                <w:sz w:val="20"/>
              </w:rPr>
            </w:pPr>
            <w:r w:rsidRPr="002E1D2E">
              <w:rPr>
                <w:rFonts w:ascii="Arial" w:hAnsi="Arial" w:cs="Arial"/>
                <w:color w:val="000000" w:themeColor="text1"/>
                <w:sz w:val="20"/>
              </w:rPr>
              <w:t>1,663</w:t>
            </w:r>
          </w:p>
        </w:tc>
        <w:tc>
          <w:tcPr>
            <w:tcW w:w="1478" w:type="dxa"/>
            <w:tcBorders>
              <w:bottom w:val="single" w:sz="4" w:space="0" w:color="auto"/>
            </w:tcBorders>
            <w:shd w:val="clear" w:color="auto" w:fill="auto"/>
            <w:vAlign w:val="bottom"/>
          </w:tcPr>
          <w:p w14:paraId="5AFAD57A" w14:textId="5F15409F" w:rsidR="00DA50DB" w:rsidRPr="002E1D2E" w:rsidRDefault="00DA50DB" w:rsidP="00DA50DB">
            <w:pPr>
              <w:jc w:val="right"/>
              <w:rPr>
                <w:rFonts w:ascii="Arial" w:hAnsi="Arial" w:cs="Arial"/>
                <w:color w:val="000000"/>
                <w:sz w:val="20"/>
              </w:rPr>
            </w:pPr>
          </w:p>
        </w:tc>
      </w:tr>
      <w:tr w:rsidR="00DA50DB" w:rsidRPr="002E1D2E" w14:paraId="47D4D9A2" w14:textId="77777777" w:rsidTr="002E1D2E">
        <w:tc>
          <w:tcPr>
            <w:tcW w:w="4168" w:type="dxa"/>
            <w:tcBorders>
              <w:bottom w:val="single" w:sz="4" w:space="0" w:color="auto"/>
            </w:tcBorders>
            <w:shd w:val="clear" w:color="auto" w:fill="auto"/>
            <w:vAlign w:val="bottom"/>
          </w:tcPr>
          <w:p w14:paraId="20948B8E" w14:textId="77777777" w:rsidR="00DA50DB" w:rsidRPr="002E1D2E" w:rsidRDefault="00DA50DB" w:rsidP="00DA50DB">
            <w:pPr>
              <w:rPr>
                <w:rFonts w:ascii="Arial" w:hAnsi="Arial" w:cs="Arial"/>
                <w:color w:val="000000"/>
                <w:sz w:val="20"/>
              </w:rPr>
            </w:pPr>
            <w:r w:rsidRPr="002E1D2E">
              <w:rPr>
                <w:rFonts w:ascii="Arial" w:hAnsi="Arial" w:cs="Arial"/>
                <w:color w:val="000000"/>
                <w:sz w:val="20"/>
              </w:rPr>
              <w:t>Total Prison Admissions</w:t>
            </w:r>
          </w:p>
        </w:tc>
        <w:tc>
          <w:tcPr>
            <w:tcW w:w="1478" w:type="dxa"/>
            <w:tcBorders>
              <w:bottom w:val="single" w:sz="4" w:space="0" w:color="auto"/>
            </w:tcBorders>
            <w:shd w:val="clear" w:color="auto" w:fill="auto"/>
            <w:vAlign w:val="bottom"/>
          </w:tcPr>
          <w:p w14:paraId="7DBA964E" w14:textId="324362BC" w:rsidR="00DA50DB" w:rsidRPr="002E1D2E" w:rsidRDefault="00DA50DB" w:rsidP="00DA50DB">
            <w:pPr>
              <w:jc w:val="right"/>
              <w:rPr>
                <w:rFonts w:ascii="Arial" w:hAnsi="Arial" w:cs="Arial"/>
                <w:color w:val="000000"/>
                <w:sz w:val="20"/>
              </w:rPr>
            </w:pPr>
            <w:r w:rsidRPr="002E1D2E">
              <w:rPr>
                <w:rFonts w:ascii="Arial" w:hAnsi="Arial" w:cs="Arial"/>
                <w:color w:val="000000"/>
                <w:sz w:val="20"/>
              </w:rPr>
              <w:t>7,065</w:t>
            </w:r>
          </w:p>
        </w:tc>
        <w:tc>
          <w:tcPr>
            <w:tcW w:w="1478" w:type="dxa"/>
            <w:tcBorders>
              <w:bottom w:val="single" w:sz="4" w:space="0" w:color="auto"/>
            </w:tcBorders>
            <w:shd w:val="clear" w:color="auto" w:fill="auto"/>
            <w:vAlign w:val="bottom"/>
          </w:tcPr>
          <w:p w14:paraId="7A2538BA" w14:textId="5E2F822A" w:rsidR="00DA50DB" w:rsidRPr="002E1D2E" w:rsidRDefault="00DA50DB" w:rsidP="00DA50DB">
            <w:pPr>
              <w:jc w:val="right"/>
              <w:rPr>
                <w:rFonts w:ascii="Arial" w:hAnsi="Arial" w:cs="Arial"/>
                <w:color w:val="000000"/>
                <w:sz w:val="20"/>
              </w:rPr>
            </w:pPr>
            <w:r w:rsidRPr="002E1D2E">
              <w:rPr>
                <w:rFonts w:ascii="Arial" w:hAnsi="Arial" w:cs="Arial"/>
                <w:color w:val="000000"/>
                <w:sz w:val="20"/>
              </w:rPr>
              <w:t>7,072</w:t>
            </w:r>
          </w:p>
        </w:tc>
        <w:tc>
          <w:tcPr>
            <w:tcW w:w="1478" w:type="dxa"/>
            <w:tcBorders>
              <w:bottom w:val="single" w:sz="4" w:space="0" w:color="auto"/>
            </w:tcBorders>
            <w:shd w:val="clear" w:color="auto" w:fill="auto"/>
            <w:vAlign w:val="bottom"/>
          </w:tcPr>
          <w:p w14:paraId="00FE244C" w14:textId="5FA1641E" w:rsidR="00DA50DB" w:rsidRPr="002E1D2E" w:rsidRDefault="00DA50DB" w:rsidP="00DA50DB">
            <w:pPr>
              <w:jc w:val="right"/>
              <w:rPr>
                <w:rFonts w:ascii="Arial" w:hAnsi="Arial" w:cs="Arial"/>
                <w:color w:val="000000"/>
                <w:sz w:val="20"/>
              </w:rPr>
            </w:pPr>
            <w:r w:rsidRPr="002E1D2E">
              <w:rPr>
                <w:rFonts w:ascii="Arial" w:hAnsi="Arial" w:cs="Arial"/>
                <w:color w:val="000000" w:themeColor="text1"/>
                <w:sz w:val="20"/>
              </w:rPr>
              <w:t>6,076</w:t>
            </w:r>
          </w:p>
        </w:tc>
        <w:tc>
          <w:tcPr>
            <w:tcW w:w="1478" w:type="dxa"/>
            <w:tcBorders>
              <w:bottom w:val="single" w:sz="4" w:space="0" w:color="auto"/>
            </w:tcBorders>
            <w:shd w:val="clear" w:color="auto" w:fill="auto"/>
            <w:vAlign w:val="bottom"/>
          </w:tcPr>
          <w:p w14:paraId="30C31A4D" w14:textId="11DB62CB" w:rsidR="00DA50DB" w:rsidRPr="002E1D2E" w:rsidRDefault="00DA50DB" w:rsidP="00DA50DB">
            <w:pPr>
              <w:jc w:val="right"/>
              <w:rPr>
                <w:rFonts w:ascii="Arial" w:hAnsi="Arial" w:cs="Arial"/>
                <w:color w:val="000000"/>
                <w:sz w:val="20"/>
              </w:rPr>
            </w:pPr>
          </w:p>
        </w:tc>
      </w:tr>
      <w:tr w:rsidR="00DA50DB" w:rsidRPr="002E1D2E" w14:paraId="526F2526" w14:textId="77777777" w:rsidTr="002E1D2E">
        <w:tc>
          <w:tcPr>
            <w:tcW w:w="4168" w:type="dxa"/>
            <w:tcBorders>
              <w:bottom w:val="single" w:sz="4" w:space="0" w:color="auto"/>
            </w:tcBorders>
            <w:shd w:val="clear" w:color="auto" w:fill="auto"/>
          </w:tcPr>
          <w:p w14:paraId="4BAE0324" w14:textId="7D3ABBD4" w:rsidR="00DA50DB" w:rsidRPr="002E1D2E" w:rsidRDefault="00DA50DB" w:rsidP="00DA50DB">
            <w:pPr>
              <w:rPr>
                <w:rFonts w:ascii="Arial" w:hAnsi="Arial"/>
                <w:sz w:val="20"/>
                <w:vertAlign w:val="superscript"/>
              </w:rPr>
            </w:pPr>
            <w:r w:rsidRPr="002E1D2E">
              <w:rPr>
                <w:rFonts w:ascii="Arial" w:hAnsi="Arial"/>
                <w:sz w:val="20"/>
              </w:rPr>
              <w:t>GED/HSE Completions</w:t>
            </w:r>
          </w:p>
        </w:tc>
        <w:tc>
          <w:tcPr>
            <w:tcW w:w="1478" w:type="dxa"/>
            <w:tcBorders>
              <w:bottom w:val="single" w:sz="4" w:space="0" w:color="auto"/>
            </w:tcBorders>
            <w:shd w:val="clear" w:color="auto" w:fill="auto"/>
          </w:tcPr>
          <w:p w14:paraId="6DBB51CB" w14:textId="4D8AAB17" w:rsidR="00DA50DB" w:rsidRPr="002E1D2E" w:rsidRDefault="00DA50DB" w:rsidP="00DA50DB">
            <w:pPr>
              <w:jc w:val="right"/>
              <w:rPr>
                <w:rFonts w:ascii="Arial" w:hAnsi="Arial" w:cs="Arial"/>
                <w:color w:val="000000"/>
                <w:sz w:val="20"/>
              </w:rPr>
            </w:pPr>
            <w:r w:rsidRPr="002E1D2E">
              <w:rPr>
                <w:rFonts w:ascii="Arial" w:hAnsi="Arial" w:cs="Arial"/>
                <w:color w:val="000000"/>
                <w:sz w:val="20"/>
              </w:rPr>
              <w:t>331</w:t>
            </w:r>
          </w:p>
        </w:tc>
        <w:tc>
          <w:tcPr>
            <w:tcW w:w="1478" w:type="dxa"/>
            <w:tcBorders>
              <w:bottom w:val="single" w:sz="4" w:space="0" w:color="auto"/>
            </w:tcBorders>
            <w:shd w:val="clear" w:color="auto" w:fill="auto"/>
          </w:tcPr>
          <w:p w14:paraId="463DD128" w14:textId="5BD2632D" w:rsidR="00DA50DB" w:rsidRPr="002E1D2E" w:rsidRDefault="00DA50DB" w:rsidP="00DA50DB">
            <w:pPr>
              <w:jc w:val="right"/>
              <w:rPr>
                <w:rFonts w:ascii="Arial" w:hAnsi="Arial" w:cs="Arial"/>
                <w:color w:val="000000"/>
                <w:sz w:val="20"/>
              </w:rPr>
            </w:pPr>
            <w:r w:rsidRPr="002E1D2E">
              <w:rPr>
                <w:rFonts w:ascii="Arial" w:hAnsi="Arial" w:cs="Arial"/>
                <w:sz w:val="20"/>
              </w:rPr>
              <w:t>321</w:t>
            </w:r>
            <w:r w:rsidRPr="002E1D2E">
              <w:rPr>
                <w:rFonts w:ascii="Arial" w:hAnsi="Arial" w:cs="Arial"/>
                <w:sz w:val="20"/>
                <w:vertAlign w:val="superscript"/>
              </w:rPr>
              <w:t>6</w:t>
            </w:r>
          </w:p>
        </w:tc>
        <w:tc>
          <w:tcPr>
            <w:tcW w:w="1478" w:type="dxa"/>
            <w:tcBorders>
              <w:bottom w:val="single" w:sz="4" w:space="0" w:color="auto"/>
            </w:tcBorders>
            <w:shd w:val="clear" w:color="auto" w:fill="auto"/>
          </w:tcPr>
          <w:p w14:paraId="4C8DC179" w14:textId="31339CAD" w:rsidR="00DA50DB" w:rsidRPr="002E1D2E" w:rsidRDefault="00DA50DB" w:rsidP="00DA50DB">
            <w:pPr>
              <w:jc w:val="right"/>
              <w:rPr>
                <w:rFonts w:ascii="Arial" w:hAnsi="Arial" w:cs="Arial"/>
                <w:sz w:val="20"/>
              </w:rPr>
            </w:pPr>
            <w:r w:rsidRPr="002E1D2E">
              <w:rPr>
                <w:rFonts w:ascii="Arial" w:hAnsi="Arial" w:cs="Arial"/>
                <w:color w:val="000000" w:themeColor="text1"/>
                <w:sz w:val="20"/>
              </w:rPr>
              <w:t>175</w:t>
            </w:r>
          </w:p>
        </w:tc>
        <w:tc>
          <w:tcPr>
            <w:tcW w:w="1478" w:type="dxa"/>
            <w:tcBorders>
              <w:bottom w:val="single" w:sz="4" w:space="0" w:color="auto"/>
            </w:tcBorders>
            <w:shd w:val="clear" w:color="auto" w:fill="auto"/>
          </w:tcPr>
          <w:p w14:paraId="754425E8" w14:textId="7AE9C080" w:rsidR="00DA50DB" w:rsidRPr="002E1D2E" w:rsidRDefault="00DA50DB" w:rsidP="00DA50DB">
            <w:pPr>
              <w:spacing w:line="259" w:lineRule="auto"/>
              <w:jc w:val="right"/>
              <w:rPr>
                <w:rFonts w:ascii="Arial" w:hAnsi="Arial" w:cs="Arial"/>
                <w:color w:val="000000" w:themeColor="text1"/>
                <w:szCs w:val="24"/>
              </w:rPr>
            </w:pPr>
          </w:p>
        </w:tc>
      </w:tr>
      <w:tr w:rsidR="00DA50DB" w:rsidRPr="002E1D2E" w14:paraId="264AA297" w14:textId="77777777" w:rsidTr="002E1D2E">
        <w:tc>
          <w:tcPr>
            <w:tcW w:w="4168" w:type="dxa"/>
            <w:tcBorders>
              <w:bottom w:val="single" w:sz="4" w:space="0" w:color="auto"/>
            </w:tcBorders>
            <w:shd w:val="clear" w:color="auto" w:fill="auto"/>
          </w:tcPr>
          <w:p w14:paraId="0CF103FD" w14:textId="77777777" w:rsidR="00DA50DB" w:rsidRPr="002E1D2E" w:rsidRDefault="00DA50DB" w:rsidP="00DA50DB">
            <w:pPr>
              <w:rPr>
                <w:rFonts w:ascii="Arial" w:hAnsi="Arial"/>
                <w:sz w:val="20"/>
              </w:rPr>
            </w:pPr>
            <w:r w:rsidRPr="002E1D2E">
              <w:rPr>
                <w:rFonts w:ascii="Arial" w:hAnsi="Arial"/>
                <w:sz w:val="20"/>
              </w:rPr>
              <w:t>IDOC Prison Bed Cost Per Day</w:t>
            </w:r>
            <w:r w:rsidRPr="002E1D2E">
              <w:rPr>
                <w:rFonts w:ascii="Arial" w:hAnsi="Arial"/>
                <w:sz w:val="20"/>
                <w:vertAlign w:val="superscript"/>
              </w:rPr>
              <w:t>3</w:t>
            </w:r>
          </w:p>
        </w:tc>
        <w:tc>
          <w:tcPr>
            <w:tcW w:w="1478" w:type="dxa"/>
            <w:tcBorders>
              <w:bottom w:val="single" w:sz="4" w:space="0" w:color="auto"/>
            </w:tcBorders>
            <w:shd w:val="clear" w:color="auto" w:fill="auto"/>
          </w:tcPr>
          <w:p w14:paraId="1532CAF1" w14:textId="240E5ED5" w:rsidR="00DA50DB" w:rsidRPr="002E1D2E" w:rsidRDefault="00DA50DB" w:rsidP="00DA50DB">
            <w:pPr>
              <w:jc w:val="right"/>
              <w:rPr>
                <w:rFonts w:ascii="Arial" w:hAnsi="Arial"/>
                <w:sz w:val="20"/>
              </w:rPr>
            </w:pPr>
            <w:r w:rsidRPr="002E1D2E">
              <w:rPr>
                <w:rFonts w:ascii="Arial" w:hAnsi="Arial"/>
                <w:sz w:val="20"/>
              </w:rPr>
              <w:t>$72.97</w:t>
            </w:r>
          </w:p>
        </w:tc>
        <w:tc>
          <w:tcPr>
            <w:tcW w:w="1478" w:type="dxa"/>
            <w:tcBorders>
              <w:bottom w:val="single" w:sz="4" w:space="0" w:color="auto"/>
            </w:tcBorders>
            <w:shd w:val="clear" w:color="auto" w:fill="auto"/>
          </w:tcPr>
          <w:p w14:paraId="58A044B5" w14:textId="5658DDE1" w:rsidR="00DA50DB" w:rsidRPr="002E1D2E" w:rsidRDefault="00DA50DB" w:rsidP="00DA50DB">
            <w:pPr>
              <w:jc w:val="right"/>
              <w:rPr>
                <w:rFonts w:ascii="Arial" w:hAnsi="Arial"/>
                <w:sz w:val="20"/>
              </w:rPr>
            </w:pPr>
            <w:r w:rsidRPr="002E1D2E">
              <w:rPr>
                <w:rFonts w:ascii="Arial" w:hAnsi="Arial"/>
                <w:sz w:val="20"/>
              </w:rPr>
              <w:t>$76.32</w:t>
            </w:r>
          </w:p>
        </w:tc>
        <w:tc>
          <w:tcPr>
            <w:tcW w:w="1478" w:type="dxa"/>
            <w:tcBorders>
              <w:bottom w:val="single" w:sz="4" w:space="0" w:color="auto"/>
            </w:tcBorders>
            <w:shd w:val="clear" w:color="auto" w:fill="auto"/>
          </w:tcPr>
          <w:p w14:paraId="1778C6B2" w14:textId="2A44EC0A" w:rsidR="00DA50DB" w:rsidRPr="002E1D2E" w:rsidRDefault="00DA50DB" w:rsidP="00DA50DB">
            <w:pPr>
              <w:jc w:val="right"/>
              <w:rPr>
                <w:rFonts w:ascii="Arial" w:hAnsi="Arial"/>
                <w:sz w:val="20"/>
              </w:rPr>
            </w:pPr>
            <w:r w:rsidRPr="002E1D2E">
              <w:rPr>
                <w:rFonts w:ascii="Arial" w:hAnsi="Arial"/>
                <w:sz w:val="20"/>
              </w:rPr>
              <w:t>$79.80</w:t>
            </w:r>
          </w:p>
        </w:tc>
        <w:tc>
          <w:tcPr>
            <w:tcW w:w="1478" w:type="dxa"/>
            <w:tcBorders>
              <w:bottom w:val="single" w:sz="4" w:space="0" w:color="auto"/>
            </w:tcBorders>
            <w:shd w:val="clear" w:color="auto" w:fill="auto"/>
          </w:tcPr>
          <w:p w14:paraId="0F6B6692" w14:textId="74177D5B" w:rsidR="00DA50DB" w:rsidRPr="002E1D2E" w:rsidRDefault="00DA50DB" w:rsidP="00DA50DB">
            <w:pPr>
              <w:jc w:val="right"/>
              <w:rPr>
                <w:rFonts w:ascii="Arial" w:hAnsi="Arial"/>
                <w:sz w:val="20"/>
              </w:rPr>
            </w:pPr>
          </w:p>
        </w:tc>
      </w:tr>
      <w:tr w:rsidR="00DA50DB" w:rsidRPr="002E1D2E" w14:paraId="26D0E74B" w14:textId="77777777" w:rsidTr="002E1D2E">
        <w:tc>
          <w:tcPr>
            <w:tcW w:w="4168" w:type="dxa"/>
            <w:tcBorders>
              <w:bottom w:val="single" w:sz="4" w:space="0" w:color="auto"/>
            </w:tcBorders>
            <w:shd w:val="clear" w:color="auto" w:fill="auto"/>
          </w:tcPr>
          <w:p w14:paraId="184C5380" w14:textId="77777777" w:rsidR="00DA50DB" w:rsidRPr="002E1D2E" w:rsidRDefault="00DA50DB" w:rsidP="00DA50DB">
            <w:pPr>
              <w:rPr>
                <w:rFonts w:ascii="Arial" w:hAnsi="Arial"/>
                <w:sz w:val="20"/>
              </w:rPr>
            </w:pPr>
            <w:r w:rsidRPr="002E1D2E">
              <w:rPr>
                <w:rFonts w:ascii="Arial" w:hAnsi="Arial"/>
                <w:sz w:val="20"/>
              </w:rPr>
              <w:t>Supervision Cost Per Day</w:t>
            </w:r>
            <w:r w:rsidRPr="002E1D2E">
              <w:rPr>
                <w:rFonts w:ascii="Arial" w:hAnsi="Arial"/>
                <w:sz w:val="20"/>
                <w:vertAlign w:val="superscript"/>
              </w:rPr>
              <w:t>4</w:t>
            </w:r>
          </w:p>
        </w:tc>
        <w:tc>
          <w:tcPr>
            <w:tcW w:w="1478" w:type="dxa"/>
            <w:tcBorders>
              <w:bottom w:val="single" w:sz="4" w:space="0" w:color="auto"/>
            </w:tcBorders>
            <w:shd w:val="clear" w:color="auto" w:fill="auto"/>
          </w:tcPr>
          <w:p w14:paraId="432C0468" w14:textId="311FF34E" w:rsidR="00DA50DB" w:rsidRPr="002E1D2E" w:rsidRDefault="00DA50DB" w:rsidP="00DA50DB">
            <w:pPr>
              <w:jc w:val="right"/>
              <w:rPr>
                <w:rFonts w:ascii="Arial" w:hAnsi="Arial"/>
                <w:sz w:val="20"/>
              </w:rPr>
            </w:pPr>
            <w:r w:rsidRPr="002E1D2E">
              <w:rPr>
                <w:rFonts w:ascii="Arial" w:hAnsi="Arial"/>
                <w:sz w:val="20"/>
              </w:rPr>
              <w:t>$4.57</w:t>
            </w:r>
          </w:p>
        </w:tc>
        <w:tc>
          <w:tcPr>
            <w:tcW w:w="1478" w:type="dxa"/>
            <w:tcBorders>
              <w:bottom w:val="single" w:sz="4" w:space="0" w:color="auto"/>
            </w:tcBorders>
            <w:shd w:val="clear" w:color="auto" w:fill="auto"/>
          </w:tcPr>
          <w:p w14:paraId="0AB1D862" w14:textId="31C5CF9A" w:rsidR="00DA50DB" w:rsidRPr="002E1D2E" w:rsidRDefault="00DA50DB" w:rsidP="00DA50DB">
            <w:pPr>
              <w:jc w:val="right"/>
              <w:rPr>
                <w:rFonts w:ascii="Arial" w:hAnsi="Arial"/>
                <w:sz w:val="20"/>
              </w:rPr>
            </w:pPr>
            <w:r w:rsidRPr="002E1D2E">
              <w:rPr>
                <w:rFonts w:ascii="Arial" w:hAnsi="Arial"/>
                <w:sz w:val="20"/>
              </w:rPr>
              <w:t>$4.97</w:t>
            </w:r>
          </w:p>
        </w:tc>
        <w:tc>
          <w:tcPr>
            <w:tcW w:w="1478" w:type="dxa"/>
            <w:tcBorders>
              <w:bottom w:val="single" w:sz="4" w:space="0" w:color="auto"/>
            </w:tcBorders>
            <w:shd w:val="clear" w:color="auto" w:fill="auto"/>
          </w:tcPr>
          <w:p w14:paraId="63C6EFD5" w14:textId="0CBA1FBD" w:rsidR="00DA50DB" w:rsidRPr="002E1D2E" w:rsidRDefault="00DA50DB" w:rsidP="00DA50DB">
            <w:pPr>
              <w:jc w:val="right"/>
              <w:rPr>
                <w:rFonts w:ascii="Arial" w:hAnsi="Arial"/>
                <w:sz w:val="20"/>
              </w:rPr>
            </w:pPr>
            <w:r w:rsidRPr="002E1D2E">
              <w:rPr>
                <w:rFonts w:ascii="Arial" w:hAnsi="Arial"/>
                <w:sz w:val="20"/>
              </w:rPr>
              <w:t>$5.26</w:t>
            </w:r>
          </w:p>
        </w:tc>
        <w:tc>
          <w:tcPr>
            <w:tcW w:w="1478" w:type="dxa"/>
            <w:tcBorders>
              <w:bottom w:val="single" w:sz="4" w:space="0" w:color="auto"/>
            </w:tcBorders>
            <w:shd w:val="clear" w:color="auto" w:fill="auto"/>
          </w:tcPr>
          <w:p w14:paraId="61EB9C1D" w14:textId="680D955E" w:rsidR="00DA50DB" w:rsidRPr="002E1D2E" w:rsidRDefault="00DA50DB" w:rsidP="00DA50DB">
            <w:pPr>
              <w:jc w:val="right"/>
              <w:rPr>
                <w:rFonts w:ascii="Arial" w:hAnsi="Arial"/>
                <w:sz w:val="20"/>
              </w:rPr>
            </w:pPr>
          </w:p>
        </w:tc>
      </w:tr>
      <w:tr w:rsidR="00DA50DB" w:rsidRPr="002E1D2E" w14:paraId="696C1213" w14:textId="77777777" w:rsidTr="002E1D2E">
        <w:tc>
          <w:tcPr>
            <w:tcW w:w="4168" w:type="dxa"/>
            <w:tcBorders>
              <w:bottom w:val="single" w:sz="4" w:space="0" w:color="auto"/>
            </w:tcBorders>
            <w:shd w:val="clear" w:color="auto" w:fill="auto"/>
          </w:tcPr>
          <w:p w14:paraId="3745EB28" w14:textId="77777777" w:rsidR="00DA50DB" w:rsidRPr="002E1D2E" w:rsidRDefault="00DA50DB" w:rsidP="00DA50DB">
            <w:pPr>
              <w:rPr>
                <w:rFonts w:ascii="Arial" w:hAnsi="Arial"/>
                <w:sz w:val="20"/>
              </w:rPr>
            </w:pPr>
            <w:r w:rsidRPr="002E1D2E">
              <w:rPr>
                <w:rFonts w:ascii="Arial" w:hAnsi="Arial"/>
                <w:sz w:val="20"/>
              </w:rPr>
              <w:t>Correctional Officer Turnover Rate</w:t>
            </w:r>
          </w:p>
        </w:tc>
        <w:tc>
          <w:tcPr>
            <w:tcW w:w="1478" w:type="dxa"/>
            <w:tcBorders>
              <w:bottom w:val="single" w:sz="4" w:space="0" w:color="auto"/>
            </w:tcBorders>
            <w:shd w:val="clear" w:color="auto" w:fill="auto"/>
          </w:tcPr>
          <w:p w14:paraId="105B3F3E" w14:textId="5B605280" w:rsidR="00DA50DB" w:rsidRPr="002E1D2E" w:rsidRDefault="00DA50DB" w:rsidP="00DA50DB">
            <w:pPr>
              <w:jc w:val="right"/>
              <w:rPr>
                <w:rFonts w:ascii="Arial" w:hAnsi="Arial"/>
                <w:sz w:val="20"/>
              </w:rPr>
            </w:pPr>
            <w:r w:rsidRPr="002E1D2E">
              <w:rPr>
                <w:rFonts w:ascii="Arial" w:hAnsi="Arial"/>
                <w:color w:val="000000"/>
                <w:sz w:val="20"/>
              </w:rPr>
              <w:t>21.9%</w:t>
            </w:r>
          </w:p>
        </w:tc>
        <w:tc>
          <w:tcPr>
            <w:tcW w:w="1478" w:type="dxa"/>
            <w:tcBorders>
              <w:bottom w:val="single" w:sz="4" w:space="0" w:color="auto"/>
            </w:tcBorders>
            <w:shd w:val="clear" w:color="auto" w:fill="auto"/>
          </w:tcPr>
          <w:p w14:paraId="1795DB9B" w14:textId="1949E539" w:rsidR="00DA50DB" w:rsidRPr="002E1D2E" w:rsidRDefault="00DA50DB" w:rsidP="00DA50DB">
            <w:pPr>
              <w:jc w:val="right"/>
              <w:rPr>
                <w:rFonts w:ascii="Arial" w:hAnsi="Arial"/>
                <w:sz w:val="20"/>
              </w:rPr>
            </w:pPr>
            <w:r w:rsidRPr="002E1D2E">
              <w:rPr>
                <w:rFonts w:ascii="Arial" w:hAnsi="Arial"/>
                <w:color w:val="000000"/>
                <w:sz w:val="20"/>
              </w:rPr>
              <w:t>17.5%</w:t>
            </w:r>
          </w:p>
        </w:tc>
        <w:tc>
          <w:tcPr>
            <w:tcW w:w="1478" w:type="dxa"/>
            <w:tcBorders>
              <w:bottom w:val="single" w:sz="4" w:space="0" w:color="auto"/>
            </w:tcBorders>
            <w:shd w:val="clear" w:color="auto" w:fill="auto"/>
          </w:tcPr>
          <w:p w14:paraId="6B1697FB" w14:textId="42EB84B0" w:rsidR="00DA50DB" w:rsidRPr="002E1D2E" w:rsidRDefault="00DA50DB" w:rsidP="00DA50DB">
            <w:pPr>
              <w:jc w:val="right"/>
              <w:rPr>
                <w:rFonts w:ascii="Arial" w:hAnsi="Arial"/>
                <w:color w:val="000000"/>
                <w:sz w:val="20"/>
              </w:rPr>
            </w:pPr>
            <w:r w:rsidRPr="002E1D2E">
              <w:rPr>
                <w:rFonts w:ascii="Arial" w:hAnsi="Arial"/>
                <w:color w:val="000000" w:themeColor="text1"/>
                <w:sz w:val="20"/>
              </w:rPr>
              <w:t>27.1%</w:t>
            </w:r>
          </w:p>
        </w:tc>
        <w:tc>
          <w:tcPr>
            <w:tcW w:w="1478" w:type="dxa"/>
            <w:tcBorders>
              <w:bottom w:val="single" w:sz="4" w:space="0" w:color="auto"/>
            </w:tcBorders>
            <w:shd w:val="clear" w:color="auto" w:fill="auto"/>
          </w:tcPr>
          <w:p w14:paraId="5CD16DBF" w14:textId="0B250BEE" w:rsidR="00DA50DB" w:rsidRPr="002E1D2E" w:rsidRDefault="00DA50DB" w:rsidP="00DA50DB">
            <w:pPr>
              <w:spacing w:line="259" w:lineRule="auto"/>
              <w:jc w:val="right"/>
              <w:rPr>
                <w:rFonts w:ascii="Arial" w:hAnsi="Arial"/>
                <w:color w:val="000000" w:themeColor="text1"/>
                <w:szCs w:val="24"/>
              </w:rPr>
            </w:pPr>
          </w:p>
        </w:tc>
      </w:tr>
      <w:tr w:rsidR="00DA50DB" w:rsidRPr="002E1D2E" w14:paraId="0374BFE2" w14:textId="77777777" w:rsidTr="002E1D2E">
        <w:tc>
          <w:tcPr>
            <w:tcW w:w="4168" w:type="dxa"/>
            <w:tcBorders>
              <w:bottom w:val="single" w:sz="4" w:space="0" w:color="auto"/>
            </w:tcBorders>
            <w:shd w:val="clear" w:color="auto" w:fill="auto"/>
          </w:tcPr>
          <w:p w14:paraId="71FE4D00" w14:textId="77777777" w:rsidR="00DA50DB" w:rsidRPr="002E1D2E" w:rsidRDefault="00DA50DB" w:rsidP="00DA50DB">
            <w:pPr>
              <w:rPr>
                <w:rFonts w:ascii="Arial" w:hAnsi="Arial"/>
                <w:sz w:val="20"/>
              </w:rPr>
            </w:pPr>
            <w:r w:rsidRPr="002E1D2E">
              <w:rPr>
                <w:rFonts w:ascii="Arial" w:hAnsi="Arial"/>
                <w:sz w:val="20"/>
              </w:rPr>
              <w:t>IDOC Staff Turnover Rate, All Non-CO Staff</w:t>
            </w:r>
          </w:p>
        </w:tc>
        <w:tc>
          <w:tcPr>
            <w:tcW w:w="1478" w:type="dxa"/>
            <w:tcBorders>
              <w:bottom w:val="single" w:sz="4" w:space="0" w:color="auto"/>
            </w:tcBorders>
            <w:shd w:val="clear" w:color="auto" w:fill="auto"/>
          </w:tcPr>
          <w:p w14:paraId="43DCDAA2" w14:textId="604E2AA1" w:rsidR="00DA50DB" w:rsidRPr="002E1D2E" w:rsidRDefault="00DA50DB" w:rsidP="00DA50DB">
            <w:pPr>
              <w:jc w:val="right"/>
              <w:rPr>
                <w:rFonts w:ascii="Arial" w:hAnsi="Arial"/>
                <w:sz w:val="20"/>
              </w:rPr>
            </w:pPr>
            <w:r w:rsidRPr="002E1D2E">
              <w:rPr>
                <w:rFonts w:ascii="Arial" w:hAnsi="Arial"/>
                <w:sz w:val="20"/>
              </w:rPr>
              <w:t>12.1%</w:t>
            </w:r>
          </w:p>
        </w:tc>
        <w:tc>
          <w:tcPr>
            <w:tcW w:w="1478" w:type="dxa"/>
            <w:tcBorders>
              <w:bottom w:val="single" w:sz="4" w:space="0" w:color="auto"/>
            </w:tcBorders>
            <w:shd w:val="clear" w:color="auto" w:fill="auto"/>
          </w:tcPr>
          <w:p w14:paraId="0ABC4668" w14:textId="31C64266" w:rsidR="00DA50DB" w:rsidRPr="002E1D2E" w:rsidRDefault="00DA50DB" w:rsidP="00DA50DB">
            <w:pPr>
              <w:jc w:val="right"/>
              <w:rPr>
                <w:rFonts w:ascii="Arial" w:hAnsi="Arial"/>
                <w:sz w:val="20"/>
              </w:rPr>
            </w:pPr>
            <w:r w:rsidRPr="002E1D2E">
              <w:rPr>
                <w:rFonts w:ascii="Arial" w:hAnsi="Arial"/>
                <w:sz w:val="20"/>
              </w:rPr>
              <w:t>10.5%</w:t>
            </w:r>
          </w:p>
        </w:tc>
        <w:tc>
          <w:tcPr>
            <w:tcW w:w="1478" w:type="dxa"/>
            <w:tcBorders>
              <w:bottom w:val="single" w:sz="4" w:space="0" w:color="auto"/>
            </w:tcBorders>
            <w:shd w:val="clear" w:color="auto" w:fill="auto"/>
          </w:tcPr>
          <w:p w14:paraId="73E5B72E" w14:textId="1DEE09B7" w:rsidR="00DA50DB" w:rsidRPr="002E1D2E" w:rsidRDefault="00DA50DB" w:rsidP="00DA50DB">
            <w:pPr>
              <w:jc w:val="right"/>
              <w:rPr>
                <w:rFonts w:ascii="Arial" w:hAnsi="Arial"/>
                <w:sz w:val="20"/>
              </w:rPr>
            </w:pPr>
            <w:r w:rsidRPr="002E1D2E">
              <w:rPr>
                <w:rFonts w:ascii="Arial" w:hAnsi="Arial"/>
                <w:sz w:val="20"/>
              </w:rPr>
              <w:t>15.3%</w:t>
            </w:r>
          </w:p>
        </w:tc>
        <w:tc>
          <w:tcPr>
            <w:tcW w:w="1478" w:type="dxa"/>
            <w:tcBorders>
              <w:bottom w:val="single" w:sz="4" w:space="0" w:color="auto"/>
            </w:tcBorders>
            <w:shd w:val="clear" w:color="auto" w:fill="auto"/>
          </w:tcPr>
          <w:p w14:paraId="4EB150C7" w14:textId="14AA754D" w:rsidR="00DA50DB" w:rsidRPr="002E1D2E" w:rsidRDefault="00DA50DB" w:rsidP="00DA50DB">
            <w:pPr>
              <w:spacing w:line="259" w:lineRule="auto"/>
              <w:jc w:val="right"/>
              <w:rPr>
                <w:rFonts w:ascii="Arial" w:hAnsi="Arial"/>
                <w:szCs w:val="24"/>
              </w:rPr>
            </w:pPr>
          </w:p>
        </w:tc>
      </w:tr>
      <w:tr w:rsidR="00DA50DB" w14:paraId="3ACC8F4A" w14:textId="77777777" w:rsidTr="002E1D2E">
        <w:tc>
          <w:tcPr>
            <w:tcW w:w="4168" w:type="dxa"/>
            <w:shd w:val="clear" w:color="auto" w:fill="auto"/>
          </w:tcPr>
          <w:p w14:paraId="30F1EF8F" w14:textId="77777777" w:rsidR="00DA50DB" w:rsidRPr="002E1D2E" w:rsidRDefault="00DA50DB" w:rsidP="00DA50DB">
            <w:pPr>
              <w:rPr>
                <w:rFonts w:ascii="Arial" w:hAnsi="Arial"/>
                <w:sz w:val="20"/>
              </w:rPr>
            </w:pPr>
            <w:r w:rsidRPr="002E1D2E">
              <w:rPr>
                <w:rFonts w:ascii="Arial" w:hAnsi="Arial"/>
                <w:sz w:val="20"/>
              </w:rPr>
              <w:t>Supervised Offender to Officer Ratio</w:t>
            </w:r>
            <w:r w:rsidRPr="002E1D2E">
              <w:rPr>
                <w:rFonts w:ascii="Arial" w:hAnsi="Arial"/>
                <w:sz w:val="20"/>
                <w:vertAlign w:val="superscript"/>
              </w:rPr>
              <w:t>5</w:t>
            </w:r>
            <w:r w:rsidRPr="002E1D2E">
              <w:rPr>
                <w:rStyle w:val="FootnoteReference"/>
                <w:rFonts w:ascii="Arial" w:hAnsi="Arial"/>
                <w:sz w:val="20"/>
                <w:vertAlign w:val="baseline"/>
              </w:rPr>
              <w:t xml:space="preserve"> </w:t>
            </w:r>
          </w:p>
        </w:tc>
        <w:tc>
          <w:tcPr>
            <w:tcW w:w="1478" w:type="dxa"/>
            <w:shd w:val="clear" w:color="auto" w:fill="auto"/>
          </w:tcPr>
          <w:p w14:paraId="4C800C1A" w14:textId="4FF76FF8" w:rsidR="00DA50DB" w:rsidRPr="002E1D2E" w:rsidRDefault="00DA50DB" w:rsidP="00DA50DB">
            <w:pPr>
              <w:jc w:val="right"/>
              <w:rPr>
                <w:rFonts w:ascii="Arial" w:hAnsi="Arial"/>
                <w:sz w:val="20"/>
              </w:rPr>
            </w:pPr>
            <w:r w:rsidRPr="002E1D2E">
              <w:rPr>
                <w:rFonts w:ascii="Arial" w:hAnsi="Arial"/>
                <w:sz w:val="20"/>
              </w:rPr>
              <w:t>80 to 1</w:t>
            </w:r>
          </w:p>
        </w:tc>
        <w:tc>
          <w:tcPr>
            <w:tcW w:w="1478" w:type="dxa"/>
            <w:shd w:val="clear" w:color="auto" w:fill="auto"/>
          </w:tcPr>
          <w:p w14:paraId="675D2267" w14:textId="628F69AA" w:rsidR="00DA50DB" w:rsidRPr="002E1D2E" w:rsidRDefault="00DA50DB" w:rsidP="00DA50DB">
            <w:pPr>
              <w:jc w:val="right"/>
              <w:rPr>
                <w:rFonts w:ascii="Arial" w:hAnsi="Arial"/>
                <w:sz w:val="20"/>
              </w:rPr>
            </w:pPr>
            <w:r w:rsidRPr="002E1D2E">
              <w:rPr>
                <w:rFonts w:ascii="Arial" w:hAnsi="Arial"/>
                <w:sz w:val="20"/>
              </w:rPr>
              <w:t>79 to 1</w:t>
            </w:r>
          </w:p>
        </w:tc>
        <w:tc>
          <w:tcPr>
            <w:tcW w:w="1478" w:type="dxa"/>
            <w:shd w:val="clear" w:color="auto" w:fill="auto"/>
          </w:tcPr>
          <w:p w14:paraId="7AFDA4E7" w14:textId="32D5802A" w:rsidR="00DA50DB" w:rsidRDefault="00DA50DB" w:rsidP="00DA50DB">
            <w:pPr>
              <w:jc w:val="right"/>
              <w:rPr>
                <w:rFonts w:ascii="Arial" w:hAnsi="Arial"/>
                <w:sz w:val="20"/>
              </w:rPr>
            </w:pPr>
            <w:r w:rsidRPr="002E1D2E">
              <w:rPr>
                <w:rFonts w:ascii="Arial" w:hAnsi="Arial"/>
                <w:sz w:val="20"/>
              </w:rPr>
              <w:t>74 to 1</w:t>
            </w:r>
          </w:p>
        </w:tc>
        <w:tc>
          <w:tcPr>
            <w:tcW w:w="1478" w:type="dxa"/>
            <w:shd w:val="clear" w:color="auto" w:fill="auto"/>
          </w:tcPr>
          <w:p w14:paraId="6FAC29CD" w14:textId="4BC59F0C" w:rsidR="00DA50DB" w:rsidRDefault="00DA50DB" w:rsidP="00DA50DB">
            <w:pPr>
              <w:jc w:val="right"/>
              <w:rPr>
                <w:rFonts w:ascii="Arial" w:hAnsi="Arial"/>
                <w:sz w:val="20"/>
              </w:rPr>
            </w:pPr>
          </w:p>
        </w:tc>
      </w:tr>
      <w:bookmarkEnd w:id="4"/>
    </w:tbl>
    <w:p w14:paraId="54A1E06D" w14:textId="77777777" w:rsidR="0085391F" w:rsidRDefault="0085391F">
      <w:pPr>
        <w:rPr>
          <w:rFonts w:ascii="Arial" w:hAnsi="Arial"/>
          <w:b/>
          <w:szCs w:val="24"/>
        </w:rPr>
      </w:pPr>
    </w:p>
    <w:p w14:paraId="612B8791" w14:textId="77777777" w:rsidR="005A555E" w:rsidRPr="005A555E" w:rsidRDefault="005A555E">
      <w:pPr>
        <w:rPr>
          <w:rFonts w:ascii="Arial" w:hAnsi="Arial"/>
          <w:b/>
          <w:szCs w:val="24"/>
        </w:rPr>
      </w:pPr>
      <w:r w:rsidRPr="005A555E">
        <w:rPr>
          <w:rFonts w:ascii="Arial" w:hAnsi="Arial"/>
          <w:b/>
          <w:szCs w:val="24"/>
        </w:rPr>
        <w:t xml:space="preserve">Profile of Cases Managed </w:t>
      </w:r>
      <w:r>
        <w:rPr>
          <w:rFonts w:ascii="Arial" w:hAnsi="Arial"/>
          <w:b/>
          <w:szCs w:val="24"/>
        </w:rPr>
        <w:t xml:space="preserve">and/or Key Service Provided </w:t>
      </w:r>
      <w:r w:rsidRPr="005A555E">
        <w:rPr>
          <w:rFonts w:ascii="Arial" w:hAnsi="Arial"/>
          <w:b/>
          <w:szCs w:val="24"/>
        </w:rPr>
        <w:t>Explanatory Notes</w:t>
      </w:r>
    </w:p>
    <w:p w14:paraId="5DFCBAF0" w14:textId="7C7297F4" w:rsidR="005A555E" w:rsidRDefault="005A555E" w:rsidP="004903BC">
      <w:pPr>
        <w:pStyle w:val="ListParagraph"/>
        <w:numPr>
          <w:ilvl w:val="0"/>
          <w:numId w:val="36"/>
        </w:numPr>
        <w:jc w:val="both"/>
        <w:rPr>
          <w:rFonts w:cs="Arial"/>
          <w:sz w:val="20"/>
        </w:rPr>
      </w:pPr>
      <w:r w:rsidRPr="005A555E">
        <w:rPr>
          <w:rFonts w:cs="Arial"/>
          <w:sz w:val="20"/>
        </w:rPr>
        <w:t xml:space="preserve">The supervised offender </w:t>
      </w:r>
      <w:r w:rsidR="40C6E0B1" w:rsidRPr="57BC613A">
        <w:rPr>
          <w:rFonts w:cs="Arial"/>
          <w:sz w:val="20"/>
        </w:rPr>
        <w:t xml:space="preserve">fiscal year end </w:t>
      </w:r>
      <w:r w:rsidRPr="005A555E">
        <w:rPr>
          <w:rFonts w:cs="Arial"/>
          <w:sz w:val="20"/>
        </w:rPr>
        <w:t xml:space="preserve">totals include probationers and </w:t>
      </w:r>
      <w:r w:rsidR="008D301F" w:rsidRPr="005A555E">
        <w:rPr>
          <w:rFonts w:cs="Arial"/>
          <w:sz w:val="20"/>
        </w:rPr>
        <w:t>parolee</w:t>
      </w:r>
      <w:r w:rsidR="008D301F">
        <w:rPr>
          <w:rFonts w:cs="Arial"/>
          <w:sz w:val="20"/>
        </w:rPr>
        <w:t>s</w:t>
      </w:r>
      <w:r w:rsidR="008D301F" w:rsidRPr="005A555E">
        <w:rPr>
          <w:rFonts w:cs="Arial"/>
          <w:sz w:val="20"/>
        </w:rPr>
        <w:t xml:space="preserve"> supervised in Idaho’s seven districts, </w:t>
      </w:r>
      <w:r w:rsidR="0085391F">
        <w:rPr>
          <w:rFonts w:cs="Arial"/>
          <w:sz w:val="20"/>
        </w:rPr>
        <w:t>including those</w:t>
      </w:r>
      <w:r w:rsidRPr="005A555E">
        <w:rPr>
          <w:rFonts w:cs="Arial"/>
          <w:sz w:val="20"/>
        </w:rPr>
        <w:t xml:space="preserve"> managed in the Limited Supervision Unit.</w:t>
      </w:r>
      <w:r w:rsidR="008F5FDE">
        <w:rPr>
          <w:rFonts w:cs="Arial"/>
          <w:sz w:val="20"/>
        </w:rPr>
        <w:t xml:space="preserve"> It does not include offenders under IDOC’s jurisdiction living in other states through Interstate Compact.</w:t>
      </w:r>
    </w:p>
    <w:p w14:paraId="439C6D4B" w14:textId="1D86E103" w:rsidR="005A555E" w:rsidRDefault="005A555E" w:rsidP="004903BC">
      <w:pPr>
        <w:pStyle w:val="ListParagraph"/>
        <w:numPr>
          <w:ilvl w:val="0"/>
          <w:numId w:val="36"/>
        </w:numPr>
        <w:jc w:val="both"/>
        <w:rPr>
          <w:rFonts w:cs="Arial"/>
          <w:sz w:val="20"/>
        </w:rPr>
      </w:pPr>
      <w:r w:rsidRPr="005A555E">
        <w:rPr>
          <w:rFonts w:cs="Arial"/>
          <w:sz w:val="20"/>
        </w:rPr>
        <w:t xml:space="preserve">Interstate Compact </w:t>
      </w:r>
      <w:r w:rsidR="1DDC20FA" w:rsidRPr="57BC613A">
        <w:rPr>
          <w:rFonts w:cs="Arial"/>
          <w:sz w:val="20"/>
        </w:rPr>
        <w:t xml:space="preserve">fiscal year end </w:t>
      </w:r>
      <w:r w:rsidRPr="005A555E">
        <w:rPr>
          <w:rFonts w:cs="Arial"/>
          <w:sz w:val="20"/>
        </w:rPr>
        <w:t xml:space="preserve">supervised offenders are </w:t>
      </w:r>
      <w:r w:rsidR="00D434D3">
        <w:rPr>
          <w:rFonts w:cs="Arial"/>
          <w:sz w:val="20"/>
        </w:rPr>
        <w:t>Idaho sentenced</w:t>
      </w:r>
      <w:r w:rsidRPr="005A555E">
        <w:rPr>
          <w:rFonts w:cs="Arial"/>
          <w:sz w:val="20"/>
        </w:rPr>
        <w:t xml:space="preserve"> probationers and parolees </w:t>
      </w:r>
      <w:r w:rsidR="00D434D3">
        <w:rPr>
          <w:rFonts w:cs="Arial"/>
          <w:sz w:val="20"/>
        </w:rPr>
        <w:t>who are currently</w:t>
      </w:r>
      <w:r w:rsidRPr="005A555E">
        <w:rPr>
          <w:rFonts w:cs="Arial"/>
          <w:sz w:val="20"/>
        </w:rPr>
        <w:t xml:space="preserve"> </w:t>
      </w:r>
      <w:r w:rsidR="00D434D3">
        <w:rPr>
          <w:rFonts w:cs="Arial"/>
          <w:sz w:val="20"/>
        </w:rPr>
        <w:t>living</w:t>
      </w:r>
      <w:r w:rsidRPr="005A555E">
        <w:rPr>
          <w:rFonts w:cs="Arial"/>
          <w:sz w:val="20"/>
        </w:rPr>
        <w:t xml:space="preserve"> in other states.</w:t>
      </w:r>
    </w:p>
    <w:p w14:paraId="6319A37F" w14:textId="77777777" w:rsidR="005A555E" w:rsidRDefault="005A555E" w:rsidP="004903BC">
      <w:pPr>
        <w:pStyle w:val="ListParagraph"/>
        <w:numPr>
          <w:ilvl w:val="0"/>
          <w:numId w:val="36"/>
        </w:numPr>
        <w:jc w:val="both"/>
        <w:rPr>
          <w:rFonts w:cs="Arial"/>
          <w:sz w:val="20"/>
        </w:rPr>
      </w:pPr>
      <w:r w:rsidRPr="005A555E">
        <w:rPr>
          <w:rFonts w:cs="Arial"/>
          <w:sz w:val="20"/>
        </w:rPr>
        <w:t xml:space="preserve">Bed costs reflect the average cost of all beds utilized by the Department including </w:t>
      </w:r>
      <w:r w:rsidR="008F5FDE">
        <w:rPr>
          <w:rFonts w:cs="Arial"/>
          <w:sz w:val="20"/>
        </w:rPr>
        <w:t xml:space="preserve">all prison facility beds, </w:t>
      </w:r>
      <w:r w:rsidRPr="005A555E">
        <w:rPr>
          <w:rFonts w:cs="Arial"/>
          <w:sz w:val="20"/>
        </w:rPr>
        <w:t>community reentry centers</w:t>
      </w:r>
      <w:r w:rsidR="007E76A8">
        <w:rPr>
          <w:rFonts w:cs="Arial"/>
          <w:sz w:val="20"/>
        </w:rPr>
        <w:t>,</w:t>
      </w:r>
      <w:r w:rsidR="00AB3FC7">
        <w:rPr>
          <w:rFonts w:cs="Arial"/>
          <w:sz w:val="20"/>
        </w:rPr>
        <w:t xml:space="preserve"> </w:t>
      </w:r>
      <w:r w:rsidRPr="005A555E">
        <w:rPr>
          <w:rFonts w:cs="Arial"/>
          <w:sz w:val="20"/>
        </w:rPr>
        <w:t>contract beds</w:t>
      </w:r>
      <w:r w:rsidR="00AB3FC7">
        <w:rPr>
          <w:rFonts w:cs="Arial"/>
          <w:sz w:val="20"/>
        </w:rPr>
        <w:t xml:space="preserve"> including jail beds and out of state placements</w:t>
      </w:r>
      <w:r w:rsidRPr="005A555E">
        <w:rPr>
          <w:rFonts w:cs="Arial"/>
          <w:sz w:val="20"/>
        </w:rPr>
        <w:t>.</w:t>
      </w:r>
    </w:p>
    <w:p w14:paraId="69A22363" w14:textId="1E94D31B" w:rsidR="005A555E" w:rsidRDefault="005A555E" w:rsidP="004903BC">
      <w:pPr>
        <w:pStyle w:val="ListParagraph"/>
        <w:numPr>
          <w:ilvl w:val="0"/>
          <w:numId w:val="36"/>
        </w:numPr>
        <w:jc w:val="both"/>
        <w:rPr>
          <w:rFonts w:cs="Arial"/>
          <w:sz w:val="20"/>
        </w:rPr>
      </w:pPr>
      <w:bookmarkStart w:id="5" w:name="_Hlk16163468"/>
      <w:r w:rsidRPr="005A555E">
        <w:rPr>
          <w:rFonts w:cs="Arial"/>
          <w:sz w:val="20"/>
        </w:rPr>
        <w:t>The agency calculates the supervision cost per day based on all supervised offenders in state and those managed on Interstate Compact i</w:t>
      </w:r>
      <w:r w:rsidR="00106AC0">
        <w:rPr>
          <w:rFonts w:cs="Arial"/>
          <w:sz w:val="20"/>
        </w:rPr>
        <w:t>n other states. Approximately 2</w:t>
      </w:r>
      <w:r w:rsidR="001B1A65">
        <w:rPr>
          <w:rFonts w:cs="Arial"/>
          <w:sz w:val="20"/>
        </w:rPr>
        <w:t>0</w:t>
      </w:r>
      <w:r w:rsidRPr="005A555E">
        <w:rPr>
          <w:rFonts w:cs="Arial"/>
          <w:sz w:val="20"/>
        </w:rPr>
        <w:t>% of the budget is funded through cost of supervision fees.</w:t>
      </w:r>
    </w:p>
    <w:bookmarkEnd w:id="5"/>
    <w:p w14:paraId="0C348E85" w14:textId="3F217F69" w:rsidR="005A555E" w:rsidRDefault="005A555E" w:rsidP="043A0D96">
      <w:pPr>
        <w:pStyle w:val="ListParagraph"/>
        <w:numPr>
          <w:ilvl w:val="0"/>
          <w:numId w:val="36"/>
        </w:numPr>
        <w:jc w:val="both"/>
        <w:rPr>
          <w:rFonts w:cs="Arial"/>
          <w:sz w:val="20"/>
        </w:rPr>
      </w:pPr>
      <w:r w:rsidRPr="043A0D96">
        <w:rPr>
          <w:rFonts w:cs="Arial"/>
          <w:sz w:val="20"/>
        </w:rPr>
        <w:t xml:space="preserve">The supervised offender to officer ratio reflects the average caseload size in Idaho.  Specialized caseloads such as sex offender and </w:t>
      </w:r>
      <w:r w:rsidR="002F3763" w:rsidRPr="043A0D96">
        <w:rPr>
          <w:rFonts w:cs="Arial"/>
          <w:sz w:val="20"/>
        </w:rPr>
        <w:t>problem-solving</w:t>
      </w:r>
      <w:r w:rsidRPr="043A0D96">
        <w:rPr>
          <w:rFonts w:cs="Arial"/>
          <w:sz w:val="20"/>
        </w:rPr>
        <w:t xml:space="preserve"> court caseloads are much lower than the average, resulting in </w:t>
      </w:r>
      <w:r w:rsidRPr="043A0D96">
        <w:rPr>
          <w:rFonts w:cs="Arial"/>
          <w:sz w:val="20"/>
        </w:rPr>
        <w:lastRenderedPageBreak/>
        <w:t xml:space="preserve">general caseloads with over 100 offenders. </w:t>
      </w:r>
      <w:r w:rsidR="00BC37D7" w:rsidRPr="043A0D96">
        <w:rPr>
          <w:rFonts w:cs="Arial"/>
          <w:sz w:val="20"/>
        </w:rPr>
        <w:t xml:space="preserve">The rate is based on the </w:t>
      </w:r>
      <w:r w:rsidR="00EE7E3E" w:rsidRPr="043A0D96">
        <w:rPr>
          <w:rFonts w:cs="Arial"/>
          <w:sz w:val="20"/>
        </w:rPr>
        <w:t>yearend</w:t>
      </w:r>
      <w:r w:rsidR="00BC37D7" w:rsidRPr="043A0D96">
        <w:rPr>
          <w:rFonts w:cs="Arial"/>
          <w:sz w:val="20"/>
        </w:rPr>
        <w:t xml:space="preserve"> total population compared to number </w:t>
      </w:r>
      <w:r w:rsidR="00A85EA1" w:rsidRPr="043A0D96">
        <w:rPr>
          <w:rFonts w:cs="Arial"/>
          <w:sz w:val="20"/>
        </w:rPr>
        <w:t>of PCNs</w:t>
      </w:r>
      <w:r w:rsidR="00BC37D7" w:rsidRPr="043A0D96">
        <w:rPr>
          <w:rFonts w:cs="Arial"/>
          <w:sz w:val="20"/>
        </w:rPr>
        <w:t>, not including vacancies</w:t>
      </w:r>
      <w:r w:rsidR="00D03D36" w:rsidRPr="043A0D96">
        <w:rPr>
          <w:rFonts w:cs="Arial"/>
          <w:sz w:val="20"/>
        </w:rPr>
        <w:t xml:space="preserve"> (1</w:t>
      </w:r>
      <w:r w:rsidR="62512ED3" w:rsidRPr="043A0D96">
        <w:rPr>
          <w:rFonts w:cs="Arial"/>
          <w:sz w:val="20"/>
        </w:rPr>
        <w:t>6,579</w:t>
      </w:r>
      <w:r w:rsidR="00D03D36" w:rsidRPr="043A0D96">
        <w:rPr>
          <w:rFonts w:cs="Arial"/>
          <w:sz w:val="20"/>
        </w:rPr>
        <w:t>/22</w:t>
      </w:r>
      <w:r w:rsidR="00906F18" w:rsidRPr="043A0D96">
        <w:rPr>
          <w:rFonts w:cs="Arial"/>
          <w:sz w:val="20"/>
        </w:rPr>
        <w:t>4</w:t>
      </w:r>
      <w:r w:rsidR="00D03D36" w:rsidRPr="043A0D96">
        <w:rPr>
          <w:rFonts w:cs="Arial"/>
          <w:sz w:val="20"/>
        </w:rPr>
        <w:t>)</w:t>
      </w:r>
      <w:r w:rsidR="00BC37D7" w:rsidRPr="043A0D96">
        <w:rPr>
          <w:rFonts w:cs="Arial"/>
          <w:sz w:val="20"/>
        </w:rPr>
        <w:t>.</w:t>
      </w:r>
    </w:p>
    <w:p w14:paraId="5301C21A" w14:textId="21615F09" w:rsidR="589AAA6F" w:rsidRDefault="589AAA6F" w:rsidP="6E072EAB">
      <w:pPr>
        <w:pStyle w:val="ListParagraph"/>
        <w:numPr>
          <w:ilvl w:val="0"/>
          <w:numId w:val="36"/>
        </w:numPr>
        <w:jc w:val="both"/>
        <w:rPr>
          <w:sz w:val="20"/>
        </w:rPr>
      </w:pPr>
      <w:r w:rsidRPr="6E072EAB">
        <w:rPr>
          <w:rFonts w:cs="Arial"/>
          <w:sz w:val="20"/>
        </w:rPr>
        <w:t>The number of GED/HSE completions for FY20 reported this year is higher than reported previously. This is established based on renewed analysis of all GEDs completed during the reporting period.</w:t>
      </w:r>
    </w:p>
    <w:p w14:paraId="225894AB" w14:textId="62AFD15E" w:rsidR="00072A68" w:rsidRPr="005D7F99" w:rsidRDefault="00072A68" w:rsidP="00751269">
      <w:pPr>
        <w:pStyle w:val="ListParagraph"/>
        <w:rPr>
          <w:rFonts w:cs="Arial"/>
          <w:noProof/>
          <w:sz w:val="20"/>
        </w:rPr>
      </w:pPr>
    </w:p>
    <w:p w14:paraId="175B012D" w14:textId="1143A5EE" w:rsidR="0099271C" w:rsidRDefault="006C094C" w:rsidP="57BC613A">
      <w:pPr>
        <w:rPr>
          <w:szCs w:val="24"/>
        </w:rPr>
      </w:pPr>
      <w:bookmarkStart w:id="6" w:name="_Hlk11137127"/>
      <w:r w:rsidRPr="006C094C">
        <w:rPr>
          <w:noProof/>
        </w:rPr>
        <w:t xml:space="preserve"> </w:t>
      </w:r>
      <w:bookmarkEnd w:id="6"/>
      <w:r w:rsidR="2B853A55">
        <w:rPr>
          <w:noProof/>
        </w:rPr>
        <w:drawing>
          <wp:inline distT="0" distB="0" distL="0" distR="0" wp14:anchorId="7FAA31AE" wp14:editId="29CF0E82">
            <wp:extent cx="2939341" cy="1864371"/>
            <wp:effectExtent l="0" t="0" r="0" b="0"/>
            <wp:docPr id="481440124" name="Picture 48144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939341" cy="1864371"/>
                    </a:xfrm>
                    <a:prstGeom prst="rect">
                      <a:avLst/>
                    </a:prstGeom>
                  </pic:spPr>
                </pic:pic>
              </a:graphicData>
            </a:graphic>
          </wp:inline>
        </w:drawing>
      </w:r>
      <w:r w:rsidR="52817FB7">
        <w:rPr>
          <w:noProof/>
        </w:rPr>
        <w:drawing>
          <wp:inline distT="0" distB="0" distL="0" distR="0" wp14:anchorId="18CEF705" wp14:editId="5890B641">
            <wp:extent cx="3164140" cy="1898484"/>
            <wp:effectExtent l="0" t="0" r="0" b="0"/>
            <wp:docPr id="342003023" name="Picture 34200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164140" cy="1898484"/>
                    </a:xfrm>
                    <a:prstGeom prst="rect">
                      <a:avLst/>
                    </a:prstGeom>
                  </pic:spPr>
                </pic:pic>
              </a:graphicData>
            </a:graphic>
          </wp:inline>
        </w:drawing>
      </w:r>
    </w:p>
    <w:p w14:paraId="07BCBF8F" w14:textId="77777777" w:rsidR="00A661F8" w:rsidRDefault="00A661F8" w:rsidP="00B4270C">
      <w:pPr>
        <w:jc w:val="both"/>
        <w:rPr>
          <w:rFonts w:ascii="Arial" w:hAnsi="Arial" w:cs="Arial"/>
          <w:szCs w:val="24"/>
        </w:rPr>
      </w:pPr>
    </w:p>
    <w:p w14:paraId="75BDB35D" w14:textId="77777777" w:rsidR="00384237" w:rsidRDefault="00384237" w:rsidP="003D3986">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0996EBE7" w14:textId="77777777" w:rsidR="00726F9F" w:rsidRPr="00726F9F" w:rsidRDefault="00726F9F" w:rsidP="00726F9F">
      <w:pPr>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2958"/>
        <w:gridCol w:w="1031"/>
        <w:gridCol w:w="1292"/>
        <w:gridCol w:w="1273"/>
        <w:gridCol w:w="1264"/>
        <w:gridCol w:w="1233"/>
        <w:gridCol w:w="1029"/>
      </w:tblGrid>
      <w:tr w:rsidR="004A2323" w14:paraId="3CE0AD16" w14:textId="77777777" w:rsidTr="00DA50DB">
        <w:trPr>
          <w:cantSplit/>
          <w:tblHeader/>
        </w:trPr>
        <w:tc>
          <w:tcPr>
            <w:tcW w:w="3989" w:type="dxa"/>
            <w:gridSpan w:val="2"/>
            <w:shd w:val="clear" w:color="auto" w:fill="000080"/>
            <w:vAlign w:val="bottom"/>
          </w:tcPr>
          <w:p w14:paraId="7DE4ACCB" w14:textId="77777777" w:rsidR="004A2323" w:rsidRDefault="004A2323" w:rsidP="004A2323">
            <w:pPr>
              <w:jc w:val="center"/>
              <w:rPr>
                <w:rFonts w:ascii="Arial" w:hAnsi="Arial" w:cs="Arial"/>
                <w:b/>
                <w:bCs/>
                <w:color w:val="FFFFFF"/>
                <w:sz w:val="20"/>
              </w:rPr>
            </w:pPr>
            <w:r>
              <w:rPr>
                <w:rFonts w:ascii="Arial" w:hAnsi="Arial" w:cs="Arial"/>
                <w:b/>
                <w:bCs/>
                <w:color w:val="FFFFFF"/>
                <w:sz w:val="20"/>
              </w:rPr>
              <w:t>Performance Measure</w:t>
            </w:r>
          </w:p>
        </w:tc>
        <w:tc>
          <w:tcPr>
            <w:tcW w:w="1292" w:type="dxa"/>
            <w:shd w:val="clear" w:color="auto" w:fill="000080"/>
            <w:vAlign w:val="bottom"/>
          </w:tcPr>
          <w:p w14:paraId="48C5EA92" w14:textId="38B08137" w:rsidR="004A2323" w:rsidRDefault="00DA50DB" w:rsidP="004A2323">
            <w:pPr>
              <w:jc w:val="center"/>
              <w:rPr>
                <w:rFonts w:ascii="Arial" w:hAnsi="Arial" w:cs="Arial"/>
                <w:b/>
                <w:bCs/>
                <w:color w:val="FFFFFF"/>
                <w:sz w:val="20"/>
              </w:rPr>
            </w:pPr>
            <w:r>
              <w:rPr>
                <w:rFonts w:ascii="Arial" w:hAnsi="Arial" w:cs="Arial"/>
                <w:b/>
                <w:bCs/>
                <w:color w:val="FFFFFF"/>
                <w:sz w:val="20"/>
              </w:rPr>
              <w:t>FY 2019</w:t>
            </w:r>
          </w:p>
        </w:tc>
        <w:tc>
          <w:tcPr>
            <w:tcW w:w="1273" w:type="dxa"/>
            <w:shd w:val="clear" w:color="auto" w:fill="000080"/>
            <w:vAlign w:val="bottom"/>
          </w:tcPr>
          <w:p w14:paraId="6BC4C292" w14:textId="102326B1" w:rsidR="004A2323" w:rsidRDefault="00DA50DB" w:rsidP="004A2323">
            <w:pPr>
              <w:jc w:val="center"/>
              <w:rPr>
                <w:rFonts w:ascii="Arial" w:hAnsi="Arial" w:cs="Arial"/>
                <w:b/>
                <w:bCs/>
                <w:color w:val="FFFFFF"/>
                <w:sz w:val="20"/>
              </w:rPr>
            </w:pPr>
            <w:r>
              <w:rPr>
                <w:rFonts w:ascii="Arial" w:hAnsi="Arial" w:cs="Arial"/>
                <w:b/>
                <w:bCs/>
                <w:color w:val="FFFFFF"/>
                <w:sz w:val="20"/>
              </w:rPr>
              <w:t>FY 2020</w:t>
            </w:r>
          </w:p>
        </w:tc>
        <w:tc>
          <w:tcPr>
            <w:tcW w:w="1264" w:type="dxa"/>
            <w:shd w:val="clear" w:color="auto" w:fill="000080"/>
            <w:vAlign w:val="bottom"/>
          </w:tcPr>
          <w:p w14:paraId="76694B94" w14:textId="0D91618E" w:rsidR="004A2323" w:rsidRDefault="00DA50DB" w:rsidP="004A2323">
            <w:pPr>
              <w:jc w:val="center"/>
              <w:rPr>
                <w:rFonts w:ascii="Arial" w:hAnsi="Arial" w:cs="Arial"/>
                <w:b/>
                <w:bCs/>
                <w:color w:val="FFFFFF"/>
                <w:sz w:val="20"/>
              </w:rPr>
            </w:pPr>
            <w:r>
              <w:rPr>
                <w:rFonts w:ascii="Arial" w:hAnsi="Arial" w:cs="Arial"/>
                <w:b/>
                <w:bCs/>
                <w:color w:val="FFFFFF"/>
                <w:sz w:val="20"/>
              </w:rPr>
              <w:t>FY 2021</w:t>
            </w:r>
          </w:p>
        </w:tc>
        <w:tc>
          <w:tcPr>
            <w:tcW w:w="1233" w:type="dxa"/>
            <w:shd w:val="clear" w:color="auto" w:fill="000080"/>
            <w:vAlign w:val="bottom"/>
          </w:tcPr>
          <w:p w14:paraId="40856660" w14:textId="35FFAD0F" w:rsidR="004A2323" w:rsidRDefault="00DA50DB" w:rsidP="004A2323">
            <w:pPr>
              <w:jc w:val="center"/>
              <w:rPr>
                <w:rFonts w:ascii="Arial" w:hAnsi="Arial" w:cs="Arial"/>
                <w:b/>
                <w:bCs/>
                <w:color w:val="FFFFFF"/>
                <w:sz w:val="20"/>
              </w:rPr>
            </w:pPr>
            <w:r>
              <w:rPr>
                <w:rFonts w:ascii="Arial" w:hAnsi="Arial" w:cs="Arial"/>
                <w:b/>
                <w:bCs/>
                <w:color w:val="FFFFFF"/>
                <w:sz w:val="20"/>
              </w:rPr>
              <w:t>FY 2022</w:t>
            </w:r>
          </w:p>
        </w:tc>
        <w:tc>
          <w:tcPr>
            <w:tcW w:w="1029" w:type="dxa"/>
            <w:shd w:val="clear" w:color="auto" w:fill="000080"/>
            <w:vAlign w:val="bottom"/>
          </w:tcPr>
          <w:p w14:paraId="58B54338" w14:textId="747F5DBA" w:rsidR="004A2323" w:rsidRDefault="00DA50DB" w:rsidP="004A2323">
            <w:pPr>
              <w:jc w:val="center"/>
              <w:rPr>
                <w:rFonts w:ascii="Arial" w:hAnsi="Arial" w:cs="Arial"/>
                <w:b/>
                <w:bCs/>
                <w:color w:val="FFFFFF"/>
                <w:sz w:val="20"/>
              </w:rPr>
            </w:pPr>
            <w:r>
              <w:rPr>
                <w:rFonts w:ascii="Arial" w:hAnsi="Arial" w:cs="Arial"/>
                <w:b/>
                <w:bCs/>
                <w:color w:val="FFFFFF"/>
                <w:sz w:val="20"/>
              </w:rPr>
              <w:t>FY 2023</w:t>
            </w:r>
          </w:p>
        </w:tc>
      </w:tr>
      <w:tr w:rsidR="00C50EF5" w14:paraId="131C54E7" w14:textId="77777777" w:rsidTr="332B5044">
        <w:trPr>
          <w:cantSplit/>
          <w:trHeight w:val="467"/>
        </w:trPr>
        <w:tc>
          <w:tcPr>
            <w:tcW w:w="10080" w:type="dxa"/>
            <w:gridSpan w:val="7"/>
            <w:shd w:val="clear" w:color="auto" w:fill="DBE5F1" w:themeFill="accent1" w:themeFillTint="33"/>
            <w:vAlign w:val="center"/>
          </w:tcPr>
          <w:p w14:paraId="125CF47F" w14:textId="0BB7B685" w:rsidR="00C50EF5" w:rsidRPr="00ED13E4" w:rsidRDefault="74513030" w:rsidP="2567E06E">
            <w:pPr>
              <w:jc w:val="center"/>
              <w:rPr>
                <w:rFonts w:ascii="Arial" w:hAnsi="Arial" w:cs="Arial"/>
                <w:b/>
                <w:bCs/>
                <w:sz w:val="20"/>
              </w:rPr>
            </w:pPr>
            <w:r w:rsidRPr="2567E06E">
              <w:rPr>
                <w:rFonts w:ascii="Arial" w:hAnsi="Arial" w:cs="Arial"/>
                <w:b/>
                <w:bCs/>
                <w:sz w:val="20"/>
              </w:rPr>
              <w:t xml:space="preserve">Goal 1. </w:t>
            </w:r>
            <w:r w:rsidR="53A3A2C9" w:rsidRPr="2567E06E">
              <w:rPr>
                <w:rFonts w:ascii="Arial" w:hAnsi="Arial" w:cs="Arial"/>
                <w:b/>
                <w:bCs/>
                <w:sz w:val="20"/>
              </w:rPr>
              <w:t>Create safer communities by increasing success for those under IDOC jurisdiction.</w:t>
            </w:r>
          </w:p>
        </w:tc>
      </w:tr>
      <w:tr w:rsidR="00DA50DB" w14:paraId="76866AF6" w14:textId="77777777" w:rsidTr="00DA50DB">
        <w:trPr>
          <w:cantSplit/>
          <w:trHeight w:val="288"/>
        </w:trPr>
        <w:tc>
          <w:tcPr>
            <w:tcW w:w="2958" w:type="dxa"/>
            <w:vMerge w:val="restart"/>
          </w:tcPr>
          <w:p w14:paraId="40F1CE33" w14:textId="298BC630" w:rsidR="00DA50DB" w:rsidRPr="00070FA7" w:rsidRDefault="00DA50DB" w:rsidP="00DA50DB">
            <w:pPr>
              <w:pStyle w:val="ListParagraph"/>
              <w:numPr>
                <w:ilvl w:val="0"/>
                <w:numId w:val="35"/>
              </w:numPr>
              <w:spacing w:line="259" w:lineRule="auto"/>
              <w:ind w:left="342"/>
              <w:rPr>
                <w:rFonts w:eastAsia="Arial" w:cs="Arial"/>
                <w:szCs w:val="22"/>
              </w:rPr>
            </w:pPr>
            <w:r>
              <w:rPr>
                <w:rFonts w:cs="Arial"/>
                <w:sz w:val="20"/>
              </w:rPr>
              <w:t xml:space="preserve">  </w:t>
            </w:r>
            <w:r w:rsidRPr="2567E06E">
              <w:rPr>
                <w:rFonts w:cs="Arial"/>
                <w:sz w:val="20"/>
              </w:rPr>
              <w:t>Percentage of probationers, parolees and full-term releases from prison who are successful at three years.</w:t>
            </w:r>
          </w:p>
        </w:tc>
        <w:tc>
          <w:tcPr>
            <w:tcW w:w="1031" w:type="dxa"/>
            <w:shd w:val="clear" w:color="auto" w:fill="D9D9D9" w:themeFill="background1" w:themeFillShade="D9"/>
            <w:vAlign w:val="center"/>
          </w:tcPr>
          <w:p w14:paraId="178061C8" w14:textId="77777777" w:rsidR="00DA50DB" w:rsidRPr="00070FA7" w:rsidRDefault="00DA50DB" w:rsidP="00DA50DB">
            <w:pPr>
              <w:jc w:val="center"/>
              <w:rPr>
                <w:rFonts w:ascii="Arial" w:hAnsi="Arial" w:cs="Arial"/>
                <w:sz w:val="20"/>
              </w:rPr>
            </w:pPr>
            <w:r w:rsidRPr="00070FA7">
              <w:rPr>
                <w:rFonts w:ascii="Arial" w:hAnsi="Arial" w:cs="Arial"/>
                <w:sz w:val="20"/>
              </w:rPr>
              <w:t>actual</w:t>
            </w:r>
          </w:p>
        </w:tc>
        <w:tc>
          <w:tcPr>
            <w:tcW w:w="1292" w:type="dxa"/>
            <w:shd w:val="clear" w:color="auto" w:fill="D9D9D9" w:themeFill="background1" w:themeFillShade="D9"/>
            <w:vAlign w:val="center"/>
          </w:tcPr>
          <w:p w14:paraId="3333F4AC" w14:textId="5F197084" w:rsidR="00DA50DB" w:rsidRPr="00070FA7" w:rsidRDefault="00DA50DB" w:rsidP="00DA50DB">
            <w:pPr>
              <w:jc w:val="center"/>
              <w:rPr>
                <w:rFonts w:ascii="Arial" w:hAnsi="Arial" w:cs="Arial"/>
                <w:sz w:val="20"/>
              </w:rPr>
            </w:pPr>
            <w:r w:rsidRPr="004A9D55">
              <w:rPr>
                <w:rFonts w:ascii="Arial" w:hAnsi="Arial" w:cs="Arial"/>
                <w:sz w:val="20"/>
              </w:rPr>
              <w:t>New measure</w:t>
            </w:r>
          </w:p>
        </w:tc>
        <w:tc>
          <w:tcPr>
            <w:tcW w:w="1273" w:type="dxa"/>
            <w:shd w:val="clear" w:color="auto" w:fill="D9D9D9" w:themeFill="background1" w:themeFillShade="D9"/>
            <w:vAlign w:val="center"/>
          </w:tcPr>
          <w:p w14:paraId="6B3E3B1B" w14:textId="6DFE718F" w:rsidR="00DA50DB" w:rsidRPr="00070FA7" w:rsidRDefault="00DA50DB" w:rsidP="00DA50DB">
            <w:pPr>
              <w:spacing w:line="259" w:lineRule="auto"/>
              <w:jc w:val="center"/>
              <w:rPr>
                <w:rFonts w:ascii="Arial" w:hAnsi="Arial" w:cs="Arial"/>
                <w:sz w:val="20"/>
              </w:rPr>
            </w:pPr>
            <w:r w:rsidRPr="004A9D55">
              <w:rPr>
                <w:rFonts w:ascii="Arial" w:hAnsi="Arial" w:cs="Arial"/>
                <w:sz w:val="20"/>
              </w:rPr>
              <w:t>New measure</w:t>
            </w:r>
          </w:p>
        </w:tc>
        <w:tc>
          <w:tcPr>
            <w:tcW w:w="1264" w:type="dxa"/>
            <w:shd w:val="clear" w:color="auto" w:fill="D9D9D9" w:themeFill="background1" w:themeFillShade="D9"/>
            <w:vAlign w:val="center"/>
          </w:tcPr>
          <w:p w14:paraId="4D6E65BB" w14:textId="55577395" w:rsidR="00DA50DB" w:rsidRPr="00070FA7" w:rsidRDefault="00DA50DB" w:rsidP="00DA50DB">
            <w:pPr>
              <w:jc w:val="center"/>
              <w:rPr>
                <w:rFonts w:ascii="Arial" w:hAnsi="Arial" w:cs="Arial"/>
                <w:sz w:val="20"/>
              </w:rPr>
            </w:pPr>
            <w:r w:rsidRPr="3B4D4E19">
              <w:rPr>
                <w:rFonts w:ascii="Arial" w:hAnsi="Arial" w:cs="Arial"/>
                <w:sz w:val="20"/>
              </w:rPr>
              <w:t>64%</w:t>
            </w:r>
          </w:p>
        </w:tc>
        <w:tc>
          <w:tcPr>
            <w:tcW w:w="1233" w:type="dxa"/>
            <w:shd w:val="clear" w:color="auto" w:fill="D9D9D9" w:themeFill="background1" w:themeFillShade="D9"/>
            <w:vAlign w:val="center"/>
          </w:tcPr>
          <w:p w14:paraId="1F419891" w14:textId="7E3B8F24" w:rsidR="00DA50DB" w:rsidRPr="00D7051E" w:rsidRDefault="00DA50DB" w:rsidP="00DA50DB">
            <w:pPr>
              <w:jc w:val="center"/>
              <w:rPr>
                <w:rFonts w:ascii="Arial" w:hAnsi="Arial" w:cs="Arial"/>
                <w:sz w:val="20"/>
              </w:rPr>
            </w:pPr>
          </w:p>
        </w:tc>
        <w:tc>
          <w:tcPr>
            <w:tcW w:w="1029" w:type="dxa"/>
            <w:shd w:val="clear" w:color="auto" w:fill="D9D9D9" w:themeFill="background1" w:themeFillShade="D9"/>
            <w:vAlign w:val="center"/>
          </w:tcPr>
          <w:p w14:paraId="3286C027" w14:textId="7861024D" w:rsidR="00DA50DB" w:rsidRPr="00070FA7" w:rsidRDefault="00DA50DB" w:rsidP="00DA50DB">
            <w:pPr>
              <w:jc w:val="center"/>
              <w:rPr>
                <w:rFonts w:ascii="Arial" w:hAnsi="Arial" w:cs="Arial"/>
                <w:sz w:val="20"/>
              </w:rPr>
            </w:pPr>
          </w:p>
        </w:tc>
      </w:tr>
      <w:tr w:rsidR="00DA50DB" w14:paraId="575FC6AF" w14:textId="77777777" w:rsidTr="00DA50DB">
        <w:trPr>
          <w:cantSplit/>
          <w:trHeight w:val="288"/>
        </w:trPr>
        <w:tc>
          <w:tcPr>
            <w:tcW w:w="2958" w:type="dxa"/>
            <w:vMerge/>
          </w:tcPr>
          <w:p w14:paraId="1DC2548F" w14:textId="77777777" w:rsidR="00DA50DB" w:rsidRPr="00070FA7" w:rsidRDefault="00DA50DB" w:rsidP="00DA50DB">
            <w:pPr>
              <w:pStyle w:val="ListParagraph"/>
              <w:numPr>
                <w:ilvl w:val="0"/>
                <w:numId w:val="35"/>
              </w:numPr>
              <w:overflowPunct/>
              <w:autoSpaceDE/>
              <w:autoSpaceDN/>
              <w:adjustRightInd/>
              <w:ind w:left="342"/>
              <w:contextualSpacing/>
              <w:textAlignment w:val="auto"/>
              <w:rPr>
                <w:rFonts w:cs="Arial"/>
                <w:sz w:val="20"/>
              </w:rPr>
            </w:pPr>
          </w:p>
        </w:tc>
        <w:tc>
          <w:tcPr>
            <w:tcW w:w="1031" w:type="dxa"/>
            <w:shd w:val="clear" w:color="auto" w:fill="auto"/>
            <w:vAlign w:val="center"/>
          </w:tcPr>
          <w:p w14:paraId="4332A8B9" w14:textId="77777777" w:rsidR="00DA50DB" w:rsidRPr="00ED13E4" w:rsidRDefault="00DA50DB" w:rsidP="00DA50DB">
            <w:pPr>
              <w:jc w:val="center"/>
              <w:rPr>
                <w:rFonts w:ascii="Arial" w:hAnsi="Arial" w:cs="Arial"/>
                <w:i/>
                <w:sz w:val="16"/>
                <w:szCs w:val="16"/>
              </w:rPr>
            </w:pPr>
            <w:r>
              <w:rPr>
                <w:rFonts w:ascii="Arial" w:hAnsi="Arial" w:cs="Arial"/>
                <w:i/>
                <w:sz w:val="16"/>
                <w:szCs w:val="16"/>
              </w:rPr>
              <w:t>target</w:t>
            </w:r>
          </w:p>
        </w:tc>
        <w:tc>
          <w:tcPr>
            <w:tcW w:w="1292" w:type="dxa"/>
            <w:shd w:val="clear" w:color="auto" w:fill="auto"/>
            <w:vAlign w:val="center"/>
          </w:tcPr>
          <w:p w14:paraId="097F9295" w14:textId="54CBEC30" w:rsidR="00DA50DB" w:rsidRDefault="002E1D2E" w:rsidP="00DA50DB">
            <w:pPr>
              <w:jc w:val="center"/>
              <w:rPr>
                <w:rFonts w:ascii="Arial" w:hAnsi="Arial" w:cs="Arial"/>
                <w:i/>
                <w:iCs/>
                <w:sz w:val="16"/>
                <w:szCs w:val="16"/>
              </w:rPr>
            </w:pPr>
            <w:r>
              <w:rPr>
                <w:rFonts w:ascii="Arial" w:hAnsi="Arial" w:cs="Arial"/>
                <w:i/>
                <w:iCs/>
                <w:sz w:val="16"/>
                <w:szCs w:val="16"/>
              </w:rPr>
              <w:t>--</w:t>
            </w:r>
          </w:p>
        </w:tc>
        <w:tc>
          <w:tcPr>
            <w:tcW w:w="1273" w:type="dxa"/>
            <w:shd w:val="clear" w:color="auto" w:fill="auto"/>
            <w:vAlign w:val="center"/>
          </w:tcPr>
          <w:p w14:paraId="7E271BA4" w14:textId="1F684B55" w:rsidR="00DA50DB" w:rsidRDefault="002E1D2E" w:rsidP="00DA50DB">
            <w:pPr>
              <w:jc w:val="center"/>
              <w:rPr>
                <w:rFonts w:ascii="Arial" w:hAnsi="Arial" w:cs="Arial"/>
                <w:i/>
                <w:iCs/>
                <w:sz w:val="16"/>
                <w:szCs w:val="16"/>
              </w:rPr>
            </w:pPr>
            <w:r>
              <w:rPr>
                <w:rFonts w:ascii="Arial" w:hAnsi="Arial" w:cs="Arial"/>
                <w:i/>
                <w:iCs/>
                <w:sz w:val="16"/>
                <w:szCs w:val="16"/>
              </w:rPr>
              <w:t>--</w:t>
            </w:r>
          </w:p>
        </w:tc>
        <w:tc>
          <w:tcPr>
            <w:tcW w:w="1264" w:type="dxa"/>
            <w:shd w:val="clear" w:color="auto" w:fill="auto"/>
            <w:vAlign w:val="center"/>
          </w:tcPr>
          <w:p w14:paraId="3D5C67A7" w14:textId="10C70248" w:rsidR="00DA50DB" w:rsidRPr="00985F28" w:rsidRDefault="00DA50DB" w:rsidP="00DA50DB">
            <w:pPr>
              <w:jc w:val="center"/>
              <w:rPr>
                <w:rFonts w:ascii="Arial" w:hAnsi="Arial" w:cs="Arial"/>
                <w:i/>
                <w:iCs/>
                <w:sz w:val="16"/>
                <w:szCs w:val="16"/>
              </w:rPr>
            </w:pPr>
            <w:r w:rsidRPr="2567E06E">
              <w:rPr>
                <w:rFonts w:ascii="Arial" w:hAnsi="Arial" w:cs="Arial"/>
                <w:i/>
                <w:iCs/>
                <w:sz w:val="16"/>
                <w:szCs w:val="16"/>
              </w:rPr>
              <w:t>65%</w:t>
            </w:r>
          </w:p>
        </w:tc>
        <w:tc>
          <w:tcPr>
            <w:tcW w:w="1233" w:type="dxa"/>
            <w:shd w:val="clear" w:color="auto" w:fill="auto"/>
            <w:vAlign w:val="center"/>
          </w:tcPr>
          <w:p w14:paraId="1D013BED" w14:textId="3DAF4AAA" w:rsidR="00DA50DB" w:rsidRPr="00985F28" w:rsidRDefault="00DA50DB" w:rsidP="00DA50DB">
            <w:pPr>
              <w:spacing w:line="360" w:lineRule="auto"/>
              <w:jc w:val="center"/>
              <w:rPr>
                <w:rFonts w:ascii="Arial" w:hAnsi="Arial" w:cs="Arial"/>
                <w:i/>
                <w:iCs/>
                <w:sz w:val="16"/>
                <w:szCs w:val="16"/>
              </w:rPr>
            </w:pPr>
            <w:r w:rsidRPr="004A9D55">
              <w:rPr>
                <w:rFonts w:ascii="Arial" w:hAnsi="Arial" w:cs="Arial"/>
                <w:i/>
                <w:iCs/>
                <w:sz w:val="16"/>
                <w:szCs w:val="16"/>
              </w:rPr>
              <w:t>66.6%</w:t>
            </w:r>
          </w:p>
        </w:tc>
        <w:tc>
          <w:tcPr>
            <w:tcW w:w="1029" w:type="dxa"/>
            <w:shd w:val="clear" w:color="auto" w:fill="auto"/>
            <w:vAlign w:val="center"/>
          </w:tcPr>
          <w:p w14:paraId="5364A6CC" w14:textId="07606022" w:rsidR="00DA50DB" w:rsidRPr="00985F28" w:rsidRDefault="00DA50DB" w:rsidP="00DA50DB">
            <w:pPr>
              <w:spacing w:line="360" w:lineRule="auto"/>
              <w:jc w:val="center"/>
              <w:rPr>
                <w:rFonts w:ascii="Arial" w:hAnsi="Arial" w:cs="Arial"/>
                <w:i/>
                <w:sz w:val="16"/>
                <w:szCs w:val="16"/>
              </w:rPr>
            </w:pPr>
          </w:p>
        </w:tc>
      </w:tr>
      <w:tr w:rsidR="00DA50DB" w14:paraId="664F5807" w14:textId="77777777" w:rsidTr="00DA50DB">
        <w:trPr>
          <w:cantSplit/>
          <w:trHeight w:val="288"/>
        </w:trPr>
        <w:tc>
          <w:tcPr>
            <w:tcW w:w="2958" w:type="dxa"/>
            <w:vMerge w:val="restart"/>
          </w:tcPr>
          <w:p w14:paraId="10561AF8" w14:textId="3E82079D" w:rsidR="00DA50DB" w:rsidRPr="00070FA7" w:rsidRDefault="00DA50DB" w:rsidP="00DA50DB">
            <w:pPr>
              <w:pStyle w:val="ListParagraph"/>
              <w:numPr>
                <w:ilvl w:val="0"/>
                <w:numId w:val="35"/>
              </w:numPr>
              <w:spacing w:line="259" w:lineRule="auto"/>
              <w:ind w:left="342"/>
              <w:rPr>
                <w:rFonts w:eastAsia="Arial" w:cs="Arial"/>
                <w:szCs w:val="22"/>
              </w:rPr>
            </w:pPr>
            <w:r>
              <w:rPr>
                <w:rFonts w:cs="Arial"/>
                <w:sz w:val="20"/>
              </w:rPr>
              <w:t xml:space="preserve">  </w:t>
            </w:r>
            <w:r w:rsidRPr="2567E06E">
              <w:rPr>
                <w:rFonts w:cs="Arial"/>
                <w:sz w:val="20"/>
              </w:rPr>
              <w:t>Degree of equity in programming and vocational completions by race and gender within prisons and on supervision.</w:t>
            </w:r>
          </w:p>
        </w:tc>
        <w:tc>
          <w:tcPr>
            <w:tcW w:w="1031" w:type="dxa"/>
            <w:shd w:val="clear" w:color="auto" w:fill="D9D9D9" w:themeFill="background1" w:themeFillShade="D9"/>
            <w:vAlign w:val="center"/>
          </w:tcPr>
          <w:p w14:paraId="52554514" w14:textId="77777777" w:rsidR="00DA50DB" w:rsidRPr="00070FA7" w:rsidRDefault="00DA50DB" w:rsidP="00DA50DB">
            <w:pPr>
              <w:jc w:val="center"/>
              <w:rPr>
                <w:rFonts w:ascii="Arial" w:hAnsi="Arial" w:cs="Arial"/>
                <w:sz w:val="20"/>
              </w:rPr>
            </w:pPr>
            <w:r w:rsidRPr="00070FA7">
              <w:rPr>
                <w:rFonts w:ascii="Arial" w:hAnsi="Arial" w:cs="Arial"/>
                <w:sz w:val="20"/>
              </w:rPr>
              <w:t>actual</w:t>
            </w:r>
          </w:p>
        </w:tc>
        <w:tc>
          <w:tcPr>
            <w:tcW w:w="1292" w:type="dxa"/>
            <w:shd w:val="clear" w:color="auto" w:fill="D9D9D9" w:themeFill="background1" w:themeFillShade="D9"/>
            <w:vAlign w:val="center"/>
          </w:tcPr>
          <w:p w14:paraId="2C47F7D1" w14:textId="08D032AE" w:rsidR="00DA50DB" w:rsidRDefault="00DA50DB" w:rsidP="00DA50DB">
            <w:pPr>
              <w:jc w:val="center"/>
              <w:rPr>
                <w:rFonts w:ascii="Arial" w:hAnsi="Arial" w:cs="Arial"/>
                <w:sz w:val="20"/>
              </w:rPr>
            </w:pPr>
            <w:r w:rsidRPr="5D7D3133">
              <w:rPr>
                <w:rFonts w:ascii="Arial" w:hAnsi="Arial" w:cs="Arial"/>
                <w:sz w:val="20"/>
              </w:rPr>
              <w:t>New measure</w:t>
            </w:r>
          </w:p>
        </w:tc>
        <w:tc>
          <w:tcPr>
            <w:tcW w:w="1273" w:type="dxa"/>
            <w:shd w:val="clear" w:color="auto" w:fill="D9D9D9" w:themeFill="background1" w:themeFillShade="D9"/>
            <w:vAlign w:val="center"/>
          </w:tcPr>
          <w:p w14:paraId="5FFAE7D0" w14:textId="3634E54C" w:rsidR="00DA50DB" w:rsidRPr="00070FA7" w:rsidRDefault="00DA50DB" w:rsidP="00DA50DB">
            <w:pPr>
              <w:jc w:val="center"/>
              <w:rPr>
                <w:rFonts w:ascii="Arial" w:hAnsi="Arial" w:cs="Arial"/>
                <w:sz w:val="20"/>
              </w:rPr>
            </w:pPr>
            <w:r w:rsidRPr="5D7D3133">
              <w:rPr>
                <w:rFonts w:ascii="Arial" w:hAnsi="Arial" w:cs="Arial"/>
                <w:sz w:val="20"/>
              </w:rPr>
              <w:t>New measure</w:t>
            </w:r>
          </w:p>
        </w:tc>
        <w:tc>
          <w:tcPr>
            <w:tcW w:w="1264" w:type="dxa"/>
            <w:shd w:val="clear" w:color="auto" w:fill="D9D9D9" w:themeFill="background1" w:themeFillShade="D9"/>
            <w:vAlign w:val="center"/>
          </w:tcPr>
          <w:p w14:paraId="379BFD11" w14:textId="264D7545" w:rsidR="00DA50DB" w:rsidRPr="00070FA7" w:rsidRDefault="00DA50DB" w:rsidP="00DA50DB">
            <w:pPr>
              <w:jc w:val="center"/>
              <w:rPr>
                <w:rFonts w:ascii="Arial" w:hAnsi="Arial" w:cs="Arial"/>
                <w:sz w:val="20"/>
              </w:rPr>
            </w:pPr>
            <w:r w:rsidRPr="68F74920">
              <w:rPr>
                <w:rFonts w:ascii="Arial" w:hAnsi="Arial" w:cs="Arial"/>
                <w:sz w:val="20"/>
              </w:rPr>
              <w:t>No significant difference</w:t>
            </w:r>
          </w:p>
        </w:tc>
        <w:tc>
          <w:tcPr>
            <w:tcW w:w="1233" w:type="dxa"/>
            <w:shd w:val="clear" w:color="auto" w:fill="D9D9D9" w:themeFill="background1" w:themeFillShade="D9"/>
            <w:vAlign w:val="center"/>
          </w:tcPr>
          <w:p w14:paraId="76483B3B" w14:textId="4DEF5AE7" w:rsidR="00DA50DB" w:rsidRPr="00070FA7" w:rsidRDefault="00DA50DB" w:rsidP="00DA50DB">
            <w:pPr>
              <w:spacing w:line="259" w:lineRule="auto"/>
              <w:jc w:val="center"/>
              <w:rPr>
                <w:rFonts w:ascii="Arial" w:hAnsi="Arial" w:cs="Arial"/>
                <w:sz w:val="20"/>
              </w:rPr>
            </w:pPr>
          </w:p>
        </w:tc>
        <w:tc>
          <w:tcPr>
            <w:tcW w:w="1029" w:type="dxa"/>
            <w:shd w:val="clear" w:color="auto" w:fill="D9D9D9" w:themeFill="background1" w:themeFillShade="D9"/>
            <w:vAlign w:val="center"/>
          </w:tcPr>
          <w:p w14:paraId="4C154044" w14:textId="25BE1C49" w:rsidR="00DA50DB" w:rsidRPr="00070FA7" w:rsidRDefault="00DA50DB" w:rsidP="00DA50DB">
            <w:pPr>
              <w:jc w:val="center"/>
              <w:rPr>
                <w:rFonts w:ascii="Arial" w:hAnsi="Arial" w:cs="Arial"/>
                <w:sz w:val="20"/>
              </w:rPr>
            </w:pPr>
          </w:p>
        </w:tc>
      </w:tr>
      <w:tr w:rsidR="00DA50DB" w14:paraId="0D728174" w14:textId="77777777" w:rsidTr="00DA50DB">
        <w:trPr>
          <w:cantSplit/>
          <w:trHeight w:val="288"/>
        </w:trPr>
        <w:tc>
          <w:tcPr>
            <w:tcW w:w="2958" w:type="dxa"/>
            <w:vMerge/>
          </w:tcPr>
          <w:p w14:paraId="0CF0F0E5" w14:textId="77777777" w:rsidR="00DA50DB" w:rsidRPr="00070FA7" w:rsidRDefault="00DA50DB" w:rsidP="00DA50DB">
            <w:pPr>
              <w:pStyle w:val="ListParagraph"/>
              <w:numPr>
                <w:ilvl w:val="0"/>
                <w:numId w:val="35"/>
              </w:numPr>
              <w:tabs>
                <w:tab w:val="left" w:pos="2985"/>
              </w:tabs>
              <w:overflowPunct/>
              <w:autoSpaceDE/>
              <w:autoSpaceDN/>
              <w:adjustRightInd/>
              <w:ind w:left="342"/>
              <w:contextualSpacing/>
              <w:textAlignment w:val="auto"/>
              <w:rPr>
                <w:rFonts w:cs="Arial"/>
                <w:sz w:val="20"/>
              </w:rPr>
            </w:pPr>
          </w:p>
        </w:tc>
        <w:tc>
          <w:tcPr>
            <w:tcW w:w="1031" w:type="dxa"/>
            <w:shd w:val="clear" w:color="auto" w:fill="FFFFFF" w:themeFill="background1"/>
            <w:vAlign w:val="center"/>
          </w:tcPr>
          <w:p w14:paraId="12562755" w14:textId="77777777" w:rsidR="00DA50DB" w:rsidRPr="00E51672" w:rsidRDefault="00DA50DB" w:rsidP="00DA50DB">
            <w:pPr>
              <w:jc w:val="center"/>
              <w:rPr>
                <w:rFonts w:ascii="Arial" w:hAnsi="Arial" w:cs="Arial"/>
                <w:i/>
                <w:sz w:val="16"/>
                <w:szCs w:val="16"/>
              </w:rPr>
            </w:pPr>
            <w:r>
              <w:rPr>
                <w:rFonts w:ascii="Arial" w:hAnsi="Arial" w:cs="Arial"/>
                <w:i/>
                <w:sz w:val="16"/>
                <w:szCs w:val="16"/>
              </w:rPr>
              <w:t>target</w:t>
            </w:r>
          </w:p>
        </w:tc>
        <w:tc>
          <w:tcPr>
            <w:tcW w:w="1292" w:type="dxa"/>
            <w:shd w:val="clear" w:color="auto" w:fill="FFFFFF" w:themeFill="background1"/>
            <w:vAlign w:val="center"/>
          </w:tcPr>
          <w:p w14:paraId="0E2FACD1" w14:textId="574B46F4" w:rsidR="00DA50DB" w:rsidRPr="00E51672" w:rsidRDefault="002E1D2E" w:rsidP="00DA50DB">
            <w:pPr>
              <w:jc w:val="center"/>
              <w:rPr>
                <w:rFonts w:ascii="Arial" w:hAnsi="Arial" w:cs="Arial"/>
                <w:i/>
                <w:iCs/>
                <w:sz w:val="16"/>
                <w:szCs w:val="16"/>
              </w:rPr>
            </w:pPr>
            <w:r>
              <w:rPr>
                <w:rFonts w:ascii="Arial" w:hAnsi="Arial" w:cs="Arial"/>
                <w:i/>
                <w:iCs/>
                <w:sz w:val="16"/>
                <w:szCs w:val="16"/>
              </w:rPr>
              <w:t>--</w:t>
            </w:r>
          </w:p>
        </w:tc>
        <w:tc>
          <w:tcPr>
            <w:tcW w:w="1273" w:type="dxa"/>
            <w:shd w:val="clear" w:color="auto" w:fill="FFFFFF" w:themeFill="background1"/>
            <w:vAlign w:val="center"/>
          </w:tcPr>
          <w:p w14:paraId="56058599" w14:textId="2A90A199" w:rsidR="00DA50DB" w:rsidRPr="00E51672" w:rsidRDefault="002E1D2E" w:rsidP="00DA50DB">
            <w:pPr>
              <w:jc w:val="center"/>
              <w:rPr>
                <w:rFonts w:ascii="Arial" w:hAnsi="Arial" w:cs="Arial"/>
                <w:i/>
                <w:iCs/>
                <w:sz w:val="16"/>
                <w:szCs w:val="16"/>
              </w:rPr>
            </w:pPr>
            <w:r>
              <w:rPr>
                <w:rFonts w:ascii="Arial" w:hAnsi="Arial" w:cs="Arial"/>
                <w:i/>
                <w:iCs/>
                <w:sz w:val="16"/>
                <w:szCs w:val="16"/>
              </w:rPr>
              <w:t>--</w:t>
            </w:r>
          </w:p>
        </w:tc>
        <w:tc>
          <w:tcPr>
            <w:tcW w:w="1264" w:type="dxa"/>
            <w:shd w:val="clear" w:color="auto" w:fill="FFFFFF" w:themeFill="background1"/>
            <w:vAlign w:val="center"/>
          </w:tcPr>
          <w:p w14:paraId="2CE316D9" w14:textId="6CFFD037" w:rsidR="00DA50DB" w:rsidRPr="00E51672" w:rsidRDefault="00DA50DB" w:rsidP="00DA50DB">
            <w:pPr>
              <w:jc w:val="center"/>
              <w:rPr>
                <w:rFonts w:ascii="Arial" w:hAnsi="Arial" w:cs="Arial"/>
                <w:i/>
                <w:iCs/>
                <w:sz w:val="16"/>
                <w:szCs w:val="16"/>
              </w:rPr>
            </w:pPr>
            <w:r w:rsidRPr="004A9D55">
              <w:rPr>
                <w:rFonts w:ascii="Arial" w:hAnsi="Arial" w:cs="Arial"/>
                <w:i/>
                <w:sz w:val="16"/>
                <w:szCs w:val="16"/>
              </w:rPr>
              <w:t>No significant difference</w:t>
            </w:r>
          </w:p>
        </w:tc>
        <w:tc>
          <w:tcPr>
            <w:tcW w:w="1233" w:type="dxa"/>
            <w:shd w:val="clear" w:color="auto" w:fill="FFFFFF" w:themeFill="background1"/>
            <w:vAlign w:val="center"/>
          </w:tcPr>
          <w:p w14:paraId="1EF05BA0" w14:textId="2CE3BE4D" w:rsidR="00DA50DB" w:rsidRPr="00E51672" w:rsidRDefault="00DA50DB" w:rsidP="00DA50DB">
            <w:pPr>
              <w:spacing w:line="259" w:lineRule="auto"/>
              <w:jc w:val="center"/>
              <w:rPr>
                <w:rFonts w:ascii="Arial" w:hAnsi="Arial" w:cs="Arial"/>
                <w:i/>
                <w:sz w:val="16"/>
                <w:szCs w:val="16"/>
              </w:rPr>
            </w:pPr>
            <w:r w:rsidRPr="004A9D55">
              <w:rPr>
                <w:rFonts w:ascii="Arial" w:hAnsi="Arial" w:cs="Arial"/>
                <w:i/>
                <w:sz w:val="16"/>
                <w:szCs w:val="16"/>
              </w:rPr>
              <w:t>No significant difference</w:t>
            </w:r>
          </w:p>
        </w:tc>
        <w:tc>
          <w:tcPr>
            <w:tcW w:w="1029" w:type="dxa"/>
            <w:shd w:val="clear" w:color="auto" w:fill="FFFFFF" w:themeFill="background1"/>
            <w:vAlign w:val="center"/>
          </w:tcPr>
          <w:p w14:paraId="05F7C5F8" w14:textId="56A7640A" w:rsidR="00DA50DB" w:rsidRPr="00E51672" w:rsidRDefault="00DA50DB" w:rsidP="00DA50DB">
            <w:pPr>
              <w:spacing w:line="259" w:lineRule="auto"/>
              <w:jc w:val="center"/>
              <w:rPr>
                <w:rFonts w:ascii="Arial" w:hAnsi="Arial" w:cs="Arial"/>
                <w:i/>
                <w:sz w:val="16"/>
                <w:szCs w:val="16"/>
              </w:rPr>
            </w:pPr>
          </w:p>
        </w:tc>
      </w:tr>
      <w:tr w:rsidR="00DA50DB" w14:paraId="412E603F" w14:textId="77777777" w:rsidTr="00DA50DB">
        <w:trPr>
          <w:cantSplit/>
          <w:trHeight w:val="288"/>
        </w:trPr>
        <w:tc>
          <w:tcPr>
            <w:tcW w:w="2958" w:type="dxa"/>
            <w:vMerge w:val="restart"/>
          </w:tcPr>
          <w:p w14:paraId="7CDD081E" w14:textId="68C8A9AD" w:rsidR="00DA50DB" w:rsidRPr="00070FA7" w:rsidRDefault="00DA50DB" w:rsidP="00DA50DB">
            <w:pPr>
              <w:pStyle w:val="ListParagraph"/>
              <w:numPr>
                <w:ilvl w:val="0"/>
                <w:numId w:val="35"/>
              </w:numPr>
              <w:tabs>
                <w:tab w:val="left" w:pos="2985"/>
              </w:tabs>
              <w:spacing w:line="259" w:lineRule="auto"/>
              <w:ind w:left="342"/>
              <w:rPr>
                <w:rFonts w:eastAsia="Arial" w:cs="Arial"/>
                <w:szCs w:val="22"/>
              </w:rPr>
            </w:pPr>
            <w:r>
              <w:rPr>
                <w:rFonts w:cs="Arial"/>
                <w:sz w:val="20"/>
              </w:rPr>
              <w:t xml:space="preserve">  </w:t>
            </w:r>
            <w:r w:rsidRPr="2567E06E">
              <w:rPr>
                <w:rFonts w:cs="Arial"/>
                <w:sz w:val="20"/>
              </w:rPr>
              <w:t>Decrease in assaults, use of force incidents, and suicides among those in custody.</w:t>
            </w:r>
          </w:p>
        </w:tc>
        <w:tc>
          <w:tcPr>
            <w:tcW w:w="1031" w:type="dxa"/>
            <w:shd w:val="clear" w:color="auto" w:fill="D9D9D9" w:themeFill="background1" w:themeFillShade="D9"/>
            <w:vAlign w:val="center"/>
          </w:tcPr>
          <w:p w14:paraId="468D63F4" w14:textId="77777777" w:rsidR="00DA50DB" w:rsidRPr="00070FA7" w:rsidRDefault="00DA50DB" w:rsidP="00DA50DB">
            <w:pPr>
              <w:jc w:val="center"/>
              <w:rPr>
                <w:rFonts w:ascii="Arial" w:hAnsi="Arial" w:cs="Arial"/>
                <w:sz w:val="20"/>
              </w:rPr>
            </w:pPr>
            <w:r w:rsidRPr="00070FA7">
              <w:rPr>
                <w:rFonts w:ascii="Arial" w:hAnsi="Arial" w:cs="Arial"/>
                <w:sz w:val="20"/>
              </w:rPr>
              <w:t>actual</w:t>
            </w:r>
          </w:p>
        </w:tc>
        <w:tc>
          <w:tcPr>
            <w:tcW w:w="1292" w:type="dxa"/>
            <w:shd w:val="clear" w:color="auto" w:fill="D9D9D9" w:themeFill="background1" w:themeFillShade="D9"/>
            <w:vAlign w:val="center"/>
          </w:tcPr>
          <w:p w14:paraId="394067A0" w14:textId="38084E3D" w:rsidR="00DA50DB" w:rsidRPr="00070FA7" w:rsidRDefault="00DA50DB" w:rsidP="00DA50DB">
            <w:pPr>
              <w:jc w:val="center"/>
              <w:rPr>
                <w:rFonts w:ascii="Arial" w:hAnsi="Arial" w:cs="Arial"/>
                <w:sz w:val="20"/>
              </w:rPr>
            </w:pPr>
            <w:r w:rsidRPr="5D7D3133">
              <w:rPr>
                <w:rFonts w:ascii="Arial" w:hAnsi="Arial" w:cs="Arial"/>
                <w:sz w:val="20"/>
              </w:rPr>
              <w:t>New measure</w:t>
            </w:r>
          </w:p>
        </w:tc>
        <w:tc>
          <w:tcPr>
            <w:tcW w:w="1273" w:type="dxa"/>
            <w:shd w:val="clear" w:color="auto" w:fill="D9D9D9" w:themeFill="background1" w:themeFillShade="D9"/>
            <w:vAlign w:val="center"/>
          </w:tcPr>
          <w:p w14:paraId="76D432BF" w14:textId="31AE51D4" w:rsidR="00DA50DB" w:rsidRPr="00070FA7" w:rsidRDefault="00DA50DB" w:rsidP="00DA50DB">
            <w:pPr>
              <w:jc w:val="center"/>
              <w:rPr>
                <w:rFonts w:ascii="Arial" w:hAnsi="Arial" w:cs="Arial"/>
                <w:sz w:val="20"/>
              </w:rPr>
            </w:pPr>
            <w:r w:rsidRPr="004A9D55">
              <w:rPr>
                <w:rFonts w:ascii="Arial" w:hAnsi="Arial" w:cs="Arial"/>
                <w:sz w:val="20"/>
              </w:rPr>
              <w:t>New measure</w:t>
            </w:r>
          </w:p>
        </w:tc>
        <w:tc>
          <w:tcPr>
            <w:tcW w:w="1264" w:type="dxa"/>
            <w:shd w:val="clear" w:color="auto" w:fill="D9D9D9" w:themeFill="background1" w:themeFillShade="D9"/>
            <w:vAlign w:val="center"/>
          </w:tcPr>
          <w:p w14:paraId="45ABD07B" w14:textId="0785F96D" w:rsidR="00DA50DB" w:rsidRPr="00070FA7" w:rsidRDefault="00DA50DB" w:rsidP="00DA50DB">
            <w:pPr>
              <w:spacing w:line="259" w:lineRule="auto"/>
              <w:jc w:val="center"/>
              <w:rPr>
                <w:rFonts w:ascii="Arial" w:hAnsi="Arial" w:cs="Arial"/>
                <w:szCs w:val="24"/>
              </w:rPr>
            </w:pPr>
            <w:r w:rsidRPr="5D7D3133">
              <w:rPr>
                <w:rFonts w:ascii="Arial" w:hAnsi="Arial" w:cs="Arial"/>
                <w:sz w:val="20"/>
              </w:rPr>
              <w:t>835</w:t>
            </w:r>
          </w:p>
        </w:tc>
        <w:tc>
          <w:tcPr>
            <w:tcW w:w="1233" w:type="dxa"/>
            <w:shd w:val="clear" w:color="auto" w:fill="D9D9D9" w:themeFill="background1" w:themeFillShade="D9"/>
            <w:vAlign w:val="center"/>
          </w:tcPr>
          <w:p w14:paraId="6B69EBB4" w14:textId="727F2F73" w:rsidR="00DA50DB" w:rsidRPr="00070FA7" w:rsidRDefault="00DA50DB" w:rsidP="00DA50DB">
            <w:pPr>
              <w:spacing w:line="259" w:lineRule="auto"/>
              <w:jc w:val="center"/>
              <w:rPr>
                <w:rFonts w:ascii="Arial" w:hAnsi="Arial" w:cs="Arial"/>
                <w:szCs w:val="24"/>
              </w:rPr>
            </w:pPr>
          </w:p>
        </w:tc>
        <w:tc>
          <w:tcPr>
            <w:tcW w:w="1029" w:type="dxa"/>
            <w:shd w:val="clear" w:color="auto" w:fill="D9D9D9" w:themeFill="background1" w:themeFillShade="D9"/>
            <w:vAlign w:val="center"/>
          </w:tcPr>
          <w:p w14:paraId="59843D3E" w14:textId="4EC93EB8" w:rsidR="00DA50DB" w:rsidRPr="00070FA7" w:rsidRDefault="00DA50DB" w:rsidP="00DA50DB">
            <w:pPr>
              <w:jc w:val="center"/>
              <w:rPr>
                <w:rFonts w:ascii="Arial" w:hAnsi="Arial" w:cs="Arial"/>
                <w:sz w:val="20"/>
              </w:rPr>
            </w:pPr>
          </w:p>
        </w:tc>
      </w:tr>
      <w:tr w:rsidR="00DA50DB" w14:paraId="213718F8" w14:textId="77777777" w:rsidTr="00DA50DB">
        <w:trPr>
          <w:cantSplit/>
          <w:trHeight w:val="288"/>
        </w:trPr>
        <w:tc>
          <w:tcPr>
            <w:tcW w:w="2958" w:type="dxa"/>
            <w:vMerge/>
          </w:tcPr>
          <w:p w14:paraId="2B2F19DE" w14:textId="77777777" w:rsidR="00DA50DB" w:rsidRPr="00070FA7" w:rsidRDefault="00DA50DB" w:rsidP="00DA50DB">
            <w:pPr>
              <w:pStyle w:val="ListParagraph"/>
              <w:numPr>
                <w:ilvl w:val="0"/>
                <w:numId w:val="35"/>
              </w:numPr>
              <w:tabs>
                <w:tab w:val="left" w:pos="2985"/>
              </w:tabs>
              <w:overflowPunct/>
              <w:autoSpaceDE/>
              <w:autoSpaceDN/>
              <w:adjustRightInd/>
              <w:ind w:left="342"/>
              <w:contextualSpacing/>
              <w:textAlignment w:val="auto"/>
              <w:rPr>
                <w:rFonts w:cs="Arial"/>
                <w:sz w:val="20"/>
              </w:rPr>
            </w:pPr>
          </w:p>
        </w:tc>
        <w:tc>
          <w:tcPr>
            <w:tcW w:w="1031" w:type="dxa"/>
            <w:tcBorders>
              <w:bottom w:val="single" w:sz="4" w:space="0" w:color="auto"/>
            </w:tcBorders>
            <w:shd w:val="clear" w:color="auto" w:fill="FFFFFF" w:themeFill="background1"/>
            <w:vAlign w:val="center"/>
          </w:tcPr>
          <w:p w14:paraId="49003057" w14:textId="77777777" w:rsidR="00DA50DB" w:rsidRPr="00E51672" w:rsidRDefault="00DA50DB" w:rsidP="00DA50DB">
            <w:pPr>
              <w:jc w:val="center"/>
              <w:rPr>
                <w:rFonts w:ascii="Arial" w:hAnsi="Arial" w:cs="Arial"/>
                <w:i/>
                <w:sz w:val="16"/>
                <w:szCs w:val="16"/>
              </w:rPr>
            </w:pPr>
            <w:r>
              <w:rPr>
                <w:rFonts w:ascii="Arial" w:hAnsi="Arial" w:cs="Arial"/>
                <w:i/>
                <w:sz w:val="16"/>
                <w:szCs w:val="16"/>
              </w:rPr>
              <w:t>target</w:t>
            </w:r>
          </w:p>
        </w:tc>
        <w:tc>
          <w:tcPr>
            <w:tcW w:w="1292" w:type="dxa"/>
            <w:tcBorders>
              <w:bottom w:val="single" w:sz="4" w:space="0" w:color="auto"/>
            </w:tcBorders>
            <w:shd w:val="clear" w:color="auto" w:fill="FFFFFF" w:themeFill="background1"/>
            <w:vAlign w:val="center"/>
          </w:tcPr>
          <w:p w14:paraId="274B5984" w14:textId="12D0716F" w:rsidR="00DA50DB" w:rsidRDefault="002E1D2E" w:rsidP="00DA50DB">
            <w:pPr>
              <w:jc w:val="center"/>
              <w:rPr>
                <w:rFonts w:ascii="Arial" w:hAnsi="Arial" w:cs="Arial"/>
                <w:i/>
                <w:iCs/>
                <w:sz w:val="16"/>
                <w:szCs w:val="16"/>
              </w:rPr>
            </w:pPr>
            <w:r>
              <w:rPr>
                <w:rFonts w:ascii="Arial" w:hAnsi="Arial" w:cs="Arial"/>
                <w:i/>
                <w:iCs/>
                <w:sz w:val="16"/>
                <w:szCs w:val="16"/>
              </w:rPr>
              <w:t>--</w:t>
            </w:r>
          </w:p>
        </w:tc>
        <w:tc>
          <w:tcPr>
            <w:tcW w:w="1273" w:type="dxa"/>
            <w:tcBorders>
              <w:bottom w:val="single" w:sz="4" w:space="0" w:color="auto"/>
            </w:tcBorders>
            <w:shd w:val="clear" w:color="auto" w:fill="FFFFFF" w:themeFill="background1"/>
            <w:vAlign w:val="center"/>
          </w:tcPr>
          <w:p w14:paraId="10B5E39D" w14:textId="490852D1" w:rsidR="00DA50DB" w:rsidRDefault="002E1D2E" w:rsidP="00DA50DB">
            <w:pPr>
              <w:jc w:val="center"/>
              <w:rPr>
                <w:rFonts w:ascii="Arial" w:hAnsi="Arial" w:cs="Arial"/>
                <w:i/>
                <w:iCs/>
                <w:sz w:val="16"/>
                <w:szCs w:val="16"/>
              </w:rPr>
            </w:pPr>
            <w:r>
              <w:rPr>
                <w:rFonts w:ascii="Arial" w:hAnsi="Arial" w:cs="Arial"/>
                <w:i/>
                <w:iCs/>
                <w:sz w:val="16"/>
                <w:szCs w:val="16"/>
              </w:rPr>
              <w:t>--</w:t>
            </w:r>
          </w:p>
        </w:tc>
        <w:tc>
          <w:tcPr>
            <w:tcW w:w="1264" w:type="dxa"/>
            <w:tcBorders>
              <w:bottom w:val="single" w:sz="4" w:space="0" w:color="auto"/>
            </w:tcBorders>
            <w:shd w:val="clear" w:color="auto" w:fill="FFFFFF" w:themeFill="background1"/>
            <w:vAlign w:val="center"/>
          </w:tcPr>
          <w:p w14:paraId="2CE9BC87" w14:textId="5C8FC9B8" w:rsidR="00DA50DB" w:rsidRDefault="00DA50DB" w:rsidP="00DA50DB">
            <w:pPr>
              <w:jc w:val="center"/>
              <w:rPr>
                <w:rFonts w:ascii="Arial" w:hAnsi="Arial" w:cs="Arial"/>
                <w:i/>
                <w:iCs/>
                <w:sz w:val="16"/>
                <w:szCs w:val="16"/>
              </w:rPr>
            </w:pPr>
            <w:r w:rsidRPr="004A9D55">
              <w:rPr>
                <w:rFonts w:ascii="Arial" w:hAnsi="Arial" w:cs="Arial"/>
                <w:i/>
                <w:iCs/>
                <w:sz w:val="16"/>
                <w:szCs w:val="16"/>
              </w:rPr>
              <w:t>Target in development</w:t>
            </w:r>
          </w:p>
        </w:tc>
        <w:tc>
          <w:tcPr>
            <w:tcW w:w="1233" w:type="dxa"/>
            <w:tcBorders>
              <w:bottom w:val="single" w:sz="4" w:space="0" w:color="auto"/>
            </w:tcBorders>
            <w:shd w:val="clear" w:color="auto" w:fill="FFFFFF" w:themeFill="background1"/>
            <w:vAlign w:val="center"/>
          </w:tcPr>
          <w:p w14:paraId="1DF24D41" w14:textId="133A7D00" w:rsidR="00DA50DB" w:rsidRDefault="00DA50DB" w:rsidP="00DA50DB">
            <w:pPr>
              <w:spacing w:line="259" w:lineRule="auto"/>
              <w:jc w:val="center"/>
              <w:rPr>
                <w:rFonts w:ascii="Arial" w:hAnsi="Arial" w:cs="Arial"/>
                <w:i/>
                <w:szCs w:val="24"/>
              </w:rPr>
            </w:pPr>
            <w:r w:rsidRPr="57BC613A">
              <w:rPr>
                <w:rFonts w:ascii="Arial" w:hAnsi="Arial" w:cs="Arial"/>
                <w:i/>
                <w:iCs/>
                <w:sz w:val="16"/>
                <w:szCs w:val="16"/>
              </w:rPr>
              <w:t>793</w:t>
            </w:r>
          </w:p>
        </w:tc>
        <w:tc>
          <w:tcPr>
            <w:tcW w:w="1029" w:type="dxa"/>
            <w:tcBorders>
              <w:bottom w:val="single" w:sz="4" w:space="0" w:color="auto"/>
            </w:tcBorders>
            <w:shd w:val="clear" w:color="auto" w:fill="FFFFFF" w:themeFill="background1"/>
            <w:vAlign w:val="center"/>
          </w:tcPr>
          <w:p w14:paraId="738A71A7" w14:textId="514B8203" w:rsidR="00DA50DB" w:rsidRDefault="00DA50DB" w:rsidP="00DA50DB">
            <w:pPr>
              <w:jc w:val="center"/>
              <w:rPr>
                <w:rFonts w:ascii="Arial" w:hAnsi="Arial" w:cs="Arial"/>
                <w:i/>
                <w:sz w:val="16"/>
                <w:szCs w:val="16"/>
              </w:rPr>
            </w:pPr>
          </w:p>
        </w:tc>
      </w:tr>
      <w:tr w:rsidR="00DA50DB" w14:paraId="05A70E2A" w14:textId="77777777" w:rsidTr="332B5044">
        <w:trPr>
          <w:cantSplit/>
          <w:trHeight w:val="288"/>
        </w:trPr>
        <w:tc>
          <w:tcPr>
            <w:tcW w:w="10080" w:type="dxa"/>
            <w:gridSpan w:val="7"/>
            <w:shd w:val="clear" w:color="auto" w:fill="DBE5F1" w:themeFill="accent1" w:themeFillTint="33"/>
          </w:tcPr>
          <w:p w14:paraId="1BE04440" w14:textId="3A6465E7" w:rsidR="00DA50DB" w:rsidRDefault="00DA50DB" w:rsidP="00DA50DB">
            <w:pPr>
              <w:keepNext/>
              <w:jc w:val="center"/>
              <w:rPr>
                <w:rFonts w:ascii="Arial" w:hAnsi="Arial" w:cs="Arial"/>
                <w:i/>
                <w:iCs/>
                <w:sz w:val="16"/>
                <w:szCs w:val="16"/>
              </w:rPr>
            </w:pPr>
            <w:r w:rsidRPr="2567E06E">
              <w:rPr>
                <w:rFonts w:ascii="Arial" w:hAnsi="Arial" w:cs="Arial"/>
                <w:b/>
                <w:bCs/>
                <w:sz w:val="20"/>
              </w:rPr>
              <w:t>Goal 2: Enhance staff fulfillment and wellness</w:t>
            </w:r>
          </w:p>
        </w:tc>
      </w:tr>
      <w:tr w:rsidR="00DA50DB" w14:paraId="48FCED91" w14:textId="77777777" w:rsidTr="00DA50DB">
        <w:trPr>
          <w:cantSplit/>
          <w:trHeight w:val="288"/>
        </w:trPr>
        <w:tc>
          <w:tcPr>
            <w:tcW w:w="2958" w:type="dxa"/>
            <w:vMerge w:val="restart"/>
          </w:tcPr>
          <w:p w14:paraId="56F166ED" w14:textId="3F4D6AE4" w:rsidR="00DA50DB" w:rsidRDefault="00DA50DB" w:rsidP="00DA50DB">
            <w:pPr>
              <w:pStyle w:val="ListParagraph"/>
              <w:keepNext/>
              <w:numPr>
                <w:ilvl w:val="0"/>
                <w:numId w:val="35"/>
              </w:numPr>
              <w:tabs>
                <w:tab w:val="left" w:pos="2985"/>
              </w:tabs>
              <w:overflowPunct/>
              <w:autoSpaceDE/>
              <w:autoSpaceDN/>
              <w:adjustRightInd/>
              <w:ind w:left="342"/>
              <w:contextualSpacing/>
              <w:textAlignment w:val="auto"/>
              <w:rPr>
                <w:rFonts w:cs="Arial"/>
                <w:sz w:val="20"/>
              </w:rPr>
            </w:pPr>
            <w:r>
              <w:rPr>
                <w:rFonts w:cs="Arial"/>
                <w:sz w:val="20"/>
              </w:rPr>
              <w:t xml:space="preserve">  </w:t>
            </w:r>
            <w:r w:rsidRPr="2567E06E">
              <w:rPr>
                <w:rFonts w:cs="Arial"/>
                <w:sz w:val="20"/>
              </w:rPr>
              <w:t>Maintain high staff retention rate</w:t>
            </w:r>
          </w:p>
        </w:tc>
        <w:tc>
          <w:tcPr>
            <w:tcW w:w="1031" w:type="dxa"/>
            <w:shd w:val="clear" w:color="auto" w:fill="D9D9D9" w:themeFill="background1" w:themeFillShade="D9"/>
            <w:vAlign w:val="center"/>
          </w:tcPr>
          <w:p w14:paraId="06067EF9" w14:textId="6B87DA0A" w:rsidR="00DA50DB" w:rsidRDefault="00DA50DB" w:rsidP="00DA50DB">
            <w:pPr>
              <w:keepNext/>
              <w:jc w:val="center"/>
              <w:rPr>
                <w:rFonts w:ascii="Arial" w:hAnsi="Arial" w:cs="Arial"/>
                <w:i/>
                <w:sz w:val="16"/>
                <w:szCs w:val="16"/>
              </w:rPr>
            </w:pPr>
            <w:r>
              <w:rPr>
                <w:rFonts w:ascii="Arial" w:hAnsi="Arial" w:cs="Arial"/>
                <w:sz w:val="20"/>
              </w:rPr>
              <w:t>a</w:t>
            </w:r>
            <w:r w:rsidRPr="00E1775A">
              <w:rPr>
                <w:rFonts w:ascii="Arial" w:hAnsi="Arial" w:cs="Arial"/>
                <w:sz w:val="20"/>
              </w:rPr>
              <w:t>ctual</w:t>
            </w:r>
          </w:p>
        </w:tc>
        <w:tc>
          <w:tcPr>
            <w:tcW w:w="1292" w:type="dxa"/>
            <w:shd w:val="clear" w:color="auto" w:fill="D9D9D9" w:themeFill="background1" w:themeFillShade="D9"/>
            <w:vAlign w:val="center"/>
          </w:tcPr>
          <w:p w14:paraId="4241C703" w14:textId="3EE1E657" w:rsidR="00DA50DB" w:rsidRPr="00F27BE5" w:rsidRDefault="00DA50DB" w:rsidP="00DA50DB">
            <w:pPr>
              <w:keepNext/>
              <w:jc w:val="center"/>
              <w:rPr>
                <w:rFonts w:ascii="Arial" w:hAnsi="Arial" w:cs="Arial"/>
                <w:sz w:val="16"/>
                <w:szCs w:val="16"/>
              </w:rPr>
            </w:pPr>
            <w:r w:rsidRPr="2567E06E">
              <w:rPr>
                <w:rFonts w:ascii="Arial" w:hAnsi="Arial" w:cs="Arial"/>
                <w:sz w:val="20"/>
              </w:rPr>
              <w:t>85.8%</w:t>
            </w:r>
          </w:p>
        </w:tc>
        <w:tc>
          <w:tcPr>
            <w:tcW w:w="1273" w:type="dxa"/>
            <w:shd w:val="clear" w:color="auto" w:fill="D9D9D9" w:themeFill="background1" w:themeFillShade="D9"/>
            <w:vAlign w:val="center"/>
          </w:tcPr>
          <w:p w14:paraId="707C8C8A" w14:textId="7B4E65FA" w:rsidR="00DA50DB" w:rsidRPr="00F27BE5" w:rsidRDefault="00DA50DB" w:rsidP="00DA50DB">
            <w:pPr>
              <w:keepNext/>
              <w:jc w:val="center"/>
              <w:rPr>
                <w:rFonts w:ascii="Arial" w:hAnsi="Arial" w:cs="Arial"/>
                <w:sz w:val="16"/>
                <w:szCs w:val="16"/>
              </w:rPr>
            </w:pPr>
            <w:r w:rsidRPr="2567E06E">
              <w:rPr>
                <w:rFonts w:ascii="Arial" w:hAnsi="Arial" w:cs="Arial"/>
                <w:sz w:val="20"/>
              </w:rPr>
              <w:t>90.0%</w:t>
            </w:r>
          </w:p>
        </w:tc>
        <w:tc>
          <w:tcPr>
            <w:tcW w:w="1264" w:type="dxa"/>
            <w:shd w:val="clear" w:color="auto" w:fill="D9D9D9" w:themeFill="background1" w:themeFillShade="D9"/>
            <w:vAlign w:val="center"/>
          </w:tcPr>
          <w:p w14:paraId="75286ACA" w14:textId="09AB27E0" w:rsidR="00DA50DB" w:rsidRPr="00F27BE5" w:rsidRDefault="00DA50DB" w:rsidP="00DA50DB">
            <w:pPr>
              <w:keepNext/>
              <w:jc w:val="center"/>
              <w:rPr>
                <w:rFonts w:ascii="Arial" w:hAnsi="Arial" w:cs="Arial"/>
                <w:sz w:val="16"/>
                <w:szCs w:val="16"/>
              </w:rPr>
            </w:pPr>
            <w:r w:rsidRPr="57BC613A">
              <w:rPr>
                <w:rFonts w:ascii="Arial" w:hAnsi="Arial" w:cs="Arial"/>
                <w:sz w:val="20"/>
              </w:rPr>
              <w:t>84.8%</w:t>
            </w:r>
          </w:p>
        </w:tc>
        <w:tc>
          <w:tcPr>
            <w:tcW w:w="1233" w:type="dxa"/>
            <w:shd w:val="clear" w:color="auto" w:fill="D9D9D9" w:themeFill="background1" w:themeFillShade="D9"/>
            <w:vAlign w:val="center"/>
          </w:tcPr>
          <w:p w14:paraId="2A95AD83" w14:textId="144C3F53" w:rsidR="00DA50DB" w:rsidRPr="00F27BE5" w:rsidRDefault="00DA50DB" w:rsidP="00DA50DB">
            <w:pPr>
              <w:keepNext/>
              <w:jc w:val="center"/>
              <w:rPr>
                <w:rFonts w:ascii="Arial" w:hAnsi="Arial" w:cs="Arial"/>
                <w:sz w:val="20"/>
              </w:rPr>
            </w:pPr>
          </w:p>
        </w:tc>
        <w:tc>
          <w:tcPr>
            <w:tcW w:w="1029" w:type="dxa"/>
            <w:shd w:val="clear" w:color="auto" w:fill="D9D9D9" w:themeFill="background1" w:themeFillShade="D9"/>
            <w:vAlign w:val="center"/>
          </w:tcPr>
          <w:p w14:paraId="4B2E443E" w14:textId="2F9292E3" w:rsidR="00DA50DB" w:rsidRDefault="00DA50DB" w:rsidP="00DA50DB">
            <w:pPr>
              <w:keepNext/>
              <w:jc w:val="center"/>
              <w:rPr>
                <w:rFonts w:ascii="Arial" w:hAnsi="Arial" w:cs="Arial"/>
                <w:i/>
                <w:sz w:val="16"/>
                <w:szCs w:val="16"/>
              </w:rPr>
            </w:pPr>
          </w:p>
        </w:tc>
      </w:tr>
      <w:tr w:rsidR="00DA50DB" w14:paraId="1C452F12" w14:textId="77777777" w:rsidTr="00DA50DB">
        <w:trPr>
          <w:cantSplit/>
          <w:trHeight w:val="288"/>
        </w:trPr>
        <w:tc>
          <w:tcPr>
            <w:tcW w:w="2958" w:type="dxa"/>
            <w:vMerge/>
          </w:tcPr>
          <w:p w14:paraId="2A32B4DC" w14:textId="77777777" w:rsidR="00DA50DB" w:rsidRDefault="00DA50DB" w:rsidP="00DA50DB">
            <w:pPr>
              <w:pStyle w:val="ListParagraph"/>
              <w:keepNext/>
              <w:numPr>
                <w:ilvl w:val="0"/>
                <w:numId w:val="35"/>
              </w:numPr>
              <w:tabs>
                <w:tab w:val="left" w:pos="2985"/>
              </w:tabs>
              <w:overflowPunct/>
              <w:autoSpaceDE/>
              <w:autoSpaceDN/>
              <w:adjustRightInd/>
              <w:ind w:left="342"/>
              <w:contextualSpacing/>
              <w:textAlignment w:val="auto"/>
              <w:rPr>
                <w:rFonts w:cs="Arial"/>
                <w:sz w:val="20"/>
              </w:rPr>
            </w:pPr>
          </w:p>
        </w:tc>
        <w:tc>
          <w:tcPr>
            <w:tcW w:w="1031" w:type="dxa"/>
            <w:shd w:val="clear" w:color="auto" w:fill="FFFFFF" w:themeFill="background1"/>
            <w:vAlign w:val="center"/>
          </w:tcPr>
          <w:p w14:paraId="765125F3" w14:textId="1AAE55F1" w:rsidR="00DA50DB" w:rsidRDefault="00DA50DB" w:rsidP="00DA50DB">
            <w:pPr>
              <w:keepNext/>
              <w:jc w:val="center"/>
              <w:rPr>
                <w:rFonts w:ascii="Arial" w:hAnsi="Arial" w:cs="Arial"/>
                <w:i/>
                <w:sz w:val="16"/>
                <w:szCs w:val="16"/>
              </w:rPr>
            </w:pPr>
            <w:r>
              <w:rPr>
                <w:rFonts w:ascii="Arial" w:hAnsi="Arial" w:cs="Arial"/>
                <w:i/>
                <w:sz w:val="16"/>
                <w:szCs w:val="16"/>
              </w:rPr>
              <w:t>target</w:t>
            </w:r>
          </w:p>
        </w:tc>
        <w:tc>
          <w:tcPr>
            <w:tcW w:w="1292" w:type="dxa"/>
            <w:shd w:val="clear" w:color="auto" w:fill="FFFFFF" w:themeFill="background1"/>
            <w:vAlign w:val="center"/>
          </w:tcPr>
          <w:p w14:paraId="2229C6CD" w14:textId="67B373AC" w:rsidR="00DA50DB" w:rsidRDefault="00DA50DB" w:rsidP="00DA50DB">
            <w:pPr>
              <w:keepNext/>
              <w:jc w:val="center"/>
              <w:rPr>
                <w:rFonts w:ascii="Arial" w:hAnsi="Arial" w:cs="Arial"/>
                <w:i/>
                <w:iCs/>
                <w:sz w:val="16"/>
                <w:szCs w:val="16"/>
              </w:rPr>
            </w:pPr>
            <w:r w:rsidRPr="2567E06E">
              <w:rPr>
                <w:rFonts w:ascii="Arial" w:hAnsi="Arial" w:cs="Arial"/>
                <w:i/>
                <w:iCs/>
                <w:sz w:val="16"/>
                <w:szCs w:val="16"/>
              </w:rPr>
              <w:t>85%</w:t>
            </w:r>
          </w:p>
        </w:tc>
        <w:tc>
          <w:tcPr>
            <w:tcW w:w="1273" w:type="dxa"/>
            <w:shd w:val="clear" w:color="auto" w:fill="FFFFFF" w:themeFill="background1"/>
            <w:vAlign w:val="center"/>
          </w:tcPr>
          <w:p w14:paraId="37BC7320" w14:textId="6A697D33" w:rsidR="00DA50DB" w:rsidRDefault="00DA50DB" w:rsidP="00DA50DB">
            <w:pPr>
              <w:keepNext/>
              <w:jc w:val="center"/>
              <w:rPr>
                <w:rFonts w:ascii="Arial" w:hAnsi="Arial" w:cs="Arial"/>
                <w:i/>
                <w:iCs/>
                <w:sz w:val="16"/>
                <w:szCs w:val="16"/>
              </w:rPr>
            </w:pPr>
            <w:r w:rsidRPr="2567E06E">
              <w:rPr>
                <w:rFonts w:ascii="Arial" w:hAnsi="Arial" w:cs="Arial"/>
                <w:i/>
                <w:iCs/>
                <w:sz w:val="16"/>
                <w:szCs w:val="16"/>
              </w:rPr>
              <w:t>85%</w:t>
            </w:r>
          </w:p>
        </w:tc>
        <w:tc>
          <w:tcPr>
            <w:tcW w:w="1264" w:type="dxa"/>
            <w:shd w:val="clear" w:color="auto" w:fill="FFFFFF" w:themeFill="background1"/>
            <w:vAlign w:val="center"/>
          </w:tcPr>
          <w:p w14:paraId="5399657F" w14:textId="6BF5070F" w:rsidR="00DA50DB" w:rsidRDefault="00DA50DB" w:rsidP="00DA50DB">
            <w:pPr>
              <w:keepNext/>
              <w:jc w:val="center"/>
              <w:rPr>
                <w:rFonts w:ascii="Arial" w:hAnsi="Arial" w:cs="Arial"/>
                <w:i/>
                <w:iCs/>
                <w:sz w:val="16"/>
                <w:szCs w:val="16"/>
              </w:rPr>
            </w:pPr>
            <w:r w:rsidRPr="2567E06E">
              <w:rPr>
                <w:rFonts w:ascii="Arial" w:hAnsi="Arial" w:cs="Arial"/>
                <w:i/>
                <w:iCs/>
                <w:sz w:val="16"/>
                <w:szCs w:val="16"/>
              </w:rPr>
              <w:t>85%</w:t>
            </w:r>
          </w:p>
        </w:tc>
        <w:tc>
          <w:tcPr>
            <w:tcW w:w="1233" w:type="dxa"/>
            <w:shd w:val="clear" w:color="auto" w:fill="FFFFFF" w:themeFill="background1"/>
            <w:vAlign w:val="center"/>
          </w:tcPr>
          <w:p w14:paraId="3ED78EEE" w14:textId="321CBC1E" w:rsidR="00DA50DB" w:rsidRDefault="00DA50DB" w:rsidP="00DA50DB">
            <w:pPr>
              <w:keepNext/>
              <w:jc w:val="center"/>
              <w:rPr>
                <w:rFonts w:ascii="Arial" w:hAnsi="Arial" w:cs="Arial"/>
                <w:i/>
                <w:iCs/>
                <w:sz w:val="16"/>
                <w:szCs w:val="16"/>
              </w:rPr>
            </w:pPr>
            <w:r w:rsidRPr="57BC613A">
              <w:rPr>
                <w:rFonts w:ascii="Arial" w:hAnsi="Arial" w:cs="Arial"/>
                <w:i/>
                <w:iCs/>
                <w:sz w:val="16"/>
                <w:szCs w:val="16"/>
              </w:rPr>
              <w:t>85%</w:t>
            </w:r>
          </w:p>
        </w:tc>
        <w:tc>
          <w:tcPr>
            <w:tcW w:w="1029" w:type="dxa"/>
            <w:shd w:val="clear" w:color="auto" w:fill="FFFFFF" w:themeFill="background1"/>
            <w:vAlign w:val="center"/>
          </w:tcPr>
          <w:p w14:paraId="6E931979" w14:textId="4CA5CBD5" w:rsidR="00DA50DB" w:rsidRDefault="00DA50DB" w:rsidP="00DA50DB">
            <w:pPr>
              <w:keepNext/>
              <w:jc w:val="center"/>
              <w:rPr>
                <w:rFonts w:ascii="Arial" w:hAnsi="Arial" w:cs="Arial"/>
                <w:i/>
                <w:sz w:val="16"/>
                <w:szCs w:val="16"/>
              </w:rPr>
            </w:pPr>
          </w:p>
        </w:tc>
      </w:tr>
      <w:tr w:rsidR="00DA50DB" w14:paraId="0B914C04" w14:textId="77777777" w:rsidTr="00DA50DB">
        <w:trPr>
          <w:cantSplit/>
          <w:trHeight w:val="288"/>
        </w:trPr>
        <w:tc>
          <w:tcPr>
            <w:tcW w:w="2958" w:type="dxa"/>
            <w:vMerge w:val="restart"/>
          </w:tcPr>
          <w:p w14:paraId="48FEEAA1" w14:textId="7DFAC474" w:rsidR="00DA50DB" w:rsidRPr="00C43E87" w:rsidRDefault="00DA50DB" w:rsidP="00DA50DB">
            <w:pPr>
              <w:pStyle w:val="ListParagraph"/>
              <w:keepNext/>
              <w:numPr>
                <w:ilvl w:val="0"/>
                <w:numId w:val="35"/>
              </w:numPr>
              <w:tabs>
                <w:tab w:val="left" w:pos="2985"/>
              </w:tabs>
              <w:overflowPunct/>
              <w:autoSpaceDE/>
              <w:autoSpaceDN/>
              <w:adjustRightInd/>
              <w:ind w:left="342"/>
              <w:contextualSpacing/>
              <w:textAlignment w:val="auto"/>
              <w:rPr>
                <w:rFonts w:cs="Arial"/>
                <w:sz w:val="20"/>
              </w:rPr>
            </w:pPr>
            <w:r>
              <w:rPr>
                <w:rFonts w:cs="Arial"/>
                <w:sz w:val="20"/>
              </w:rPr>
              <w:t xml:space="preserve">   </w:t>
            </w:r>
            <w:r w:rsidRPr="2567E06E">
              <w:rPr>
                <w:rFonts w:cs="Arial"/>
                <w:sz w:val="20"/>
              </w:rPr>
              <w:t>Reduction in worker compensation claims (injury rate) or total number of claims compared to total staff in one year</w:t>
            </w:r>
          </w:p>
        </w:tc>
        <w:tc>
          <w:tcPr>
            <w:tcW w:w="1031" w:type="dxa"/>
            <w:shd w:val="clear" w:color="auto" w:fill="D9D9D9" w:themeFill="background1" w:themeFillShade="D9"/>
            <w:vAlign w:val="center"/>
          </w:tcPr>
          <w:p w14:paraId="767BEC97" w14:textId="7AC3A20F" w:rsidR="00DA50DB" w:rsidRPr="00C13EE6" w:rsidRDefault="00DA50DB" w:rsidP="00DA50DB">
            <w:pPr>
              <w:jc w:val="center"/>
              <w:rPr>
                <w:rFonts w:ascii="Arial" w:hAnsi="Arial" w:cs="Arial"/>
                <w:iCs/>
                <w:sz w:val="20"/>
              </w:rPr>
            </w:pPr>
            <w:r w:rsidRPr="00C13EE6">
              <w:rPr>
                <w:rFonts w:ascii="Arial" w:hAnsi="Arial" w:cs="Arial"/>
                <w:iCs/>
                <w:sz w:val="20"/>
              </w:rPr>
              <w:t>actual</w:t>
            </w:r>
          </w:p>
        </w:tc>
        <w:tc>
          <w:tcPr>
            <w:tcW w:w="1292" w:type="dxa"/>
            <w:shd w:val="clear" w:color="auto" w:fill="D9D9D9" w:themeFill="background1" w:themeFillShade="D9"/>
            <w:vAlign w:val="center"/>
          </w:tcPr>
          <w:p w14:paraId="0B304F59" w14:textId="13699382" w:rsidR="00DA50DB" w:rsidRPr="00C13EE6" w:rsidRDefault="00DA50DB" w:rsidP="00DA50DB">
            <w:pPr>
              <w:jc w:val="center"/>
              <w:rPr>
                <w:rFonts w:ascii="Arial" w:hAnsi="Arial" w:cs="Arial"/>
                <w:sz w:val="20"/>
              </w:rPr>
            </w:pPr>
            <w:r w:rsidRPr="00C13EE6">
              <w:rPr>
                <w:rFonts w:ascii="Arial" w:hAnsi="Arial" w:cs="Arial"/>
                <w:sz w:val="20"/>
              </w:rPr>
              <w:t>8.1</w:t>
            </w:r>
          </w:p>
        </w:tc>
        <w:tc>
          <w:tcPr>
            <w:tcW w:w="1273" w:type="dxa"/>
            <w:shd w:val="clear" w:color="auto" w:fill="D9D9D9" w:themeFill="background1" w:themeFillShade="D9"/>
            <w:vAlign w:val="center"/>
          </w:tcPr>
          <w:p w14:paraId="5760D1C9" w14:textId="544C9613" w:rsidR="00DA50DB" w:rsidRPr="00C13EE6" w:rsidRDefault="00DA50DB" w:rsidP="00DA50DB">
            <w:pPr>
              <w:jc w:val="center"/>
              <w:rPr>
                <w:rFonts w:ascii="Arial" w:hAnsi="Arial" w:cs="Arial"/>
                <w:sz w:val="20"/>
              </w:rPr>
            </w:pPr>
            <w:r w:rsidRPr="00C13EE6">
              <w:rPr>
                <w:rFonts w:ascii="Arial" w:hAnsi="Arial" w:cs="Arial"/>
                <w:sz w:val="20"/>
              </w:rPr>
              <w:t>9.1</w:t>
            </w:r>
          </w:p>
        </w:tc>
        <w:tc>
          <w:tcPr>
            <w:tcW w:w="1264" w:type="dxa"/>
            <w:shd w:val="clear" w:color="auto" w:fill="D9D9D9" w:themeFill="background1" w:themeFillShade="D9"/>
            <w:vAlign w:val="center"/>
          </w:tcPr>
          <w:p w14:paraId="385CFEA9" w14:textId="19264B6B" w:rsidR="00DA50DB" w:rsidRPr="00C13EE6" w:rsidRDefault="00DA50DB" w:rsidP="00DA50DB">
            <w:pPr>
              <w:jc w:val="center"/>
              <w:rPr>
                <w:rFonts w:ascii="Arial" w:hAnsi="Arial" w:cs="Arial"/>
                <w:sz w:val="20"/>
              </w:rPr>
            </w:pPr>
            <w:r w:rsidRPr="004A9D55">
              <w:rPr>
                <w:rFonts w:ascii="Arial" w:hAnsi="Arial" w:cs="Arial"/>
                <w:sz w:val="20"/>
              </w:rPr>
              <w:t>9.2</w:t>
            </w:r>
          </w:p>
        </w:tc>
        <w:tc>
          <w:tcPr>
            <w:tcW w:w="1233" w:type="dxa"/>
            <w:shd w:val="clear" w:color="auto" w:fill="D9D9D9" w:themeFill="background1" w:themeFillShade="D9"/>
            <w:vAlign w:val="center"/>
          </w:tcPr>
          <w:p w14:paraId="62A26FC9" w14:textId="4C260009" w:rsidR="00DA50DB" w:rsidRPr="00C13EE6" w:rsidRDefault="00DA50DB" w:rsidP="00DA50DB">
            <w:pPr>
              <w:spacing w:line="259" w:lineRule="auto"/>
              <w:jc w:val="center"/>
              <w:rPr>
                <w:rFonts w:ascii="Arial" w:hAnsi="Arial" w:cs="Arial"/>
                <w:szCs w:val="24"/>
              </w:rPr>
            </w:pPr>
          </w:p>
        </w:tc>
        <w:tc>
          <w:tcPr>
            <w:tcW w:w="1029" w:type="dxa"/>
            <w:shd w:val="clear" w:color="auto" w:fill="D9D9D9" w:themeFill="background1" w:themeFillShade="D9"/>
            <w:vAlign w:val="center"/>
          </w:tcPr>
          <w:p w14:paraId="0CA75C6C" w14:textId="3EE358DC" w:rsidR="00DA50DB" w:rsidRPr="00C13EE6" w:rsidRDefault="00DA50DB" w:rsidP="00DA50DB">
            <w:pPr>
              <w:jc w:val="center"/>
              <w:rPr>
                <w:rFonts w:ascii="Arial" w:hAnsi="Arial" w:cs="Arial"/>
                <w:sz w:val="20"/>
              </w:rPr>
            </w:pPr>
          </w:p>
        </w:tc>
      </w:tr>
      <w:tr w:rsidR="00DA50DB" w14:paraId="490C842A" w14:textId="77777777" w:rsidTr="00DA50DB">
        <w:trPr>
          <w:cantSplit/>
          <w:trHeight w:val="288"/>
        </w:trPr>
        <w:tc>
          <w:tcPr>
            <w:tcW w:w="2958" w:type="dxa"/>
            <w:vMerge/>
          </w:tcPr>
          <w:p w14:paraId="601DF271" w14:textId="77777777" w:rsidR="00DA50DB" w:rsidRPr="00646DA1" w:rsidRDefault="00DA50DB" w:rsidP="00DA50DB">
            <w:pPr>
              <w:pStyle w:val="ListParagraph"/>
              <w:numPr>
                <w:ilvl w:val="0"/>
                <w:numId w:val="36"/>
              </w:numPr>
              <w:tabs>
                <w:tab w:val="left" w:pos="2985"/>
              </w:tabs>
              <w:overflowPunct/>
              <w:autoSpaceDE/>
              <w:autoSpaceDN/>
              <w:adjustRightInd/>
              <w:ind w:left="342"/>
              <w:contextualSpacing/>
              <w:textAlignment w:val="auto"/>
              <w:rPr>
                <w:rFonts w:cs="Arial"/>
                <w:sz w:val="20"/>
              </w:rPr>
            </w:pPr>
          </w:p>
        </w:tc>
        <w:tc>
          <w:tcPr>
            <w:tcW w:w="1031" w:type="dxa"/>
            <w:shd w:val="clear" w:color="auto" w:fill="FFFFFF" w:themeFill="background1"/>
            <w:vAlign w:val="center"/>
          </w:tcPr>
          <w:p w14:paraId="77EAD3B5" w14:textId="210F219D" w:rsidR="00DA50DB" w:rsidRPr="00E51672" w:rsidRDefault="00DA50DB" w:rsidP="00DA50DB">
            <w:pPr>
              <w:jc w:val="center"/>
              <w:rPr>
                <w:rFonts w:ascii="Arial" w:hAnsi="Arial" w:cs="Arial"/>
                <w:i/>
                <w:sz w:val="16"/>
                <w:szCs w:val="16"/>
              </w:rPr>
            </w:pPr>
            <w:r>
              <w:rPr>
                <w:rFonts w:ascii="Arial" w:hAnsi="Arial" w:cs="Arial"/>
                <w:i/>
                <w:sz w:val="16"/>
                <w:szCs w:val="16"/>
              </w:rPr>
              <w:t>target</w:t>
            </w:r>
          </w:p>
        </w:tc>
        <w:tc>
          <w:tcPr>
            <w:tcW w:w="1292" w:type="dxa"/>
            <w:shd w:val="clear" w:color="auto" w:fill="FFFFFF" w:themeFill="background1"/>
            <w:vAlign w:val="center"/>
          </w:tcPr>
          <w:p w14:paraId="06C8ADDC" w14:textId="347A5921" w:rsidR="00DA50DB" w:rsidRPr="00E51672" w:rsidRDefault="00DA50DB" w:rsidP="00DA50DB">
            <w:pPr>
              <w:jc w:val="center"/>
              <w:rPr>
                <w:rFonts w:ascii="Arial" w:hAnsi="Arial" w:cs="Arial"/>
                <w:i/>
                <w:sz w:val="16"/>
                <w:szCs w:val="16"/>
              </w:rPr>
            </w:pPr>
            <w:r>
              <w:rPr>
                <w:rFonts w:ascii="Arial" w:hAnsi="Arial" w:cs="Arial"/>
                <w:i/>
                <w:sz w:val="16"/>
                <w:szCs w:val="16"/>
              </w:rPr>
              <w:t>7.7</w:t>
            </w:r>
          </w:p>
        </w:tc>
        <w:tc>
          <w:tcPr>
            <w:tcW w:w="1273" w:type="dxa"/>
            <w:shd w:val="clear" w:color="auto" w:fill="FFFFFF" w:themeFill="background1"/>
            <w:vAlign w:val="center"/>
          </w:tcPr>
          <w:p w14:paraId="5BC28200" w14:textId="54BA2792" w:rsidR="00DA50DB" w:rsidRPr="00E51672" w:rsidRDefault="00DA50DB" w:rsidP="00DA50DB">
            <w:pPr>
              <w:jc w:val="center"/>
              <w:rPr>
                <w:rFonts w:ascii="Arial" w:hAnsi="Arial" w:cs="Arial"/>
                <w:i/>
                <w:sz w:val="16"/>
                <w:szCs w:val="16"/>
              </w:rPr>
            </w:pPr>
            <w:r>
              <w:rPr>
                <w:rFonts w:ascii="Arial" w:hAnsi="Arial" w:cs="Arial"/>
                <w:i/>
                <w:sz w:val="16"/>
                <w:szCs w:val="16"/>
              </w:rPr>
              <w:t>7.7</w:t>
            </w:r>
          </w:p>
        </w:tc>
        <w:tc>
          <w:tcPr>
            <w:tcW w:w="1264" w:type="dxa"/>
            <w:shd w:val="clear" w:color="auto" w:fill="FFFFFF" w:themeFill="background1"/>
            <w:vAlign w:val="center"/>
          </w:tcPr>
          <w:p w14:paraId="500212DD" w14:textId="048CEB0D" w:rsidR="00DA50DB" w:rsidRPr="00E51672" w:rsidRDefault="00DA50DB" w:rsidP="00DA50DB">
            <w:pPr>
              <w:jc w:val="center"/>
              <w:rPr>
                <w:rFonts w:ascii="Arial" w:hAnsi="Arial" w:cs="Arial"/>
                <w:i/>
                <w:sz w:val="16"/>
                <w:szCs w:val="16"/>
              </w:rPr>
            </w:pPr>
            <w:r>
              <w:rPr>
                <w:rFonts w:ascii="Arial" w:hAnsi="Arial" w:cs="Arial"/>
                <w:i/>
                <w:sz w:val="16"/>
                <w:szCs w:val="16"/>
              </w:rPr>
              <w:t>7.3</w:t>
            </w:r>
          </w:p>
        </w:tc>
        <w:tc>
          <w:tcPr>
            <w:tcW w:w="1233" w:type="dxa"/>
            <w:shd w:val="clear" w:color="auto" w:fill="FFFFFF" w:themeFill="background1"/>
            <w:vAlign w:val="center"/>
          </w:tcPr>
          <w:p w14:paraId="7A9A9275" w14:textId="2D22117D" w:rsidR="00DA50DB" w:rsidRPr="00E51672" w:rsidRDefault="00DA50DB" w:rsidP="00DA50DB">
            <w:pPr>
              <w:jc w:val="center"/>
              <w:rPr>
                <w:rFonts w:ascii="Arial" w:hAnsi="Arial" w:cs="Arial"/>
                <w:i/>
                <w:sz w:val="16"/>
                <w:szCs w:val="16"/>
              </w:rPr>
            </w:pPr>
            <w:r w:rsidRPr="57BC613A">
              <w:rPr>
                <w:rFonts w:ascii="Arial" w:hAnsi="Arial" w:cs="Arial"/>
                <w:i/>
                <w:iCs/>
                <w:sz w:val="16"/>
                <w:szCs w:val="16"/>
              </w:rPr>
              <w:t>7.</w:t>
            </w:r>
            <w:r>
              <w:rPr>
                <w:rFonts w:ascii="Arial" w:hAnsi="Arial" w:cs="Arial"/>
                <w:i/>
                <w:iCs/>
                <w:sz w:val="16"/>
                <w:szCs w:val="16"/>
              </w:rPr>
              <w:t>3</w:t>
            </w:r>
          </w:p>
        </w:tc>
        <w:tc>
          <w:tcPr>
            <w:tcW w:w="1029" w:type="dxa"/>
            <w:shd w:val="clear" w:color="auto" w:fill="FFFFFF" w:themeFill="background1"/>
            <w:vAlign w:val="center"/>
          </w:tcPr>
          <w:p w14:paraId="16F17B1B" w14:textId="5BFB69B3" w:rsidR="00DA50DB" w:rsidRPr="00E51672" w:rsidRDefault="00DA50DB" w:rsidP="00DA50DB">
            <w:pPr>
              <w:spacing w:line="259" w:lineRule="auto"/>
              <w:jc w:val="center"/>
              <w:rPr>
                <w:rFonts w:ascii="Arial" w:hAnsi="Arial" w:cs="Arial"/>
                <w:i/>
                <w:szCs w:val="24"/>
              </w:rPr>
            </w:pPr>
          </w:p>
        </w:tc>
      </w:tr>
      <w:tr w:rsidR="00DA50DB" w14:paraId="48FA7063" w14:textId="77777777" w:rsidTr="00DA50DB">
        <w:trPr>
          <w:cantSplit/>
          <w:trHeight w:val="288"/>
        </w:trPr>
        <w:tc>
          <w:tcPr>
            <w:tcW w:w="2958" w:type="dxa"/>
            <w:vMerge w:val="restart"/>
          </w:tcPr>
          <w:p w14:paraId="37464149" w14:textId="71A0D07C" w:rsidR="00DA50DB" w:rsidRDefault="00DA50DB" w:rsidP="00DA50DB">
            <w:pPr>
              <w:pStyle w:val="ListParagraph"/>
              <w:numPr>
                <w:ilvl w:val="0"/>
                <w:numId w:val="35"/>
              </w:numPr>
              <w:tabs>
                <w:tab w:val="left" w:pos="2985"/>
              </w:tabs>
              <w:ind w:left="342"/>
              <w:rPr>
                <w:rFonts w:cs="Arial"/>
                <w:sz w:val="20"/>
              </w:rPr>
            </w:pPr>
            <w:r>
              <w:rPr>
                <w:rFonts w:cs="Arial"/>
                <w:sz w:val="20"/>
              </w:rPr>
              <w:t xml:space="preserve">  </w:t>
            </w:r>
            <w:r w:rsidRPr="2567E06E">
              <w:rPr>
                <w:rFonts w:cs="Arial"/>
                <w:sz w:val="20"/>
              </w:rPr>
              <w:t>Reduction in length of time between open position announcement to hiring start date.</w:t>
            </w:r>
          </w:p>
        </w:tc>
        <w:tc>
          <w:tcPr>
            <w:tcW w:w="1031" w:type="dxa"/>
            <w:shd w:val="clear" w:color="auto" w:fill="D9D9D9" w:themeFill="background1" w:themeFillShade="D9"/>
            <w:vAlign w:val="center"/>
          </w:tcPr>
          <w:p w14:paraId="04630DE9" w14:textId="2344604E" w:rsidR="00DA50DB" w:rsidRDefault="00DA50DB" w:rsidP="00DA50DB">
            <w:pPr>
              <w:jc w:val="center"/>
              <w:rPr>
                <w:rFonts w:ascii="Arial" w:hAnsi="Arial" w:cs="Arial"/>
                <w:sz w:val="20"/>
              </w:rPr>
            </w:pPr>
            <w:r w:rsidRPr="5D7D3133">
              <w:rPr>
                <w:rFonts w:ascii="Arial" w:hAnsi="Arial" w:cs="Arial"/>
                <w:sz w:val="20"/>
              </w:rPr>
              <w:t>actual</w:t>
            </w:r>
          </w:p>
        </w:tc>
        <w:tc>
          <w:tcPr>
            <w:tcW w:w="1292" w:type="dxa"/>
            <w:shd w:val="clear" w:color="auto" w:fill="D9D9D9" w:themeFill="background1" w:themeFillShade="D9"/>
            <w:vAlign w:val="center"/>
          </w:tcPr>
          <w:p w14:paraId="4386D021" w14:textId="0F05B1FE" w:rsidR="00DA50DB" w:rsidRDefault="00DA50DB" w:rsidP="00DA50DB">
            <w:pPr>
              <w:jc w:val="center"/>
              <w:rPr>
                <w:rFonts w:ascii="Arial" w:hAnsi="Arial" w:cs="Arial"/>
                <w:sz w:val="20"/>
              </w:rPr>
            </w:pPr>
            <w:r w:rsidRPr="5D7D3133">
              <w:rPr>
                <w:rFonts w:ascii="Arial" w:hAnsi="Arial" w:cs="Arial"/>
                <w:sz w:val="20"/>
              </w:rPr>
              <w:t>New measure</w:t>
            </w:r>
          </w:p>
        </w:tc>
        <w:tc>
          <w:tcPr>
            <w:tcW w:w="1273" w:type="dxa"/>
            <w:shd w:val="clear" w:color="auto" w:fill="D9D9D9" w:themeFill="background1" w:themeFillShade="D9"/>
            <w:vAlign w:val="center"/>
          </w:tcPr>
          <w:p w14:paraId="29FE30C0" w14:textId="688A1EFC" w:rsidR="00DA50DB" w:rsidRDefault="00DA50DB" w:rsidP="00DA50DB">
            <w:pPr>
              <w:jc w:val="center"/>
              <w:rPr>
                <w:rFonts w:ascii="Arial" w:hAnsi="Arial" w:cs="Arial"/>
                <w:sz w:val="20"/>
              </w:rPr>
            </w:pPr>
            <w:r w:rsidRPr="5D7D3133">
              <w:rPr>
                <w:rFonts w:ascii="Arial" w:hAnsi="Arial" w:cs="Arial"/>
                <w:sz w:val="20"/>
              </w:rPr>
              <w:t>New measure</w:t>
            </w:r>
          </w:p>
        </w:tc>
        <w:tc>
          <w:tcPr>
            <w:tcW w:w="1264" w:type="dxa"/>
            <w:shd w:val="clear" w:color="auto" w:fill="D9D9D9" w:themeFill="background1" w:themeFillShade="D9"/>
            <w:vAlign w:val="center"/>
          </w:tcPr>
          <w:p w14:paraId="5B594CAF" w14:textId="15D38EDA" w:rsidR="00DA50DB" w:rsidRDefault="00DA50DB" w:rsidP="00DA50DB">
            <w:pPr>
              <w:jc w:val="center"/>
              <w:rPr>
                <w:rFonts w:ascii="Arial" w:hAnsi="Arial" w:cs="Arial"/>
                <w:sz w:val="20"/>
              </w:rPr>
            </w:pPr>
            <w:r w:rsidRPr="043A0D96">
              <w:rPr>
                <w:rFonts w:ascii="Arial" w:hAnsi="Arial" w:cs="Arial"/>
                <w:sz w:val="20"/>
              </w:rPr>
              <w:t>78</w:t>
            </w:r>
          </w:p>
        </w:tc>
        <w:tc>
          <w:tcPr>
            <w:tcW w:w="1233" w:type="dxa"/>
            <w:shd w:val="clear" w:color="auto" w:fill="D9D9D9" w:themeFill="background1" w:themeFillShade="D9"/>
            <w:vAlign w:val="center"/>
          </w:tcPr>
          <w:p w14:paraId="7F8CF988" w14:textId="68DC2B8A" w:rsidR="00DA50DB" w:rsidRDefault="00DA50DB" w:rsidP="00DA50DB">
            <w:pPr>
              <w:spacing w:line="259" w:lineRule="auto"/>
              <w:jc w:val="center"/>
              <w:rPr>
                <w:rFonts w:ascii="Arial" w:hAnsi="Arial" w:cs="Arial"/>
                <w:szCs w:val="24"/>
              </w:rPr>
            </w:pPr>
          </w:p>
        </w:tc>
        <w:tc>
          <w:tcPr>
            <w:tcW w:w="1029" w:type="dxa"/>
            <w:shd w:val="clear" w:color="auto" w:fill="D9D9D9" w:themeFill="background1" w:themeFillShade="D9"/>
            <w:vAlign w:val="center"/>
          </w:tcPr>
          <w:p w14:paraId="039D9999" w14:textId="1595D455" w:rsidR="00DA50DB" w:rsidRDefault="00DA50DB" w:rsidP="00DA50DB">
            <w:pPr>
              <w:jc w:val="center"/>
              <w:rPr>
                <w:rFonts w:ascii="Arial" w:hAnsi="Arial" w:cs="Arial"/>
                <w:i/>
                <w:iCs/>
              </w:rPr>
            </w:pPr>
          </w:p>
        </w:tc>
      </w:tr>
      <w:tr w:rsidR="00DA50DB" w14:paraId="5BC4E1B3" w14:textId="77777777" w:rsidTr="00DA50DB">
        <w:trPr>
          <w:cantSplit/>
          <w:trHeight w:val="288"/>
        </w:trPr>
        <w:tc>
          <w:tcPr>
            <w:tcW w:w="2958" w:type="dxa"/>
            <w:vMerge/>
          </w:tcPr>
          <w:p w14:paraId="610CE54F" w14:textId="77777777" w:rsidR="00DA50DB" w:rsidRDefault="00DA50DB" w:rsidP="00DA50DB"/>
        </w:tc>
        <w:tc>
          <w:tcPr>
            <w:tcW w:w="1031" w:type="dxa"/>
            <w:shd w:val="clear" w:color="auto" w:fill="FFFFFF" w:themeFill="background1"/>
            <w:vAlign w:val="center"/>
          </w:tcPr>
          <w:p w14:paraId="7AD21EF2" w14:textId="46707413" w:rsidR="00DA50DB" w:rsidRDefault="00DA50DB" w:rsidP="00DA50DB">
            <w:pPr>
              <w:jc w:val="center"/>
              <w:rPr>
                <w:rFonts w:ascii="Arial" w:hAnsi="Arial" w:cs="Arial"/>
                <w:i/>
                <w:sz w:val="16"/>
                <w:szCs w:val="16"/>
              </w:rPr>
            </w:pPr>
            <w:r w:rsidRPr="5D7D3133">
              <w:rPr>
                <w:rFonts w:ascii="Arial" w:hAnsi="Arial" w:cs="Arial"/>
                <w:i/>
                <w:iCs/>
                <w:sz w:val="16"/>
                <w:szCs w:val="16"/>
              </w:rPr>
              <w:t>target</w:t>
            </w:r>
          </w:p>
        </w:tc>
        <w:tc>
          <w:tcPr>
            <w:tcW w:w="1292" w:type="dxa"/>
            <w:shd w:val="clear" w:color="auto" w:fill="FFFFFF" w:themeFill="background1"/>
            <w:vAlign w:val="center"/>
          </w:tcPr>
          <w:p w14:paraId="75FB4B9B" w14:textId="30544CC7" w:rsidR="00DA50DB" w:rsidRPr="00C97A80" w:rsidRDefault="002E1D2E" w:rsidP="00DA50DB">
            <w:pPr>
              <w:jc w:val="center"/>
              <w:rPr>
                <w:rFonts w:ascii="Arial" w:hAnsi="Arial" w:cs="Arial"/>
                <w:i/>
                <w:sz w:val="16"/>
                <w:szCs w:val="16"/>
              </w:rPr>
            </w:pPr>
            <w:r>
              <w:rPr>
                <w:rFonts w:ascii="Arial" w:hAnsi="Arial" w:cs="Arial"/>
                <w:i/>
                <w:sz w:val="16"/>
                <w:szCs w:val="16"/>
              </w:rPr>
              <w:t>--</w:t>
            </w:r>
          </w:p>
        </w:tc>
        <w:tc>
          <w:tcPr>
            <w:tcW w:w="1273" w:type="dxa"/>
            <w:shd w:val="clear" w:color="auto" w:fill="FFFFFF" w:themeFill="background1"/>
            <w:vAlign w:val="center"/>
          </w:tcPr>
          <w:p w14:paraId="6AD726E8" w14:textId="227F4682" w:rsidR="00DA50DB" w:rsidRDefault="002E1D2E" w:rsidP="00DA50DB">
            <w:pPr>
              <w:jc w:val="center"/>
              <w:rPr>
                <w:rFonts w:ascii="Arial" w:hAnsi="Arial" w:cs="Arial"/>
                <w:i/>
                <w:iCs/>
                <w:szCs w:val="24"/>
              </w:rPr>
            </w:pPr>
            <w:r>
              <w:rPr>
                <w:rFonts w:ascii="Arial" w:hAnsi="Arial" w:cs="Arial"/>
                <w:i/>
                <w:sz w:val="16"/>
                <w:szCs w:val="16"/>
              </w:rPr>
              <w:t>--</w:t>
            </w:r>
          </w:p>
        </w:tc>
        <w:tc>
          <w:tcPr>
            <w:tcW w:w="1264" w:type="dxa"/>
            <w:shd w:val="clear" w:color="auto" w:fill="FFFFFF" w:themeFill="background1"/>
            <w:vAlign w:val="center"/>
          </w:tcPr>
          <w:p w14:paraId="62E7AF3D" w14:textId="7ED915DF" w:rsidR="00DA50DB" w:rsidRDefault="00DA50DB" w:rsidP="00DA50DB">
            <w:pPr>
              <w:jc w:val="center"/>
              <w:rPr>
                <w:rFonts w:ascii="Arial" w:hAnsi="Arial" w:cs="Arial"/>
                <w:i/>
                <w:iCs/>
                <w:szCs w:val="24"/>
              </w:rPr>
            </w:pPr>
            <w:r w:rsidRPr="00C97A80">
              <w:rPr>
                <w:rFonts w:ascii="Arial" w:hAnsi="Arial" w:cs="Arial"/>
                <w:i/>
                <w:sz w:val="16"/>
                <w:szCs w:val="16"/>
              </w:rPr>
              <w:t>Decrease by 5%</w:t>
            </w:r>
          </w:p>
        </w:tc>
        <w:tc>
          <w:tcPr>
            <w:tcW w:w="1233" w:type="dxa"/>
            <w:shd w:val="clear" w:color="auto" w:fill="FFFFFF" w:themeFill="background1"/>
            <w:vAlign w:val="center"/>
          </w:tcPr>
          <w:p w14:paraId="692913B4" w14:textId="77777777" w:rsidR="00DA50DB" w:rsidRDefault="00DA50DB" w:rsidP="00DA50DB">
            <w:pPr>
              <w:jc w:val="center"/>
              <w:rPr>
                <w:rFonts w:ascii="Arial" w:hAnsi="Arial" w:cs="Arial"/>
                <w:i/>
                <w:iCs/>
                <w:sz w:val="16"/>
                <w:szCs w:val="16"/>
              </w:rPr>
            </w:pPr>
            <w:r>
              <w:rPr>
                <w:rFonts w:ascii="Arial" w:hAnsi="Arial" w:cs="Arial"/>
                <w:i/>
                <w:iCs/>
                <w:sz w:val="16"/>
                <w:szCs w:val="16"/>
              </w:rPr>
              <w:t>74 days</w:t>
            </w:r>
          </w:p>
          <w:p w14:paraId="5FFE8A69" w14:textId="690FDFFF" w:rsidR="00DA50DB" w:rsidRDefault="00DA50DB" w:rsidP="00DA50DB">
            <w:pPr>
              <w:jc w:val="center"/>
              <w:rPr>
                <w:rFonts w:ascii="Arial" w:hAnsi="Arial" w:cs="Arial"/>
                <w:i/>
              </w:rPr>
            </w:pPr>
          </w:p>
        </w:tc>
        <w:tc>
          <w:tcPr>
            <w:tcW w:w="1029" w:type="dxa"/>
            <w:shd w:val="clear" w:color="auto" w:fill="FFFFFF" w:themeFill="background1"/>
            <w:vAlign w:val="center"/>
          </w:tcPr>
          <w:p w14:paraId="66DC97D5" w14:textId="28ABAB39" w:rsidR="00DA50DB" w:rsidRDefault="00DA50DB" w:rsidP="00DA50DB">
            <w:pPr>
              <w:jc w:val="center"/>
              <w:rPr>
                <w:rFonts w:ascii="Arial" w:hAnsi="Arial" w:cs="Arial"/>
                <w:i/>
                <w:sz w:val="16"/>
                <w:szCs w:val="16"/>
              </w:rPr>
            </w:pPr>
          </w:p>
        </w:tc>
      </w:tr>
      <w:tr w:rsidR="00DA50DB" w14:paraId="176046BA" w14:textId="77777777" w:rsidTr="332B5044">
        <w:trPr>
          <w:cantSplit/>
          <w:trHeight w:val="288"/>
        </w:trPr>
        <w:tc>
          <w:tcPr>
            <w:tcW w:w="10080" w:type="dxa"/>
            <w:gridSpan w:val="7"/>
            <w:shd w:val="clear" w:color="auto" w:fill="DBE5F1" w:themeFill="accent1" w:themeFillTint="33"/>
          </w:tcPr>
          <w:p w14:paraId="3450B5EE" w14:textId="29130F49" w:rsidR="00DA50DB" w:rsidRPr="00E511D5" w:rsidRDefault="00DA50DB" w:rsidP="00DA50DB">
            <w:pPr>
              <w:jc w:val="center"/>
              <w:rPr>
                <w:rFonts w:ascii="Arial" w:hAnsi="Arial" w:cs="Arial"/>
                <w:b/>
                <w:bCs/>
                <w:sz w:val="20"/>
              </w:rPr>
            </w:pPr>
            <w:r w:rsidRPr="2567E06E">
              <w:rPr>
                <w:rFonts w:ascii="Arial" w:hAnsi="Arial" w:cs="Arial"/>
                <w:b/>
                <w:bCs/>
                <w:sz w:val="20"/>
              </w:rPr>
              <w:t>Goal 3: Focus spending on areas that maximize success</w:t>
            </w:r>
          </w:p>
        </w:tc>
      </w:tr>
      <w:tr w:rsidR="00DA50DB" w14:paraId="0A986A4F" w14:textId="77777777" w:rsidTr="00DA50DB">
        <w:trPr>
          <w:cantSplit/>
          <w:trHeight w:val="288"/>
        </w:trPr>
        <w:tc>
          <w:tcPr>
            <w:tcW w:w="2958" w:type="dxa"/>
            <w:vMerge w:val="restart"/>
          </w:tcPr>
          <w:p w14:paraId="63860A2F" w14:textId="13C51041" w:rsidR="00DA50DB" w:rsidRDefault="00DA50DB" w:rsidP="00DA50DB">
            <w:pPr>
              <w:tabs>
                <w:tab w:val="left" w:pos="2985"/>
              </w:tabs>
              <w:spacing w:line="259" w:lineRule="auto"/>
              <w:ind w:left="288" w:hanging="288"/>
              <w:rPr>
                <w:rFonts w:ascii="Arial" w:eastAsia="Arial" w:hAnsi="Arial" w:cs="Arial"/>
                <w:sz w:val="20"/>
              </w:rPr>
            </w:pPr>
            <w:r w:rsidRPr="2567E06E">
              <w:rPr>
                <w:rFonts w:ascii="Arial" w:eastAsia="Arial" w:hAnsi="Arial" w:cs="Arial"/>
                <w:sz w:val="20"/>
              </w:rPr>
              <w:lastRenderedPageBreak/>
              <w:t>7.</w:t>
            </w:r>
            <w:r w:rsidRPr="57BC613A">
              <w:rPr>
                <w:rFonts w:ascii="Arial" w:eastAsia="Arial" w:hAnsi="Arial" w:cs="Arial"/>
                <w:sz w:val="20"/>
              </w:rPr>
              <w:t xml:space="preserve"> </w:t>
            </w:r>
            <w:r w:rsidRPr="2567E06E">
              <w:rPr>
                <w:rFonts w:ascii="Arial" w:eastAsia="Arial" w:hAnsi="Arial" w:cs="Arial"/>
                <w:sz w:val="20"/>
              </w:rPr>
              <w:t xml:space="preserve"> </w:t>
            </w:r>
            <w:r>
              <w:rPr>
                <w:rFonts w:ascii="Arial" w:eastAsia="Arial" w:hAnsi="Arial" w:cs="Arial"/>
                <w:sz w:val="20"/>
              </w:rPr>
              <w:t>Increase investment in community corrections, where IDOC can have greatest impacts on reducing crime.</w:t>
            </w:r>
          </w:p>
        </w:tc>
        <w:tc>
          <w:tcPr>
            <w:tcW w:w="1031" w:type="dxa"/>
            <w:shd w:val="clear" w:color="auto" w:fill="D9D9D9" w:themeFill="background1" w:themeFillShade="D9"/>
            <w:vAlign w:val="center"/>
          </w:tcPr>
          <w:p w14:paraId="2841AB41" w14:textId="77777777" w:rsidR="00DA50DB" w:rsidRPr="00D832C7" w:rsidRDefault="00DA50DB" w:rsidP="00DA50DB">
            <w:pPr>
              <w:jc w:val="center"/>
              <w:rPr>
                <w:rFonts w:ascii="Arial" w:hAnsi="Arial" w:cs="Arial"/>
                <w:sz w:val="20"/>
              </w:rPr>
            </w:pPr>
            <w:r w:rsidRPr="00D832C7">
              <w:rPr>
                <w:rFonts w:ascii="Arial" w:hAnsi="Arial" w:cs="Arial"/>
                <w:sz w:val="20"/>
              </w:rPr>
              <w:t>actual</w:t>
            </w:r>
          </w:p>
        </w:tc>
        <w:tc>
          <w:tcPr>
            <w:tcW w:w="1292" w:type="dxa"/>
            <w:shd w:val="clear" w:color="auto" w:fill="D9D9D9" w:themeFill="background1" w:themeFillShade="D9"/>
            <w:vAlign w:val="center"/>
          </w:tcPr>
          <w:p w14:paraId="7A53B1F4" w14:textId="0C173030" w:rsidR="00DA50DB" w:rsidRDefault="00DA50DB" w:rsidP="00DA50DB">
            <w:pPr>
              <w:jc w:val="center"/>
              <w:rPr>
                <w:rFonts w:ascii="Arial" w:hAnsi="Arial" w:cs="Arial"/>
                <w:i/>
                <w:iCs/>
                <w:sz w:val="20"/>
              </w:rPr>
            </w:pPr>
            <w:r w:rsidRPr="332B5044">
              <w:rPr>
                <w:rFonts w:ascii="Arial" w:hAnsi="Arial" w:cs="Arial"/>
                <w:sz w:val="20"/>
              </w:rPr>
              <w:t>New measure</w:t>
            </w:r>
          </w:p>
        </w:tc>
        <w:tc>
          <w:tcPr>
            <w:tcW w:w="1273" w:type="dxa"/>
            <w:shd w:val="clear" w:color="auto" w:fill="D9D9D9" w:themeFill="background1" w:themeFillShade="D9"/>
            <w:vAlign w:val="center"/>
          </w:tcPr>
          <w:p w14:paraId="77DED992" w14:textId="70A05BE1" w:rsidR="00DA50DB" w:rsidRPr="008F5581" w:rsidRDefault="00DA50DB" w:rsidP="00DA50DB">
            <w:pPr>
              <w:jc w:val="center"/>
              <w:rPr>
                <w:rFonts w:ascii="Arial" w:hAnsi="Arial" w:cs="Arial"/>
                <w:sz w:val="20"/>
              </w:rPr>
            </w:pPr>
            <w:r w:rsidRPr="5D7D3133">
              <w:rPr>
                <w:rFonts w:ascii="Arial" w:hAnsi="Arial" w:cs="Arial"/>
                <w:sz w:val="20"/>
              </w:rPr>
              <w:t>New measure</w:t>
            </w:r>
          </w:p>
        </w:tc>
        <w:tc>
          <w:tcPr>
            <w:tcW w:w="1264" w:type="dxa"/>
            <w:shd w:val="clear" w:color="auto" w:fill="D9D9D9" w:themeFill="background1" w:themeFillShade="D9"/>
            <w:vAlign w:val="center"/>
          </w:tcPr>
          <w:p w14:paraId="3B4DA0AA" w14:textId="52F1BAA7" w:rsidR="00DA50DB" w:rsidRPr="008F5581" w:rsidRDefault="00DA50DB" w:rsidP="00DA50DB">
            <w:pPr>
              <w:jc w:val="center"/>
              <w:rPr>
                <w:rFonts w:ascii="Arial" w:hAnsi="Arial" w:cs="Arial"/>
                <w:sz w:val="20"/>
              </w:rPr>
            </w:pPr>
            <w:r w:rsidRPr="043A0D96">
              <w:rPr>
                <w:rFonts w:ascii="Arial" w:hAnsi="Arial" w:cs="Arial"/>
                <w:sz w:val="20"/>
              </w:rPr>
              <w:t>0.7%</w:t>
            </w:r>
          </w:p>
        </w:tc>
        <w:tc>
          <w:tcPr>
            <w:tcW w:w="1233" w:type="dxa"/>
            <w:shd w:val="clear" w:color="auto" w:fill="D9D9D9" w:themeFill="background1" w:themeFillShade="D9"/>
            <w:vAlign w:val="center"/>
          </w:tcPr>
          <w:p w14:paraId="2C195F85" w14:textId="617F37E7" w:rsidR="00DA50DB" w:rsidRPr="008F5581" w:rsidRDefault="00DA50DB" w:rsidP="00DA50DB">
            <w:pPr>
              <w:spacing w:line="259" w:lineRule="auto"/>
              <w:jc w:val="center"/>
              <w:rPr>
                <w:rFonts w:ascii="Arial" w:hAnsi="Arial" w:cs="Arial"/>
                <w:sz w:val="20"/>
              </w:rPr>
            </w:pPr>
          </w:p>
        </w:tc>
        <w:tc>
          <w:tcPr>
            <w:tcW w:w="1029" w:type="dxa"/>
            <w:shd w:val="clear" w:color="auto" w:fill="D9D9D9" w:themeFill="background1" w:themeFillShade="D9"/>
            <w:vAlign w:val="center"/>
          </w:tcPr>
          <w:p w14:paraId="647228E9" w14:textId="3602E257" w:rsidR="00DA50DB" w:rsidRPr="00E51672" w:rsidRDefault="00DA50DB" w:rsidP="00DA50DB">
            <w:pPr>
              <w:jc w:val="center"/>
              <w:rPr>
                <w:rFonts w:ascii="Arial" w:hAnsi="Arial" w:cs="Arial"/>
                <w:i/>
                <w:iCs/>
                <w:sz w:val="20"/>
              </w:rPr>
            </w:pPr>
          </w:p>
        </w:tc>
      </w:tr>
      <w:tr w:rsidR="00DA50DB" w:rsidRPr="00D7051E" w14:paraId="5255BE61" w14:textId="77777777" w:rsidTr="00DA50DB">
        <w:trPr>
          <w:cantSplit/>
          <w:trHeight w:val="840"/>
        </w:trPr>
        <w:tc>
          <w:tcPr>
            <w:tcW w:w="2958" w:type="dxa"/>
            <w:vMerge/>
          </w:tcPr>
          <w:p w14:paraId="14330F40" w14:textId="77777777" w:rsidR="00DA50DB" w:rsidRPr="00646DA1" w:rsidRDefault="00DA50DB" w:rsidP="00DA50DB">
            <w:pPr>
              <w:pStyle w:val="ListParagraph"/>
              <w:numPr>
                <w:ilvl w:val="0"/>
                <w:numId w:val="43"/>
              </w:numPr>
              <w:tabs>
                <w:tab w:val="left" w:pos="2985"/>
              </w:tabs>
              <w:overflowPunct/>
              <w:autoSpaceDE/>
              <w:autoSpaceDN/>
              <w:adjustRightInd/>
              <w:ind w:left="342"/>
              <w:contextualSpacing/>
              <w:textAlignment w:val="auto"/>
              <w:rPr>
                <w:rFonts w:cs="Arial"/>
                <w:sz w:val="20"/>
              </w:rPr>
            </w:pPr>
          </w:p>
        </w:tc>
        <w:tc>
          <w:tcPr>
            <w:tcW w:w="1031" w:type="dxa"/>
            <w:shd w:val="clear" w:color="auto" w:fill="FFFFFF" w:themeFill="background1"/>
            <w:vAlign w:val="center"/>
          </w:tcPr>
          <w:p w14:paraId="05DCC6B9" w14:textId="77777777" w:rsidR="00DA50DB" w:rsidRDefault="00DA50DB" w:rsidP="00DA50DB">
            <w:pPr>
              <w:jc w:val="center"/>
              <w:rPr>
                <w:rFonts w:ascii="Arial" w:hAnsi="Arial" w:cs="Arial"/>
                <w:i/>
                <w:iCs/>
                <w:sz w:val="20"/>
              </w:rPr>
            </w:pPr>
            <w:r w:rsidRPr="2567E06E">
              <w:rPr>
                <w:rFonts w:ascii="Arial" w:hAnsi="Arial" w:cs="Arial"/>
                <w:i/>
                <w:iCs/>
                <w:sz w:val="20"/>
              </w:rPr>
              <w:t>target</w:t>
            </w:r>
          </w:p>
        </w:tc>
        <w:tc>
          <w:tcPr>
            <w:tcW w:w="1292" w:type="dxa"/>
            <w:shd w:val="clear" w:color="auto" w:fill="FFFFFF" w:themeFill="background1"/>
            <w:vAlign w:val="center"/>
          </w:tcPr>
          <w:p w14:paraId="01C04ABA" w14:textId="056ADF21" w:rsidR="00DA50DB" w:rsidRDefault="002E1D2E" w:rsidP="00DA50DB">
            <w:pPr>
              <w:spacing w:line="259" w:lineRule="auto"/>
              <w:jc w:val="center"/>
              <w:rPr>
                <w:rFonts w:ascii="Arial" w:hAnsi="Arial" w:cs="Arial"/>
                <w:i/>
                <w:iCs/>
                <w:sz w:val="16"/>
                <w:szCs w:val="16"/>
              </w:rPr>
            </w:pPr>
            <w:r>
              <w:rPr>
                <w:rFonts w:ascii="Arial" w:hAnsi="Arial" w:cs="Arial"/>
                <w:i/>
                <w:iCs/>
                <w:sz w:val="16"/>
                <w:szCs w:val="16"/>
              </w:rPr>
              <w:t>--</w:t>
            </w:r>
          </w:p>
        </w:tc>
        <w:tc>
          <w:tcPr>
            <w:tcW w:w="1273" w:type="dxa"/>
            <w:shd w:val="clear" w:color="auto" w:fill="FFFFFF" w:themeFill="background1"/>
            <w:vAlign w:val="center"/>
          </w:tcPr>
          <w:p w14:paraId="48FF78CB" w14:textId="1791AEE8" w:rsidR="00DA50DB" w:rsidRDefault="002E1D2E" w:rsidP="00DA50DB">
            <w:pPr>
              <w:jc w:val="center"/>
              <w:rPr>
                <w:rFonts w:ascii="Arial" w:hAnsi="Arial" w:cs="Arial"/>
                <w:i/>
                <w:iCs/>
                <w:sz w:val="20"/>
              </w:rPr>
            </w:pPr>
            <w:r>
              <w:rPr>
                <w:rFonts w:ascii="Arial" w:hAnsi="Arial" w:cs="Arial"/>
                <w:i/>
                <w:iCs/>
                <w:sz w:val="20"/>
              </w:rPr>
              <w:t>--</w:t>
            </w:r>
          </w:p>
        </w:tc>
        <w:tc>
          <w:tcPr>
            <w:tcW w:w="1264" w:type="dxa"/>
            <w:shd w:val="clear" w:color="auto" w:fill="FFFFFF" w:themeFill="background1"/>
            <w:vAlign w:val="center"/>
          </w:tcPr>
          <w:p w14:paraId="0BC9D892" w14:textId="733FB6E5" w:rsidR="00DA50DB" w:rsidRDefault="00DA50DB" w:rsidP="00DA50DB">
            <w:pPr>
              <w:jc w:val="center"/>
              <w:rPr>
                <w:rFonts w:ascii="Arial" w:hAnsi="Arial" w:cs="Arial"/>
                <w:i/>
                <w:iCs/>
                <w:sz w:val="20"/>
              </w:rPr>
            </w:pPr>
            <w:r w:rsidRPr="043A0D96">
              <w:rPr>
                <w:rFonts w:ascii="Arial" w:hAnsi="Arial" w:cs="Arial"/>
                <w:i/>
                <w:iCs/>
                <w:sz w:val="16"/>
                <w:szCs w:val="16"/>
              </w:rPr>
              <w:t>Reallocate 1.5% per year</w:t>
            </w:r>
          </w:p>
        </w:tc>
        <w:tc>
          <w:tcPr>
            <w:tcW w:w="1233" w:type="dxa"/>
            <w:shd w:val="clear" w:color="auto" w:fill="FFFFFF" w:themeFill="background1"/>
            <w:vAlign w:val="center"/>
          </w:tcPr>
          <w:p w14:paraId="6E586EF1" w14:textId="77777777" w:rsidR="00DA50DB" w:rsidRPr="00F27BE5" w:rsidRDefault="00DA50DB" w:rsidP="00DA50DB">
            <w:pPr>
              <w:jc w:val="center"/>
              <w:rPr>
                <w:rFonts w:ascii="Arial" w:hAnsi="Arial" w:cs="Arial"/>
                <w:i/>
                <w:iCs/>
                <w:sz w:val="20"/>
              </w:rPr>
            </w:pPr>
            <w:r w:rsidRPr="043A0D96">
              <w:rPr>
                <w:rFonts w:ascii="Arial" w:hAnsi="Arial" w:cs="Arial"/>
                <w:i/>
                <w:iCs/>
                <w:sz w:val="16"/>
                <w:szCs w:val="16"/>
              </w:rPr>
              <w:t>Reallocate 1.0% per year</w:t>
            </w:r>
          </w:p>
          <w:p w14:paraId="598614D5" w14:textId="73BA488F" w:rsidR="00DA50DB" w:rsidRPr="00E51672" w:rsidRDefault="00DA50DB" w:rsidP="00DA50DB">
            <w:pPr>
              <w:jc w:val="center"/>
              <w:rPr>
                <w:rFonts w:ascii="Arial" w:hAnsi="Arial" w:cs="Arial"/>
                <w:i/>
                <w:iCs/>
                <w:sz w:val="20"/>
              </w:rPr>
            </w:pPr>
          </w:p>
        </w:tc>
        <w:tc>
          <w:tcPr>
            <w:tcW w:w="1029" w:type="dxa"/>
            <w:shd w:val="clear" w:color="auto" w:fill="FFFFFF" w:themeFill="background1"/>
            <w:vAlign w:val="center"/>
          </w:tcPr>
          <w:p w14:paraId="07DA0746" w14:textId="6EF6139E" w:rsidR="00DA50DB" w:rsidRPr="00F27BE5" w:rsidRDefault="00DA50DB" w:rsidP="00DA50DB">
            <w:pPr>
              <w:jc w:val="center"/>
              <w:rPr>
                <w:rFonts w:ascii="Arial" w:hAnsi="Arial" w:cs="Arial"/>
                <w:i/>
                <w:iCs/>
                <w:szCs w:val="24"/>
              </w:rPr>
            </w:pPr>
          </w:p>
        </w:tc>
      </w:tr>
      <w:tr w:rsidR="00DA50DB" w14:paraId="1C235C20" w14:textId="77777777" w:rsidTr="00DA50DB">
        <w:trPr>
          <w:cantSplit/>
          <w:trHeight w:val="288"/>
        </w:trPr>
        <w:tc>
          <w:tcPr>
            <w:tcW w:w="2958" w:type="dxa"/>
            <w:vMerge w:val="restart"/>
          </w:tcPr>
          <w:p w14:paraId="3E7560B0" w14:textId="04B6A160" w:rsidR="00DA50DB" w:rsidRPr="00646DA1" w:rsidRDefault="00DA50DB" w:rsidP="00DA50DB">
            <w:pPr>
              <w:tabs>
                <w:tab w:val="left" w:pos="2985"/>
              </w:tabs>
              <w:ind w:left="288" w:hanging="288"/>
              <w:contextualSpacing/>
              <w:rPr>
                <w:rFonts w:ascii="Arial" w:eastAsia="Arial" w:hAnsi="Arial" w:cs="Arial"/>
              </w:rPr>
            </w:pPr>
            <w:r w:rsidRPr="2567E06E">
              <w:rPr>
                <w:rFonts w:ascii="Arial" w:eastAsia="Arial" w:hAnsi="Arial" w:cs="Arial"/>
                <w:sz w:val="20"/>
              </w:rPr>
              <w:t>8.</w:t>
            </w:r>
            <w:r w:rsidRPr="57BC613A">
              <w:rPr>
                <w:rFonts w:ascii="Arial" w:eastAsia="Arial" w:hAnsi="Arial" w:cs="Arial"/>
                <w:sz w:val="20"/>
              </w:rPr>
              <w:t xml:space="preserve"> </w:t>
            </w:r>
            <w:r w:rsidRPr="2567E06E">
              <w:rPr>
                <w:rFonts w:ascii="Arial" w:eastAsia="Arial" w:hAnsi="Arial" w:cs="Arial"/>
                <w:sz w:val="20"/>
              </w:rPr>
              <w:t xml:space="preserve"> Reduction in county jail length of stay for state-sentenced individuals awaiting admission to IDOC facilities.</w:t>
            </w:r>
            <w:bookmarkStart w:id="7" w:name="_Hlk17883392"/>
          </w:p>
        </w:tc>
        <w:tc>
          <w:tcPr>
            <w:tcW w:w="1031" w:type="dxa"/>
            <w:shd w:val="clear" w:color="auto" w:fill="D9D9D9" w:themeFill="background1" w:themeFillShade="D9"/>
            <w:vAlign w:val="center"/>
          </w:tcPr>
          <w:p w14:paraId="380B046C" w14:textId="77777777" w:rsidR="00DA50DB" w:rsidRPr="00C13EE6" w:rsidRDefault="00DA50DB" w:rsidP="00DA50DB">
            <w:pPr>
              <w:jc w:val="center"/>
              <w:rPr>
                <w:rFonts w:ascii="Arial" w:hAnsi="Arial" w:cs="Arial"/>
                <w:sz w:val="20"/>
              </w:rPr>
            </w:pPr>
            <w:r w:rsidRPr="00C13EE6">
              <w:rPr>
                <w:rFonts w:ascii="Arial" w:hAnsi="Arial" w:cs="Arial"/>
                <w:sz w:val="20"/>
              </w:rPr>
              <w:t>actual</w:t>
            </w:r>
          </w:p>
        </w:tc>
        <w:tc>
          <w:tcPr>
            <w:tcW w:w="1292" w:type="dxa"/>
            <w:shd w:val="clear" w:color="auto" w:fill="D9D9D9" w:themeFill="background1" w:themeFillShade="D9"/>
            <w:vAlign w:val="center"/>
          </w:tcPr>
          <w:p w14:paraId="19B57DD3" w14:textId="51A50837" w:rsidR="00DA50DB" w:rsidRPr="00C13EE6" w:rsidRDefault="00DA50DB" w:rsidP="00DA50DB">
            <w:pPr>
              <w:jc w:val="center"/>
              <w:rPr>
                <w:rFonts w:ascii="Arial" w:hAnsi="Arial" w:cs="Arial"/>
                <w:sz w:val="20"/>
              </w:rPr>
            </w:pPr>
            <w:r w:rsidRPr="5D7D3133">
              <w:rPr>
                <w:rFonts w:ascii="Arial" w:hAnsi="Arial" w:cs="Arial"/>
                <w:sz w:val="20"/>
              </w:rPr>
              <w:t>New measure</w:t>
            </w:r>
          </w:p>
        </w:tc>
        <w:tc>
          <w:tcPr>
            <w:tcW w:w="1273" w:type="dxa"/>
            <w:shd w:val="clear" w:color="auto" w:fill="D9D9D9" w:themeFill="background1" w:themeFillShade="D9"/>
            <w:vAlign w:val="center"/>
          </w:tcPr>
          <w:p w14:paraId="62A8D247" w14:textId="4338F8C7" w:rsidR="00DA50DB" w:rsidRPr="00C13EE6" w:rsidRDefault="00DA50DB" w:rsidP="00DA50DB">
            <w:pPr>
              <w:jc w:val="center"/>
              <w:rPr>
                <w:rFonts w:ascii="Arial" w:hAnsi="Arial" w:cs="Arial"/>
                <w:sz w:val="20"/>
              </w:rPr>
            </w:pPr>
            <w:r w:rsidRPr="5D7D3133">
              <w:rPr>
                <w:rFonts w:ascii="Arial" w:hAnsi="Arial" w:cs="Arial"/>
                <w:sz w:val="20"/>
              </w:rPr>
              <w:t>New measure</w:t>
            </w:r>
          </w:p>
        </w:tc>
        <w:tc>
          <w:tcPr>
            <w:tcW w:w="1264" w:type="dxa"/>
            <w:shd w:val="clear" w:color="auto" w:fill="D9D9D9" w:themeFill="background1" w:themeFillShade="D9"/>
            <w:vAlign w:val="center"/>
          </w:tcPr>
          <w:p w14:paraId="0197EAB4" w14:textId="7BACB91D" w:rsidR="00DA50DB" w:rsidRPr="00C13EE6" w:rsidRDefault="00DA50DB" w:rsidP="00DA50DB">
            <w:pPr>
              <w:jc w:val="center"/>
              <w:rPr>
                <w:rFonts w:ascii="Arial" w:hAnsi="Arial" w:cs="Arial"/>
                <w:sz w:val="20"/>
              </w:rPr>
            </w:pPr>
            <w:r w:rsidRPr="004A9D55">
              <w:rPr>
                <w:rFonts w:ascii="Arial" w:hAnsi="Arial" w:cs="Arial"/>
                <w:sz w:val="20"/>
              </w:rPr>
              <w:t>58</w:t>
            </w:r>
          </w:p>
        </w:tc>
        <w:tc>
          <w:tcPr>
            <w:tcW w:w="1233" w:type="dxa"/>
            <w:shd w:val="clear" w:color="auto" w:fill="D9D9D9" w:themeFill="background1" w:themeFillShade="D9"/>
            <w:vAlign w:val="center"/>
          </w:tcPr>
          <w:p w14:paraId="3C13A700" w14:textId="689092E6" w:rsidR="00DA50DB" w:rsidRPr="00C13EE6" w:rsidRDefault="00DA50DB" w:rsidP="00DA50DB">
            <w:pPr>
              <w:spacing w:line="259" w:lineRule="auto"/>
              <w:jc w:val="center"/>
              <w:rPr>
                <w:rFonts w:ascii="Arial" w:hAnsi="Arial" w:cs="Arial"/>
                <w:szCs w:val="24"/>
              </w:rPr>
            </w:pPr>
          </w:p>
        </w:tc>
        <w:tc>
          <w:tcPr>
            <w:tcW w:w="1029" w:type="dxa"/>
            <w:shd w:val="clear" w:color="auto" w:fill="D9D9D9" w:themeFill="background1" w:themeFillShade="D9"/>
            <w:vAlign w:val="center"/>
          </w:tcPr>
          <w:p w14:paraId="58FA79E6" w14:textId="4C7E7FBF" w:rsidR="00DA50DB" w:rsidRPr="00C13EE6" w:rsidRDefault="00DA50DB" w:rsidP="00DA50DB">
            <w:pPr>
              <w:jc w:val="center"/>
              <w:rPr>
                <w:rFonts w:ascii="Arial" w:hAnsi="Arial" w:cs="Arial"/>
                <w:i/>
                <w:sz w:val="20"/>
              </w:rPr>
            </w:pPr>
          </w:p>
        </w:tc>
      </w:tr>
      <w:tr w:rsidR="00DA50DB" w14:paraId="3444E385" w14:textId="77777777" w:rsidTr="00DA50DB">
        <w:trPr>
          <w:cantSplit/>
          <w:trHeight w:val="288"/>
        </w:trPr>
        <w:tc>
          <w:tcPr>
            <w:tcW w:w="2958" w:type="dxa"/>
            <w:vMerge/>
          </w:tcPr>
          <w:p w14:paraId="1391FCDD" w14:textId="77777777" w:rsidR="00DA50DB" w:rsidRPr="00646DA1" w:rsidRDefault="00DA50DB" w:rsidP="00DA50DB">
            <w:pPr>
              <w:pStyle w:val="ListParagraph"/>
              <w:numPr>
                <w:ilvl w:val="0"/>
                <w:numId w:val="43"/>
              </w:numPr>
              <w:tabs>
                <w:tab w:val="left" w:pos="2985"/>
              </w:tabs>
              <w:overflowPunct/>
              <w:autoSpaceDE/>
              <w:autoSpaceDN/>
              <w:adjustRightInd/>
              <w:ind w:left="342"/>
              <w:contextualSpacing/>
              <w:textAlignment w:val="auto"/>
              <w:rPr>
                <w:rFonts w:cs="Arial"/>
                <w:sz w:val="20"/>
              </w:rPr>
            </w:pPr>
          </w:p>
        </w:tc>
        <w:tc>
          <w:tcPr>
            <w:tcW w:w="1031" w:type="dxa"/>
            <w:shd w:val="clear" w:color="auto" w:fill="FFFFFF" w:themeFill="background1"/>
            <w:vAlign w:val="center"/>
          </w:tcPr>
          <w:p w14:paraId="629E5777" w14:textId="77777777" w:rsidR="00DA50DB" w:rsidRDefault="00DA50DB" w:rsidP="00DA50DB">
            <w:pPr>
              <w:jc w:val="center"/>
              <w:rPr>
                <w:rFonts w:ascii="Arial" w:hAnsi="Arial" w:cs="Arial"/>
                <w:i/>
                <w:sz w:val="16"/>
                <w:szCs w:val="16"/>
              </w:rPr>
            </w:pPr>
            <w:r>
              <w:rPr>
                <w:rFonts w:ascii="Arial" w:hAnsi="Arial" w:cs="Arial"/>
                <w:i/>
                <w:sz w:val="16"/>
                <w:szCs w:val="16"/>
              </w:rPr>
              <w:t>target</w:t>
            </w:r>
          </w:p>
        </w:tc>
        <w:tc>
          <w:tcPr>
            <w:tcW w:w="1292" w:type="dxa"/>
            <w:shd w:val="clear" w:color="auto" w:fill="FFFFFF" w:themeFill="background1"/>
            <w:vAlign w:val="center"/>
          </w:tcPr>
          <w:p w14:paraId="6F8E5E5F" w14:textId="67DE3DAA" w:rsidR="00DA50DB" w:rsidRDefault="002E1D2E" w:rsidP="00DA50DB">
            <w:pPr>
              <w:jc w:val="center"/>
              <w:rPr>
                <w:rFonts w:ascii="Arial" w:hAnsi="Arial" w:cs="Arial"/>
                <w:i/>
                <w:sz w:val="16"/>
                <w:szCs w:val="16"/>
              </w:rPr>
            </w:pPr>
            <w:r>
              <w:rPr>
                <w:rFonts w:ascii="Arial" w:hAnsi="Arial" w:cs="Arial"/>
                <w:i/>
                <w:sz w:val="16"/>
                <w:szCs w:val="16"/>
              </w:rPr>
              <w:t>--</w:t>
            </w:r>
          </w:p>
        </w:tc>
        <w:tc>
          <w:tcPr>
            <w:tcW w:w="1273" w:type="dxa"/>
            <w:shd w:val="clear" w:color="auto" w:fill="FFFFFF" w:themeFill="background1"/>
            <w:vAlign w:val="center"/>
          </w:tcPr>
          <w:p w14:paraId="43C7632A" w14:textId="4E4FEF94" w:rsidR="00DA50DB" w:rsidRDefault="002E1D2E" w:rsidP="00DA50DB">
            <w:pPr>
              <w:jc w:val="center"/>
              <w:rPr>
                <w:rFonts w:ascii="Arial" w:hAnsi="Arial" w:cs="Arial"/>
                <w:i/>
                <w:sz w:val="16"/>
                <w:szCs w:val="16"/>
              </w:rPr>
            </w:pPr>
            <w:r>
              <w:rPr>
                <w:rFonts w:ascii="Arial" w:hAnsi="Arial" w:cs="Arial"/>
                <w:i/>
                <w:sz w:val="16"/>
                <w:szCs w:val="16"/>
              </w:rPr>
              <w:t>--</w:t>
            </w:r>
          </w:p>
        </w:tc>
        <w:tc>
          <w:tcPr>
            <w:tcW w:w="1264" w:type="dxa"/>
            <w:shd w:val="clear" w:color="auto" w:fill="FFFFFF" w:themeFill="background1"/>
            <w:vAlign w:val="center"/>
          </w:tcPr>
          <w:p w14:paraId="53341773" w14:textId="2A36D7B8" w:rsidR="00DA50DB" w:rsidRDefault="00DA50DB" w:rsidP="00DA50DB">
            <w:pPr>
              <w:jc w:val="center"/>
              <w:rPr>
                <w:rFonts w:ascii="Arial" w:hAnsi="Arial" w:cs="Arial"/>
                <w:i/>
                <w:sz w:val="16"/>
                <w:szCs w:val="16"/>
              </w:rPr>
            </w:pPr>
            <w:r w:rsidRPr="004A9D55">
              <w:rPr>
                <w:rFonts w:ascii="Arial" w:hAnsi="Arial" w:cs="Arial"/>
                <w:i/>
                <w:iCs/>
                <w:sz w:val="16"/>
                <w:szCs w:val="16"/>
              </w:rPr>
              <w:t xml:space="preserve">Reduce by 2% </w:t>
            </w:r>
          </w:p>
        </w:tc>
        <w:tc>
          <w:tcPr>
            <w:tcW w:w="1233" w:type="dxa"/>
            <w:shd w:val="clear" w:color="auto" w:fill="FFFFFF" w:themeFill="background1"/>
            <w:vAlign w:val="center"/>
          </w:tcPr>
          <w:p w14:paraId="107484C6" w14:textId="14FE7255" w:rsidR="00DA50DB" w:rsidRPr="00E51672" w:rsidRDefault="00DA50DB" w:rsidP="00DA50DB">
            <w:pPr>
              <w:jc w:val="center"/>
              <w:rPr>
                <w:rFonts w:ascii="Arial" w:hAnsi="Arial" w:cs="Arial"/>
                <w:i/>
                <w:sz w:val="16"/>
                <w:szCs w:val="16"/>
              </w:rPr>
            </w:pPr>
            <w:r w:rsidRPr="004A9D55">
              <w:rPr>
                <w:rFonts w:ascii="Arial" w:hAnsi="Arial" w:cs="Arial"/>
                <w:i/>
                <w:iCs/>
                <w:sz w:val="16"/>
                <w:szCs w:val="16"/>
              </w:rPr>
              <w:t>56.8</w:t>
            </w:r>
          </w:p>
        </w:tc>
        <w:tc>
          <w:tcPr>
            <w:tcW w:w="1029" w:type="dxa"/>
            <w:shd w:val="clear" w:color="auto" w:fill="FFFFFF" w:themeFill="background1"/>
            <w:vAlign w:val="center"/>
          </w:tcPr>
          <w:p w14:paraId="61166C48" w14:textId="449B0A35" w:rsidR="00DA50DB" w:rsidRPr="00E51672" w:rsidRDefault="00DA50DB" w:rsidP="00DA50DB">
            <w:pPr>
              <w:jc w:val="center"/>
              <w:rPr>
                <w:rFonts w:ascii="Arial" w:hAnsi="Arial" w:cs="Arial"/>
                <w:i/>
                <w:sz w:val="16"/>
                <w:szCs w:val="16"/>
              </w:rPr>
            </w:pPr>
          </w:p>
        </w:tc>
      </w:tr>
      <w:tr w:rsidR="00DA50DB" w14:paraId="40FA06F9" w14:textId="77777777" w:rsidTr="00DA50DB">
        <w:trPr>
          <w:cantSplit/>
          <w:trHeight w:val="288"/>
        </w:trPr>
        <w:tc>
          <w:tcPr>
            <w:tcW w:w="2958" w:type="dxa"/>
            <w:vMerge w:val="restart"/>
          </w:tcPr>
          <w:p w14:paraId="22E0FE83" w14:textId="0B5281DC" w:rsidR="00DA50DB" w:rsidRDefault="00DA50DB" w:rsidP="00DA50DB">
            <w:pPr>
              <w:tabs>
                <w:tab w:val="left" w:pos="2985"/>
              </w:tabs>
              <w:ind w:left="288" w:hanging="288"/>
              <w:rPr>
                <w:rFonts w:ascii="Arial" w:eastAsia="Arial" w:hAnsi="Arial" w:cs="Arial"/>
              </w:rPr>
            </w:pPr>
            <w:r w:rsidRPr="2567E06E">
              <w:rPr>
                <w:rFonts w:ascii="Arial" w:eastAsia="Arial" w:hAnsi="Arial" w:cs="Arial"/>
                <w:sz w:val="20"/>
              </w:rPr>
              <w:t>9.</w:t>
            </w:r>
            <w:r w:rsidRPr="57BC613A">
              <w:rPr>
                <w:rFonts w:ascii="Arial" w:eastAsia="Arial" w:hAnsi="Arial" w:cs="Arial"/>
                <w:sz w:val="20"/>
              </w:rPr>
              <w:t xml:space="preserve"> </w:t>
            </w:r>
            <w:r w:rsidRPr="2567E06E">
              <w:rPr>
                <w:rFonts w:ascii="Arial" w:eastAsia="Arial" w:hAnsi="Arial" w:cs="Arial"/>
                <w:sz w:val="20"/>
              </w:rPr>
              <w:t xml:space="preserve"> Increase the number of performance-based incentive payments earned by vendors.</w:t>
            </w:r>
          </w:p>
          <w:p w14:paraId="1797F931" w14:textId="4B5962ED" w:rsidR="00DA50DB" w:rsidRDefault="00DA50DB" w:rsidP="00DA50DB">
            <w:pPr>
              <w:rPr>
                <w:rFonts w:ascii="Arial" w:eastAsia="Arial" w:hAnsi="Arial" w:cs="Arial"/>
                <w:szCs w:val="24"/>
              </w:rPr>
            </w:pPr>
          </w:p>
        </w:tc>
        <w:tc>
          <w:tcPr>
            <w:tcW w:w="1031" w:type="dxa"/>
            <w:shd w:val="clear" w:color="auto" w:fill="D9D9D9" w:themeFill="background1" w:themeFillShade="D9"/>
            <w:vAlign w:val="center"/>
          </w:tcPr>
          <w:p w14:paraId="7BF8CA2A" w14:textId="0A64405B" w:rsidR="00DA50DB" w:rsidRDefault="00DA50DB" w:rsidP="00DA50DB">
            <w:pPr>
              <w:jc w:val="center"/>
              <w:rPr>
                <w:rFonts w:ascii="Arial" w:hAnsi="Arial" w:cs="Arial"/>
                <w:sz w:val="20"/>
              </w:rPr>
            </w:pPr>
            <w:r w:rsidRPr="2567E06E">
              <w:rPr>
                <w:rFonts w:ascii="Arial" w:hAnsi="Arial" w:cs="Arial"/>
                <w:sz w:val="20"/>
              </w:rPr>
              <w:t>actual</w:t>
            </w:r>
          </w:p>
        </w:tc>
        <w:tc>
          <w:tcPr>
            <w:tcW w:w="1292" w:type="dxa"/>
            <w:shd w:val="clear" w:color="auto" w:fill="D9D9D9" w:themeFill="background1" w:themeFillShade="D9"/>
            <w:vAlign w:val="center"/>
          </w:tcPr>
          <w:p w14:paraId="2334875D" w14:textId="0074DB1C" w:rsidR="00DA50DB" w:rsidRDefault="00DA50DB" w:rsidP="00DA50DB">
            <w:pPr>
              <w:jc w:val="center"/>
              <w:rPr>
                <w:rFonts w:ascii="Arial" w:hAnsi="Arial" w:cs="Arial"/>
                <w:sz w:val="20"/>
              </w:rPr>
            </w:pPr>
            <w:r w:rsidRPr="5D7D3133">
              <w:rPr>
                <w:rFonts w:ascii="Arial" w:hAnsi="Arial" w:cs="Arial"/>
                <w:sz w:val="20"/>
              </w:rPr>
              <w:t>New measure</w:t>
            </w:r>
          </w:p>
        </w:tc>
        <w:tc>
          <w:tcPr>
            <w:tcW w:w="1273" w:type="dxa"/>
            <w:shd w:val="clear" w:color="auto" w:fill="D9D9D9" w:themeFill="background1" w:themeFillShade="D9"/>
            <w:vAlign w:val="center"/>
          </w:tcPr>
          <w:p w14:paraId="57B8AF00" w14:textId="1E066571" w:rsidR="00DA50DB" w:rsidRDefault="00DA50DB" w:rsidP="00DA50DB">
            <w:pPr>
              <w:jc w:val="center"/>
              <w:rPr>
                <w:rFonts w:ascii="Arial" w:hAnsi="Arial" w:cs="Arial"/>
                <w:sz w:val="20"/>
              </w:rPr>
            </w:pPr>
            <w:r w:rsidRPr="5D7D3133">
              <w:rPr>
                <w:rFonts w:ascii="Arial" w:hAnsi="Arial" w:cs="Arial"/>
                <w:sz w:val="20"/>
              </w:rPr>
              <w:t>New measure</w:t>
            </w:r>
          </w:p>
        </w:tc>
        <w:tc>
          <w:tcPr>
            <w:tcW w:w="1264" w:type="dxa"/>
            <w:shd w:val="clear" w:color="auto" w:fill="D9D9D9" w:themeFill="background1" w:themeFillShade="D9"/>
            <w:vAlign w:val="center"/>
          </w:tcPr>
          <w:p w14:paraId="72D6CE86" w14:textId="766E503A" w:rsidR="00DA50DB" w:rsidRDefault="00DA50DB" w:rsidP="00DA50DB">
            <w:pPr>
              <w:jc w:val="center"/>
              <w:rPr>
                <w:rFonts w:ascii="Arial" w:hAnsi="Arial" w:cs="Arial"/>
                <w:sz w:val="20"/>
              </w:rPr>
            </w:pPr>
            <w:r w:rsidRPr="5D7D3133">
              <w:rPr>
                <w:rFonts w:ascii="Arial" w:hAnsi="Arial" w:cs="Arial"/>
                <w:sz w:val="20"/>
              </w:rPr>
              <w:t>$0</w:t>
            </w:r>
          </w:p>
        </w:tc>
        <w:tc>
          <w:tcPr>
            <w:tcW w:w="1233" w:type="dxa"/>
            <w:shd w:val="clear" w:color="auto" w:fill="D9D9D9" w:themeFill="background1" w:themeFillShade="D9"/>
            <w:vAlign w:val="center"/>
          </w:tcPr>
          <w:p w14:paraId="697D2E81" w14:textId="0D6076AC" w:rsidR="00DA50DB" w:rsidRDefault="00DA50DB" w:rsidP="00DA50DB">
            <w:pPr>
              <w:jc w:val="center"/>
              <w:rPr>
                <w:rFonts w:ascii="Arial" w:hAnsi="Arial" w:cs="Arial"/>
                <w:sz w:val="20"/>
              </w:rPr>
            </w:pPr>
          </w:p>
        </w:tc>
        <w:tc>
          <w:tcPr>
            <w:tcW w:w="1029" w:type="dxa"/>
            <w:shd w:val="clear" w:color="auto" w:fill="D9D9D9" w:themeFill="background1" w:themeFillShade="D9"/>
            <w:vAlign w:val="center"/>
          </w:tcPr>
          <w:p w14:paraId="60CC4700" w14:textId="5335F3DF" w:rsidR="00DA50DB" w:rsidRDefault="00DA50DB" w:rsidP="00DA50DB">
            <w:pPr>
              <w:jc w:val="center"/>
              <w:rPr>
                <w:rFonts w:ascii="Arial" w:hAnsi="Arial" w:cs="Arial"/>
                <w:i/>
              </w:rPr>
            </w:pPr>
          </w:p>
        </w:tc>
      </w:tr>
      <w:tr w:rsidR="00DA50DB" w14:paraId="4F4AC101" w14:textId="77777777" w:rsidTr="00DA50DB">
        <w:trPr>
          <w:cantSplit/>
          <w:trHeight w:val="288"/>
        </w:trPr>
        <w:tc>
          <w:tcPr>
            <w:tcW w:w="2958" w:type="dxa"/>
            <w:vMerge/>
          </w:tcPr>
          <w:p w14:paraId="241759A3" w14:textId="77777777" w:rsidR="00DA50DB" w:rsidRDefault="00DA50DB" w:rsidP="00DA50DB"/>
        </w:tc>
        <w:tc>
          <w:tcPr>
            <w:tcW w:w="1031" w:type="dxa"/>
            <w:shd w:val="clear" w:color="auto" w:fill="FFFFFF" w:themeFill="background1"/>
            <w:vAlign w:val="center"/>
          </w:tcPr>
          <w:p w14:paraId="39C806C8" w14:textId="3E9C8A62" w:rsidR="00DA50DB" w:rsidRDefault="00DA50DB" w:rsidP="00DA50DB">
            <w:pPr>
              <w:jc w:val="center"/>
              <w:rPr>
                <w:rFonts w:ascii="Arial" w:hAnsi="Arial" w:cs="Arial"/>
                <w:i/>
                <w:iCs/>
                <w:sz w:val="16"/>
                <w:szCs w:val="16"/>
              </w:rPr>
            </w:pPr>
            <w:r w:rsidRPr="2567E06E">
              <w:rPr>
                <w:rFonts w:ascii="Arial" w:hAnsi="Arial" w:cs="Arial"/>
                <w:i/>
                <w:iCs/>
                <w:sz w:val="16"/>
                <w:szCs w:val="16"/>
              </w:rPr>
              <w:t>target</w:t>
            </w:r>
          </w:p>
        </w:tc>
        <w:tc>
          <w:tcPr>
            <w:tcW w:w="1292" w:type="dxa"/>
            <w:shd w:val="clear" w:color="auto" w:fill="FFFFFF" w:themeFill="background1"/>
            <w:vAlign w:val="center"/>
          </w:tcPr>
          <w:p w14:paraId="187C0BD1" w14:textId="7B1D3DFA" w:rsidR="00DA50DB" w:rsidRDefault="002E1D2E" w:rsidP="00DA50DB">
            <w:pPr>
              <w:jc w:val="center"/>
              <w:rPr>
                <w:rFonts w:ascii="Arial" w:hAnsi="Arial" w:cs="Arial"/>
                <w:sz w:val="20"/>
              </w:rPr>
            </w:pPr>
            <w:r>
              <w:rPr>
                <w:rFonts w:ascii="Arial" w:hAnsi="Arial" w:cs="Arial"/>
                <w:sz w:val="20"/>
              </w:rPr>
              <w:t>--</w:t>
            </w:r>
          </w:p>
        </w:tc>
        <w:tc>
          <w:tcPr>
            <w:tcW w:w="1273" w:type="dxa"/>
            <w:shd w:val="clear" w:color="auto" w:fill="FFFFFF" w:themeFill="background1"/>
            <w:vAlign w:val="center"/>
          </w:tcPr>
          <w:p w14:paraId="4A23526A" w14:textId="3CFF5872" w:rsidR="00DA50DB" w:rsidRDefault="002E1D2E" w:rsidP="00DA50DB">
            <w:pPr>
              <w:jc w:val="center"/>
              <w:rPr>
                <w:rFonts w:ascii="Arial" w:hAnsi="Arial" w:cs="Arial"/>
                <w:sz w:val="20"/>
              </w:rPr>
            </w:pPr>
            <w:r>
              <w:rPr>
                <w:rFonts w:ascii="Arial" w:hAnsi="Arial" w:cs="Arial"/>
                <w:sz w:val="20"/>
              </w:rPr>
              <w:t>--</w:t>
            </w:r>
          </w:p>
        </w:tc>
        <w:tc>
          <w:tcPr>
            <w:tcW w:w="1264" w:type="dxa"/>
            <w:shd w:val="clear" w:color="auto" w:fill="FFFFFF" w:themeFill="background1"/>
            <w:vAlign w:val="center"/>
          </w:tcPr>
          <w:p w14:paraId="444E3731" w14:textId="4876D5DE" w:rsidR="00DA50DB" w:rsidRDefault="00DA50DB" w:rsidP="00DA50DB">
            <w:pPr>
              <w:jc w:val="center"/>
              <w:rPr>
                <w:rFonts w:ascii="Arial" w:hAnsi="Arial" w:cs="Arial"/>
                <w:sz w:val="20"/>
              </w:rPr>
            </w:pPr>
            <w:r w:rsidRPr="57BC613A">
              <w:rPr>
                <w:rFonts w:ascii="Arial" w:hAnsi="Arial" w:cs="Arial"/>
                <w:sz w:val="16"/>
                <w:szCs w:val="16"/>
              </w:rPr>
              <w:t>Target</w:t>
            </w:r>
            <w:r w:rsidRPr="5D7D3133">
              <w:rPr>
                <w:rFonts w:ascii="Arial" w:hAnsi="Arial" w:cs="Arial"/>
                <w:sz w:val="16"/>
                <w:szCs w:val="16"/>
              </w:rPr>
              <w:t xml:space="preserve"> in development</w:t>
            </w:r>
          </w:p>
        </w:tc>
        <w:tc>
          <w:tcPr>
            <w:tcW w:w="1233" w:type="dxa"/>
            <w:shd w:val="clear" w:color="auto" w:fill="FFFFFF" w:themeFill="background1"/>
            <w:vAlign w:val="center"/>
          </w:tcPr>
          <w:p w14:paraId="2B18535B" w14:textId="11F77A79" w:rsidR="00DA50DB" w:rsidRDefault="00DA50DB" w:rsidP="00DA50DB">
            <w:pPr>
              <w:jc w:val="center"/>
              <w:rPr>
                <w:rFonts w:ascii="Arial" w:hAnsi="Arial" w:cs="Arial"/>
                <w:sz w:val="16"/>
                <w:szCs w:val="16"/>
              </w:rPr>
            </w:pPr>
            <w:r w:rsidRPr="5D7D3133">
              <w:rPr>
                <w:rFonts w:ascii="Arial" w:hAnsi="Arial" w:cs="Arial"/>
                <w:i/>
                <w:iCs/>
                <w:sz w:val="16"/>
                <w:szCs w:val="16"/>
              </w:rPr>
              <w:t>&gt;$0</w:t>
            </w:r>
          </w:p>
        </w:tc>
        <w:tc>
          <w:tcPr>
            <w:tcW w:w="1029" w:type="dxa"/>
            <w:shd w:val="clear" w:color="auto" w:fill="FFFFFF" w:themeFill="background1"/>
            <w:vAlign w:val="center"/>
          </w:tcPr>
          <w:p w14:paraId="78558F7C" w14:textId="2444F100" w:rsidR="00DA50DB" w:rsidRDefault="00DA50DB" w:rsidP="00DA50DB">
            <w:pPr>
              <w:jc w:val="center"/>
              <w:rPr>
                <w:rFonts w:ascii="Arial" w:hAnsi="Arial" w:cs="Arial"/>
                <w:i/>
                <w:sz w:val="16"/>
                <w:szCs w:val="16"/>
              </w:rPr>
            </w:pPr>
          </w:p>
        </w:tc>
      </w:tr>
      <w:tr w:rsidR="00DA50DB" w14:paraId="4568C41E" w14:textId="77777777" w:rsidTr="00DA50DB">
        <w:trPr>
          <w:cantSplit/>
          <w:trHeight w:val="288"/>
        </w:trPr>
        <w:tc>
          <w:tcPr>
            <w:tcW w:w="2958" w:type="dxa"/>
            <w:vMerge w:val="restart"/>
          </w:tcPr>
          <w:p w14:paraId="57BAE45E" w14:textId="275AF084" w:rsidR="00DA50DB" w:rsidRDefault="00DA50DB" w:rsidP="00DA50DB">
            <w:pPr>
              <w:tabs>
                <w:tab w:val="left" w:pos="2985"/>
              </w:tabs>
              <w:ind w:left="432" w:hanging="432"/>
              <w:rPr>
                <w:rFonts w:ascii="Arial" w:eastAsia="Arial" w:hAnsi="Arial" w:cs="Arial"/>
              </w:rPr>
            </w:pPr>
            <w:r w:rsidRPr="2567E06E">
              <w:rPr>
                <w:rFonts w:ascii="Arial" w:eastAsia="Arial" w:hAnsi="Arial" w:cs="Arial"/>
                <w:sz w:val="20"/>
              </w:rPr>
              <w:t>10.</w:t>
            </w:r>
            <w:r w:rsidRPr="57BC613A">
              <w:rPr>
                <w:rFonts w:ascii="Arial" w:eastAsia="Arial" w:hAnsi="Arial" w:cs="Arial"/>
                <w:sz w:val="20"/>
              </w:rPr>
              <w:t xml:space="preserve"> </w:t>
            </w:r>
            <w:r>
              <w:rPr>
                <w:rFonts w:ascii="Arial" w:eastAsia="Arial" w:hAnsi="Arial" w:cs="Arial"/>
                <w:sz w:val="20"/>
              </w:rPr>
              <w:t xml:space="preserve"> </w:t>
            </w:r>
            <w:r w:rsidRPr="2567E06E">
              <w:rPr>
                <w:rFonts w:ascii="Arial" w:eastAsia="Arial" w:hAnsi="Arial" w:cs="Arial"/>
                <w:sz w:val="20"/>
              </w:rPr>
              <w:t>Reduce the number of public records requests coming to IDOC as a result of information being more readily available to the public.</w:t>
            </w:r>
          </w:p>
          <w:p w14:paraId="28D4BF9C" w14:textId="6D19FB72" w:rsidR="00DA50DB" w:rsidRDefault="00DA50DB" w:rsidP="00DA50DB">
            <w:pPr>
              <w:rPr>
                <w:rFonts w:ascii="Arial" w:eastAsia="Arial" w:hAnsi="Arial" w:cs="Arial"/>
                <w:szCs w:val="24"/>
              </w:rPr>
            </w:pPr>
          </w:p>
        </w:tc>
        <w:tc>
          <w:tcPr>
            <w:tcW w:w="1031" w:type="dxa"/>
            <w:shd w:val="clear" w:color="auto" w:fill="D9D9D9" w:themeFill="background1" w:themeFillShade="D9"/>
            <w:vAlign w:val="center"/>
          </w:tcPr>
          <w:p w14:paraId="444FA36B" w14:textId="1B556FA9" w:rsidR="00DA50DB" w:rsidRDefault="00DA50DB" w:rsidP="00DA50DB">
            <w:pPr>
              <w:jc w:val="center"/>
              <w:rPr>
                <w:rFonts w:ascii="Arial" w:hAnsi="Arial" w:cs="Arial"/>
                <w:sz w:val="20"/>
              </w:rPr>
            </w:pPr>
            <w:r w:rsidRPr="2567E06E">
              <w:rPr>
                <w:rFonts w:ascii="Arial" w:hAnsi="Arial" w:cs="Arial"/>
                <w:sz w:val="20"/>
              </w:rPr>
              <w:t>actual</w:t>
            </w:r>
          </w:p>
        </w:tc>
        <w:tc>
          <w:tcPr>
            <w:tcW w:w="1292" w:type="dxa"/>
            <w:shd w:val="clear" w:color="auto" w:fill="D9D9D9" w:themeFill="background1" w:themeFillShade="D9"/>
            <w:vAlign w:val="center"/>
          </w:tcPr>
          <w:p w14:paraId="55CA5720" w14:textId="5E222436" w:rsidR="00DA50DB" w:rsidRDefault="00DA50DB" w:rsidP="00DA50DB">
            <w:pPr>
              <w:jc w:val="center"/>
              <w:rPr>
                <w:rFonts w:ascii="Arial" w:hAnsi="Arial" w:cs="Arial"/>
                <w:sz w:val="20"/>
              </w:rPr>
            </w:pPr>
            <w:r w:rsidRPr="332B5044">
              <w:rPr>
                <w:rFonts w:ascii="Arial" w:hAnsi="Arial" w:cs="Arial"/>
                <w:sz w:val="20"/>
              </w:rPr>
              <w:t>New measure</w:t>
            </w:r>
          </w:p>
        </w:tc>
        <w:tc>
          <w:tcPr>
            <w:tcW w:w="1273" w:type="dxa"/>
            <w:shd w:val="clear" w:color="auto" w:fill="D9D9D9" w:themeFill="background1" w:themeFillShade="D9"/>
            <w:vAlign w:val="center"/>
          </w:tcPr>
          <w:p w14:paraId="2FB894C8" w14:textId="5ED4048E" w:rsidR="00DA50DB" w:rsidRDefault="00DA50DB" w:rsidP="00DA50DB">
            <w:pPr>
              <w:jc w:val="center"/>
              <w:rPr>
                <w:rFonts w:ascii="Arial" w:hAnsi="Arial" w:cs="Arial"/>
                <w:sz w:val="20"/>
              </w:rPr>
            </w:pPr>
            <w:r w:rsidRPr="332B5044">
              <w:rPr>
                <w:rFonts w:ascii="Arial" w:hAnsi="Arial" w:cs="Arial"/>
                <w:sz w:val="20"/>
              </w:rPr>
              <w:t>New measure</w:t>
            </w:r>
          </w:p>
        </w:tc>
        <w:tc>
          <w:tcPr>
            <w:tcW w:w="1264" w:type="dxa"/>
            <w:shd w:val="clear" w:color="auto" w:fill="D9D9D9" w:themeFill="background1" w:themeFillShade="D9"/>
            <w:vAlign w:val="center"/>
          </w:tcPr>
          <w:p w14:paraId="696A5892" w14:textId="06BFACBB" w:rsidR="00DA50DB" w:rsidRDefault="00DA50DB" w:rsidP="00DA50DB">
            <w:pPr>
              <w:jc w:val="center"/>
              <w:rPr>
                <w:rFonts w:ascii="Arial" w:hAnsi="Arial" w:cs="Arial"/>
                <w:sz w:val="20"/>
              </w:rPr>
            </w:pPr>
            <w:r w:rsidRPr="332B5044">
              <w:rPr>
                <w:rFonts w:ascii="Arial" w:hAnsi="Arial" w:cs="Arial"/>
                <w:sz w:val="20"/>
              </w:rPr>
              <w:t>818</w:t>
            </w:r>
          </w:p>
        </w:tc>
        <w:tc>
          <w:tcPr>
            <w:tcW w:w="1233" w:type="dxa"/>
            <w:shd w:val="clear" w:color="auto" w:fill="D9D9D9" w:themeFill="background1" w:themeFillShade="D9"/>
            <w:vAlign w:val="center"/>
          </w:tcPr>
          <w:p w14:paraId="6773A5F1" w14:textId="6F6F7060" w:rsidR="00DA50DB" w:rsidRDefault="00DA50DB" w:rsidP="00CE4D63">
            <w:pPr>
              <w:rPr>
                <w:rFonts w:ascii="Arial" w:hAnsi="Arial" w:cs="Arial"/>
                <w:sz w:val="20"/>
              </w:rPr>
            </w:pPr>
          </w:p>
        </w:tc>
        <w:tc>
          <w:tcPr>
            <w:tcW w:w="1029" w:type="dxa"/>
            <w:shd w:val="clear" w:color="auto" w:fill="D9D9D9" w:themeFill="background1" w:themeFillShade="D9"/>
            <w:vAlign w:val="center"/>
          </w:tcPr>
          <w:p w14:paraId="33AB0D5C" w14:textId="009B9727" w:rsidR="00DA50DB" w:rsidRDefault="00DA50DB" w:rsidP="00DA50DB">
            <w:pPr>
              <w:jc w:val="center"/>
              <w:rPr>
                <w:rFonts w:ascii="Arial" w:hAnsi="Arial" w:cs="Arial"/>
                <w:i/>
              </w:rPr>
            </w:pPr>
          </w:p>
        </w:tc>
      </w:tr>
      <w:tr w:rsidR="00DA50DB" w14:paraId="204C6C8E" w14:textId="77777777" w:rsidTr="00DA50DB">
        <w:trPr>
          <w:cantSplit/>
          <w:trHeight w:val="288"/>
        </w:trPr>
        <w:tc>
          <w:tcPr>
            <w:tcW w:w="2958" w:type="dxa"/>
            <w:vMerge/>
          </w:tcPr>
          <w:p w14:paraId="0997CAD9" w14:textId="77777777" w:rsidR="00DA50DB" w:rsidRDefault="00DA50DB" w:rsidP="00DA50DB"/>
        </w:tc>
        <w:tc>
          <w:tcPr>
            <w:tcW w:w="1031" w:type="dxa"/>
            <w:shd w:val="clear" w:color="auto" w:fill="FFFFFF" w:themeFill="background1"/>
            <w:vAlign w:val="center"/>
          </w:tcPr>
          <w:p w14:paraId="47FA8D22" w14:textId="5A9EA886" w:rsidR="00DA50DB" w:rsidRDefault="00DA50DB" w:rsidP="00DA50DB">
            <w:pPr>
              <w:jc w:val="center"/>
              <w:rPr>
                <w:rFonts w:ascii="Arial" w:hAnsi="Arial" w:cs="Arial"/>
                <w:i/>
                <w:iCs/>
                <w:sz w:val="16"/>
                <w:szCs w:val="16"/>
              </w:rPr>
            </w:pPr>
            <w:r w:rsidRPr="2567E06E">
              <w:rPr>
                <w:rFonts w:ascii="Arial" w:hAnsi="Arial" w:cs="Arial"/>
                <w:i/>
                <w:iCs/>
                <w:sz w:val="16"/>
                <w:szCs w:val="16"/>
              </w:rPr>
              <w:t>target</w:t>
            </w:r>
          </w:p>
        </w:tc>
        <w:tc>
          <w:tcPr>
            <w:tcW w:w="1292" w:type="dxa"/>
            <w:shd w:val="clear" w:color="auto" w:fill="FFFFFF" w:themeFill="background1"/>
            <w:vAlign w:val="center"/>
          </w:tcPr>
          <w:p w14:paraId="1EA40596" w14:textId="749734CB" w:rsidR="00DA50DB" w:rsidRDefault="002E1D2E" w:rsidP="00DA50DB">
            <w:pPr>
              <w:jc w:val="center"/>
              <w:rPr>
                <w:rFonts w:ascii="Arial" w:hAnsi="Arial" w:cs="Arial"/>
                <w:i/>
                <w:sz w:val="16"/>
                <w:szCs w:val="16"/>
              </w:rPr>
            </w:pPr>
            <w:r>
              <w:rPr>
                <w:rFonts w:ascii="Arial" w:hAnsi="Arial" w:cs="Arial"/>
                <w:i/>
                <w:sz w:val="16"/>
                <w:szCs w:val="16"/>
              </w:rPr>
              <w:t>--</w:t>
            </w:r>
          </w:p>
        </w:tc>
        <w:tc>
          <w:tcPr>
            <w:tcW w:w="1273" w:type="dxa"/>
            <w:shd w:val="clear" w:color="auto" w:fill="FFFFFF" w:themeFill="background1"/>
            <w:vAlign w:val="center"/>
          </w:tcPr>
          <w:p w14:paraId="501B750E" w14:textId="64034E4D" w:rsidR="00DA50DB" w:rsidRDefault="002E1D2E" w:rsidP="00DA50DB">
            <w:pPr>
              <w:jc w:val="center"/>
              <w:rPr>
                <w:rFonts w:ascii="Arial" w:hAnsi="Arial" w:cs="Arial"/>
                <w:i/>
                <w:sz w:val="16"/>
                <w:szCs w:val="16"/>
              </w:rPr>
            </w:pPr>
            <w:r>
              <w:rPr>
                <w:rFonts w:ascii="Arial" w:hAnsi="Arial" w:cs="Arial"/>
                <w:i/>
                <w:sz w:val="16"/>
                <w:szCs w:val="16"/>
              </w:rPr>
              <w:t>--</w:t>
            </w:r>
          </w:p>
        </w:tc>
        <w:tc>
          <w:tcPr>
            <w:tcW w:w="1264" w:type="dxa"/>
            <w:shd w:val="clear" w:color="auto" w:fill="FFFFFF" w:themeFill="background1"/>
            <w:vAlign w:val="center"/>
          </w:tcPr>
          <w:p w14:paraId="3C511E57" w14:textId="286FFC74" w:rsidR="00DA50DB" w:rsidRDefault="00DA50DB" w:rsidP="00DA50DB">
            <w:pPr>
              <w:jc w:val="center"/>
              <w:rPr>
                <w:rFonts w:ascii="Arial" w:hAnsi="Arial" w:cs="Arial"/>
                <w:i/>
                <w:sz w:val="16"/>
                <w:szCs w:val="16"/>
              </w:rPr>
            </w:pPr>
            <w:r w:rsidRPr="5D7D3133">
              <w:rPr>
                <w:rFonts w:ascii="Arial" w:hAnsi="Arial" w:cs="Arial"/>
                <w:i/>
                <w:iCs/>
                <w:sz w:val="16"/>
                <w:szCs w:val="16"/>
              </w:rPr>
              <w:t>Target in development</w:t>
            </w:r>
          </w:p>
        </w:tc>
        <w:tc>
          <w:tcPr>
            <w:tcW w:w="1233" w:type="dxa"/>
            <w:shd w:val="clear" w:color="auto" w:fill="FFFFFF" w:themeFill="background1"/>
            <w:vAlign w:val="center"/>
          </w:tcPr>
          <w:p w14:paraId="534BFA90" w14:textId="6B34BDCA" w:rsidR="00DA50DB" w:rsidRDefault="00DA50DB" w:rsidP="00DA50DB">
            <w:pPr>
              <w:jc w:val="center"/>
              <w:rPr>
                <w:rFonts w:ascii="Arial" w:hAnsi="Arial" w:cs="Arial"/>
                <w:i/>
                <w:sz w:val="16"/>
                <w:szCs w:val="16"/>
              </w:rPr>
            </w:pPr>
            <w:r w:rsidRPr="5D7D3133">
              <w:rPr>
                <w:rFonts w:ascii="Arial" w:hAnsi="Arial" w:cs="Arial"/>
                <w:i/>
                <w:iCs/>
                <w:sz w:val="16"/>
                <w:szCs w:val="16"/>
              </w:rPr>
              <w:t>774</w:t>
            </w:r>
          </w:p>
        </w:tc>
        <w:tc>
          <w:tcPr>
            <w:tcW w:w="1029" w:type="dxa"/>
            <w:shd w:val="clear" w:color="auto" w:fill="FFFFFF" w:themeFill="background1"/>
            <w:vAlign w:val="center"/>
          </w:tcPr>
          <w:p w14:paraId="5D9AC836" w14:textId="30E7A9FA" w:rsidR="00DA50DB" w:rsidRDefault="00DA50DB" w:rsidP="00DA50DB">
            <w:pPr>
              <w:jc w:val="center"/>
              <w:rPr>
                <w:rFonts w:ascii="Arial" w:hAnsi="Arial" w:cs="Arial"/>
                <w:i/>
                <w:sz w:val="16"/>
                <w:szCs w:val="16"/>
              </w:rPr>
            </w:pPr>
          </w:p>
        </w:tc>
      </w:tr>
      <w:bookmarkEnd w:id="7"/>
    </w:tbl>
    <w:p w14:paraId="51D9253B" w14:textId="77777777" w:rsidR="00726F9F" w:rsidRDefault="00726F9F">
      <w:pPr>
        <w:rPr>
          <w:rFonts w:ascii="Arial" w:hAnsi="Arial"/>
          <w:b/>
          <w:szCs w:val="24"/>
        </w:rPr>
      </w:pPr>
    </w:p>
    <w:p w14:paraId="12761FF4" w14:textId="4E0F1FCB" w:rsidR="00D42E27" w:rsidRPr="00D42E27" w:rsidRDefault="00FD0DFF" w:rsidP="00D42E27">
      <w:pPr>
        <w:jc w:val="both"/>
        <w:rPr>
          <w:rFonts w:ascii="Arial" w:hAnsi="Arial" w:cs="Arial"/>
          <w:b/>
          <w:bCs/>
          <w:i/>
        </w:rPr>
      </w:pPr>
      <w:r w:rsidRPr="00BE41B3">
        <w:rPr>
          <w:rFonts w:ascii="Arial" w:hAnsi="Arial" w:cs="Arial"/>
          <w:b/>
          <w:bCs/>
        </w:rPr>
        <w:t>Performance Measure Explanatory Note</w:t>
      </w:r>
      <w:r>
        <w:rPr>
          <w:rFonts w:ascii="Arial" w:hAnsi="Arial" w:cs="Arial"/>
          <w:b/>
          <w:bCs/>
        </w:rPr>
        <w:t>s</w:t>
      </w:r>
    </w:p>
    <w:p w14:paraId="4962C754" w14:textId="5C14A33A" w:rsidR="00E96B64" w:rsidRPr="00D44808" w:rsidRDefault="5C5F619D" w:rsidP="5D7D3133">
      <w:pPr>
        <w:jc w:val="both"/>
        <w:rPr>
          <w:rFonts w:ascii="Arial" w:hAnsi="Arial" w:cs="Arial"/>
          <w:b/>
          <w:bCs/>
          <w:sz w:val="20"/>
        </w:rPr>
      </w:pPr>
      <w:r w:rsidRPr="5D7D3133">
        <w:rPr>
          <w:rFonts w:ascii="Arial" w:hAnsi="Arial" w:cs="Arial"/>
          <w:b/>
          <w:bCs/>
          <w:sz w:val="20"/>
        </w:rPr>
        <w:t xml:space="preserve">Measure 1: </w:t>
      </w:r>
      <w:r w:rsidR="468B5809" w:rsidRPr="5D7D3133">
        <w:rPr>
          <w:rFonts w:ascii="Arial" w:hAnsi="Arial" w:cs="Arial"/>
          <w:b/>
          <w:bCs/>
          <w:sz w:val="20"/>
        </w:rPr>
        <w:t>Percentage of probationers, parolees, and full-term releases from priso</w:t>
      </w:r>
      <w:r w:rsidR="00993DF6">
        <w:rPr>
          <w:rFonts w:ascii="Arial" w:hAnsi="Arial" w:cs="Arial"/>
          <w:b/>
          <w:bCs/>
          <w:sz w:val="20"/>
        </w:rPr>
        <w:t>n</w:t>
      </w:r>
      <w:r w:rsidR="468B5809" w:rsidRPr="5D7D3133">
        <w:rPr>
          <w:rFonts w:ascii="Arial" w:hAnsi="Arial" w:cs="Arial"/>
          <w:b/>
          <w:bCs/>
          <w:sz w:val="20"/>
        </w:rPr>
        <w:t xml:space="preserve"> who are successful at three years</w:t>
      </w:r>
    </w:p>
    <w:p w14:paraId="2E1105EB" w14:textId="7B7EF0EA" w:rsidR="18984067" w:rsidRDefault="18984067" w:rsidP="004A9D55">
      <w:pPr>
        <w:spacing w:line="259" w:lineRule="auto"/>
        <w:jc w:val="both"/>
        <w:rPr>
          <w:rFonts w:ascii="Arial" w:hAnsi="Arial" w:cs="Arial"/>
          <w:sz w:val="20"/>
        </w:rPr>
      </w:pPr>
      <w:r w:rsidRPr="004A9D55">
        <w:rPr>
          <w:rFonts w:ascii="Arial" w:hAnsi="Arial" w:cs="Arial"/>
          <w:sz w:val="20"/>
        </w:rPr>
        <w:t xml:space="preserve">The goal has been set to </w:t>
      </w:r>
      <w:r w:rsidR="002D3C7A">
        <w:rPr>
          <w:rFonts w:ascii="Arial" w:hAnsi="Arial" w:cs="Arial"/>
          <w:sz w:val="20"/>
        </w:rPr>
        <w:t xml:space="preserve">have </w:t>
      </w:r>
      <w:r w:rsidRPr="004A9D55">
        <w:rPr>
          <w:rFonts w:ascii="Arial" w:hAnsi="Arial" w:cs="Arial"/>
          <w:sz w:val="20"/>
        </w:rPr>
        <w:t xml:space="preserve">at least 65% of probationers, parolees, or full-term </w:t>
      </w:r>
      <w:r w:rsidR="74418296" w:rsidRPr="004A9D55">
        <w:rPr>
          <w:rFonts w:ascii="Arial" w:hAnsi="Arial" w:cs="Arial"/>
          <w:sz w:val="20"/>
        </w:rPr>
        <w:t>releases successful through three years</w:t>
      </w:r>
      <w:r w:rsidR="002D3C7A">
        <w:rPr>
          <w:rFonts w:ascii="Arial" w:hAnsi="Arial" w:cs="Arial"/>
          <w:sz w:val="20"/>
        </w:rPr>
        <w:t xml:space="preserve"> in the community</w:t>
      </w:r>
      <w:r w:rsidR="74418296" w:rsidRPr="004A9D55">
        <w:rPr>
          <w:rFonts w:ascii="Arial" w:hAnsi="Arial" w:cs="Arial"/>
          <w:sz w:val="20"/>
        </w:rPr>
        <w:t>.</w:t>
      </w:r>
      <w:r w:rsidR="7D50157D" w:rsidRPr="004A9D55">
        <w:rPr>
          <w:rFonts w:ascii="Arial" w:hAnsi="Arial" w:cs="Arial"/>
          <w:sz w:val="20"/>
        </w:rPr>
        <w:t xml:space="preserve"> In FY21, IDOC closed the gap </w:t>
      </w:r>
      <w:r w:rsidR="00BD60C7">
        <w:rPr>
          <w:rFonts w:ascii="Arial" w:hAnsi="Arial" w:cs="Arial"/>
          <w:sz w:val="20"/>
        </w:rPr>
        <w:t>by movin</w:t>
      </w:r>
      <w:r w:rsidR="00AF7EB1">
        <w:rPr>
          <w:rFonts w:ascii="Arial" w:hAnsi="Arial" w:cs="Arial"/>
          <w:sz w:val="20"/>
        </w:rPr>
        <w:t>g from</w:t>
      </w:r>
      <w:r w:rsidR="00482C4E">
        <w:rPr>
          <w:rFonts w:ascii="Arial" w:hAnsi="Arial" w:cs="Arial"/>
          <w:sz w:val="20"/>
        </w:rPr>
        <w:t xml:space="preserve"> 62% success in FY</w:t>
      </w:r>
      <w:r w:rsidR="00FE794C">
        <w:rPr>
          <w:rFonts w:ascii="Arial" w:hAnsi="Arial" w:cs="Arial"/>
          <w:sz w:val="20"/>
        </w:rPr>
        <w:t xml:space="preserve">20 to 64% in </w:t>
      </w:r>
      <w:r w:rsidR="002D3C7A">
        <w:rPr>
          <w:rFonts w:ascii="Arial" w:hAnsi="Arial" w:cs="Arial"/>
          <w:sz w:val="20"/>
        </w:rPr>
        <w:t>FY21</w:t>
      </w:r>
      <w:r w:rsidR="002D3C7A" w:rsidRPr="004A9D55">
        <w:rPr>
          <w:rFonts w:ascii="Arial" w:hAnsi="Arial" w:cs="Arial"/>
          <w:sz w:val="20"/>
        </w:rPr>
        <w:t xml:space="preserve"> but</w:t>
      </w:r>
      <w:r w:rsidR="7D50157D" w:rsidRPr="004A9D55">
        <w:rPr>
          <w:rFonts w:ascii="Arial" w:hAnsi="Arial" w:cs="Arial"/>
          <w:sz w:val="20"/>
        </w:rPr>
        <w:t xml:space="preserve"> remains slightly below 65%.</w:t>
      </w:r>
    </w:p>
    <w:p w14:paraId="1EB6E0AF" w14:textId="77777777" w:rsidR="00E96B64" w:rsidRPr="00D44808" w:rsidRDefault="00E96B64" w:rsidP="003D3986">
      <w:pPr>
        <w:jc w:val="both"/>
        <w:rPr>
          <w:rFonts w:ascii="Arial" w:hAnsi="Arial" w:cs="Arial"/>
          <w:sz w:val="20"/>
        </w:rPr>
      </w:pPr>
    </w:p>
    <w:p w14:paraId="68D65F68" w14:textId="7872426A" w:rsidR="00E96B64" w:rsidRPr="00D44808" w:rsidRDefault="00E96B64" w:rsidP="003D3986">
      <w:pPr>
        <w:jc w:val="both"/>
        <w:rPr>
          <w:rFonts w:ascii="Arial" w:hAnsi="Arial" w:cs="Arial"/>
          <w:sz w:val="20"/>
        </w:rPr>
      </w:pPr>
      <w:r w:rsidRPr="1A3B9153">
        <w:rPr>
          <w:rFonts w:ascii="Arial" w:hAnsi="Arial" w:cs="Arial"/>
          <w:i/>
          <w:iCs/>
          <w:sz w:val="20"/>
        </w:rPr>
        <w:t>Impact</w:t>
      </w:r>
      <w:r w:rsidRPr="1A3B9153">
        <w:rPr>
          <w:rFonts w:ascii="Arial" w:hAnsi="Arial" w:cs="Arial"/>
          <w:sz w:val="20"/>
        </w:rPr>
        <w:t xml:space="preserve">: </w:t>
      </w:r>
      <w:r w:rsidR="16181B24" w:rsidRPr="1A3B9153">
        <w:rPr>
          <w:rFonts w:ascii="Arial" w:hAnsi="Arial" w:cs="Arial"/>
          <w:sz w:val="20"/>
        </w:rPr>
        <w:t xml:space="preserve">IDOC continues to monitor the success of everyone on supervision and after release from custody to help establish whether interventions have had </w:t>
      </w:r>
      <w:r w:rsidR="00C95053">
        <w:rPr>
          <w:rFonts w:ascii="Arial" w:hAnsi="Arial" w:cs="Arial"/>
          <w:sz w:val="20"/>
        </w:rPr>
        <w:t>the intended</w:t>
      </w:r>
      <w:r w:rsidR="16181B24" w:rsidRPr="1A3B9153">
        <w:rPr>
          <w:rFonts w:ascii="Arial" w:hAnsi="Arial" w:cs="Arial"/>
          <w:sz w:val="20"/>
        </w:rPr>
        <w:t xml:space="preserve"> effect.</w:t>
      </w:r>
      <w:r w:rsidR="006552B7">
        <w:rPr>
          <w:rFonts w:ascii="Arial" w:hAnsi="Arial" w:cs="Arial"/>
          <w:sz w:val="20"/>
        </w:rPr>
        <w:t xml:space="preserve"> Improvements in success rates translate to </w:t>
      </w:r>
      <w:r w:rsidR="00D01763">
        <w:rPr>
          <w:rFonts w:ascii="Arial" w:hAnsi="Arial" w:cs="Arial"/>
          <w:sz w:val="20"/>
        </w:rPr>
        <w:t xml:space="preserve">more people living productively and crime-free in the community and saving taxpayer dollars that would otherwise be spent on </w:t>
      </w:r>
      <w:r w:rsidR="003E328C">
        <w:rPr>
          <w:rFonts w:ascii="Arial" w:hAnsi="Arial" w:cs="Arial"/>
          <w:sz w:val="20"/>
        </w:rPr>
        <w:t>incarceration or supervision.</w:t>
      </w:r>
    </w:p>
    <w:p w14:paraId="0316FDB7" w14:textId="77777777" w:rsidR="00E96B64" w:rsidRPr="00D44808" w:rsidRDefault="00E96B64" w:rsidP="003D3986">
      <w:pPr>
        <w:jc w:val="both"/>
        <w:rPr>
          <w:rFonts w:ascii="Arial" w:hAnsi="Arial" w:cs="Arial"/>
          <w:b/>
          <w:sz w:val="20"/>
        </w:rPr>
      </w:pPr>
    </w:p>
    <w:p w14:paraId="240FFC4C" w14:textId="03488ABB" w:rsidR="00022E83" w:rsidRPr="00CF4B2F" w:rsidRDefault="11BA7C9A" w:rsidP="2039BF4A">
      <w:pPr>
        <w:jc w:val="both"/>
        <w:rPr>
          <w:rFonts w:ascii="Arial" w:hAnsi="Arial" w:cs="Arial"/>
          <w:b/>
          <w:bCs/>
          <w:sz w:val="20"/>
        </w:rPr>
      </w:pPr>
      <w:r w:rsidRPr="2039BF4A">
        <w:rPr>
          <w:rFonts w:ascii="Arial" w:hAnsi="Arial" w:cs="Arial"/>
          <w:b/>
          <w:bCs/>
          <w:sz w:val="20"/>
        </w:rPr>
        <w:t xml:space="preserve">Measure </w:t>
      </w:r>
      <w:r w:rsidR="6F45AD8B" w:rsidRPr="2039BF4A">
        <w:rPr>
          <w:rFonts w:ascii="Arial" w:hAnsi="Arial" w:cs="Arial"/>
          <w:b/>
          <w:bCs/>
          <w:sz w:val="20"/>
        </w:rPr>
        <w:t>2</w:t>
      </w:r>
      <w:r w:rsidRPr="2039BF4A">
        <w:rPr>
          <w:rFonts w:ascii="Arial" w:hAnsi="Arial" w:cs="Arial"/>
          <w:b/>
          <w:bCs/>
          <w:sz w:val="20"/>
        </w:rPr>
        <w:t xml:space="preserve">: </w:t>
      </w:r>
      <w:r w:rsidR="14DD23BD" w:rsidRPr="2039BF4A">
        <w:rPr>
          <w:rFonts w:ascii="Arial" w:hAnsi="Arial" w:cs="Arial"/>
          <w:b/>
          <w:bCs/>
          <w:sz w:val="20"/>
        </w:rPr>
        <w:t>Degree of equity in programming and vocational completions by race and gender within prisons and on supervision</w:t>
      </w:r>
    </w:p>
    <w:p w14:paraId="4057E25F" w14:textId="17828CB9" w:rsidR="25D64A4F" w:rsidRDefault="25D64A4F" w:rsidP="2039BF4A">
      <w:pPr>
        <w:jc w:val="both"/>
        <w:rPr>
          <w:rFonts w:ascii="Arial" w:hAnsi="Arial" w:cs="Arial"/>
          <w:sz w:val="20"/>
        </w:rPr>
      </w:pPr>
      <w:r w:rsidRPr="2039BF4A">
        <w:rPr>
          <w:rFonts w:ascii="Arial" w:hAnsi="Arial" w:cs="Arial"/>
          <w:sz w:val="20"/>
        </w:rPr>
        <w:t xml:space="preserve">There is no significant difference by race between those receiving programming and those under prison and community supervision </w:t>
      </w:r>
      <w:r w:rsidR="0C07C145" w:rsidRPr="2039BF4A">
        <w:rPr>
          <w:rFonts w:ascii="Arial" w:hAnsi="Arial" w:cs="Arial"/>
          <w:sz w:val="20"/>
        </w:rPr>
        <w:t>(</w:t>
      </w:r>
      <w:r w:rsidR="3541CE4B" w:rsidRPr="2039BF4A">
        <w:rPr>
          <w:rFonts w:ascii="Arial" w:hAnsi="Arial" w:cs="Arial"/>
          <w:sz w:val="20"/>
        </w:rPr>
        <w:t>27.1%</w:t>
      </w:r>
      <w:r w:rsidR="5827801E" w:rsidRPr="2039BF4A">
        <w:rPr>
          <w:rFonts w:ascii="Arial" w:hAnsi="Arial" w:cs="Arial"/>
          <w:sz w:val="20"/>
        </w:rPr>
        <w:t xml:space="preserve"> of individuals </w:t>
      </w:r>
      <w:r w:rsidR="08163E73" w:rsidRPr="405A2A2B">
        <w:rPr>
          <w:rFonts w:ascii="Arial" w:hAnsi="Arial" w:cs="Arial"/>
          <w:sz w:val="20"/>
        </w:rPr>
        <w:t xml:space="preserve">completing </w:t>
      </w:r>
      <w:r w:rsidR="5827801E" w:rsidRPr="405A2A2B">
        <w:rPr>
          <w:rFonts w:ascii="Arial" w:hAnsi="Arial" w:cs="Arial"/>
          <w:sz w:val="20"/>
        </w:rPr>
        <w:t xml:space="preserve">programming </w:t>
      </w:r>
      <w:r w:rsidR="5827801E" w:rsidRPr="2039BF4A">
        <w:rPr>
          <w:rFonts w:ascii="Arial" w:hAnsi="Arial" w:cs="Arial"/>
          <w:sz w:val="20"/>
        </w:rPr>
        <w:t xml:space="preserve">are </w:t>
      </w:r>
      <w:r w:rsidR="23CA22BA" w:rsidRPr="2039BF4A">
        <w:rPr>
          <w:rFonts w:ascii="Arial" w:hAnsi="Arial" w:cs="Arial"/>
          <w:sz w:val="20"/>
        </w:rPr>
        <w:t xml:space="preserve">non-white </w:t>
      </w:r>
      <w:r w:rsidR="5827801E" w:rsidRPr="2039BF4A">
        <w:rPr>
          <w:rFonts w:ascii="Arial" w:hAnsi="Arial" w:cs="Arial"/>
          <w:sz w:val="20"/>
        </w:rPr>
        <w:t xml:space="preserve">compared to </w:t>
      </w:r>
      <w:r w:rsidR="31EC9579" w:rsidRPr="2039BF4A">
        <w:rPr>
          <w:rFonts w:ascii="Arial" w:hAnsi="Arial" w:cs="Arial"/>
          <w:sz w:val="20"/>
        </w:rPr>
        <w:t>26.0% of people under IDOC jurisdiction</w:t>
      </w:r>
      <w:r w:rsidR="2CC789DD" w:rsidRPr="2039BF4A">
        <w:rPr>
          <w:rFonts w:ascii="Arial" w:hAnsi="Arial" w:cs="Arial"/>
          <w:sz w:val="20"/>
        </w:rPr>
        <w:t>)</w:t>
      </w:r>
      <w:r w:rsidR="31EC9579" w:rsidRPr="2039BF4A">
        <w:rPr>
          <w:rFonts w:ascii="Arial" w:hAnsi="Arial" w:cs="Arial"/>
          <w:sz w:val="20"/>
        </w:rPr>
        <w:t xml:space="preserve">. </w:t>
      </w:r>
      <w:r w:rsidR="4D875275" w:rsidRPr="2039BF4A">
        <w:rPr>
          <w:rFonts w:ascii="Arial" w:hAnsi="Arial" w:cs="Arial"/>
          <w:sz w:val="20"/>
        </w:rPr>
        <w:t>There</w:t>
      </w:r>
      <w:r w:rsidR="4D875275" w:rsidRPr="28B3E646">
        <w:rPr>
          <w:rFonts w:ascii="Arial" w:hAnsi="Arial" w:cs="Arial"/>
          <w:sz w:val="20"/>
        </w:rPr>
        <w:t xml:space="preserve"> </w:t>
      </w:r>
      <w:r w:rsidR="0923B4B0" w:rsidRPr="28B3E646">
        <w:rPr>
          <w:rFonts w:ascii="Arial" w:hAnsi="Arial" w:cs="Arial"/>
          <w:sz w:val="20"/>
        </w:rPr>
        <w:t>also</w:t>
      </w:r>
      <w:r w:rsidR="4D875275" w:rsidRPr="2039BF4A">
        <w:rPr>
          <w:rFonts w:ascii="Arial" w:hAnsi="Arial" w:cs="Arial"/>
          <w:sz w:val="20"/>
        </w:rPr>
        <w:t xml:space="preserve"> is </w:t>
      </w:r>
      <w:r w:rsidR="29E37D48" w:rsidRPr="28B3E646">
        <w:rPr>
          <w:rFonts w:ascii="Arial" w:hAnsi="Arial" w:cs="Arial"/>
          <w:sz w:val="20"/>
        </w:rPr>
        <w:t>no</w:t>
      </w:r>
      <w:r w:rsidR="4D875275" w:rsidRPr="2039BF4A">
        <w:rPr>
          <w:rFonts w:ascii="Arial" w:hAnsi="Arial" w:cs="Arial"/>
          <w:sz w:val="20"/>
        </w:rPr>
        <w:t xml:space="preserve"> significant difference by gender between those receiving programming and the gender of the larger supervised population (24.3% of individuals </w:t>
      </w:r>
      <w:r w:rsidR="6526E750" w:rsidRPr="37DDBB4D">
        <w:rPr>
          <w:rFonts w:ascii="Arial" w:hAnsi="Arial" w:cs="Arial"/>
          <w:sz w:val="20"/>
        </w:rPr>
        <w:t>completing</w:t>
      </w:r>
      <w:r w:rsidR="4D875275" w:rsidRPr="2039BF4A">
        <w:rPr>
          <w:rFonts w:ascii="Arial" w:hAnsi="Arial" w:cs="Arial"/>
          <w:sz w:val="20"/>
        </w:rPr>
        <w:t xml:space="preserve"> IDOC programming are female c</w:t>
      </w:r>
      <w:r w:rsidR="3BC0077B" w:rsidRPr="2039BF4A">
        <w:rPr>
          <w:rFonts w:ascii="Arial" w:hAnsi="Arial" w:cs="Arial"/>
          <w:sz w:val="20"/>
        </w:rPr>
        <w:t xml:space="preserve">ompared to 22.3% of the supervised population).  </w:t>
      </w:r>
    </w:p>
    <w:p w14:paraId="2857A5B8" w14:textId="77777777" w:rsidR="00BD0516" w:rsidRPr="00D44808" w:rsidRDefault="00BD0516" w:rsidP="003D3986">
      <w:pPr>
        <w:jc w:val="both"/>
        <w:rPr>
          <w:rFonts w:ascii="Arial" w:hAnsi="Arial" w:cs="Arial"/>
          <w:sz w:val="20"/>
        </w:rPr>
      </w:pPr>
    </w:p>
    <w:p w14:paraId="457D566A" w14:textId="09FD533B" w:rsidR="00FB039C" w:rsidRPr="00C26ABC" w:rsidRDefault="00A236EE" w:rsidP="2039BF4A">
      <w:pPr>
        <w:jc w:val="both"/>
        <w:rPr>
          <w:rFonts w:ascii="Arial" w:hAnsi="Arial" w:cs="Arial"/>
          <w:sz w:val="20"/>
        </w:rPr>
      </w:pPr>
      <w:r w:rsidRPr="004A9D55">
        <w:rPr>
          <w:rFonts w:ascii="Arial" w:hAnsi="Arial" w:cs="Arial"/>
          <w:i/>
          <w:iCs/>
          <w:sz w:val="20"/>
        </w:rPr>
        <w:t>Impact:</w:t>
      </w:r>
      <w:r w:rsidRPr="004A9D55">
        <w:rPr>
          <w:rFonts w:ascii="Arial" w:hAnsi="Arial" w:cs="Arial"/>
          <w:sz w:val="20"/>
        </w:rPr>
        <w:t xml:space="preserve"> </w:t>
      </w:r>
      <w:r w:rsidR="0D1FE232" w:rsidRPr="004A9D55">
        <w:rPr>
          <w:rFonts w:ascii="Arial" w:hAnsi="Arial" w:cs="Arial"/>
          <w:sz w:val="20"/>
        </w:rPr>
        <w:t xml:space="preserve">By tracking </w:t>
      </w:r>
      <w:r w:rsidR="60295A24" w:rsidRPr="004A9D55">
        <w:rPr>
          <w:rFonts w:ascii="Arial" w:hAnsi="Arial" w:cs="Arial"/>
          <w:sz w:val="20"/>
        </w:rPr>
        <w:t>whether any racial of gender disparity exists for individuals receiving programming, IDOC is able to monitor</w:t>
      </w:r>
      <w:r w:rsidR="77BA1B8A" w:rsidRPr="004A9D55">
        <w:rPr>
          <w:rFonts w:ascii="Arial" w:hAnsi="Arial" w:cs="Arial"/>
          <w:sz w:val="20"/>
        </w:rPr>
        <w:t xml:space="preserve"> whether equal access has been established for all.</w:t>
      </w:r>
      <w:r w:rsidR="003E328C">
        <w:rPr>
          <w:rFonts w:ascii="Arial" w:hAnsi="Arial" w:cs="Arial"/>
          <w:sz w:val="20"/>
        </w:rPr>
        <w:t xml:space="preserve"> </w:t>
      </w:r>
    </w:p>
    <w:p w14:paraId="746900CA" w14:textId="77777777" w:rsidR="007820BB" w:rsidRPr="00D44808" w:rsidRDefault="007820BB" w:rsidP="003D3986">
      <w:pPr>
        <w:jc w:val="both"/>
        <w:rPr>
          <w:rFonts w:ascii="Arial" w:hAnsi="Arial" w:cs="Arial"/>
          <w:sz w:val="20"/>
        </w:rPr>
      </w:pPr>
    </w:p>
    <w:p w14:paraId="7B502EE1" w14:textId="5CC7BA75" w:rsidR="00022E83" w:rsidRPr="00CF4B2F" w:rsidRDefault="11BA7C9A" w:rsidP="003D3986">
      <w:pPr>
        <w:widowControl w:val="0"/>
        <w:jc w:val="both"/>
        <w:rPr>
          <w:rFonts w:ascii="Arial" w:hAnsi="Arial" w:cs="Arial"/>
          <w:b/>
          <w:sz w:val="20"/>
        </w:rPr>
      </w:pPr>
      <w:r w:rsidRPr="5D7D3133">
        <w:rPr>
          <w:rFonts w:ascii="Arial" w:hAnsi="Arial" w:cs="Arial"/>
          <w:b/>
          <w:bCs/>
          <w:sz w:val="20"/>
        </w:rPr>
        <w:t xml:space="preserve">Measure </w:t>
      </w:r>
      <w:r w:rsidR="6F45AD8B" w:rsidRPr="5D7D3133">
        <w:rPr>
          <w:rFonts w:ascii="Arial" w:hAnsi="Arial" w:cs="Arial"/>
          <w:b/>
          <w:bCs/>
          <w:sz w:val="20"/>
        </w:rPr>
        <w:t>3</w:t>
      </w:r>
      <w:r w:rsidRPr="5D7D3133">
        <w:rPr>
          <w:rFonts w:ascii="Arial" w:hAnsi="Arial" w:cs="Arial"/>
          <w:b/>
          <w:bCs/>
          <w:sz w:val="20"/>
        </w:rPr>
        <w:t xml:space="preserve">: </w:t>
      </w:r>
      <w:r w:rsidR="1A6D8AA2" w:rsidRPr="5D7D3133">
        <w:rPr>
          <w:rFonts w:ascii="Arial" w:hAnsi="Arial" w:cs="Arial"/>
          <w:b/>
          <w:bCs/>
          <w:sz w:val="20"/>
        </w:rPr>
        <w:t>Decrease in assaults, use of force incidents, and suicides among those in custody</w:t>
      </w:r>
    </w:p>
    <w:p w14:paraId="4680C9E4" w14:textId="6E1813B9" w:rsidR="072F44D6" w:rsidRDefault="072F44D6" w:rsidP="004A9D55">
      <w:pPr>
        <w:spacing w:line="259" w:lineRule="auto"/>
        <w:jc w:val="both"/>
        <w:rPr>
          <w:rFonts w:ascii="Arial" w:hAnsi="Arial" w:cs="Arial"/>
          <w:sz w:val="20"/>
        </w:rPr>
      </w:pPr>
      <w:r w:rsidRPr="004A9D55">
        <w:rPr>
          <w:rFonts w:ascii="Arial" w:hAnsi="Arial" w:cs="Arial"/>
          <w:sz w:val="20"/>
        </w:rPr>
        <w:t>During the past fiscal year, there w</w:t>
      </w:r>
      <w:r w:rsidR="00060C57">
        <w:rPr>
          <w:rFonts w:ascii="Arial" w:hAnsi="Arial" w:cs="Arial"/>
          <w:sz w:val="20"/>
        </w:rPr>
        <w:t>as a combined total of</w:t>
      </w:r>
      <w:r w:rsidRPr="004A9D55">
        <w:rPr>
          <w:rFonts w:ascii="Arial" w:hAnsi="Arial" w:cs="Arial"/>
          <w:sz w:val="20"/>
        </w:rPr>
        <w:t xml:space="preserve"> 835 assaults, use of force incidents, and suicides amongst those i</w:t>
      </w:r>
      <w:r w:rsidR="7F13ACBA" w:rsidRPr="004A9D55">
        <w:rPr>
          <w:rFonts w:ascii="Arial" w:hAnsi="Arial" w:cs="Arial"/>
          <w:sz w:val="20"/>
        </w:rPr>
        <w:t>n custody.</w:t>
      </w:r>
    </w:p>
    <w:p w14:paraId="3ECD98DA" w14:textId="77777777" w:rsidR="00FB039C" w:rsidRPr="00D44808" w:rsidRDefault="00FB039C" w:rsidP="003D3986">
      <w:pPr>
        <w:jc w:val="both"/>
        <w:rPr>
          <w:rFonts w:ascii="Arial" w:hAnsi="Arial" w:cs="Arial"/>
          <w:b/>
          <w:sz w:val="20"/>
        </w:rPr>
      </w:pPr>
    </w:p>
    <w:p w14:paraId="791DD945" w14:textId="7D98C89E" w:rsidR="00FB039C" w:rsidRDefault="00FB039C" w:rsidP="004A9D55">
      <w:pPr>
        <w:spacing w:line="259" w:lineRule="auto"/>
        <w:jc w:val="both"/>
        <w:rPr>
          <w:rFonts w:ascii="Arial" w:hAnsi="Arial" w:cs="Arial"/>
          <w:szCs w:val="24"/>
        </w:rPr>
      </w:pPr>
      <w:r w:rsidRPr="004A9D55">
        <w:rPr>
          <w:rFonts w:ascii="Arial" w:hAnsi="Arial" w:cs="Arial"/>
          <w:i/>
          <w:iCs/>
          <w:sz w:val="20"/>
        </w:rPr>
        <w:lastRenderedPageBreak/>
        <w:t xml:space="preserve">Impact: </w:t>
      </w:r>
      <w:r w:rsidR="0099630C" w:rsidRPr="00414758">
        <w:rPr>
          <w:rFonts w:ascii="Arial" w:hAnsi="Arial" w:cs="Arial"/>
          <w:sz w:val="20"/>
        </w:rPr>
        <w:t xml:space="preserve">Running safe prisons is </w:t>
      </w:r>
      <w:r w:rsidR="009D26FE" w:rsidRPr="00414758">
        <w:rPr>
          <w:rFonts w:ascii="Arial" w:hAnsi="Arial" w:cs="Arial"/>
          <w:sz w:val="20"/>
        </w:rPr>
        <w:t xml:space="preserve">requisite for any rehabilitative efforts to be </w:t>
      </w:r>
      <w:r w:rsidR="00414758" w:rsidRPr="00414758">
        <w:rPr>
          <w:rFonts w:ascii="Arial" w:hAnsi="Arial" w:cs="Arial"/>
          <w:sz w:val="20"/>
        </w:rPr>
        <w:t>effective</w:t>
      </w:r>
      <w:r w:rsidR="00414758">
        <w:rPr>
          <w:rFonts w:ascii="Arial" w:hAnsi="Arial" w:cs="Arial"/>
          <w:i/>
          <w:iCs/>
          <w:sz w:val="20"/>
        </w:rPr>
        <w:t xml:space="preserve">. </w:t>
      </w:r>
      <w:r w:rsidR="6071D3F5" w:rsidRPr="004A9D55">
        <w:rPr>
          <w:rFonts w:ascii="Arial" w:hAnsi="Arial" w:cs="Arial"/>
          <w:sz w:val="20"/>
        </w:rPr>
        <w:t>IDOC will continue to monitor to determine whether strategies ad</w:t>
      </w:r>
      <w:r w:rsidR="6F11E30D" w:rsidRPr="004A9D55">
        <w:rPr>
          <w:rFonts w:ascii="Arial" w:hAnsi="Arial" w:cs="Arial"/>
          <w:sz w:val="20"/>
        </w:rPr>
        <w:t xml:space="preserve">opted </w:t>
      </w:r>
      <w:r w:rsidR="6071D3F5" w:rsidRPr="004A9D55">
        <w:rPr>
          <w:rFonts w:ascii="Arial" w:hAnsi="Arial" w:cs="Arial"/>
          <w:sz w:val="20"/>
        </w:rPr>
        <w:t xml:space="preserve">in prisons </w:t>
      </w:r>
      <w:r w:rsidR="00C305F2">
        <w:rPr>
          <w:rFonts w:ascii="Arial" w:hAnsi="Arial" w:cs="Arial"/>
          <w:sz w:val="20"/>
        </w:rPr>
        <w:t>to improve culture</w:t>
      </w:r>
      <w:r w:rsidR="00D04060">
        <w:rPr>
          <w:rFonts w:ascii="Arial" w:hAnsi="Arial" w:cs="Arial"/>
          <w:sz w:val="20"/>
        </w:rPr>
        <w:t xml:space="preserve"> and</w:t>
      </w:r>
      <w:r w:rsidR="00C305F2">
        <w:rPr>
          <w:rFonts w:ascii="Arial" w:hAnsi="Arial" w:cs="Arial"/>
          <w:sz w:val="20"/>
        </w:rPr>
        <w:t xml:space="preserve"> create more normative environments</w:t>
      </w:r>
      <w:r w:rsidR="00D04060">
        <w:rPr>
          <w:rFonts w:ascii="Arial" w:hAnsi="Arial" w:cs="Arial"/>
          <w:sz w:val="20"/>
        </w:rPr>
        <w:t xml:space="preserve"> are translating into fewer incidents of violence and resident suicide. </w:t>
      </w:r>
    </w:p>
    <w:p w14:paraId="186E913A" w14:textId="5EF37362" w:rsidR="00AB3FC7" w:rsidRDefault="00AB3FC7" w:rsidP="004A9D55">
      <w:pPr>
        <w:spacing w:line="259" w:lineRule="auto"/>
        <w:jc w:val="both"/>
        <w:rPr>
          <w:rFonts w:ascii="Arial" w:hAnsi="Arial" w:cs="Arial"/>
          <w:szCs w:val="24"/>
        </w:rPr>
      </w:pPr>
    </w:p>
    <w:p w14:paraId="2DFDA880" w14:textId="4AA20FDE" w:rsidR="00A236EE" w:rsidRDefault="11BA7C9A" w:rsidP="007E39FA">
      <w:pPr>
        <w:jc w:val="both"/>
        <w:rPr>
          <w:rFonts w:ascii="Arial" w:hAnsi="Arial" w:cs="Arial"/>
          <w:b/>
          <w:sz w:val="20"/>
        </w:rPr>
      </w:pPr>
      <w:r w:rsidRPr="5D7D3133">
        <w:rPr>
          <w:rFonts w:ascii="Arial" w:hAnsi="Arial" w:cs="Arial"/>
          <w:b/>
          <w:bCs/>
          <w:sz w:val="20"/>
        </w:rPr>
        <w:t xml:space="preserve">Measure </w:t>
      </w:r>
      <w:r w:rsidR="6F45AD8B" w:rsidRPr="5D7D3133">
        <w:rPr>
          <w:rFonts w:ascii="Arial" w:hAnsi="Arial" w:cs="Arial"/>
          <w:b/>
          <w:bCs/>
          <w:sz w:val="20"/>
        </w:rPr>
        <w:t>4</w:t>
      </w:r>
      <w:r w:rsidRPr="5D7D3133">
        <w:rPr>
          <w:rFonts w:ascii="Arial" w:hAnsi="Arial" w:cs="Arial"/>
          <w:b/>
          <w:bCs/>
          <w:sz w:val="20"/>
        </w:rPr>
        <w:t xml:space="preserve">: </w:t>
      </w:r>
      <w:r w:rsidR="386F7556" w:rsidRPr="5D7D3133">
        <w:rPr>
          <w:rFonts w:ascii="Arial" w:hAnsi="Arial" w:cs="Arial"/>
          <w:b/>
          <w:bCs/>
          <w:sz w:val="20"/>
        </w:rPr>
        <w:t>Maintain high staff retention rate</w:t>
      </w:r>
    </w:p>
    <w:p w14:paraId="1A2926F2" w14:textId="4DBD47C6" w:rsidR="2D2433CD" w:rsidRDefault="2D2433CD" w:rsidP="004A9D55">
      <w:pPr>
        <w:jc w:val="both"/>
        <w:rPr>
          <w:rFonts w:ascii="Arial" w:hAnsi="Arial" w:cs="Arial"/>
          <w:sz w:val="20"/>
        </w:rPr>
      </w:pPr>
      <w:r w:rsidRPr="004A9D55">
        <w:rPr>
          <w:rFonts w:ascii="Arial" w:hAnsi="Arial" w:cs="Arial"/>
          <w:sz w:val="20"/>
        </w:rPr>
        <w:t xml:space="preserve">The staff </w:t>
      </w:r>
      <w:r w:rsidR="1952357E" w:rsidRPr="004A9D55">
        <w:rPr>
          <w:rFonts w:ascii="Arial" w:hAnsi="Arial" w:cs="Arial"/>
          <w:sz w:val="20"/>
        </w:rPr>
        <w:t xml:space="preserve">retention </w:t>
      </w:r>
      <w:r w:rsidRPr="004A9D55">
        <w:rPr>
          <w:rFonts w:ascii="Arial" w:hAnsi="Arial" w:cs="Arial"/>
          <w:sz w:val="20"/>
        </w:rPr>
        <w:t xml:space="preserve">rate is based on the number of voluntary staff separations compared to filled positions for each fiscal year. </w:t>
      </w:r>
      <w:r w:rsidR="02B46EE4" w:rsidRPr="004A9D55">
        <w:rPr>
          <w:rFonts w:ascii="Arial" w:hAnsi="Arial" w:cs="Arial"/>
          <w:sz w:val="20"/>
        </w:rPr>
        <w:t xml:space="preserve">Separations only include those that are voluntary and do not include those for military service, retirement, or lay-offs. </w:t>
      </w:r>
      <w:r w:rsidRPr="004A9D55">
        <w:rPr>
          <w:rFonts w:ascii="Arial" w:hAnsi="Arial" w:cs="Arial"/>
          <w:sz w:val="20"/>
        </w:rPr>
        <w:t xml:space="preserve">The filled position total is calculated by taking the agency population at two snapshots in time at mid and end year and averaging them together. Total separations for the year are then divided by the average full-time filled positions to obtain the rate. For FY21 the rate </w:t>
      </w:r>
      <w:r w:rsidR="7BDF0FD5" w:rsidRPr="004A9D55">
        <w:rPr>
          <w:rFonts w:ascii="Arial" w:hAnsi="Arial" w:cs="Arial"/>
          <w:sz w:val="20"/>
        </w:rPr>
        <w:t xml:space="preserve">decreased and is </w:t>
      </w:r>
      <w:r w:rsidRPr="004A9D55">
        <w:rPr>
          <w:rFonts w:ascii="Arial" w:hAnsi="Arial" w:cs="Arial"/>
          <w:sz w:val="20"/>
        </w:rPr>
        <w:t xml:space="preserve">closer to the </w:t>
      </w:r>
      <w:r w:rsidR="031BEDC6" w:rsidRPr="004A9D55">
        <w:rPr>
          <w:rFonts w:ascii="Arial" w:hAnsi="Arial" w:cs="Arial"/>
          <w:sz w:val="20"/>
        </w:rPr>
        <w:t>goal of 85%</w:t>
      </w:r>
      <w:r w:rsidRPr="004A9D55">
        <w:rPr>
          <w:rFonts w:ascii="Arial" w:hAnsi="Arial" w:cs="Arial"/>
          <w:sz w:val="20"/>
        </w:rPr>
        <w:t xml:space="preserve">. </w:t>
      </w:r>
    </w:p>
    <w:p w14:paraId="143B1018" w14:textId="77777777" w:rsidR="004A9D55" w:rsidRDefault="004A9D55" w:rsidP="004A9D55">
      <w:pPr>
        <w:jc w:val="both"/>
        <w:rPr>
          <w:rFonts w:ascii="Arial" w:hAnsi="Arial" w:cs="Arial"/>
          <w:sz w:val="20"/>
        </w:rPr>
      </w:pPr>
    </w:p>
    <w:p w14:paraId="300A4B85" w14:textId="0C638C34" w:rsidR="2D2433CD" w:rsidRDefault="2D2433CD" w:rsidP="004A9D55">
      <w:pPr>
        <w:jc w:val="both"/>
        <w:rPr>
          <w:rFonts w:ascii="Arial" w:hAnsi="Arial" w:cs="Arial"/>
          <w:sz w:val="20"/>
        </w:rPr>
      </w:pPr>
      <w:r w:rsidRPr="1A3B9153">
        <w:rPr>
          <w:rFonts w:ascii="Arial" w:hAnsi="Arial" w:cs="Arial"/>
          <w:i/>
          <w:iCs/>
          <w:sz w:val="20"/>
        </w:rPr>
        <w:t>Impact</w:t>
      </w:r>
      <w:r w:rsidRPr="339EA0BF">
        <w:rPr>
          <w:rFonts w:ascii="Arial" w:hAnsi="Arial" w:cs="Arial"/>
          <w:i/>
          <w:sz w:val="20"/>
        </w:rPr>
        <w:t>:</w:t>
      </w:r>
      <w:r w:rsidRPr="339EA0BF">
        <w:rPr>
          <w:rFonts w:ascii="Arial" w:hAnsi="Arial" w:cs="Arial"/>
          <w:sz w:val="20"/>
        </w:rPr>
        <w:t xml:space="preserve"> </w:t>
      </w:r>
      <w:r w:rsidR="13DE99E6" w:rsidRPr="339EA0BF">
        <w:rPr>
          <w:rFonts w:ascii="Arial" w:hAnsi="Arial" w:cs="Arial"/>
          <w:sz w:val="20"/>
        </w:rPr>
        <w:t>Measuring s</w:t>
      </w:r>
      <w:r w:rsidRPr="339EA0BF">
        <w:rPr>
          <w:rFonts w:ascii="Arial" w:hAnsi="Arial" w:cs="Arial"/>
          <w:sz w:val="20"/>
        </w:rPr>
        <w:t xml:space="preserve">taff </w:t>
      </w:r>
      <w:r w:rsidR="6C339B1F" w:rsidRPr="339EA0BF">
        <w:rPr>
          <w:rFonts w:ascii="Arial" w:hAnsi="Arial" w:cs="Arial"/>
          <w:sz w:val="20"/>
        </w:rPr>
        <w:t xml:space="preserve">retention </w:t>
      </w:r>
      <w:r w:rsidR="4099E7DD" w:rsidRPr="339EA0BF">
        <w:rPr>
          <w:rFonts w:ascii="Arial" w:hAnsi="Arial" w:cs="Arial"/>
          <w:sz w:val="20"/>
        </w:rPr>
        <w:t>will help determine whether new programs aimed at supporting</w:t>
      </w:r>
      <w:r w:rsidRPr="339EA0BF">
        <w:rPr>
          <w:rFonts w:ascii="Arial" w:hAnsi="Arial" w:cs="Arial"/>
          <w:sz w:val="20"/>
        </w:rPr>
        <w:t xml:space="preserve"> the morale of staff, such as increasing the pay for correctional, and probation and parole officers, as well as compensation for overtime</w:t>
      </w:r>
      <w:r w:rsidR="562CAF80" w:rsidRPr="339EA0BF">
        <w:rPr>
          <w:rFonts w:ascii="Arial" w:hAnsi="Arial" w:cs="Arial"/>
          <w:sz w:val="20"/>
        </w:rPr>
        <w:t>, have had an effect</w:t>
      </w:r>
      <w:r w:rsidRPr="339EA0BF">
        <w:rPr>
          <w:rFonts w:ascii="Arial" w:hAnsi="Arial" w:cs="Arial"/>
          <w:sz w:val="20"/>
        </w:rPr>
        <w:t xml:space="preserve">. The measure </w:t>
      </w:r>
      <w:r w:rsidR="2F2DF52D" w:rsidRPr="339EA0BF">
        <w:rPr>
          <w:rFonts w:ascii="Arial" w:hAnsi="Arial" w:cs="Arial"/>
          <w:sz w:val="20"/>
        </w:rPr>
        <w:t xml:space="preserve">helps establish whether </w:t>
      </w:r>
      <w:r w:rsidRPr="339EA0BF">
        <w:rPr>
          <w:rFonts w:ascii="Arial" w:hAnsi="Arial" w:cs="Arial"/>
          <w:sz w:val="20"/>
        </w:rPr>
        <w:t>worker morale has increased at central office, at correctional facilities, and in the districts.</w:t>
      </w:r>
    </w:p>
    <w:p w14:paraId="021FBF1C" w14:textId="77777777" w:rsidR="00FB039C" w:rsidRPr="00D44808" w:rsidRDefault="00FB039C" w:rsidP="00A236EE">
      <w:pPr>
        <w:jc w:val="both"/>
        <w:rPr>
          <w:rFonts w:ascii="Arial" w:hAnsi="Arial" w:cs="Arial"/>
          <w:b/>
          <w:sz w:val="20"/>
        </w:rPr>
      </w:pPr>
    </w:p>
    <w:p w14:paraId="16F350F8" w14:textId="104B4405" w:rsidR="00A236EE" w:rsidRDefault="00A236EE" w:rsidP="007E39FA">
      <w:pPr>
        <w:autoSpaceDE w:val="0"/>
        <w:autoSpaceDN w:val="0"/>
        <w:adjustRightInd w:val="0"/>
        <w:jc w:val="both"/>
        <w:rPr>
          <w:rFonts w:ascii="Arial" w:hAnsi="Arial" w:cs="Arial"/>
          <w:b/>
          <w:sz w:val="20"/>
        </w:rPr>
      </w:pPr>
      <w:r w:rsidRPr="00D44808">
        <w:rPr>
          <w:rFonts w:ascii="Arial" w:hAnsi="Arial" w:cs="Arial"/>
          <w:b/>
          <w:sz w:val="20"/>
        </w:rPr>
        <w:t xml:space="preserve">Measure </w:t>
      </w:r>
      <w:r w:rsidR="00A5314B" w:rsidRPr="00D44808">
        <w:rPr>
          <w:rFonts w:ascii="Arial" w:hAnsi="Arial" w:cs="Arial"/>
          <w:b/>
          <w:sz w:val="20"/>
        </w:rPr>
        <w:t>5</w:t>
      </w:r>
      <w:r w:rsidRPr="00D44808">
        <w:rPr>
          <w:rFonts w:ascii="Arial" w:hAnsi="Arial" w:cs="Arial"/>
          <w:b/>
          <w:sz w:val="20"/>
        </w:rPr>
        <w:t xml:space="preserve">: </w:t>
      </w:r>
      <w:r w:rsidR="00022E83" w:rsidRPr="00CF4B2F">
        <w:rPr>
          <w:rFonts w:ascii="Arial" w:hAnsi="Arial" w:cs="Arial"/>
          <w:b/>
          <w:sz w:val="20"/>
        </w:rPr>
        <w:t>Reduction in worker compensation claim</w:t>
      </w:r>
      <w:r w:rsidR="00C373E5">
        <w:rPr>
          <w:rFonts w:ascii="Arial" w:hAnsi="Arial" w:cs="Arial"/>
          <w:b/>
          <w:sz w:val="20"/>
        </w:rPr>
        <w:t>s (</w:t>
      </w:r>
      <w:r w:rsidR="00E53606">
        <w:rPr>
          <w:rFonts w:ascii="Arial" w:hAnsi="Arial" w:cs="Arial"/>
          <w:b/>
          <w:sz w:val="20"/>
        </w:rPr>
        <w:t>injury rate</w:t>
      </w:r>
      <w:r w:rsidR="365CCAA1" w:rsidRPr="5D7D3133">
        <w:rPr>
          <w:rFonts w:ascii="Arial" w:hAnsi="Arial" w:cs="Arial"/>
          <w:b/>
          <w:bCs/>
          <w:sz w:val="20"/>
        </w:rPr>
        <w:t>)</w:t>
      </w:r>
      <w:r w:rsidR="48AC07C8" w:rsidRPr="5D7D3133">
        <w:rPr>
          <w:rFonts w:ascii="Arial" w:hAnsi="Arial" w:cs="Arial"/>
          <w:b/>
          <w:bCs/>
          <w:sz w:val="20"/>
        </w:rPr>
        <w:t>, or total number of claims compared to total staff hours worked by staff in one year</w:t>
      </w:r>
    </w:p>
    <w:p w14:paraId="0F75EBA1" w14:textId="01BAF14E" w:rsidR="00760A52" w:rsidRDefault="00760A52" w:rsidP="007E39FA">
      <w:pPr>
        <w:autoSpaceDE w:val="0"/>
        <w:autoSpaceDN w:val="0"/>
        <w:adjustRightInd w:val="0"/>
        <w:jc w:val="both"/>
        <w:rPr>
          <w:rFonts w:ascii="Arial" w:hAnsi="Arial" w:cs="Arial"/>
          <w:sz w:val="20"/>
        </w:rPr>
      </w:pPr>
      <w:r w:rsidRPr="004A9D55">
        <w:rPr>
          <w:rFonts w:ascii="Arial" w:hAnsi="Arial" w:cs="Arial"/>
          <w:sz w:val="20"/>
        </w:rPr>
        <w:t xml:space="preserve">The goal of reducing the number of worker compensation claims </w:t>
      </w:r>
      <w:r w:rsidR="00FC7694" w:rsidRPr="004A9D55">
        <w:rPr>
          <w:rFonts w:ascii="Arial" w:hAnsi="Arial" w:cs="Arial"/>
          <w:sz w:val="20"/>
        </w:rPr>
        <w:t xml:space="preserve">uses a </w:t>
      </w:r>
      <w:r w:rsidRPr="004A9D55">
        <w:rPr>
          <w:rFonts w:ascii="Arial" w:hAnsi="Arial" w:cs="Arial"/>
          <w:sz w:val="20"/>
        </w:rPr>
        <w:t xml:space="preserve">benchmark </w:t>
      </w:r>
      <w:r w:rsidR="00FC7694" w:rsidRPr="004A9D55">
        <w:rPr>
          <w:rFonts w:ascii="Arial" w:hAnsi="Arial" w:cs="Arial"/>
          <w:sz w:val="20"/>
        </w:rPr>
        <w:t>that matches</w:t>
      </w:r>
      <w:r w:rsidRPr="004A9D55">
        <w:rPr>
          <w:rFonts w:ascii="Arial" w:hAnsi="Arial" w:cs="Arial"/>
          <w:sz w:val="20"/>
        </w:rPr>
        <w:t xml:space="preserve"> the national </w:t>
      </w:r>
      <w:r w:rsidR="00CF0A0F" w:rsidRPr="004A9D55">
        <w:rPr>
          <w:rFonts w:ascii="Arial" w:hAnsi="Arial" w:cs="Arial"/>
          <w:sz w:val="20"/>
        </w:rPr>
        <w:t>average provided</w:t>
      </w:r>
      <w:r w:rsidRPr="004A9D55">
        <w:rPr>
          <w:rFonts w:ascii="Arial" w:hAnsi="Arial" w:cs="Arial"/>
          <w:sz w:val="20"/>
        </w:rPr>
        <w:t xml:space="preserve"> by </w:t>
      </w:r>
      <w:r w:rsidR="00CF0A0F" w:rsidRPr="004A9D55">
        <w:rPr>
          <w:rFonts w:ascii="Arial" w:hAnsi="Arial" w:cs="Arial"/>
          <w:sz w:val="20"/>
        </w:rPr>
        <w:t>the Bureau of Labor Statistics on industry injur</w:t>
      </w:r>
      <w:r w:rsidR="002266AC" w:rsidRPr="004A9D55">
        <w:rPr>
          <w:rFonts w:ascii="Arial" w:hAnsi="Arial" w:cs="Arial"/>
          <w:sz w:val="20"/>
        </w:rPr>
        <w:t>ies</w:t>
      </w:r>
      <w:r w:rsidRPr="004A9D55">
        <w:rPr>
          <w:rFonts w:ascii="Arial" w:hAnsi="Arial" w:cs="Arial"/>
          <w:sz w:val="20"/>
        </w:rPr>
        <w:t xml:space="preserve"> filed for correctional institutions</w:t>
      </w:r>
      <w:r w:rsidR="00CF0A0F" w:rsidRPr="004A9D55">
        <w:rPr>
          <w:rFonts w:ascii="Arial" w:hAnsi="Arial" w:cs="Arial"/>
          <w:sz w:val="20"/>
        </w:rPr>
        <w:t>,</w:t>
      </w:r>
      <w:r w:rsidRPr="004A9D55">
        <w:rPr>
          <w:rFonts w:ascii="Arial" w:hAnsi="Arial" w:cs="Arial"/>
          <w:sz w:val="20"/>
        </w:rPr>
        <w:t xml:space="preserve"> at 7.7 </w:t>
      </w:r>
      <w:r w:rsidR="00EC6327" w:rsidRPr="004A9D55">
        <w:rPr>
          <w:rFonts w:ascii="Arial" w:hAnsi="Arial" w:cs="Arial"/>
          <w:sz w:val="20"/>
        </w:rPr>
        <w:t>injuries</w:t>
      </w:r>
      <w:r w:rsidRPr="004A9D55">
        <w:rPr>
          <w:rFonts w:ascii="Arial" w:hAnsi="Arial" w:cs="Arial"/>
          <w:sz w:val="20"/>
        </w:rPr>
        <w:t xml:space="preserve"> per </w:t>
      </w:r>
      <w:r w:rsidR="00E53606" w:rsidRPr="004A9D55">
        <w:rPr>
          <w:rFonts w:ascii="Arial" w:hAnsi="Arial" w:cs="Arial"/>
          <w:sz w:val="20"/>
        </w:rPr>
        <w:t>staff hours worked</w:t>
      </w:r>
      <w:r w:rsidR="00CF0A0F" w:rsidRPr="004A9D55">
        <w:rPr>
          <w:rFonts w:ascii="Arial" w:hAnsi="Arial" w:cs="Arial"/>
          <w:sz w:val="20"/>
        </w:rPr>
        <w:t>, where (N</w:t>
      </w:r>
      <w:r w:rsidR="00E53606" w:rsidRPr="004A9D55">
        <w:rPr>
          <w:rFonts w:ascii="Arial" w:hAnsi="Arial" w:cs="Arial"/>
          <w:sz w:val="20"/>
        </w:rPr>
        <w:t>*200,000</w:t>
      </w:r>
      <w:r w:rsidR="00CF0A0F" w:rsidRPr="004A9D55">
        <w:rPr>
          <w:rFonts w:ascii="Arial" w:hAnsi="Arial" w:cs="Arial"/>
          <w:sz w:val="20"/>
        </w:rPr>
        <w:t xml:space="preserve">/EH) and N= the number of injuries and illnesses and EH= total hours worked by employees during the year. </w:t>
      </w:r>
      <w:r w:rsidR="00FC7694" w:rsidRPr="004A9D55">
        <w:rPr>
          <w:rFonts w:ascii="Arial" w:hAnsi="Arial" w:cs="Arial"/>
          <w:sz w:val="20"/>
        </w:rPr>
        <w:t xml:space="preserve"> For FY</w:t>
      </w:r>
      <w:r w:rsidR="00B10046" w:rsidRPr="004A9D55">
        <w:rPr>
          <w:rFonts w:ascii="Arial" w:hAnsi="Arial" w:cs="Arial"/>
          <w:sz w:val="20"/>
        </w:rPr>
        <w:t>2</w:t>
      </w:r>
      <w:r w:rsidR="56D3CB5C" w:rsidRPr="004A9D55">
        <w:rPr>
          <w:rFonts w:ascii="Arial" w:hAnsi="Arial" w:cs="Arial"/>
          <w:sz w:val="20"/>
        </w:rPr>
        <w:t>1</w:t>
      </w:r>
      <w:r w:rsidR="00FC7694" w:rsidRPr="004A9D55">
        <w:rPr>
          <w:rFonts w:ascii="Arial" w:hAnsi="Arial" w:cs="Arial"/>
          <w:sz w:val="20"/>
        </w:rPr>
        <w:t xml:space="preserve">, the total number of </w:t>
      </w:r>
      <w:r w:rsidR="002266AC" w:rsidRPr="004A9D55">
        <w:rPr>
          <w:rFonts w:ascii="Arial" w:hAnsi="Arial" w:cs="Arial"/>
          <w:sz w:val="20"/>
        </w:rPr>
        <w:t xml:space="preserve">injury </w:t>
      </w:r>
      <w:r w:rsidR="00FC7694" w:rsidRPr="004A9D55">
        <w:rPr>
          <w:rFonts w:ascii="Arial" w:hAnsi="Arial" w:cs="Arial"/>
          <w:sz w:val="20"/>
        </w:rPr>
        <w:t xml:space="preserve">claims per 100 full-time workers only includes accepted injury claims </w:t>
      </w:r>
      <w:r w:rsidR="00EC6327" w:rsidRPr="004A9D55">
        <w:rPr>
          <w:rFonts w:ascii="Arial" w:hAnsi="Arial" w:cs="Arial"/>
          <w:sz w:val="20"/>
        </w:rPr>
        <w:t>for</w:t>
      </w:r>
      <w:r w:rsidR="00FC7694" w:rsidRPr="004A9D55">
        <w:rPr>
          <w:rFonts w:ascii="Arial" w:hAnsi="Arial" w:cs="Arial"/>
          <w:sz w:val="20"/>
        </w:rPr>
        <w:t xml:space="preserve"> </w:t>
      </w:r>
      <w:r w:rsidR="00B10046" w:rsidRPr="004A9D55">
        <w:rPr>
          <w:rFonts w:ascii="Arial" w:hAnsi="Arial" w:cs="Arial"/>
          <w:sz w:val="20"/>
        </w:rPr>
        <w:t xml:space="preserve">correctional </w:t>
      </w:r>
      <w:r w:rsidR="00FC7694" w:rsidRPr="004A9D55">
        <w:rPr>
          <w:rFonts w:ascii="Arial" w:hAnsi="Arial" w:cs="Arial"/>
          <w:sz w:val="20"/>
        </w:rPr>
        <w:t xml:space="preserve">staff </w:t>
      </w:r>
      <w:r w:rsidR="002266AC" w:rsidRPr="004A9D55">
        <w:rPr>
          <w:rFonts w:ascii="Arial" w:hAnsi="Arial" w:cs="Arial"/>
          <w:sz w:val="20"/>
        </w:rPr>
        <w:t>and</w:t>
      </w:r>
      <w:r w:rsidR="00FC7694" w:rsidRPr="004A9D55">
        <w:rPr>
          <w:rFonts w:ascii="Arial" w:hAnsi="Arial" w:cs="Arial"/>
          <w:sz w:val="20"/>
        </w:rPr>
        <w:t xml:space="preserve"> probation and parole officers.</w:t>
      </w:r>
    </w:p>
    <w:p w14:paraId="31F0C19B" w14:textId="77777777" w:rsidR="00E573C3" w:rsidRDefault="00E573C3" w:rsidP="007E39FA">
      <w:pPr>
        <w:autoSpaceDE w:val="0"/>
        <w:autoSpaceDN w:val="0"/>
        <w:adjustRightInd w:val="0"/>
        <w:jc w:val="both"/>
        <w:rPr>
          <w:rFonts w:ascii="Arial" w:hAnsi="Arial" w:cs="Arial"/>
          <w:sz w:val="20"/>
        </w:rPr>
      </w:pPr>
    </w:p>
    <w:p w14:paraId="24182C75" w14:textId="6C930815" w:rsidR="00E573C3" w:rsidRPr="00E53606" w:rsidRDefault="00E573C3" w:rsidP="007E39FA">
      <w:pPr>
        <w:autoSpaceDE w:val="0"/>
        <w:autoSpaceDN w:val="0"/>
        <w:adjustRightInd w:val="0"/>
        <w:jc w:val="both"/>
        <w:rPr>
          <w:rFonts w:ascii="Arial" w:hAnsi="Arial" w:cs="Arial"/>
          <w:sz w:val="20"/>
        </w:rPr>
      </w:pPr>
      <w:r w:rsidRPr="004A9D55">
        <w:rPr>
          <w:rFonts w:ascii="Arial" w:hAnsi="Arial" w:cs="Arial"/>
          <w:i/>
          <w:sz w:val="20"/>
        </w:rPr>
        <w:t>Impact:</w:t>
      </w:r>
      <w:r w:rsidR="00E53606" w:rsidRPr="004A9D55">
        <w:rPr>
          <w:rFonts w:ascii="Arial" w:hAnsi="Arial" w:cs="Arial"/>
          <w:i/>
          <w:sz w:val="20"/>
        </w:rPr>
        <w:t xml:space="preserve"> </w:t>
      </w:r>
      <w:r w:rsidR="00E53606" w:rsidRPr="004A9D55">
        <w:rPr>
          <w:rFonts w:ascii="Arial" w:hAnsi="Arial" w:cs="Arial"/>
          <w:sz w:val="20"/>
        </w:rPr>
        <w:t>The current injury rate</w:t>
      </w:r>
      <w:r w:rsidR="00EC6327" w:rsidRPr="004A9D55">
        <w:rPr>
          <w:rFonts w:ascii="Arial" w:hAnsi="Arial" w:cs="Arial"/>
          <w:sz w:val="20"/>
        </w:rPr>
        <w:t xml:space="preserve"> of 9.</w:t>
      </w:r>
      <w:r w:rsidR="7BF89994" w:rsidRPr="004A9D55">
        <w:rPr>
          <w:rFonts w:ascii="Arial" w:hAnsi="Arial" w:cs="Arial"/>
          <w:sz w:val="20"/>
        </w:rPr>
        <w:t>2</w:t>
      </w:r>
      <w:r w:rsidR="00E53606" w:rsidRPr="004A9D55">
        <w:rPr>
          <w:rFonts w:ascii="Arial" w:hAnsi="Arial" w:cs="Arial"/>
          <w:sz w:val="20"/>
        </w:rPr>
        <w:t xml:space="preserve"> is higher than the national rate of 7.7</w:t>
      </w:r>
      <w:r w:rsidR="00EC6327" w:rsidRPr="004A9D55">
        <w:rPr>
          <w:rFonts w:ascii="Arial" w:hAnsi="Arial" w:cs="Arial"/>
          <w:sz w:val="20"/>
        </w:rPr>
        <w:t>.</w:t>
      </w:r>
      <w:r w:rsidR="002266AC" w:rsidRPr="004A9D55">
        <w:rPr>
          <w:rFonts w:ascii="Arial" w:hAnsi="Arial" w:cs="Arial"/>
          <w:sz w:val="20"/>
        </w:rPr>
        <w:t xml:space="preserve"> IDOC will continue to focus on the safety of employees within all facilities and districts.</w:t>
      </w:r>
    </w:p>
    <w:p w14:paraId="39DD2614" w14:textId="77777777" w:rsidR="008E2ECD" w:rsidRPr="00D44808" w:rsidRDefault="008E2ECD" w:rsidP="007E39FA">
      <w:pPr>
        <w:jc w:val="both"/>
        <w:rPr>
          <w:rFonts w:ascii="Arial" w:hAnsi="Arial" w:cs="Arial"/>
          <w:b/>
          <w:sz w:val="20"/>
        </w:rPr>
      </w:pPr>
    </w:p>
    <w:p w14:paraId="740A95A5" w14:textId="3508CC71" w:rsidR="00022E83" w:rsidRPr="00D44808" w:rsidRDefault="11BA7C9A" w:rsidP="007E39FA">
      <w:pPr>
        <w:jc w:val="both"/>
        <w:rPr>
          <w:rFonts w:ascii="Arial" w:hAnsi="Arial" w:cs="Arial"/>
          <w:b/>
          <w:sz w:val="20"/>
        </w:rPr>
      </w:pPr>
      <w:bookmarkStart w:id="8" w:name="_Hlk48907251"/>
      <w:r w:rsidRPr="5D7D3133">
        <w:rPr>
          <w:rFonts w:ascii="Arial" w:hAnsi="Arial" w:cs="Arial"/>
          <w:b/>
          <w:bCs/>
          <w:sz w:val="20"/>
        </w:rPr>
        <w:t xml:space="preserve">Measure </w:t>
      </w:r>
      <w:r w:rsidR="6F45AD8B" w:rsidRPr="5D7D3133">
        <w:rPr>
          <w:rFonts w:ascii="Arial" w:hAnsi="Arial" w:cs="Arial"/>
          <w:b/>
          <w:bCs/>
          <w:sz w:val="20"/>
        </w:rPr>
        <w:t>6</w:t>
      </w:r>
      <w:r w:rsidRPr="5D7D3133">
        <w:rPr>
          <w:rFonts w:ascii="Arial" w:hAnsi="Arial" w:cs="Arial"/>
          <w:b/>
          <w:bCs/>
          <w:sz w:val="20"/>
        </w:rPr>
        <w:t xml:space="preserve">: </w:t>
      </w:r>
      <w:r w:rsidR="40BF6859" w:rsidRPr="5D7D3133">
        <w:rPr>
          <w:rFonts w:ascii="Arial" w:hAnsi="Arial" w:cs="Arial"/>
          <w:b/>
          <w:bCs/>
          <w:sz w:val="20"/>
        </w:rPr>
        <w:t>Reduction in length of time between open position announcement to hiring start date</w:t>
      </w:r>
      <w:r w:rsidR="73DD98F8" w:rsidRPr="5D7D3133">
        <w:rPr>
          <w:rFonts w:ascii="Arial" w:hAnsi="Arial" w:cs="Arial"/>
          <w:b/>
          <w:bCs/>
          <w:sz w:val="20"/>
        </w:rPr>
        <w:t xml:space="preserve"> </w:t>
      </w:r>
    </w:p>
    <w:p w14:paraId="2A29B484" w14:textId="168493FE" w:rsidR="677E7F2B" w:rsidRDefault="677E7F2B" w:rsidP="004A9D55">
      <w:pPr>
        <w:spacing w:line="259" w:lineRule="auto"/>
        <w:jc w:val="both"/>
        <w:rPr>
          <w:rFonts w:ascii="Arial" w:hAnsi="Arial" w:cs="Arial"/>
          <w:szCs w:val="24"/>
        </w:rPr>
      </w:pPr>
      <w:r w:rsidRPr="004A9D55">
        <w:rPr>
          <w:rFonts w:ascii="Arial" w:hAnsi="Arial" w:cs="Arial"/>
          <w:sz w:val="20"/>
        </w:rPr>
        <w:t xml:space="preserve">Over the course of the year, IDOC averaged </w:t>
      </w:r>
      <w:r w:rsidR="132B9FE5" w:rsidRPr="004A9D55">
        <w:rPr>
          <w:rFonts w:ascii="Arial" w:hAnsi="Arial" w:cs="Arial"/>
          <w:sz w:val="20"/>
        </w:rPr>
        <w:t>78 days between open announcement to hiring start date.</w:t>
      </w:r>
    </w:p>
    <w:p w14:paraId="259F4FA0" w14:textId="77777777" w:rsidR="00A236EE" w:rsidRPr="00D44808" w:rsidRDefault="00A236EE" w:rsidP="007E39FA">
      <w:pPr>
        <w:jc w:val="both"/>
        <w:rPr>
          <w:rFonts w:ascii="Arial" w:hAnsi="Arial" w:cs="Arial"/>
          <w:sz w:val="20"/>
          <w:highlight w:val="yellow"/>
        </w:rPr>
      </w:pPr>
    </w:p>
    <w:p w14:paraId="6BBE77C0" w14:textId="78544CCD" w:rsidR="00A236EE" w:rsidRPr="00D44808" w:rsidRDefault="00A236EE" w:rsidP="007E39FA">
      <w:pPr>
        <w:jc w:val="both"/>
        <w:rPr>
          <w:rFonts w:ascii="Arial" w:hAnsi="Arial" w:cs="Arial"/>
          <w:sz w:val="20"/>
        </w:rPr>
      </w:pPr>
      <w:r w:rsidRPr="004A9D55">
        <w:rPr>
          <w:rFonts w:ascii="Arial" w:hAnsi="Arial" w:cs="Arial"/>
          <w:i/>
          <w:iCs/>
          <w:sz w:val="20"/>
        </w:rPr>
        <w:t>Impact:</w:t>
      </w:r>
      <w:r w:rsidRPr="004A9D55">
        <w:rPr>
          <w:rFonts w:ascii="Arial" w:hAnsi="Arial" w:cs="Arial"/>
          <w:sz w:val="20"/>
        </w:rPr>
        <w:t xml:space="preserve"> </w:t>
      </w:r>
      <w:r w:rsidR="19BFEE53" w:rsidRPr="004A9D55">
        <w:rPr>
          <w:rFonts w:ascii="Arial" w:hAnsi="Arial" w:cs="Arial"/>
          <w:sz w:val="20"/>
        </w:rPr>
        <w:t xml:space="preserve"> By monitoring the length of time between open announcement to hiring date, IDOC will work towards shortening the </w:t>
      </w:r>
      <w:r w:rsidR="016F09A7" w:rsidRPr="004A9D55">
        <w:rPr>
          <w:rFonts w:ascii="Arial" w:hAnsi="Arial" w:cs="Arial"/>
          <w:sz w:val="20"/>
        </w:rPr>
        <w:t>hiring process to enable quicker onboarding of new personnel</w:t>
      </w:r>
      <w:r w:rsidR="672812A3" w:rsidRPr="004A9D55">
        <w:rPr>
          <w:rFonts w:ascii="Arial" w:hAnsi="Arial" w:cs="Arial"/>
          <w:sz w:val="20"/>
        </w:rPr>
        <w:t>.</w:t>
      </w:r>
      <w:r w:rsidR="00790B18">
        <w:rPr>
          <w:rFonts w:ascii="Arial" w:hAnsi="Arial" w:cs="Arial"/>
          <w:sz w:val="20"/>
        </w:rPr>
        <w:t xml:space="preserve"> </w:t>
      </w:r>
      <w:r w:rsidR="007422FE">
        <w:rPr>
          <w:rFonts w:ascii="Arial" w:hAnsi="Arial" w:cs="Arial"/>
          <w:sz w:val="20"/>
        </w:rPr>
        <w:t>Delays in hiring qualified candidates contributes to loss of talented candidates and results in</w:t>
      </w:r>
      <w:r w:rsidR="0017784D">
        <w:rPr>
          <w:rFonts w:ascii="Arial" w:hAnsi="Arial" w:cs="Arial"/>
          <w:sz w:val="20"/>
        </w:rPr>
        <w:t xml:space="preserve"> higher position vacancy rates, which have cascading </w:t>
      </w:r>
      <w:r w:rsidR="005458E7">
        <w:rPr>
          <w:rFonts w:ascii="Arial" w:hAnsi="Arial" w:cs="Arial"/>
          <w:sz w:val="20"/>
        </w:rPr>
        <w:t xml:space="preserve">negative </w:t>
      </w:r>
      <w:r w:rsidR="0017784D">
        <w:rPr>
          <w:rFonts w:ascii="Arial" w:hAnsi="Arial" w:cs="Arial"/>
          <w:sz w:val="20"/>
        </w:rPr>
        <w:t xml:space="preserve">impacts on </w:t>
      </w:r>
      <w:r w:rsidR="00A163AB">
        <w:rPr>
          <w:rFonts w:ascii="Arial" w:hAnsi="Arial" w:cs="Arial"/>
          <w:sz w:val="20"/>
        </w:rPr>
        <w:t xml:space="preserve">existing staff’s </w:t>
      </w:r>
      <w:r w:rsidR="005458E7">
        <w:rPr>
          <w:rFonts w:ascii="Arial" w:hAnsi="Arial" w:cs="Arial"/>
          <w:sz w:val="20"/>
        </w:rPr>
        <w:t>morale and workload.</w:t>
      </w:r>
    </w:p>
    <w:bookmarkEnd w:id="8"/>
    <w:p w14:paraId="0504FDA9" w14:textId="77777777" w:rsidR="0064088F" w:rsidRPr="00B10046" w:rsidRDefault="0064088F" w:rsidP="007E39FA">
      <w:pPr>
        <w:jc w:val="both"/>
        <w:rPr>
          <w:rFonts w:ascii="Arial" w:hAnsi="Arial" w:cs="Arial"/>
          <w:b/>
          <w:bCs/>
          <w:sz w:val="20"/>
        </w:rPr>
      </w:pPr>
    </w:p>
    <w:p w14:paraId="1C35D4C5" w14:textId="733650DC" w:rsidR="00B10046" w:rsidRPr="00B10046" w:rsidRDefault="3ECB78D0" w:rsidP="332B5044">
      <w:pPr>
        <w:autoSpaceDE w:val="0"/>
        <w:autoSpaceDN w:val="0"/>
        <w:adjustRightInd w:val="0"/>
        <w:jc w:val="both"/>
        <w:rPr>
          <w:rFonts w:ascii="Arial" w:hAnsi="Arial" w:cs="Arial"/>
          <w:b/>
          <w:bCs/>
          <w:sz w:val="20"/>
        </w:rPr>
      </w:pPr>
      <w:bookmarkStart w:id="9" w:name="OLE_LINK3"/>
      <w:bookmarkStart w:id="10" w:name="OLE_LINK4"/>
      <w:r w:rsidRPr="332B5044">
        <w:rPr>
          <w:rFonts w:ascii="Arial" w:hAnsi="Arial" w:cs="Arial"/>
          <w:b/>
          <w:bCs/>
          <w:sz w:val="20"/>
        </w:rPr>
        <w:t xml:space="preserve">Measure </w:t>
      </w:r>
      <w:r w:rsidR="6F45AD8B" w:rsidRPr="332B5044">
        <w:rPr>
          <w:rFonts w:ascii="Arial" w:hAnsi="Arial" w:cs="Arial"/>
          <w:b/>
          <w:bCs/>
          <w:sz w:val="20"/>
        </w:rPr>
        <w:t>7</w:t>
      </w:r>
      <w:r w:rsidR="6D14B3EE" w:rsidRPr="332B5044">
        <w:rPr>
          <w:rFonts w:ascii="Arial" w:hAnsi="Arial" w:cs="Arial"/>
          <w:b/>
          <w:bCs/>
          <w:sz w:val="20"/>
        </w:rPr>
        <w:t xml:space="preserve">: </w:t>
      </w:r>
      <w:bookmarkEnd w:id="9"/>
      <w:bookmarkEnd w:id="10"/>
      <w:r w:rsidR="006A13A1" w:rsidRPr="332B5044">
        <w:rPr>
          <w:rFonts w:ascii="Arial" w:hAnsi="Arial" w:cs="Arial"/>
          <w:b/>
          <w:bCs/>
          <w:sz w:val="20"/>
        </w:rPr>
        <w:t xml:space="preserve">Invest </w:t>
      </w:r>
      <w:r w:rsidR="4F39054F" w:rsidRPr="332B5044">
        <w:rPr>
          <w:rFonts w:ascii="Arial" w:hAnsi="Arial" w:cs="Arial"/>
          <w:b/>
          <w:bCs/>
          <w:sz w:val="20"/>
        </w:rPr>
        <w:t xml:space="preserve">an increasing </w:t>
      </w:r>
      <w:r w:rsidR="002B65A3" w:rsidRPr="332B5044">
        <w:rPr>
          <w:rFonts w:ascii="Arial" w:hAnsi="Arial" w:cs="Arial"/>
          <w:b/>
          <w:bCs/>
          <w:sz w:val="20"/>
        </w:rPr>
        <w:t>amount</w:t>
      </w:r>
      <w:r w:rsidR="4F39054F" w:rsidRPr="332B5044">
        <w:rPr>
          <w:rFonts w:ascii="Arial" w:hAnsi="Arial" w:cs="Arial"/>
          <w:b/>
          <w:bCs/>
          <w:sz w:val="20"/>
        </w:rPr>
        <w:t xml:space="preserve"> </w:t>
      </w:r>
      <w:r w:rsidR="00F610F1" w:rsidRPr="332B5044">
        <w:rPr>
          <w:rFonts w:ascii="Arial" w:hAnsi="Arial" w:cs="Arial"/>
          <w:b/>
          <w:bCs/>
          <w:sz w:val="20"/>
        </w:rPr>
        <w:t>in</w:t>
      </w:r>
      <w:r w:rsidR="4F39054F" w:rsidRPr="332B5044">
        <w:rPr>
          <w:rFonts w:ascii="Arial" w:hAnsi="Arial" w:cs="Arial"/>
          <w:b/>
          <w:bCs/>
          <w:sz w:val="20"/>
        </w:rPr>
        <w:t xml:space="preserve"> fostering success in the community rather than incarceration</w:t>
      </w:r>
    </w:p>
    <w:p w14:paraId="6E498155" w14:textId="1B3DAD44" w:rsidR="00B700B7" w:rsidRDefault="52C37FE2" w:rsidP="2EDD34BC">
      <w:pPr>
        <w:autoSpaceDE w:val="0"/>
        <w:autoSpaceDN w:val="0"/>
        <w:adjustRightInd w:val="0"/>
        <w:jc w:val="both"/>
        <w:rPr>
          <w:rFonts w:ascii="Arial" w:hAnsi="Arial" w:cs="Arial"/>
          <w:sz w:val="20"/>
        </w:rPr>
      </w:pPr>
      <w:r w:rsidRPr="332B5044">
        <w:rPr>
          <w:rFonts w:ascii="Arial" w:hAnsi="Arial" w:cs="Arial"/>
          <w:sz w:val="20"/>
        </w:rPr>
        <w:t>The FY21 b</w:t>
      </w:r>
      <w:r w:rsidR="00854022" w:rsidRPr="332B5044">
        <w:rPr>
          <w:rFonts w:ascii="Arial" w:hAnsi="Arial" w:cs="Arial"/>
          <w:sz w:val="20"/>
        </w:rPr>
        <w:t xml:space="preserve">enchmark </w:t>
      </w:r>
      <w:r w:rsidR="6BB2B9F3" w:rsidRPr="332B5044">
        <w:rPr>
          <w:rFonts w:ascii="Arial" w:hAnsi="Arial" w:cs="Arial"/>
          <w:sz w:val="20"/>
        </w:rPr>
        <w:t>was</w:t>
      </w:r>
      <w:r w:rsidR="00854022" w:rsidRPr="332B5044">
        <w:rPr>
          <w:rFonts w:ascii="Arial" w:hAnsi="Arial" w:cs="Arial"/>
          <w:sz w:val="20"/>
        </w:rPr>
        <w:t xml:space="preserve"> </w:t>
      </w:r>
      <w:r w:rsidR="00EC7828" w:rsidRPr="332B5044">
        <w:rPr>
          <w:rFonts w:ascii="Arial" w:hAnsi="Arial" w:cs="Arial"/>
          <w:sz w:val="20"/>
        </w:rPr>
        <w:t>to increase</w:t>
      </w:r>
      <w:r w:rsidR="00802AF1" w:rsidRPr="332B5044">
        <w:rPr>
          <w:rFonts w:ascii="Arial" w:hAnsi="Arial" w:cs="Arial"/>
          <w:sz w:val="20"/>
        </w:rPr>
        <w:t>,</w:t>
      </w:r>
      <w:r w:rsidR="00EC7828" w:rsidRPr="332B5044">
        <w:rPr>
          <w:rFonts w:ascii="Arial" w:hAnsi="Arial" w:cs="Arial"/>
          <w:sz w:val="20"/>
        </w:rPr>
        <w:t xml:space="preserve"> by </w:t>
      </w:r>
      <w:r w:rsidR="00854022" w:rsidRPr="332B5044">
        <w:rPr>
          <w:rFonts w:ascii="Arial" w:hAnsi="Arial" w:cs="Arial"/>
          <w:sz w:val="20"/>
        </w:rPr>
        <w:t>1</w:t>
      </w:r>
      <w:r w:rsidR="53DE0951" w:rsidRPr="332B5044">
        <w:rPr>
          <w:rFonts w:ascii="Arial" w:hAnsi="Arial" w:cs="Arial"/>
          <w:sz w:val="20"/>
        </w:rPr>
        <w:t>.</w:t>
      </w:r>
      <w:r w:rsidR="00EC7828" w:rsidRPr="332B5044">
        <w:rPr>
          <w:rFonts w:ascii="Arial" w:hAnsi="Arial" w:cs="Arial"/>
          <w:sz w:val="20"/>
        </w:rPr>
        <w:t>5</w:t>
      </w:r>
      <w:r w:rsidR="00854022" w:rsidRPr="332B5044">
        <w:rPr>
          <w:rFonts w:ascii="Arial" w:hAnsi="Arial" w:cs="Arial"/>
          <w:sz w:val="20"/>
        </w:rPr>
        <w:t>% of the total IDOC budget</w:t>
      </w:r>
      <w:r w:rsidR="00802AF1" w:rsidRPr="332B5044">
        <w:rPr>
          <w:rFonts w:ascii="Arial" w:hAnsi="Arial" w:cs="Arial"/>
          <w:sz w:val="20"/>
        </w:rPr>
        <w:t>,</w:t>
      </w:r>
      <w:r w:rsidR="00A96E85" w:rsidRPr="332B5044">
        <w:rPr>
          <w:rFonts w:ascii="Arial" w:hAnsi="Arial" w:cs="Arial"/>
          <w:sz w:val="20"/>
        </w:rPr>
        <w:t xml:space="preserve"> </w:t>
      </w:r>
      <w:r w:rsidR="000854A1" w:rsidRPr="332B5044">
        <w:rPr>
          <w:rFonts w:ascii="Arial" w:hAnsi="Arial" w:cs="Arial"/>
          <w:sz w:val="20"/>
        </w:rPr>
        <w:t xml:space="preserve">the investment in </w:t>
      </w:r>
      <w:r w:rsidR="00061286" w:rsidRPr="332B5044">
        <w:rPr>
          <w:rFonts w:ascii="Arial" w:hAnsi="Arial" w:cs="Arial"/>
          <w:sz w:val="20"/>
        </w:rPr>
        <w:t>Community Corrections each year.  This year</w:t>
      </w:r>
      <w:r w:rsidR="344F2654" w:rsidRPr="332B5044">
        <w:rPr>
          <w:rFonts w:ascii="Arial" w:hAnsi="Arial" w:cs="Arial"/>
          <w:sz w:val="20"/>
        </w:rPr>
        <w:t>,</w:t>
      </w:r>
      <w:r w:rsidR="00061286" w:rsidRPr="332B5044">
        <w:rPr>
          <w:rFonts w:ascii="Arial" w:hAnsi="Arial" w:cs="Arial"/>
          <w:sz w:val="20"/>
        </w:rPr>
        <w:t xml:space="preserve"> IDOC </w:t>
      </w:r>
      <w:r w:rsidR="006F58C2" w:rsidRPr="332B5044">
        <w:rPr>
          <w:rFonts w:ascii="Arial" w:hAnsi="Arial" w:cs="Arial"/>
          <w:sz w:val="20"/>
        </w:rPr>
        <w:t>invested an additional</w:t>
      </w:r>
      <w:r w:rsidR="00061286" w:rsidRPr="332B5044">
        <w:rPr>
          <w:rFonts w:ascii="Arial" w:hAnsi="Arial" w:cs="Arial"/>
          <w:sz w:val="20"/>
        </w:rPr>
        <w:t xml:space="preserve"> </w:t>
      </w:r>
      <w:r w:rsidR="00070C45" w:rsidRPr="332B5044">
        <w:rPr>
          <w:rFonts w:ascii="Arial" w:hAnsi="Arial" w:cs="Arial"/>
          <w:sz w:val="20"/>
        </w:rPr>
        <w:t xml:space="preserve">.05% of the total budget </w:t>
      </w:r>
      <w:r w:rsidR="00FD2C2C" w:rsidRPr="332B5044">
        <w:rPr>
          <w:rFonts w:ascii="Arial" w:hAnsi="Arial" w:cs="Arial"/>
          <w:sz w:val="20"/>
        </w:rPr>
        <w:t>in</w:t>
      </w:r>
      <w:r w:rsidR="00070C45" w:rsidRPr="332B5044">
        <w:rPr>
          <w:rFonts w:ascii="Arial" w:hAnsi="Arial" w:cs="Arial"/>
          <w:sz w:val="20"/>
        </w:rPr>
        <w:t xml:space="preserve"> </w:t>
      </w:r>
      <w:r w:rsidR="00102025" w:rsidRPr="332B5044">
        <w:rPr>
          <w:rFonts w:ascii="Arial" w:hAnsi="Arial" w:cs="Arial"/>
          <w:sz w:val="20"/>
        </w:rPr>
        <w:t>Community Corrections.</w:t>
      </w:r>
    </w:p>
    <w:p w14:paraId="27A02CD8" w14:textId="77777777" w:rsidR="0064223E" w:rsidRDefault="0064223E" w:rsidP="007E39FA">
      <w:pPr>
        <w:autoSpaceDE w:val="0"/>
        <w:autoSpaceDN w:val="0"/>
        <w:adjustRightInd w:val="0"/>
        <w:jc w:val="both"/>
        <w:rPr>
          <w:rFonts w:ascii="Arial" w:hAnsi="Arial" w:cs="Arial"/>
          <w:sz w:val="20"/>
        </w:rPr>
      </w:pPr>
    </w:p>
    <w:p w14:paraId="3A3AB933" w14:textId="10DC7D13" w:rsidR="00102025" w:rsidRDefault="00576B26" w:rsidP="007E39FA">
      <w:pPr>
        <w:autoSpaceDE w:val="0"/>
        <w:autoSpaceDN w:val="0"/>
        <w:adjustRightInd w:val="0"/>
        <w:jc w:val="both"/>
        <w:rPr>
          <w:rFonts w:ascii="Arial" w:hAnsi="Arial" w:cs="Arial"/>
          <w:sz w:val="20"/>
        </w:rPr>
      </w:pPr>
      <w:r>
        <w:rPr>
          <w:noProof/>
        </w:rPr>
        <w:drawing>
          <wp:inline distT="0" distB="0" distL="0" distR="0" wp14:anchorId="75B6FC91" wp14:editId="60B5DC26">
            <wp:extent cx="6400800" cy="1311275"/>
            <wp:effectExtent l="0" t="0" r="0" b="3175"/>
            <wp:docPr id="2" name="Picture 1">
              <a:extLst xmlns:a="http://schemas.openxmlformats.org/drawingml/2006/main">
                <a:ext uri="{FF2B5EF4-FFF2-40B4-BE49-F238E27FC236}">
                  <a16:creationId xmlns:a16="http://schemas.microsoft.com/office/drawing/2014/main" id="{574AAA41-407B-40F6-A379-ACBBEB6B5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574AAA41-407B-40F6-A379-ACBBEB6B538E}"/>
                        </a:ext>
                      </a:extLst>
                    </pic:cNvPr>
                    <pic:cNvPicPr>
                      <a:picLocks noChangeAspect="1" noChangeArrowheads="1"/>
                      <a:extLst>
                        <a:ext uri="{84589F7E-364E-4C9E-8A38-B11213B215E9}">
                          <a14:cameraTool xmlns:a14="http://schemas.microsoft.com/office/drawing/2010/main" cellRange="$A$2:$G$8"/>
                        </a:ext>
                      </a:extLst>
                    </pic:cNvPicPr>
                  </pic:nvPicPr>
                  <pic:blipFill>
                    <a:blip r:embed="rId13"/>
                    <a:srcRect/>
                    <a:stretch>
                      <a:fillRect/>
                    </a:stretch>
                  </pic:blipFill>
                  <pic:spPr bwMode="auto">
                    <a:xfrm>
                      <a:off x="0" y="0"/>
                      <a:ext cx="6400800" cy="1311275"/>
                    </a:xfrm>
                    <a:prstGeom prst="rect">
                      <a:avLst/>
                    </a:prstGeom>
                    <a:solidFill>
                      <a:srgbClr xmlns:a14="http://schemas.microsoft.com/office/drawing/2010/main" val="FFFFFF" mc:Ignorable="a14" a14:legacySpreadsheetColorIndex="9"/>
                    </a:solidFill>
                    <a:ln w="9525">
                      <a:noFill/>
                      <a:miter lim="800000"/>
                      <a:headEnd/>
                      <a:tailEnd/>
                    </a:ln>
                  </pic:spPr>
                </pic:pic>
              </a:graphicData>
            </a:graphic>
          </wp:inline>
        </w:drawing>
      </w:r>
    </w:p>
    <w:p w14:paraId="797B70D1" w14:textId="4C2C25DF" w:rsidR="00102025" w:rsidRDefault="15EDCFD2" w:rsidP="007E39FA">
      <w:pPr>
        <w:autoSpaceDE w:val="0"/>
        <w:autoSpaceDN w:val="0"/>
        <w:adjustRightInd w:val="0"/>
        <w:jc w:val="both"/>
        <w:rPr>
          <w:rFonts w:ascii="Arial" w:hAnsi="Arial" w:cs="Arial"/>
          <w:i/>
          <w:sz w:val="20"/>
        </w:rPr>
      </w:pPr>
      <w:r w:rsidRPr="004A9D55">
        <w:rPr>
          <w:rFonts w:ascii="Arial" w:hAnsi="Arial" w:cs="Arial"/>
          <w:i/>
          <w:iCs/>
          <w:sz w:val="20"/>
        </w:rPr>
        <w:t xml:space="preserve">Impact: </w:t>
      </w:r>
      <w:r w:rsidRPr="004A9D55">
        <w:rPr>
          <w:rFonts w:ascii="Arial" w:hAnsi="Arial" w:cs="Arial"/>
          <w:sz w:val="20"/>
        </w:rPr>
        <w:t xml:space="preserve">Monitoring the portion of IDOC’s budget spent on the community rather than prisons establishes the goal for IDOC that </w:t>
      </w:r>
      <w:r w:rsidR="3B248562" w:rsidRPr="004A9D55">
        <w:rPr>
          <w:rFonts w:ascii="Arial" w:hAnsi="Arial" w:cs="Arial"/>
          <w:sz w:val="20"/>
        </w:rPr>
        <w:t>we will strive to provide more resources to those on supervision</w:t>
      </w:r>
      <w:r w:rsidR="00FD2C2C">
        <w:rPr>
          <w:rFonts w:ascii="Arial" w:hAnsi="Arial" w:cs="Arial"/>
          <w:sz w:val="20"/>
        </w:rPr>
        <w:t>, where</w:t>
      </w:r>
      <w:r w:rsidR="00DB2951">
        <w:rPr>
          <w:rFonts w:ascii="Arial" w:hAnsi="Arial" w:cs="Arial"/>
          <w:sz w:val="20"/>
        </w:rPr>
        <w:t xml:space="preserve"> we can have greater impacts on reducing crime. The research is clear that </w:t>
      </w:r>
      <w:r w:rsidR="002D4010">
        <w:rPr>
          <w:rFonts w:ascii="Arial" w:hAnsi="Arial" w:cs="Arial"/>
          <w:sz w:val="20"/>
        </w:rPr>
        <w:t>community interventions generate the biggest reductions in recidivism</w:t>
      </w:r>
      <w:r w:rsidR="0092649E">
        <w:rPr>
          <w:rFonts w:ascii="Arial" w:hAnsi="Arial" w:cs="Arial"/>
          <w:sz w:val="20"/>
        </w:rPr>
        <w:t>, outweighing even the best prison-based interventions.</w:t>
      </w:r>
      <w:r w:rsidR="002D4010">
        <w:rPr>
          <w:rFonts w:ascii="Arial" w:hAnsi="Arial" w:cs="Arial"/>
          <w:sz w:val="20"/>
        </w:rPr>
        <w:t xml:space="preserve"> </w:t>
      </w:r>
    </w:p>
    <w:p w14:paraId="1E1E49EA" w14:textId="77777777" w:rsidR="00102025" w:rsidRDefault="00102025" w:rsidP="007E39FA">
      <w:pPr>
        <w:autoSpaceDE w:val="0"/>
        <w:autoSpaceDN w:val="0"/>
        <w:adjustRightInd w:val="0"/>
        <w:jc w:val="both"/>
        <w:rPr>
          <w:rFonts w:ascii="Arial" w:hAnsi="Arial" w:cs="Arial"/>
          <w:sz w:val="20"/>
        </w:rPr>
      </w:pPr>
    </w:p>
    <w:p w14:paraId="2ABECDE3" w14:textId="547533F9" w:rsidR="73DD98F8" w:rsidRDefault="73DD98F8" w:rsidP="5D7D3133">
      <w:pPr>
        <w:spacing w:line="259" w:lineRule="auto"/>
        <w:jc w:val="both"/>
        <w:rPr>
          <w:rFonts w:ascii="Arial" w:hAnsi="Arial" w:cs="Arial"/>
          <w:b/>
          <w:bCs/>
          <w:szCs w:val="24"/>
        </w:rPr>
      </w:pPr>
      <w:r w:rsidRPr="5D7D3133">
        <w:rPr>
          <w:rFonts w:ascii="Arial" w:hAnsi="Arial" w:cs="Arial"/>
          <w:b/>
          <w:bCs/>
          <w:sz w:val="20"/>
        </w:rPr>
        <w:lastRenderedPageBreak/>
        <w:t xml:space="preserve">Measure 8: </w:t>
      </w:r>
      <w:r w:rsidR="42E592DE" w:rsidRPr="5D7D3133">
        <w:rPr>
          <w:rFonts w:ascii="Arial" w:hAnsi="Arial" w:cs="Arial"/>
          <w:b/>
          <w:bCs/>
          <w:sz w:val="20"/>
        </w:rPr>
        <w:t>Reduction in county jail length of stay for state-sentenced individuals awaiting admission to IDOC facilities</w:t>
      </w:r>
    </w:p>
    <w:p w14:paraId="2F55477A" w14:textId="27D06116" w:rsidR="4A2AE603" w:rsidRDefault="4A2AE603" w:rsidP="004A9D55">
      <w:pPr>
        <w:jc w:val="both"/>
        <w:rPr>
          <w:rFonts w:ascii="Arial" w:eastAsia="Arial" w:hAnsi="Arial" w:cs="Arial"/>
          <w:color w:val="0C0C0C"/>
          <w:sz w:val="20"/>
        </w:rPr>
      </w:pPr>
      <w:r w:rsidRPr="004A9D55">
        <w:rPr>
          <w:rFonts w:ascii="Arial" w:eastAsia="Arial" w:hAnsi="Arial" w:cs="Arial"/>
          <w:color w:val="000000" w:themeColor="text1"/>
          <w:sz w:val="20"/>
        </w:rPr>
        <w:t>In FY20, IDOC spent $23,333,232 housing people in county jails (and providing their medical care and transportation) prior to admission to a state facility. During jail time, incarcerated individuals cannot participate in IDOC programs that help reduce risk, so it is important for IDOC to efficiently move people into state facilities where the rehabilitation process can begin in earnest.</w:t>
      </w:r>
      <w:r w:rsidRPr="004A9D55">
        <w:rPr>
          <w:rFonts w:ascii="Arial" w:eastAsia="Arial" w:hAnsi="Arial" w:cs="Arial"/>
          <w:i/>
          <w:iCs/>
          <w:color w:val="00B0F0"/>
          <w:sz w:val="20"/>
        </w:rPr>
        <w:t xml:space="preserve"> </w:t>
      </w:r>
      <w:r w:rsidRPr="004A9D55">
        <w:rPr>
          <w:rFonts w:ascii="Arial" w:eastAsia="Arial" w:hAnsi="Arial" w:cs="Arial"/>
          <w:color w:val="0C0C0C"/>
          <w:sz w:val="20"/>
        </w:rPr>
        <w:t xml:space="preserve">Investments in technology, transportation and movement will decrease county jail length of stay by more swiftly bringing people into state custody and assigning them to facilities that offer the requisite programming for release. In FY21, </w:t>
      </w:r>
      <w:r w:rsidR="703DD5E8" w:rsidRPr="004A9D55">
        <w:rPr>
          <w:rFonts w:ascii="Arial" w:eastAsia="Arial" w:hAnsi="Arial" w:cs="Arial"/>
          <w:color w:val="0C0C0C"/>
          <w:sz w:val="20"/>
        </w:rPr>
        <w:t>the average length of stay in county jails prior to incarceration within IDOC was 58 days.</w:t>
      </w:r>
    </w:p>
    <w:p w14:paraId="3B4BA9A6" w14:textId="3A074EE6" w:rsidR="004A9D55" w:rsidRDefault="004A9D55" w:rsidP="004A9D55">
      <w:pPr>
        <w:jc w:val="both"/>
        <w:rPr>
          <w:rFonts w:ascii="Arial" w:hAnsi="Arial" w:cs="Arial"/>
          <w:szCs w:val="24"/>
        </w:rPr>
      </w:pPr>
    </w:p>
    <w:p w14:paraId="6D3986F8" w14:textId="356D5A62" w:rsidR="00031E6B" w:rsidRPr="00D44808" w:rsidRDefault="00F06654">
      <w:pPr>
        <w:jc w:val="both"/>
        <w:rPr>
          <w:rFonts w:ascii="Arial" w:hAnsi="Arial" w:cs="Arial"/>
          <w:sz w:val="20"/>
        </w:rPr>
      </w:pPr>
      <w:r w:rsidRPr="1A3B9153">
        <w:rPr>
          <w:rFonts w:ascii="Arial" w:hAnsi="Arial" w:cs="Arial"/>
          <w:i/>
          <w:iCs/>
          <w:sz w:val="20"/>
        </w:rPr>
        <w:t>Impact:</w:t>
      </w:r>
      <w:r w:rsidRPr="1A3B9153">
        <w:rPr>
          <w:rFonts w:ascii="Arial" w:hAnsi="Arial" w:cs="Arial"/>
          <w:sz w:val="20"/>
        </w:rPr>
        <w:t xml:space="preserve"> </w:t>
      </w:r>
      <w:r w:rsidR="42529774" w:rsidRPr="1A3B9153">
        <w:rPr>
          <w:rFonts w:ascii="Arial" w:hAnsi="Arial" w:cs="Arial"/>
          <w:sz w:val="20"/>
        </w:rPr>
        <w:t>IDOC monitors how long individuals are housed in county jails</w:t>
      </w:r>
      <w:r w:rsidR="008C5BAF">
        <w:rPr>
          <w:rFonts w:ascii="Arial" w:hAnsi="Arial" w:cs="Arial"/>
          <w:sz w:val="20"/>
        </w:rPr>
        <w:t>,</w:t>
      </w:r>
      <w:r w:rsidR="42529774" w:rsidRPr="1A3B9153">
        <w:rPr>
          <w:rFonts w:ascii="Arial" w:hAnsi="Arial" w:cs="Arial"/>
          <w:sz w:val="20"/>
        </w:rPr>
        <w:t xml:space="preserve"> prior to prison</w:t>
      </w:r>
      <w:r w:rsidR="008C5BAF">
        <w:rPr>
          <w:rFonts w:ascii="Arial" w:hAnsi="Arial" w:cs="Arial"/>
          <w:sz w:val="20"/>
        </w:rPr>
        <w:t xml:space="preserve"> admission,</w:t>
      </w:r>
      <w:r w:rsidR="42529774" w:rsidRPr="1A3B9153">
        <w:rPr>
          <w:rFonts w:ascii="Arial" w:hAnsi="Arial" w:cs="Arial"/>
          <w:sz w:val="20"/>
        </w:rPr>
        <w:t xml:space="preserve"> </w:t>
      </w:r>
      <w:r w:rsidR="00E53205">
        <w:rPr>
          <w:rFonts w:ascii="Arial" w:hAnsi="Arial" w:cs="Arial"/>
          <w:sz w:val="20"/>
        </w:rPr>
        <w:t xml:space="preserve">as a measure of </w:t>
      </w:r>
      <w:r w:rsidR="00630D02">
        <w:rPr>
          <w:rFonts w:ascii="Arial" w:hAnsi="Arial" w:cs="Arial"/>
          <w:sz w:val="20"/>
        </w:rPr>
        <w:t xml:space="preserve">how effectively </w:t>
      </w:r>
      <w:r w:rsidR="00A14043">
        <w:rPr>
          <w:rFonts w:ascii="Arial" w:hAnsi="Arial" w:cs="Arial"/>
          <w:sz w:val="20"/>
        </w:rPr>
        <w:t>we are</w:t>
      </w:r>
      <w:r w:rsidR="00BD2DFB">
        <w:rPr>
          <w:rFonts w:ascii="Arial" w:hAnsi="Arial" w:cs="Arial"/>
          <w:sz w:val="20"/>
        </w:rPr>
        <w:t xml:space="preserve"> allocating resources and </w:t>
      </w:r>
      <w:r w:rsidR="00DE0677">
        <w:rPr>
          <w:rFonts w:ascii="Arial" w:hAnsi="Arial" w:cs="Arial"/>
          <w:sz w:val="20"/>
        </w:rPr>
        <w:t>ensuring that justice-involved individuals have access to rehabilitative programming.</w:t>
      </w:r>
    </w:p>
    <w:p w14:paraId="52FBCE2E" w14:textId="77777777" w:rsidR="0040659E" w:rsidRPr="00D44808" w:rsidRDefault="0040659E">
      <w:pPr>
        <w:jc w:val="both"/>
        <w:rPr>
          <w:rFonts w:ascii="Arial" w:hAnsi="Arial" w:cs="Arial"/>
          <w:sz w:val="20"/>
        </w:rPr>
      </w:pPr>
    </w:p>
    <w:p w14:paraId="10176344" w14:textId="179516B0" w:rsidR="61350CB8" w:rsidRDefault="61350CB8" w:rsidP="5D7D3133">
      <w:pPr>
        <w:jc w:val="both"/>
        <w:rPr>
          <w:rFonts w:ascii="Arial" w:hAnsi="Arial" w:cs="Arial"/>
          <w:sz w:val="20"/>
        </w:rPr>
      </w:pPr>
      <w:r w:rsidRPr="5D7D3133">
        <w:rPr>
          <w:rFonts w:ascii="Arial" w:hAnsi="Arial" w:cs="Arial"/>
          <w:b/>
          <w:bCs/>
          <w:sz w:val="20"/>
        </w:rPr>
        <w:t xml:space="preserve">Measure 9: </w:t>
      </w:r>
      <w:r w:rsidR="0F1DE316" w:rsidRPr="5D7D3133">
        <w:rPr>
          <w:rFonts w:ascii="Arial" w:hAnsi="Arial" w:cs="Arial"/>
          <w:b/>
          <w:bCs/>
          <w:sz w:val="20"/>
        </w:rPr>
        <w:t>Increase in number of performance-based incentive payments earned by vendors</w:t>
      </w:r>
    </w:p>
    <w:p w14:paraId="68FB4117" w14:textId="49682DB1" w:rsidR="5542ABFC" w:rsidRDefault="5542ABFC" w:rsidP="5D7D3133">
      <w:pPr>
        <w:spacing w:line="259" w:lineRule="auto"/>
        <w:jc w:val="both"/>
        <w:rPr>
          <w:rFonts w:ascii="Arial" w:eastAsia="Arial" w:hAnsi="Arial" w:cs="Arial"/>
          <w:szCs w:val="24"/>
        </w:rPr>
      </w:pPr>
      <w:r w:rsidRPr="5D7D3133">
        <w:rPr>
          <w:rFonts w:ascii="Arial" w:hAnsi="Arial" w:cs="Arial"/>
          <w:sz w:val="20"/>
        </w:rPr>
        <w:t xml:space="preserve">In FY20 IDOC drafted an RFP for Medical and Medical Healthcare Services which includes performance-based incentive payments. The procurement process was started and the contract </w:t>
      </w:r>
      <w:r w:rsidR="653C0769" w:rsidRPr="5D7D3133">
        <w:rPr>
          <w:rFonts w:ascii="Arial" w:hAnsi="Arial" w:cs="Arial"/>
          <w:sz w:val="20"/>
        </w:rPr>
        <w:t>will b</w:t>
      </w:r>
      <w:r w:rsidRPr="5D7D3133">
        <w:rPr>
          <w:rFonts w:ascii="Arial" w:hAnsi="Arial" w:cs="Arial"/>
          <w:sz w:val="20"/>
        </w:rPr>
        <w:t>e awarded</w:t>
      </w:r>
      <w:r w:rsidR="59700E87" w:rsidRPr="5D7D3133">
        <w:rPr>
          <w:rFonts w:ascii="Arial" w:hAnsi="Arial" w:cs="Arial"/>
          <w:sz w:val="20"/>
        </w:rPr>
        <w:t xml:space="preserve"> in FY22. The contract will have 32 audit criteria for which a contractor can </w:t>
      </w:r>
      <w:r w:rsidR="02AF2D12" w:rsidRPr="5D7D3133">
        <w:rPr>
          <w:rFonts w:ascii="Arial" w:hAnsi="Arial" w:cs="Arial"/>
          <w:sz w:val="20"/>
        </w:rPr>
        <w:t xml:space="preserve">either </w:t>
      </w:r>
      <w:r w:rsidR="59700E87" w:rsidRPr="5D7D3133">
        <w:rPr>
          <w:rFonts w:ascii="Arial" w:hAnsi="Arial" w:cs="Arial"/>
          <w:sz w:val="20"/>
        </w:rPr>
        <w:t>earn an incentive or be required to retu</w:t>
      </w:r>
      <w:r w:rsidR="05E994D1" w:rsidRPr="5D7D3133">
        <w:rPr>
          <w:rFonts w:ascii="Arial" w:hAnsi="Arial" w:cs="Arial"/>
          <w:sz w:val="20"/>
        </w:rPr>
        <w:t>r</w:t>
      </w:r>
      <w:r w:rsidR="59700E87" w:rsidRPr="5D7D3133">
        <w:rPr>
          <w:rFonts w:ascii="Arial" w:hAnsi="Arial" w:cs="Arial"/>
          <w:sz w:val="20"/>
        </w:rPr>
        <w:t>n funds to IDOC if failing the audit</w:t>
      </w:r>
      <w:r w:rsidR="586EDAA1" w:rsidRPr="5D7D3133">
        <w:rPr>
          <w:rFonts w:ascii="Arial" w:hAnsi="Arial" w:cs="Arial"/>
          <w:sz w:val="20"/>
        </w:rPr>
        <w:t>.</w:t>
      </w:r>
      <w:r w:rsidR="0233F411" w:rsidRPr="5D7D3133">
        <w:rPr>
          <w:rFonts w:ascii="Arial" w:eastAsia="Arial" w:hAnsi="Arial" w:cs="Arial"/>
          <w:sz w:val="20"/>
        </w:rPr>
        <w:t xml:space="preserve"> The IDOC will award a performance-based incentive contract effective October 1, 2021. The first round of incentives are expected to be audited in the fourth quarter of FY22. If earned, payment of the incentives will occur in the first quarter of FY23. The approximate amount of incentives that can be earned is $1.4M per year.</w:t>
      </w:r>
    </w:p>
    <w:p w14:paraId="56C604D4" w14:textId="49B94915" w:rsidR="5D7D3133" w:rsidRDefault="5D7D3133" w:rsidP="5D7D3133">
      <w:pPr>
        <w:jc w:val="both"/>
        <w:rPr>
          <w:rFonts w:ascii="Arial" w:hAnsi="Arial" w:cs="Arial"/>
          <w:i/>
          <w:iCs/>
          <w:sz w:val="20"/>
        </w:rPr>
      </w:pPr>
    </w:p>
    <w:p w14:paraId="2D1E2100" w14:textId="2036F17E" w:rsidR="318923AC" w:rsidRDefault="318923AC" w:rsidP="5D7D3133">
      <w:pPr>
        <w:spacing w:line="259" w:lineRule="auto"/>
        <w:jc w:val="both"/>
        <w:rPr>
          <w:rFonts w:ascii="Arial" w:eastAsia="Arial" w:hAnsi="Arial" w:cs="Arial"/>
          <w:sz w:val="20"/>
        </w:rPr>
      </w:pPr>
      <w:r w:rsidRPr="5D7D3133">
        <w:rPr>
          <w:rFonts w:ascii="Arial" w:hAnsi="Arial" w:cs="Arial"/>
          <w:i/>
          <w:iCs/>
          <w:sz w:val="20"/>
        </w:rPr>
        <w:t>Impact:</w:t>
      </w:r>
      <w:r w:rsidR="2688E91E" w:rsidRPr="5D7D3133">
        <w:rPr>
          <w:rFonts w:ascii="Arial" w:eastAsia="Arial" w:hAnsi="Arial" w:cs="Arial"/>
          <w:sz w:val="20"/>
        </w:rPr>
        <w:t xml:space="preserve"> </w:t>
      </w:r>
      <w:r w:rsidR="40C36FCA" w:rsidRPr="5D7D3133">
        <w:rPr>
          <w:rFonts w:ascii="Arial" w:eastAsia="Arial" w:hAnsi="Arial" w:cs="Arial"/>
          <w:sz w:val="20"/>
        </w:rPr>
        <w:t>Placing an emphasis on performance</w:t>
      </w:r>
      <w:r w:rsidR="003733DE">
        <w:rPr>
          <w:rFonts w:ascii="Arial" w:eastAsia="Arial" w:hAnsi="Arial" w:cs="Arial"/>
          <w:sz w:val="20"/>
        </w:rPr>
        <w:t>-</w:t>
      </w:r>
      <w:r w:rsidR="40C36FCA" w:rsidRPr="5D7D3133">
        <w:rPr>
          <w:rFonts w:ascii="Arial" w:eastAsia="Arial" w:hAnsi="Arial" w:cs="Arial"/>
          <w:sz w:val="20"/>
        </w:rPr>
        <w:t xml:space="preserve">based incentives within contracts allows IDOC to ensure we are holding our partners accountable and are </w:t>
      </w:r>
      <w:r w:rsidR="30E6AE33" w:rsidRPr="5D7D3133">
        <w:rPr>
          <w:rFonts w:ascii="Arial" w:eastAsia="Arial" w:hAnsi="Arial" w:cs="Arial"/>
          <w:sz w:val="20"/>
        </w:rPr>
        <w:t>spending our state and federal funding</w:t>
      </w:r>
      <w:r w:rsidR="54C06A3F" w:rsidRPr="5D7D3133">
        <w:rPr>
          <w:rFonts w:ascii="Arial" w:eastAsia="Arial" w:hAnsi="Arial" w:cs="Arial"/>
          <w:sz w:val="20"/>
        </w:rPr>
        <w:t xml:space="preserve"> responsibly</w:t>
      </w:r>
      <w:r w:rsidR="30E6AE33" w:rsidRPr="5D7D3133">
        <w:rPr>
          <w:rFonts w:ascii="Arial" w:eastAsia="Arial" w:hAnsi="Arial" w:cs="Arial"/>
          <w:sz w:val="20"/>
        </w:rPr>
        <w:t>.</w:t>
      </w:r>
    </w:p>
    <w:p w14:paraId="52ECB229" w14:textId="77777777" w:rsidR="001A2931" w:rsidRDefault="001A2931" w:rsidP="007E39FA">
      <w:pPr>
        <w:widowControl w:val="0"/>
        <w:jc w:val="both"/>
        <w:rPr>
          <w:rFonts w:ascii="Arial" w:hAnsi="Arial" w:cs="Arial"/>
          <w:sz w:val="20"/>
        </w:rPr>
      </w:pPr>
    </w:p>
    <w:p w14:paraId="185475E4" w14:textId="7A17CBC0" w:rsidR="61350CB8" w:rsidRDefault="61350CB8" w:rsidP="5D7D3133">
      <w:pPr>
        <w:spacing w:line="259" w:lineRule="auto"/>
        <w:jc w:val="both"/>
        <w:rPr>
          <w:rFonts w:ascii="Arial" w:hAnsi="Arial" w:cs="Arial"/>
          <w:b/>
          <w:bCs/>
          <w:szCs w:val="24"/>
        </w:rPr>
      </w:pPr>
      <w:r w:rsidRPr="5D7D3133">
        <w:rPr>
          <w:rFonts w:ascii="Arial" w:hAnsi="Arial" w:cs="Arial"/>
          <w:b/>
          <w:bCs/>
          <w:sz w:val="20"/>
        </w:rPr>
        <w:t xml:space="preserve">Measure 10: </w:t>
      </w:r>
      <w:r w:rsidR="7D705E01" w:rsidRPr="5D7D3133">
        <w:rPr>
          <w:rFonts w:ascii="Arial" w:hAnsi="Arial" w:cs="Arial"/>
          <w:b/>
          <w:bCs/>
          <w:sz w:val="20"/>
        </w:rPr>
        <w:t>Reduce the number of public records requests coming to IDOC as a result of information being more readily available to the public</w:t>
      </w:r>
    </w:p>
    <w:p w14:paraId="4BDE1CC6" w14:textId="4124F8EB" w:rsidR="1E6AA24E" w:rsidRDefault="1E6AA24E" w:rsidP="1A3B9153">
      <w:pPr>
        <w:spacing w:line="259" w:lineRule="auto"/>
        <w:jc w:val="both"/>
        <w:rPr>
          <w:rFonts w:ascii="Arial" w:hAnsi="Arial" w:cs="Arial"/>
          <w:szCs w:val="24"/>
        </w:rPr>
      </w:pPr>
      <w:r w:rsidRPr="1A3B9153">
        <w:rPr>
          <w:rFonts w:ascii="Arial" w:hAnsi="Arial" w:cs="Arial"/>
          <w:sz w:val="20"/>
        </w:rPr>
        <w:t>IDOC received 818 public information requests in FY21.</w:t>
      </w:r>
    </w:p>
    <w:p w14:paraId="4D2BB9EE" w14:textId="2825C7A3" w:rsidR="1A3B9153" w:rsidRDefault="1A3B9153" w:rsidP="1A3B9153">
      <w:pPr>
        <w:spacing w:line="259" w:lineRule="auto"/>
        <w:jc w:val="both"/>
        <w:rPr>
          <w:rFonts w:ascii="Arial" w:hAnsi="Arial" w:cs="Arial"/>
          <w:szCs w:val="24"/>
        </w:rPr>
      </w:pPr>
    </w:p>
    <w:p w14:paraId="71A2F4FF" w14:textId="23E96B92" w:rsidR="1E6AA24E" w:rsidRDefault="1E6AA24E" w:rsidP="1A3B9153">
      <w:pPr>
        <w:spacing w:line="259" w:lineRule="auto"/>
        <w:jc w:val="both"/>
        <w:rPr>
          <w:rFonts w:ascii="Arial" w:hAnsi="Arial" w:cs="Arial"/>
          <w:sz w:val="20"/>
        </w:rPr>
      </w:pPr>
      <w:r w:rsidRPr="1A3B9153">
        <w:rPr>
          <w:rFonts w:ascii="Arial" w:hAnsi="Arial" w:cs="Arial"/>
          <w:i/>
          <w:iCs/>
          <w:sz w:val="20"/>
        </w:rPr>
        <w:t xml:space="preserve">Impact: </w:t>
      </w:r>
      <w:r w:rsidRPr="1A3B9153">
        <w:rPr>
          <w:rFonts w:ascii="Arial" w:hAnsi="Arial" w:cs="Arial"/>
          <w:sz w:val="20"/>
        </w:rPr>
        <w:t xml:space="preserve">By monitoring the number of requests received, IDOC is placing emphasis on providing more information in a more readily available fashion, offering </w:t>
      </w:r>
      <w:r w:rsidR="00131EBE" w:rsidRPr="1A3B9153">
        <w:rPr>
          <w:rFonts w:ascii="Arial" w:hAnsi="Arial" w:cs="Arial"/>
          <w:sz w:val="20"/>
        </w:rPr>
        <w:t>transparency</w:t>
      </w:r>
      <w:r w:rsidRPr="1A3B9153">
        <w:rPr>
          <w:rFonts w:ascii="Arial" w:hAnsi="Arial" w:cs="Arial"/>
          <w:sz w:val="20"/>
        </w:rPr>
        <w:t xml:space="preserve"> and accou</w:t>
      </w:r>
      <w:r w:rsidR="2B37CF16" w:rsidRPr="1A3B9153">
        <w:rPr>
          <w:rFonts w:ascii="Arial" w:hAnsi="Arial" w:cs="Arial"/>
          <w:sz w:val="20"/>
        </w:rPr>
        <w:t>ntability to the general public.</w:t>
      </w:r>
    </w:p>
    <w:p w14:paraId="252A51FB" w14:textId="77777777" w:rsidR="00C13EE6" w:rsidRPr="00C13EE6" w:rsidRDefault="00C13EE6">
      <w:pPr>
        <w:jc w:val="both"/>
        <w:rPr>
          <w:rFonts w:ascii="Arial" w:hAnsi="Arial" w:cs="Arial"/>
          <w:sz w:val="20"/>
        </w:rPr>
      </w:pPr>
    </w:p>
    <w:p w14:paraId="28B6A8B5" w14:textId="77777777" w:rsidR="000A44D4" w:rsidRPr="003D3986" w:rsidRDefault="000A44D4" w:rsidP="00FB4B50">
      <w:pPr>
        <w:rPr>
          <w:rFonts w:ascii="Arial" w:hAnsi="Arial" w:cs="Arial"/>
          <w:color w:val="000000"/>
          <w:sz w:val="20"/>
        </w:rPr>
      </w:pPr>
    </w:p>
    <w:tbl>
      <w:tblPr>
        <w:tblW w:w="0" w:type="auto"/>
        <w:jc w:val="center"/>
        <w:tblBorders>
          <w:top w:val="threeDEmboss" w:sz="24" w:space="0" w:color="000080"/>
          <w:left w:val="threeDEmboss" w:sz="24" w:space="0" w:color="000080"/>
          <w:bottom w:val="threeDEmboss" w:sz="24" w:space="0" w:color="000080"/>
          <w:right w:val="threeDEmboss" w:sz="24" w:space="0" w:color="000080"/>
          <w:insideH w:val="threeDEmboss" w:sz="24" w:space="0" w:color="000080"/>
          <w:insideV w:val="threeDEmboss" w:sz="24" w:space="0" w:color="000080"/>
        </w:tblBorders>
        <w:tblLayout w:type="fixed"/>
        <w:tblLook w:val="0000" w:firstRow="0" w:lastRow="0" w:firstColumn="0" w:lastColumn="0" w:noHBand="0" w:noVBand="0"/>
      </w:tblPr>
      <w:tblGrid>
        <w:gridCol w:w="6346"/>
      </w:tblGrid>
      <w:tr w:rsidR="00F5768E" w14:paraId="13CFBF6E" w14:textId="77777777">
        <w:trPr>
          <w:trHeight w:val="2340"/>
          <w:jc w:val="center"/>
        </w:trPr>
        <w:tc>
          <w:tcPr>
            <w:tcW w:w="6346" w:type="dxa"/>
          </w:tcPr>
          <w:p w14:paraId="0272FD67" w14:textId="77777777" w:rsidR="00F5768E" w:rsidRDefault="007E0585">
            <w:pPr>
              <w:spacing w:before="120"/>
              <w:jc w:val="center"/>
              <w:rPr>
                <w:rFonts w:ascii="Arial" w:hAnsi="Arial"/>
                <w:sz w:val="20"/>
              </w:rPr>
            </w:pPr>
            <w:r>
              <w:t> </w:t>
            </w:r>
            <w:r w:rsidR="00F5768E">
              <w:rPr>
                <w:rFonts w:ascii="Arial" w:hAnsi="Arial"/>
                <w:b/>
                <w:sz w:val="20"/>
              </w:rPr>
              <w:t>For More Information Contact</w:t>
            </w:r>
          </w:p>
          <w:p w14:paraId="106FFD23" w14:textId="77777777" w:rsidR="00F5768E" w:rsidRDefault="00F5768E">
            <w:pPr>
              <w:jc w:val="center"/>
              <w:rPr>
                <w:rFonts w:ascii="Arial" w:hAnsi="Arial"/>
                <w:sz w:val="20"/>
              </w:rPr>
            </w:pPr>
          </w:p>
          <w:p w14:paraId="334EDB58" w14:textId="77777777" w:rsidR="00F5768E" w:rsidRDefault="00C35C79">
            <w:pPr>
              <w:ind w:left="252"/>
              <w:rPr>
                <w:rFonts w:ascii="Arial" w:hAnsi="Arial"/>
                <w:sz w:val="20"/>
              </w:rPr>
            </w:pPr>
            <w:r>
              <w:rPr>
                <w:rFonts w:ascii="Arial" w:hAnsi="Arial"/>
                <w:noProof/>
                <w:sz w:val="20"/>
              </w:rPr>
              <w:t>Janeena White</w:t>
            </w:r>
          </w:p>
          <w:p w14:paraId="73418F37" w14:textId="77777777" w:rsidR="00F5768E" w:rsidRDefault="00F5768E">
            <w:pPr>
              <w:ind w:left="252"/>
              <w:rPr>
                <w:rFonts w:ascii="Arial" w:hAnsi="Arial"/>
                <w:sz w:val="20"/>
              </w:rPr>
            </w:pPr>
            <w:r>
              <w:rPr>
                <w:rFonts w:ascii="Arial" w:hAnsi="Arial"/>
                <w:noProof/>
                <w:sz w:val="20"/>
              </w:rPr>
              <w:t>Correction, Department of</w:t>
            </w:r>
          </w:p>
          <w:p w14:paraId="35201F6D" w14:textId="77777777" w:rsidR="00F5768E" w:rsidRDefault="00F5768E">
            <w:pPr>
              <w:ind w:left="252"/>
              <w:rPr>
                <w:rFonts w:ascii="Arial" w:hAnsi="Arial"/>
                <w:sz w:val="20"/>
              </w:rPr>
            </w:pPr>
            <w:r>
              <w:rPr>
                <w:rFonts w:ascii="Arial" w:hAnsi="Arial"/>
                <w:noProof/>
                <w:sz w:val="20"/>
              </w:rPr>
              <w:t>1299 N Orchard Suite 110</w:t>
            </w:r>
          </w:p>
          <w:p w14:paraId="2C62688C" w14:textId="77777777" w:rsidR="00F5768E" w:rsidRDefault="00F5768E">
            <w:pPr>
              <w:ind w:left="252"/>
              <w:rPr>
                <w:rFonts w:ascii="Arial" w:hAnsi="Arial"/>
                <w:sz w:val="20"/>
              </w:rPr>
            </w:pPr>
            <w:r>
              <w:rPr>
                <w:rFonts w:ascii="Arial" w:hAnsi="Arial"/>
                <w:noProof/>
                <w:sz w:val="20"/>
              </w:rPr>
              <w:t xml:space="preserve">PO Box 83720                                            </w:t>
            </w:r>
          </w:p>
          <w:p w14:paraId="5651956E" w14:textId="77777777" w:rsidR="00F5768E" w:rsidRDefault="00F5768E">
            <w:pPr>
              <w:ind w:left="252"/>
              <w:rPr>
                <w:rFonts w:ascii="Arial" w:hAnsi="Arial"/>
                <w:sz w:val="20"/>
              </w:rPr>
            </w:pPr>
            <w:r>
              <w:rPr>
                <w:rFonts w:ascii="Arial" w:hAnsi="Arial"/>
                <w:noProof/>
                <w:sz w:val="20"/>
              </w:rPr>
              <w:t>Boise</w:t>
            </w:r>
            <w:r>
              <w:rPr>
                <w:rFonts w:ascii="Arial" w:hAnsi="Arial"/>
                <w:sz w:val="20"/>
              </w:rPr>
              <w:t xml:space="preserve">, </w:t>
            </w:r>
            <w:r>
              <w:rPr>
                <w:rFonts w:ascii="Arial" w:hAnsi="Arial"/>
                <w:noProof/>
                <w:sz w:val="20"/>
              </w:rPr>
              <w:t>ID</w:t>
            </w:r>
            <w:r>
              <w:rPr>
                <w:rFonts w:ascii="Arial" w:hAnsi="Arial"/>
                <w:sz w:val="20"/>
              </w:rPr>
              <w:t xml:space="preserve">  </w:t>
            </w:r>
            <w:r>
              <w:rPr>
                <w:rFonts w:ascii="Arial" w:hAnsi="Arial"/>
                <w:noProof/>
                <w:sz w:val="20"/>
              </w:rPr>
              <w:t xml:space="preserve">83720-0018 </w:t>
            </w:r>
          </w:p>
          <w:p w14:paraId="12DE7D3F" w14:textId="65FEF6DA" w:rsidR="00F5768E" w:rsidRDefault="00F5768E">
            <w:pPr>
              <w:ind w:left="252"/>
              <w:rPr>
                <w:rFonts w:ascii="Arial" w:hAnsi="Arial"/>
                <w:sz w:val="20"/>
              </w:rPr>
            </w:pPr>
            <w:r>
              <w:rPr>
                <w:rFonts w:ascii="Arial" w:hAnsi="Arial"/>
                <w:sz w:val="20"/>
              </w:rPr>
              <w:t>Phone: (208) 658-213</w:t>
            </w:r>
            <w:r w:rsidR="00C35C79">
              <w:rPr>
                <w:rFonts w:ascii="Arial" w:hAnsi="Arial"/>
                <w:sz w:val="20"/>
              </w:rPr>
              <w:t>0</w:t>
            </w:r>
            <w:r>
              <w:rPr>
                <w:rFonts w:ascii="Arial" w:hAnsi="Arial"/>
                <w:sz w:val="20"/>
              </w:rPr>
              <w:t xml:space="preserve"> </w:t>
            </w:r>
          </w:p>
          <w:p w14:paraId="7C779D05" w14:textId="77777777" w:rsidR="003A0ABC" w:rsidRDefault="005D5633" w:rsidP="003A0ABC">
            <w:pPr>
              <w:spacing w:after="120"/>
              <w:ind w:left="252"/>
              <w:rPr>
                <w:rFonts w:ascii="Arial" w:hAnsi="Arial"/>
                <w:sz w:val="20"/>
              </w:rPr>
            </w:pPr>
            <w:r>
              <w:rPr>
                <w:rFonts w:ascii="Arial" w:hAnsi="Arial"/>
                <w:sz w:val="20"/>
              </w:rPr>
              <w:t xml:space="preserve">E-mail:  </w:t>
            </w:r>
            <w:hyperlink r:id="rId14" w:history="1">
              <w:r w:rsidR="003A0ABC" w:rsidRPr="006E5A1F">
                <w:rPr>
                  <w:rStyle w:val="Hyperlink"/>
                  <w:rFonts w:ascii="Arial" w:hAnsi="Arial"/>
                  <w:sz w:val="20"/>
                </w:rPr>
                <w:t>jawhite@idoc.idaho.gov</w:t>
              </w:r>
            </w:hyperlink>
          </w:p>
        </w:tc>
      </w:tr>
    </w:tbl>
    <w:p w14:paraId="23EFA71E" w14:textId="77777777" w:rsidR="00F5768E" w:rsidRDefault="00F5768E">
      <w:pPr>
        <w:jc w:val="both"/>
        <w:rPr>
          <w:rFonts w:ascii="Arial" w:hAnsi="Arial"/>
          <w:sz w:val="20"/>
        </w:rPr>
      </w:pPr>
    </w:p>
    <w:sectPr w:rsidR="00F5768E" w:rsidSect="004903BC">
      <w:headerReference w:type="default" r:id="rId15"/>
      <w:footerReference w:type="default" r:id="rId16"/>
      <w:footnotePr>
        <w:pos w:val="beneathText"/>
      </w:footnotePr>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7EC9" w14:textId="77777777" w:rsidR="000618E6" w:rsidRDefault="000618E6">
      <w:r>
        <w:separator/>
      </w:r>
    </w:p>
  </w:endnote>
  <w:endnote w:type="continuationSeparator" w:id="0">
    <w:p w14:paraId="16A3775F" w14:textId="77777777" w:rsidR="000618E6" w:rsidRDefault="000618E6">
      <w:r>
        <w:continuationSeparator/>
      </w:r>
    </w:p>
  </w:endnote>
  <w:endnote w:type="continuationNotice" w:id="1">
    <w:p w14:paraId="3526F55D" w14:textId="77777777" w:rsidR="000618E6" w:rsidRDefault="00061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C894" w14:textId="77777777" w:rsidR="00D7051E" w:rsidRDefault="00D7051E" w:rsidP="001F48E6">
    <w:pPr>
      <w:pStyle w:val="Footer"/>
      <w:tabs>
        <w:tab w:val="clear" w:pos="4320"/>
        <w:tab w:val="clear" w:pos="8640"/>
        <w:tab w:val="center" w:pos="4680"/>
        <w:tab w:val="right" w:pos="10080"/>
      </w:tabs>
      <w:rPr>
        <w:rFonts w:ascii="Arial" w:hAnsi="Arial" w:cs="Arial"/>
        <w:sz w:val="20"/>
      </w:rPr>
    </w:pPr>
  </w:p>
  <w:p w14:paraId="47C2A078" w14:textId="77777777" w:rsidR="00D7051E" w:rsidRPr="001F48E6" w:rsidRDefault="00D7051E" w:rsidP="001F48E6">
    <w:pPr>
      <w:pStyle w:val="Footer"/>
      <w:tabs>
        <w:tab w:val="clear" w:pos="4320"/>
        <w:tab w:val="clear" w:pos="8640"/>
        <w:tab w:val="center" w:pos="4680"/>
        <w:tab w:val="right" w:pos="10080"/>
      </w:tabs>
      <w:rPr>
        <w:rFonts w:ascii="Arial" w:hAnsi="Arial" w:cs="Arial"/>
        <w:sz w:val="20"/>
      </w:rPr>
    </w:pPr>
    <w:r>
      <w:rPr>
        <w:rFonts w:ascii="Arial" w:hAnsi="Arial" w:cs="Arial"/>
        <w:sz w:val="20"/>
      </w:rPr>
      <w:t>State of Idaho</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5</w:t>
    </w:r>
    <w:r>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25D6" w14:textId="77777777" w:rsidR="000618E6" w:rsidRDefault="000618E6">
      <w:r>
        <w:separator/>
      </w:r>
    </w:p>
  </w:footnote>
  <w:footnote w:type="continuationSeparator" w:id="0">
    <w:p w14:paraId="7E9AE2AB" w14:textId="77777777" w:rsidR="000618E6" w:rsidRDefault="000618E6">
      <w:r>
        <w:continuationSeparator/>
      </w:r>
    </w:p>
  </w:footnote>
  <w:footnote w:type="continuationNotice" w:id="1">
    <w:p w14:paraId="0F011A63" w14:textId="77777777" w:rsidR="000618E6" w:rsidRDefault="00061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ayout w:type="fixed"/>
      <w:tblLook w:val="0000" w:firstRow="0" w:lastRow="0" w:firstColumn="0" w:lastColumn="0" w:noHBand="0" w:noVBand="0"/>
    </w:tblPr>
    <w:tblGrid>
      <w:gridCol w:w="10080"/>
    </w:tblGrid>
    <w:tr w:rsidR="00D7051E" w14:paraId="418560A2" w14:textId="77777777" w:rsidTr="004903BC">
      <w:tc>
        <w:tcPr>
          <w:tcW w:w="10080" w:type="dxa"/>
          <w:shd w:val="clear" w:color="auto" w:fill="000080"/>
        </w:tcPr>
        <w:p w14:paraId="3BEB00AA" w14:textId="77777777" w:rsidR="00D7051E" w:rsidRDefault="00D7051E" w:rsidP="00070FA7">
          <w:pPr>
            <w:tabs>
              <w:tab w:val="right" w:pos="9852"/>
            </w:tabs>
            <w:rPr>
              <w:rFonts w:ascii="Arial" w:hAnsi="Arial"/>
              <w:color w:val="FFFFFF"/>
            </w:rPr>
          </w:pPr>
          <w:r>
            <w:rPr>
              <w:rFonts w:ascii="Arial" w:hAnsi="Arial"/>
              <w:b/>
              <w:noProof/>
              <w:color w:val="FFFFFF"/>
            </w:rPr>
            <w:t>Correction, Department of</w:t>
          </w:r>
          <w:r>
            <w:rPr>
              <w:rFonts w:ascii="Arial" w:hAnsi="Arial"/>
              <w:b/>
              <w:color w:val="FFFFFF"/>
            </w:rPr>
            <w:tab/>
          </w:r>
          <w:r>
            <w:rPr>
              <w:rFonts w:ascii="Arial" w:hAnsi="Arial"/>
              <w:color w:val="FFFFFF"/>
            </w:rPr>
            <w:t>Performance Report</w:t>
          </w:r>
        </w:p>
      </w:tc>
    </w:tr>
    <w:tr w:rsidR="00D7051E" w14:paraId="063E1DFB" w14:textId="77777777" w:rsidTr="004903BC">
      <w:trPr>
        <w:trHeight w:hRule="exact" w:val="90"/>
      </w:trPr>
      <w:tc>
        <w:tcPr>
          <w:tcW w:w="10080" w:type="dxa"/>
          <w:tcBorders>
            <w:top w:val="nil"/>
            <w:bottom w:val="single" w:sz="4" w:space="0" w:color="auto"/>
          </w:tcBorders>
        </w:tcPr>
        <w:p w14:paraId="34D90FC1" w14:textId="77777777" w:rsidR="00D7051E" w:rsidRDefault="00D7051E" w:rsidP="00E824AB"/>
      </w:tc>
    </w:tr>
    <w:tr w:rsidR="00D7051E" w14:paraId="5BC27FD0" w14:textId="77777777" w:rsidTr="004903BC">
      <w:tc>
        <w:tcPr>
          <w:tcW w:w="10080" w:type="dxa"/>
          <w:tcBorders>
            <w:top w:val="single" w:sz="4" w:space="0" w:color="auto"/>
            <w:bottom w:val="nil"/>
          </w:tcBorders>
          <w:shd w:val="clear" w:color="auto" w:fill="000080"/>
        </w:tcPr>
        <w:p w14:paraId="1810E8DF" w14:textId="77777777" w:rsidR="00D7051E" w:rsidRDefault="00D7051E" w:rsidP="00E824AB"/>
      </w:tc>
    </w:tr>
  </w:tbl>
  <w:p w14:paraId="4FAE2F5F" w14:textId="77777777" w:rsidR="00D7051E" w:rsidRDefault="00D7051E" w:rsidP="008E4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5A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3354AA0"/>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65A5CED"/>
    <w:multiLevelType w:val="hybridMultilevel"/>
    <w:tmpl w:val="5164C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063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C543F"/>
    <w:multiLevelType w:val="singleLevel"/>
    <w:tmpl w:val="04090001"/>
    <w:lvl w:ilvl="0">
      <w:start w:val="1"/>
      <w:numFmt w:val="bullet"/>
      <w:lvlText w:val=""/>
      <w:lvlJc w:val="left"/>
      <w:pPr>
        <w:ind w:left="360" w:hanging="360"/>
      </w:pPr>
      <w:rPr>
        <w:rFonts w:ascii="Symbol" w:hAnsi="Symbol" w:hint="default"/>
      </w:rPr>
    </w:lvl>
  </w:abstractNum>
  <w:abstractNum w:abstractNumId="5" w15:restartNumberingAfterBreak="0">
    <w:nsid w:val="0CB06AFB"/>
    <w:multiLevelType w:val="singleLevel"/>
    <w:tmpl w:val="C15EDB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C72447"/>
    <w:multiLevelType w:val="hybridMultilevel"/>
    <w:tmpl w:val="037E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0646E"/>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17C1789D"/>
    <w:multiLevelType w:val="hybridMultilevel"/>
    <w:tmpl w:val="71BE0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411F57"/>
    <w:multiLevelType w:val="hybridMultilevel"/>
    <w:tmpl w:val="0F30F9C8"/>
    <w:lvl w:ilvl="0" w:tplc="0AE07F90">
      <w:start w:val="1"/>
      <w:numFmt w:val="decimal"/>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90C0A"/>
    <w:multiLevelType w:val="singleLevel"/>
    <w:tmpl w:val="C15EDB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7F78FC"/>
    <w:multiLevelType w:val="hybridMultilevel"/>
    <w:tmpl w:val="2940DEFE"/>
    <w:lvl w:ilvl="0" w:tplc="B12EDDD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A0494"/>
    <w:multiLevelType w:val="singleLevel"/>
    <w:tmpl w:val="0409000F"/>
    <w:lvl w:ilvl="0">
      <w:start w:val="5"/>
      <w:numFmt w:val="decimal"/>
      <w:lvlText w:val="%1."/>
      <w:lvlJc w:val="left"/>
      <w:pPr>
        <w:tabs>
          <w:tab w:val="num" w:pos="360"/>
        </w:tabs>
        <w:ind w:left="360" w:hanging="360"/>
      </w:pPr>
      <w:rPr>
        <w:rFonts w:hint="default"/>
        <w:b w:val="0"/>
      </w:rPr>
    </w:lvl>
  </w:abstractNum>
  <w:abstractNum w:abstractNumId="13" w15:restartNumberingAfterBreak="0">
    <w:nsid w:val="2B081EA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CD82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9C1571"/>
    <w:multiLevelType w:val="hybridMultilevel"/>
    <w:tmpl w:val="5208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22DA9"/>
    <w:multiLevelType w:val="hybridMultilevel"/>
    <w:tmpl w:val="EDF8F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5DB44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1D353A"/>
    <w:multiLevelType w:val="hybridMultilevel"/>
    <w:tmpl w:val="55368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73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262E1C"/>
    <w:multiLevelType w:val="hybridMultilevel"/>
    <w:tmpl w:val="11F8B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5768A"/>
    <w:multiLevelType w:val="hybridMultilevel"/>
    <w:tmpl w:val="C8D87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3E185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2311845"/>
    <w:multiLevelType w:val="hybridMultilevel"/>
    <w:tmpl w:val="7A0C9E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6F5903"/>
    <w:multiLevelType w:val="singleLevel"/>
    <w:tmpl w:val="C15EDBA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5348D4"/>
    <w:multiLevelType w:val="hybridMultilevel"/>
    <w:tmpl w:val="E5F8F36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3E41BA"/>
    <w:multiLevelType w:val="hybridMultilevel"/>
    <w:tmpl w:val="109C800A"/>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CF0CDF"/>
    <w:multiLevelType w:val="hybridMultilevel"/>
    <w:tmpl w:val="DC288570"/>
    <w:lvl w:ilvl="0" w:tplc="7F9600C4">
      <w:start w:val="1"/>
      <w:numFmt w:val="decimal"/>
      <w:suff w:val="nothing"/>
      <w:lvlText w:val="%1."/>
      <w:lvlJc w:val="left"/>
      <w:pPr>
        <w:ind w:left="333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4EA5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6526EF"/>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D9A2624"/>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5E6F202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EF94CE4"/>
    <w:multiLevelType w:val="hybridMultilevel"/>
    <w:tmpl w:val="0BC2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22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92460EF"/>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C79366D"/>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DF52852"/>
    <w:multiLevelType w:val="singleLevel"/>
    <w:tmpl w:val="5A88654C"/>
    <w:lvl w:ilvl="0">
      <w:start w:val="4"/>
      <w:numFmt w:val="decimal"/>
      <w:lvlText w:val="%1."/>
      <w:lvlJc w:val="left"/>
      <w:pPr>
        <w:tabs>
          <w:tab w:val="num" w:pos="360"/>
        </w:tabs>
        <w:ind w:left="360" w:hanging="360"/>
      </w:pPr>
      <w:rPr>
        <w:rFonts w:hint="default"/>
        <w:b/>
      </w:rPr>
    </w:lvl>
  </w:abstractNum>
  <w:abstractNum w:abstractNumId="37" w15:restartNumberingAfterBreak="0">
    <w:nsid w:val="6E1A17BD"/>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ECA1A7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9730B3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A090607"/>
    <w:multiLevelType w:val="hybridMultilevel"/>
    <w:tmpl w:val="D41CB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B2EC3"/>
    <w:multiLevelType w:val="hybridMultilevel"/>
    <w:tmpl w:val="35149348"/>
    <w:lvl w:ilvl="0" w:tplc="3AAE7E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0E113D"/>
    <w:multiLevelType w:val="hybridMultilevel"/>
    <w:tmpl w:val="1D12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67298">
    <w:abstractNumId w:val="39"/>
  </w:num>
  <w:num w:numId="2" w16cid:durableId="2025668917">
    <w:abstractNumId w:val="17"/>
  </w:num>
  <w:num w:numId="3" w16cid:durableId="280385978">
    <w:abstractNumId w:val="19"/>
  </w:num>
  <w:num w:numId="4" w16cid:durableId="1213806169">
    <w:abstractNumId w:val="33"/>
  </w:num>
  <w:num w:numId="5" w16cid:durableId="1243223000">
    <w:abstractNumId w:val="28"/>
  </w:num>
  <w:num w:numId="6" w16cid:durableId="295573526">
    <w:abstractNumId w:val="14"/>
  </w:num>
  <w:num w:numId="7" w16cid:durableId="641272447">
    <w:abstractNumId w:val="4"/>
  </w:num>
  <w:num w:numId="8" w16cid:durableId="1844391694">
    <w:abstractNumId w:val="7"/>
  </w:num>
  <w:num w:numId="9" w16cid:durableId="1490288965">
    <w:abstractNumId w:val="13"/>
  </w:num>
  <w:num w:numId="10" w16cid:durableId="2003389731">
    <w:abstractNumId w:val="35"/>
  </w:num>
  <w:num w:numId="11" w16cid:durableId="2012022803">
    <w:abstractNumId w:val="12"/>
  </w:num>
  <w:num w:numId="12" w16cid:durableId="2020428353">
    <w:abstractNumId w:val="22"/>
  </w:num>
  <w:num w:numId="13" w16cid:durableId="862667116">
    <w:abstractNumId w:val="1"/>
  </w:num>
  <w:num w:numId="14" w16cid:durableId="1006980939">
    <w:abstractNumId w:val="36"/>
  </w:num>
  <w:num w:numId="15" w16cid:durableId="37779856">
    <w:abstractNumId w:val="3"/>
  </w:num>
  <w:num w:numId="16" w16cid:durableId="476069626">
    <w:abstractNumId w:val="29"/>
  </w:num>
  <w:num w:numId="17" w16cid:durableId="1739591031">
    <w:abstractNumId w:val="30"/>
  </w:num>
  <w:num w:numId="18" w16cid:durableId="1061052616">
    <w:abstractNumId w:val="37"/>
  </w:num>
  <w:num w:numId="19" w16cid:durableId="1811826719">
    <w:abstractNumId w:val="34"/>
  </w:num>
  <w:num w:numId="20" w16cid:durableId="753356325">
    <w:abstractNumId w:val="0"/>
  </w:num>
  <w:num w:numId="21" w16cid:durableId="1375427011">
    <w:abstractNumId w:val="5"/>
  </w:num>
  <w:num w:numId="22" w16cid:durableId="1375499130">
    <w:abstractNumId w:val="38"/>
  </w:num>
  <w:num w:numId="23" w16cid:durableId="14550138">
    <w:abstractNumId w:val="31"/>
  </w:num>
  <w:num w:numId="24" w16cid:durableId="1382438008">
    <w:abstractNumId w:val="24"/>
  </w:num>
  <w:num w:numId="25" w16cid:durableId="1628662382">
    <w:abstractNumId w:val="10"/>
  </w:num>
  <w:num w:numId="26" w16cid:durableId="267739431">
    <w:abstractNumId w:val="32"/>
  </w:num>
  <w:num w:numId="27" w16cid:durableId="490290394">
    <w:abstractNumId w:val="25"/>
  </w:num>
  <w:num w:numId="28" w16cid:durableId="2102329581">
    <w:abstractNumId w:val="15"/>
  </w:num>
  <w:num w:numId="29" w16cid:durableId="619724375">
    <w:abstractNumId w:val="8"/>
  </w:num>
  <w:num w:numId="30" w16cid:durableId="458036245">
    <w:abstractNumId w:val="40"/>
  </w:num>
  <w:num w:numId="31" w16cid:durableId="668099550">
    <w:abstractNumId w:val="16"/>
  </w:num>
  <w:num w:numId="32" w16cid:durableId="838958610">
    <w:abstractNumId w:val="21"/>
  </w:num>
  <w:num w:numId="33" w16cid:durableId="1313673903">
    <w:abstractNumId w:val="9"/>
  </w:num>
  <w:num w:numId="34" w16cid:durableId="94981086">
    <w:abstractNumId w:val="41"/>
  </w:num>
  <w:num w:numId="35" w16cid:durableId="1168985502">
    <w:abstractNumId w:val="27"/>
  </w:num>
  <w:num w:numId="36" w16cid:durableId="869685673">
    <w:abstractNumId w:val="18"/>
  </w:num>
  <w:num w:numId="37" w16cid:durableId="87894142">
    <w:abstractNumId w:val="2"/>
  </w:num>
  <w:num w:numId="38" w16cid:durableId="617100817">
    <w:abstractNumId w:val="6"/>
  </w:num>
  <w:num w:numId="39" w16cid:durableId="345906560">
    <w:abstractNumId w:val="11"/>
  </w:num>
  <w:num w:numId="40" w16cid:durableId="1586722455">
    <w:abstractNumId w:val="23"/>
  </w:num>
  <w:num w:numId="41" w16cid:durableId="1199972044">
    <w:abstractNumId w:val="20"/>
  </w:num>
  <w:num w:numId="42" w16cid:durableId="1946695876">
    <w:abstractNumId w:val="42"/>
  </w:num>
  <w:num w:numId="43" w16cid:durableId="1140573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0B"/>
    <w:rsid w:val="0000096C"/>
    <w:rsid w:val="000010E8"/>
    <w:rsid w:val="00006091"/>
    <w:rsid w:val="000115BC"/>
    <w:rsid w:val="00011F5E"/>
    <w:rsid w:val="0001212D"/>
    <w:rsid w:val="00012873"/>
    <w:rsid w:val="000164B8"/>
    <w:rsid w:val="000201F7"/>
    <w:rsid w:val="00021B1C"/>
    <w:rsid w:val="000223F5"/>
    <w:rsid w:val="000224F6"/>
    <w:rsid w:val="00022E83"/>
    <w:rsid w:val="000242DC"/>
    <w:rsid w:val="0002B13D"/>
    <w:rsid w:val="00031E6B"/>
    <w:rsid w:val="00031F1F"/>
    <w:rsid w:val="00036119"/>
    <w:rsid w:val="00036D0D"/>
    <w:rsid w:val="00036F2B"/>
    <w:rsid w:val="00037D2F"/>
    <w:rsid w:val="000401B4"/>
    <w:rsid w:val="00041A7D"/>
    <w:rsid w:val="00042078"/>
    <w:rsid w:val="000462A5"/>
    <w:rsid w:val="0005000C"/>
    <w:rsid w:val="00060C57"/>
    <w:rsid w:val="00060EA2"/>
    <w:rsid w:val="00061286"/>
    <w:rsid w:val="000618E6"/>
    <w:rsid w:val="000625B9"/>
    <w:rsid w:val="000665D2"/>
    <w:rsid w:val="00066DF7"/>
    <w:rsid w:val="00067B2B"/>
    <w:rsid w:val="00070C45"/>
    <w:rsid w:val="00070E72"/>
    <w:rsid w:val="00070FA7"/>
    <w:rsid w:val="00072A68"/>
    <w:rsid w:val="00073806"/>
    <w:rsid w:val="000749EC"/>
    <w:rsid w:val="0007696D"/>
    <w:rsid w:val="00080016"/>
    <w:rsid w:val="00082BDB"/>
    <w:rsid w:val="00084043"/>
    <w:rsid w:val="000854A1"/>
    <w:rsid w:val="0009022E"/>
    <w:rsid w:val="00092B2C"/>
    <w:rsid w:val="00095284"/>
    <w:rsid w:val="00096831"/>
    <w:rsid w:val="000A03CE"/>
    <w:rsid w:val="000A064C"/>
    <w:rsid w:val="000A44D4"/>
    <w:rsid w:val="000A68A0"/>
    <w:rsid w:val="000A6E58"/>
    <w:rsid w:val="000A72A6"/>
    <w:rsid w:val="000B55E6"/>
    <w:rsid w:val="000C62C9"/>
    <w:rsid w:val="000D5272"/>
    <w:rsid w:val="000E633A"/>
    <w:rsid w:val="000E694F"/>
    <w:rsid w:val="000F0952"/>
    <w:rsid w:val="000F1E60"/>
    <w:rsid w:val="000F6AA9"/>
    <w:rsid w:val="000F76B8"/>
    <w:rsid w:val="00102025"/>
    <w:rsid w:val="00104EA7"/>
    <w:rsid w:val="00106AC0"/>
    <w:rsid w:val="0012053F"/>
    <w:rsid w:val="00121391"/>
    <w:rsid w:val="00124512"/>
    <w:rsid w:val="00125139"/>
    <w:rsid w:val="00126BD6"/>
    <w:rsid w:val="001317C8"/>
    <w:rsid w:val="00131EBE"/>
    <w:rsid w:val="0013536A"/>
    <w:rsid w:val="0014498D"/>
    <w:rsid w:val="001458D8"/>
    <w:rsid w:val="001510D3"/>
    <w:rsid w:val="0015141C"/>
    <w:rsid w:val="00157321"/>
    <w:rsid w:val="00161125"/>
    <w:rsid w:val="00175972"/>
    <w:rsid w:val="0017784D"/>
    <w:rsid w:val="00177A33"/>
    <w:rsid w:val="00181294"/>
    <w:rsid w:val="00186AB0"/>
    <w:rsid w:val="00187D25"/>
    <w:rsid w:val="00192608"/>
    <w:rsid w:val="00192B6C"/>
    <w:rsid w:val="00192E96"/>
    <w:rsid w:val="001A12A3"/>
    <w:rsid w:val="001A2931"/>
    <w:rsid w:val="001B05EA"/>
    <w:rsid w:val="001B1A65"/>
    <w:rsid w:val="001B1C57"/>
    <w:rsid w:val="001B3535"/>
    <w:rsid w:val="001B5406"/>
    <w:rsid w:val="001B6083"/>
    <w:rsid w:val="001B797B"/>
    <w:rsid w:val="001C0192"/>
    <w:rsid w:val="001C1294"/>
    <w:rsid w:val="001C185D"/>
    <w:rsid w:val="001C5739"/>
    <w:rsid w:val="001C6CBB"/>
    <w:rsid w:val="001D00F9"/>
    <w:rsid w:val="001D2A28"/>
    <w:rsid w:val="001D3A58"/>
    <w:rsid w:val="001E4731"/>
    <w:rsid w:val="001E48F2"/>
    <w:rsid w:val="001E6103"/>
    <w:rsid w:val="001F0131"/>
    <w:rsid w:val="001F09A8"/>
    <w:rsid w:val="001F2FDF"/>
    <w:rsid w:val="001F3219"/>
    <w:rsid w:val="001F48E6"/>
    <w:rsid w:val="001F693A"/>
    <w:rsid w:val="00200977"/>
    <w:rsid w:val="00200DA0"/>
    <w:rsid w:val="0020166A"/>
    <w:rsid w:val="0020387B"/>
    <w:rsid w:val="00214DC0"/>
    <w:rsid w:val="00217E03"/>
    <w:rsid w:val="00220628"/>
    <w:rsid w:val="00221061"/>
    <w:rsid w:val="00223BEC"/>
    <w:rsid w:val="00224BA7"/>
    <w:rsid w:val="00226485"/>
    <w:rsid w:val="002266AC"/>
    <w:rsid w:val="00230DE1"/>
    <w:rsid w:val="00231EC6"/>
    <w:rsid w:val="00231FAE"/>
    <w:rsid w:val="002347A6"/>
    <w:rsid w:val="002355FA"/>
    <w:rsid w:val="00236EEB"/>
    <w:rsid w:val="00240187"/>
    <w:rsid w:val="00244817"/>
    <w:rsid w:val="002509BD"/>
    <w:rsid w:val="00250B01"/>
    <w:rsid w:val="002515FF"/>
    <w:rsid w:val="00254034"/>
    <w:rsid w:val="00263F90"/>
    <w:rsid w:val="00264DC6"/>
    <w:rsid w:val="002659EB"/>
    <w:rsid w:val="00265AA2"/>
    <w:rsid w:val="0027614D"/>
    <w:rsid w:val="00277B05"/>
    <w:rsid w:val="002919BD"/>
    <w:rsid w:val="002930A7"/>
    <w:rsid w:val="0029326D"/>
    <w:rsid w:val="00294B78"/>
    <w:rsid w:val="00294EBB"/>
    <w:rsid w:val="002A72D3"/>
    <w:rsid w:val="002B0B35"/>
    <w:rsid w:val="002B5CCD"/>
    <w:rsid w:val="002B5EE2"/>
    <w:rsid w:val="002B65A3"/>
    <w:rsid w:val="002B7D24"/>
    <w:rsid w:val="002C8BAE"/>
    <w:rsid w:val="002D2E65"/>
    <w:rsid w:val="002D3C7A"/>
    <w:rsid w:val="002D3F65"/>
    <w:rsid w:val="002D4010"/>
    <w:rsid w:val="002D6DE8"/>
    <w:rsid w:val="002D73D9"/>
    <w:rsid w:val="002D79AD"/>
    <w:rsid w:val="002E1D2E"/>
    <w:rsid w:val="002E59EB"/>
    <w:rsid w:val="002E6CC1"/>
    <w:rsid w:val="002F3763"/>
    <w:rsid w:val="002F3D4E"/>
    <w:rsid w:val="002F6335"/>
    <w:rsid w:val="002F68D4"/>
    <w:rsid w:val="00310967"/>
    <w:rsid w:val="00310CC7"/>
    <w:rsid w:val="00312173"/>
    <w:rsid w:val="00315189"/>
    <w:rsid w:val="00317098"/>
    <w:rsid w:val="00317965"/>
    <w:rsid w:val="00320778"/>
    <w:rsid w:val="003227A1"/>
    <w:rsid w:val="00325A05"/>
    <w:rsid w:val="00326831"/>
    <w:rsid w:val="00341138"/>
    <w:rsid w:val="003416E7"/>
    <w:rsid w:val="00341E3D"/>
    <w:rsid w:val="003423FA"/>
    <w:rsid w:val="003450A4"/>
    <w:rsid w:val="00347556"/>
    <w:rsid w:val="0035096C"/>
    <w:rsid w:val="00350E16"/>
    <w:rsid w:val="003513F5"/>
    <w:rsid w:val="0035555D"/>
    <w:rsid w:val="00355FF3"/>
    <w:rsid w:val="00357059"/>
    <w:rsid w:val="00364AA1"/>
    <w:rsid w:val="003654C7"/>
    <w:rsid w:val="00370762"/>
    <w:rsid w:val="003733DE"/>
    <w:rsid w:val="003738E0"/>
    <w:rsid w:val="003834C1"/>
    <w:rsid w:val="00384237"/>
    <w:rsid w:val="00385C70"/>
    <w:rsid w:val="003870DC"/>
    <w:rsid w:val="0039463A"/>
    <w:rsid w:val="003A0ABC"/>
    <w:rsid w:val="003A0B27"/>
    <w:rsid w:val="003A3137"/>
    <w:rsid w:val="003A777C"/>
    <w:rsid w:val="003B4826"/>
    <w:rsid w:val="003B6656"/>
    <w:rsid w:val="003C4A98"/>
    <w:rsid w:val="003C7D63"/>
    <w:rsid w:val="003D1003"/>
    <w:rsid w:val="003D3632"/>
    <w:rsid w:val="003D3986"/>
    <w:rsid w:val="003D434D"/>
    <w:rsid w:val="003D69E2"/>
    <w:rsid w:val="003D7D0B"/>
    <w:rsid w:val="003E175B"/>
    <w:rsid w:val="003E3021"/>
    <w:rsid w:val="003E328C"/>
    <w:rsid w:val="003E3787"/>
    <w:rsid w:val="003E42A6"/>
    <w:rsid w:val="003E60CE"/>
    <w:rsid w:val="003E6B6E"/>
    <w:rsid w:val="003F0B32"/>
    <w:rsid w:val="003F3EEF"/>
    <w:rsid w:val="003F55F2"/>
    <w:rsid w:val="0040268E"/>
    <w:rsid w:val="00402795"/>
    <w:rsid w:val="00403AD3"/>
    <w:rsid w:val="0040659E"/>
    <w:rsid w:val="00407156"/>
    <w:rsid w:val="00414758"/>
    <w:rsid w:val="00417B9E"/>
    <w:rsid w:val="00420536"/>
    <w:rsid w:val="0042123B"/>
    <w:rsid w:val="00424EF8"/>
    <w:rsid w:val="00425AF9"/>
    <w:rsid w:val="004279BC"/>
    <w:rsid w:val="00434B90"/>
    <w:rsid w:val="00442E2E"/>
    <w:rsid w:val="00442FC8"/>
    <w:rsid w:val="00443040"/>
    <w:rsid w:val="00444DA8"/>
    <w:rsid w:val="0045107F"/>
    <w:rsid w:val="00451D5F"/>
    <w:rsid w:val="0045463A"/>
    <w:rsid w:val="004626D0"/>
    <w:rsid w:val="00473EA1"/>
    <w:rsid w:val="004740D1"/>
    <w:rsid w:val="00480D54"/>
    <w:rsid w:val="00482C4E"/>
    <w:rsid w:val="00485BBB"/>
    <w:rsid w:val="004903BC"/>
    <w:rsid w:val="00490C4B"/>
    <w:rsid w:val="0049121D"/>
    <w:rsid w:val="00494B6B"/>
    <w:rsid w:val="00494C20"/>
    <w:rsid w:val="0049533E"/>
    <w:rsid w:val="004973F8"/>
    <w:rsid w:val="00497D2A"/>
    <w:rsid w:val="004A0FA8"/>
    <w:rsid w:val="004A2323"/>
    <w:rsid w:val="004A4145"/>
    <w:rsid w:val="004A9D55"/>
    <w:rsid w:val="004B45D2"/>
    <w:rsid w:val="004B4E89"/>
    <w:rsid w:val="004C2B09"/>
    <w:rsid w:val="004C3D15"/>
    <w:rsid w:val="004C45DB"/>
    <w:rsid w:val="004D02DA"/>
    <w:rsid w:val="004D30EC"/>
    <w:rsid w:val="004D657E"/>
    <w:rsid w:val="004D6587"/>
    <w:rsid w:val="004D7AEF"/>
    <w:rsid w:val="004E300D"/>
    <w:rsid w:val="004E3C68"/>
    <w:rsid w:val="004E607D"/>
    <w:rsid w:val="004E7555"/>
    <w:rsid w:val="004F1C71"/>
    <w:rsid w:val="004F68E6"/>
    <w:rsid w:val="004F6BF7"/>
    <w:rsid w:val="0050195E"/>
    <w:rsid w:val="00504480"/>
    <w:rsid w:val="0050536D"/>
    <w:rsid w:val="00511B52"/>
    <w:rsid w:val="005157C0"/>
    <w:rsid w:val="00522A9E"/>
    <w:rsid w:val="005257F8"/>
    <w:rsid w:val="005302D7"/>
    <w:rsid w:val="00535489"/>
    <w:rsid w:val="0053557A"/>
    <w:rsid w:val="0054043C"/>
    <w:rsid w:val="00544F57"/>
    <w:rsid w:val="005458E7"/>
    <w:rsid w:val="00545C4B"/>
    <w:rsid w:val="00546684"/>
    <w:rsid w:val="005653D0"/>
    <w:rsid w:val="005672E8"/>
    <w:rsid w:val="00576121"/>
    <w:rsid w:val="00576B26"/>
    <w:rsid w:val="005824A3"/>
    <w:rsid w:val="005831B3"/>
    <w:rsid w:val="00593C27"/>
    <w:rsid w:val="005A158B"/>
    <w:rsid w:val="005A4639"/>
    <w:rsid w:val="005A555E"/>
    <w:rsid w:val="005A79E0"/>
    <w:rsid w:val="005B1329"/>
    <w:rsid w:val="005B476C"/>
    <w:rsid w:val="005B4D8B"/>
    <w:rsid w:val="005C06F5"/>
    <w:rsid w:val="005C0DF5"/>
    <w:rsid w:val="005C1FFC"/>
    <w:rsid w:val="005C2FD3"/>
    <w:rsid w:val="005C3FAD"/>
    <w:rsid w:val="005C7FB9"/>
    <w:rsid w:val="005D333E"/>
    <w:rsid w:val="005D357B"/>
    <w:rsid w:val="005D5633"/>
    <w:rsid w:val="005D7047"/>
    <w:rsid w:val="005D7F99"/>
    <w:rsid w:val="005E0D82"/>
    <w:rsid w:val="005E3C15"/>
    <w:rsid w:val="005E54CD"/>
    <w:rsid w:val="0060275B"/>
    <w:rsid w:val="00603FF9"/>
    <w:rsid w:val="006047F1"/>
    <w:rsid w:val="00607D7E"/>
    <w:rsid w:val="00611892"/>
    <w:rsid w:val="006145DF"/>
    <w:rsid w:val="00616583"/>
    <w:rsid w:val="006227B5"/>
    <w:rsid w:val="00624464"/>
    <w:rsid w:val="00627039"/>
    <w:rsid w:val="00630D02"/>
    <w:rsid w:val="006310E1"/>
    <w:rsid w:val="0063112B"/>
    <w:rsid w:val="006373BC"/>
    <w:rsid w:val="00637D48"/>
    <w:rsid w:val="0064088F"/>
    <w:rsid w:val="0064223E"/>
    <w:rsid w:val="006434AA"/>
    <w:rsid w:val="00645F3B"/>
    <w:rsid w:val="00647EFC"/>
    <w:rsid w:val="006552B7"/>
    <w:rsid w:val="00656A06"/>
    <w:rsid w:val="006577E7"/>
    <w:rsid w:val="00661F47"/>
    <w:rsid w:val="006626D8"/>
    <w:rsid w:val="006630DB"/>
    <w:rsid w:val="006657B9"/>
    <w:rsid w:val="00671968"/>
    <w:rsid w:val="00672454"/>
    <w:rsid w:val="00675CF4"/>
    <w:rsid w:val="00680A3D"/>
    <w:rsid w:val="006816BB"/>
    <w:rsid w:val="00682360"/>
    <w:rsid w:val="00686040"/>
    <w:rsid w:val="0068738A"/>
    <w:rsid w:val="00687724"/>
    <w:rsid w:val="0069146B"/>
    <w:rsid w:val="006949CA"/>
    <w:rsid w:val="006A13A1"/>
    <w:rsid w:val="006A2C2C"/>
    <w:rsid w:val="006A3810"/>
    <w:rsid w:val="006A62E6"/>
    <w:rsid w:val="006A644A"/>
    <w:rsid w:val="006A7C71"/>
    <w:rsid w:val="006B09CD"/>
    <w:rsid w:val="006B26E8"/>
    <w:rsid w:val="006B34DB"/>
    <w:rsid w:val="006B7112"/>
    <w:rsid w:val="006C094C"/>
    <w:rsid w:val="006C4D4D"/>
    <w:rsid w:val="006C59F1"/>
    <w:rsid w:val="006C6C9B"/>
    <w:rsid w:val="006C77E3"/>
    <w:rsid w:val="006C78AD"/>
    <w:rsid w:val="006D1962"/>
    <w:rsid w:val="006D3569"/>
    <w:rsid w:val="006D61E8"/>
    <w:rsid w:val="006E1533"/>
    <w:rsid w:val="006E4871"/>
    <w:rsid w:val="006E6C0C"/>
    <w:rsid w:val="006E751C"/>
    <w:rsid w:val="006F47DF"/>
    <w:rsid w:val="006F58C2"/>
    <w:rsid w:val="006F78F0"/>
    <w:rsid w:val="0070447B"/>
    <w:rsid w:val="00707ABC"/>
    <w:rsid w:val="007102FC"/>
    <w:rsid w:val="007106AD"/>
    <w:rsid w:val="00714330"/>
    <w:rsid w:val="00714B4C"/>
    <w:rsid w:val="007243D2"/>
    <w:rsid w:val="00725A85"/>
    <w:rsid w:val="00725F54"/>
    <w:rsid w:val="00726A81"/>
    <w:rsid w:val="00726EB3"/>
    <w:rsid w:val="00726F9F"/>
    <w:rsid w:val="0073094A"/>
    <w:rsid w:val="00737786"/>
    <w:rsid w:val="00740F1D"/>
    <w:rsid w:val="00741749"/>
    <w:rsid w:val="007422FE"/>
    <w:rsid w:val="00751269"/>
    <w:rsid w:val="00760A52"/>
    <w:rsid w:val="00761C43"/>
    <w:rsid w:val="007648E8"/>
    <w:rsid w:val="00771127"/>
    <w:rsid w:val="00773852"/>
    <w:rsid w:val="007746AB"/>
    <w:rsid w:val="0078154F"/>
    <w:rsid w:val="007816F9"/>
    <w:rsid w:val="007820BB"/>
    <w:rsid w:val="00790B18"/>
    <w:rsid w:val="00791257"/>
    <w:rsid w:val="0079695A"/>
    <w:rsid w:val="00797755"/>
    <w:rsid w:val="007A25DA"/>
    <w:rsid w:val="007A5C68"/>
    <w:rsid w:val="007A6847"/>
    <w:rsid w:val="007A781C"/>
    <w:rsid w:val="007A7DDE"/>
    <w:rsid w:val="007B0862"/>
    <w:rsid w:val="007B1C3F"/>
    <w:rsid w:val="007B331E"/>
    <w:rsid w:val="007B3555"/>
    <w:rsid w:val="007C0D73"/>
    <w:rsid w:val="007C27FD"/>
    <w:rsid w:val="007C5B13"/>
    <w:rsid w:val="007C6C1F"/>
    <w:rsid w:val="007C76A7"/>
    <w:rsid w:val="007D0176"/>
    <w:rsid w:val="007D0CD8"/>
    <w:rsid w:val="007D5431"/>
    <w:rsid w:val="007D79A4"/>
    <w:rsid w:val="007E0585"/>
    <w:rsid w:val="007E39FA"/>
    <w:rsid w:val="007E3B6F"/>
    <w:rsid w:val="007E4BD9"/>
    <w:rsid w:val="007E621A"/>
    <w:rsid w:val="007E76A8"/>
    <w:rsid w:val="007F3430"/>
    <w:rsid w:val="007F42E2"/>
    <w:rsid w:val="007F7092"/>
    <w:rsid w:val="00800C88"/>
    <w:rsid w:val="00802AF1"/>
    <w:rsid w:val="00803209"/>
    <w:rsid w:val="00803517"/>
    <w:rsid w:val="00804892"/>
    <w:rsid w:val="008055C9"/>
    <w:rsid w:val="00810489"/>
    <w:rsid w:val="00811DCE"/>
    <w:rsid w:val="0081227A"/>
    <w:rsid w:val="008212FC"/>
    <w:rsid w:val="00823528"/>
    <w:rsid w:val="0083408F"/>
    <w:rsid w:val="00840393"/>
    <w:rsid w:val="00843D1D"/>
    <w:rsid w:val="00844B77"/>
    <w:rsid w:val="00846085"/>
    <w:rsid w:val="0085391F"/>
    <w:rsid w:val="00854022"/>
    <w:rsid w:val="008568E7"/>
    <w:rsid w:val="00861FA3"/>
    <w:rsid w:val="0087112C"/>
    <w:rsid w:val="00874143"/>
    <w:rsid w:val="00876CC5"/>
    <w:rsid w:val="00877559"/>
    <w:rsid w:val="00886BB9"/>
    <w:rsid w:val="00887181"/>
    <w:rsid w:val="00891AD2"/>
    <w:rsid w:val="0089660C"/>
    <w:rsid w:val="00897EB5"/>
    <w:rsid w:val="008A29B0"/>
    <w:rsid w:val="008A2C75"/>
    <w:rsid w:val="008A4516"/>
    <w:rsid w:val="008B2348"/>
    <w:rsid w:val="008B292D"/>
    <w:rsid w:val="008B2B4B"/>
    <w:rsid w:val="008B59FA"/>
    <w:rsid w:val="008B68EB"/>
    <w:rsid w:val="008BF1BD"/>
    <w:rsid w:val="008C1ED6"/>
    <w:rsid w:val="008C5BAF"/>
    <w:rsid w:val="008C5CED"/>
    <w:rsid w:val="008D301F"/>
    <w:rsid w:val="008D3165"/>
    <w:rsid w:val="008D352B"/>
    <w:rsid w:val="008D48CC"/>
    <w:rsid w:val="008E2ECD"/>
    <w:rsid w:val="008E438B"/>
    <w:rsid w:val="008F4DF8"/>
    <w:rsid w:val="008F504B"/>
    <w:rsid w:val="008F5581"/>
    <w:rsid w:val="008F5FDE"/>
    <w:rsid w:val="008F73E7"/>
    <w:rsid w:val="0090184B"/>
    <w:rsid w:val="00902568"/>
    <w:rsid w:val="00903BBF"/>
    <w:rsid w:val="00906165"/>
    <w:rsid w:val="009066F3"/>
    <w:rsid w:val="00906F18"/>
    <w:rsid w:val="00911A49"/>
    <w:rsid w:val="009224DD"/>
    <w:rsid w:val="00924AA4"/>
    <w:rsid w:val="0092649E"/>
    <w:rsid w:val="00930E55"/>
    <w:rsid w:val="009352D4"/>
    <w:rsid w:val="00935793"/>
    <w:rsid w:val="00935F44"/>
    <w:rsid w:val="00936507"/>
    <w:rsid w:val="00937B6D"/>
    <w:rsid w:val="00940A89"/>
    <w:rsid w:val="00945B53"/>
    <w:rsid w:val="00946677"/>
    <w:rsid w:val="009469BF"/>
    <w:rsid w:val="0095300F"/>
    <w:rsid w:val="00956A77"/>
    <w:rsid w:val="00956ADE"/>
    <w:rsid w:val="0096022A"/>
    <w:rsid w:val="0096294A"/>
    <w:rsid w:val="00964B08"/>
    <w:rsid w:val="00972F4D"/>
    <w:rsid w:val="00973357"/>
    <w:rsid w:val="00974579"/>
    <w:rsid w:val="00976CF1"/>
    <w:rsid w:val="009778C4"/>
    <w:rsid w:val="0098132A"/>
    <w:rsid w:val="00981417"/>
    <w:rsid w:val="009817DC"/>
    <w:rsid w:val="009834E3"/>
    <w:rsid w:val="00985F28"/>
    <w:rsid w:val="00986C2E"/>
    <w:rsid w:val="0099271C"/>
    <w:rsid w:val="00993DF6"/>
    <w:rsid w:val="009956E5"/>
    <w:rsid w:val="00996178"/>
    <w:rsid w:val="0099630C"/>
    <w:rsid w:val="00997E80"/>
    <w:rsid w:val="009A0614"/>
    <w:rsid w:val="009A4951"/>
    <w:rsid w:val="009A4C21"/>
    <w:rsid w:val="009A4CF5"/>
    <w:rsid w:val="009B2400"/>
    <w:rsid w:val="009B69BC"/>
    <w:rsid w:val="009C0BB3"/>
    <w:rsid w:val="009D135D"/>
    <w:rsid w:val="009D1593"/>
    <w:rsid w:val="009D1FA6"/>
    <w:rsid w:val="009D26FE"/>
    <w:rsid w:val="009D311C"/>
    <w:rsid w:val="009D4E1C"/>
    <w:rsid w:val="009D6714"/>
    <w:rsid w:val="009D715F"/>
    <w:rsid w:val="009E3915"/>
    <w:rsid w:val="009E41E4"/>
    <w:rsid w:val="009E6580"/>
    <w:rsid w:val="009F2722"/>
    <w:rsid w:val="009F2806"/>
    <w:rsid w:val="009F4CBD"/>
    <w:rsid w:val="009F514B"/>
    <w:rsid w:val="009F7796"/>
    <w:rsid w:val="00A01BBE"/>
    <w:rsid w:val="00A14043"/>
    <w:rsid w:val="00A15E09"/>
    <w:rsid w:val="00A163AB"/>
    <w:rsid w:val="00A23321"/>
    <w:rsid w:val="00A236EE"/>
    <w:rsid w:val="00A26218"/>
    <w:rsid w:val="00A27A9A"/>
    <w:rsid w:val="00A32100"/>
    <w:rsid w:val="00A3479D"/>
    <w:rsid w:val="00A36805"/>
    <w:rsid w:val="00A417F3"/>
    <w:rsid w:val="00A502D4"/>
    <w:rsid w:val="00A50BF7"/>
    <w:rsid w:val="00A517F5"/>
    <w:rsid w:val="00A52C44"/>
    <w:rsid w:val="00A5314B"/>
    <w:rsid w:val="00A54B18"/>
    <w:rsid w:val="00A551C4"/>
    <w:rsid w:val="00A56289"/>
    <w:rsid w:val="00A56C03"/>
    <w:rsid w:val="00A6103D"/>
    <w:rsid w:val="00A660F4"/>
    <w:rsid w:val="00A661F8"/>
    <w:rsid w:val="00A664DD"/>
    <w:rsid w:val="00A71B09"/>
    <w:rsid w:val="00A75C88"/>
    <w:rsid w:val="00A84BCB"/>
    <w:rsid w:val="00A85EA1"/>
    <w:rsid w:val="00A85F8A"/>
    <w:rsid w:val="00A90CCE"/>
    <w:rsid w:val="00A94AC6"/>
    <w:rsid w:val="00A96E85"/>
    <w:rsid w:val="00AA05DA"/>
    <w:rsid w:val="00AA0F4D"/>
    <w:rsid w:val="00AA169A"/>
    <w:rsid w:val="00AA1CA1"/>
    <w:rsid w:val="00AA4B91"/>
    <w:rsid w:val="00AA5FD3"/>
    <w:rsid w:val="00AA66DC"/>
    <w:rsid w:val="00AB1259"/>
    <w:rsid w:val="00AB3FC7"/>
    <w:rsid w:val="00AB65CD"/>
    <w:rsid w:val="00AB6E8B"/>
    <w:rsid w:val="00AC030D"/>
    <w:rsid w:val="00AC0B89"/>
    <w:rsid w:val="00AC5BDC"/>
    <w:rsid w:val="00AC67AE"/>
    <w:rsid w:val="00ACC1B6"/>
    <w:rsid w:val="00AD08CA"/>
    <w:rsid w:val="00AD26B4"/>
    <w:rsid w:val="00AD325E"/>
    <w:rsid w:val="00AD5997"/>
    <w:rsid w:val="00AD5BBB"/>
    <w:rsid w:val="00AE07D3"/>
    <w:rsid w:val="00AE42A3"/>
    <w:rsid w:val="00AE657C"/>
    <w:rsid w:val="00AF567D"/>
    <w:rsid w:val="00AF65E5"/>
    <w:rsid w:val="00AF7EB1"/>
    <w:rsid w:val="00B00143"/>
    <w:rsid w:val="00B04548"/>
    <w:rsid w:val="00B06289"/>
    <w:rsid w:val="00B07368"/>
    <w:rsid w:val="00B10046"/>
    <w:rsid w:val="00B13161"/>
    <w:rsid w:val="00B142A9"/>
    <w:rsid w:val="00B16B2A"/>
    <w:rsid w:val="00B205EE"/>
    <w:rsid w:val="00B21E7A"/>
    <w:rsid w:val="00B26930"/>
    <w:rsid w:val="00B34CD3"/>
    <w:rsid w:val="00B36F6E"/>
    <w:rsid w:val="00B4270C"/>
    <w:rsid w:val="00B435F5"/>
    <w:rsid w:val="00B43D07"/>
    <w:rsid w:val="00B470A6"/>
    <w:rsid w:val="00B554BB"/>
    <w:rsid w:val="00B55A19"/>
    <w:rsid w:val="00B63635"/>
    <w:rsid w:val="00B67501"/>
    <w:rsid w:val="00B700B7"/>
    <w:rsid w:val="00B70382"/>
    <w:rsid w:val="00B737D9"/>
    <w:rsid w:val="00B73C95"/>
    <w:rsid w:val="00B75F9E"/>
    <w:rsid w:val="00B76BF7"/>
    <w:rsid w:val="00B77860"/>
    <w:rsid w:val="00B84AEF"/>
    <w:rsid w:val="00BA1D7D"/>
    <w:rsid w:val="00BA4881"/>
    <w:rsid w:val="00BA5804"/>
    <w:rsid w:val="00BA6E10"/>
    <w:rsid w:val="00BB01E4"/>
    <w:rsid w:val="00BB347F"/>
    <w:rsid w:val="00BC3782"/>
    <w:rsid w:val="00BC37D7"/>
    <w:rsid w:val="00BC59A5"/>
    <w:rsid w:val="00BC7DE7"/>
    <w:rsid w:val="00BD0516"/>
    <w:rsid w:val="00BD0BB6"/>
    <w:rsid w:val="00BD2DFB"/>
    <w:rsid w:val="00BD360F"/>
    <w:rsid w:val="00BD60C7"/>
    <w:rsid w:val="00BD6219"/>
    <w:rsid w:val="00BE17BB"/>
    <w:rsid w:val="00BE4EAF"/>
    <w:rsid w:val="00BF1478"/>
    <w:rsid w:val="00BF63DB"/>
    <w:rsid w:val="00BF7677"/>
    <w:rsid w:val="00C0119D"/>
    <w:rsid w:val="00C01868"/>
    <w:rsid w:val="00C01FEB"/>
    <w:rsid w:val="00C033E5"/>
    <w:rsid w:val="00C0469F"/>
    <w:rsid w:val="00C11FE6"/>
    <w:rsid w:val="00C138C8"/>
    <w:rsid w:val="00C13EE6"/>
    <w:rsid w:val="00C14BD6"/>
    <w:rsid w:val="00C16C90"/>
    <w:rsid w:val="00C1734B"/>
    <w:rsid w:val="00C17998"/>
    <w:rsid w:val="00C20BE4"/>
    <w:rsid w:val="00C24172"/>
    <w:rsid w:val="00C26ABC"/>
    <w:rsid w:val="00C27626"/>
    <w:rsid w:val="00C2767A"/>
    <w:rsid w:val="00C305C7"/>
    <w:rsid w:val="00C305F2"/>
    <w:rsid w:val="00C333E3"/>
    <w:rsid w:val="00C339FB"/>
    <w:rsid w:val="00C35312"/>
    <w:rsid w:val="00C35C79"/>
    <w:rsid w:val="00C373E5"/>
    <w:rsid w:val="00C3767F"/>
    <w:rsid w:val="00C40B21"/>
    <w:rsid w:val="00C40C18"/>
    <w:rsid w:val="00C41863"/>
    <w:rsid w:val="00C42A8F"/>
    <w:rsid w:val="00C43E87"/>
    <w:rsid w:val="00C4576B"/>
    <w:rsid w:val="00C46CB6"/>
    <w:rsid w:val="00C4C90C"/>
    <w:rsid w:val="00C50EF5"/>
    <w:rsid w:val="00C563CC"/>
    <w:rsid w:val="00C5658D"/>
    <w:rsid w:val="00C61113"/>
    <w:rsid w:val="00C61EAE"/>
    <w:rsid w:val="00C62213"/>
    <w:rsid w:val="00C633AE"/>
    <w:rsid w:val="00C6570B"/>
    <w:rsid w:val="00C74252"/>
    <w:rsid w:val="00C75638"/>
    <w:rsid w:val="00C77544"/>
    <w:rsid w:val="00C87D7E"/>
    <w:rsid w:val="00C91502"/>
    <w:rsid w:val="00C932E9"/>
    <w:rsid w:val="00C95053"/>
    <w:rsid w:val="00C96A1E"/>
    <w:rsid w:val="00C97A80"/>
    <w:rsid w:val="00CA6B04"/>
    <w:rsid w:val="00CA7D82"/>
    <w:rsid w:val="00CB1D43"/>
    <w:rsid w:val="00CB2FFF"/>
    <w:rsid w:val="00CB563E"/>
    <w:rsid w:val="00CC37D7"/>
    <w:rsid w:val="00CC47FA"/>
    <w:rsid w:val="00CC7E00"/>
    <w:rsid w:val="00CE08AC"/>
    <w:rsid w:val="00CE3FC4"/>
    <w:rsid w:val="00CE4D63"/>
    <w:rsid w:val="00CE4EB1"/>
    <w:rsid w:val="00CE5537"/>
    <w:rsid w:val="00CE5E0C"/>
    <w:rsid w:val="00CF06B4"/>
    <w:rsid w:val="00CF0A0F"/>
    <w:rsid w:val="00CF0A50"/>
    <w:rsid w:val="00CF4B2F"/>
    <w:rsid w:val="00CF501D"/>
    <w:rsid w:val="00CF68A0"/>
    <w:rsid w:val="00CF702F"/>
    <w:rsid w:val="00D00EE5"/>
    <w:rsid w:val="00D01763"/>
    <w:rsid w:val="00D01D5A"/>
    <w:rsid w:val="00D02F4A"/>
    <w:rsid w:val="00D03D36"/>
    <w:rsid w:val="00D04060"/>
    <w:rsid w:val="00D04D74"/>
    <w:rsid w:val="00D058C7"/>
    <w:rsid w:val="00D11020"/>
    <w:rsid w:val="00D144AC"/>
    <w:rsid w:val="00D14CD8"/>
    <w:rsid w:val="00D17CDF"/>
    <w:rsid w:val="00D21EE7"/>
    <w:rsid w:val="00D2426B"/>
    <w:rsid w:val="00D24ECF"/>
    <w:rsid w:val="00D274A5"/>
    <w:rsid w:val="00D3117F"/>
    <w:rsid w:val="00D31296"/>
    <w:rsid w:val="00D31B64"/>
    <w:rsid w:val="00D31D4B"/>
    <w:rsid w:val="00D35173"/>
    <w:rsid w:val="00D410E4"/>
    <w:rsid w:val="00D4294A"/>
    <w:rsid w:val="00D42E27"/>
    <w:rsid w:val="00D434D3"/>
    <w:rsid w:val="00D435BD"/>
    <w:rsid w:val="00D44808"/>
    <w:rsid w:val="00D56FBA"/>
    <w:rsid w:val="00D63B0B"/>
    <w:rsid w:val="00D7051E"/>
    <w:rsid w:val="00D71E40"/>
    <w:rsid w:val="00D77D04"/>
    <w:rsid w:val="00D77D45"/>
    <w:rsid w:val="00D8077E"/>
    <w:rsid w:val="00D813FF"/>
    <w:rsid w:val="00D8310C"/>
    <w:rsid w:val="00D832C7"/>
    <w:rsid w:val="00D90CDC"/>
    <w:rsid w:val="00D94302"/>
    <w:rsid w:val="00DA29F7"/>
    <w:rsid w:val="00DA2CC0"/>
    <w:rsid w:val="00DA50DB"/>
    <w:rsid w:val="00DA7091"/>
    <w:rsid w:val="00DA79A6"/>
    <w:rsid w:val="00DB26D8"/>
    <w:rsid w:val="00DB2951"/>
    <w:rsid w:val="00DB40DA"/>
    <w:rsid w:val="00DB4EEC"/>
    <w:rsid w:val="00DB6DAD"/>
    <w:rsid w:val="00DB74D4"/>
    <w:rsid w:val="00DB79D4"/>
    <w:rsid w:val="00DC0573"/>
    <w:rsid w:val="00DC2772"/>
    <w:rsid w:val="00DC6EE8"/>
    <w:rsid w:val="00DD07A9"/>
    <w:rsid w:val="00DD2444"/>
    <w:rsid w:val="00DD3E18"/>
    <w:rsid w:val="00DE0677"/>
    <w:rsid w:val="00DF3430"/>
    <w:rsid w:val="00DF406C"/>
    <w:rsid w:val="00E01FA6"/>
    <w:rsid w:val="00E03DD6"/>
    <w:rsid w:val="00E077C6"/>
    <w:rsid w:val="00E107D8"/>
    <w:rsid w:val="00E1181D"/>
    <w:rsid w:val="00E12C72"/>
    <w:rsid w:val="00E1775A"/>
    <w:rsid w:val="00E20CB7"/>
    <w:rsid w:val="00E24599"/>
    <w:rsid w:val="00E265F0"/>
    <w:rsid w:val="00E32534"/>
    <w:rsid w:val="00E332BC"/>
    <w:rsid w:val="00E3487A"/>
    <w:rsid w:val="00E37D8C"/>
    <w:rsid w:val="00E4167F"/>
    <w:rsid w:val="00E42F9C"/>
    <w:rsid w:val="00E46F9B"/>
    <w:rsid w:val="00E47B39"/>
    <w:rsid w:val="00E511D5"/>
    <w:rsid w:val="00E53205"/>
    <w:rsid w:val="00E53606"/>
    <w:rsid w:val="00E54194"/>
    <w:rsid w:val="00E55C12"/>
    <w:rsid w:val="00E56D5E"/>
    <w:rsid w:val="00E573C3"/>
    <w:rsid w:val="00E62E7E"/>
    <w:rsid w:val="00E63728"/>
    <w:rsid w:val="00E63F5A"/>
    <w:rsid w:val="00E66956"/>
    <w:rsid w:val="00E66F6D"/>
    <w:rsid w:val="00E734DF"/>
    <w:rsid w:val="00E74EA3"/>
    <w:rsid w:val="00E824AB"/>
    <w:rsid w:val="00E82DB8"/>
    <w:rsid w:val="00E8460C"/>
    <w:rsid w:val="00E86E92"/>
    <w:rsid w:val="00E93AE7"/>
    <w:rsid w:val="00E96AD1"/>
    <w:rsid w:val="00E96B64"/>
    <w:rsid w:val="00E96C87"/>
    <w:rsid w:val="00E9749D"/>
    <w:rsid w:val="00E97D08"/>
    <w:rsid w:val="00EA08D5"/>
    <w:rsid w:val="00EA27E5"/>
    <w:rsid w:val="00EA6F50"/>
    <w:rsid w:val="00EA76F6"/>
    <w:rsid w:val="00EB3386"/>
    <w:rsid w:val="00EC11EF"/>
    <w:rsid w:val="00EC1C06"/>
    <w:rsid w:val="00EC5818"/>
    <w:rsid w:val="00EC6327"/>
    <w:rsid w:val="00EC7828"/>
    <w:rsid w:val="00ED13E4"/>
    <w:rsid w:val="00ED1B77"/>
    <w:rsid w:val="00ED541A"/>
    <w:rsid w:val="00EE2578"/>
    <w:rsid w:val="00EE2CBB"/>
    <w:rsid w:val="00EE2CE9"/>
    <w:rsid w:val="00EE5A10"/>
    <w:rsid w:val="00EE661D"/>
    <w:rsid w:val="00EE7E3E"/>
    <w:rsid w:val="00F03579"/>
    <w:rsid w:val="00F06654"/>
    <w:rsid w:val="00F1200A"/>
    <w:rsid w:val="00F13580"/>
    <w:rsid w:val="00F13627"/>
    <w:rsid w:val="00F15BFD"/>
    <w:rsid w:val="00F16BEC"/>
    <w:rsid w:val="00F16D98"/>
    <w:rsid w:val="00F17D28"/>
    <w:rsid w:val="00F222CB"/>
    <w:rsid w:val="00F2441E"/>
    <w:rsid w:val="00F25BFD"/>
    <w:rsid w:val="00F276F6"/>
    <w:rsid w:val="00F27BE5"/>
    <w:rsid w:val="00F3601D"/>
    <w:rsid w:val="00F369EB"/>
    <w:rsid w:val="00F40B4E"/>
    <w:rsid w:val="00F41176"/>
    <w:rsid w:val="00F41B15"/>
    <w:rsid w:val="00F45D82"/>
    <w:rsid w:val="00F47468"/>
    <w:rsid w:val="00F47AF6"/>
    <w:rsid w:val="00F53120"/>
    <w:rsid w:val="00F54C04"/>
    <w:rsid w:val="00F56910"/>
    <w:rsid w:val="00F5768E"/>
    <w:rsid w:val="00F610F1"/>
    <w:rsid w:val="00F676E5"/>
    <w:rsid w:val="00F67D78"/>
    <w:rsid w:val="00F70FAF"/>
    <w:rsid w:val="00F72DAB"/>
    <w:rsid w:val="00F743FA"/>
    <w:rsid w:val="00F76154"/>
    <w:rsid w:val="00F77F83"/>
    <w:rsid w:val="00F81E32"/>
    <w:rsid w:val="00F8210A"/>
    <w:rsid w:val="00F87933"/>
    <w:rsid w:val="00F910DA"/>
    <w:rsid w:val="00F92B46"/>
    <w:rsid w:val="00F95E55"/>
    <w:rsid w:val="00F96447"/>
    <w:rsid w:val="00F9696B"/>
    <w:rsid w:val="00FA0698"/>
    <w:rsid w:val="00FA4F3E"/>
    <w:rsid w:val="00FB039C"/>
    <w:rsid w:val="00FB1E2A"/>
    <w:rsid w:val="00FB3C3A"/>
    <w:rsid w:val="00FB4B50"/>
    <w:rsid w:val="00FB4F74"/>
    <w:rsid w:val="00FC3A9F"/>
    <w:rsid w:val="00FC5149"/>
    <w:rsid w:val="00FC6E28"/>
    <w:rsid w:val="00FC7694"/>
    <w:rsid w:val="00FD099D"/>
    <w:rsid w:val="00FD0A88"/>
    <w:rsid w:val="00FD0DFF"/>
    <w:rsid w:val="00FD2C2C"/>
    <w:rsid w:val="00FD5761"/>
    <w:rsid w:val="00FD67D3"/>
    <w:rsid w:val="00FDBA39"/>
    <w:rsid w:val="00FE5E2F"/>
    <w:rsid w:val="00FE794C"/>
    <w:rsid w:val="00FE7B90"/>
    <w:rsid w:val="00FF0458"/>
    <w:rsid w:val="00FF71AE"/>
    <w:rsid w:val="00FF724D"/>
    <w:rsid w:val="013F184A"/>
    <w:rsid w:val="0145F47A"/>
    <w:rsid w:val="014C7DBD"/>
    <w:rsid w:val="016F09A7"/>
    <w:rsid w:val="019F7FD8"/>
    <w:rsid w:val="01CA8FD0"/>
    <w:rsid w:val="01CAD112"/>
    <w:rsid w:val="01CBB73A"/>
    <w:rsid w:val="01E1846C"/>
    <w:rsid w:val="0233F411"/>
    <w:rsid w:val="027098FD"/>
    <w:rsid w:val="02AF2D12"/>
    <w:rsid w:val="02B46EE4"/>
    <w:rsid w:val="031BEDC6"/>
    <w:rsid w:val="03A13E8B"/>
    <w:rsid w:val="03F6FE2B"/>
    <w:rsid w:val="041332FC"/>
    <w:rsid w:val="041D2809"/>
    <w:rsid w:val="042725A6"/>
    <w:rsid w:val="043A0D96"/>
    <w:rsid w:val="0466669B"/>
    <w:rsid w:val="04D62260"/>
    <w:rsid w:val="04F2F885"/>
    <w:rsid w:val="054821B0"/>
    <w:rsid w:val="057B156F"/>
    <w:rsid w:val="05C51EFB"/>
    <w:rsid w:val="05E994D1"/>
    <w:rsid w:val="06215C75"/>
    <w:rsid w:val="062E1C3F"/>
    <w:rsid w:val="066EA7D3"/>
    <w:rsid w:val="06801377"/>
    <w:rsid w:val="0680272D"/>
    <w:rsid w:val="06D847D5"/>
    <w:rsid w:val="072F44D6"/>
    <w:rsid w:val="0743AC06"/>
    <w:rsid w:val="0791A3FC"/>
    <w:rsid w:val="08163E73"/>
    <w:rsid w:val="086B4C16"/>
    <w:rsid w:val="09205B10"/>
    <w:rsid w:val="0923B4B0"/>
    <w:rsid w:val="097091FD"/>
    <w:rsid w:val="099AA47E"/>
    <w:rsid w:val="09D0C922"/>
    <w:rsid w:val="09D36DF4"/>
    <w:rsid w:val="09EC9651"/>
    <w:rsid w:val="0A251FEE"/>
    <w:rsid w:val="0AB787BB"/>
    <w:rsid w:val="0AD29417"/>
    <w:rsid w:val="0AE94935"/>
    <w:rsid w:val="0AE971C2"/>
    <w:rsid w:val="0B274425"/>
    <w:rsid w:val="0B6005BD"/>
    <w:rsid w:val="0B6F3E55"/>
    <w:rsid w:val="0B9CC540"/>
    <w:rsid w:val="0BA178E4"/>
    <w:rsid w:val="0C07C145"/>
    <w:rsid w:val="0C41F21B"/>
    <w:rsid w:val="0C88C005"/>
    <w:rsid w:val="0CBF6792"/>
    <w:rsid w:val="0CDC1CC1"/>
    <w:rsid w:val="0D1FE232"/>
    <w:rsid w:val="0D40774C"/>
    <w:rsid w:val="0D660E8B"/>
    <w:rsid w:val="0D84B814"/>
    <w:rsid w:val="0E3C7B3C"/>
    <w:rsid w:val="0E7913FB"/>
    <w:rsid w:val="0EA3FFDC"/>
    <w:rsid w:val="0EE2C242"/>
    <w:rsid w:val="0F1DE316"/>
    <w:rsid w:val="0F3FE56F"/>
    <w:rsid w:val="0FB92EF3"/>
    <w:rsid w:val="0FDDA0F2"/>
    <w:rsid w:val="10042488"/>
    <w:rsid w:val="1014E45C"/>
    <w:rsid w:val="103CB929"/>
    <w:rsid w:val="103FD03D"/>
    <w:rsid w:val="10437575"/>
    <w:rsid w:val="106C8191"/>
    <w:rsid w:val="10952F80"/>
    <w:rsid w:val="109E7996"/>
    <w:rsid w:val="10D66CEF"/>
    <w:rsid w:val="10E996A8"/>
    <w:rsid w:val="11378749"/>
    <w:rsid w:val="117D8DA8"/>
    <w:rsid w:val="1185F62F"/>
    <w:rsid w:val="11BA7C9A"/>
    <w:rsid w:val="11D1B78F"/>
    <w:rsid w:val="11DF4725"/>
    <w:rsid w:val="11F8BEDB"/>
    <w:rsid w:val="122FE0C2"/>
    <w:rsid w:val="124FE0FF"/>
    <w:rsid w:val="12795A49"/>
    <w:rsid w:val="128F8C7C"/>
    <w:rsid w:val="12A5E34B"/>
    <w:rsid w:val="12AB414E"/>
    <w:rsid w:val="12BE0F1D"/>
    <w:rsid w:val="1308647B"/>
    <w:rsid w:val="132B9FE5"/>
    <w:rsid w:val="1344278D"/>
    <w:rsid w:val="134AFED9"/>
    <w:rsid w:val="135B3433"/>
    <w:rsid w:val="13B32912"/>
    <w:rsid w:val="13DAAE33"/>
    <w:rsid w:val="13DE99E6"/>
    <w:rsid w:val="146DAE86"/>
    <w:rsid w:val="14703E3C"/>
    <w:rsid w:val="14DB93D1"/>
    <w:rsid w:val="14DD23BD"/>
    <w:rsid w:val="14EC53F2"/>
    <w:rsid w:val="1510F697"/>
    <w:rsid w:val="15682030"/>
    <w:rsid w:val="15888265"/>
    <w:rsid w:val="15D038DE"/>
    <w:rsid w:val="15D4A0D5"/>
    <w:rsid w:val="15EDCFD2"/>
    <w:rsid w:val="160C0E9D"/>
    <w:rsid w:val="1617C597"/>
    <w:rsid w:val="16181B24"/>
    <w:rsid w:val="1645DCB7"/>
    <w:rsid w:val="168BEC98"/>
    <w:rsid w:val="16A3E605"/>
    <w:rsid w:val="16D4D8E1"/>
    <w:rsid w:val="170820D6"/>
    <w:rsid w:val="1805C72D"/>
    <w:rsid w:val="1855AEE3"/>
    <w:rsid w:val="18984067"/>
    <w:rsid w:val="18C9F148"/>
    <w:rsid w:val="18E7FE40"/>
    <w:rsid w:val="1952357E"/>
    <w:rsid w:val="1995F860"/>
    <w:rsid w:val="1999AC52"/>
    <w:rsid w:val="1999E86C"/>
    <w:rsid w:val="19BFEE53"/>
    <w:rsid w:val="19CA7312"/>
    <w:rsid w:val="1A15EB2E"/>
    <w:rsid w:val="1A1CF0E6"/>
    <w:rsid w:val="1A3B9153"/>
    <w:rsid w:val="1A49E360"/>
    <w:rsid w:val="1A546BA4"/>
    <w:rsid w:val="1A577146"/>
    <w:rsid w:val="1A6D8AA2"/>
    <w:rsid w:val="1A82FCEB"/>
    <w:rsid w:val="1AAE66A8"/>
    <w:rsid w:val="1AB95F93"/>
    <w:rsid w:val="1B2670EC"/>
    <w:rsid w:val="1B7C8AE2"/>
    <w:rsid w:val="1BA7D5CB"/>
    <w:rsid w:val="1C2B1A5F"/>
    <w:rsid w:val="1C552FF4"/>
    <w:rsid w:val="1C784FE2"/>
    <w:rsid w:val="1C9BA207"/>
    <w:rsid w:val="1C9D80E2"/>
    <w:rsid w:val="1CE9E48A"/>
    <w:rsid w:val="1D43A62C"/>
    <w:rsid w:val="1D859495"/>
    <w:rsid w:val="1DCCFB43"/>
    <w:rsid w:val="1DDC20FA"/>
    <w:rsid w:val="1E140008"/>
    <w:rsid w:val="1E6AA24E"/>
    <w:rsid w:val="1EA2E4A3"/>
    <w:rsid w:val="1EB123D9"/>
    <w:rsid w:val="1EB77139"/>
    <w:rsid w:val="1EB80762"/>
    <w:rsid w:val="1F0C1332"/>
    <w:rsid w:val="1F5CAA4F"/>
    <w:rsid w:val="2039BF4A"/>
    <w:rsid w:val="207B46EE"/>
    <w:rsid w:val="20963293"/>
    <w:rsid w:val="20F61405"/>
    <w:rsid w:val="21099367"/>
    <w:rsid w:val="214C9635"/>
    <w:rsid w:val="21ED55D7"/>
    <w:rsid w:val="22303FAC"/>
    <w:rsid w:val="22A766D3"/>
    <w:rsid w:val="22B3F1B1"/>
    <w:rsid w:val="22B645C9"/>
    <w:rsid w:val="22E960B3"/>
    <w:rsid w:val="23AADEEF"/>
    <w:rsid w:val="23B2E7B0"/>
    <w:rsid w:val="23C69E5C"/>
    <w:rsid w:val="23CA22BA"/>
    <w:rsid w:val="243B7379"/>
    <w:rsid w:val="24413429"/>
    <w:rsid w:val="248436F7"/>
    <w:rsid w:val="24A6AAA3"/>
    <w:rsid w:val="2504D1E9"/>
    <w:rsid w:val="251CA5D7"/>
    <w:rsid w:val="2567E06E"/>
    <w:rsid w:val="259DF605"/>
    <w:rsid w:val="25C2ECDD"/>
    <w:rsid w:val="25D64A4F"/>
    <w:rsid w:val="25DD048A"/>
    <w:rsid w:val="2688E91E"/>
    <w:rsid w:val="26B21F86"/>
    <w:rsid w:val="26E4A7CC"/>
    <w:rsid w:val="2700AE96"/>
    <w:rsid w:val="27038776"/>
    <w:rsid w:val="27391719"/>
    <w:rsid w:val="277ABB39"/>
    <w:rsid w:val="278461C5"/>
    <w:rsid w:val="278B40CD"/>
    <w:rsid w:val="27CF2746"/>
    <w:rsid w:val="288E4659"/>
    <w:rsid w:val="28B3E646"/>
    <w:rsid w:val="28BA01BD"/>
    <w:rsid w:val="28BDD242"/>
    <w:rsid w:val="298FB538"/>
    <w:rsid w:val="29DD5E98"/>
    <w:rsid w:val="29E37D48"/>
    <w:rsid w:val="2A8AA6CC"/>
    <w:rsid w:val="2A8ED61C"/>
    <w:rsid w:val="2B2DD6DD"/>
    <w:rsid w:val="2B37CF16"/>
    <w:rsid w:val="2B853A55"/>
    <w:rsid w:val="2B8B110F"/>
    <w:rsid w:val="2BA5F555"/>
    <w:rsid w:val="2BDE1BCE"/>
    <w:rsid w:val="2C4F9AA1"/>
    <w:rsid w:val="2C90EA78"/>
    <w:rsid w:val="2CA04EE0"/>
    <w:rsid w:val="2CA962D4"/>
    <w:rsid w:val="2CC789DD"/>
    <w:rsid w:val="2CE9C443"/>
    <w:rsid w:val="2D2433CD"/>
    <w:rsid w:val="2D6C1733"/>
    <w:rsid w:val="2D9914B5"/>
    <w:rsid w:val="2DAA2049"/>
    <w:rsid w:val="2E6C593D"/>
    <w:rsid w:val="2E7855D5"/>
    <w:rsid w:val="2EDD34BC"/>
    <w:rsid w:val="2EEDABB1"/>
    <w:rsid w:val="2EF613DA"/>
    <w:rsid w:val="2F105EC8"/>
    <w:rsid w:val="2F2DF52D"/>
    <w:rsid w:val="2FC39EA1"/>
    <w:rsid w:val="3004BB4E"/>
    <w:rsid w:val="30474E84"/>
    <w:rsid w:val="305E298E"/>
    <w:rsid w:val="305EBC9A"/>
    <w:rsid w:val="3075B060"/>
    <w:rsid w:val="30A3AF43"/>
    <w:rsid w:val="30B82492"/>
    <w:rsid w:val="30C5F01E"/>
    <w:rsid w:val="30E6AE33"/>
    <w:rsid w:val="31015328"/>
    <w:rsid w:val="31660AFF"/>
    <w:rsid w:val="318923AC"/>
    <w:rsid w:val="31A94A3A"/>
    <w:rsid w:val="31EC9579"/>
    <w:rsid w:val="31F99697"/>
    <w:rsid w:val="3233BF57"/>
    <w:rsid w:val="3234D849"/>
    <w:rsid w:val="323EA9BD"/>
    <w:rsid w:val="32A6C0E6"/>
    <w:rsid w:val="32ECEAE2"/>
    <w:rsid w:val="32F98EE1"/>
    <w:rsid w:val="330B44FA"/>
    <w:rsid w:val="331EB9AE"/>
    <w:rsid w:val="332B5044"/>
    <w:rsid w:val="3347C67D"/>
    <w:rsid w:val="33516AD9"/>
    <w:rsid w:val="339EA0BF"/>
    <w:rsid w:val="33EA2AFA"/>
    <w:rsid w:val="33F53FAE"/>
    <w:rsid w:val="344F2654"/>
    <w:rsid w:val="34891FEA"/>
    <w:rsid w:val="34ADA120"/>
    <w:rsid w:val="34CC097F"/>
    <w:rsid w:val="35256FFC"/>
    <w:rsid w:val="3541CE4B"/>
    <w:rsid w:val="35E88611"/>
    <w:rsid w:val="361C5B97"/>
    <w:rsid w:val="36565A70"/>
    <w:rsid w:val="365A7A82"/>
    <w:rsid w:val="365CCAA1"/>
    <w:rsid w:val="36967D18"/>
    <w:rsid w:val="36C552FE"/>
    <w:rsid w:val="37065564"/>
    <w:rsid w:val="370899C2"/>
    <w:rsid w:val="3715A037"/>
    <w:rsid w:val="371A9551"/>
    <w:rsid w:val="37449F85"/>
    <w:rsid w:val="3796E63B"/>
    <w:rsid w:val="37BC7C7B"/>
    <w:rsid w:val="37DDBB4D"/>
    <w:rsid w:val="38042BBB"/>
    <w:rsid w:val="38649BE9"/>
    <w:rsid w:val="3869E50A"/>
    <w:rsid w:val="386F7556"/>
    <w:rsid w:val="38BD9C1D"/>
    <w:rsid w:val="38C60FFE"/>
    <w:rsid w:val="38DA986C"/>
    <w:rsid w:val="390795EE"/>
    <w:rsid w:val="396FFB96"/>
    <w:rsid w:val="39BA469A"/>
    <w:rsid w:val="39F5FC0C"/>
    <w:rsid w:val="3A2B4FBC"/>
    <w:rsid w:val="3A42F514"/>
    <w:rsid w:val="3AB02E35"/>
    <w:rsid w:val="3AF63E16"/>
    <w:rsid w:val="3B248562"/>
    <w:rsid w:val="3B2663C1"/>
    <w:rsid w:val="3B3B3505"/>
    <w:rsid w:val="3B4D4E19"/>
    <w:rsid w:val="3B9F4A2B"/>
    <w:rsid w:val="3BC0077B"/>
    <w:rsid w:val="3BE5CE7E"/>
    <w:rsid w:val="3C12D0A6"/>
    <w:rsid w:val="3C12E163"/>
    <w:rsid w:val="3C26A5CB"/>
    <w:rsid w:val="3C4C379F"/>
    <w:rsid w:val="3CDDDB76"/>
    <w:rsid w:val="3CE80E67"/>
    <w:rsid w:val="3D25DD49"/>
    <w:rsid w:val="3D8A1FD1"/>
    <w:rsid w:val="3DEB83E2"/>
    <w:rsid w:val="3E007CAF"/>
    <w:rsid w:val="3E5BA0B9"/>
    <w:rsid w:val="3E63875A"/>
    <w:rsid w:val="3ECB78D0"/>
    <w:rsid w:val="3EF7BC05"/>
    <w:rsid w:val="3F56BFF8"/>
    <w:rsid w:val="3F71DFFC"/>
    <w:rsid w:val="3F7D3066"/>
    <w:rsid w:val="3F821348"/>
    <w:rsid w:val="3FCC988E"/>
    <w:rsid w:val="4039C8F1"/>
    <w:rsid w:val="405A2A2B"/>
    <w:rsid w:val="4099E7DD"/>
    <w:rsid w:val="40BF6859"/>
    <w:rsid w:val="40C36FCA"/>
    <w:rsid w:val="40C6E0B1"/>
    <w:rsid w:val="40F28F0A"/>
    <w:rsid w:val="411FA8C2"/>
    <w:rsid w:val="415EA9DD"/>
    <w:rsid w:val="41689D0F"/>
    <w:rsid w:val="41D1502A"/>
    <w:rsid w:val="420AB4E1"/>
    <w:rsid w:val="420B7E2F"/>
    <w:rsid w:val="42529774"/>
    <w:rsid w:val="42726AEA"/>
    <w:rsid w:val="42AF47FC"/>
    <w:rsid w:val="42DA0757"/>
    <w:rsid w:val="42E592DE"/>
    <w:rsid w:val="435955B8"/>
    <w:rsid w:val="43609B3A"/>
    <w:rsid w:val="440BBCFF"/>
    <w:rsid w:val="444919A5"/>
    <w:rsid w:val="44761727"/>
    <w:rsid w:val="44A63CD2"/>
    <w:rsid w:val="44F105CF"/>
    <w:rsid w:val="45217F41"/>
    <w:rsid w:val="45417564"/>
    <w:rsid w:val="45647D45"/>
    <w:rsid w:val="465613BE"/>
    <w:rsid w:val="46746BC0"/>
    <w:rsid w:val="468B5809"/>
    <w:rsid w:val="46AA4196"/>
    <w:rsid w:val="46B440F3"/>
    <w:rsid w:val="46D2ACA9"/>
    <w:rsid w:val="470AE1EA"/>
    <w:rsid w:val="47402E85"/>
    <w:rsid w:val="475695A7"/>
    <w:rsid w:val="47DDCAD8"/>
    <w:rsid w:val="481825C5"/>
    <w:rsid w:val="483E9633"/>
    <w:rsid w:val="4854D34D"/>
    <w:rsid w:val="4882AD39"/>
    <w:rsid w:val="4887A49B"/>
    <w:rsid w:val="48A44312"/>
    <w:rsid w:val="48AC07C8"/>
    <w:rsid w:val="490F8080"/>
    <w:rsid w:val="4913E9F2"/>
    <w:rsid w:val="491502E4"/>
    <w:rsid w:val="4924E9F8"/>
    <w:rsid w:val="49782839"/>
    <w:rsid w:val="49C395B2"/>
    <w:rsid w:val="49CF99CB"/>
    <w:rsid w:val="49FAE53C"/>
    <w:rsid w:val="4A2AE603"/>
    <w:rsid w:val="4A50CD16"/>
    <w:rsid w:val="4A8D99D0"/>
    <w:rsid w:val="4AB75F0A"/>
    <w:rsid w:val="4AC68B08"/>
    <w:rsid w:val="4AE6D74C"/>
    <w:rsid w:val="4AEED9C8"/>
    <w:rsid w:val="4B0A5307"/>
    <w:rsid w:val="4B79D194"/>
    <w:rsid w:val="4B8C049C"/>
    <w:rsid w:val="4B986ECA"/>
    <w:rsid w:val="4BF243FB"/>
    <w:rsid w:val="4C02482B"/>
    <w:rsid w:val="4C9135EE"/>
    <w:rsid w:val="4D096680"/>
    <w:rsid w:val="4D875275"/>
    <w:rsid w:val="4DE0EC23"/>
    <w:rsid w:val="4E9A63EB"/>
    <w:rsid w:val="4EE8A071"/>
    <w:rsid w:val="4F39054F"/>
    <w:rsid w:val="4FA19DC9"/>
    <w:rsid w:val="4FA27F5C"/>
    <w:rsid w:val="5087C8FC"/>
    <w:rsid w:val="50E6BF52"/>
    <w:rsid w:val="5136183A"/>
    <w:rsid w:val="5187120B"/>
    <w:rsid w:val="51F21005"/>
    <w:rsid w:val="521A46AE"/>
    <w:rsid w:val="52817FB7"/>
    <w:rsid w:val="5293C303"/>
    <w:rsid w:val="52B75786"/>
    <w:rsid w:val="52C37FE2"/>
    <w:rsid w:val="52D9D2E4"/>
    <w:rsid w:val="53786D8A"/>
    <w:rsid w:val="53A3A2C9"/>
    <w:rsid w:val="53DE0951"/>
    <w:rsid w:val="54006E9F"/>
    <w:rsid w:val="540A3A99"/>
    <w:rsid w:val="54188D83"/>
    <w:rsid w:val="54A91FE1"/>
    <w:rsid w:val="54C06A3F"/>
    <w:rsid w:val="54CD7D91"/>
    <w:rsid w:val="5503ED9A"/>
    <w:rsid w:val="5506BFE1"/>
    <w:rsid w:val="5542ABFC"/>
    <w:rsid w:val="554CFF46"/>
    <w:rsid w:val="5583190F"/>
    <w:rsid w:val="5585D55E"/>
    <w:rsid w:val="55E6412E"/>
    <w:rsid w:val="55F96E65"/>
    <w:rsid w:val="562CAF80"/>
    <w:rsid w:val="56B64D4C"/>
    <w:rsid w:val="56D3CB5C"/>
    <w:rsid w:val="56DCF271"/>
    <w:rsid w:val="5760C534"/>
    <w:rsid w:val="57BC613A"/>
    <w:rsid w:val="5827801E"/>
    <w:rsid w:val="5829AB73"/>
    <w:rsid w:val="586CD59B"/>
    <w:rsid w:val="586EDAA1"/>
    <w:rsid w:val="5883178A"/>
    <w:rsid w:val="589AAA6F"/>
    <w:rsid w:val="58D1C025"/>
    <w:rsid w:val="5913C893"/>
    <w:rsid w:val="592C0D06"/>
    <w:rsid w:val="5946986A"/>
    <w:rsid w:val="594F6D5C"/>
    <w:rsid w:val="59700E87"/>
    <w:rsid w:val="597B8AD0"/>
    <w:rsid w:val="5A459071"/>
    <w:rsid w:val="5A4B4FAB"/>
    <w:rsid w:val="5A6CAB58"/>
    <w:rsid w:val="5A803235"/>
    <w:rsid w:val="5AFF9F52"/>
    <w:rsid w:val="5B1031E1"/>
    <w:rsid w:val="5B917675"/>
    <w:rsid w:val="5BE160D2"/>
    <w:rsid w:val="5BE5137D"/>
    <w:rsid w:val="5BE7D509"/>
    <w:rsid w:val="5C11FCD6"/>
    <w:rsid w:val="5C27B943"/>
    <w:rsid w:val="5C2CAE73"/>
    <w:rsid w:val="5C2CCCCF"/>
    <w:rsid w:val="5C5F619D"/>
    <w:rsid w:val="5C6D39F8"/>
    <w:rsid w:val="5C8E0412"/>
    <w:rsid w:val="5CB00489"/>
    <w:rsid w:val="5CC2D09A"/>
    <w:rsid w:val="5D64F6BC"/>
    <w:rsid w:val="5D7D3133"/>
    <w:rsid w:val="5D9C0E16"/>
    <w:rsid w:val="5E02443C"/>
    <w:rsid w:val="5E32AC8D"/>
    <w:rsid w:val="5E3B02FC"/>
    <w:rsid w:val="5E7879C8"/>
    <w:rsid w:val="5E7F36F3"/>
    <w:rsid w:val="5E94B894"/>
    <w:rsid w:val="5E9D0E82"/>
    <w:rsid w:val="5F13794A"/>
    <w:rsid w:val="5F4B6A0D"/>
    <w:rsid w:val="5F88E3EF"/>
    <w:rsid w:val="5FE09E83"/>
    <w:rsid w:val="60295A24"/>
    <w:rsid w:val="602CD25C"/>
    <w:rsid w:val="6035E353"/>
    <w:rsid w:val="6051EA9A"/>
    <w:rsid w:val="6071D3F5"/>
    <w:rsid w:val="60C11CF4"/>
    <w:rsid w:val="60D154AA"/>
    <w:rsid w:val="60F45697"/>
    <w:rsid w:val="60F52867"/>
    <w:rsid w:val="6123103C"/>
    <w:rsid w:val="61350CB8"/>
    <w:rsid w:val="613C61F3"/>
    <w:rsid w:val="614B5812"/>
    <w:rsid w:val="616A4D4F"/>
    <w:rsid w:val="62512ED3"/>
    <w:rsid w:val="6294A4E9"/>
    <w:rsid w:val="62AA2125"/>
    <w:rsid w:val="62CF466D"/>
    <w:rsid w:val="62E70AD9"/>
    <w:rsid w:val="631E9273"/>
    <w:rsid w:val="634DE4E4"/>
    <w:rsid w:val="63734E13"/>
    <w:rsid w:val="6394D054"/>
    <w:rsid w:val="63AFC402"/>
    <w:rsid w:val="64124303"/>
    <w:rsid w:val="64E4F013"/>
    <w:rsid w:val="650F1E74"/>
    <w:rsid w:val="6526E750"/>
    <w:rsid w:val="653C0769"/>
    <w:rsid w:val="6551FFED"/>
    <w:rsid w:val="65563F77"/>
    <w:rsid w:val="65705815"/>
    <w:rsid w:val="65C480F1"/>
    <w:rsid w:val="65C8998A"/>
    <w:rsid w:val="65E837CE"/>
    <w:rsid w:val="661E7BF5"/>
    <w:rsid w:val="6668B852"/>
    <w:rsid w:val="672812A3"/>
    <w:rsid w:val="6732748A"/>
    <w:rsid w:val="676E0AE4"/>
    <w:rsid w:val="677E7F2B"/>
    <w:rsid w:val="6799CE76"/>
    <w:rsid w:val="67C82D2E"/>
    <w:rsid w:val="681C2C2E"/>
    <w:rsid w:val="684F28CE"/>
    <w:rsid w:val="689DBFC0"/>
    <w:rsid w:val="68AC0976"/>
    <w:rsid w:val="68F74920"/>
    <w:rsid w:val="68FB8A3B"/>
    <w:rsid w:val="6920A056"/>
    <w:rsid w:val="6953400F"/>
    <w:rsid w:val="69919CBF"/>
    <w:rsid w:val="69BB2C6F"/>
    <w:rsid w:val="69FE5444"/>
    <w:rsid w:val="6A8C2915"/>
    <w:rsid w:val="6AC0CCF7"/>
    <w:rsid w:val="6AC60957"/>
    <w:rsid w:val="6AD367E6"/>
    <w:rsid w:val="6B321228"/>
    <w:rsid w:val="6B5C59A5"/>
    <w:rsid w:val="6B90AC3A"/>
    <w:rsid w:val="6BA15094"/>
    <w:rsid w:val="6BB2B9F3"/>
    <w:rsid w:val="6BC0D1E5"/>
    <w:rsid w:val="6C339B1F"/>
    <w:rsid w:val="6C65FFF9"/>
    <w:rsid w:val="6CA685A8"/>
    <w:rsid w:val="6D01CE02"/>
    <w:rsid w:val="6D14B3EE"/>
    <w:rsid w:val="6D2D0A88"/>
    <w:rsid w:val="6D49434F"/>
    <w:rsid w:val="6D9780A0"/>
    <w:rsid w:val="6DF86108"/>
    <w:rsid w:val="6E072EAB"/>
    <w:rsid w:val="6F11E30D"/>
    <w:rsid w:val="6F445A02"/>
    <w:rsid w:val="6F45AD8B"/>
    <w:rsid w:val="6F943169"/>
    <w:rsid w:val="703DD5E8"/>
    <w:rsid w:val="7051D11B"/>
    <w:rsid w:val="70609DF8"/>
    <w:rsid w:val="708FA37E"/>
    <w:rsid w:val="711297E5"/>
    <w:rsid w:val="711E9A3A"/>
    <w:rsid w:val="7133022A"/>
    <w:rsid w:val="715A7343"/>
    <w:rsid w:val="717E3763"/>
    <w:rsid w:val="718890ED"/>
    <w:rsid w:val="7189012A"/>
    <w:rsid w:val="71B01DEF"/>
    <w:rsid w:val="71C093E0"/>
    <w:rsid w:val="7201E6F7"/>
    <w:rsid w:val="72751E09"/>
    <w:rsid w:val="7279398C"/>
    <w:rsid w:val="72DE9601"/>
    <w:rsid w:val="72F643A4"/>
    <w:rsid w:val="733927B1"/>
    <w:rsid w:val="737B59D5"/>
    <w:rsid w:val="73D2B5C7"/>
    <w:rsid w:val="73DD98F8"/>
    <w:rsid w:val="74418296"/>
    <w:rsid w:val="74513030"/>
    <w:rsid w:val="7458AADE"/>
    <w:rsid w:val="745F45C7"/>
    <w:rsid w:val="746C2ECC"/>
    <w:rsid w:val="74B319AD"/>
    <w:rsid w:val="751D8789"/>
    <w:rsid w:val="7525423E"/>
    <w:rsid w:val="753DC875"/>
    <w:rsid w:val="75699F18"/>
    <w:rsid w:val="756C5CB5"/>
    <w:rsid w:val="75FC444C"/>
    <w:rsid w:val="7600C5C5"/>
    <w:rsid w:val="7643E258"/>
    <w:rsid w:val="769ED1C4"/>
    <w:rsid w:val="7781E1A8"/>
    <w:rsid w:val="77BA1B8A"/>
    <w:rsid w:val="77F7A023"/>
    <w:rsid w:val="7832BD51"/>
    <w:rsid w:val="78B4E477"/>
    <w:rsid w:val="7934AF28"/>
    <w:rsid w:val="79397CAF"/>
    <w:rsid w:val="793FC403"/>
    <w:rsid w:val="79868AD0"/>
    <w:rsid w:val="79A1456B"/>
    <w:rsid w:val="79D56F83"/>
    <w:rsid w:val="79E31637"/>
    <w:rsid w:val="7A216579"/>
    <w:rsid w:val="7A386899"/>
    <w:rsid w:val="7A7196EF"/>
    <w:rsid w:val="7A90340B"/>
    <w:rsid w:val="7AB2DB3B"/>
    <w:rsid w:val="7AC125EB"/>
    <w:rsid w:val="7B24CFAC"/>
    <w:rsid w:val="7B639037"/>
    <w:rsid w:val="7B7198CE"/>
    <w:rsid w:val="7BC9FDC0"/>
    <w:rsid w:val="7BCAC27A"/>
    <w:rsid w:val="7BDF0FD5"/>
    <w:rsid w:val="7BE8B7D2"/>
    <w:rsid w:val="7BF89994"/>
    <w:rsid w:val="7C8F8312"/>
    <w:rsid w:val="7C971392"/>
    <w:rsid w:val="7CFEA690"/>
    <w:rsid w:val="7D1D8033"/>
    <w:rsid w:val="7D21A5A7"/>
    <w:rsid w:val="7D3964AA"/>
    <w:rsid w:val="7D50157D"/>
    <w:rsid w:val="7D705E01"/>
    <w:rsid w:val="7D8ED032"/>
    <w:rsid w:val="7EA6EB29"/>
    <w:rsid w:val="7EBF3844"/>
    <w:rsid w:val="7ECDCD67"/>
    <w:rsid w:val="7EE89063"/>
    <w:rsid w:val="7EF1C03F"/>
    <w:rsid w:val="7EFF67CC"/>
    <w:rsid w:val="7F0247C5"/>
    <w:rsid w:val="7F13ACBA"/>
    <w:rsid w:val="7F442C70"/>
    <w:rsid w:val="7F45272F"/>
    <w:rsid w:val="7FD5A1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4862AE"/>
  <w15:docId w15:val="{CF5A162D-6638-49DA-B020-E7CCFC51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60"/>
    <w:rPr>
      <w:sz w:val="24"/>
    </w:rPr>
  </w:style>
  <w:style w:type="paragraph" w:styleId="Heading1">
    <w:name w:val="heading 1"/>
    <w:basedOn w:val="Normal"/>
    <w:next w:val="Normal"/>
    <w:qFormat/>
    <w:rsid w:val="000F1E60"/>
    <w:pPr>
      <w:keepNext/>
      <w:jc w:val="both"/>
      <w:outlineLvl w:val="0"/>
    </w:pPr>
    <w:rPr>
      <w:rFonts w:ascii="Arial" w:hAnsi="Arial"/>
      <w:b/>
      <w:sz w:val="20"/>
      <w:u w:val="single"/>
    </w:rPr>
  </w:style>
  <w:style w:type="paragraph" w:styleId="Heading2">
    <w:name w:val="heading 2"/>
    <w:basedOn w:val="Normal"/>
    <w:next w:val="Normal"/>
    <w:qFormat/>
    <w:rsid w:val="000F1E60"/>
    <w:pPr>
      <w:keepNext/>
      <w:jc w:val="both"/>
      <w:outlineLvl w:val="1"/>
    </w:pPr>
    <w:rPr>
      <w:b/>
    </w:rPr>
  </w:style>
  <w:style w:type="paragraph" w:styleId="Heading3">
    <w:name w:val="heading 3"/>
    <w:basedOn w:val="Normal"/>
    <w:next w:val="Normal"/>
    <w:qFormat/>
    <w:rsid w:val="000F1E60"/>
    <w:pPr>
      <w:keepNext/>
      <w:outlineLvl w:val="2"/>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0F1E60"/>
    <w:pPr>
      <w:framePr w:w="7920" w:h="1980" w:hRule="exact" w:hSpace="180" w:wrap="auto" w:hAnchor="page" w:xAlign="center" w:yAlign="bottom"/>
      <w:ind w:left="2880"/>
    </w:pPr>
    <w:rPr>
      <w:rFonts w:ascii="Courier New" w:hAnsi="Courier New"/>
      <w:caps/>
    </w:rPr>
  </w:style>
  <w:style w:type="paragraph" w:styleId="Header">
    <w:name w:val="header"/>
    <w:basedOn w:val="Normal"/>
    <w:link w:val="HeaderChar"/>
    <w:rsid w:val="000F1E60"/>
    <w:pPr>
      <w:tabs>
        <w:tab w:val="center" w:pos="4320"/>
        <w:tab w:val="right" w:pos="8640"/>
      </w:tabs>
    </w:pPr>
  </w:style>
  <w:style w:type="paragraph" w:styleId="Footer">
    <w:name w:val="footer"/>
    <w:basedOn w:val="Normal"/>
    <w:link w:val="FooterChar"/>
    <w:uiPriority w:val="99"/>
    <w:rsid w:val="000F1E60"/>
    <w:pPr>
      <w:tabs>
        <w:tab w:val="center" w:pos="4320"/>
        <w:tab w:val="right" w:pos="8640"/>
      </w:tabs>
    </w:pPr>
  </w:style>
  <w:style w:type="character" w:styleId="PageNumber">
    <w:name w:val="page number"/>
    <w:basedOn w:val="DefaultParagraphFont"/>
    <w:semiHidden/>
    <w:rsid w:val="000F1E60"/>
  </w:style>
  <w:style w:type="paragraph" w:styleId="BodyText">
    <w:name w:val="Body Text"/>
    <w:basedOn w:val="Normal"/>
    <w:semiHidden/>
    <w:rsid w:val="000F1E60"/>
    <w:rPr>
      <w:rFonts w:ascii="Arial" w:hAnsi="Arial"/>
      <w:b/>
      <w:i/>
      <w:sz w:val="20"/>
    </w:rPr>
  </w:style>
  <w:style w:type="paragraph" w:styleId="BodyTextIndent">
    <w:name w:val="Body Text Indent"/>
    <w:basedOn w:val="Normal"/>
    <w:semiHidden/>
    <w:rsid w:val="000F1E60"/>
    <w:pPr>
      <w:ind w:left="720"/>
    </w:pPr>
    <w:rPr>
      <w:rFonts w:ascii="Arial" w:hAnsi="Arial"/>
      <w:sz w:val="20"/>
    </w:rPr>
  </w:style>
  <w:style w:type="character" w:styleId="Hyperlink">
    <w:name w:val="Hyperlink"/>
    <w:semiHidden/>
    <w:rsid w:val="000F1E60"/>
    <w:rPr>
      <w:color w:val="0000FF"/>
      <w:u w:val="single"/>
    </w:rPr>
  </w:style>
  <w:style w:type="paragraph" w:styleId="BodyText3">
    <w:name w:val="Body Text 3"/>
    <w:basedOn w:val="Normal"/>
    <w:semiHidden/>
    <w:rsid w:val="000F1E60"/>
    <w:rPr>
      <w:rFonts w:ascii="Arial" w:hAnsi="Arial"/>
      <w:i/>
      <w:sz w:val="20"/>
    </w:rPr>
  </w:style>
  <w:style w:type="paragraph" w:styleId="BodyTextIndent3">
    <w:name w:val="Body Text Indent 3"/>
    <w:basedOn w:val="Normal"/>
    <w:semiHidden/>
    <w:rsid w:val="000F1E60"/>
    <w:pPr>
      <w:ind w:left="720"/>
    </w:pPr>
    <w:rPr>
      <w:rFonts w:ascii="Tahoma" w:hAnsi="Tahoma"/>
      <w:sz w:val="18"/>
    </w:rPr>
  </w:style>
  <w:style w:type="character" w:styleId="Strong">
    <w:name w:val="Strong"/>
    <w:qFormat/>
    <w:rsid w:val="000F1E60"/>
    <w:rPr>
      <w:b/>
    </w:rPr>
  </w:style>
  <w:style w:type="paragraph" w:styleId="FootnoteText">
    <w:name w:val="footnote text"/>
    <w:basedOn w:val="Normal"/>
    <w:semiHidden/>
    <w:rsid w:val="000F1E60"/>
    <w:rPr>
      <w:sz w:val="20"/>
    </w:rPr>
  </w:style>
  <w:style w:type="character" w:styleId="FootnoteReference">
    <w:name w:val="footnote reference"/>
    <w:semiHidden/>
    <w:rsid w:val="000F1E60"/>
    <w:rPr>
      <w:vertAlign w:val="superscript"/>
    </w:rPr>
  </w:style>
  <w:style w:type="paragraph" w:styleId="DocumentMap">
    <w:name w:val="Document Map"/>
    <w:basedOn w:val="Normal"/>
    <w:semiHidden/>
    <w:rsid w:val="000F1E60"/>
    <w:pPr>
      <w:shd w:val="clear" w:color="auto" w:fill="000080"/>
    </w:pPr>
    <w:rPr>
      <w:rFonts w:ascii="Tahoma" w:hAnsi="Tahoma"/>
    </w:rPr>
  </w:style>
  <w:style w:type="paragraph" w:styleId="BodyTextIndent2">
    <w:name w:val="Body Text Indent 2"/>
    <w:basedOn w:val="Normal"/>
    <w:semiHidden/>
    <w:rsid w:val="000F1E60"/>
    <w:pPr>
      <w:ind w:firstLine="720"/>
    </w:pPr>
    <w:rPr>
      <w:rFonts w:ascii="Arial" w:hAnsi="Arial"/>
      <w:b/>
      <w:color w:val="000000"/>
      <w:sz w:val="20"/>
    </w:rPr>
  </w:style>
  <w:style w:type="paragraph" w:styleId="EndnoteText">
    <w:name w:val="endnote text"/>
    <w:basedOn w:val="Normal"/>
    <w:link w:val="EndnoteTextChar"/>
    <w:uiPriority w:val="99"/>
    <w:semiHidden/>
    <w:unhideWhenUsed/>
    <w:rsid w:val="006D61E8"/>
    <w:rPr>
      <w:sz w:val="20"/>
    </w:rPr>
  </w:style>
  <w:style w:type="character" w:customStyle="1" w:styleId="EndnoteTextChar">
    <w:name w:val="Endnote Text Char"/>
    <w:basedOn w:val="DefaultParagraphFont"/>
    <w:link w:val="EndnoteText"/>
    <w:uiPriority w:val="99"/>
    <w:semiHidden/>
    <w:rsid w:val="006D61E8"/>
  </w:style>
  <w:style w:type="character" w:styleId="EndnoteReference">
    <w:name w:val="endnote reference"/>
    <w:uiPriority w:val="99"/>
    <w:semiHidden/>
    <w:unhideWhenUsed/>
    <w:rsid w:val="006D61E8"/>
    <w:rPr>
      <w:vertAlign w:val="superscript"/>
    </w:rPr>
  </w:style>
  <w:style w:type="paragraph" w:styleId="ListParagraph">
    <w:name w:val="List Paragraph"/>
    <w:basedOn w:val="Normal"/>
    <w:uiPriority w:val="34"/>
    <w:qFormat/>
    <w:rsid w:val="00EE2CE9"/>
    <w:pPr>
      <w:overflowPunct w:val="0"/>
      <w:autoSpaceDE w:val="0"/>
      <w:autoSpaceDN w:val="0"/>
      <w:adjustRightInd w:val="0"/>
      <w:ind w:left="720"/>
      <w:textAlignment w:val="baseline"/>
    </w:pPr>
    <w:rPr>
      <w:rFonts w:ascii="Arial" w:hAnsi="Arial"/>
      <w:sz w:val="22"/>
    </w:rPr>
  </w:style>
  <w:style w:type="character" w:customStyle="1" w:styleId="FooterChar">
    <w:name w:val="Footer Char"/>
    <w:link w:val="Footer"/>
    <w:uiPriority w:val="99"/>
    <w:rsid w:val="001F48E6"/>
    <w:rPr>
      <w:sz w:val="24"/>
    </w:rPr>
  </w:style>
  <w:style w:type="character" w:customStyle="1" w:styleId="HeaderChar">
    <w:name w:val="Header Char"/>
    <w:link w:val="Header"/>
    <w:rsid w:val="008E438B"/>
    <w:rPr>
      <w:sz w:val="24"/>
    </w:rPr>
  </w:style>
  <w:style w:type="paragraph" w:styleId="BalloonText">
    <w:name w:val="Balloon Text"/>
    <w:basedOn w:val="Normal"/>
    <w:link w:val="BalloonTextChar"/>
    <w:uiPriority w:val="99"/>
    <w:semiHidden/>
    <w:unhideWhenUsed/>
    <w:rsid w:val="00200DA0"/>
    <w:rPr>
      <w:rFonts w:ascii="Tahoma" w:hAnsi="Tahoma" w:cs="Tahoma"/>
      <w:sz w:val="16"/>
      <w:szCs w:val="16"/>
    </w:rPr>
  </w:style>
  <w:style w:type="character" w:customStyle="1" w:styleId="BalloonTextChar">
    <w:name w:val="Balloon Text Char"/>
    <w:basedOn w:val="DefaultParagraphFont"/>
    <w:link w:val="BalloonText"/>
    <w:uiPriority w:val="99"/>
    <w:semiHidden/>
    <w:rsid w:val="00200DA0"/>
    <w:rPr>
      <w:rFonts w:ascii="Tahoma" w:hAnsi="Tahoma" w:cs="Tahoma"/>
      <w:sz w:val="16"/>
      <w:szCs w:val="16"/>
    </w:rPr>
  </w:style>
  <w:style w:type="character" w:styleId="CommentReference">
    <w:name w:val="annotation reference"/>
    <w:basedOn w:val="DefaultParagraphFont"/>
    <w:uiPriority w:val="99"/>
    <w:semiHidden/>
    <w:unhideWhenUsed/>
    <w:rsid w:val="003B6656"/>
    <w:rPr>
      <w:sz w:val="16"/>
      <w:szCs w:val="16"/>
    </w:rPr>
  </w:style>
  <w:style w:type="paragraph" w:styleId="CommentText">
    <w:name w:val="annotation text"/>
    <w:basedOn w:val="Normal"/>
    <w:link w:val="CommentTextChar"/>
    <w:uiPriority w:val="99"/>
    <w:semiHidden/>
    <w:unhideWhenUsed/>
    <w:rsid w:val="003B6656"/>
    <w:rPr>
      <w:sz w:val="20"/>
    </w:rPr>
  </w:style>
  <w:style w:type="character" w:customStyle="1" w:styleId="CommentTextChar">
    <w:name w:val="Comment Text Char"/>
    <w:basedOn w:val="DefaultParagraphFont"/>
    <w:link w:val="CommentText"/>
    <w:uiPriority w:val="99"/>
    <w:semiHidden/>
    <w:rsid w:val="003B6656"/>
  </w:style>
  <w:style w:type="paragraph" w:styleId="CommentSubject">
    <w:name w:val="annotation subject"/>
    <w:basedOn w:val="CommentText"/>
    <w:next w:val="CommentText"/>
    <w:link w:val="CommentSubjectChar"/>
    <w:uiPriority w:val="99"/>
    <w:semiHidden/>
    <w:unhideWhenUsed/>
    <w:rsid w:val="003B6656"/>
    <w:rPr>
      <w:b/>
      <w:bCs/>
    </w:rPr>
  </w:style>
  <w:style w:type="character" w:customStyle="1" w:styleId="CommentSubjectChar">
    <w:name w:val="Comment Subject Char"/>
    <w:basedOn w:val="CommentTextChar"/>
    <w:link w:val="CommentSubject"/>
    <w:uiPriority w:val="99"/>
    <w:semiHidden/>
    <w:rsid w:val="003B6656"/>
    <w:rPr>
      <w:b/>
      <w:bCs/>
    </w:rPr>
  </w:style>
  <w:style w:type="paragraph" w:customStyle="1" w:styleId="Default">
    <w:name w:val="Default"/>
    <w:rsid w:val="00E824A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unhideWhenUsed/>
    <w:rsid w:val="003A0ABC"/>
    <w:rPr>
      <w:color w:val="808080"/>
      <w:shd w:val="clear" w:color="auto" w:fill="E6E6E6"/>
    </w:rPr>
  </w:style>
  <w:style w:type="character" w:styleId="Mention">
    <w:name w:val="Mention"/>
    <w:basedOn w:val="DefaultParagraphFont"/>
    <w:uiPriority w:val="99"/>
    <w:unhideWhenUsed/>
    <w:rsid w:val="00265AA2"/>
    <w:rPr>
      <w:color w:val="2B579A"/>
      <w:shd w:val="clear" w:color="auto" w:fill="E1DFDD"/>
    </w:rPr>
  </w:style>
  <w:style w:type="paragraph" w:styleId="Revision">
    <w:name w:val="Revision"/>
    <w:hidden/>
    <w:uiPriority w:val="99"/>
    <w:semiHidden/>
    <w:rsid w:val="00DA50D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8807">
      <w:bodyDiv w:val="1"/>
      <w:marLeft w:val="0"/>
      <w:marRight w:val="0"/>
      <w:marTop w:val="0"/>
      <w:marBottom w:val="0"/>
      <w:divBdr>
        <w:top w:val="none" w:sz="0" w:space="0" w:color="auto"/>
        <w:left w:val="none" w:sz="0" w:space="0" w:color="auto"/>
        <w:bottom w:val="none" w:sz="0" w:space="0" w:color="auto"/>
        <w:right w:val="none" w:sz="0" w:space="0" w:color="auto"/>
      </w:divBdr>
    </w:div>
    <w:div w:id="448475127">
      <w:bodyDiv w:val="1"/>
      <w:marLeft w:val="0"/>
      <w:marRight w:val="0"/>
      <w:marTop w:val="0"/>
      <w:marBottom w:val="0"/>
      <w:divBdr>
        <w:top w:val="none" w:sz="0" w:space="0" w:color="auto"/>
        <w:left w:val="none" w:sz="0" w:space="0" w:color="auto"/>
        <w:bottom w:val="none" w:sz="0" w:space="0" w:color="auto"/>
        <w:right w:val="none" w:sz="0" w:space="0" w:color="auto"/>
      </w:divBdr>
    </w:div>
    <w:div w:id="638728338">
      <w:bodyDiv w:val="1"/>
      <w:marLeft w:val="0"/>
      <w:marRight w:val="0"/>
      <w:marTop w:val="0"/>
      <w:marBottom w:val="0"/>
      <w:divBdr>
        <w:top w:val="none" w:sz="0" w:space="0" w:color="auto"/>
        <w:left w:val="none" w:sz="0" w:space="0" w:color="auto"/>
        <w:bottom w:val="none" w:sz="0" w:space="0" w:color="auto"/>
        <w:right w:val="none" w:sz="0" w:space="0" w:color="auto"/>
      </w:divBdr>
    </w:div>
    <w:div w:id="787547346">
      <w:bodyDiv w:val="1"/>
      <w:marLeft w:val="0"/>
      <w:marRight w:val="0"/>
      <w:marTop w:val="0"/>
      <w:marBottom w:val="0"/>
      <w:divBdr>
        <w:top w:val="none" w:sz="0" w:space="0" w:color="auto"/>
        <w:left w:val="none" w:sz="0" w:space="0" w:color="auto"/>
        <w:bottom w:val="none" w:sz="0" w:space="0" w:color="auto"/>
        <w:right w:val="none" w:sz="0" w:space="0" w:color="auto"/>
      </w:divBdr>
    </w:div>
    <w:div w:id="1242787153">
      <w:bodyDiv w:val="1"/>
      <w:marLeft w:val="0"/>
      <w:marRight w:val="0"/>
      <w:marTop w:val="0"/>
      <w:marBottom w:val="0"/>
      <w:divBdr>
        <w:top w:val="none" w:sz="0" w:space="0" w:color="auto"/>
        <w:left w:val="none" w:sz="0" w:space="0" w:color="auto"/>
        <w:bottom w:val="none" w:sz="0" w:space="0" w:color="auto"/>
        <w:right w:val="none" w:sz="0" w:space="0" w:color="auto"/>
      </w:divBdr>
    </w:div>
    <w:div w:id="1552109874">
      <w:bodyDiv w:val="1"/>
      <w:marLeft w:val="0"/>
      <w:marRight w:val="0"/>
      <w:marTop w:val="0"/>
      <w:marBottom w:val="0"/>
      <w:divBdr>
        <w:top w:val="none" w:sz="0" w:space="0" w:color="auto"/>
        <w:left w:val="none" w:sz="0" w:space="0" w:color="auto"/>
        <w:bottom w:val="none" w:sz="0" w:space="0" w:color="auto"/>
        <w:right w:val="none" w:sz="0" w:space="0" w:color="auto"/>
      </w:divBdr>
    </w:div>
    <w:div w:id="1601640665">
      <w:bodyDiv w:val="1"/>
      <w:marLeft w:val="0"/>
      <w:marRight w:val="0"/>
      <w:marTop w:val="0"/>
      <w:marBottom w:val="0"/>
      <w:divBdr>
        <w:top w:val="none" w:sz="0" w:space="0" w:color="auto"/>
        <w:left w:val="none" w:sz="0" w:space="0" w:color="auto"/>
        <w:bottom w:val="none" w:sz="0" w:space="0" w:color="auto"/>
        <w:right w:val="none" w:sz="0" w:space="0" w:color="auto"/>
      </w:divBdr>
    </w:div>
    <w:div w:id="1838182153">
      <w:bodyDiv w:val="1"/>
      <w:marLeft w:val="0"/>
      <w:marRight w:val="0"/>
      <w:marTop w:val="0"/>
      <w:marBottom w:val="0"/>
      <w:divBdr>
        <w:top w:val="none" w:sz="0" w:space="0" w:color="auto"/>
        <w:left w:val="none" w:sz="0" w:space="0" w:color="auto"/>
        <w:bottom w:val="none" w:sz="0" w:space="0" w:color="auto"/>
        <w:right w:val="none" w:sz="0" w:space="0" w:color="auto"/>
      </w:divBdr>
    </w:div>
    <w:div w:id="2001304058">
      <w:bodyDiv w:val="1"/>
      <w:marLeft w:val="0"/>
      <w:marRight w:val="0"/>
      <w:marTop w:val="0"/>
      <w:marBottom w:val="0"/>
      <w:divBdr>
        <w:top w:val="none" w:sz="0" w:space="0" w:color="auto"/>
        <w:left w:val="none" w:sz="0" w:space="0" w:color="auto"/>
        <w:bottom w:val="none" w:sz="0" w:space="0" w:color="auto"/>
        <w:right w:val="none" w:sz="0" w:space="0" w:color="auto"/>
      </w:divBdr>
    </w:div>
    <w:div w:id="2063166368">
      <w:bodyDiv w:val="1"/>
      <w:marLeft w:val="0"/>
      <w:marRight w:val="0"/>
      <w:marTop w:val="0"/>
      <w:marBottom w:val="0"/>
      <w:divBdr>
        <w:top w:val="none" w:sz="0" w:space="0" w:color="auto"/>
        <w:left w:val="none" w:sz="0" w:space="0" w:color="auto"/>
        <w:bottom w:val="none" w:sz="0" w:space="0" w:color="auto"/>
        <w:right w:val="none" w:sz="0" w:space="0" w:color="auto"/>
      </w:divBdr>
    </w:div>
    <w:div w:id="20792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white@idoc.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53A44C31E284888AB6BEF0AB60934" ma:contentTypeVersion="6" ma:contentTypeDescription="Create a new document." ma:contentTypeScope="" ma:versionID="00e500395975812a5b8b22b02e77fef7">
  <xsd:schema xmlns:xsd="http://www.w3.org/2001/XMLSchema" xmlns:xs="http://www.w3.org/2001/XMLSchema" xmlns:p="http://schemas.microsoft.com/office/2006/metadata/properties" xmlns:ns1="http://schemas.microsoft.com/sharepoint/v3" xmlns:ns2="c6ac487c-19b1-411a-81d7-7d4fd0b0f810" xmlns:ns3="9825c122-669e-4dcc-b669-48dca4f798b2" targetNamespace="http://schemas.microsoft.com/office/2006/metadata/properties" ma:root="true" ma:fieldsID="6857d65eb0b6111d1ef3b6a9ab123833" ns1:_="" ns2:_="" ns3:_="">
    <xsd:import namespace="http://schemas.microsoft.com/sharepoint/v3"/>
    <xsd:import namespace="c6ac487c-19b1-411a-81d7-7d4fd0b0f810"/>
    <xsd:import namespace="9825c122-669e-4dcc-b669-48dca4f798b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c487c-19b1-411a-81d7-7d4fd0b0f8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25c122-669e-4dcc-b669-48dca4f798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1D71CF-600F-48CD-A6FA-ED1ECAFC9AA1}">
  <ds:schemaRefs>
    <ds:schemaRef ds:uri="http://schemas.openxmlformats.org/officeDocument/2006/bibliography"/>
  </ds:schemaRefs>
</ds:datastoreItem>
</file>

<file path=customXml/itemProps2.xml><?xml version="1.0" encoding="utf-8"?>
<ds:datastoreItem xmlns:ds="http://schemas.openxmlformats.org/officeDocument/2006/customXml" ds:itemID="{71C89EC4-791F-4764-B8CD-E978AEE89FC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96CB64D-9F66-4253-AC48-EAE3F5A53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ac487c-19b1-411a-81d7-7d4fd0b0f810"/>
    <ds:schemaRef ds:uri="9825c122-669e-4dcc-b669-48dca4f79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8107B-CB7F-4398-85E3-3305E1705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2495</Words>
  <Characters>14519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subject/>
  <dc:creator>Anita Hamann</dc:creator>
  <cp:keywords/>
  <cp:lastModifiedBy>Misty Lawrence</cp:lastModifiedBy>
  <cp:revision>169</cp:revision>
  <cp:lastPrinted>2017-07-18T15:22:00Z</cp:lastPrinted>
  <dcterms:created xsi:type="dcterms:W3CDTF">2021-08-12T14:22:00Z</dcterms:created>
  <dcterms:modified xsi:type="dcterms:W3CDTF">2022-06-01T21:40:00Z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0x010100AAE53A44C31E284888AB6BEF0AB60934</vt:lpwstr>
  </property>
</Properties>
</file>