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032D" w14:textId="77777777" w:rsidR="00240D2A" w:rsidRPr="005714E5" w:rsidRDefault="00240D2A" w:rsidP="007254A9">
      <w:pPr>
        <w:pStyle w:val="Heading1"/>
        <w:spacing w:before="0" w:after="60"/>
        <w:rPr>
          <w:rFonts w:ascii="Arial" w:hAnsi="Arial" w:cs="Arial"/>
          <w:b w:val="0"/>
          <w:bCs w:val="0"/>
          <w:color w:val="FFFFFF" w:themeColor="background1"/>
          <w:szCs w:val="16"/>
        </w:rPr>
      </w:pPr>
      <w:bookmarkStart w:id="0" w:name="OLE_LINK2"/>
      <w:bookmarkStart w:id="1" w:name="OLE_LINK1"/>
      <w:r w:rsidRPr="00250391">
        <w:rPr>
          <w:rFonts w:ascii="Arial" w:hAnsi="Arial" w:cs="Arial"/>
          <w:i/>
          <w:color w:val="000080"/>
          <w:szCs w:val="24"/>
        </w:rPr>
        <w:t>Part I – Agency Profile</w:t>
      </w:r>
      <w:bookmarkEnd w:id="0"/>
      <w:bookmarkEnd w:id="1"/>
      <w:r w:rsidRPr="005714E5">
        <w:rPr>
          <w:rFonts w:ascii="Arial" w:hAnsi="Arial" w:cs="Arial"/>
          <w:color w:val="FFFFFF" w:themeColor="background1"/>
          <w:szCs w:val="16"/>
        </w:rPr>
        <w:t xml:space="preserve"> text</w:t>
      </w:r>
    </w:p>
    <w:p w14:paraId="728CD88B" w14:textId="77777777" w:rsidR="00E90751" w:rsidRDefault="00E90751" w:rsidP="00DE2C47">
      <w:pPr>
        <w:jc w:val="both"/>
        <w:rPr>
          <w:rFonts w:ascii="Arial" w:hAnsi="Arial" w:cs="Arial"/>
          <w:b/>
          <w:bCs/>
        </w:rPr>
      </w:pPr>
    </w:p>
    <w:p w14:paraId="205C4ECC" w14:textId="77777777" w:rsidR="00DE2C47" w:rsidRPr="004674E6" w:rsidRDefault="00DE2C47" w:rsidP="00DE2C47">
      <w:pPr>
        <w:jc w:val="both"/>
        <w:rPr>
          <w:rFonts w:ascii="Arial" w:hAnsi="Arial" w:cs="Arial"/>
          <w:b/>
          <w:bCs/>
        </w:rPr>
      </w:pPr>
      <w:r w:rsidRPr="004674E6">
        <w:rPr>
          <w:rFonts w:ascii="Arial" w:hAnsi="Arial" w:cs="Arial"/>
          <w:b/>
          <w:bCs/>
        </w:rPr>
        <w:t>Agency Overview</w:t>
      </w:r>
    </w:p>
    <w:p w14:paraId="1047BD28" w14:textId="1E0B2E0B" w:rsidR="00193A7F" w:rsidRPr="008E13F0" w:rsidRDefault="00193A7F" w:rsidP="00193A7F">
      <w:pPr>
        <w:jc w:val="both"/>
        <w:rPr>
          <w:rFonts w:ascii="Arial" w:hAnsi="Arial" w:cs="Arial"/>
          <w:sz w:val="20"/>
          <w:szCs w:val="20"/>
        </w:rPr>
      </w:pPr>
      <w:r w:rsidRPr="008E13F0">
        <w:rPr>
          <w:rFonts w:ascii="Arial" w:hAnsi="Arial" w:cs="Arial"/>
          <w:sz w:val="20"/>
          <w:szCs w:val="20"/>
        </w:rPr>
        <w:t>The Idaho Endowment Fund Investment Board (EFIB) is responsible</w:t>
      </w:r>
      <w:r>
        <w:rPr>
          <w:rFonts w:ascii="Arial" w:hAnsi="Arial" w:cs="Arial"/>
          <w:sz w:val="20"/>
          <w:szCs w:val="20"/>
        </w:rPr>
        <w:t xml:space="preserve"> for managing </w:t>
      </w:r>
      <w:r w:rsidRPr="00EC73E4">
        <w:rPr>
          <w:rFonts w:ascii="Arial" w:hAnsi="Arial" w:cs="Arial"/>
          <w:sz w:val="20"/>
          <w:szCs w:val="20"/>
        </w:rPr>
        <w:t>$</w:t>
      </w:r>
      <w:r w:rsidR="00596515" w:rsidRPr="00596515">
        <w:rPr>
          <w:rFonts w:ascii="Arial" w:hAnsi="Arial" w:cs="Arial"/>
          <w:sz w:val="20"/>
          <w:szCs w:val="20"/>
        </w:rPr>
        <w:t xml:space="preserve">4.3 </w:t>
      </w:r>
      <w:r w:rsidRPr="00EC73E4">
        <w:rPr>
          <w:rFonts w:ascii="Arial" w:hAnsi="Arial" w:cs="Arial"/>
          <w:sz w:val="20"/>
          <w:szCs w:val="20"/>
        </w:rPr>
        <w:t xml:space="preserve">billion of </w:t>
      </w:r>
      <w:r w:rsidRPr="008E13F0">
        <w:rPr>
          <w:rFonts w:ascii="Arial" w:hAnsi="Arial" w:cs="Arial"/>
          <w:sz w:val="20"/>
          <w:szCs w:val="20"/>
        </w:rPr>
        <w:t xml:space="preserve">investments consisting of </w:t>
      </w:r>
      <w:r w:rsidR="00B3447E">
        <w:rPr>
          <w:rFonts w:ascii="Arial" w:hAnsi="Arial" w:cs="Arial"/>
          <w:sz w:val="20"/>
          <w:szCs w:val="20"/>
        </w:rPr>
        <w:t xml:space="preserve">the </w:t>
      </w:r>
      <w:r w:rsidR="00E1452F">
        <w:rPr>
          <w:rFonts w:ascii="Arial" w:hAnsi="Arial" w:cs="Arial"/>
          <w:sz w:val="20"/>
          <w:szCs w:val="20"/>
        </w:rPr>
        <w:t>S</w:t>
      </w:r>
      <w:r w:rsidRPr="008E13F0">
        <w:rPr>
          <w:rFonts w:ascii="Arial" w:hAnsi="Arial" w:cs="Arial"/>
          <w:sz w:val="20"/>
          <w:szCs w:val="20"/>
        </w:rPr>
        <w:t xml:space="preserve">tate </w:t>
      </w:r>
      <w:r w:rsidR="00E1452F">
        <w:rPr>
          <w:rFonts w:ascii="Arial" w:hAnsi="Arial" w:cs="Arial"/>
          <w:sz w:val="20"/>
          <w:szCs w:val="20"/>
        </w:rPr>
        <w:t>of Idaho E</w:t>
      </w:r>
      <w:r w:rsidRPr="008E13F0">
        <w:rPr>
          <w:rFonts w:ascii="Arial" w:hAnsi="Arial" w:cs="Arial"/>
          <w:sz w:val="20"/>
          <w:szCs w:val="20"/>
        </w:rPr>
        <w:t xml:space="preserve">ndowment </w:t>
      </w:r>
      <w:r w:rsidR="00E1452F">
        <w:rPr>
          <w:rFonts w:ascii="Arial" w:hAnsi="Arial" w:cs="Arial"/>
          <w:sz w:val="20"/>
          <w:szCs w:val="20"/>
        </w:rPr>
        <w:t>F</w:t>
      </w:r>
      <w:r w:rsidRPr="008E13F0">
        <w:rPr>
          <w:rFonts w:ascii="Arial" w:hAnsi="Arial" w:cs="Arial"/>
          <w:sz w:val="20"/>
          <w:szCs w:val="20"/>
        </w:rPr>
        <w:t xml:space="preserve">und, </w:t>
      </w:r>
      <w:r w:rsidRPr="00B3447E">
        <w:rPr>
          <w:rFonts w:ascii="Arial" w:hAnsi="Arial" w:cs="Arial"/>
          <w:sz w:val="20"/>
          <w:szCs w:val="20"/>
        </w:rPr>
        <w:t xml:space="preserve">the financial </w:t>
      </w:r>
      <w:r w:rsidR="00B3447E" w:rsidRPr="00B3447E">
        <w:rPr>
          <w:rFonts w:ascii="Arial" w:hAnsi="Arial" w:cs="Arial"/>
          <w:sz w:val="20"/>
          <w:szCs w:val="20"/>
        </w:rPr>
        <w:t>reserves</w:t>
      </w:r>
      <w:r w:rsidRPr="00B3447E">
        <w:rPr>
          <w:rFonts w:ascii="Arial" w:hAnsi="Arial" w:cs="Arial"/>
          <w:sz w:val="20"/>
          <w:szCs w:val="20"/>
        </w:rPr>
        <w:t xml:space="preserve"> </w:t>
      </w:r>
      <w:r w:rsidRPr="008E13F0">
        <w:rPr>
          <w:rFonts w:ascii="Arial" w:hAnsi="Arial" w:cs="Arial"/>
          <w:sz w:val="20"/>
          <w:szCs w:val="20"/>
        </w:rPr>
        <w:t xml:space="preserve">of the State Insurance Fund, </w:t>
      </w:r>
      <w:r w:rsidR="0008090A">
        <w:rPr>
          <w:rFonts w:ascii="Arial" w:hAnsi="Arial" w:cs="Arial"/>
          <w:sz w:val="20"/>
          <w:szCs w:val="20"/>
        </w:rPr>
        <w:t xml:space="preserve">and </w:t>
      </w:r>
      <w:r w:rsidR="00B3447E">
        <w:rPr>
          <w:rFonts w:ascii="Arial" w:hAnsi="Arial" w:cs="Arial"/>
          <w:sz w:val="20"/>
          <w:szCs w:val="20"/>
        </w:rPr>
        <w:t xml:space="preserve">endowments for </w:t>
      </w:r>
      <w:r w:rsidR="00F25FF8">
        <w:rPr>
          <w:rFonts w:ascii="Arial" w:hAnsi="Arial" w:cs="Arial"/>
          <w:sz w:val="20"/>
          <w:szCs w:val="20"/>
        </w:rPr>
        <w:t xml:space="preserve">Idaho </w:t>
      </w:r>
      <w:r>
        <w:rPr>
          <w:rFonts w:ascii="Arial" w:hAnsi="Arial" w:cs="Arial"/>
          <w:sz w:val="20"/>
          <w:szCs w:val="20"/>
        </w:rPr>
        <w:t>Parks and Recreation</w:t>
      </w:r>
      <w:r w:rsidR="00F25FF8">
        <w:rPr>
          <w:rFonts w:ascii="Arial" w:hAnsi="Arial" w:cs="Arial"/>
          <w:sz w:val="20"/>
          <w:szCs w:val="20"/>
        </w:rPr>
        <w:t xml:space="preserve">, Idaho </w:t>
      </w:r>
      <w:r>
        <w:rPr>
          <w:rFonts w:ascii="Arial" w:hAnsi="Arial" w:cs="Arial"/>
          <w:sz w:val="20"/>
          <w:szCs w:val="20"/>
        </w:rPr>
        <w:t>Department of Environmental Quality</w:t>
      </w:r>
      <w:r w:rsidR="00F25FF8">
        <w:rPr>
          <w:rFonts w:ascii="Arial" w:hAnsi="Arial" w:cs="Arial"/>
          <w:sz w:val="20"/>
          <w:szCs w:val="20"/>
        </w:rPr>
        <w:t xml:space="preserve">, </w:t>
      </w:r>
      <w:r w:rsidR="00A37BDF">
        <w:rPr>
          <w:rFonts w:ascii="Arial" w:hAnsi="Arial" w:cs="Arial"/>
          <w:sz w:val="20"/>
          <w:szCs w:val="20"/>
        </w:rPr>
        <w:t>Idaho Department of Lands,</w:t>
      </w:r>
      <w:r>
        <w:rPr>
          <w:rFonts w:ascii="Arial" w:hAnsi="Arial" w:cs="Arial"/>
          <w:sz w:val="20"/>
          <w:szCs w:val="20"/>
        </w:rPr>
        <w:t xml:space="preserve"> </w:t>
      </w:r>
      <w:r w:rsidR="00A37BDF">
        <w:rPr>
          <w:rFonts w:ascii="Arial" w:hAnsi="Arial" w:cs="Arial"/>
          <w:sz w:val="20"/>
          <w:szCs w:val="20"/>
        </w:rPr>
        <w:t xml:space="preserve">and </w:t>
      </w:r>
      <w:r w:rsidR="00F25FF8">
        <w:rPr>
          <w:rFonts w:ascii="Arial" w:hAnsi="Arial" w:cs="Arial"/>
          <w:sz w:val="20"/>
          <w:szCs w:val="20"/>
        </w:rPr>
        <w:t>Idaho</w:t>
      </w:r>
      <w:r w:rsidR="00F117D6">
        <w:rPr>
          <w:rFonts w:ascii="Arial" w:hAnsi="Arial" w:cs="Arial"/>
          <w:sz w:val="20"/>
          <w:szCs w:val="20"/>
        </w:rPr>
        <w:t xml:space="preserve"> Department of</w:t>
      </w:r>
      <w:r w:rsidR="00F25FF8">
        <w:rPr>
          <w:rFonts w:ascii="Arial" w:hAnsi="Arial" w:cs="Arial"/>
          <w:sz w:val="20"/>
          <w:szCs w:val="20"/>
        </w:rPr>
        <w:t xml:space="preserve"> </w:t>
      </w:r>
      <w:r>
        <w:rPr>
          <w:rFonts w:ascii="Arial" w:hAnsi="Arial" w:cs="Arial"/>
          <w:sz w:val="20"/>
          <w:szCs w:val="20"/>
        </w:rPr>
        <w:t>Fish &amp; Game</w:t>
      </w:r>
      <w:r w:rsidR="00F25FF8">
        <w:rPr>
          <w:rFonts w:ascii="Arial" w:hAnsi="Arial" w:cs="Arial"/>
          <w:sz w:val="20"/>
          <w:szCs w:val="20"/>
        </w:rPr>
        <w:t>.</w:t>
      </w:r>
    </w:p>
    <w:p w14:paraId="7689075C" w14:textId="77777777" w:rsidR="009831FC" w:rsidRDefault="009831FC" w:rsidP="00193A7F">
      <w:pPr>
        <w:jc w:val="both"/>
        <w:rPr>
          <w:rFonts w:ascii="Arial" w:hAnsi="Arial" w:cs="Arial"/>
          <w:bCs/>
          <w:sz w:val="20"/>
          <w:szCs w:val="20"/>
        </w:rPr>
      </w:pPr>
    </w:p>
    <w:p w14:paraId="7A0EC2A9" w14:textId="25F6C50A" w:rsidR="00193A7F" w:rsidRPr="008E13F0" w:rsidRDefault="00193A7F" w:rsidP="00193A7F">
      <w:pPr>
        <w:jc w:val="both"/>
        <w:rPr>
          <w:rFonts w:ascii="Arial" w:hAnsi="Arial" w:cs="Arial"/>
          <w:sz w:val="20"/>
          <w:szCs w:val="20"/>
        </w:rPr>
      </w:pPr>
      <w:r w:rsidRPr="008E13F0">
        <w:rPr>
          <w:rFonts w:ascii="Arial" w:hAnsi="Arial" w:cs="Arial"/>
          <w:sz w:val="20"/>
          <w:szCs w:val="20"/>
        </w:rPr>
        <w:t xml:space="preserve">The </w:t>
      </w:r>
      <w:r>
        <w:rPr>
          <w:rFonts w:ascii="Arial" w:hAnsi="Arial" w:cs="Arial"/>
          <w:sz w:val="20"/>
          <w:szCs w:val="20"/>
        </w:rPr>
        <w:t>EFIB</w:t>
      </w:r>
      <w:r w:rsidRPr="008E13F0">
        <w:rPr>
          <w:rFonts w:ascii="Arial" w:hAnsi="Arial" w:cs="Arial"/>
          <w:sz w:val="20"/>
          <w:szCs w:val="20"/>
        </w:rPr>
        <w:t xml:space="preserve"> consists of nine individuals appointed by the Governor</w:t>
      </w:r>
      <w:r w:rsidR="00B3447E">
        <w:rPr>
          <w:rFonts w:ascii="Arial" w:hAnsi="Arial" w:cs="Arial"/>
          <w:sz w:val="20"/>
          <w:szCs w:val="20"/>
        </w:rPr>
        <w:t>.</w:t>
      </w:r>
      <w:r w:rsidRPr="008E13F0">
        <w:rPr>
          <w:rFonts w:ascii="Arial" w:hAnsi="Arial" w:cs="Arial"/>
          <w:sz w:val="20"/>
          <w:szCs w:val="20"/>
        </w:rPr>
        <w:t xml:space="preserve"> </w:t>
      </w:r>
      <w:r w:rsidR="00B3447E">
        <w:rPr>
          <w:rFonts w:ascii="Arial" w:hAnsi="Arial" w:cs="Arial"/>
          <w:sz w:val="20"/>
          <w:szCs w:val="20"/>
        </w:rPr>
        <w:t>The board includes</w:t>
      </w:r>
      <w:r w:rsidRPr="008E13F0">
        <w:rPr>
          <w:rFonts w:ascii="Arial" w:hAnsi="Arial" w:cs="Arial"/>
          <w:sz w:val="20"/>
          <w:szCs w:val="20"/>
        </w:rPr>
        <w:t xml:space="preserve"> one state senator, one state representative, a public education administrator, and six members of the public</w:t>
      </w:r>
      <w:r w:rsidR="00B3447E">
        <w:rPr>
          <w:rFonts w:ascii="Arial" w:hAnsi="Arial" w:cs="Arial"/>
          <w:sz w:val="20"/>
          <w:szCs w:val="20"/>
        </w:rPr>
        <w:t xml:space="preserve"> who are </w:t>
      </w:r>
      <w:r w:rsidRPr="008E13F0">
        <w:rPr>
          <w:rFonts w:ascii="Arial" w:hAnsi="Arial" w:cs="Arial"/>
          <w:sz w:val="20"/>
          <w:szCs w:val="20"/>
        </w:rPr>
        <w:t xml:space="preserve">“knowledgeable and experienced in financial matters.”  The </w:t>
      </w:r>
      <w:r>
        <w:rPr>
          <w:rFonts w:ascii="Arial" w:hAnsi="Arial" w:cs="Arial"/>
          <w:sz w:val="20"/>
          <w:szCs w:val="20"/>
        </w:rPr>
        <w:t>EFI</w:t>
      </w:r>
      <w:r w:rsidRPr="008E13F0">
        <w:rPr>
          <w:rFonts w:ascii="Arial" w:hAnsi="Arial" w:cs="Arial"/>
          <w:sz w:val="20"/>
          <w:szCs w:val="20"/>
        </w:rPr>
        <w:t xml:space="preserve">B has four employees including a Manager of Investments who oversees day-to-day operations. </w:t>
      </w:r>
      <w:r w:rsidR="0095700D">
        <w:rPr>
          <w:rFonts w:ascii="Arial" w:hAnsi="Arial" w:cs="Arial"/>
          <w:sz w:val="20"/>
          <w:szCs w:val="20"/>
        </w:rPr>
        <w:t>Monthly</w:t>
      </w:r>
      <w:r w:rsidRPr="008E13F0">
        <w:rPr>
          <w:rFonts w:ascii="Arial" w:hAnsi="Arial" w:cs="Arial"/>
          <w:sz w:val="20"/>
          <w:szCs w:val="20"/>
        </w:rPr>
        <w:t xml:space="preserve"> reports of the </w:t>
      </w:r>
      <w:r>
        <w:rPr>
          <w:rFonts w:ascii="Arial" w:hAnsi="Arial" w:cs="Arial"/>
          <w:sz w:val="20"/>
          <w:szCs w:val="20"/>
        </w:rPr>
        <w:t>EFI</w:t>
      </w:r>
      <w:r w:rsidRPr="008E13F0">
        <w:rPr>
          <w:rFonts w:ascii="Arial" w:hAnsi="Arial" w:cs="Arial"/>
          <w:sz w:val="20"/>
          <w:szCs w:val="20"/>
        </w:rPr>
        <w:t>B</w:t>
      </w:r>
      <w:r>
        <w:rPr>
          <w:rFonts w:ascii="Arial" w:hAnsi="Arial" w:cs="Arial"/>
          <w:sz w:val="20"/>
          <w:szCs w:val="20"/>
        </w:rPr>
        <w:t>’s</w:t>
      </w:r>
      <w:r w:rsidRPr="008E13F0">
        <w:rPr>
          <w:rFonts w:ascii="Arial" w:hAnsi="Arial" w:cs="Arial"/>
          <w:sz w:val="20"/>
          <w:szCs w:val="20"/>
        </w:rPr>
        <w:t xml:space="preserve"> activities and investment performance are made to the Board of Land Commissioners</w:t>
      </w:r>
      <w:r>
        <w:rPr>
          <w:rFonts w:ascii="Arial" w:hAnsi="Arial" w:cs="Arial"/>
          <w:sz w:val="20"/>
          <w:szCs w:val="20"/>
        </w:rPr>
        <w:t xml:space="preserve"> and other clients. </w:t>
      </w:r>
      <w:r w:rsidRPr="008E13F0">
        <w:rPr>
          <w:rFonts w:ascii="Arial" w:hAnsi="Arial" w:cs="Arial"/>
          <w:sz w:val="20"/>
          <w:szCs w:val="20"/>
        </w:rPr>
        <w:t xml:space="preserve">The </w:t>
      </w:r>
      <w:r>
        <w:rPr>
          <w:rFonts w:ascii="Arial" w:hAnsi="Arial" w:cs="Arial"/>
          <w:sz w:val="20"/>
          <w:szCs w:val="20"/>
        </w:rPr>
        <w:t>EFIB</w:t>
      </w:r>
      <w:r w:rsidRPr="008E13F0">
        <w:rPr>
          <w:rFonts w:ascii="Arial" w:hAnsi="Arial" w:cs="Arial"/>
          <w:sz w:val="20"/>
          <w:szCs w:val="20"/>
        </w:rPr>
        <w:t>’s expenses are</w:t>
      </w:r>
      <w:r>
        <w:rPr>
          <w:rFonts w:ascii="Arial" w:hAnsi="Arial" w:cs="Arial"/>
          <w:sz w:val="20"/>
          <w:szCs w:val="20"/>
        </w:rPr>
        <w:t xml:space="preserve"> not paid from General Funds</w:t>
      </w:r>
      <w:r w:rsidR="00081BEF">
        <w:rPr>
          <w:rFonts w:ascii="Arial" w:hAnsi="Arial" w:cs="Arial"/>
          <w:sz w:val="20"/>
          <w:szCs w:val="20"/>
        </w:rPr>
        <w:t>.</w:t>
      </w:r>
    </w:p>
    <w:p w14:paraId="219C9379" w14:textId="77777777" w:rsidR="00E90751" w:rsidRDefault="00E90751" w:rsidP="00DE2C47">
      <w:pPr>
        <w:jc w:val="both"/>
        <w:rPr>
          <w:rFonts w:ascii="Arial" w:hAnsi="Arial" w:cs="Arial"/>
          <w:b/>
          <w:bCs/>
        </w:rPr>
      </w:pPr>
    </w:p>
    <w:p w14:paraId="0ED23CF6" w14:textId="77777777" w:rsidR="00DE2C47" w:rsidRDefault="00DE2C47" w:rsidP="00DE2C47">
      <w:pPr>
        <w:jc w:val="both"/>
        <w:rPr>
          <w:rFonts w:ascii="Arial" w:hAnsi="Arial" w:cs="Arial"/>
          <w:b/>
          <w:bCs/>
          <w:sz w:val="20"/>
          <w:szCs w:val="20"/>
        </w:rPr>
      </w:pPr>
      <w:r w:rsidRPr="004674E6">
        <w:rPr>
          <w:rFonts w:ascii="Arial" w:hAnsi="Arial" w:cs="Arial"/>
          <w:b/>
          <w:bCs/>
        </w:rPr>
        <w:t>Core Functions/Idaho Code</w:t>
      </w:r>
    </w:p>
    <w:p w14:paraId="7541D842" w14:textId="43E925CC" w:rsidR="00193A7F" w:rsidRPr="008E13F0" w:rsidRDefault="00193A7F" w:rsidP="00E15C05">
      <w:pPr>
        <w:jc w:val="both"/>
        <w:rPr>
          <w:rFonts w:ascii="Arial" w:hAnsi="Arial" w:cs="Arial"/>
          <w:b/>
          <w:bCs/>
          <w:i/>
          <w:iCs/>
          <w:sz w:val="20"/>
          <w:szCs w:val="20"/>
        </w:rPr>
      </w:pPr>
      <w:r>
        <w:rPr>
          <w:rFonts w:ascii="Arial" w:hAnsi="Arial" w:cs="Arial"/>
          <w:b/>
          <w:bCs/>
          <w:i/>
          <w:iCs/>
          <w:sz w:val="20"/>
          <w:szCs w:val="20"/>
        </w:rPr>
        <w:t xml:space="preserve">Land Grant </w:t>
      </w:r>
      <w:r w:rsidRPr="008E13F0">
        <w:rPr>
          <w:rFonts w:ascii="Arial" w:hAnsi="Arial" w:cs="Arial"/>
          <w:b/>
          <w:bCs/>
          <w:i/>
          <w:iCs/>
          <w:sz w:val="20"/>
          <w:szCs w:val="20"/>
        </w:rPr>
        <w:t>Endowment Funds</w:t>
      </w:r>
      <w:r w:rsidRPr="008E13F0">
        <w:rPr>
          <w:rFonts w:ascii="Arial" w:hAnsi="Arial" w:cs="Arial"/>
          <w:sz w:val="20"/>
          <w:szCs w:val="20"/>
        </w:rPr>
        <w:t xml:space="preserve"> – </w:t>
      </w:r>
      <w:r w:rsidR="00F26A28">
        <w:rPr>
          <w:rFonts w:ascii="Arial" w:hAnsi="Arial" w:cs="Arial"/>
          <w:sz w:val="20"/>
          <w:szCs w:val="20"/>
        </w:rPr>
        <w:t>R</w:t>
      </w:r>
      <w:r w:rsidRPr="008E13F0">
        <w:rPr>
          <w:rFonts w:ascii="Arial" w:hAnsi="Arial" w:cs="Arial"/>
          <w:sz w:val="20"/>
          <w:szCs w:val="20"/>
        </w:rPr>
        <w:t xml:space="preserve">evenue from state endowment lands </w:t>
      </w:r>
      <w:proofErr w:type="gramStart"/>
      <w:r w:rsidRPr="008E13F0">
        <w:rPr>
          <w:rFonts w:ascii="Arial" w:hAnsi="Arial" w:cs="Arial"/>
          <w:sz w:val="20"/>
          <w:szCs w:val="20"/>
        </w:rPr>
        <w:t>are</w:t>
      </w:r>
      <w:proofErr w:type="gramEnd"/>
      <w:r w:rsidRPr="008E13F0">
        <w:rPr>
          <w:rFonts w:ascii="Arial" w:hAnsi="Arial" w:cs="Arial"/>
          <w:sz w:val="20"/>
          <w:szCs w:val="20"/>
        </w:rPr>
        <w:t xml:space="preserve"> transferred to the EFIB </w:t>
      </w:r>
      <w:r>
        <w:rPr>
          <w:rFonts w:ascii="Arial" w:hAnsi="Arial" w:cs="Arial"/>
          <w:sz w:val="20"/>
          <w:szCs w:val="20"/>
        </w:rPr>
        <w:t xml:space="preserve">by the Idaho Dept. of Lands </w:t>
      </w:r>
      <w:r w:rsidRPr="008E13F0">
        <w:rPr>
          <w:rFonts w:ascii="Arial" w:hAnsi="Arial" w:cs="Arial"/>
          <w:sz w:val="20"/>
          <w:szCs w:val="20"/>
        </w:rPr>
        <w:t xml:space="preserve">for investment under policies established by the Board of Land Commissioners. In turn, the EFIB, based on a Distribution Policy approved </w:t>
      </w:r>
      <w:r>
        <w:rPr>
          <w:rFonts w:ascii="Arial" w:hAnsi="Arial" w:cs="Arial"/>
          <w:sz w:val="20"/>
          <w:szCs w:val="20"/>
        </w:rPr>
        <w:t xml:space="preserve">by </w:t>
      </w:r>
      <w:r w:rsidRPr="008E13F0">
        <w:rPr>
          <w:rFonts w:ascii="Arial" w:hAnsi="Arial" w:cs="Arial"/>
          <w:sz w:val="20"/>
          <w:szCs w:val="20"/>
        </w:rPr>
        <w:t>the Board of Land Commissioners, makes monthly distributions to thirteen beneficiar</w:t>
      </w:r>
      <w:r w:rsidR="00DA1D49">
        <w:rPr>
          <w:rFonts w:ascii="Arial" w:hAnsi="Arial" w:cs="Arial"/>
          <w:sz w:val="20"/>
          <w:szCs w:val="20"/>
        </w:rPr>
        <w:t xml:space="preserve">ies, the largest of which is the </w:t>
      </w:r>
      <w:proofErr w:type="gramStart"/>
      <w:r w:rsidR="00DA1D49">
        <w:rPr>
          <w:rFonts w:ascii="Arial" w:hAnsi="Arial" w:cs="Arial"/>
          <w:sz w:val="20"/>
          <w:szCs w:val="20"/>
        </w:rPr>
        <w:t>Public</w:t>
      </w:r>
      <w:r w:rsidR="003C2048">
        <w:rPr>
          <w:rFonts w:ascii="Arial" w:hAnsi="Arial" w:cs="Arial"/>
          <w:sz w:val="20"/>
          <w:szCs w:val="20"/>
        </w:rPr>
        <w:t xml:space="preserve"> </w:t>
      </w:r>
      <w:r w:rsidR="00DA1D49">
        <w:rPr>
          <w:rFonts w:ascii="Arial" w:hAnsi="Arial" w:cs="Arial"/>
          <w:sz w:val="20"/>
          <w:szCs w:val="20"/>
        </w:rPr>
        <w:t>School</w:t>
      </w:r>
      <w:proofErr w:type="gramEnd"/>
      <w:r w:rsidR="00DA1D49">
        <w:rPr>
          <w:rFonts w:ascii="Arial" w:hAnsi="Arial" w:cs="Arial"/>
          <w:sz w:val="20"/>
          <w:szCs w:val="20"/>
        </w:rPr>
        <w:t xml:space="preserve"> F</w:t>
      </w:r>
      <w:r w:rsidRPr="008E13F0">
        <w:rPr>
          <w:rFonts w:ascii="Arial" w:hAnsi="Arial" w:cs="Arial"/>
          <w:sz w:val="20"/>
          <w:szCs w:val="20"/>
        </w:rPr>
        <w:t>und</w:t>
      </w:r>
      <w:r>
        <w:rPr>
          <w:rFonts w:ascii="Arial" w:hAnsi="Arial" w:cs="Arial"/>
          <w:sz w:val="20"/>
          <w:szCs w:val="20"/>
        </w:rPr>
        <w:t xml:space="preserve"> </w:t>
      </w:r>
      <w:r w:rsidRPr="008E13F0">
        <w:rPr>
          <w:rFonts w:ascii="Arial" w:hAnsi="Arial" w:cs="Arial"/>
          <w:sz w:val="20"/>
          <w:szCs w:val="20"/>
        </w:rPr>
        <w:t xml:space="preserve">(Title 57, Chapter 7, </w:t>
      </w:r>
      <w:r w:rsidRPr="008E13F0">
        <w:rPr>
          <w:rFonts w:ascii="Arial" w:hAnsi="Arial" w:cs="Arial"/>
          <w:i/>
          <w:iCs/>
          <w:sz w:val="20"/>
          <w:szCs w:val="20"/>
        </w:rPr>
        <w:t>Idaho Code</w:t>
      </w:r>
      <w:r w:rsidRPr="008E13F0">
        <w:rPr>
          <w:rFonts w:ascii="Arial" w:hAnsi="Arial" w:cs="Arial"/>
          <w:sz w:val="20"/>
          <w:szCs w:val="20"/>
        </w:rPr>
        <w:t xml:space="preserve">). Annual distributions of income for a fourteenth beneficiary, the Capitol </w:t>
      </w:r>
      <w:r>
        <w:rPr>
          <w:rFonts w:ascii="Arial" w:hAnsi="Arial" w:cs="Arial"/>
          <w:sz w:val="20"/>
          <w:szCs w:val="20"/>
        </w:rPr>
        <w:t>building</w:t>
      </w:r>
      <w:r w:rsidRPr="008E13F0">
        <w:rPr>
          <w:rFonts w:ascii="Arial" w:hAnsi="Arial" w:cs="Arial"/>
          <w:sz w:val="20"/>
          <w:szCs w:val="20"/>
        </w:rPr>
        <w:t>,</w:t>
      </w:r>
      <w:r>
        <w:rPr>
          <w:rFonts w:ascii="Arial" w:hAnsi="Arial" w:cs="Arial"/>
          <w:sz w:val="20"/>
          <w:szCs w:val="20"/>
        </w:rPr>
        <w:t xml:space="preserve"> </w:t>
      </w:r>
      <w:r w:rsidRPr="008E13F0">
        <w:rPr>
          <w:rFonts w:ascii="Arial" w:hAnsi="Arial" w:cs="Arial"/>
          <w:sz w:val="20"/>
          <w:szCs w:val="20"/>
        </w:rPr>
        <w:t xml:space="preserve">are determined by the </w:t>
      </w:r>
      <w:r>
        <w:rPr>
          <w:rFonts w:ascii="Arial" w:hAnsi="Arial" w:cs="Arial"/>
          <w:sz w:val="20"/>
          <w:szCs w:val="20"/>
        </w:rPr>
        <w:t>Capitol Commission</w:t>
      </w:r>
      <w:r w:rsidRPr="008E13F0">
        <w:rPr>
          <w:rFonts w:ascii="Arial" w:hAnsi="Arial" w:cs="Arial"/>
          <w:sz w:val="20"/>
          <w:szCs w:val="20"/>
        </w:rPr>
        <w:t xml:space="preserve"> (Title 67, Chapter 16, </w:t>
      </w:r>
      <w:r w:rsidRPr="008E13F0">
        <w:rPr>
          <w:rFonts w:ascii="Arial" w:hAnsi="Arial" w:cs="Arial"/>
          <w:i/>
          <w:iCs/>
          <w:sz w:val="20"/>
          <w:szCs w:val="20"/>
        </w:rPr>
        <w:t>Idaho Code</w:t>
      </w:r>
      <w:r w:rsidRPr="008E13F0">
        <w:rPr>
          <w:rFonts w:ascii="Arial" w:hAnsi="Arial" w:cs="Arial"/>
          <w:sz w:val="20"/>
          <w:szCs w:val="20"/>
        </w:rPr>
        <w:t>).</w:t>
      </w:r>
    </w:p>
    <w:p w14:paraId="6D777175" w14:textId="77777777" w:rsidR="009831FC" w:rsidRDefault="009831FC" w:rsidP="00CD62E7">
      <w:pPr>
        <w:jc w:val="both"/>
        <w:rPr>
          <w:rFonts w:ascii="Arial" w:hAnsi="Arial" w:cs="Arial"/>
          <w:b/>
          <w:bCs/>
          <w:i/>
          <w:iCs/>
          <w:sz w:val="20"/>
          <w:szCs w:val="20"/>
        </w:rPr>
      </w:pPr>
    </w:p>
    <w:p w14:paraId="2C0E31FA" w14:textId="77777777" w:rsidR="00193A7F" w:rsidRPr="008E13F0" w:rsidRDefault="00193A7F" w:rsidP="0098168E">
      <w:pPr>
        <w:jc w:val="both"/>
        <w:rPr>
          <w:rFonts w:ascii="Arial" w:hAnsi="Arial" w:cs="Arial"/>
          <w:b/>
          <w:bCs/>
          <w:i/>
          <w:iCs/>
          <w:sz w:val="20"/>
          <w:szCs w:val="20"/>
        </w:rPr>
      </w:pPr>
      <w:r w:rsidRPr="008E13F0">
        <w:rPr>
          <w:rFonts w:ascii="Arial" w:hAnsi="Arial" w:cs="Arial"/>
          <w:b/>
          <w:bCs/>
          <w:i/>
          <w:iCs/>
          <w:sz w:val="20"/>
          <w:szCs w:val="20"/>
        </w:rPr>
        <w:t>State Insurance Fund</w:t>
      </w:r>
      <w:r w:rsidRPr="008E13F0">
        <w:rPr>
          <w:rFonts w:ascii="Arial" w:hAnsi="Arial" w:cs="Arial"/>
          <w:sz w:val="20"/>
          <w:szCs w:val="20"/>
        </w:rPr>
        <w:t xml:space="preserve"> – The EFIB, under policies approved by the State Insurance Fund, invests the surplus and reserve funds established to pay worker’s compensation claims insured by the State Insurance Fund. (Title 72, Chapter 9, </w:t>
      </w:r>
      <w:r w:rsidRPr="008E13F0">
        <w:rPr>
          <w:rFonts w:ascii="Arial" w:hAnsi="Arial" w:cs="Arial"/>
          <w:i/>
          <w:iCs/>
          <w:sz w:val="20"/>
          <w:szCs w:val="20"/>
        </w:rPr>
        <w:t>Idaho Code</w:t>
      </w:r>
      <w:r w:rsidRPr="008E13F0">
        <w:rPr>
          <w:rFonts w:ascii="Arial" w:hAnsi="Arial" w:cs="Arial"/>
          <w:sz w:val="20"/>
          <w:szCs w:val="20"/>
        </w:rPr>
        <w:t>)</w:t>
      </w:r>
    </w:p>
    <w:p w14:paraId="6E450B42" w14:textId="77777777" w:rsidR="009831FC" w:rsidRDefault="009831FC" w:rsidP="0073635D">
      <w:pPr>
        <w:ind w:firstLine="720"/>
        <w:jc w:val="both"/>
        <w:rPr>
          <w:rFonts w:ascii="Arial" w:hAnsi="Arial" w:cs="Arial"/>
          <w:b/>
          <w:bCs/>
          <w:i/>
          <w:iCs/>
          <w:sz w:val="20"/>
          <w:szCs w:val="20"/>
        </w:rPr>
      </w:pPr>
    </w:p>
    <w:p w14:paraId="14FAA9EE" w14:textId="03F577C0" w:rsidR="00193A7F" w:rsidRDefault="00193A7F" w:rsidP="0098168E">
      <w:pPr>
        <w:jc w:val="both"/>
        <w:rPr>
          <w:rFonts w:ascii="Arial" w:hAnsi="Arial" w:cs="Arial"/>
          <w:sz w:val="20"/>
          <w:szCs w:val="20"/>
        </w:rPr>
      </w:pPr>
      <w:r w:rsidRPr="00563338">
        <w:rPr>
          <w:rFonts w:ascii="Arial" w:hAnsi="Arial" w:cs="Arial"/>
          <w:b/>
          <w:bCs/>
          <w:i/>
          <w:iCs/>
          <w:sz w:val="20"/>
          <w:szCs w:val="20"/>
        </w:rPr>
        <w:t>Parks &amp; Rec</w:t>
      </w:r>
      <w:r>
        <w:rPr>
          <w:rFonts w:ascii="Arial" w:hAnsi="Arial" w:cs="Arial"/>
          <w:b/>
          <w:bCs/>
          <w:i/>
          <w:iCs/>
          <w:sz w:val="20"/>
          <w:szCs w:val="20"/>
        </w:rPr>
        <w:t>reation</w:t>
      </w:r>
      <w:r w:rsidRPr="00563338">
        <w:rPr>
          <w:rFonts w:ascii="Arial" w:hAnsi="Arial" w:cs="Arial"/>
          <w:b/>
          <w:bCs/>
          <w:i/>
          <w:iCs/>
          <w:sz w:val="20"/>
          <w:szCs w:val="20"/>
        </w:rPr>
        <w:t xml:space="preserve"> Endowment Funds</w:t>
      </w:r>
      <w:r w:rsidRPr="00563338">
        <w:rPr>
          <w:rFonts w:ascii="Arial" w:hAnsi="Arial" w:cs="Arial"/>
          <w:sz w:val="20"/>
          <w:szCs w:val="20"/>
        </w:rPr>
        <w:t xml:space="preserve"> – The EFIB </w:t>
      </w:r>
      <w:bookmarkStart w:id="2" w:name="_Hlk522710996"/>
      <w:r w:rsidR="003C2048">
        <w:rPr>
          <w:rFonts w:ascii="Arial" w:hAnsi="Arial" w:cs="Arial"/>
          <w:sz w:val="20"/>
          <w:szCs w:val="20"/>
        </w:rPr>
        <w:t>provides</w:t>
      </w:r>
      <w:r w:rsidRPr="00563338">
        <w:rPr>
          <w:rFonts w:ascii="Arial" w:hAnsi="Arial" w:cs="Arial"/>
          <w:sz w:val="20"/>
          <w:szCs w:val="20"/>
        </w:rPr>
        <w:t xml:space="preserve"> investment</w:t>
      </w:r>
      <w:r w:rsidR="003C2048">
        <w:rPr>
          <w:rFonts w:ascii="Arial" w:hAnsi="Arial" w:cs="Arial"/>
          <w:sz w:val="20"/>
          <w:szCs w:val="20"/>
        </w:rPr>
        <w:t xml:space="preserve"> management services </w:t>
      </w:r>
      <w:bookmarkEnd w:id="2"/>
      <w:r w:rsidR="0089244B">
        <w:rPr>
          <w:rFonts w:ascii="Arial" w:hAnsi="Arial" w:cs="Arial"/>
          <w:sz w:val="20"/>
          <w:szCs w:val="20"/>
        </w:rPr>
        <w:t>to support tw</w:t>
      </w:r>
      <w:r w:rsidR="00983E17">
        <w:rPr>
          <w:rFonts w:ascii="Arial" w:hAnsi="Arial" w:cs="Arial"/>
          <w:sz w:val="20"/>
          <w:szCs w:val="20"/>
        </w:rPr>
        <w:t>o</w:t>
      </w:r>
      <w:r w:rsidR="0089244B">
        <w:rPr>
          <w:rFonts w:ascii="Arial" w:hAnsi="Arial" w:cs="Arial"/>
          <w:sz w:val="20"/>
          <w:szCs w:val="20"/>
        </w:rPr>
        <w:t xml:space="preserve"> parks in the state.</w:t>
      </w:r>
      <w:r w:rsidRPr="00563338">
        <w:rPr>
          <w:rFonts w:ascii="Arial" w:hAnsi="Arial" w:cs="Arial"/>
          <w:sz w:val="20"/>
          <w:szCs w:val="20"/>
        </w:rPr>
        <w:t xml:space="preserve"> </w:t>
      </w:r>
      <w:r w:rsidR="00F26A28">
        <w:rPr>
          <w:rFonts w:ascii="Arial" w:hAnsi="Arial" w:cs="Arial"/>
          <w:sz w:val="20"/>
          <w:szCs w:val="20"/>
        </w:rPr>
        <w:t>D</w:t>
      </w:r>
      <w:r w:rsidRPr="00563338">
        <w:rPr>
          <w:rFonts w:ascii="Arial" w:hAnsi="Arial" w:cs="Arial"/>
          <w:sz w:val="20"/>
          <w:szCs w:val="20"/>
        </w:rPr>
        <w:t xml:space="preserve">istributions are determined by Parks &amp; Rec. (Title 57, Chapter 7, </w:t>
      </w:r>
      <w:r w:rsidRPr="00563338">
        <w:rPr>
          <w:rFonts w:ascii="Arial" w:hAnsi="Arial" w:cs="Arial"/>
          <w:i/>
          <w:iCs/>
          <w:sz w:val="20"/>
          <w:szCs w:val="20"/>
        </w:rPr>
        <w:t>Idaho Code</w:t>
      </w:r>
      <w:r w:rsidRPr="00563338">
        <w:rPr>
          <w:rFonts w:ascii="Arial" w:hAnsi="Arial" w:cs="Arial"/>
          <w:sz w:val="20"/>
          <w:szCs w:val="20"/>
        </w:rPr>
        <w:t>)</w:t>
      </w:r>
    </w:p>
    <w:p w14:paraId="15B48589" w14:textId="77777777" w:rsidR="009831FC" w:rsidRDefault="009831FC" w:rsidP="00193A7F">
      <w:pPr>
        <w:jc w:val="both"/>
        <w:rPr>
          <w:rFonts w:ascii="Arial" w:hAnsi="Arial" w:cs="Arial"/>
          <w:sz w:val="20"/>
          <w:szCs w:val="20"/>
        </w:rPr>
      </w:pPr>
    </w:p>
    <w:p w14:paraId="4B4EDE64" w14:textId="20109375" w:rsidR="00193A7F" w:rsidRDefault="00193A7F" w:rsidP="0098168E">
      <w:pPr>
        <w:jc w:val="both"/>
        <w:rPr>
          <w:rFonts w:ascii="Arial" w:hAnsi="Arial" w:cs="Arial"/>
          <w:sz w:val="20"/>
          <w:szCs w:val="20"/>
        </w:rPr>
      </w:pPr>
      <w:r>
        <w:rPr>
          <w:rFonts w:ascii="Arial" w:hAnsi="Arial" w:cs="Arial"/>
          <w:b/>
          <w:i/>
          <w:sz w:val="20"/>
          <w:szCs w:val="20"/>
        </w:rPr>
        <w:t xml:space="preserve">Department of Environmental Quality </w:t>
      </w:r>
      <w:r w:rsidR="0073635D">
        <w:rPr>
          <w:rFonts w:ascii="Arial" w:hAnsi="Arial" w:cs="Arial"/>
          <w:b/>
          <w:i/>
          <w:sz w:val="20"/>
          <w:szCs w:val="20"/>
        </w:rPr>
        <w:t>Endowments</w:t>
      </w:r>
      <w:r>
        <w:rPr>
          <w:rFonts w:ascii="Arial" w:hAnsi="Arial" w:cs="Arial"/>
          <w:sz w:val="20"/>
          <w:szCs w:val="20"/>
        </w:rPr>
        <w:t xml:space="preserve"> – </w:t>
      </w:r>
      <w:r w:rsidR="0073635D">
        <w:rPr>
          <w:rFonts w:ascii="Arial" w:hAnsi="Arial" w:cs="Arial"/>
          <w:sz w:val="20"/>
          <w:szCs w:val="20"/>
        </w:rPr>
        <w:t>The EFIB provides investment management services to DEQ in</w:t>
      </w:r>
      <w:r>
        <w:rPr>
          <w:rFonts w:ascii="Arial" w:hAnsi="Arial" w:cs="Arial"/>
          <w:sz w:val="20"/>
          <w:szCs w:val="20"/>
        </w:rPr>
        <w:t xml:space="preserve"> support of the </w:t>
      </w:r>
      <w:r w:rsidR="00B3447E">
        <w:rPr>
          <w:rFonts w:ascii="Arial" w:hAnsi="Arial" w:cs="Arial"/>
          <w:sz w:val="20"/>
          <w:szCs w:val="20"/>
        </w:rPr>
        <w:t>Silver Valley environmental cleanup</w:t>
      </w:r>
      <w:r>
        <w:rPr>
          <w:rFonts w:ascii="Arial" w:hAnsi="Arial" w:cs="Arial"/>
          <w:sz w:val="20"/>
          <w:szCs w:val="20"/>
        </w:rPr>
        <w:t xml:space="preserve">. </w:t>
      </w:r>
      <w:r w:rsidR="00F26A28">
        <w:rPr>
          <w:rFonts w:ascii="Arial" w:hAnsi="Arial" w:cs="Arial"/>
          <w:sz w:val="20"/>
          <w:szCs w:val="20"/>
        </w:rPr>
        <w:t>D</w:t>
      </w:r>
      <w:r w:rsidRPr="00563338">
        <w:rPr>
          <w:rFonts w:ascii="Arial" w:hAnsi="Arial" w:cs="Arial"/>
          <w:sz w:val="20"/>
          <w:szCs w:val="20"/>
        </w:rPr>
        <w:t xml:space="preserve">istributions </w:t>
      </w:r>
      <w:r w:rsidR="00F26A28">
        <w:rPr>
          <w:rFonts w:ascii="Arial" w:hAnsi="Arial" w:cs="Arial"/>
          <w:sz w:val="20"/>
          <w:szCs w:val="20"/>
        </w:rPr>
        <w:t>a</w:t>
      </w:r>
      <w:r w:rsidRPr="00563338">
        <w:rPr>
          <w:rFonts w:ascii="Arial" w:hAnsi="Arial" w:cs="Arial"/>
          <w:sz w:val="20"/>
          <w:szCs w:val="20"/>
        </w:rPr>
        <w:t xml:space="preserve">re determined by </w:t>
      </w:r>
      <w:r>
        <w:rPr>
          <w:rFonts w:ascii="Arial" w:hAnsi="Arial" w:cs="Arial"/>
          <w:sz w:val="20"/>
          <w:szCs w:val="20"/>
        </w:rPr>
        <w:t>the Department of Environmental Quality.</w:t>
      </w:r>
      <w:r w:rsidRPr="00563338">
        <w:rPr>
          <w:rFonts w:ascii="Arial" w:hAnsi="Arial" w:cs="Arial"/>
          <w:sz w:val="20"/>
          <w:szCs w:val="20"/>
        </w:rPr>
        <w:t xml:space="preserve"> (Title 57, Chapter 7, </w:t>
      </w:r>
      <w:r w:rsidRPr="00563338">
        <w:rPr>
          <w:rFonts w:ascii="Arial" w:hAnsi="Arial" w:cs="Arial"/>
          <w:i/>
          <w:iCs/>
          <w:sz w:val="20"/>
          <w:szCs w:val="20"/>
        </w:rPr>
        <w:t>Idaho Code</w:t>
      </w:r>
      <w:r w:rsidRPr="00563338">
        <w:rPr>
          <w:rFonts w:ascii="Arial" w:hAnsi="Arial" w:cs="Arial"/>
          <w:sz w:val="20"/>
          <w:szCs w:val="20"/>
        </w:rPr>
        <w:t>)</w:t>
      </w:r>
    </w:p>
    <w:p w14:paraId="7011C77B" w14:textId="77777777" w:rsidR="009831FC" w:rsidRDefault="009831FC" w:rsidP="0073635D">
      <w:pPr>
        <w:jc w:val="both"/>
        <w:rPr>
          <w:rFonts w:ascii="Arial" w:hAnsi="Arial" w:cs="Arial"/>
          <w:sz w:val="20"/>
          <w:szCs w:val="20"/>
        </w:rPr>
      </w:pPr>
    </w:p>
    <w:p w14:paraId="1105E379" w14:textId="436FE825" w:rsidR="0073635D" w:rsidRDefault="00193A7F" w:rsidP="0073635D">
      <w:pPr>
        <w:jc w:val="both"/>
        <w:rPr>
          <w:rFonts w:ascii="Arial" w:hAnsi="Arial" w:cs="Arial"/>
          <w:sz w:val="20"/>
          <w:szCs w:val="20"/>
        </w:rPr>
      </w:pPr>
      <w:r w:rsidRPr="0083291F">
        <w:rPr>
          <w:rFonts w:ascii="Arial" w:hAnsi="Arial" w:cs="Arial"/>
          <w:b/>
          <w:i/>
          <w:sz w:val="20"/>
          <w:szCs w:val="20"/>
        </w:rPr>
        <w:t>Department of Fish &amp; Game Wildlife Mitigation Endowment Funds</w:t>
      </w:r>
      <w:r w:rsidRPr="0083291F">
        <w:rPr>
          <w:rFonts w:ascii="Arial" w:hAnsi="Arial" w:cs="Arial"/>
          <w:sz w:val="20"/>
          <w:szCs w:val="20"/>
        </w:rPr>
        <w:t xml:space="preserve"> – </w:t>
      </w:r>
      <w:r w:rsidR="0073635D">
        <w:rPr>
          <w:rFonts w:ascii="Arial" w:hAnsi="Arial" w:cs="Arial"/>
          <w:sz w:val="20"/>
          <w:szCs w:val="20"/>
        </w:rPr>
        <w:t>T</w:t>
      </w:r>
      <w:r w:rsidRPr="0083291F">
        <w:rPr>
          <w:rFonts w:ascii="Arial" w:hAnsi="Arial" w:cs="Arial"/>
          <w:sz w:val="20"/>
          <w:szCs w:val="20"/>
        </w:rPr>
        <w:t xml:space="preserve">he EFIB </w:t>
      </w:r>
      <w:r w:rsidR="0073635D">
        <w:rPr>
          <w:rFonts w:ascii="Arial" w:hAnsi="Arial" w:cs="Arial"/>
          <w:sz w:val="20"/>
          <w:szCs w:val="20"/>
        </w:rPr>
        <w:t xml:space="preserve">provides investment management services </w:t>
      </w:r>
      <w:r w:rsidR="003C2048">
        <w:rPr>
          <w:rFonts w:ascii="Arial" w:hAnsi="Arial" w:cs="Arial"/>
          <w:sz w:val="20"/>
          <w:szCs w:val="20"/>
        </w:rPr>
        <w:t>to Fish &amp; Game</w:t>
      </w:r>
      <w:r w:rsidR="0089244B">
        <w:rPr>
          <w:rFonts w:ascii="Arial" w:hAnsi="Arial" w:cs="Arial"/>
          <w:sz w:val="20"/>
          <w:szCs w:val="20"/>
        </w:rPr>
        <w:t xml:space="preserve"> to support</w:t>
      </w:r>
      <w:r w:rsidRPr="0083291F">
        <w:rPr>
          <w:rFonts w:ascii="Arial" w:hAnsi="Arial" w:cs="Arial"/>
          <w:sz w:val="20"/>
          <w:szCs w:val="20"/>
        </w:rPr>
        <w:t xml:space="preserve"> the maintenance of land acquired to enhance wildlife habitat. </w:t>
      </w:r>
      <w:r w:rsidR="00F26A28">
        <w:rPr>
          <w:rFonts w:ascii="Arial" w:hAnsi="Arial" w:cs="Arial"/>
          <w:sz w:val="20"/>
          <w:szCs w:val="20"/>
        </w:rPr>
        <w:t>D</w:t>
      </w:r>
      <w:r w:rsidRPr="0083291F">
        <w:rPr>
          <w:rFonts w:ascii="Arial" w:hAnsi="Arial" w:cs="Arial"/>
          <w:sz w:val="20"/>
          <w:szCs w:val="20"/>
        </w:rPr>
        <w:t xml:space="preserve">istributions are determined by the Department of Fish and Game. (Title 57, Chapter 7, </w:t>
      </w:r>
      <w:r w:rsidRPr="0083291F">
        <w:rPr>
          <w:rFonts w:ascii="Arial" w:hAnsi="Arial" w:cs="Arial"/>
          <w:i/>
          <w:iCs/>
          <w:sz w:val="20"/>
          <w:szCs w:val="20"/>
        </w:rPr>
        <w:t>Idaho Code</w:t>
      </w:r>
      <w:r w:rsidRPr="0083291F">
        <w:rPr>
          <w:rFonts w:ascii="Arial" w:hAnsi="Arial" w:cs="Arial"/>
          <w:sz w:val="20"/>
          <w:szCs w:val="20"/>
        </w:rPr>
        <w:t>)</w:t>
      </w:r>
    </w:p>
    <w:p w14:paraId="3A719DBD" w14:textId="77777777" w:rsidR="00C31D77" w:rsidRDefault="00C31D77" w:rsidP="00F117D6">
      <w:pPr>
        <w:ind w:firstLine="720"/>
        <w:jc w:val="both"/>
        <w:rPr>
          <w:rFonts w:ascii="Arial" w:hAnsi="Arial" w:cs="Arial"/>
          <w:b/>
          <w:i/>
          <w:sz w:val="20"/>
          <w:szCs w:val="20"/>
        </w:rPr>
      </w:pPr>
    </w:p>
    <w:p w14:paraId="1AAF60D0" w14:textId="7431E50A" w:rsidR="00F117D6" w:rsidRDefault="00A37BDF" w:rsidP="0098168E">
      <w:pPr>
        <w:jc w:val="both"/>
        <w:rPr>
          <w:rFonts w:ascii="Arial" w:hAnsi="Arial" w:cs="Arial"/>
          <w:sz w:val="20"/>
          <w:szCs w:val="20"/>
        </w:rPr>
      </w:pPr>
      <w:r w:rsidRPr="00A37BDF">
        <w:rPr>
          <w:rFonts w:ascii="Arial" w:hAnsi="Arial" w:cs="Arial"/>
          <w:b/>
          <w:i/>
          <w:sz w:val="20"/>
          <w:szCs w:val="20"/>
        </w:rPr>
        <w:t>Idaho Department of Lands Forest Legacy</w:t>
      </w:r>
      <w:r>
        <w:rPr>
          <w:rFonts w:ascii="Arial" w:hAnsi="Arial" w:cs="Arial"/>
          <w:sz w:val="20"/>
          <w:szCs w:val="20"/>
        </w:rPr>
        <w:t xml:space="preserve"> – In FY19, the EFIB </w:t>
      </w:r>
      <w:r w:rsidRPr="0083291F">
        <w:rPr>
          <w:rFonts w:ascii="Arial" w:hAnsi="Arial" w:cs="Arial"/>
          <w:sz w:val="20"/>
          <w:szCs w:val="20"/>
        </w:rPr>
        <w:t xml:space="preserve">began </w:t>
      </w:r>
      <w:r>
        <w:rPr>
          <w:rFonts w:ascii="Arial" w:hAnsi="Arial" w:cs="Arial"/>
          <w:sz w:val="20"/>
          <w:szCs w:val="20"/>
        </w:rPr>
        <w:t>providing</w:t>
      </w:r>
      <w:r w:rsidRPr="00563338">
        <w:rPr>
          <w:rFonts w:ascii="Arial" w:hAnsi="Arial" w:cs="Arial"/>
          <w:sz w:val="20"/>
          <w:szCs w:val="20"/>
        </w:rPr>
        <w:t xml:space="preserve"> investment</w:t>
      </w:r>
      <w:r>
        <w:rPr>
          <w:rFonts w:ascii="Arial" w:hAnsi="Arial" w:cs="Arial"/>
          <w:sz w:val="20"/>
          <w:szCs w:val="20"/>
        </w:rPr>
        <w:t xml:space="preserve"> management services to I</w:t>
      </w:r>
      <w:r w:rsidR="00F117D6">
        <w:rPr>
          <w:rFonts w:ascii="Arial" w:hAnsi="Arial" w:cs="Arial"/>
          <w:sz w:val="20"/>
          <w:szCs w:val="20"/>
        </w:rPr>
        <w:t>daho Dept. of Lands</w:t>
      </w:r>
      <w:r>
        <w:rPr>
          <w:rFonts w:ascii="Arial" w:hAnsi="Arial" w:cs="Arial"/>
          <w:sz w:val="20"/>
          <w:szCs w:val="20"/>
        </w:rPr>
        <w:t xml:space="preserve"> for</w:t>
      </w:r>
      <w:r w:rsidRPr="0083291F">
        <w:rPr>
          <w:rFonts w:ascii="Arial" w:hAnsi="Arial" w:cs="Arial"/>
          <w:sz w:val="20"/>
          <w:szCs w:val="20"/>
        </w:rPr>
        <w:t xml:space="preserve"> the </w:t>
      </w:r>
      <w:r w:rsidRPr="00A37BDF">
        <w:rPr>
          <w:rFonts w:ascii="Arial" w:hAnsi="Arial" w:cs="Arial"/>
          <w:sz w:val="20"/>
          <w:szCs w:val="20"/>
        </w:rPr>
        <w:t>Forest Legacy Program, a federal program administered in partnership with the states using Land and Water Conservation Fund money (Uniform Conservation Easement Act, Title 55, Chapter 21)</w:t>
      </w:r>
      <w:r w:rsidR="00FB4DF1">
        <w:rPr>
          <w:rFonts w:ascii="Arial" w:hAnsi="Arial" w:cs="Arial"/>
          <w:sz w:val="20"/>
          <w:szCs w:val="20"/>
        </w:rPr>
        <w:t>.</w:t>
      </w:r>
      <w:r w:rsidR="00F117D6">
        <w:rPr>
          <w:rFonts w:ascii="Arial" w:hAnsi="Arial" w:cs="Arial"/>
          <w:sz w:val="20"/>
          <w:szCs w:val="20"/>
        </w:rPr>
        <w:t xml:space="preserve"> </w:t>
      </w:r>
      <w:r w:rsidR="00F26A28">
        <w:rPr>
          <w:rFonts w:ascii="Arial" w:hAnsi="Arial" w:cs="Arial"/>
          <w:sz w:val="20"/>
          <w:szCs w:val="20"/>
        </w:rPr>
        <w:t>D</w:t>
      </w:r>
      <w:r w:rsidR="00F117D6" w:rsidRPr="0083291F">
        <w:rPr>
          <w:rFonts w:ascii="Arial" w:hAnsi="Arial" w:cs="Arial"/>
          <w:sz w:val="20"/>
          <w:szCs w:val="20"/>
        </w:rPr>
        <w:t xml:space="preserve">istributions are determined by </w:t>
      </w:r>
      <w:r w:rsidR="00F117D6">
        <w:rPr>
          <w:rFonts w:ascii="Arial" w:hAnsi="Arial" w:cs="Arial"/>
          <w:sz w:val="20"/>
          <w:szCs w:val="20"/>
        </w:rPr>
        <w:t>the Idaho Dept. of Lands.</w:t>
      </w:r>
      <w:r w:rsidR="00F117D6" w:rsidRPr="0083291F">
        <w:rPr>
          <w:rFonts w:ascii="Arial" w:hAnsi="Arial" w:cs="Arial"/>
          <w:sz w:val="20"/>
          <w:szCs w:val="20"/>
        </w:rPr>
        <w:t xml:space="preserve"> (Title 57, Chapter 7, </w:t>
      </w:r>
      <w:r w:rsidR="00F117D6" w:rsidRPr="0083291F">
        <w:rPr>
          <w:rFonts w:ascii="Arial" w:hAnsi="Arial" w:cs="Arial"/>
          <w:i/>
          <w:iCs/>
          <w:sz w:val="20"/>
          <w:szCs w:val="20"/>
        </w:rPr>
        <w:t>Idaho Code</w:t>
      </w:r>
      <w:r w:rsidR="00F117D6" w:rsidRPr="0083291F">
        <w:rPr>
          <w:rFonts w:ascii="Arial" w:hAnsi="Arial" w:cs="Arial"/>
          <w:sz w:val="20"/>
          <w:szCs w:val="20"/>
        </w:rPr>
        <w:t>)</w:t>
      </w:r>
    </w:p>
    <w:p w14:paraId="392C94D0" w14:textId="7E55C3DA" w:rsidR="00863563" w:rsidRDefault="00863563" w:rsidP="0098168E">
      <w:pPr>
        <w:jc w:val="both"/>
        <w:rPr>
          <w:rFonts w:ascii="Arial" w:hAnsi="Arial" w:cs="Arial"/>
          <w:sz w:val="20"/>
          <w:szCs w:val="20"/>
        </w:rPr>
      </w:pPr>
    </w:p>
    <w:p w14:paraId="3B478FA9" w14:textId="435F1DD6" w:rsidR="00863563" w:rsidRDefault="00863563" w:rsidP="0098168E">
      <w:pPr>
        <w:jc w:val="both"/>
        <w:rPr>
          <w:rFonts w:ascii="Arial" w:hAnsi="Arial" w:cs="Arial"/>
          <w:sz w:val="20"/>
          <w:szCs w:val="20"/>
        </w:rPr>
      </w:pPr>
    </w:p>
    <w:p w14:paraId="3308739C" w14:textId="6647EB7B" w:rsidR="00863563" w:rsidRDefault="00863563" w:rsidP="0098168E">
      <w:pPr>
        <w:jc w:val="both"/>
        <w:rPr>
          <w:rFonts w:ascii="Arial" w:hAnsi="Arial" w:cs="Arial"/>
          <w:sz w:val="20"/>
          <w:szCs w:val="20"/>
        </w:rPr>
      </w:pPr>
    </w:p>
    <w:p w14:paraId="7021B648" w14:textId="585AD7E0" w:rsidR="00863563" w:rsidRDefault="00863563" w:rsidP="0098168E">
      <w:pPr>
        <w:jc w:val="both"/>
        <w:rPr>
          <w:rFonts w:ascii="Arial" w:hAnsi="Arial" w:cs="Arial"/>
          <w:sz w:val="20"/>
          <w:szCs w:val="20"/>
        </w:rPr>
      </w:pPr>
    </w:p>
    <w:p w14:paraId="30187F9F" w14:textId="36E4C909" w:rsidR="00863563" w:rsidRDefault="00863563" w:rsidP="0098168E">
      <w:pPr>
        <w:jc w:val="both"/>
        <w:rPr>
          <w:rFonts w:ascii="Arial" w:hAnsi="Arial" w:cs="Arial"/>
          <w:sz w:val="20"/>
          <w:szCs w:val="20"/>
        </w:rPr>
      </w:pPr>
    </w:p>
    <w:p w14:paraId="020122AF" w14:textId="009C40D6" w:rsidR="00863563" w:rsidRDefault="00863563" w:rsidP="0098168E">
      <w:pPr>
        <w:jc w:val="both"/>
        <w:rPr>
          <w:rFonts w:ascii="Arial" w:hAnsi="Arial" w:cs="Arial"/>
          <w:sz w:val="20"/>
          <w:szCs w:val="20"/>
        </w:rPr>
      </w:pPr>
    </w:p>
    <w:p w14:paraId="056FFA23" w14:textId="33DBB127" w:rsidR="00863563" w:rsidRDefault="00863563" w:rsidP="0098168E">
      <w:pPr>
        <w:jc w:val="both"/>
        <w:rPr>
          <w:rFonts w:ascii="Arial" w:hAnsi="Arial" w:cs="Arial"/>
          <w:sz w:val="20"/>
          <w:szCs w:val="20"/>
        </w:rPr>
      </w:pPr>
    </w:p>
    <w:p w14:paraId="0E2804D6" w14:textId="517368A6" w:rsidR="00863563" w:rsidRDefault="00863563" w:rsidP="0098168E">
      <w:pPr>
        <w:jc w:val="both"/>
        <w:rPr>
          <w:rFonts w:ascii="Arial" w:hAnsi="Arial" w:cs="Arial"/>
          <w:sz w:val="20"/>
          <w:szCs w:val="20"/>
        </w:rPr>
      </w:pPr>
    </w:p>
    <w:p w14:paraId="538279AD" w14:textId="77777777" w:rsidR="00D25CA1" w:rsidRDefault="00D25CA1" w:rsidP="0098168E">
      <w:pPr>
        <w:jc w:val="both"/>
        <w:rPr>
          <w:rFonts w:ascii="Arial" w:hAnsi="Arial" w:cs="Arial"/>
          <w:sz w:val="20"/>
          <w:szCs w:val="20"/>
        </w:rPr>
      </w:pPr>
    </w:p>
    <w:p w14:paraId="44E1A069" w14:textId="1ED3BCE1" w:rsidR="00863563" w:rsidRDefault="00863563" w:rsidP="0098168E">
      <w:pPr>
        <w:jc w:val="both"/>
        <w:rPr>
          <w:rFonts w:ascii="Arial" w:hAnsi="Arial" w:cs="Arial"/>
          <w:sz w:val="20"/>
          <w:szCs w:val="20"/>
        </w:rPr>
      </w:pPr>
    </w:p>
    <w:p w14:paraId="3C01CA52" w14:textId="77777777" w:rsidR="00863563" w:rsidRDefault="00863563" w:rsidP="0098168E">
      <w:pPr>
        <w:jc w:val="both"/>
        <w:rPr>
          <w:rFonts w:ascii="Arial" w:hAnsi="Arial" w:cs="Arial"/>
          <w:sz w:val="20"/>
          <w:szCs w:val="20"/>
        </w:rPr>
      </w:pPr>
    </w:p>
    <w:p w14:paraId="0A65B769" w14:textId="77777777" w:rsidR="0073635D" w:rsidRDefault="0073635D" w:rsidP="0073635D">
      <w:pPr>
        <w:ind w:firstLine="720"/>
        <w:jc w:val="both"/>
        <w:rPr>
          <w:rFonts w:ascii="Arial" w:hAnsi="Arial" w:cs="Arial"/>
          <w:b/>
          <w:bCs/>
        </w:rPr>
      </w:pPr>
    </w:p>
    <w:p w14:paraId="650ECF4C" w14:textId="72B86BB7" w:rsidR="00F26A28" w:rsidRPr="004674E6" w:rsidRDefault="00CD62E7">
      <w:pPr>
        <w:jc w:val="both"/>
        <w:rPr>
          <w:rFonts w:ascii="Arial" w:hAnsi="Arial" w:cs="Arial"/>
          <w:b/>
          <w:bCs/>
        </w:rPr>
      </w:pPr>
      <w:r>
        <w:rPr>
          <w:rFonts w:ascii="Arial" w:hAnsi="Arial" w:cs="Arial"/>
          <w:b/>
          <w:bCs/>
        </w:rPr>
        <w:lastRenderedPageBreak/>
        <w:t>Revenue</w:t>
      </w:r>
      <w:r w:rsidR="00177791" w:rsidRPr="004674E6">
        <w:rPr>
          <w:rFonts w:ascii="Arial" w:hAnsi="Arial" w:cs="Arial"/>
          <w:b/>
          <w:bCs/>
        </w:rPr>
        <w:t xml:space="preserve"> and Expenditures</w:t>
      </w:r>
    </w:p>
    <w:tbl>
      <w:tblPr>
        <w:tblW w:w="5000" w:type="pct"/>
        <w:tblInd w:w="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0"/>
        <w:gridCol w:w="1678"/>
        <w:gridCol w:w="1678"/>
        <w:gridCol w:w="1678"/>
        <w:gridCol w:w="1676"/>
      </w:tblGrid>
      <w:tr w:rsidR="00477B57" w:rsidRPr="00240D2A" w14:paraId="06D0B3EA" w14:textId="77777777" w:rsidTr="007D5383">
        <w:trPr>
          <w:trHeight w:val="404"/>
        </w:trPr>
        <w:tc>
          <w:tcPr>
            <w:tcW w:w="1668" w:type="pct"/>
            <w:shd w:val="clear" w:color="auto" w:fill="000080"/>
            <w:vAlign w:val="center"/>
          </w:tcPr>
          <w:p w14:paraId="437A02D5" w14:textId="061F8512" w:rsidR="00477B57" w:rsidRPr="00240D2A" w:rsidRDefault="00CD62E7" w:rsidP="00477B57">
            <w:pPr>
              <w:rPr>
                <w:rFonts w:ascii="Arial" w:hAnsi="Arial" w:cs="Arial"/>
                <w:b/>
                <w:bCs/>
                <w:color w:val="FFFFFF"/>
                <w:sz w:val="20"/>
                <w:szCs w:val="20"/>
              </w:rPr>
            </w:pPr>
            <w:r>
              <w:rPr>
                <w:rFonts w:ascii="Arial" w:hAnsi="Arial" w:cs="Arial"/>
                <w:b/>
                <w:bCs/>
                <w:color w:val="FFFFFF"/>
                <w:sz w:val="20"/>
                <w:szCs w:val="20"/>
              </w:rPr>
              <w:t>Revenu</w:t>
            </w:r>
            <w:r w:rsidR="00CE66C0">
              <w:rPr>
                <w:rFonts w:ascii="Arial" w:hAnsi="Arial" w:cs="Arial"/>
                <w:b/>
                <w:bCs/>
                <w:color w:val="FFFFFF"/>
                <w:sz w:val="20"/>
                <w:szCs w:val="20"/>
              </w:rPr>
              <w:t>e</w:t>
            </w:r>
          </w:p>
        </w:tc>
        <w:tc>
          <w:tcPr>
            <w:tcW w:w="833" w:type="pct"/>
            <w:shd w:val="clear" w:color="auto" w:fill="000080"/>
            <w:vAlign w:val="center"/>
          </w:tcPr>
          <w:p w14:paraId="3ACB88A9" w14:textId="05A0F291" w:rsidR="00477B57" w:rsidRPr="00240D2A" w:rsidRDefault="00FB10C0" w:rsidP="00477B57">
            <w:pPr>
              <w:jc w:val="right"/>
              <w:rPr>
                <w:rFonts w:ascii="Arial" w:hAnsi="Arial" w:cs="Arial"/>
                <w:b/>
                <w:bCs/>
                <w:color w:val="FFFFFF"/>
                <w:sz w:val="20"/>
                <w:szCs w:val="20"/>
              </w:rPr>
            </w:pPr>
            <w:r>
              <w:rPr>
                <w:rFonts w:ascii="Arial" w:hAnsi="Arial" w:cs="Arial"/>
                <w:b/>
                <w:bCs/>
                <w:color w:val="FFFFFF"/>
                <w:sz w:val="20"/>
                <w:szCs w:val="20"/>
              </w:rPr>
              <w:t>FY 2019</w:t>
            </w:r>
          </w:p>
        </w:tc>
        <w:tc>
          <w:tcPr>
            <w:tcW w:w="833" w:type="pct"/>
            <w:shd w:val="clear" w:color="auto" w:fill="000080"/>
            <w:vAlign w:val="center"/>
          </w:tcPr>
          <w:p w14:paraId="2D4688B9" w14:textId="166021BA" w:rsidR="00477B57" w:rsidRPr="00240D2A" w:rsidRDefault="00FB10C0" w:rsidP="00477B57">
            <w:pPr>
              <w:jc w:val="right"/>
              <w:rPr>
                <w:rFonts w:ascii="Arial" w:hAnsi="Arial" w:cs="Arial"/>
                <w:b/>
                <w:bCs/>
                <w:color w:val="FFFFFF"/>
                <w:sz w:val="20"/>
                <w:szCs w:val="20"/>
              </w:rPr>
            </w:pPr>
            <w:r>
              <w:rPr>
                <w:rFonts w:ascii="Arial" w:hAnsi="Arial" w:cs="Arial"/>
                <w:b/>
                <w:bCs/>
                <w:color w:val="FFFFFF"/>
                <w:sz w:val="20"/>
                <w:szCs w:val="20"/>
              </w:rPr>
              <w:t>FY 2020</w:t>
            </w:r>
          </w:p>
        </w:tc>
        <w:tc>
          <w:tcPr>
            <w:tcW w:w="833" w:type="pct"/>
            <w:shd w:val="clear" w:color="auto" w:fill="000080"/>
            <w:vAlign w:val="center"/>
          </w:tcPr>
          <w:p w14:paraId="05F7E612" w14:textId="3A0DD8D5" w:rsidR="00477B57" w:rsidRPr="00240D2A" w:rsidRDefault="00FB10C0" w:rsidP="00477B57">
            <w:pPr>
              <w:jc w:val="right"/>
              <w:rPr>
                <w:rFonts w:ascii="Arial" w:hAnsi="Arial" w:cs="Arial"/>
                <w:b/>
                <w:bCs/>
                <w:color w:val="FFFFFF"/>
                <w:sz w:val="20"/>
                <w:szCs w:val="20"/>
              </w:rPr>
            </w:pPr>
            <w:r>
              <w:rPr>
                <w:rFonts w:ascii="Arial" w:hAnsi="Arial" w:cs="Arial"/>
                <w:b/>
                <w:bCs/>
                <w:color w:val="FFFFFF"/>
                <w:sz w:val="20"/>
                <w:szCs w:val="20"/>
              </w:rPr>
              <w:t>FY 2021</w:t>
            </w:r>
          </w:p>
        </w:tc>
        <w:tc>
          <w:tcPr>
            <w:tcW w:w="832" w:type="pct"/>
            <w:shd w:val="clear" w:color="auto" w:fill="000080"/>
            <w:vAlign w:val="center"/>
          </w:tcPr>
          <w:p w14:paraId="1241F13F" w14:textId="3CF4CF07" w:rsidR="00477B57" w:rsidRPr="00240D2A" w:rsidRDefault="00FB10C0" w:rsidP="00477B57">
            <w:pPr>
              <w:jc w:val="right"/>
              <w:rPr>
                <w:rFonts w:ascii="Arial" w:hAnsi="Arial" w:cs="Arial"/>
                <w:b/>
                <w:bCs/>
                <w:color w:val="FFFFFF"/>
                <w:sz w:val="20"/>
                <w:szCs w:val="20"/>
              </w:rPr>
            </w:pPr>
            <w:r>
              <w:rPr>
                <w:rFonts w:ascii="Arial" w:hAnsi="Arial" w:cs="Arial"/>
                <w:b/>
                <w:bCs/>
                <w:color w:val="FFFFFF"/>
                <w:sz w:val="20"/>
                <w:szCs w:val="20"/>
              </w:rPr>
              <w:t>FY 2022</w:t>
            </w:r>
          </w:p>
        </w:tc>
      </w:tr>
      <w:tr w:rsidR="00FB10C0" w:rsidRPr="00240D2A" w14:paraId="00654F74" w14:textId="77777777" w:rsidTr="007D5383">
        <w:trPr>
          <w:trHeight w:val="80"/>
        </w:trPr>
        <w:tc>
          <w:tcPr>
            <w:tcW w:w="1668" w:type="pct"/>
            <w:vAlign w:val="center"/>
          </w:tcPr>
          <w:p w14:paraId="0F92CA10" w14:textId="77777777" w:rsidR="00FB10C0" w:rsidRPr="00240D2A" w:rsidRDefault="00FB10C0" w:rsidP="00FB10C0">
            <w:pPr>
              <w:ind w:left="216"/>
              <w:rPr>
                <w:rFonts w:ascii="Arial" w:hAnsi="Arial" w:cs="Arial"/>
                <w:color w:val="000000"/>
                <w:sz w:val="20"/>
                <w:szCs w:val="20"/>
              </w:rPr>
            </w:pPr>
            <w:r w:rsidRPr="00240D2A">
              <w:rPr>
                <w:rFonts w:ascii="Arial" w:hAnsi="Arial" w:cs="Arial"/>
                <w:color w:val="000000"/>
                <w:sz w:val="20"/>
                <w:szCs w:val="20"/>
              </w:rPr>
              <w:t>Misc. Revenue</w:t>
            </w:r>
          </w:p>
        </w:tc>
        <w:tc>
          <w:tcPr>
            <w:tcW w:w="833" w:type="pct"/>
            <w:vAlign w:val="center"/>
          </w:tcPr>
          <w:p w14:paraId="0D5E882E" w14:textId="6D51DE80" w:rsidR="00FB10C0" w:rsidRPr="00240D2A" w:rsidRDefault="00FB10C0" w:rsidP="00FB10C0">
            <w:pPr>
              <w:jc w:val="right"/>
              <w:rPr>
                <w:rFonts w:ascii="Arial" w:hAnsi="Arial" w:cs="Arial"/>
                <w:color w:val="000000"/>
                <w:sz w:val="20"/>
                <w:szCs w:val="20"/>
              </w:rPr>
            </w:pPr>
            <w:r>
              <w:rPr>
                <w:rFonts w:ascii="Arial" w:hAnsi="Arial" w:cs="Arial"/>
                <w:color w:val="000000"/>
                <w:sz w:val="20"/>
                <w:szCs w:val="20"/>
              </w:rPr>
              <w:t>$79,100</w:t>
            </w:r>
          </w:p>
        </w:tc>
        <w:tc>
          <w:tcPr>
            <w:tcW w:w="833" w:type="pct"/>
            <w:vAlign w:val="center"/>
          </w:tcPr>
          <w:p w14:paraId="7E9B014F" w14:textId="78D1D500" w:rsidR="00FB10C0" w:rsidRPr="00240D2A" w:rsidRDefault="00FB10C0" w:rsidP="00FB10C0">
            <w:pPr>
              <w:jc w:val="right"/>
              <w:rPr>
                <w:rFonts w:ascii="Arial" w:hAnsi="Arial" w:cs="Arial"/>
                <w:color w:val="000000"/>
                <w:sz w:val="20"/>
                <w:szCs w:val="20"/>
              </w:rPr>
            </w:pPr>
            <w:r>
              <w:rPr>
                <w:rFonts w:ascii="Arial" w:hAnsi="Arial" w:cs="Arial"/>
                <w:color w:val="000000"/>
                <w:sz w:val="20"/>
                <w:szCs w:val="20"/>
              </w:rPr>
              <w:t>$81,100</w:t>
            </w:r>
          </w:p>
        </w:tc>
        <w:tc>
          <w:tcPr>
            <w:tcW w:w="833" w:type="pct"/>
            <w:vAlign w:val="center"/>
          </w:tcPr>
          <w:p w14:paraId="1B8E212C" w14:textId="24E54E9F" w:rsidR="00FB10C0" w:rsidRPr="00240D2A" w:rsidRDefault="00FB10C0" w:rsidP="00FB10C0">
            <w:pPr>
              <w:jc w:val="right"/>
              <w:rPr>
                <w:rFonts w:ascii="Arial" w:hAnsi="Arial" w:cs="Arial"/>
                <w:color w:val="000000"/>
                <w:sz w:val="20"/>
                <w:szCs w:val="20"/>
              </w:rPr>
            </w:pPr>
            <w:r>
              <w:rPr>
                <w:rFonts w:ascii="Arial" w:hAnsi="Arial" w:cs="Arial"/>
                <w:color w:val="000000"/>
                <w:sz w:val="20"/>
                <w:szCs w:val="20"/>
              </w:rPr>
              <w:t>83,200</w:t>
            </w:r>
          </w:p>
        </w:tc>
        <w:tc>
          <w:tcPr>
            <w:tcW w:w="832" w:type="pct"/>
            <w:vAlign w:val="center"/>
          </w:tcPr>
          <w:p w14:paraId="369B56FF" w14:textId="7C082C2A" w:rsidR="00FB10C0" w:rsidRPr="00240D2A" w:rsidRDefault="00FB10C0" w:rsidP="00FB10C0">
            <w:pPr>
              <w:jc w:val="right"/>
              <w:rPr>
                <w:rFonts w:ascii="Arial" w:hAnsi="Arial" w:cs="Arial"/>
                <w:color w:val="000000"/>
                <w:sz w:val="20"/>
                <w:szCs w:val="20"/>
              </w:rPr>
            </w:pPr>
          </w:p>
        </w:tc>
      </w:tr>
      <w:tr w:rsidR="00FB10C0" w:rsidRPr="00240D2A" w14:paraId="2A6D24FE" w14:textId="77777777" w:rsidTr="007D5383">
        <w:trPr>
          <w:trHeight w:val="80"/>
        </w:trPr>
        <w:tc>
          <w:tcPr>
            <w:tcW w:w="1668" w:type="pct"/>
            <w:vAlign w:val="center"/>
          </w:tcPr>
          <w:p w14:paraId="49A5CE50" w14:textId="77777777" w:rsidR="00FB10C0" w:rsidRPr="00240D2A" w:rsidRDefault="00FB10C0" w:rsidP="00FB10C0">
            <w:pPr>
              <w:ind w:left="216"/>
              <w:rPr>
                <w:rFonts w:ascii="Arial" w:hAnsi="Arial" w:cs="Arial"/>
                <w:color w:val="000000"/>
                <w:sz w:val="20"/>
                <w:szCs w:val="20"/>
              </w:rPr>
            </w:pPr>
            <w:r w:rsidRPr="00240D2A">
              <w:rPr>
                <w:rFonts w:ascii="Arial" w:hAnsi="Arial" w:cs="Arial"/>
                <w:color w:val="000000"/>
                <w:sz w:val="20"/>
                <w:szCs w:val="20"/>
              </w:rPr>
              <w:t>Endowment Funds</w:t>
            </w:r>
          </w:p>
        </w:tc>
        <w:tc>
          <w:tcPr>
            <w:tcW w:w="833" w:type="pct"/>
            <w:vAlign w:val="center"/>
          </w:tcPr>
          <w:p w14:paraId="78E89D3D" w14:textId="0C05F9B7" w:rsidR="00FB10C0" w:rsidRPr="00240D2A" w:rsidRDefault="00FB10C0" w:rsidP="00FB10C0">
            <w:pPr>
              <w:jc w:val="right"/>
              <w:rPr>
                <w:rFonts w:ascii="Arial" w:hAnsi="Arial" w:cs="Arial"/>
                <w:color w:val="000000"/>
                <w:sz w:val="20"/>
                <w:szCs w:val="20"/>
                <w:u w:val="single"/>
              </w:rPr>
            </w:pPr>
            <w:r>
              <w:rPr>
                <w:rFonts w:ascii="Arial" w:hAnsi="Arial" w:cs="Arial"/>
                <w:color w:val="000000"/>
                <w:sz w:val="20"/>
                <w:szCs w:val="20"/>
                <w:u w:val="single"/>
              </w:rPr>
              <w:t>643,600</w:t>
            </w:r>
          </w:p>
        </w:tc>
        <w:tc>
          <w:tcPr>
            <w:tcW w:w="833" w:type="pct"/>
            <w:vAlign w:val="center"/>
          </w:tcPr>
          <w:p w14:paraId="0EE53502" w14:textId="5C498DB0" w:rsidR="00FB10C0" w:rsidRPr="00240D2A" w:rsidRDefault="00FB10C0" w:rsidP="00FB10C0">
            <w:pPr>
              <w:jc w:val="right"/>
              <w:rPr>
                <w:rFonts w:ascii="Arial" w:hAnsi="Arial" w:cs="Arial"/>
                <w:color w:val="000000"/>
                <w:sz w:val="20"/>
                <w:szCs w:val="20"/>
                <w:u w:val="single"/>
              </w:rPr>
            </w:pPr>
            <w:r>
              <w:rPr>
                <w:rFonts w:ascii="Arial" w:hAnsi="Arial" w:cs="Arial"/>
                <w:color w:val="000000"/>
                <w:sz w:val="20"/>
                <w:szCs w:val="20"/>
                <w:u w:val="single"/>
              </w:rPr>
              <w:t>664,400</w:t>
            </w:r>
          </w:p>
        </w:tc>
        <w:tc>
          <w:tcPr>
            <w:tcW w:w="833" w:type="pct"/>
            <w:vAlign w:val="center"/>
          </w:tcPr>
          <w:p w14:paraId="0A2F4D58" w14:textId="0CCD7939" w:rsidR="00FB10C0" w:rsidRPr="00240D2A" w:rsidRDefault="00FB10C0" w:rsidP="00FB10C0">
            <w:pPr>
              <w:jc w:val="right"/>
              <w:rPr>
                <w:rFonts w:ascii="Arial" w:hAnsi="Arial" w:cs="Arial"/>
                <w:color w:val="000000"/>
                <w:sz w:val="20"/>
                <w:szCs w:val="20"/>
                <w:u w:val="single"/>
              </w:rPr>
            </w:pPr>
            <w:r>
              <w:rPr>
                <w:rFonts w:ascii="Arial" w:hAnsi="Arial" w:cs="Arial"/>
                <w:color w:val="000000"/>
                <w:sz w:val="20"/>
                <w:szCs w:val="20"/>
                <w:u w:val="single"/>
              </w:rPr>
              <w:t>671,600</w:t>
            </w:r>
          </w:p>
        </w:tc>
        <w:tc>
          <w:tcPr>
            <w:tcW w:w="832" w:type="pct"/>
            <w:vAlign w:val="center"/>
          </w:tcPr>
          <w:p w14:paraId="53B6E49C" w14:textId="4F553E68" w:rsidR="00FB10C0" w:rsidRPr="00240D2A" w:rsidRDefault="00FB10C0" w:rsidP="00FB10C0">
            <w:pPr>
              <w:jc w:val="right"/>
              <w:rPr>
                <w:rFonts w:ascii="Arial" w:hAnsi="Arial" w:cs="Arial"/>
                <w:color w:val="000000"/>
                <w:sz w:val="20"/>
                <w:szCs w:val="20"/>
                <w:u w:val="single"/>
              </w:rPr>
            </w:pPr>
          </w:p>
        </w:tc>
      </w:tr>
      <w:tr w:rsidR="00FB10C0" w:rsidRPr="00240D2A" w14:paraId="16A41161" w14:textId="77777777" w:rsidTr="007D5383">
        <w:trPr>
          <w:trHeight w:val="351"/>
        </w:trPr>
        <w:tc>
          <w:tcPr>
            <w:tcW w:w="1668" w:type="pct"/>
            <w:vAlign w:val="center"/>
          </w:tcPr>
          <w:p w14:paraId="3830E277" w14:textId="77777777" w:rsidR="00FB10C0" w:rsidRPr="00240D2A" w:rsidRDefault="00FB10C0" w:rsidP="00FB10C0">
            <w:pPr>
              <w:jc w:val="right"/>
              <w:rPr>
                <w:rFonts w:ascii="Arial" w:hAnsi="Arial" w:cs="Arial"/>
                <w:b/>
                <w:bCs/>
                <w:sz w:val="20"/>
                <w:szCs w:val="20"/>
              </w:rPr>
            </w:pPr>
            <w:r w:rsidRPr="00240D2A">
              <w:rPr>
                <w:rFonts w:ascii="Arial" w:hAnsi="Arial" w:cs="Arial"/>
                <w:b/>
                <w:bCs/>
                <w:sz w:val="20"/>
                <w:szCs w:val="20"/>
              </w:rPr>
              <w:t>Total</w:t>
            </w:r>
          </w:p>
        </w:tc>
        <w:tc>
          <w:tcPr>
            <w:tcW w:w="833" w:type="pct"/>
            <w:vAlign w:val="center"/>
          </w:tcPr>
          <w:p w14:paraId="466CBFEE" w14:textId="41B042D8" w:rsidR="00FB10C0" w:rsidRPr="00411E36" w:rsidRDefault="00FB10C0" w:rsidP="00FB10C0">
            <w:pPr>
              <w:jc w:val="right"/>
              <w:rPr>
                <w:rFonts w:ascii="Arial" w:hAnsi="Arial" w:cs="Arial"/>
                <w:b/>
                <w:color w:val="000000"/>
                <w:sz w:val="20"/>
                <w:szCs w:val="20"/>
                <w:u w:val="double"/>
              </w:rPr>
            </w:pPr>
            <w:r>
              <w:rPr>
                <w:rFonts w:ascii="Arial" w:hAnsi="Arial" w:cs="Arial"/>
                <w:b/>
                <w:sz w:val="20"/>
                <w:szCs w:val="20"/>
                <w:u w:val="double"/>
              </w:rPr>
              <w:t>$722,700</w:t>
            </w:r>
          </w:p>
        </w:tc>
        <w:tc>
          <w:tcPr>
            <w:tcW w:w="833" w:type="pct"/>
            <w:vAlign w:val="center"/>
          </w:tcPr>
          <w:p w14:paraId="550BD8FD" w14:textId="220128B8" w:rsidR="00FB10C0" w:rsidRPr="00411E36" w:rsidRDefault="00FB10C0" w:rsidP="00FB10C0">
            <w:pPr>
              <w:jc w:val="right"/>
              <w:rPr>
                <w:rFonts w:ascii="Arial" w:hAnsi="Arial" w:cs="Arial"/>
                <w:b/>
                <w:color w:val="000000"/>
                <w:sz w:val="20"/>
                <w:szCs w:val="20"/>
                <w:u w:val="double"/>
              </w:rPr>
            </w:pPr>
            <w:r>
              <w:rPr>
                <w:rFonts w:ascii="Arial" w:hAnsi="Arial" w:cs="Arial"/>
                <w:b/>
                <w:sz w:val="20"/>
                <w:szCs w:val="20"/>
                <w:u w:val="double"/>
              </w:rPr>
              <w:t>745,500</w:t>
            </w:r>
          </w:p>
        </w:tc>
        <w:tc>
          <w:tcPr>
            <w:tcW w:w="833" w:type="pct"/>
            <w:vAlign w:val="center"/>
          </w:tcPr>
          <w:p w14:paraId="42903F59" w14:textId="2183E2ED" w:rsidR="00FB10C0" w:rsidRPr="00411E36" w:rsidRDefault="00FB10C0" w:rsidP="00FB10C0">
            <w:pPr>
              <w:jc w:val="right"/>
              <w:rPr>
                <w:rFonts w:ascii="Arial" w:hAnsi="Arial" w:cs="Arial"/>
                <w:b/>
                <w:sz w:val="20"/>
                <w:szCs w:val="20"/>
                <w:u w:val="double"/>
              </w:rPr>
            </w:pPr>
            <w:r>
              <w:rPr>
                <w:rFonts w:ascii="Arial" w:hAnsi="Arial" w:cs="Arial"/>
                <w:b/>
                <w:sz w:val="20"/>
                <w:szCs w:val="20"/>
                <w:u w:val="double"/>
              </w:rPr>
              <w:t>754,800</w:t>
            </w:r>
          </w:p>
        </w:tc>
        <w:tc>
          <w:tcPr>
            <w:tcW w:w="832" w:type="pct"/>
            <w:vAlign w:val="center"/>
          </w:tcPr>
          <w:p w14:paraId="32DB0037" w14:textId="0BA89422" w:rsidR="00FB10C0" w:rsidRPr="00411E36" w:rsidRDefault="00FB10C0" w:rsidP="00FB10C0">
            <w:pPr>
              <w:jc w:val="right"/>
              <w:rPr>
                <w:rFonts w:ascii="Arial" w:hAnsi="Arial" w:cs="Arial"/>
                <w:b/>
                <w:sz w:val="20"/>
                <w:szCs w:val="20"/>
                <w:u w:val="double"/>
              </w:rPr>
            </w:pPr>
          </w:p>
        </w:tc>
      </w:tr>
      <w:tr w:rsidR="00FB10C0" w:rsidRPr="00240D2A" w14:paraId="14556E79" w14:textId="77777777" w:rsidTr="007D5383">
        <w:trPr>
          <w:trHeight w:val="387"/>
        </w:trPr>
        <w:tc>
          <w:tcPr>
            <w:tcW w:w="1668" w:type="pct"/>
            <w:shd w:val="clear" w:color="auto" w:fill="000080"/>
            <w:vAlign w:val="center"/>
          </w:tcPr>
          <w:p w14:paraId="2F3B7016" w14:textId="77777777" w:rsidR="00FB10C0" w:rsidRPr="00240D2A" w:rsidRDefault="00FB10C0" w:rsidP="00FB10C0">
            <w:pPr>
              <w:keepNext/>
              <w:rPr>
                <w:rFonts w:ascii="Arial" w:hAnsi="Arial" w:cs="Arial"/>
                <w:b/>
                <w:bCs/>
                <w:color w:val="FFFFFF"/>
                <w:sz w:val="20"/>
                <w:szCs w:val="20"/>
              </w:rPr>
            </w:pPr>
            <w:r w:rsidRPr="00240D2A">
              <w:rPr>
                <w:rFonts w:ascii="Arial" w:hAnsi="Arial" w:cs="Arial"/>
                <w:b/>
                <w:bCs/>
                <w:color w:val="FFFFFF"/>
                <w:sz w:val="20"/>
                <w:szCs w:val="20"/>
              </w:rPr>
              <w:t>Expenditure</w:t>
            </w:r>
          </w:p>
        </w:tc>
        <w:tc>
          <w:tcPr>
            <w:tcW w:w="833" w:type="pct"/>
            <w:shd w:val="clear" w:color="auto" w:fill="000080"/>
            <w:vAlign w:val="center"/>
          </w:tcPr>
          <w:p w14:paraId="1647B82A" w14:textId="5D4734FB" w:rsidR="00FB10C0" w:rsidRPr="00240D2A" w:rsidRDefault="00FB10C0" w:rsidP="00FB10C0">
            <w:pPr>
              <w:keepNext/>
              <w:jc w:val="right"/>
              <w:rPr>
                <w:rFonts w:ascii="Arial" w:hAnsi="Arial" w:cs="Arial"/>
                <w:b/>
                <w:bCs/>
                <w:color w:val="FFFFFF"/>
                <w:sz w:val="20"/>
                <w:szCs w:val="20"/>
              </w:rPr>
            </w:pPr>
            <w:r>
              <w:rPr>
                <w:rFonts w:ascii="Arial" w:hAnsi="Arial" w:cs="Arial"/>
                <w:b/>
                <w:bCs/>
                <w:color w:val="FFFFFF"/>
                <w:sz w:val="20"/>
                <w:szCs w:val="20"/>
              </w:rPr>
              <w:t>FY 2019</w:t>
            </w:r>
          </w:p>
        </w:tc>
        <w:tc>
          <w:tcPr>
            <w:tcW w:w="833" w:type="pct"/>
            <w:shd w:val="clear" w:color="auto" w:fill="000080"/>
            <w:vAlign w:val="center"/>
          </w:tcPr>
          <w:p w14:paraId="5870D143" w14:textId="29F31153" w:rsidR="00FB10C0" w:rsidRPr="00240D2A" w:rsidRDefault="00FB10C0" w:rsidP="00FB10C0">
            <w:pPr>
              <w:keepNext/>
              <w:jc w:val="right"/>
              <w:rPr>
                <w:rFonts w:ascii="Arial" w:hAnsi="Arial" w:cs="Arial"/>
                <w:b/>
                <w:bCs/>
                <w:color w:val="FFFFFF"/>
                <w:sz w:val="20"/>
                <w:szCs w:val="20"/>
              </w:rPr>
            </w:pPr>
            <w:r>
              <w:rPr>
                <w:rFonts w:ascii="Arial" w:hAnsi="Arial" w:cs="Arial"/>
                <w:b/>
                <w:bCs/>
                <w:color w:val="FFFFFF"/>
                <w:sz w:val="20"/>
                <w:szCs w:val="20"/>
              </w:rPr>
              <w:t>FY 2020</w:t>
            </w:r>
          </w:p>
        </w:tc>
        <w:tc>
          <w:tcPr>
            <w:tcW w:w="833" w:type="pct"/>
            <w:shd w:val="clear" w:color="auto" w:fill="000080"/>
            <w:vAlign w:val="center"/>
          </w:tcPr>
          <w:p w14:paraId="7B18E568" w14:textId="132A1353" w:rsidR="00FB10C0" w:rsidRPr="00240D2A" w:rsidRDefault="00FB10C0" w:rsidP="00FB10C0">
            <w:pPr>
              <w:keepNext/>
              <w:jc w:val="right"/>
              <w:rPr>
                <w:rFonts w:ascii="Arial" w:hAnsi="Arial" w:cs="Arial"/>
                <w:b/>
                <w:bCs/>
                <w:color w:val="FFFFFF"/>
                <w:sz w:val="20"/>
                <w:szCs w:val="20"/>
              </w:rPr>
            </w:pPr>
            <w:r>
              <w:rPr>
                <w:rFonts w:ascii="Arial" w:hAnsi="Arial" w:cs="Arial"/>
                <w:b/>
                <w:bCs/>
                <w:color w:val="FFFFFF"/>
                <w:sz w:val="20"/>
                <w:szCs w:val="20"/>
              </w:rPr>
              <w:t>FY 2021</w:t>
            </w:r>
          </w:p>
        </w:tc>
        <w:tc>
          <w:tcPr>
            <w:tcW w:w="832" w:type="pct"/>
            <w:shd w:val="clear" w:color="auto" w:fill="000080"/>
            <w:vAlign w:val="center"/>
          </w:tcPr>
          <w:p w14:paraId="0525C078" w14:textId="0A470B6A" w:rsidR="00FB10C0" w:rsidRPr="00240D2A" w:rsidRDefault="00FB10C0" w:rsidP="00FB10C0">
            <w:pPr>
              <w:keepNext/>
              <w:jc w:val="right"/>
              <w:rPr>
                <w:rFonts w:ascii="Arial" w:hAnsi="Arial" w:cs="Arial"/>
                <w:b/>
                <w:bCs/>
                <w:color w:val="FFFFFF"/>
                <w:sz w:val="20"/>
                <w:szCs w:val="20"/>
              </w:rPr>
            </w:pPr>
            <w:r>
              <w:rPr>
                <w:rFonts w:ascii="Arial" w:hAnsi="Arial" w:cs="Arial"/>
                <w:b/>
                <w:bCs/>
                <w:color w:val="FFFFFF"/>
                <w:sz w:val="20"/>
                <w:szCs w:val="20"/>
              </w:rPr>
              <w:t>FY 2022</w:t>
            </w:r>
          </w:p>
        </w:tc>
      </w:tr>
      <w:tr w:rsidR="00FB10C0" w:rsidRPr="00240D2A" w14:paraId="461D7FEB" w14:textId="77777777" w:rsidTr="007D5383">
        <w:trPr>
          <w:trHeight w:val="80"/>
        </w:trPr>
        <w:tc>
          <w:tcPr>
            <w:tcW w:w="1668" w:type="pct"/>
            <w:vAlign w:val="center"/>
          </w:tcPr>
          <w:p w14:paraId="2C7BD83F" w14:textId="77777777" w:rsidR="00FB10C0" w:rsidRPr="00240D2A" w:rsidRDefault="00FB10C0" w:rsidP="00FB10C0">
            <w:pPr>
              <w:keepNext/>
              <w:ind w:left="216"/>
              <w:jc w:val="both"/>
              <w:rPr>
                <w:rFonts w:ascii="Arial" w:hAnsi="Arial" w:cs="Arial"/>
                <w:sz w:val="20"/>
                <w:szCs w:val="20"/>
              </w:rPr>
            </w:pPr>
            <w:r w:rsidRPr="00240D2A">
              <w:rPr>
                <w:rFonts w:ascii="Arial" w:hAnsi="Arial" w:cs="Arial"/>
                <w:sz w:val="20"/>
                <w:szCs w:val="20"/>
              </w:rPr>
              <w:t>Personnel Costs</w:t>
            </w:r>
          </w:p>
        </w:tc>
        <w:tc>
          <w:tcPr>
            <w:tcW w:w="833" w:type="pct"/>
            <w:vAlign w:val="center"/>
          </w:tcPr>
          <w:p w14:paraId="2623BCE2" w14:textId="3EA7B7CA" w:rsidR="00FB10C0" w:rsidRPr="00240D2A" w:rsidRDefault="00FB10C0" w:rsidP="00FB10C0">
            <w:pPr>
              <w:keepNext/>
              <w:jc w:val="right"/>
              <w:rPr>
                <w:rFonts w:ascii="Arial" w:hAnsi="Arial" w:cs="Arial"/>
                <w:sz w:val="20"/>
                <w:szCs w:val="20"/>
              </w:rPr>
            </w:pPr>
            <w:r>
              <w:rPr>
                <w:rFonts w:ascii="Arial" w:hAnsi="Arial" w:cs="Arial"/>
                <w:sz w:val="20"/>
                <w:szCs w:val="20"/>
              </w:rPr>
              <w:t>$530,700</w:t>
            </w:r>
          </w:p>
        </w:tc>
        <w:tc>
          <w:tcPr>
            <w:tcW w:w="833" w:type="pct"/>
            <w:vAlign w:val="center"/>
          </w:tcPr>
          <w:p w14:paraId="4411F554" w14:textId="434287CA" w:rsidR="00FB10C0" w:rsidRPr="00240D2A" w:rsidRDefault="00FB10C0" w:rsidP="00FB10C0">
            <w:pPr>
              <w:keepNext/>
              <w:jc w:val="right"/>
              <w:rPr>
                <w:rFonts w:ascii="Arial" w:hAnsi="Arial" w:cs="Arial"/>
                <w:sz w:val="20"/>
                <w:szCs w:val="20"/>
              </w:rPr>
            </w:pPr>
            <w:r>
              <w:rPr>
                <w:rFonts w:ascii="Arial" w:hAnsi="Arial" w:cs="Arial"/>
                <w:sz w:val="20"/>
                <w:szCs w:val="20"/>
              </w:rPr>
              <w:t>$547,000</w:t>
            </w:r>
          </w:p>
        </w:tc>
        <w:tc>
          <w:tcPr>
            <w:tcW w:w="833" w:type="pct"/>
            <w:vAlign w:val="center"/>
          </w:tcPr>
          <w:p w14:paraId="7FFD7F70" w14:textId="6A602E31" w:rsidR="00FB10C0" w:rsidRPr="00240D2A" w:rsidRDefault="00FB10C0" w:rsidP="00FB10C0">
            <w:pPr>
              <w:keepNext/>
              <w:jc w:val="right"/>
              <w:rPr>
                <w:rFonts w:ascii="Arial" w:hAnsi="Arial" w:cs="Arial"/>
                <w:sz w:val="20"/>
                <w:szCs w:val="20"/>
              </w:rPr>
            </w:pPr>
            <w:r>
              <w:rPr>
                <w:rFonts w:ascii="Arial" w:hAnsi="Arial" w:cs="Arial"/>
                <w:sz w:val="20"/>
                <w:szCs w:val="20"/>
              </w:rPr>
              <w:t>$555,400</w:t>
            </w:r>
          </w:p>
        </w:tc>
        <w:tc>
          <w:tcPr>
            <w:tcW w:w="832" w:type="pct"/>
            <w:vAlign w:val="center"/>
          </w:tcPr>
          <w:p w14:paraId="3B0EE96B" w14:textId="0EE6DFD3" w:rsidR="00FB10C0" w:rsidRPr="00240D2A" w:rsidRDefault="00FB10C0" w:rsidP="00FB10C0">
            <w:pPr>
              <w:keepNext/>
              <w:jc w:val="right"/>
              <w:rPr>
                <w:rFonts w:ascii="Arial" w:hAnsi="Arial" w:cs="Arial"/>
                <w:sz w:val="20"/>
                <w:szCs w:val="20"/>
              </w:rPr>
            </w:pPr>
          </w:p>
        </w:tc>
      </w:tr>
      <w:tr w:rsidR="00FB10C0" w:rsidRPr="00240D2A" w14:paraId="0F65693D" w14:textId="77777777" w:rsidTr="007D5383">
        <w:trPr>
          <w:trHeight w:val="80"/>
        </w:trPr>
        <w:tc>
          <w:tcPr>
            <w:tcW w:w="1668" w:type="pct"/>
            <w:vAlign w:val="center"/>
          </w:tcPr>
          <w:p w14:paraId="74C1303C" w14:textId="77777777" w:rsidR="00FB10C0" w:rsidRPr="00240D2A" w:rsidRDefault="00FB10C0" w:rsidP="00FB10C0">
            <w:pPr>
              <w:keepNext/>
              <w:ind w:left="216"/>
              <w:jc w:val="both"/>
              <w:rPr>
                <w:rFonts w:ascii="Arial" w:hAnsi="Arial" w:cs="Arial"/>
                <w:sz w:val="20"/>
                <w:szCs w:val="20"/>
              </w:rPr>
            </w:pPr>
            <w:r w:rsidRPr="00240D2A">
              <w:rPr>
                <w:rFonts w:ascii="Arial" w:hAnsi="Arial" w:cs="Arial"/>
                <w:sz w:val="20"/>
                <w:szCs w:val="20"/>
              </w:rPr>
              <w:t>Operating Expenditures</w:t>
            </w:r>
          </w:p>
        </w:tc>
        <w:tc>
          <w:tcPr>
            <w:tcW w:w="833" w:type="pct"/>
            <w:vAlign w:val="center"/>
          </w:tcPr>
          <w:p w14:paraId="32647425" w14:textId="06D8F787" w:rsidR="00FB10C0" w:rsidRPr="00240D2A" w:rsidRDefault="00FB10C0" w:rsidP="00FB10C0">
            <w:pPr>
              <w:keepNext/>
              <w:jc w:val="right"/>
              <w:rPr>
                <w:rFonts w:ascii="Arial" w:hAnsi="Arial" w:cs="Arial"/>
                <w:sz w:val="20"/>
                <w:szCs w:val="20"/>
              </w:rPr>
            </w:pPr>
            <w:r>
              <w:rPr>
                <w:rFonts w:ascii="Arial" w:hAnsi="Arial" w:cs="Arial"/>
                <w:sz w:val="20"/>
                <w:szCs w:val="20"/>
              </w:rPr>
              <w:t>190,000</w:t>
            </w:r>
          </w:p>
        </w:tc>
        <w:tc>
          <w:tcPr>
            <w:tcW w:w="833" w:type="pct"/>
            <w:vAlign w:val="center"/>
          </w:tcPr>
          <w:p w14:paraId="52C87D24" w14:textId="4C9CB4D5" w:rsidR="00FB10C0" w:rsidRPr="00240D2A" w:rsidRDefault="00FB10C0" w:rsidP="00FB10C0">
            <w:pPr>
              <w:keepNext/>
              <w:jc w:val="right"/>
              <w:rPr>
                <w:rFonts w:ascii="Arial" w:hAnsi="Arial" w:cs="Arial"/>
                <w:sz w:val="20"/>
                <w:szCs w:val="20"/>
              </w:rPr>
            </w:pPr>
            <w:r>
              <w:rPr>
                <w:rFonts w:ascii="Arial" w:hAnsi="Arial" w:cs="Arial"/>
                <w:sz w:val="20"/>
                <w:szCs w:val="20"/>
              </w:rPr>
              <w:t>196,500</w:t>
            </w:r>
          </w:p>
        </w:tc>
        <w:tc>
          <w:tcPr>
            <w:tcW w:w="833" w:type="pct"/>
            <w:vAlign w:val="center"/>
          </w:tcPr>
          <w:p w14:paraId="7075B5C7" w14:textId="32D23176" w:rsidR="00FB10C0" w:rsidRPr="00240D2A" w:rsidRDefault="00FB10C0" w:rsidP="00FB10C0">
            <w:pPr>
              <w:keepNext/>
              <w:jc w:val="right"/>
              <w:rPr>
                <w:rFonts w:ascii="Arial" w:hAnsi="Arial" w:cs="Arial"/>
                <w:sz w:val="20"/>
                <w:szCs w:val="20"/>
              </w:rPr>
            </w:pPr>
            <w:r>
              <w:rPr>
                <w:rFonts w:ascii="Arial" w:hAnsi="Arial" w:cs="Arial"/>
                <w:sz w:val="20"/>
                <w:szCs w:val="20"/>
              </w:rPr>
              <w:t>197,400</w:t>
            </w:r>
          </w:p>
        </w:tc>
        <w:tc>
          <w:tcPr>
            <w:tcW w:w="832" w:type="pct"/>
            <w:vAlign w:val="center"/>
          </w:tcPr>
          <w:p w14:paraId="6ECB7C1D" w14:textId="246DCFF4" w:rsidR="00FB10C0" w:rsidRPr="00240D2A" w:rsidRDefault="00FB10C0" w:rsidP="00FB10C0">
            <w:pPr>
              <w:keepNext/>
              <w:jc w:val="right"/>
              <w:rPr>
                <w:rFonts w:ascii="Arial" w:hAnsi="Arial" w:cs="Arial"/>
                <w:sz w:val="20"/>
                <w:szCs w:val="20"/>
              </w:rPr>
            </w:pPr>
          </w:p>
        </w:tc>
      </w:tr>
      <w:tr w:rsidR="00FB10C0" w:rsidRPr="00240D2A" w14:paraId="105104A4" w14:textId="77777777" w:rsidTr="007D5383">
        <w:trPr>
          <w:trHeight w:val="80"/>
        </w:trPr>
        <w:tc>
          <w:tcPr>
            <w:tcW w:w="1668" w:type="pct"/>
            <w:vAlign w:val="center"/>
          </w:tcPr>
          <w:p w14:paraId="4082F0A6" w14:textId="77777777" w:rsidR="00FB10C0" w:rsidRPr="00240D2A" w:rsidRDefault="00FB10C0" w:rsidP="00FB10C0">
            <w:pPr>
              <w:keepNext/>
              <w:ind w:left="216"/>
              <w:jc w:val="both"/>
              <w:rPr>
                <w:rFonts w:ascii="Arial" w:hAnsi="Arial" w:cs="Arial"/>
                <w:sz w:val="20"/>
                <w:szCs w:val="20"/>
              </w:rPr>
            </w:pPr>
            <w:r w:rsidRPr="00240D2A">
              <w:rPr>
                <w:rFonts w:ascii="Arial" w:hAnsi="Arial" w:cs="Arial"/>
                <w:sz w:val="20"/>
                <w:szCs w:val="20"/>
              </w:rPr>
              <w:t>Capital Outlay</w:t>
            </w:r>
          </w:p>
        </w:tc>
        <w:tc>
          <w:tcPr>
            <w:tcW w:w="833" w:type="pct"/>
            <w:vAlign w:val="center"/>
          </w:tcPr>
          <w:p w14:paraId="7A56DF93" w14:textId="44C04CCA" w:rsidR="00FB10C0" w:rsidRPr="00240D2A" w:rsidRDefault="00FB10C0" w:rsidP="00FB10C0">
            <w:pPr>
              <w:keepNext/>
              <w:jc w:val="right"/>
              <w:rPr>
                <w:rFonts w:ascii="Arial" w:hAnsi="Arial" w:cs="Arial"/>
                <w:color w:val="000000"/>
                <w:sz w:val="20"/>
                <w:szCs w:val="20"/>
                <w:u w:val="single"/>
              </w:rPr>
            </w:pPr>
            <w:r>
              <w:rPr>
                <w:rFonts w:ascii="Arial" w:hAnsi="Arial" w:cs="Arial"/>
                <w:color w:val="000000"/>
                <w:sz w:val="20"/>
                <w:szCs w:val="20"/>
                <w:u w:val="single"/>
              </w:rPr>
              <w:t xml:space="preserve">     2,000</w:t>
            </w:r>
          </w:p>
        </w:tc>
        <w:tc>
          <w:tcPr>
            <w:tcW w:w="833" w:type="pct"/>
            <w:vAlign w:val="center"/>
          </w:tcPr>
          <w:p w14:paraId="71CC1158" w14:textId="204EC1D1" w:rsidR="00FB10C0" w:rsidRPr="00240D2A" w:rsidRDefault="00FB10C0" w:rsidP="00FB10C0">
            <w:pPr>
              <w:keepNext/>
              <w:jc w:val="right"/>
              <w:rPr>
                <w:rFonts w:ascii="Arial" w:hAnsi="Arial" w:cs="Arial"/>
                <w:color w:val="000000"/>
                <w:sz w:val="20"/>
                <w:szCs w:val="20"/>
                <w:u w:val="single"/>
              </w:rPr>
            </w:pPr>
            <w:r>
              <w:rPr>
                <w:rFonts w:ascii="Arial" w:hAnsi="Arial" w:cs="Arial"/>
                <w:color w:val="000000"/>
                <w:sz w:val="20"/>
                <w:szCs w:val="20"/>
                <w:u w:val="single"/>
              </w:rPr>
              <w:t xml:space="preserve">      2,000</w:t>
            </w:r>
          </w:p>
        </w:tc>
        <w:tc>
          <w:tcPr>
            <w:tcW w:w="833" w:type="pct"/>
            <w:vAlign w:val="center"/>
          </w:tcPr>
          <w:p w14:paraId="3CC2626B" w14:textId="086E4000" w:rsidR="00FB10C0" w:rsidRPr="00240D2A" w:rsidRDefault="00FB10C0" w:rsidP="00FB10C0">
            <w:pPr>
              <w:keepNext/>
              <w:jc w:val="right"/>
              <w:rPr>
                <w:rFonts w:ascii="Arial" w:hAnsi="Arial" w:cs="Arial"/>
                <w:color w:val="000000"/>
                <w:sz w:val="20"/>
                <w:szCs w:val="20"/>
                <w:u w:val="single"/>
              </w:rPr>
            </w:pPr>
            <w:r>
              <w:rPr>
                <w:rFonts w:ascii="Arial" w:hAnsi="Arial" w:cs="Arial"/>
                <w:color w:val="000000"/>
                <w:sz w:val="20"/>
                <w:szCs w:val="20"/>
                <w:u w:val="single"/>
              </w:rPr>
              <w:t xml:space="preserve">      2000</w:t>
            </w:r>
          </w:p>
        </w:tc>
        <w:tc>
          <w:tcPr>
            <w:tcW w:w="832" w:type="pct"/>
            <w:vAlign w:val="center"/>
          </w:tcPr>
          <w:p w14:paraId="084669AF" w14:textId="4326F83F" w:rsidR="00FB10C0" w:rsidRPr="00240D2A" w:rsidRDefault="00FB10C0" w:rsidP="00FB10C0">
            <w:pPr>
              <w:keepNext/>
              <w:jc w:val="right"/>
              <w:rPr>
                <w:rFonts w:ascii="Arial" w:hAnsi="Arial" w:cs="Arial"/>
                <w:color w:val="000000"/>
                <w:sz w:val="20"/>
                <w:szCs w:val="20"/>
                <w:u w:val="single"/>
              </w:rPr>
            </w:pPr>
          </w:p>
        </w:tc>
      </w:tr>
      <w:tr w:rsidR="00FB10C0" w:rsidRPr="00240D2A" w14:paraId="4FA6FFF1" w14:textId="77777777" w:rsidTr="007D5383">
        <w:trPr>
          <w:trHeight w:val="80"/>
        </w:trPr>
        <w:tc>
          <w:tcPr>
            <w:tcW w:w="1668" w:type="pct"/>
            <w:vAlign w:val="center"/>
          </w:tcPr>
          <w:p w14:paraId="0F2BC58C" w14:textId="77777777" w:rsidR="00FB10C0" w:rsidRPr="00240D2A" w:rsidRDefault="00FB10C0" w:rsidP="00FB10C0">
            <w:pPr>
              <w:keepNext/>
              <w:jc w:val="right"/>
              <w:rPr>
                <w:rFonts w:ascii="Arial" w:hAnsi="Arial" w:cs="Arial"/>
                <w:b/>
                <w:bCs/>
                <w:sz w:val="20"/>
                <w:szCs w:val="20"/>
              </w:rPr>
            </w:pPr>
            <w:r w:rsidRPr="00240D2A">
              <w:rPr>
                <w:rFonts w:ascii="Arial" w:hAnsi="Arial" w:cs="Arial"/>
                <w:b/>
                <w:bCs/>
                <w:sz w:val="20"/>
                <w:szCs w:val="20"/>
              </w:rPr>
              <w:t xml:space="preserve"> Total</w:t>
            </w:r>
          </w:p>
        </w:tc>
        <w:tc>
          <w:tcPr>
            <w:tcW w:w="833" w:type="pct"/>
            <w:vAlign w:val="center"/>
          </w:tcPr>
          <w:p w14:paraId="1D4647A8" w14:textId="089A0803" w:rsidR="00FB10C0" w:rsidRPr="00240D2A" w:rsidRDefault="00FB10C0" w:rsidP="00FB10C0">
            <w:pPr>
              <w:keepNext/>
              <w:jc w:val="right"/>
              <w:rPr>
                <w:rFonts w:ascii="Arial" w:hAnsi="Arial" w:cs="Arial"/>
                <w:b/>
                <w:bCs/>
                <w:color w:val="000000"/>
                <w:sz w:val="20"/>
                <w:szCs w:val="20"/>
              </w:rPr>
            </w:pPr>
            <w:r>
              <w:rPr>
                <w:rFonts w:ascii="Arial" w:hAnsi="Arial" w:cs="Arial"/>
                <w:b/>
                <w:bCs/>
                <w:color w:val="000000"/>
                <w:sz w:val="20"/>
                <w:szCs w:val="20"/>
              </w:rPr>
              <w:t>$</w:t>
            </w:r>
            <w:r w:rsidRPr="00FB4DF1">
              <w:rPr>
                <w:rFonts w:ascii="Arial" w:hAnsi="Arial" w:cs="Arial"/>
                <w:b/>
                <w:bCs/>
                <w:color w:val="000000"/>
                <w:sz w:val="20"/>
                <w:szCs w:val="20"/>
                <w:u w:val="double"/>
              </w:rPr>
              <w:t>722,700</w:t>
            </w:r>
          </w:p>
        </w:tc>
        <w:tc>
          <w:tcPr>
            <w:tcW w:w="833" w:type="pct"/>
            <w:vAlign w:val="center"/>
          </w:tcPr>
          <w:p w14:paraId="2C37A98F" w14:textId="1831FD8F" w:rsidR="00FB10C0" w:rsidRPr="00240D2A" w:rsidRDefault="00FB10C0" w:rsidP="00FB10C0">
            <w:pPr>
              <w:keepNext/>
              <w:jc w:val="right"/>
              <w:rPr>
                <w:rFonts w:ascii="Arial" w:hAnsi="Arial" w:cs="Arial"/>
                <w:b/>
                <w:bCs/>
                <w:color w:val="000000"/>
                <w:sz w:val="20"/>
                <w:szCs w:val="20"/>
              </w:rPr>
            </w:pPr>
            <w:r>
              <w:rPr>
                <w:rFonts w:ascii="Arial" w:hAnsi="Arial" w:cs="Arial"/>
                <w:b/>
                <w:bCs/>
                <w:color w:val="000000"/>
                <w:sz w:val="20"/>
                <w:szCs w:val="20"/>
              </w:rPr>
              <w:t>$</w:t>
            </w:r>
            <w:r w:rsidRPr="00257BD1">
              <w:rPr>
                <w:rFonts w:ascii="Arial" w:hAnsi="Arial" w:cs="Arial"/>
                <w:b/>
                <w:bCs/>
                <w:color w:val="000000"/>
                <w:sz w:val="20"/>
                <w:szCs w:val="20"/>
                <w:u w:val="double"/>
              </w:rPr>
              <w:t>745,500</w:t>
            </w:r>
          </w:p>
        </w:tc>
        <w:tc>
          <w:tcPr>
            <w:tcW w:w="833" w:type="pct"/>
            <w:vAlign w:val="center"/>
          </w:tcPr>
          <w:p w14:paraId="6E70AF42" w14:textId="50D91FB4" w:rsidR="00FB10C0" w:rsidRPr="00240D2A" w:rsidRDefault="00FB10C0" w:rsidP="00FB10C0">
            <w:pPr>
              <w:keepNext/>
              <w:jc w:val="right"/>
              <w:rPr>
                <w:rFonts w:ascii="Arial" w:hAnsi="Arial" w:cs="Arial"/>
                <w:b/>
                <w:bCs/>
                <w:color w:val="000000"/>
                <w:sz w:val="20"/>
                <w:szCs w:val="20"/>
              </w:rPr>
            </w:pPr>
            <w:r>
              <w:rPr>
                <w:rFonts w:ascii="Arial" w:hAnsi="Arial" w:cs="Arial"/>
                <w:b/>
                <w:bCs/>
                <w:color w:val="000000"/>
                <w:sz w:val="20"/>
                <w:szCs w:val="20"/>
              </w:rPr>
              <w:t>$</w:t>
            </w:r>
            <w:r w:rsidRPr="00407386">
              <w:rPr>
                <w:rFonts w:ascii="Arial" w:hAnsi="Arial" w:cs="Arial"/>
                <w:b/>
                <w:bCs/>
                <w:color w:val="000000"/>
                <w:sz w:val="20"/>
                <w:szCs w:val="20"/>
                <w:u w:val="double"/>
              </w:rPr>
              <w:t>75</w:t>
            </w:r>
            <w:r>
              <w:rPr>
                <w:rFonts w:ascii="Arial" w:hAnsi="Arial" w:cs="Arial"/>
                <w:b/>
                <w:bCs/>
                <w:color w:val="000000"/>
                <w:sz w:val="20"/>
                <w:szCs w:val="20"/>
                <w:u w:val="double"/>
              </w:rPr>
              <w:t>4</w:t>
            </w:r>
            <w:r w:rsidRPr="00407386">
              <w:rPr>
                <w:rFonts w:ascii="Arial" w:hAnsi="Arial" w:cs="Arial"/>
                <w:b/>
                <w:bCs/>
                <w:color w:val="000000"/>
                <w:sz w:val="20"/>
                <w:szCs w:val="20"/>
                <w:u w:val="double"/>
              </w:rPr>
              <w:t>,</w:t>
            </w:r>
            <w:r>
              <w:rPr>
                <w:rFonts w:ascii="Arial" w:hAnsi="Arial" w:cs="Arial"/>
                <w:b/>
                <w:bCs/>
                <w:color w:val="000000"/>
                <w:sz w:val="20"/>
                <w:szCs w:val="20"/>
                <w:u w:val="double"/>
              </w:rPr>
              <w:t>8</w:t>
            </w:r>
            <w:r w:rsidRPr="00407386">
              <w:rPr>
                <w:rFonts w:ascii="Arial" w:hAnsi="Arial" w:cs="Arial"/>
                <w:b/>
                <w:bCs/>
                <w:color w:val="000000"/>
                <w:sz w:val="20"/>
                <w:szCs w:val="20"/>
                <w:u w:val="double"/>
              </w:rPr>
              <w:t>00</w:t>
            </w:r>
          </w:p>
        </w:tc>
        <w:tc>
          <w:tcPr>
            <w:tcW w:w="832" w:type="pct"/>
            <w:vAlign w:val="center"/>
          </w:tcPr>
          <w:p w14:paraId="74006EC9" w14:textId="35D937EC" w:rsidR="00FB10C0" w:rsidRPr="00240D2A" w:rsidRDefault="00FB10C0" w:rsidP="00FB10C0">
            <w:pPr>
              <w:keepNext/>
              <w:jc w:val="right"/>
              <w:rPr>
                <w:rFonts w:ascii="Arial" w:hAnsi="Arial" w:cs="Arial"/>
                <w:b/>
                <w:bCs/>
                <w:color w:val="000000"/>
                <w:sz w:val="20"/>
                <w:szCs w:val="20"/>
              </w:rPr>
            </w:pPr>
          </w:p>
        </w:tc>
      </w:tr>
      <w:tr w:rsidR="00FB10C0" w:rsidRPr="00240D2A" w14:paraId="646081DA" w14:textId="77777777" w:rsidTr="007D5383">
        <w:trPr>
          <w:trHeight w:val="80"/>
        </w:trPr>
        <w:tc>
          <w:tcPr>
            <w:tcW w:w="1668" w:type="pct"/>
            <w:vAlign w:val="center"/>
          </w:tcPr>
          <w:p w14:paraId="54B5A22E" w14:textId="77777777" w:rsidR="00FB10C0" w:rsidRPr="00240D2A" w:rsidRDefault="00FB10C0" w:rsidP="00FB10C0">
            <w:pPr>
              <w:jc w:val="right"/>
              <w:rPr>
                <w:rFonts w:ascii="Arial" w:hAnsi="Arial" w:cs="Arial"/>
                <w:b/>
                <w:bCs/>
                <w:sz w:val="20"/>
                <w:szCs w:val="20"/>
              </w:rPr>
            </w:pPr>
          </w:p>
        </w:tc>
        <w:tc>
          <w:tcPr>
            <w:tcW w:w="833" w:type="pct"/>
            <w:vAlign w:val="center"/>
          </w:tcPr>
          <w:p w14:paraId="571BB28D" w14:textId="77777777" w:rsidR="00FB10C0" w:rsidRPr="00411E36" w:rsidRDefault="00FB10C0" w:rsidP="00FB10C0">
            <w:pPr>
              <w:jc w:val="right"/>
              <w:rPr>
                <w:rFonts w:ascii="Arial" w:hAnsi="Arial" w:cs="Arial"/>
                <w:b/>
                <w:bCs/>
                <w:color w:val="000000"/>
                <w:sz w:val="20"/>
                <w:szCs w:val="20"/>
                <w:u w:val="double"/>
              </w:rPr>
            </w:pPr>
          </w:p>
        </w:tc>
        <w:tc>
          <w:tcPr>
            <w:tcW w:w="833" w:type="pct"/>
            <w:vAlign w:val="center"/>
          </w:tcPr>
          <w:p w14:paraId="5C9D9E04" w14:textId="77777777" w:rsidR="00FB10C0" w:rsidRPr="00411E36" w:rsidRDefault="00FB10C0" w:rsidP="00FB10C0">
            <w:pPr>
              <w:jc w:val="right"/>
              <w:rPr>
                <w:rFonts w:ascii="Arial" w:hAnsi="Arial" w:cs="Arial"/>
                <w:b/>
                <w:bCs/>
                <w:color w:val="000000"/>
                <w:sz w:val="20"/>
                <w:szCs w:val="20"/>
                <w:u w:val="double"/>
              </w:rPr>
            </w:pPr>
          </w:p>
        </w:tc>
        <w:tc>
          <w:tcPr>
            <w:tcW w:w="833" w:type="pct"/>
            <w:vAlign w:val="center"/>
          </w:tcPr>
          <w:p w14:paraId="25C3F4A5" w14:textId="77777777" w:rsidR="00FB10C0" w:rsidRPr="00411E36" w:rsidRDefault="00FB10C0" w:rsidP="00FB10C0">
            <w:pPr>
              <w:jc w:val="right"/>
              <w:rPr>
                <w:rFonts w:ascii="Arial" w:hAnsi="Arial" w:cs="Arial"/>
                <w:b/>
                <w:bCs/>
                <w:color w:val="000000"/>
                <w:sz w:val="20"/>
                <w:szCs w:val="20"/>
                <w:u w:val="double"/>
              </w:rPr>
            </w:pPr>
          </w:p>
        </w:tc>
        <w:tc>
          <w:tcPr>
            <w:tcW w:w="832" w:type="pct"/>
            <w:vAlign w:val="center"/>
          </w:tcPr>
          <w:p w14:paraId="698D14B6" w14:textId="77777777" w:rsidR="00FB10C0" w:rsidRDefault="00FB10C0" w:rsidP="00FB10C0">
            <w:pPr>
              <w:jc w:val="right"/>
              <w:rPr>
                <w:rFonts w:ascii="Arial" w:hAnsi="Arial" w:cs="Arial"/>
                <w:b/>
                <w:bCs/>
                <w:color w:val="000000"/>
                <w:sz w:val="20"/>
                <w:szCs w:val="20"/>
              </w:rPr>
            </w:pPr>
          </w:p>
        </w:tc>
      </w:tr>
    </w:tbl>
    <w:p w14:paraId="0BD8F39D" w14:textId="77777777" w:rsidR="00E90751" w:rsidRDefault="00E90751" w:rsidP="00DA52EA">
      <w:pPr>
        <w:rPr>
          <w:rFonts w:ascii="Arial" w:hAnsi="Arial" w:cs="Arial"/>
          <w:b/>
          <w:bCs/>
        </w:rPr>
      </w:pPr>
    </w:p>
    <w:p w14:paraId="49DFDEBA" w14:textId="28094132" w:rsidR="00F26A28" w:rsidRPr="004674E6" w:rsidRDefault="00177791" w:rsidP="00DA52EA">
      <w:pPr>
        <w:rPr>
          <w:rFonts w:ascii="Arial" w:hAnsi="Arial" w:cs="Arial"/>
          <w:b/>
          <w:bCs/>
        </w:rPr>
      </w:pPr>
      <w:r w:rsidRPr="004674E6">
        <w:rPr>
          <w:rFonts w:ascii="Arial" w:hAnsi="Arial" w:cs="Arial"/>
          <w:b/>
          <w:bCs/>
        </w:rPr>
        <w:t>Profile of Cases Managed and/or Key Services Provided</w:t>
      </w:r>
    </w:p>
    <w:tbl>
      <w:tblPr>
        <w:tblW w:w="10075" w:type="dxa"/>
        <w:tblInd w:w="29" w:type="dxa"/>
        <w:tblLayout w:type="fixed"/>
        <w:tblLook w:val="0000" w:firstRow="0" w:lastRow="0" w:firstColumn="0" w:lastColumn="0" w:noHBand="0" w:noVBand="0"/>
      </w:tblPr>
      <w:tblGrid>
        <w:gridCol w:w="3420"/>
        <w:gridCol w:w="1728"/>
        <w:gridCol w:w="1710"/>
        <w:gridCol w:w="1710"/>
        <w:gridCol w:w="1507"/>
      </w:tblGrid>
      <w:tr w:rsidR="009A2988" w:rsidRPr="004674E6" w14:paraId="20634CFF" w14:textId="77777777" w:rsidTr="009A2988">
        <w:trPr>
          <w:trHeight w:val="440"/>
        </w:trPr>
        <w:tc>
          <w:tcPr>
            <w:tcW w:w="3420" w:type="dxa"/>
            <w:tcBorders>
              <w:top w:val="single" w:sz="4" w:space="0" w:color="auto"/>
              <w:left w:val="single" w:sz="4" w:space="0" w:color="auto"/>
              <w:right w:val="single" w:sz="4" w:space="0" w:color="auto"/>
            </w:tcBorders>
            <w:shd w:val="clear" w:color="auto" w:fill="000080"/>
            <w:vAlign w:val="bottom"/>
          </w:tcPr>
          <w:p w14:paraId="210D28F3" w14:textId="77777777" w:rsidR="009A2988" w:rsidRPr="004674E6" w:rsidRDefault="009A2988" w:rsidP="009A2988">
            <w:pPr>
              <w:jc w:val="center"/>
              <w:rPr>
                <w:rFonts w:ascii="Arial" w:hAnsi="Arial" w:cs="Arial"/>
                <w:b/>
                <w:bCs/>
                <w:color w:val="FFFFFF"/>
                <w:sz w:val="20"/>
                <w:szCs w:val="20"/>
              </w:rPr>
            </w:pPr>
            <w:r w:rsidRPr="004674E6">
              <w:rPr>
                <w:rFonts w:ascii="Arial" w:hAnsi="Arial" w:cs="Arial"/>
                <w:b/>
                <w:bCs/>
                <w:color w:val="FFFFFF"/>
                <w:sz w:val="20"/>
                <w:szCs w:val="20"/>
              </w:rPr>
              <w:t>Cases Managed and/or Key Services Provided</w:t>
            </w:r>
          </w:p>
        </w:tc>
        <w:tc>
          <w:tcPr>
            <w:tcW w:w="1728" w:type="dxa"/>
            <w:shd w:val="clear" w:color="auto" w:fill="000080"/>
            <w:vAlign w:val="center"/>
          </w:tcPr>
          <w:p w14:paraId="10E8B27E" w14:textId="13B20E5B" w:rsidR="009A2988" w:rsidRPr="004674E6" w:rsidRDefault="00FB10C0" w:rsidP="009A2988">
            <w:pPr>
              <w:jc w:val="center"/>
              <w:rPr>
                <w:rFonts w:ascii="Arial" w:hAnsi="Arial" w:cs="Arial"/>
                <w:b/>
                <w:bCs/>
                <w:color w:val="FFFFFF"/>
                <w:sz w:val="20"/>
                <w:szCs w:val="20"/>
              </w:rPr>
            </w:pPr>
            <w:r>
              <w:rPr>
                <w:rFonts w:ascii="Arial" w:hAnsi="Arial" w:cs="Arial"/>
                <w:b/>
                <w:bCs/>
                <w:color w:val="FFFFFF"/>
                <w:sz w:val="20"/>
                <w:szCs w:val="20"/>
              </w:rPr>
              <w:t>FY 2019</w:t>
            </w:r>
          </w:p>
        </w:tc>
        <w:tc>
          <w:tcPr>
            <w:tcW w:w="1710" w:type="dxa"/>
            <w:shd w:val="clear" w:color="auto" w:fill="000080"/>
            <w:vAlign w:val="center"/>
          </w:tcPr>
          <w:p w14:paraId="4A1458CD" w14:textId="41AD045A" w:rsidR="009A2988" w:rsidRPr="004674E6" w:rsidRDefault="00FB10C0" w:rsidP="009A2988">
            <w:pPr>
              <w:jc w:val="center"/>
              <w:rPr>
                <w:rFonts w:ascii="Arial" w:hAnsi="Arial" w:cs="Arial"/>
                <w:b/>
                <w:bCs/>
                <w:color w:val="FFFFFF"/>
                <w:sz w:val="20"/>
                <w:szCs w:val="20"/>
              </w:rPr>
            </w:pPr>
            <w:r>
              <w:rPr>
                <w:rFonts w:ascii="Arial" w:hAnsi="Arial" w:cs="Arial"/>
                <w:b/>
                <w:bCs/>
                <w:color w:val="FFFFFF"/>
                <w:sz w:val="20"/>
                <w:szCs w:val="20"/>
              </w:rPr>
              <w:t>FY 2020</w:t>
            </w:r>
          </w:p>
        </w:tc>
        <w:tc>
          <w:tcPr>
            <w:tcW w:w="1710" w:type="dxa"/>
            <w:shd w:val="clear" w:color="auto" w:fill="000080"/>
            <w:vAlign w:val="center"/>
          </w:tcPr>
          <w:p w14:paraId="099F7FD3" w14:textId="76B0FDDB" w:rsidR="009A2988" w:rsidRPr="004674E6" w:rsidRDefault="00FB10C0" w:rsidP="009A2988">
            <w:pPr>
              <w:jc w:val="center"/>
              <w:rPr>
                <w:rFonts w:ascii="Arial" w:hAnsi="Arial" w:cs="Arial"/>
                <w:b/>
                <w:bCs/>
                <w:color w:val="FFFFFF"/>
                <w:sz w:val="20"/>
                <w:szCs w:val="20"/>
              </w:rPr>
            </w:pPr>
            <w:r>
              <w:rPr>
                <w:rFonts w:ascii="Arial" w:hAnsi="Arial" w:cs="Arial"/>
                <w:b/>
                <w:bCs/>
                <w:color w:val="FFFFFF"/>
                <w:sz w:val="20"/>
                <w:szCs w:val="20"/>
              </w:rPr>
              <w:t>FY 2021</w:t>
            </w:r>
          </w:p>
        </w:tc>
        <w:tc>
          <w:tcPr>
            <w:tcW w:w="1507" w:type="dxa"/>
            <w:shd w:val="clear" w:color="auto" w:fill="000080"/>
            <w:vAlign w:val="center"/>
          </w:tcPr>
          <w:p w14:paraId="46F782D7" w14:textId="6C659B8B" w:rsidR="009A2988" w:rsidRPr="004674E6" w:rsidRDefault="00FB10C0" w:rsidP="009A2988">
            <w:pPr>
              <w:jc w:val="center"/>
              <w:rPr>
                <w:rFonts w:ascii="Arial" w:hAnsi="Arial" w:cs="Arial"/>
                <w:b/>
                <w:bCs/>
                <w:color w:val="FFFFFF"/>
                <w:sz w:val="20"/>
                <w:szCs w:val="20"/>
              </w:rPr>
            </w:pPr>
            <w:r>
              <w:rPr>
                <w:rFonts w:ascii="Arial" w:hAnsi="Arial" w:cs="Arial"/>
                <w:b/>
                <w:bCs/>
                <w:color w:val="FFFFFF"/>
                <w:sz w:val="20"/>
                <w:szCs w:val="20"/>
              </w:rPr>
              <w:t>FY 2022</w:t>
            </w:r>
          </w:p>
        </w:tc>
      </w:tr>
      <w:tr w:rsidR="009A2988" w:rsidRPr="00193A7F" w14:paraId="7E44A259" w14:textId="77777777" w:rsidTr="009A2988">
        <w:trPr>
          <w:trHeight w:val="80"/>
        </w:trPr>
        <w:tc>
          <w:tcPr>
            <w:tcW w:w="10075" w:type="dxa"/>
            <w:gridSpan w:val="5"/>
            <w:tcBorders>
              <w:top w:val="nil"/>
              <w:left w:val="single" w:sz="4" w:space="0" w:color="auto"/>
              <w:bottom w:val="nil"/>
              <w:right w:val="single" w:sz="4" w:space="0" w:color="auto"/>
            </w:tcBorders>
            <w:shd w:val="clear" w:color="auto" w:fill="auto"/>
            <w:vAlign w:val="center"/>
          </w:tcPr>
          <w:p w14:paraId="1C8D92C7" w14:textId="77777777" w:rsidR="009A2988" w:rsidRPr="003A0407" w:rsidRDefault="009A2988" w:rsidP="009A2988">
            <w:pPr>
              <w:rPr>
                <w:rFonts w:ascii="Arial" w:hAnsi="Arial" w:cs="Arial"/>
                <w:sz w:val="20"/>
                <w:szCs w:val="20"/>
              </w:rPr>
            </w:pPr>
            <w:r w:rsidRPr="003A0407">
              <w:rPr>
                <w:rFonts w:ascii="Arial" w:hAnsi="Arial" w:cs="Arial"/>
                <w:b/>
                <w:sz w:val="20"/>
                <w:szCs w:val="20"/>
              </w:rPr>
              <w:t>Key Financial Statistics</w:t>
            </w:r>
          </w:p>
        </w:tc>
      </w:tr>
      <w:tr w:rsidR="00FB10C0" w:rsidRPr="00193A7F" w14:paraId="2C09F787" w14:textId="77777777" w:rsidTr="009A2988">
        <w:trPr>
          <w:trHeight w:val="222"/>
        </w:trPr>
        <w:tc>
          <w:tcPr>
            <w:tcW w:w="3420" w:type="dxa"/>
            <w:tcBorders>
              <w:top w:val="nil"/>
              <w:left w:val="single" w:sz="4" w:space="0" w:color="auto"/>
              <w:bottom w:val="nil"/>
              <w:right w:val="single" w:sz="4" w:space="0" w:color="auto"/>
            </w:tcBorders>
            <w:shd w:val="clear" w:color="auto" w:fill="auto"/>
            <w:vAlign w:val="center"/>
          </w:tcPr>
          <w:p w14:paraId="2A152A2B" w14:textId="77777777" w:rsidR="00FB10C0" w:rsidRPr="003A0407" w:rsidRDefault="00FB10C0" w:rsidP="00FB10C0">
            <w:pPr>
              <w:rPr>
                <w:rFonts w:ascii="Arial" w:hAnsi="Arial" w:cs="Arial"/>
                <w:sz w:val="20"/>
                <w:szCs w:val="20"/>
              </w:rPr>
            </w:pPr>
            <w:r w:rsidRPr="003A0407">
              <w:rPr>
                <w:rFonts w:ascii="Arial" w:hAnsi="Arial" w:cs="Arial"/>
                <w:sz w:val="20"/>
                <w:szCs w:val="20"/>
              </w:rPr>
              <w:t>Receipts from Dept. of Lands (net)</w:t>
            </w:r>
          </w:p>
        </w:tc>
        <w:tc>
          <w:tcPr>
            <w:tcW w:w="1728" w:type="dxa"/>
            <w:tcBorders>
              <w:top w:val="nil"/>
              <w:left w:val="single" w:sz="4" w:space="0" w:color="auto"/>
              <w:bottom w:val="nil"/>
              <w:right w:val="single" w:sz="4" w:space="0" w:color="auto"/>
            </w:tcBorders>
            <w:shd w:val="clear" w:color="auto" w:fill="auto"/>
            <w:vAlign w:val="center"/>
          </w:tcPr>
          <w:p w14:paraId="08FF7496" w14:textId="421D5957" w:rsidR="00FB10C0" w:rsidRPr="003A0407" w:rsidRDefault="00FB10C0" w:rsidP="00FB10C0">
            <w:pPr>
              <w:jc w:val="right"/>
              <w:rPr>
                <w:rFonts w:ascii="Arial" w:hAnsi="Arial" w:cs="Arial"/>
                <w:sz w:val="20"/>
                <w:szCs w:val="20"/>
              </w:rPr>
            </w:pPr>
            <w:r w:rsidRPr="003A0407">
              <w:rPr>
                <w:rFonts w:ascii="Arial" w:hAnsi="Arial" w:cs="Arial"/>
                <w:sz w:val="20"/>
                <w:szCs w:val="20"/>
              </w:rPr>
              <w:t>$42,653,700</w:t>
            </w:r>
          </w:p>
        </w:tc>
        <w:tc>
          <w:tcPr>
            <w:tcW w:w="1710" w:type="dxa"/>
            <w:tcBorders>
              <w:top w:val="nil"/>
              <w:left w:val="single" w:sz="4" w:space="0" w:color="auto"/>
              <w:bottom w:val="nil"/>
              <w:right w:val="single" w:sz="4" w:space="0" w:color="auto"/>
            </w:tcBorders>
            <w:shd w:val="clear" w:color="auto" w:fill="auto"/>
            <w:vAlign w:val="center"/>
          </w:tcPr>
          <w:p w14:paraId="4B28647A" w14:textId="7AF93478" w:rsidR="00FB10C0" w:rsidRPr="003A0407" w:rsidRDefault="00FB10C0" w:rsidP="00FB10C0">
            <w:pPr>
              <w:jc w:val="right"/>
              <w:rPr>
                <w:rFonts w:ascii="Arial" w:hAnsi="Arial" w:cs="Arial"/>
                <w:sz w:val="20"/>
                <w:szCs w:val="20"/>
              </w:rPr>
            </w:pPr>
            <w:r w:rsidRPr="003A0407">
              <w:rPr>
                <w:rFonts w:ascii="Arial" w:hAnsi="Arial" w:cs="Arial"/>
                <w:sz w:val="20"/>
                <w:szCs w:val="20"/>
              </w:rPr>
              <w:t>$50,523,800</w:t>
            </w:r>
          </w:p>
        </w:tc>
        <w:tc>
          <w:tcPr>
            <w:tcW w:w="1710" w:type="dxa"/>
            <w:tcBorders>
              <w:top w:val="nil"/>
              <w:left w:val="single" w:sz="4" w:space="0" w:color="auto"/>
              <w:bottom w:val="nil"/>
              <w:right w:val="single" w:sz="4" w:space="0" w:color="auto"/>
            </w:tcBorders>
            <w:shd w:val="clear" w:color="auto" w:fill="auto"/>
            <w:vAlign w:val="center"/>
          </w:tcPr>
          <w:p w14:paraId="67A368D2" w14:textId="455EE5F1" w:rsidR="00FB10C0" w:rsidRPr="003A0407" w:rsidRDefault="00FB10C0" w:rsidP="00FB10C0">
            <w:pPr>
              <w:jc w:val="right"/>
              <w:rPr>
                <w:rFonts w:ascii="Arial" w:hAnsi="Arial" w:cs="Arial"/>
                <w:sz w:val="20"/>
                <w:szCs w:val="20"/>
              </w:rPr>
            </w:pPr>
            <w:r w:rsidRPr="003A0407">
              <w:rPr>
                <w:rFonts w:ascii="Arial" w:hAnsi="Arial" w:cs="Arial"/>
                <w:sz w:val="20"/>
                <w:szCs w:val="20"/>
              </w:rPr>
              <w:t>$93,977,400</w:t>
            </w:r>
          </w:p>
        </w:tc>
        <w:tc>
          <w:tcPr>
            <w:tcW w:w="1507" w:type="dxa"/>
            <w:tcBorders>
              <w:top w:val="nil"/>
              <w:left w:val="single" w:sz="4" w:space="0" w:color="auto"/>
              <w:bottom w:val="nil"/>
              <w:right w:val="single" w:sz="4" w:space="0" w:color="auto"/>
            </w:tcBorders>
            <w:shd w:val="clear" w:color="auto" w:fill="auto"/>
            <w:vAlign w:val="center"/>
          </w:tcPr>
          <w:p w14:paraId="02F92B97" w14:textId="7E2B9777" w:rsidR="00FB10C0" w:rsidRPr="003A0407" w:rsidRDefault="00FB10C0" w:rsidP="00FB10C0">
            <w:pPr>
              <w:jc w:val="right"/>
              <w:rPr>
                <w:rFonts w:ascii="Arial" w:hAnsi="Arial" w:cs="Arial"/>
                <w:sz w:val="20"/>
                <w:szCs w:val="20"/>
              </w:rPr>
            </w:pPr>
          </w:p>
        </w:tc>
      </w:tr>
      <w:tr w:rsidR="00FB10C0" w:rsidRPr="00193A7F" w14:paraId="15162A7B" w14:textId="77777777" w:rsidTr="009A2988">
        <w:trPr>
          <w:trHeight w:val="80"/>
        </w:trPr>
        <w:tc>
          <w:tcPr>
            <w:tcW w:w="3420" w:type="dxa"/>
            <w:tcBorders>
              <w:top w:val="nil"/>
              <w:left w:val="single" w:sz="4" w:space="0" w:color="auto"/>
              <w:bottom w:val="nil"/>
              <w:right w:val="single" w:sz="4" w:space="0" w:color="auto"/>
            </w:tcBorders>
            <w:shd w:val="clear" w:color="auto" w:fill="auto"/>
            <w:vAlign w:val="center"/>
          </w:tcPr>
          <w:p w14:paraId="1569CE50" w14:textId="77777777" w:rsidR="00FB10C0" w:rsidRPr="003A0407" w:rsidRDefault="00FB10C0" w:rsidP="00FB10C0">
            <w:pPr>
              <w:rPr>
                <w:rFonts w:ascii="Arial" w:hAnsi="Arial" w:cs="Arial"/>
                <w:sz w:val="20"/>
                <w:szCs w:val="20"/>
              </w:rPr>
            </w:pPr>
            <w:r w:rsidRPr="003A0407">
              <w:rPr>
                <w:rFonts w:ascii="Arial" w:hAnsi="Arial" w:cs="Arial"/>
                <w:sz w:val="20"/>
                <w:szCs w:val="20"/>
              </w:rPr>
              <w:t>Total return from investments (net)</w:t>
            </w:r>
          </w:p>
        </w:tc>
        <w:tc>
          <w:tcPr>
            <w:tcW w:w="1728" w:type="dxa"/>
            <w:tcBorders>
              <w:top w:val="nil"/>
              <w:left w:val="single" w:sz="4" w:space="0" w:color="auto"/>
              <w:bottom w:val="nil"/>
              <w:right w:val="single" w:sz="4" w:space="0" w:color="auto"/>
            </w:tcBorders>
            <w:shd w:val="clear" w:color="auto" w:fill="auto"/>
            <w:vAlign w:val="center"/>
          </w:tcPr>
          <w:p w14:paraId="171C9C7F" w14:textId="64A81C40" w:rsidR="00FB10C0" w:rsidRPr="003A0407" w:rsidRDefault="00FB10C0" w:rsidP="00FB10C0">
            <w:pPr>
              <w:jc w:val="right"/>
              <w:rPr>
                <w:rFonts w:ascii="Arial" w:hAnsi="Arial" w:cs="Arial"/>
                <w:sz w:val="20"/>
                <w:szCs w:val="20"/>
              </w:rPr>
            </w:pPr>
            <w:r w:rsidRPr="003A0407">
              <w:rPr>
                <w:rFonts w:ascii="Arial" w:hAnsi="Arial" w:cs="Arial"/>
                <w:sz w:val="20"/>
                <w:szCs w:val="20"/>
              </w:rPr>
              <w:t>158,309,200</w:t>
            </w:r>
          </w:p>
        </w:tc>
        <w:tc>
          <w:tcPr>
            <w:tcW w:w="1710" w:type="dxa"/>
            <w:tcBorders>
              <w:top w:val="nil"/>
              <w:left w:val="single" w:sz="4" w:space="0" w:color="auto"/>
              <w:bottom w:val="nil"/>
              <w:right w:val="single" w:sz="4" w:space="0" w:color="auto"/>
            </w:tcBorders>
            <w:shd w:val="clear" w:color="auto" w:fill="auto"/>
            <w:vAlign w:val="center"/>
          </w:tcPr>
          <w:p w14:paraId="3FAC67EA" w14:textId="2050AAF4" w:rsidR="00FB10C0" w:rsidRPr="003A0407" w:rsidRDefault="00FB10C0" w:rsidP="00FB10C0">
            <w:pPr>
              <w:jc w:val="right"/>
              <w:rPr>
                <w:rFonts w:ascii="Arial" w:hAnsi="Arial" w:cs="Arial"/>
                <w:sz w:val="20"/>
                <w:szCs w:val="20"/>
              </w:rPr>
            </w:pPr>
            <w:r w:rsidRPr="003A0407">
              <w:rPr>
                <w:rFonts w:ascii="Arial" w:hAnsi="Arial" w:cs="Arial"/>
                <w:sz w:val="20"/>
                <w:szCs w:val="20"/>
              </w:rPr>
              <w:t>102,944,500</w:t>
            </w:r>
          </w:p>
        </w:tc>
        <w:tc>
          <w:tcPr>
            <w:tcW w:w="1710" w:type="dxa"/>
            <w:tcBorders>
              <w:top w:val="nil"/>
              <w:left w:val="single" w:sz="4" w:space="0" w:color="auto"/>
              <w:bottom w:val="nil"/>
              <w:right w:val="single" w:sz="4" w:space="0" w:color="auto"/>
            </w:tcBorders>
            <w:shd w:val="clear" w:color="auto" w:fill="auto"/>
            <w:vAlign w:val="center"/>
          </w:tcPr>
          <w:p w14:paraId="541B4330" w14:textId="51BB151A" w:rsidR="00FB10C0" w:rsidRPr="003A0407" w:rsidRDefault="00FB10C0" w:rsidP="00FB10C0">
            <w:pPr>
              <w:jc w:val="right"/>
              <w:rPr>
                <w:rFonts w:ascii="Arial" w:hAnsi="Arial" w:cs="Arial"/>
                <w:sz w:val="20"/>
                <w:szCs w:val="20"/>
              </w:rPr>
            </w:pPr>
            <w:r w:rsidRPr="003A0407">
              <w:rPr>
                <w:rFonts w:ascii="Arial" w:hAnsi="Arial" w:cs="Arial"/>
                <w:sz w:val="20"/>
                <w:szCs w:val="20"/>
              </w:rPr>
              <w:t>704,553,600</w:t>
            </w:r>
          </w:p>
        </w:tc>
        <w:tc>
          <w:tcPr>
            <w:tcW w:w="1507" w:type="dxa"/>
            <w:tcBorders>
              <w:top w:val="nil"/>
              <w:left w:val="single" w:sz="4" w:space="0" w:color="auto"/>
              <w:bottom w:val="nil"/>
              <w:right w:val="single" w:sz="4" w:space="0" w:color="auto"/>
            </w:tcBorders>
            <w:shd w:val="clear" w:color="auto" w:fill="auto"/>
            <w:vAlign w:val="center"/>
          </w:tcPr>
          <w:p w14:paraId="34ED77B5" w14:textId="7251A35E" w:rsidR="00FB10C0" w:rsidRPr="003A0407" w:rsidRDefault="00FB10C0" w:rsidP="00FB10C0">
            <w:pPr>
              <w:jc w:val="right"/>
              <w:rPr>
                <w:rFonts w:ascii="Arial" w:hAnsi="Arial" w:cs="Arial"/>
                <w:sz w:val="20"/>
                <w:szCs w:val="20"/>
              </w:rPr>
            </w:pPr>
          </w:p>
        </w:tc>
      </w:tr>
      <w:tr w:rsidR="00FB10C0" w:rsidRPr="00193A7F" w14:paraId="50C0563D" w14:textId="77777777" w:rsidTr="009A2988">
        <w:trPr>
          <w:trHeight w:val="80"/>
        </w:trPr>
        <w:tc>
          <w:tcPr>
            <w:tcW w:w="3420" w:type="dxa"/>
            <w:tcBorders>
              <w:top w:val="nil"/>
              <w:left w:val="single" w:sz="4" w:space="0" w:color="auto"/>
              <w:bottom w:val="nil"/>
              <w:right w:val="single" w:sz="4" w:space="0" w:color="auto"/>
            </w:tcBorders>
            <w:shd w:val="clear" w:color="auto" w:fill="auto"/>
            <w:vAlign w:val="center"/>
          </w:tcPr>
          <w:p w14:paraId="0E686E5A" w14:textId="77777777" w:rsidR="00FB10C0" w:rsidRPr="003A0407" w:rsidRDefault="00FB10C0" w:rsidP="00FB10C0">
            <w:pPr>
              <w:rPr>
                <w:rFonts w:ascii="Arial" w:hAnsi="Arial" w:cs="Arial"/>
                <w:sz w:val="20"/>
                <w:szCs w:val="20"/>
              </w:rPr>
            </w:pPr>
            <w:r w:rsidRPr="003A0407">
              <w:rPr>
                <w:rFonts w:ascii="Arial" w:hAnsi="Arial" w:cs="Arial"/>
                <w:sz w:val="20"/>
                <w:szCs w:val="20"/>
              </w:rPr>
              <w:t>Less: Distributions to Beneficiaries</w:t>
            </w:r>
          </w:p>
        </w:tc>
        <w:tc>
          <w:tcPr>
            <w:tcW w:w="1728" w:type="dxa"/>
            <w:tcBorders>
              <w:top w:val="nil"/>
              <w:left w:val="single" w:sz="4" w:space="0" w:color="auto"/>
              <w:bottom w:val="nil"/>
              <w:right w:val="single" w:sz="4" w:space="0" w:color="auto"/>
            </w:tcBorders>
            <w:shd w:val="clear" w:color="auto" w:fill="auto"/>
            <w:vAlign w:val="center"/>
          </w:tcPr>
          <w:p w14:paraId="575E38FA" w14:textId="112564B5" w:rsidR="00FB10C0" w:rsidRPr="003A0407" w:rsidRDefault="00FB10C0" w:rsidP="00FB10C0">
            <w:pPr>
              <w:jc w:val="right"/>
              <w:rPr>
                <w:rFonts w:ascii="Arial" w:hAnsi="Arial" w:cs="Arial"/>
                <w:sz w:val="20"/>
                <w:szCs w:val="20"/>
                <w:u w:val="single"/>
              </w:rPr>
            </w:pPr>
            <w:r w:rsidRPr="003A0407">
              <w:rPr>
                <w:rFonts w:ascii="Arial" w:hAnsi="Arial" w:cs="Arial"/>
                <w:sz w:val="20"/>
                <w:szCs w:val="20"/>
                <w:u w:val="single"/>
              </w:rPr>
              <w:t>(78,456,400</w:t>
            </w:r>
            <w:r w:rsidRPr="003A0407">
              <w:rPr>
                <w:rFonts w:ascii="Arial" w:hAnsi="Arial" w:cs="Arial"/>
                <w:sz w:val="20"/>
                <w:szCs w:val="20"/>
              </w:rPr>
              <w:t>)</w:t>
            </w:r>
          </w:p>
        </w:tc>
        <w:tc>
          <w:tcPr>
            <w:tcW w:w="1710" w:type="dxa"/>
            <w:tcBorders>
              <w:top w:val="nil"/>
              <w:left w:val="single" w:sz="4" w:space="0" w:color="auto"/>
              <w:bottom w:val="nil"/>
              <w:right w:val="single" w:sz="4" w:space="0" w:color="auto"/>
            </w:tcBorders>
            <w:shd w:val="clear" w:color="auto" w:fill="auto"/>
            <w:vAlign w:val="center"/>
          </w:tcPr>
          <w:p w14:paraId="54BCB732" w14:textId="62953A8F" w:rsidR="00FB10C0" w:rsidRPr="003A0407" w:rsidRDefault="00FB10C0" w:rsidP="00FB10C0">
            <w:pPr>
              <w:jc w:val="right"/>
              <w:rPr>
                <w:rFonts w:ascii="Arial" w:hAnsi="Arial" w:cs="Arial"/>
                <w:sz w:val="20"/>
                <w:szCs w:val="20"/>
                <w:u w:val="single"/>
              </w:rPr>
            </w:pPr>
            <w:r w:rsidRPr="003A0407">
              <w:rPr>
                <w:rFonts w:ascii="Arial" w:hAnsi="Arial" w:cs="Arial"/>
                <w:sz w:val="20"/>
                <w:szCs w:val="20"/>
                <w:u w:val="single"/>
              </w:rPr>
              <w:t>(81,243,000)</w:t>
            </w:r>
          </w:p>
        </w:tc>
        <w:tc>
          <w:tcPr>
            <w:tcW w:w="1710" w:type="dxa"/>
            <w:tcBorders>
              <w:top w:val="nil"/>
              <w:left w:val="single" w:sz="4" w:space="0" w:color="auto"/>
              <w:bottom w:val="nil"/>
              <w:right w:val="single" w:sz="4" w:space="0" w:color="auto"/>
            </w:tcBorders>
            <w:shd w:val="clear" w:color="auto" w:fill="auto"/>
            <w:vAlign w:val="center"/>
          </w:tcPr>
          <w:p w14:paraId="66CCD3FA" w14:textId="11F472BE" w:rsidR="00FB10C0" w:rsidRPr="003A0407" w:rsidRDefault="00FB10C0" w:rsidP="00FB10C0">
            <w:pPr>
              <w:jc w:val="right"/>
              <w:rPr>
                <w:rFonts w:ascii="Arial" w:hAnsi="Arial" w:cs="Arial"/>
                <w:sz w:val="20"/>
                <w:szCs w:val="20"/>
                <w:u w:val="single"/>
              </w:rPr>
            </w:pPr>
            <w:r w:rsidRPr="003A0407">
              <w:rPr>
                <w:rFonts w:ascii="Arial" w:hAnsi="Arial" w:cs="Arial"/>
                <w:sz w:val="20"/>
                <w:szCs w:val="20"/>
                <w:u w:val="single"/>
              </w:rPr>
              <w:t>(86,970,800)</w:t>
            </w:r>
          </w:p>
        </w:tc>
        <w:tc>
          <w:tcPr>
            <w:tcW w:w="1507" w:type="dxa"/>
            <w:tcBorders>
              <w:top w:val="nil"/>
              <w:left w:val="single" w:sz="4" w:space="0" w:color="auto"/>
              <w:bottom w:val="nil"/>
              <w:right w:val="single" w:sz="4" w:space="0" w:color="auto"/>
            </w:tcBorders>
            <w:shd w:val="clear" w:color="auto" w:fill="auto"/>
            <w:vAlign w:val="center"/>
          </w:tcPr>
          <w:p w14:paraId="5AECFD5A" w14:textId="3D65A3B9" w:rsidR="00FB10C0" w:rsidRPr="003A0407" w:rsidRDefault="00FB10C0" w:rsidP="00FB10C0">
            <w:pPr>
              <w:jc w:val="right"/>
              <w:rPr>
                <w:rFonts w:ascii="Arial" w:hAnsi="Arial" w:cs="Arial"/>
                <w:sz w:val="20"/>
                <w:szCs w:val="20"/>
                <w:u w:val="single"/>
              </w:rPr>
            </w:pPr>
          </w:p>
        </w:tc>
      </w:tr>
      <w:tr w:rsidR="00FB10C0" w:rsidRPr="00593857" w14:paraId="1DF4FB6D" w14:textId="77777777" w:rsidTr="009A2988">
        <w:trPr>
          <w:trHeight w:val="360"/>
        </w:trPr>
        <w:tc>
          <w:tcPr>
            <w:tcW w:w="3420" w:type="dxa"/>
            <w:tcBorders>
              <w:top w:val="nil"/>
              <w:left w:val="single" w:sz="4" w:space="0" w:color="auto"/>
              <w:bottom w:val="single" w:sz="4" w:space="0" w:color="000000"/>
              <w:right w:val="single" w:sz="4" w:space="0" w:color="auto"/>
            </w:tcBorders>
            <w:shd w:val="clear" w:color="auto" w:fill="auto"/>
            <w:vAlign w:val="center"/>
          </w:tcPr>
          <w:p w14:paraId="7DB93541" w14:textId="77777777" w:rsidR="00FB10C0" w:rsidRPr="003A0407" w:rsidRDefault="00FB10C0" w:rsidP="00FB10C0">
            <w:pPr>
              <w:rPr>
                <w:rFonts w:ascii="Arial" w:hAnsi="Arial" w:cs="Arial"/>
                <w:b/>
                <w:sz w:val="20"/>
                <w:szCs w:val="20"/>
              </w:rPr>
            </w:pPr>
            <w:r w:rsidRPr="003A0407">
              <w:rPr>
                <w:rFonts w:ascii="Arial" w:hAnsi="Arial" w:cs="Arial"/>
                <w:b/>
                <w:sz w:val="20"/>
                <w:szCs w:val="20"/>
              </w:rPr>
              <w:t xml:space="preserve">Net Earnings </w:t>
            </w:r>
          </w:p>
        </w:tc>
        <w:tc>
          <w:tcPr>
            <w:tcW w:w="1728" w:type="dxa"/>
            <w:tcBorders>
              <w:top w:val="nil"/>
              <w:left w:val="single" w:sz="4" w:space="0" w:color="auto"/>
              <w:bottom w:val="single" w:sz="4" w:space="0" w:color="auto"/>
              <w:right w:val="single" w:sz="4" w:space="0" w:color="auto"/>
            </w:tcBorders>
            <w:shd w:val="clear" w:color="auto" w:fill="auto"/>
            <w:vAlign w:val="center"/>
          </w:tcPr>
          <w:p w14:paraId="453CE950" w14:textId="69E2A0FD" w:rsidR="00FB10C0" w:rsidRPr="003A0407" w:rsidRDefault="00FB10C0" w:rsidP="00FB10C0">
            <w:pPr>
              <w:jc w:val="right"/>
              <w:rPr>
                <w:rFonts w:ascii="Arial" w:hAnsi="Arial" w:cs="Arial"/>
                <w:b/>
                <w:sz w:val="20"/>
                <w:szCs w:val="20"/>
              </w:rPr>
            </w:pPr>
            <w:r w:rsidRPr="003A0407">
              <w:rPr>
                <w:rFonts w:ascii="Arial" w:hAnsi="Arial" w:cs="Arial"/>
                <w:b/>
                <w:sz w:val="20"/>
                <w:szCs w:val="20"/>
              </w:rPr>
              <w:t>$122,506,500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CCF6EB7" w14:textId="3646EC11" w:rsidR="00FB10C0" w:rsidRPr="003A0407" w:rsidRDefault="00FB10C0" w:rsidP="00FB10C0">
            <w:pPr>
              <w:jc w:val="right"/>
              <w:rPr>
                <w:rFonts w:ascii="Arial" w:hAnsi="Arial" w:cs="Arial"/>
                <w:b/>
                <w:sz w:val="20"/>
                <w:szCs w:val="20"/>
              </w:rPr>
            </w:pPr>
            <w:r w:rsidRPr="003A0407">
              <w:rPr>
                <w:rFonts w:ascii="Arial" w:hAnsi="Arial" w:cs="Arial"/>
                <w:b/>
                <w:sz w:val="20"/>
                <w:szCs w:val="20"/>
              </w:rPr>
              <w:t>$72,225,300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CD7355A" w14:textId="59DB2011" w:rsidR="00FB10C0" w:rsidRPr="003A0407" w:rsidRDefault="00FB10C0" w:rsidP="00FB10C0">
            <w:pPr>
              <w:jc w:val="right"/>
              <w:rPr>
                <w:rFonts w:ascii="Arial" w:hAnsi="Arial" w:cs="Arial"/>
                <w:b/>
                <w:sz w:val="20"/>
                <w:szCs w:val="20"/>
              </w:rPr>
            </w:pPr>
            <w:r w:rsidRPr="003A0407">
              <w:rPr>
                <w:rFonts w:ascii="Arial" w:hAnsi="Arial" w:cs="Arial"/>
                <w:b/>
                <w:sz w:val="20"/>
                <w:szCs w:val="20"/>
              </w:rPr>
              <w:t>$711,560,200</w:t>
            </w:r>
          </w:p>
        </w:tc>
        <w:tc>
          <w:tcPr>
            <w:tcW w:w="1507" w:type="dxa"/>
            <w:tcBorders>
              <w:top w:val="nil"/>
              <w:left w:val="single" w:sz="4" w:space="0" w:color="auto"/>
              <w:bottom w:val="single" w:sz="4" w:space="0" w:color="auto"/>
              <w:right w:val="single" w:sz="4" w:space="0" w:color="auto"/>
            </w:tcBorders>
            <w:shd w:val="clear" w:color="auto" w:fill="auto"/>
            <w:vAlign w:val="center"/>
          </w:tcPr>
          <w:p w14:paraId="7726937C" w14:textId="34445DD1" w:rsidR="00FB10C0" w:rsidRPr="003A0407" w:rsidRDefault="00FB10C0" w:rsidP="00FB10C0">
            <w:pPr>
              <w:jc w:val="right"/>
              <w:rPr>
                <w:rFonts w:ascii="Arial" w:hAnsi="Arial" w:cs="Arial"/>
                <w:b/>
                <w:sz w:val="20"/>
                <w:szCs w:val="20"/>
              </w:rPr>
            </w:pPr>
          </w:p>
        </w:tc>
      </w:tr>
      <w:tr w:rsidR="00FB10C0" w:rsidRPr="00193A7F" w14:paraId="70234E53" w14:textId="77777777" w:rsidTr="009C6144">
        <w:trPr>
          <w:trHeight w:val="70"/>
        </w:trPr>
        <w:tc>
          <w:tcPr>
            <w:tcW w:w="10075" w:type="dxa"/>
            <w:gridSpan w:val="5"/>
            <w:tcBorders>
              <w:top w:val="nil"/>
              <w:left w:val="single" w:sz="4" w:space="0" w:color="auto"/>
              <w:bottom w:val="nil"/>
              <w:right w:val="single" w:sz="4" w:space="0" w:color="auto"/>
            </w:tcBorders>
            <w:vAlign w:val="center"/>
          </w:tcPr>
          <w:p w14:paraId="5A5E5658" w14:textId="77777777" w:rsidR="00FB10C0" w:rsidRPr="003A0407" w:rsidRDefault="00FB10C0" w:rsidP="00FB10C0">
            <w:pPr>
              <w:rPr>
                <w:rFonts w:ascii="Arial" w:hAnsi="Arial" w:cs="Arial"/>
                <w:sz w:val="20"/>
                <w:szCs w:val="20"/>
              </w:rPr>
            </w:pPr>
            <w:r w:rsidRPr="003A0407">
              <w:rPr>
                <w:rFonts w:ascii="Arial" w:hAnsi="Arial" w:cs="Arial"/>
                <w:b/>
                <w:sz w:val="20"/>
                <w:szCs w:val="20"/>
              </w:rPr>
              <w:t>Total Market Value of Investments</w:t>
            </w:r>
          </w:p>
        </w:tc>
      </w:tr>
      <w:tr w:rsidR="00FB10C0" w:rsidRPr="00193A7F" w14:paraId="66D66044" w14:textId="77777777" w:rsidTr="009C6144">
        <w:trPr>
          <w:trHeight w:val="285"/>
        </w:trPr>
        <w:tc>
          <w:tcPr>
            <w:tcW w:w="3420" w:type="dxa"/>
            <w:tcBorders>
              <w:top w:val="nil"/>
              <w:left w:val="single" w:sz="4" w:space="0" w:color="auto"/>
              <w:bottom w:val="nil"/>
              <w:right w:val="single" w:sz="4" w:space="0" w:color="auto"/>
            </w:tcBorders>
            <w:vAlign w:val="center"/>
          </w:tcPr>
          <w:p w14:paraId="1580B69F" w14:textId="77777777" w:rsidR="00FB10C0" w:rsidRPr="003A0407" w:rsidRDefault="00FB10C0" w:rsidP="00FB10C0">
            <w:pPr>
              <w:rPr>
                <w:rFonts w:ascii="Arial" w:hAnsi="Arial" w:cs="Arial"/>
                <w:sz w:val="20"/>
                <w:szCs w:val="20"/>
              </w:rPr>
            </w:pPr>
            <w:r w:rsidRPr="003A0407">
              <w:rPr>
                <w:rFonts w:ascii="Arial" w:hAnsi="Arial" w:cs="Arial"/>
                <w:sz w:val="20"/>
                <w:szCs w:val="20"/>
              </w:rPr>
              <w:t>Public School Endowment Funds</w:t>
            </w:r>
          </w:p>
        </w:tc>
        <w:tc>
          <w:tcPr>
            <w:tcW w:w="1728" w:type="dxa"/>
            <w:tcBorders>
              <w:top w:val="nil"/>
              <w:left w:val="single" w:sz="4" w:space="0" w:color="auto"/>
              <w:right w:val="single" w:sz="4" w:space="0" w:color="auto"/>
            </w:tcBorders>
            <w:vAlign w:val="center"/>
          </w:tcPr>
          <w:p w14:paraId="05EABDF8" w14:textId="5E443CA4" w:rsidR="00FB10C0" w:rsidRPr="003A0407" w:rsidRDefault="00FB10C0" w:rsidP="00FB10C0">
            <w:pPr>
              <w:jc w:val="right"/>
              <w:rPr>
                <w:rFonts w:ascii="Arial" w:hAnsi="Arial" w:cs="Arial"/>
                <w:sz w:val="20"/>
                <w:szCs w:val="20"/>
              </w:rPr>
            </w:pPr>
            <w:r w:rsidRPr="003A0407">
              <w:rPr>
                <w:rFonts w:ascii="Arial" w:hAnsi="Arial" w:cs="Arial"/>
                <w:sz w:val="20"/>
                <w:szCs w:val="20"/>
              </w:rPr>
              <w:t>$1,421,426,000</w:t>
            </w:r>
          </w:p>
        </w:tc>
        <w:tc>
          <w:tcPr>
            <w:tcW w:w="1710" w:type="dxa"/>
            <w:tcBorders>
              <w:top w:val="nil"/>
              <w:left w:val="single" w:sz="4" w:space="0" w:color="auto"/>
              <w:right w:val="single" w:sz="4" w:space="0" w:color="auto"/>
            </w:tcBorders>
            <w:vAlign w:val="center"/>
          </w:tcPr>
          <w:p w14:paraId="19867C28" w14:textId="7AD73C69" w:rsidR="00FB10C0" w:rsidRPr="003A0407" w:rsidRDefault="00FB10C0" w:rsidP="00FB10C0">
            <w:pPr>
              <w:jc w:val="right"/>
              <w:rPr>
                <w:rFonts w:ascii="Arial" w:hAnsi="Arial" w:cs="Arial"/>
                <w:sz w:val="20"/>
                <w:szCs w:val="20"/>
              </w:rPr>
            </w:pPr>
            <w:r w:rsidRPr="003A0407">
              <w:rPr>
                <w:rFonts w:ascii="Arial" w:hAnsi="Arial" w:cs="Arial"/>
                <w:sz w:val="20"/>
                <w:szCs w:val="20"/>
              </w:rPr>
              <w:t>$1,465,172,100</w:t>
            </w:r>
          </w:p>
        </w:tc>
        <w:tc>
          <w:tcPr>
            <w:tcW w:w="1710" w:type="dxa"/>
            <w:tcBorders>
              <w:top w:val="nil"/>
              <w:left w:val="single" w:sz="4" w:space="0" w:color="auto"/>
              <w:right w:val="single" w:sz="4" w:space="0" w:color="auto"/>
            </w:tcBorders>
            <w:vAlign w:val="center"/>
          </w:tcPr>
          <w:p w14:paraId="5755D2B0" w14:textId="2E358A5F" w:rsidR="00FB10C0" w:rsidRPr="003A0407" w:rsidRDefault="00FB10C0" w:rsidP="00FB10C0">
            <w:pPr>
              <w:jc w:val="right"/>
              <w:rPr>
                <w:rFonts w:ascii="Arial" w:hAnsi="Arial" w:cs="Arial"/>
                <w:sz w:val="20"/>
                <w:szCs w:val="20"/>
              </w:rPr>
            </w:pPr>
            <w:r w:rsidRPr="003A0407">
              <w:rPr>
                <w:rFonts w:ascii="Arial" w:hAnsi="Arial" w:cs="Arial"/>
                <w:sz w:val="20"/>
                <w:szCs w:val="20"/>
              </w:rPr>
              <w:t>$1,880,367,500</w:t>
            </w:r>
          </w:p>
        </w:tc>
        <w:tc>
          <w:tcPr>
            <w:tcW w:w="1507" w:type="dxa"/>
            <w:tcBorders>
              <w:top w:val="nil"/>
              <w:left w:val="single" w:sz="4" w:space="0" w:color="auto"/>
              <w:right w:val="single" w:sz="4" w:space="0" w:color="auto"/>
            </w:tcBorders>
            <w:vAlign w:val="center"/>
          </w:tcPr>
          <w:p w14:paraId="128080B5" w14:textId="3BB4F061" w:rsidR="00FB10C0" w:rsidRPr="003A0407" w:rsidRDefault="00FB10C0" w:rsidP="00FB10C0">
            <w:pPr>
              <w:jc w:val="right"/>
              <w:rPr>
                <w:rFonts w:ascii="Arial" w:hAnsi="Arial" w:cs="Arial"/>
                <w:sz w:val="20"/>
                <w:szCs w:val="20"/>
              </w:rPr>
            </w:pPr>
          </w:p>
        </w:tc>
      </w:tr>
      <w:tr w:rsidR="00FB10C0" w:rsidRPr="00193A7F" w14:paraId="4422B3E2" w14:textId="77777777" w:rsidTr="009C6144">
        <w:trPr>
          <w:trHeight w:val="80"/>
        </w:trPr>
        <w:tc>
          <w:tcPr>
            <w:tcW w:w="3420" w:type="dxa"/>
            <w:tcBorders>
              <w:top w:val="nil"/>
              <w:left w:val="single" w:sz="4" w:space="0" w:color="auto"/>
              <w:bottom w:val="nil"/>
              <w:right w:val="single" w:sz="4" w:space="0" w:color="auto"/>
            </w:tcBorders>
            <w:vAlign w:val="center"/>
          </w:tcPr>
          <w:p w14:paraId="4937F99A" w14:textId="77777777" w:rsidR="00FB10C0" w:rsidRPr="003A0407" w:rsidRDefault="00FB10C0" w:rsidP="00FB10C0">
            <w:pPr>
              <w:rPr>
                <w:rFonts w:ascii="Arial" w:hAnsi="Arial" w:cs="Arial"/>
                <w:sz w:val="20"/>
                <w:szCs w:val="20"/>
              </w:rPr>
            </w:pPr>
            <w:r w:rsidRPr="003A0407">
              <w:rPr>
                <w:rFonts w:ascii="Arial" w:hAnsi="Arial" w:cs="Arial"/>
                <w:sz w:val="20"/>
                <w:szCs w:val="20"/>
              </w:rPr>
              <w:t xml:space="preserve">Other Land Grant Funds </w:t>
            </w:r>
          </w:p>
        </w:tc>
        <w:tc>
          <w:tcPr>
            <w:tcW w:w="1728" w:type="dxa"/>
            <w:tcBorders>
              <w:top w:val="nil"/>
              <w:left w:val="single" w:sz="4" w:space="0" w:color="auto"/>
              <w:right w:val="single" w:sz="4" w:space="0" w:color="auto"/>
            </w:tcBorders>
            <w:vAlign w:val="center"/>
          </w:tcPr>
          <w:p w14:paraId="036F6E2D" w14:textId="570A2CA9" w:rsidR="00FB10C0" w:rsidRPr="003A0407" w:rsidRDefault="00FB10C0" w:rsidP="00FB10C0">
            <w:pPr>
              <w:jc w:val="right"/>
              <w:rPr>
                <w:rFonts w:ascii="Arial" w:hAnsi="Arial" w:cs="Arial"/>
                <w:sz w:val="20"/>
                <w:szCs w:val="20"/>
              </w:rPr>
            </w:pPr>
            <w:r w:rsidRPr="003A0407">
              <w:rPr>
                <w:rFonts w:ascii="Arial" w:hAnsi="Arial" w:cs="Arial"/>
                <w:sz w:val="20"/>
                <w:szCs w:val="20"/>
                <w:u w:val="single"/>
              </w:rPr>
              <w:t>902,631,100</w:t>
            </w:r>
          </w:p>
        </w:tc>
        <w:tc>
          <w:tcPr>
            <w:tcW w:w="1710" w:type="dxa"/>
            <w:tcBorders>
              <w:top w:val="nil"/>
              <w:left w:val="single" w:sz="4" w:space="0" w:color="auto"/>
              <w:right w:val="single" w:sz="4" w:space="0" w:color="auto"/>
            </w:tcBorders>
            <w:vAlign w:val="center"/>
          </w:tcPr>
          <w:p w14:paraId="64E27708" w14:textId="3C603A8B" w:rsidR="00FB10C0" w:rsidRPr="003A0407" w:rsidRDefault="00FB10C0" w:rsidP="00FB10C0">
            <w:pPr>
              <w:jc w:val="right"/>
              <w:rPr>
                <w:rFonts w:ascii="Arial" w:hAnsi="Arial" w:cs="Arial"/>
                <w:sz w:val="20"/>
                <w:szCs w:val="20"/>
                <w:u w:val="single"/>
              </w:rPr>
            </w:pPr>
            <w:r w:rsidRPr="003A0407">
              <w:rPr>
                <w:rFonts w:ascii="Arial" w:hAnsi="Arial" w:cs="Arial"/>
                <w:sz w:val="20"/>
                <w:szCs w:val="20"/>
                <w:u w:val="single"/>
              </w:rPr>
              <w:t>931,109,800</w:t>
            </w:r>
          </w:p>
        </w:tc>
        <w:tc>
          <w:tcPr>
            <w:tcW w:w="1710" w:type="dxa"/>
            <w:tcBorders>
              <w:top w:val="nil"/>
              <w:left w:val="single" w:sz="4" w:space="0" w:color="auto"/>
              <w:right w:val="single" w:sz="4" w:space="0" w:color="auto"/>
            </w:tcBorders>
            <w:vAlign w:val="center"/>
          </w:tcPr>
          <w:p w14:paraId="5EFD6112" w14:textId="52B2B698" w:rsidR="00FB10C0" w:rsidRPr="003A0407" w:rsidRDefault="00FB10C0" w:rsidP="00FB10C0">
            <w:pPr>
              <w:jc w:val="right"/>
              <w:rPr>
                <w:rFonts w:ascii="Arial" w:hAnsi="Arial" w:cs="Arial"/>
                <w:sz w:val="20"/>
                <w:szCs w:val="20"/>
                <w:u w:val="single"/>
              </w:rPr>
            </w:pPr>
            <w:r w:rsidRPr="003A0407">
              <w:rPr>
                <w:rFonts w:ascii="Arial" w:hAnsi="Arial" w:cs="Arial"/>
                <w:sz w:val="20"/>
                <w:szCs w:val="20"/>
                <w:u w:val="single"/>
              </w:rPr>
              <w:t>1,227,475,000</w:t>
            </w:r>
          </w:p>
        </w:tc>
        <w:tc>
          <w:tcPr>
            <w:tcW w:w="1507" w:type="dxa"/>
            <w:tcBorders>
              <w:top w:val="nil"/>
              <w:left w:val="single" w:sz="4" w:space="0" w:color="auto"/>
              <w:right w:val="single" w:sz="4" w:space="0" w:color="auto"/>
            </w:tcBorders>
            <w:vAlign w:val="center"/>
          </w:tcPr>
          <w:p w14:paraId="3981D059" w14:textId="732B9178" w:rsidR="00FB10C0" w:rsidRPr="003A0407" w:rsidRDefault="00FB10C0" w:rsidP="00FB10C0">
            <w:pPr>
              <w:jc w:val="right"/>
              <w:rPr>
                <w:rFonts w:ascii="Arial" w:hAnsi="Arial" w:cs="Arial"/>
                <w:sz w:val="20"/>
                <w:szCs w:val="20"/>
                <w:u w:val="single"/>
              </w:rPr>
            </w:pPr>
          </w:p>
        </w:tc>
      </w:tr>
      <w:tr w:rsidR="00FB10C0" w:rsidRPr="00193A7F" w14:paraId="5B5D6FA5" w14:textId="77777777" w:rsidTr="009C6144">
        <w:trPr>
          <w:trHeight w:val="80"/>
        </w:trPr>
        <w:tc>
          <w:tcPr>
            <w:tcW w:w="3420" w:type="dxa"/>
            <w:tcBorders>
              <w:top w:val="nil"/>
              <w:left w:val="single" w:sz="4" w:space="0" w:color="auto"/>
              <w:bottom w:val="nil"/>
              <w:right w:val="single" w:sz="4" w:space="0" w:color="auto"/>
            </w:tcBorders>
            <w:noWrap/>
            <w:vAlign w:val="center"/>
          </w:tcPr>
          <w:p w14:paraId="025BBEDF" w14:textId="77777777" w:rsidR="00FB10C0" w:rsidRPr="003A0407" w:rsidRDefault="00FB10C0" w:rsidP="00FB10C0">
            <w:pPr>
              <w:rPr>
                <w:rFonts w:ascii="Arial" w:hAnsi="Arial" w:cs="Arial"/>
                <w:sz w:val="20"/>
                <w:szCs w:val="20"/>
              </w:rPr>
            </w:pPr>
            <w:r w:rsidRPr="003A0407">
              <w:rPr>
                <w:rFonts w:ascii="Arial" w:hAnsi="Arial" w:cs="Arial"/>
                <w:sz w:val="20"/>
                <w:szCs w:val="20"/>
              </w:rPr>
              <w:t>Total Land Grant Endowment Funds</w:t>
            </w:r>
          </w:p>
        </w:tc>
        <w:tc>
          <w:tcPr>
            <w:tcW w:w="1728" w:type="dxa"/>
            <w:tcBorders>
              <w:left w:val="single" w:sz="4" w:space="0" w:color="auto"/>
              <w:right w:val="single" w:sz="4" w:space="0" w:color="auto"/>
            </w:tcBorders>
            <w:vAlign w:val="center"/>
          </w:tcPr>
          <w:p w14:paraId="14B6155B" w14:textId="2D13C5BA" w:rsidR="00FB10C0" w:rsidRPr="003A0407" w:rsidRDefault="00FB10C0" w:rsidP="00FB10C0">
            <w:pPr>
              <w:jc w:val="right"/>
              <w:rPr>
                <w:rFonts w:ascii="Arial" w:hAnsi="Arial" w:cs="Arial"/>
                <w:sz w:val="20"/>
                <w:szCs w:val="20"/>
              </w:rPr>
            </w:pPr>
            <w:r w:rsidRPr="003A0407">
              <w:rPr>
                <w:rFonts w:ascii="Arial" w:hAnsi="Arial" w:cs="Arial"/>
                <w:sz w:val="20"/>
                <w:szCs w:val="20"/>
              </w:rPr>
              <w:t>$</w:t>
            </w:r>
            <w:r w:rsidRPr="003A0407">
              <w:rPr>
                <w:rFonts w:ascii="Arial" w:hAnsi="Arial" w:cs="Arial"/>
                <w:sz w:val="20"/>
                <w:szCs w:val="20"/>
                <w:u w:val="single"/>
              </w:rPr>
              <w:t>2,324,057,100</w:t>
            </w:r>
          </w:p>
        </w:tc>
        <w:tc>
          <w:tcPr>
            <w:tcW w:w="1710" w:type="dxa"/>
            <w:tcBorders>
              <w:left w:val="single" w:sz="4" w:space="0" w:color="auto"/>
              <w:right w:val="single" w:sz="4" w:space="0" w:color="auto"/>
            </w:tcBorders>
            <w:vAlign w:val="center"/>
          </w:tcPr>
          <w:p w14:paraId="285DFB36" w14:textId="6A95489C" w:rsidR="00FB10C0" w:rsidRPr="003A0407" w:rsidRDefault="00FB10C0" w:rsidP="00FB10C0">
            <w:pPr>
              <w:jc w:val="right"/>
              <w:rPr>
                <w:rFonts w:ascii="Arial" w:hAnsi="Arial" w:cs="Arial"/>
                <w:sz w:val="20"/>
                <w:szCs w:val="20"/>
              </w:rPr>
            </w:pPr>
            <w:r w:rsidRPr="003A0407">
              <w:rPr>
                <w:rFonts w:ascii="Arial" w:hAnsi="Arial" w:cs="Arial"/>
                <w:sz w:val="20"/>
                <w:szCs w:val="20"/>
              </w:rPr>
              <w:t>$</w:t>
            </w:r>
            <w:r w:rsidRPr="003A0407">
              <w:rPr>
                <w:rFonts w:ascii="Arial" w:hAnsi="Arial" w:cs="Arial"/>
                <w:sz w:val="20"/>
                <w:szCs w:val="20"/>
                <w:u w:val="single"/>
              </w:rPr>
              <w:t>2,396,281,900</w:t>
            </w:r>
          </w:p>
        </w:tc>
        <w:tc>
          <w:tcPr>
            <w:tcW w:w="1710" w:type="dxa"/>
            <w:tcBorders>
              <w:left w:val="single" w:sz="4" w:space="0" w:color="auto"/>
              <w:right w:val="single" w:sz="4" w:space="0" w:color="auto"/>
            </w:tcBorders>
            <w:vAlign w:val="center"/>
          </w:tcPr>
          <w:p w14:paraId="387B051C" w14:textId="7C0F72EB" w:rsidR="00FB10C0" w:rsidRPr="003A0407" w:rsidRDefault="00FB10C0" w:rsidP="00FB10C0">
            <w:pPr>
              <w:jc w:val="right"/>
              <w:rPr>
                <w:rFonts w:ascii="Arial" w:hAnsi="Arial" w:cs="Arial"/>
                <w:sz w:val="20"/>
                <w:szCs w:val="20"/>
              </w:rPr>
            </w:pPr>
            <w:r w:rsidRPr="003A0407">
              <w:rPr>
                <w:rFonts w:ascii="Arial" w:hAnsi="Arial" w:cs="Arial"/>
                <w:sz w:val="20"/>
                <w:szCs w:val="20"/>
                <w:u w:val="single"/>
              </w:rPr>
              <w:t>$3,107,843,000</w:t>
            </w:r>
          </w:p>
        </w:tc>
        <w:tc>
          <w:tcPr>
            <w:tcW w:w="1507" w:type="dxa"/>
            <w:tcBorders>
              <w:left w:val="single" w:sz="4" w:space="0" w:color="auto"/>
              <w:right w:val="single" w:sz="4" w:space="0" w:color="auto"/>
            </w:tcBorders>
            <w:vAlign w:val="center"/>
          </w:tcPr>
          <w:p w14:paraId="627FC961" w14:textId="59ED8944" w:rsidR="00FB10C0" w:rsidRPr="003A0407" w:rsidRDefault="00FB10C0" w:rsidP="00FB10C0">
            <w:pPr>
              <w:jc w:val="right"/>
              <w:rPr>
                <w:rFonts w:ascii="Arial" w:hAnsi="Arial" w:cs="Arial"/>
                <w:sz w:val="20"/>
                <w:szCs w:val="20"/>
                <w:u w:val="single"/>
              </w:rPr>
            </w:pPr>
          </w:p>
        </w:tc>
      </w:tr>
      <w:tr w:rsidR="00FB10C0" w:rsidRPr="00193A7F" w14:paraId="0E1641CD" w14:textId="77777777" w:rsidTr="009C6144">
        <w:trPr>
          <w:trHeight w:val="80"/>
        </w:trPr>
        <w:tc>
          <w:tcPr>
            <w:tcW w:w="3420" w:type="dxa"/>
            <w:tcBorders>
              <w:top w:val="nil"/>
              <w:left w:val="single" w:sz="4" w:space="0" w:color="auto"/>
              <w:bottom w:val="nil"/>
              <w:right w:val="single" w:sz="4" w:space="0" w:color="auto"/>
            </w:tcBorders>
            <w:noWrap/>
            <w:vAlign w:val="center"/>
          </w:tcPr>
          <w:p w14:paraId="2A90EBE1" w14:textId="77777777" w:rsidR="00FB10C0" w:rsidRPr="003A0407" w:rsidRDefault="00FB10C0" w:rsidP="00FB10C0">
            <w:pPr>
              <w:rPr>
                <w:rFonts w:ascii="Arial" w:hAnsi="Arial" w:cs="Arial"/>
                <w:sz w:val="20"/>
                <w:szCs w:val="20"/>
              </w:rPr>
            </w:pPr>
          </w:p>
        </w:tc>
        <w:tc>
          <w:tcPr>
            <w:tcW w:w="1728" w:type="dxa"/>
            <w:tcBorders>
              <w:left w:val="single" w:sz="4" w:space="0" w:color="auto"/>
              <w:bottom w:val="nil"/>
              <w:right w:val="single" w:sz="4" w:space="0" w:color="auto"/>
            </w:tcBorders>
            <w:vAlign w:val="center"/>
          </w:tcPr>
          <w:p w14:paraId="14B5CF89" w14:textId="77777777" w:rsidR="00FB10C0" w:rsidRPr="003A0407" w:rsidRDefault="00FB10C0" w:rsidP="00FB10C0">
            <w:pPr>
              <w:jc w:val="right"/>
              <w:rPr>
                <w:rFonts w:ascii="Arial" w:hAnsi="Arial" w:cs="Arial"/>
                <w:sz w:val="20"/>
                <w:szCs w:val="20"/>
              </w:rPr>
            </w:pPr>
          </w:p>
        </w:tc>
        <w:tc>
          <w:tcPr>
            <w:tcW w:w="1710" w:type="dxa"/>
            <w:tcBorders>
              <w:left w:val="single" w:sz="4" w:space="0" w:color="auto"/>
              <w:bottom w:val="nil"/>
              <w:right w:val="single" w:sz="4" w:space="0" w:color="auto"/>
            </w:tcBorders>
            <w:vAlign w:val="center"/>
          </w:tcPr>
          <w:p w14:paraId="1DE78879" w14:textId="77777777" w:rsidR="00FB10C0" w:rsidRPr="003A0407" w:rsidRDefault="00FB10C0" w:rsidP="00FB10C0">
            <w:pPr>
              <w:jc w:val="center"/>
              <w:rPr>
                <w:rFonts w:ascii="Arial" w:hAnsi="Arial" w:cs="Arial"/>
                <w:sz w:val="20"/>
                <w:szCs w:val="20"/>
              </w:rPr>
            </w:pPr>
          </w:p>
        </w:tc>
        <w:tc>
          <w:tcPr>
            <w:tcW w:w="1710" w:type="dxa"/>
            <w:tcBorders>
              <w:left w:val="single" w:sz="4" w:space="0" w:color="auto"/>
              <w:bottom w:val="nil"/>
              <w:right w:val="single" w:sz="4" w:space="0" w:color="auto"/>
            </w:tcBorders>
            <w:vAlign w:val="center"/>
          </w:tcPr>
          <w:p w14:paraId="566B4B4B" w14:textId="77777777" w:rsidR="00FB10C0" w:rsidRPr="003A0407" w:rsidRDefault="00FB10C0" w:rsidP="00FB10C0">
            <w:pPr>
              <w:jc w:val="right"/>
              <w:rPr>
                <w:rFonts w:ascii="Arial" w:hAnsi="Arial" w:cs="Arial"/>
                <w:sz w:val="20"/>
                <w:szCs w:val="20"/>
              </w:rPr>
            </w:pPr>
          </w:p>
        </w:tc>
        <w:tc>
          <w:tcPr>
            <w:tcW w:w="1507" w:type="dxa"/>
            <w:tcBorders>
              <w:left w:val="single" w:sz="4" w:space="0" w:color="auto"/>
              <w:bottom w:val="nil"/>
              <w:right w:val="single" w:sz="4" w:space="0" w:color="auto"/>
            </w:tcBorders>
            <w:vAlign w:val="center"/>
          </w:tcPr>
          <w:p w14:paraId="6D346511" w14:textId="77777777" w:rsidR="00FB10C0" w:rsidRPr="003A0407" w:rsidRDefault="00FB10C0" w:rsidP="00FB10C0">
            <w:pPr>
              <w:jc w:val="right"/>
              <w:rPr>
                <w:rFonts w:ascii="Arial" w:hAnsi="Arial" w:cs="Arial"/>
                <w:sz w:val="20"/>
                <w:szCs w:val="20"/>
              </w:rPr>
            </w:pPr>
          </w:p>
        </w:tc>
      </w:tr>
      <w:tr w:rsidR="00FB10C0" w:rsidRPr="00193A7F" w14:paraId="1CB43DC0" w14:textId="77777777" w:rsidTr="00F25FF8">
        <w:trPr>
          <w:trHeight w:val="666"/>
        </w:trPr>
        <w:tc>
          <w:tcPr>
            <w:tcW w:w="3420" w:type="dxa"/>
            <w:tcBorders>
              <w:top w:val="nil"/>
              <w:left w:val="single" w:sz="4" w:space="0" w:color="auto"/>
              <w:bottom w:val="nil"/>
              <w:right w:val="single" w:sz="4" w:space="0" w:color="auto"/>
            </w:tcBorders>
            <w:vAlign w:val="center"/>
          </w:tcPr>
          <w:p w14:paraId="06E71C6F" w14:textId="77777777" w:rsidR="00FB10C0" w:rsidRPr="003A0407" w:rsidRDefault="00FB10C0" w:rsidP="00FB10C0">
            <w:pPr>
              <w:rPr>
                <w:rFonts w:ascii="Arial" w:hAnsi="Arial" w:cs="Arial"/>
                <w:sz w:val="20"/>
                <w:szCs w:val="20"/>
              </w:rPr>
            </w:pPr>
            <w:r w:rsidRPr="003A0407">
              <w:rPr>
                <w:rFonts w:ascii="Arial" w:hAnsi="Arial" w:cs="Arial"/>
                <w:sz w:val="20"/>
                <w:szCs w:val="20"/>
                <w:u w:val="single"/>
              </w:rPr>
              <w:t>Other Agencies</w:t>
            </w:r>
            <w:r w:rsidRPr="003A0407">
              <w:rPr>
                <w:rFonts w:ascii="Arial" w:hAnsi="Arial" w:cs="Arial"/>
                <w:sz w:val="20"/>
                <w:szCs w:val="20"/>
              </w:rPr>
              <w:t>:</w:t>
            </w:r>
          </w:p>
          <w:p w14:paraId="6B3A8252" w14:textId="77777777" w:rsidR="00FB10C0" w:rsidRPr="003A0407" w:rsidRDefault="00FB10C0" w:rsidP="00FB10C0">
            <w:pPr>
              <w:rPr>
                <w:rFonts w:ascii="Arial" w:hAnsi="Arial" w:cs="Arial"/>
                <w:sz w:val="20"/>
                <w:szCs w:val="20"/>
              </w:rPr>
            </w:pPr>
            <w:r w:rsidRPr="003A0407">
              <w:rPr>
                <w:rFonts w:ascii="Arial" w:hAnsi="Arial" w:cs="Arial"/>
                <w:sz w:val="20"/>
                <w:szCs w:val="20"/>
              </w:rPr>
              <w:t>ID. Dept. of Lands</w:t>
            </w:r>
          </w:p>
          <w:p w14:paraId="3EA6863D" w14:textId="77777777" w:rsidR="00FB10C0" w:rsidRPr="003A0407" w:rsidRDefault="00FB10C0" w:rsidP="00FB10C0">
            <w:pPr>
              <w:rPr>
                <w:rFonts w:ascii="Arial" w:hAnsi="Arial" w:cs="Arial"/>
                <w:sz w:val="20"/>
                <w:szCs w:val="20"/>
              </w:rPr>
            </w:pPr>
            <w:r w:rsidRPr="003A0407">
              <w:rPr>
                <w:rFonts w:ascii="Arial" w:hAnsi="Arial" w:cs="Arial"/>
                <w:sz w:val="20"/>
                <w:szCs w:val="20"/>
              </w:rPr>
              <w:t>ID. State Insurance Fund</w:t>
            </w:r>
          </w:p>
        </w:tc>
        <w:tc>
          <w:tcPr>
            <w:tcW w:w="1728" w:type="dxa"/>
            <w:tcBorders>
              <w:top w:val="nil"/>
              <w:left w:val="single" w:sz="4" w:space="0" w:color="auto"/>
              <w:right w:val="single" w:sz="4" w:space="0" w:color="auto"/>
            </w:tcBorders>
            <w:vAlign w:val="center"/>
          </w:tcPr>
          <w:p w14:paraId="77B890F0" w14:textId="77777777" w:rsidR="00FB10C0" w:rsidRPr="003A0407" w:rsidRDefault="00FB10C0" w:rsidP="00FB10C0">
            <w:pPr>
              <w:jc w:val="right"/>
              <w:rPr>
                <w:rFonts w:ascii="Arial" w:hAnsi="Arial" w:cs="Arial"/>
                <w:sz w:val="20"/>
                <w:szCs w:val="20"/>
              </w:rPr>
            </w:pPr>
          </w:p>
          <w:p w14:paraId="7E9D32DB" w14:textId="77777777" w:rsidR="00FB10C0" w:rsidRPr="003A0407" w:rsidRDefault="00FB10C0" w:rsidP="00FB10C0">
            <w:pPr>
              <w:jc w:val="right"/>
              <w:rPr>
                <w:rFonts w:ascii="Arial" w:hAnsi="Arial" w:cs="Arial"/>
                <w:sz w:val="20"/>
                <w:szCs w:val="20"/>
              </w:rPr>
            </w:pPr>
            <w:r w:rsidRPr="003A0407">
              <w:rPr>
                <w:rFonts w:ascii="Arial" w:hAnsi="Arial" w:cs="Arial"/>
                <w:sz w:val="20"/>
                <w:szCs w:val="20"/>
              </w:rPr>
              <w:t>$365,200</w:t>
            </w:r>
          </w:p>
          <w:p w14:paraId="2A1E0F89" w14:textId="6FB4FC82" w:rsidR="00FB10C0" w:rsidRPr="003A0407" w:rsidRDefault="00FB10C0" w:rsidP="00FB10C0">
            <w:pPr>
              <w:jc w:val="right"/>
              <w:rPr>
                <w:rFonts w:ascii="Arial" w:hAnsi="Arial" w:cs="Arial"/>
                <w:sz w:val="20"/>
                <w:szCs w:val="20"/>
              </w:rPr>
            </w:pPr>
            <w:r w:rsidRPr="003A0407">
              <w:rPr>
                <w:rFonts w:ascii="Arial" w:hAnsi="Arial" w:cs="Arial"/>
                <w:sz w:val="20"/>
                <w:szCs w:val="20"/>
              </w:rPr>
              <w:t>832,992,600</w:t>
            </w:r>
          </w:p>
        </w:tc>
        <w:tc>
          <w:tcPr>
            <w:tcW w:w="1710" w:type="dxa"/>
            <w:tcBorders>
              <w:top w:val="nil"/>
              <w:left w:val="single" w:sz="4" w:space="0" w:color="auto"/>
              <w:right w:val="single" w:sz="4" w:space="0" w:color="auto"/>
            </w:tcBorders>
            <w:vAlign w:val="center"/>
          </w:tcPr>
          <w:p w14:paraId="0D47F84C" w14:textId="77777777" w:rsidR="00FB10C0" w:rsidRPr="003A0407" w:rsidRDefault="00FB10C0" w:rsidP="00FB10C0">
            <w:pPr>
              <w:jc w:val="right"/>
              <w:rPr>
                <w:rFonts w:ascii="Arial" w:hAnsi="Arial" w:cs="Arial"/>
                <w:sz w:val="20"/>
                <w:szCs w:val="20"/>
              </w:rPr>
            </w:pPr>
          </w:p>
          <w:p w14:paraId="1D0D32D6" w14:textId="77777777" w:rsidR="00FB10C0" w:rsidRPr="003A0407" w:rsidRDefault="00FB10C0" w:rsidP="00FB10C0">
            <w:pPr>
              <w:jc w:val="right"/>
              <w:rPr>
                <w:rFonts w:ascii="Arial" w:hAnsi="Arial" w:cs="Arial"/>
                <w:sz w:val="20"/>
                <w:szCs w:val="20"/>
              </w:rPr>
            </w:pPr>
            <w:r w:rsidRPr="003A0407">
              <w:rPr>
                <w:rFonts w:ascii="Arial" w:hAnsi="Arial" w:cs="Arial"/>
                <w:sz w:val="20"/>
                <w:szCs w:val="20"/>
              </w:rPr>
              <w:t>$450,000</w:t>
            </w:r>
          </w:p>
          <w:p w14:paraId="451F1397" w14:textId="1E63EA33" w:rsidR="00FB10C0" w:rsidRPr="003A0407" w:rsidRDefault="00FB10C0" w:rsidP="00FB10C0">
            <w:pPr>
              <w:jc w:val="right"/>
              <w:rPr>
                <w:rFonts w:ascii="Arial" w:hAnsi="Arial" w:cs="Arial"/>
                <w:sz w:val="20"/>
                <w:szCs w:val="20"/>
              </w:rPr>
            </w:pPr>
            <w:r w:rsidRPr="003A0407">
              <w:rPr>
                <w:rFonts w:ascii="Arial" w:hAnsi="Arial" w:cs="Arial"/>
                <w:sz w:val="20"/>
                <w:szCs w:val="20"/>
              </w:rPr>
              <w:t>890,466,500</w:t>
            </w:r>
          </w:p>
        </w:tc>
        <w:tc>
          <w:tcPr>
            <w:tcW w:w="1710" w:type="dxa"/>
            <w:tcBorders>
              <w:top w:val="nil"/>
              <w:left w:val="single" w:sz="4" w:space="0" w:color="auto"/>
              <w:right w:val="single" w:sz="4" w:space="0" w:color="auto"/>
            </w:tcBorders>
            <w:vAlign w:val="center"/>
          </w:tcPr>
          <w:p w14:paraId="7A1C71AD" w14:textId="77777777" w:rsidR="00FB10C0" w:rsidRPr="003A0407" w:rsidRDefault="00FB10C0" w:rsidP="00FB10C0">
            <w:pPr>
              <w:jc w:val="right"/>
              <w:rPr>
                <w:rFonts w:ascii="Arial" w:hAnsi="Arial" w:cs="Arial"/>
                <w:sz w:val="20"/>
                <w:szCs w:val="20"/>
              </w:rPr>
            </w:pPr>
          </w:p>
          <w:p w14:paraId="3042012B" w14:textId="77777777" w:rsidR="00FB10C0" w:rsidRPr="003A0407" w:rsidRDefault="00FB10C0" w:rsidP="00FB10C0">
            <w:pPr>
              <w:jc w:val="right"/>
              <w:rPr>
                <w:rFonts w:ascii="Arial" w:hAnsi="Arial" w:cs="Arial"/>
                <w:sz w:val="20"/>
                <w:szCs w:val="20"/>
              </w:rPr>
            </w:pPr>
            <w:r w:rsidRPr="003A0407">
              <w:rPr>
                <w:rFonts w:ascii="Arial" w:hAnsi="Arial" w:cs="Arial"/>
                <w:sz w:val="20"/>
                <w:szCs w:val="20"/>
              </w:rPr>
              <w:t>$679,300</w:t>
            </w:r>
          </w:p>
          <w:p w14:paraId="285473C3" w14:textId="6F33AA41" w:rsidR="00FB10C0" w:rsidRPr="003A0407" w:rsidRDefault="00FB10C0" w:rsidP="00FB10C0">
            <w:pPr>
              <w:jc w:val="right"/>
              <w:rPr>
                <w:rFonts w:ascii="Arial" w:hAnsi="Arial" w:cs="Arial"/>
                <w:sz w:val="20"/>
                <w:szCs w:val="20"/>
              </w:rPr>
            </w:pPr>
            <w:r w:rsidRPr="003A0407">
              <w:rPr>
                <w:rFonts w:ascii="Arial" w:hAnsi="Arial" w:cs="Arial"/>
                <w:sz w:val="20"/>
                <w:szCs w:val="20"/>
              </w:rPr>
              <w:t>963,184,900</w:t>
            </w:r>
          </w:p>
        </w:tc>
        <w:tc>
          <w:tcPr>
            <w:tcW w:w="1507" w:type="dxa"/>
            <w:tcBorders>
              <w:top w:val="nil"/>
              <w:left w:val="single" w:sz="4" w:space="0" w:color="auto"/>
              <w:right w:val="single" w:sz="4" w:space="0" w:color="auto"/>
            </w:tcBorders>
            <w:vAlign w:val="center"/>
          </w:tcPr>
          <w:p w14:paraId="5D86F00E" w14:textId="666D8D69" w:rsidR="00FB10C0" w:rsidRPr="003A0407" w:rsidRDefault="00FB10C0" w:rsidP="00FB10C0">
            <w:pPr>
              <w:jc w:val="right"/>
              <w:rPr>
                <w:rFonts w:ascii="Arial" w:hAnsi="Arial" w:cs="Arial"/>
                <w:sz w:val="20"/>
                <w:szCs w:val="20"/>
              </w:rPr>
            </w:pPr>
          </w:p>
        </w:tc>
      </w:tr>
      <w:tr w:rsidR="00FB10C0" w:rsidRPr="00193A7F" w14:paraId="75F0B8AF" w14:textId="77777777" w:rsidTr="009C6144">
        <w:trPr>
          <w:trHeight w:val="80"/>
        </w:trPr>
        <w:tc>
          <w:tcPr>
            <w:tcW w:w="3420" w:type="dxa"/>
            <w:tcBorders>
              <w:top w:val="nil"/>
              <w:left w:val="single" w:sz="4" w:space="0" w:color="auto"/>
              <w:bottom w:val="nil"/>
              <w:right w:val="single" w:sz="4" w:space="0" w:color="auto"/>
            </w:tcBorders>
            <w:vAlign w:val="center"/>
          </w:tcPr>
          <w:p w14:paraId="49B1C178" w14:textId="77777777" w:rsidR="00FB10C0" w:rsidRPr="003A0407" w:rsidRDefault="00FB10C0" w:rsidP="00FB10C0">
            <w:pPr>
              <w:rPr>
                <w:rFonts w:ascii="Arial" w:hAnsi="Arial" w:cs="Arial"/>
                <w:sz w:val="20"/>
                <w:szCs w:val="20"/>
              </w:rPr>
            </w:pPr>
            <w:r w:rsidRPr="003A0407">
              <w:rPr>
                <w:rFonts w:ascii="Arial" w:hAnsi="Arial" w:cs="Arial"/>
                <w:sz w:val="20"/>
                <w:szCs w:val="20"/>
              </w:rPr>
              <w:t>ID. Dept. of Parks &amp; Rec.</w:t>
            </w:r>
          </w:p>
        </w:tc>
        <w:tc>
          <w:tcPr>
            <w:tcW w:w="1728" w:type="dxa"/>
            <w:tcBorders>
              <w:top w:val="nil"/>
              <w:left w:val="single" w:sz="4" w:space="0" w:color="auto"/>
              <w:right w:val="single" w:sz="4" w:space="0" w:color="auto"/>
            </w:tcBorders>
            <w:vAlign w:val="center"/>
          </w:tcPr>
          <w:p w14:paraId="435806D0" w14:textId="2C178570" w:rsidR="00FB10C0" w:rsidRPr="003A0407" w:rsidRDefault="00FB10C0" w:rsidP="00FB10C0">
            <w:pPr>
              <w:jc w:val="right"/>
              <w:rPr>
                <w:rFonts w:ascii="Arial" w:hAnsi="Arial" w:cs="Arial"/>
                <w:sz w:val="20"/>
                <w:szCs w:val="20"/>
              </w:rPr>
            </w:pPr>
            <w:r w:rsidRPr="003A0407">
              <w:rPr>
                <w:rFonts w:ascii="Arial" w:hAnsi="Arial" w:cs="Arial"/>
                <w:sz w:val="20"/>
                <w:szCs w:val="20"/>
              </w:rPr>
              <w:t>4,602,400</w:t>
            </w:r>
          </w:p>
        </w:tc>
        <w:tc>
          <w:tcPr>
            <w:tcW w:w="1710" w:type="dxa"/>
            <w:tcBorders>
              <w:top w:val="nil"/>
              <w:left w:val="single" w:sz="4" w:space="0" w:color="auto"/>
              <w:right w:val="single" w:sz="4" w:space="0" w:color="auto"/>
            </w:tcBorders>
            <w:vAlign w:val="center"/>
          </w:tcPr>
          <w:p w14:paraId="230A3AD2" w14:textId="1D66DD0D" w:rsidR="00FB10C0" w:rsidRPr="003A0407" w:rsidRDefault="00FB10C0" w:rsidP="00FB10C0">
            <w:pPr>
              <w:jc w:val="right"/>
              <w:rPr>
                <w:rFonts w:ascii="Arial" w:hAnsi="Arial" w:cs="Arial"/>
                <w:sz w:val="20"/>
                <w:szCs w:val="20"/>
              </w:rPr>
            </w:pPr>
            <w:r w:rsidRPr="003A0407">
              <w:rPr>
                <w:rFonts w:ascii="Arial" w:hAnsi="Arial" w:cs="Arial"/>
                <w:sz w:val="20"/>
                <w:szCs w:val="20"/>
              </w:rPr>
              <w:t>4,674,800</w:t>
            </w:r>
          </w:p>
        </w:tc>
        <w:tc>
          <w:tcPr>
            <w:tcW w:w="1710" w:type="dxa"/>
            <w:tcBorders>
              <w:top w:val="nil"/>
              <w:left w:val="single" w:sz="4" w:space="0" w:color="auto"/>
              <w:right w:val="single" w:sz="4" w:space="0" w:color="auto"/>
            </w:tcBorders>
            <w:vAlign w:val="center"/>
          </w:tcPr>
          <w:p w14:paraId="5A7F5B49" w14:textId="0E3AFA84" w:rsidR="00FB10C0" w:rsidRPr="003A0407" w:rsidRDefault="00FB10C0" w:rsidP="00FB10C0">
            <w:pPr>
              <w:jc w:val="right"/>
              <w:rPr>
                <w:rFonts w:ascii="Arial" w:hAnsi="Arial" w:cs="Arial"/>
                <w:sz w:val="20"/>
                <w:szCs w:val="20"/>
              </w:rPr>
            </w:pPr>
            <w:r w:rsidRPr="003A0407">
              <w:rPr>
                <w:rFonts w:ascii="Arial" w:hAnsi="Arial" w:cs="Arial"/>
                <w:sz w:val="20"/>
                <w:szCs w:val="20"/>
              </w:rPr>
              <w:t>6,039,900</w:t>
            </w:r>
          </w:p>
        </w:tc>
        <w:tc>
          <w:tcPr>
            <w:tcW w:w="1507" w:type="dxa"/>
            <w:tcBorders>
              <w:top w:val="nil"/>
              <w:left w:val="single" w:sz="4" w:space="0" w:color="auto"/>
              <w:right w:val="single" w:sz="4" w:space="0" w:color="auto"/>
            </w:tcBorders>
            <w:vAlign w:val="center"/>
          </w:tcPr>
          <w:p w14:paraId="62DDE6EB" w14:textId="7510B2BB" w:rsidR="00FB10C0" w:rsidRPr="003A0407" w:rsidRDefault="00FB10C0" w:rsidP="00FB10C0">
            <w:pPr>
              <w:jc w:val="right"/>
              <w:rPr>
                <w:rFonts w:ascii="Arial" w:hAnsi="Arial" w:cs="Arial"/>
                <w:sz w:val="20"/>
                <w:szCs w:val="20"/>
              </w:rPr>
            </w:pPr>
          </w:p>
        </w:tc>
      </w:tr>
      <w:tr w:rsidR="00FB10C0" w:rsidRPr="00193A7F" w14:paraId="758D57C5" w14:textId="77777777" w:rsidTr="009C6144">
        <w:trPr>
          <w:trHeight w:val="80"/>
        </w:trPr>
        <w:tc>
          <w:tcPr>
            <w:tcW w:w="3420" w:type="dxa"/>
            <w:tcBorders>
              <w:top w:val="nil"/>
              <w:left w:val="single" w:sz="4" w:space="0" w:color="auto"/>
              <w:bottom w:val="nil"/>
              <w:right w:val="single" w:sz="4" w:space="0" w:color="auto"/>
            </w:tcBorders>
            <w:vAlign w:val="center"/>
          </w:tcPr>
          <w:p w14:paraId="2EEA0052" w14:textId="77777777" w:rsidR="00FB10C0" w:rsidRPr="003A0407" w:rsidRDefault="00FB10C0" w:rsidP="00FB10C0">
            <w:pPr>
              <w:rPr>
                <w:rFonts w:ascii="Arial" w:hAnsi="Arial" w:cs="Arial"/>
                <w:sz w:val="20"/>
                <w:szCs w:val="20"/>
              </w:rPr>
            </w:pPr>
            <w:r w:rsidRPr="003A0407">
              <w:rPr>
                <w:rFonts w:ascii="Arial" w:hAnsi="Arial" w:cs="Arial"/>
                <w:sz w:val="20"/>
                <w:szCs w:val="20"/>
              </w:rPr>
              <w:t>ID. Dept. of Environmental Quality</w:t>
            </w:r>
          </w:p>
        </w:tc>
        <w:tc>
          <w:tcPr>
            <w:tcW w:w="1728" w:type="dxa"/>
            <w:tcBorders>
              <w:top w:val="nil"/>
              <w:left w:val="single" w:sz="4" w:space="0" w:color="auto"/>
              <w:right w:val="single" w:sz="4" w:space="0" w:color="auto"/>
            </w:tcBorders>
            <w:vAlign w:val="center"/>
          </w:tcPr>
          <w:p w14:paraId="621B0F3F" w14:textId="07A955AD" w:rsidR="00FB10C0" w:rsidRPr="003A0407" w:rsidRDefault="00FB10C0" w:rsidP="00FB10C0">
            <w:pPr>
              <w:jc w:val="right"/>
              <w:rPr>
                <w:rFonts w:ascii="Arial" w:hAnsi="Arial" w:cs="Arial"/>
                <w:sz w:val="20"/>
                <w:szCs w:val="20"/>
              </w:rPr>
            </w:pPr>
            <w:r w:rsidRPr="003A0407">
              <w:rPr>
                <w:rFonts w:ascii="Arial" w:hAnsi="Arial" w:cs="Arial"/>
                <w:sz w:val="20"/>
                <w:szCs w:val="20"/>
              </w:rPr>
              <w:t>96,646,800</w:t>
            </w:r>
          </w:p>
        </w:tc>
        <w:tc>
          <w:tcPr>
            <w:tcW w:w="1710" w:type="dxa"/>
            <w:tcBorders>
              <w:top w:val="nil"/>
              <w:left w:val="single" w:sz="4" w:space="0" w:color="auto"/>
              <w:right w:val="single" w:sz="4" w:space="0" w:color="auto"/>
            </w:tcBorders>
            <w:vAlign w:val="center"/>
          </w:tcPr>
          <w:p w14:paraId="4324CC56" w14:textId="06487869" w:rsidR="00FB10C0" w:rsidRPr="003A0407" w:rsidRDefault="00FB10C0" w:rsidP="00FB10C0">
            <w:pPr>
              <w:jc w:val="right"/>
              <w:rPr>
                <w:rFonts w:ascii="Arial" w:hAnsi="Arial" w:cs="Arial"/>
                <w:sz w:val="20"/>
                <w:szCs w:val="20"/>
              </w:rPr>
            </w:pPr>
            <w:r w:rsidRPr="003A0407">
              <w:rPr>
                <w:rFonts w:ascii="Arial" w:hAnsi="Arial" w:cs="Arial"/>
                <w:sz w:val="20"/>
                <w:szCs w:val="20"/>
              </w:rPr>
              <w:t>100,865,100</w:t>
            </w:r>
          </w:p>
        </w:tc>
        <w:tc>
          <w:tcPr>
            <w:tcW w:w="1710" w:type="dxa"/>
            <w:tcBorders>
              <w:top w:val="nil"/>
              <w:left w:val="single" w:sz="4" w:space="0" w:color="auto"/>
              <w:right w:val="single" w:sz="4" w:space="0" w:color="auto"/>
            </w:tcBorders>
            <w:vAlign w:val="center"/>
          </w:tcPr>
          <w:p w14:paraId="75BFE105" w14:textId="25400E37" w:rsidR="00FB10C0" w:rsidRPr="003A0407" w:rsidRDefault="00FB10C0" w:rsidP="00FB10C0">
            <w:pPr>
              <w:jc w:val="right"/>
              <w:rPr>
                <w:rFonts w:ascii="Arial" w:hAnsi="Arial" w:cs="Arial"/>
                <w:sz w:val="20"/>
                <w:szCs w:val="20"/>
              </w:rPr>
            </w:pPr>
            <w:r w:rsidRPr="003A0407">
              <w:rPr>
                <w:rFonts w:ascii="Arial" w:hAnsi="Arial" w:cs="Arial"/>
                <w:sz w:val="20"/>
                <w:szCs w:val="20"/>
              </w:rPr>
              <w:t>127,907,400</w:t>
            </w:r>
          </w:p>
        </w:tc>
        <w:tc>
          <w:tcPr>
            <w:tcW w:w="1507" w:type="dxa"/>
            <w:tcBorders>
              <w:top w:val="nil"/>
              <w:left w:val="single" w:sz="4" w:space="0" w:color="auto"/>
              <w:right w:val="single" w:sz="4" w:space="0" w:color="auto"/>
            </w:tcBorders>
            <w:vAlign w:val="center"/>
          </w:tcPr>
          <w:p w14:paraId="5D287E97" w14:textId="4DE24019" w:rsidR="00FB10C0" w:rsidRPr="003A0407" w:rsidRDefault="00FB10C0" w:rsidP="00FB10C0">
            <w:pPr>
              <w:jc w:val="right"/>
              <w:rPr>
                <w:rFonts w:ascii="Arial" w:hAnsi="Arial" w:cs="Arial"/>
                <w:sz w:val="20"/>
                <w:szCs w:val="20"/>
              </w:rPr>
            </w:pPr>
          </w:p>
        </w:tc>
      </w:tr>
      <w:tr w:rsidR="00FB10C0" w:rsidRPr="00193A7F" w14:paraId="01E1D7F1" w14:textId="77777777" w:rsidTr="009C6144">
        <w:trPr>
          <w:trHeight w:val="80"/>
        </w:trPr>
        <w:tc>
          <w:tcPr>
            <w:tcW w:w="3420" w:type="dxa"/>
            <w:tcBorders>
              <w:top w:val="nil"/>
              <w:left w:val="single" w:sz="4" w:space="0" w:color="auto"/>
              <w:bottom w:val="nil"/>
              <w:right w:val="single" w:sz="4" w:space="0" w:color="auto"/>
            </w:tcBorders>
            <w:vAlign w:val="center"/>
          </w:tcPr>
          <w:p w14:paraId="4A6D1681" w14:textId="77777777" w:rsidR="00FB10C0" w:rsidRPr="003A0407" w:rsidRDefault="00FB10C0" w:rsidP="00FB10C0">
            <w:pPr>
              <w:rPr>
                <w:rFonts w:ascii="Arial" w:hAnsi="Arial" w:cs="Arial"/>
                <w:sz w:val="20"/>
                <w:szCs w:val="20"/>
              </w:rPr>
            </w:pPr>
            <w:r w:rsidRPr="003A0407">
              <w:rPr>
                <w:rFonts w:ascii="Arial" w:hAnsi="Arial" w:cs="Arial"/>
                <w:sz w:val="20"/>
                <w:szCs w:val="20"/>
              </w:rPr>
              <w:t>ID Dept. of Fish &amp; Game</w:t>
            </w:r>
          </w:p>
        </w:tc>
        <w:tc>
          <w:tcPr>
            <w:tcW w:w="1728" w:type="dxa"/>
            <w:tcBorders>
              <w:top w:val="nil"/>
              <w:left w:val="single" w:sz="4" w:space="0" w:color="auto"/>
              <w:right w:val="single" w:sz="4" w:space="0" w:color="auto"/>
            </w:tcBorders>
            <w:vAlign w:val="center"/>
          </w:tcPr>
          <w:p w14:paraId="5605291B" w14:textId="256E250E" w:rsidR="00FB10C0" w:rsidRPr="003A0407" w:rsidRDefault="00FB10C0" w:rsidP="00FB10C0">
            <w:pPr>
              <w:jc w:val="right"/>
              <w:rPr>
                <w:rFonts w:ascii="Arial" w:hAnsi="Arial" w:cs="Arial"/>
                <w:sz w:val="20"/>
                <w:szCs w:val="20"/>
              </w:rPr>
            </w:pPr>
            <w:r w:rsidRPr="003A0407">
              <w:rPr>
                <w:rFonts w:ascii="Arial" w:hAnsi="Arial" w:cs="Arial"/>
                <w:sz w:val="20"/>
                <w:szCs w:val="20"/>
                <w:u w:val="single"/>
              </w:rPr>
              <w:t>34,325,600</w:t>
            </w:r>
          </w:p>
        </w:tc>
        <w:tc>
          <w:tcPr>
            <w:tcW w:w="1710" w:type="dxa"/>
            <w:tcBorders>
              <w:top w:val="nil"/>
              <w:left w:val="single" w:sz="4" w:space="0" w:color="auto"/>
              <w:right w:val="single" w:sz="4" w:space="0" w:color="auto"/>
            </w:tcBorders>
            <w:vAlign w:val="center"/>
          </w:tcPr>
          <w:p w14:paraId="1F06CD46" w14:textId="0D905218" w:rsidR="00FB10C0" w:rsidRPr="003A0407" w:rsidRDefault="00FB10C0" w:rsidP="00FB10C0">
            <w:pPr>
              <w:jc w:val="right"/>
              <w:rPr>
                <w:rFonts w:ascii="Arial" w:hAnsi="Arial" w:cs="Arial"/>
                <w:sz w:val="20"/>
                <w:szCs w:val="20"/>
              </w:rPr>
            </w:pPr>
            <w:r w:rsidRPr="003A0407">
              <w:rPr>
                <w:rFonts w:ascii="Arial" w:hAnsi="Arial" w:cs="Arial"/>
                <w:sz w:val="20"/>
                <w:szCs w:val="20"/>
                <w:u w:val="single"/>
              </w:rPr>
              <w:t>38,944,530</w:t>
            </w:r>
          </w:p>
        </w:tc>
        <w:tc>
          <w:tcPr>
            <w:tcW w:w="1710" w:type="dxa"/>
            <w:tcBorders>
              <w:top w:val="nil"/>
              <w:left w:val="single" w:sz="4" w:space="0" w:color="auto"/>
              <w:right w:val="single" w:sz="4" w:space="0" w:color="auto"/>
            </w:tcBorders>
            <w:vAlign w:val="center"/>
          </w:tcPr>
          <w:p w14:paraId="62FDAF73" w14:textId="74AA2B8C" w:rsidR="00FB10C0" w:rsidRPr="003A0407" w:rsidRDefault="00FB10C0" w:rsidP="00FB10C0">
            <w:pPr>
              <w:jc w:val="right"/>
              <w:rPr>
                <w:rFonts w:ascii="Arial" w:hAnsi="Arial" w:cs="Arial"/>
                <w:sz w:val="20"/>
                <w:szCs w:val="20"/>
              </w:rPr>
            </w:pPr>
            <w:r w:rsidRPr="003A0407">
              <w:rPr>
                <w:rFonts w:ascii="Arial" w:hAnsi="Arial" w:cs="Arial"/>
                <w:sz w:val="20"/>
                <w:szCs w:val="20"/>
                <w:u w:val="single"/>
              </w:rPr>
              <w:t>51,116,800</w:t>
            </w:r>
          </w:p>
        </w:tc>
        <w:tc>
          <w:tcPr>
            <w:tcW w:w="1507" w:type="dxa"/>
            <w:tcBorders>
              <w:top w:val="nil"/>
              <w:left w:val="single" w:sz="4" w:space="0" w:color="auto"/>
              <w:right w:val="single" w:sz="4" w:space="0" w:color="auto"/>
            </w:tcBorders>
            <w:vAlign w:val="center"/>
          </w:tcPr>
          <w:p w14:paraId="3940B162" w14:textId="6E527986" w:rsidR="00FB10C0" w:rsidRPr="003A0407" w:rsidRDefault="00FB10C0" w:rsidP="00FB10C0">
            <w:pPr>
              <w:jc w:val="right"/>
              <w:rPr>
                <w:rFonts w:ascii="Arial" w:hAnsi="Arial" w:cs="Arial"/>
                <w:sz w:val="20"/>
                <w:szCs w:val="20"/>
                <w:u w:val="single"/>
              </w:rPr>
            </w:pPr>
          </w:p>
        </w:tc>
      </w:tr>
      <w:tr w:rsidR="00FB10C0" w:rsidRPr="00411E36" w14:paraId="5FF4FA9E" w14:textId="77777777" w:rsidTr="009C6144">
        <w:trPr>
          <w:trHeight w:val="80"/>
        </w:trPr>
        <w:tc>
          <w:tcPr>
            <w:tcW w:w="3420" w:type="dxa"/>
            <w:tcBorders>
              <w:top w:val="nil"/>
              <w:left w:val="single" w:sz="4" w:space="0" w:color="auto"/>
              <w:bottom w:val="single" w:sz="4" w:space="0" w:color="auto"/>
              <w:right w:val="single" w:sz="4" w:space="0" w:color="auto"/>
            </w:tcBorders>
            <w:vAlign w:val="center"/>
          </w:tcPr>
          <w:p w14:paraId="5025FC23" w14:textId="77777777" w:rsidR="00FB10C0" w:rsidRPr="003A0407" w:rsidRDefault="00FB10C0" w:rsidP="00FB10C0">
            <w:pPr>
              <w:rPr>
                <w:rFonts w:ascii="Arial" w:hAnsi="Arial" w:cs="Arial"/>
                <w:b/>
                <w:sz w:val="20"/>
                <w:szCs w:val="20"/>
              </w:rPr>
            </w:pPr>
            <w:r w:rsidRPr="003A0407">
              <w:rPr>
                <w:rFonts w:ascii="Arial" w:hAnsi="Arial" w:cs="Arial"/>
                <w:b/>
                <w:sz w:val="20"/>
                <w:szCs w:val="20"/>
              </w:rPr>
              <w:t>Total Market Value of Investments</w:t>
            </w:r>
          </w:p>
        </w:tc>
        <w:tc>
          <w:tcPr>
            <w:tcW w:w="1728" w:type="dxa"/>
            <w:tcBorders>
              <w:left w:val="single" w:sz="4" w:space="0" w:color="auto"/>
              <w:bottom w:val="single" w:sz="4" w:space="0" w:color="auto"/>
              <w:right w:val="single" w:sz="4" w:space="0" w:color="auto"/>
            </w:tcBorders>
            <w:vAlign w:val="center"/>
          </w:tcPr>
          <w:p w14:paraId="5C469E69" w14:textId="3F5588FA" w:rsidR="00FB10C0" w:rsidRPr="003A0407" w:rsidRDefault="00FB10C0" w:rsidP="00FB10C0">
            <w:pPr>
              <w:jc w:val="right"/>
              <w:rPr>
                <w:rFonts w:ascii="Arial" w:hAnsi="Arial" w:cs="Arial"/>
                <w:b/>
                <w:sz w:val="20"/>
                <w:szCs w:val="20"/>
                <w:u w:val="double"/>
              </w:rPr>
            </w:pPr>
            <w:r w:rsidRPr="003A0407">
              <w:rPr>
                <w:rFonts w:ascii="Arial" w:hAnsi="Arial" w:cs="Arial"/>
                <w:b/>
                <w:sz w:val="20"/>
                <w:szCs w:val="20"/>
                <w:u w:val="double"/>
              </w:rPr>
              <w:t>$3,292,989,700</w:t>
            </w:r>
          </w:p>
        </w:tc>
        <w:tc>
          <w:tcPr>
            <w:tcW w:w="1710" w:type="dxa"/>
            <w:tcBorders>
              <w:left w:val="single" w:sz="4" w:space="0" w:color="auto"/>
              <w:bottom w:val="single" w:sz="4" w:space="0" w:color="auto"/>
              <w:right w:val="single" w:sz="4" w:space="0" w:color="auto"/>
            </w:tcBorders>
            <w:vAlign w:val="center"/>
          </w:tcPr>
          <w:p w14:paraId="1C380EDE" w14:textId="4F74C70C" w:rsidR="00FB10C0" w:rsidRPr="003A0407" w:rsidRDefault="00FB10C0" w:rsidP="00FB10C0">
            <w:pPr>
              <w:jc w:val="right"/>
              <w:rPr>
                <w:rFonts w:ascii="Arial" w:hAnsi="Arial" w:cs="Arial"/>
                <w:b/>
                <w:sz w:val="20"/>
                <w:szCs w:val="20"/>
                <w:u w:val="double"/>
              </w:rPr>
            </w:pPr>
            <w:r w:rsidRPr="003A0407">
              <w:rPr>
                <w:rFonts w:ascii="Arial" w:hAnsi="Arial" w:cs="Arial"/>
                <w:b/>
                <w:sz w:val="20"/>
                <w:szCs w:val="20"/>
                <w:u w:val="double"/>
              </w:rPr>
              <w:t>$3,430,799,930</w:t>
            </w:r>
          </w:p>
        </w:tc>
        <w:tc>
          <w:tcPr>
            <w:tcW w:w="1710" w:type="dxa"/>
            <w:tcBorders>
              <w:left w:val="single" w:sz="4" w:space="0" w:color="auto"/>
              <w:bottom w:val="single" w:sz="4" w:space="0" w:color="auto"/>
              <w:right w:val="single" w:sz="4" w:space="0" w:color="auto"/>
            </w:tcBorders>
            <w:vAlign w:val="center"/>
          </w:tcPr>
          <w:p w14:paraId="2D9F23A1" w14:textId="4E04E43C" w:rsidR="00FB10C0" w:rsidRPr="003A0407" w:rsidRDefault="00FB10C0" w:rsidP="00FB10C0">
            <w:pPr>
              <w:jc w:val="right"/>
              <w:rPr>
                <w:rFonts w:ascii="Arial" w:hAnsi="Arial" w:cs="Arial"/>
                <w:b/>
                <w:sz w:val="20"/>
                <w:szCs w:val="20"/>
                <w:u w:val="double"/>
              </w:rPr>
            </w:pPr>
            <w:r w:rsidRPr="003A0407">
              <w:rPr>
                <w:rFonts w:ascii="Arial" w:hAnsi="Arial" w:cs="Arial"/>
                <w:b/>
                <w:sz w:val="20"/>
                <w:szCs w:val="20"/>
                <w:u w:val="double"/>
              </w:rPr>
              <w:t>$4,256,771,300</w:t>
            </w:r>
          </w:p>
        </w:tc>
        <w:tc>
          <w:tcPr>
            <w:tcW w:w="1507" w:type="dxa"/>
            <w:tcBorders>
              <w:left w:val="single" w:sz="4" w:space="0" w:color="auto"/>
              <w:bottom w:val="single" w:sz="4" w:space="0" w:color="auto"/>
              <w:right w:val="single" w:sz="4" w:space="0" w:color="auto"/>
            </w:tcBorders>
            <w:vAlign w:val="center"/>
          </w:tcPr>
          <w:p w14:paraId="4D26AE2E" w14:textId="403550CB" w:rsidR="00FB10C0" w:rsidRPr="003A0407" w:rsidRDefault="00FB10C0" w:rsidP="00FB10C0">
            <w:pPr>
              <w:jc w:val="right"/>
              <w:rPr>
                <w:rFonts w:ascii="Arial" w:hAnsi="Arial" w:cs="Arial"/>
                <w:b/>
                <w:sz w:val="20"/>
                <w:szCs w:val="20"/>
                <w:u w:val="double"/>
              </w:rPr>
            </w:pPr>
          </w:p>
        </w:tc>
      </w:tr>
    </w:tbl>
    <w:p w14:paraId="202F29BA" w14:textId="77777777" w:rsidR="0098168E" w:rsidRPr="00B32338" w:rsidRDefault="0098168E" w:rsidP="002C7E0F">
      <w:pPr>
        <w:rPr>
          <w:rFonts w:ascii="Arial" w:hAnsi="Arial" w:cs="Arial"/>
          <w:b/>
          <w:u w:val="double"/>
        </w:rPr>
      </w:pPr>
    </w:p>
    <w:p w14:paraId="57C5D371" w14:textId="77777777" w:rsidR="009550D4" w:rsidRDefault="009550D4" w:rsidP="001B493C">
      <w:pPr>
        <w:jc w:val="both"/>
        <w:rPr>
          <w:rFonts w:ascii="Arial" w:hAnsi="Arial" w:cs="Arial"/>
          <w:b/>
          <w:bCs/>
        </w:rPr>
      </w:pPr>
    </w:p>
    <w:p w14:paraId="50939FB1" w14:textId="3FAC60F3" w:rsidR="00E90751" w:rsidRDefault="00FB10C0" w:rsidP="001B493C">
      <w:pPr>
        <w:jc w:val="both"/>
        <w:rPr>
          <w:rFonts w:ascii="Arial" w:hAnsi="Arial" w:cs="Arial"/>
          <w:b/>
          <w:bCs/>
        </w:rPr>
      </w:pPr>
      <w:r>
        <w:rPr>
          <w:rFonts w:ascii="Arial" w:hAnsi="Arial" w:cs="Arial"/>
          <w:b/>
          <w:bCs/>
        </w:rPr>
        <w:t>FY 2022</w:t>
      </w:r>
      <w:r w:rsidR="009550D4">
        <w:rPr>
          <w:rFonts w:ascii="Arial" w:hAnsi="Arial" w:cs="Arial"/>
          <w:b/>
          <w:bCs/>
        </w:rPr>
        <w:t xml:space="preserve"> </w:t>
      </w:r>
      <w:r w:rsidR="006224FA">
        <w:rPr>
          <w:rFonts w:ascii="Arial" w:hAnsi="Arial" w:cs="Arial"/>
          <w:b/>
          <w:bCs/>
        </w:rPr>
        <w:t xml:space="preserve">Performance Highlights </w:t>
      </w:r>
    </w:p>
    <w:p w14:paraId="6158DB04" w14:textId="77777777" w:rsidR="001B33E3" w:rsidRDefault="001B33E3" w:rsidP="001B493C">
      <w:pPr>
        <w:jc w:val="both"/>
        <w:rPr>
          <w:rFonts w:ascii="Arial" w:hAnsi="Arial" w:cs="Arial"/>
          <w:b/>
          <w:bCs/>
          <w:i/>
        </w:rPr>
      </w:pPr>
    </w:p>
    <w:p w14:paraId="4A623306" w14:textId="381B093D" w:rsidR="00276AAC" w:rsidRPr="007D14BD" w:rsidRDefault="00276AAC" w:rsidP="00CD62E7">
      <w:pPr>
        <w:pStyle w:val="ListParagraph"/>
        <w:numPr>
          <w:ilvl w:val="0"/>
          <w:numId w:val="17"/>
        </w:numPr>
        <w:spacing w:after="60"/>
        <w:outlineLvl w:val="0"/>
        <w:rPr>
          <w:rFonts w:ascii="Arial" w:hAnsi="Arial" w:cs="Arial"/>
          <w:color w:val="2D3439"/>
          <w:sz w:val="20"/>
          <w:szCs w:val="20"/>
        </w:rPr>
      </w:pPr>
      <w:r w:rsidRPr="007D14BD">
        <w:rPr>
          <w:rFonts w:ascii="Arial" w:hAnsi="Arial" w:cs="Arial"/>
          <w:color w:val="2D3439"/>
          <w:sz w:val="20"/>
          <w:szCs w:val="20"/>
        </w:rPr>
        <w:t xml:space="preserve">The </w:t>
      </w:r>
      <w:r w:rsidR="00E90751" w:rsidRPr="007D14BD">
        <w:rPr>
          <w:rFonts w:ascii="Arial" w:hAnsi="Arial" w:cs="Arial"/>
          <w:color w:val="2D3439"/>
          <w:sz w:val="20"/>
          <w:szCs w:val="20"/>
        </w:rPr>
        <w:t xml:space="preserve">net position </w:t>
      </w:r>
      <w:r w:rsidR="00CE66C0" w:rsidRPr="007D14BD">
        <w:rPr>
          <w:rFonts w:ascii="Arial" w:hAnsi="Arial" w:cs="Arial"/>
          <w:color w:val="2D3439"/>
          <w:sz w:val="20"/>
          <w:szCs w:val="20"/>
        </w:rPr>
        <w:t xml:space="preserve">of the Land Grant Endowment Fund </w:t>
      </w:r>
      <w:r w:rsidR="00E90751" w:rsidRPr="007D14BD">
        <w:rPr>
          <w:rFonts w:ascii="Arial" w:hAnsi="Arial" w:cs="Arial"/>
          <w:color w:val="2D3439"/>
          <w:sz w:val="20"/>
          <w:szCs w:val="20"/>
        </w:rPr>
        <w:t>totaled $</w:t>
      </w:r>
      <w:r w:rsidR="00DE0ADF">
        <w:rPr>
          <w:rFonts w:ascii="Arial" w:hAnsi="Arial" w:cs="Arial"/>
          <w:color w:val="2D3439"/>
          <w:sz w:val="20"/>
          <w:szCs w:val="20"/>
        </w:rPr>
        <w:t>3.1 billion</w:t>
      </w:r>
      <w:r w:rsidR="00E90751" w:rsidRPr="007D14BD">
        <w:rPr>
          <w:rFonts w:ascii="Arial" w:hAnsi="Arial" w:cs="Arial"/>
          <w:color w:val="2D3439"/>
          <w:sz w:val="20"/>
          <w:szCs w:val="20"/>
        </w:rPr>
        <w:t xml:space="preserve">, an </w:t>
      </w:r>
      <w:r w:rsidRPr="007D14BD">
        <w:rPr>
          <w:rFonts w:ascii="Arial" w:hAnsi="Arial" w:cs="Arial"/>
          <w:color w:val="2D3439"/>
          <w:sz w:val="20"/>
          <w:szCs w:val="20"/>
        </w:rPr>
        <w:t>increase</w:t>
      </w:r>
      <w:r w:rsidR="004A4763" w:rsidRPr="007D14BD">
        <w:rPr>
          <w:rFonts w:ascii="Arial" w:hAnsi="Arial" w:cs="Arial"/>
          <w:color w:val="2D3439"/>
          <w:sz w:val="20"/>
          <w:szCs w:val="20"/>
        </w:rPr>
        <w:t xml:space="preserve"> of</w:t>
      </w:r>
      <w:r w:rsidRPr="007D14BD">
        <w:rPr>
          <w:rFonts w:ascii="Arial" w:hAnsi="Arial" w:cs="Arial"/>
          <w:color w:val="2D3439"/>
          <w:sz w:val="20"/>
          <w:szCs w:val="20"/>
        </w:rPr>
        <w:t xml:space="preserve"> $</w:t>
      </w:r>
      <w:r w:rsidR="006A25B5">
        <w:rPr>
          <w:rFonts w:ascii="Arial" w:hAnsi="Arial" w:cs="Arial"/>
          <w:color w:val="2D3439"/>
          <w:sz w:val="20"/>
          <w:szCs w:val="20"/>
        </w:rPr>
        <w:t>7</w:t>
      </w:r>
      <w:r w:rsidR="00DE0ADF">
        <w:rPr>
          <w:rFonts w:ascii="Arial" w:hAnsi="Arial" w:cs="Arial"/>
          <w:color w:val="2D3439"/>
          <w:sz w:val="20"/>
          <w:szCs w:val="20"/>
        </w:rPr>
        <w:t>1</w:t>
      </w:r>
      <w:r w:rsidR="006A25B5">
        <w:rPr>
          <w:rFonts w:ascii="Arial" w:hAnsi="Arial" w:cs="Arial"/>
          <w:color w:val="2D3439"/>
          <w:sz w:val="20"/>
          <w:szCs w:val="20"/>
        </w:rPr>
        <w:t>1.</w:t>
      </w:r>
      <w:r w:rsidR="00DE0ADF">
        <w:rPr>
          <w:rFonts w:ascii="Arial" w:hAnsi="Arial" w:cs="Arial"/>
          <w:color w:val="2D3439"/>
          <w:sz w:val="20"/>
          <w:szCs w:val="20"/>
        </w:rPr>
        <w:t>5</w:t>
      </w:r>
      <w:r w:rsidR="000906FD">
        <w:rPr>
          <w:rFonts w:ascii="Arial" w:hAnsi="Arial" w:cs="Arial"/>
          <w:color w:val="2D3439"/>
          <w:sz w:val="20"/>
          <w:szCs w:val="20"/>
        </w:rPr>
        <w:t xml:space="preserve"> </w:t>
      </w:r>
      <w:r w:rsidRPr="007D14BD">
        <w:rPr>
          <w:rFonts w:ascii="Arial" w:hAnsi="Arial" w:cs="Arial"/>
          <w:color w:val="2D3439"/>
          <w:sz w:val="20"/>
          <w:szCs w:val="20"/>
        </w:rPr>
        <w:t>million</w:t>
      </w:r>
    </w:p>
    <w:p w14:paraId="344C5255" w14:textId="77777777" w:rsidR="0098168E" w:rsidRPr="007D14BD" w:rsidRDefault="0098168E" w:rsidP="00CD62E7">
      <w:pPr>
        <w:pStyle w:val="ListParagraph"/>
        <w:spacing w:after="60"/>
        <w:ind w:left="1080"/>
        <w:outlineLvl w:val="0"/>
        <w:rPr>
          <w:rFonts w:ascii="Arial" w:hAnsi="Arial" w:cs="Arial"/>
          <w:color w:val="2D3439"/>
          <w:sz w:val="20"/>
          <w:szCs w:val="20"/>
        </w:rPr>
      </w:pPr>
    </w:p>
    <w:p w14:paraId="6EFF68F5" w14:textId="626242BF" w:rsidR="00276AAC" w:rsidRPr="007D14BD" w:rsidRDefault="00E90751" w:rsidP="00CD62E7">
      <w:pPr>
        <w:pStyle w:val="ListParagraph"/>
        <w:numPr>
          <w:ilvl w:val="0"/>
          <w:numId w:val="17"/>
        </w:numPr>
        <w:spacing w:after="60"/>
        <w:outlineLvl w:val="0"/>
        <w:rPr>
          <w:rFonts w:ascii="Arial" w:hAnsi="Arial" w:cs="Arial"/>
          <w:color w:val="2D3439"/>
          <w:sz w:val="20"/>
          <w:szCs w:val="20"/>
        </w:rPr>
      </w:pPr>
      <w:r w:rsidRPr="007D14BD">
        <w:rPr>
          <w:rFonts w:ascii="Arial" w:hAnsi="Arial" w:cs="Arial"/>
          <w:color w:val="2D3439"/>
          <w:sz w:val="20"/>
          <w:szCs w:val="20"/>
        </w:rPr>
        <w:t xml:space="preserve">The portfolio generated investment returns before fees of </w:t>
      </w:r>
      <w:r w:rsidR="00596515">
        <w:rPr>
          <w:rFonts w:ascii="Arial" w:hAnsi="Arial" w:cs="Arial"/>
          <w:color w:val="2D3439"/>
          <w:sz w:val="20"/>
          <w:szCs w:val="20"/>
        </w:rPr>
        <w:t>29.7</w:t>
      </w:r>
      <w:r w:rsidRPr="007D14BD">
        <w:rPr>
          <w:rFonts w:ascii="Arial" w:hAnsi="Arial" w:cs="Arial"/>
          <w:color w:val="2D3439"/>
          <w:sz w:val="20"/>
          <w:szCs w:val="20"/>
        </w:rPr>
        <w:t>%, placing it in the top 1</w:t>
      </w:r>
      <w:r w:rsidR="006A25B5">
        <w:rPr>
          <w:rFonts w:ascii="Arial" w:hAnsi="Arial" w:cs="Arial"/>
          <w:color w:val="2D3439"/>
          <w:sz w:val="20"/>
          <w:szCs w:val="20"/>
        </w:rPr>
        <w:t>5</w:t>
      </w:r>
      <w:r w:rsidRPr="007D14BD">
        <w:rPr>
          <w:rFonts w:ascii="Arial" w:hAnsi="Arial" w:cs="Arial"/>
          <w:color w:val="2D3439"/>
          <w:sz w:val="20"/>
          <w:szCs w:val="20"/>
        </w:rPr>
        <w:t>th percentile in the Callan Public Fund Sponsor Database</w:t>
      </w:r>
    </w:p>
    <w:p w14:paraId="576A764A" w14:textId="77777777" w:rsidR="0098168E" w:rsidRPr="007D14BD" w:rsidRDefault="0098168E" w:rsidP="00CD62E7">
      <w:pPr>
        <w:pStyle w:val="ListParagraph"/>
        <w:spacing w:after="60"/>
        <w:ind w:left="1080"/>
        <w:outlineLvl w:val="0"/>
        <w:rPr>
          <w:rFonts w:ascii="Arial" w:hAnsi="Arial" w:cs="Arial"/>
          <w:color w:val="2D3439"/>
          <w:sz w:val="20"/>
          <w:szCs w:val="20"/>
        </w:rPr>
      </w:pPr>
    </w:p>
    <w:p w14:paraId="2A48D551" w14:textId="7F84FBCF" w:rsidR="00E90751" w:rsidRDefault="00225235" w:rsidP="00CD62E7">
      <w:pPr>
        <w:pStyle w:val="ListParagraph"/>
        <w:numPr>
          <w:ilvl w:val="0"/>
          <w:numId w:val="17"/>
        </w:numPr>
        <w:spacing w:after="60"/>
        <w:outlineLvl w:val="0"/>
        <w:rPr>
          <w:rFonts w:ascii="Arial" w:hAnsi="Arial" w:cs="Arial"/>
          <w:color w:val="2D3439"/>
          <w:sz w:val="20"/>
          <w:szCs w:val="20"/>
        </w:rPr>
      </w:pPr>
      <w:r>
        <w:rPr>
          <w:rFonts w:ascii="Arial" w:hAnsi="Arial" w:cs="Arial"/>
          <w:color w:val="2D3439"/>
          <w:sz w:val="20"/>
          <w:szCs w:val="20"/>
        </w:rPr>
        <w:t>D</w:t>
      </w:r>
      <w:r w:rsidR="00E90751" w:rsidRPr="007D14BD">
        <w:rPr>
          <w:rFonts w:ascii="Arial" w:hAnsi="Arial" w:cs="Arial"/>
          <w:color w:val="2D3439"/>
          <w:sz w:val="20"/>
          <w:szCs w:val="20"/>
        </w:rPr>
        <w:t xml:space="preserve">istributions to land-grant beneficiaries </w:t>
      </w:r>
      <w:r w:rsidR="005A54DD">
        <w:rPr>
          <w:rFonts w:ascii="Arial" w:hAnsi="Arial" w:cs="Arial"/>
          <w:color w:val="2D3439"/>
          <w:sz w:val="20"/>
          <w:szCs w:val="20"/>
        </w:rPr>
        <w:t>were</w:t>
      </w:r>
      <w:r w:rsidR="00E90751" w:rsidRPr="007D14BD">
        <w:rPr>
          <w:rFonts w:ascii="Arial" w:hAnsi="Arial" w:cs="Arial"/>
          <w:color w:val="2D3439"/>
          <w:sz w:val="20"/>
          <w:szCs w:val="20"/>
        </w:rPr>
        <w:t xml:space="preserve"> $8</w:t>
      </w:r>
      <w:r w:rsidR="00596515">
        <w:rPr>
          <w:rFonts w:ascii="Arial" w:hAnsi="Arial" w:cs="Arial"/>
          <w:color w:val="2D3439"/>
          <w:sz w:val="20"/>
          <w:szCs w:val="20"/>
        </w:rPr>
        <w:t>4.5</w:t>
      </w:r>
      <w:r w:rsidR="00E90751" w:rsidRPr="007D14BD">
        <w:rPr>
          <w:rFonts w:ascii="Arial" w:hAnsi="Arial" w:cs="Arial"/>
          <w:color w:val="2D3439"/>
          <w:sz w:val="20"/>
          <w:szCs w:val="20"/>
        </w:rPr>
        <w:t xml:space="preserve"> </w:t>
      </w:r>
      <w:r w:rsidR="0062487C">
        <w:rPr>
          <w:rFonts w:ascii="Arial" w:hAnsi="Arial" w:cs="Arial"/>
          <w:color w:val="2D3439"/>
          <w:sz w:val="20"/>
          <w:szCs w:val="20"/>
        </w:rPr>
        <w:t>million</w:t>
      </w:r>
      <w:r>
        <w:rPr>
          <w:rFonts w:ascii="Arial" w:hAnsi="Arial" w:cs="Arial"/>
          <w:color w:val="2D3439"/>
          <w:sz w:val="20"/>
          <w:szCs w:val="20"/>
        </w:rPr>
        <w:t xml:space="preserve"> in FY2021 and are increasing to</w:t>
      </w:r>
      <w:r w:rsidR="000906FD">
        <w:rPr>
          <w:rFonts w:ascii="Arial" w:hAnsi="Arial" w:cs="Arial"/>
          <w:color w:val="2D3439"/>
          <w:sz w:val="20"/>
          <w:szCs w:val="20"/>
        </w:rPr>
        <w:t xml:space="preserve"> $88</w:t>
      </w:r>
      <w:r>
        <w:rPr>
          <w:rFonts w:ascii="Arial" w:hAnsi="Arial" w:cs="Arial"/>
          <w:color w:val="2D3439"/>
          <w:sz w:val="20"/>
          <w:szCs w:val="20"/>
        </w:rPr>
        <w:t>.1</w:t>
      </w:r>
      <w:r w:rsidR="000906FD">
        <w:rPr>
          <w:rFonts w:ascii="Arial" w:hAnsi="Arial" w:cs="Arial"/>
          <w:color w:val="2D3439"/>
          <w:sz w:val="20"/>
          <w:szCs w:val="20"/>
        </w:rPr>
        <w:t xml:space="preserve"> </w:t>
      </w:r>
      <w:r w:rsidR="0062487C">
        <w:rPr>
          <w:rFonts w:ascii="Arial" w:hAnsi="Arial" w:cs="Arial"/>
          <w:color w:val="2D3439"/>
          <w:sz w:val="20"/>
          <w:szCs w:val="20"/>
        </w:rPr>
        <w:t>million</w:t>
      </w:r>
      <w:r>
        <w:rPr>
          <w:rFonts w:ascii="Arial" w:hAnsi="Arial" w:cs="Arial"/>
          <w:color w:val="2D3439"/>
          <w:sz w:val="20"/>
          <w:szCs w:val="20"/>
        </w:rPr>
        <w:t xml:space="preserve"> in FY2022</w:t>
      </w:r>
    </w:p>
    <w:p w14:paraId="5B37445F" w14:textId="77777777" w:rsidR="00225235" w:rsidRPr="00225235" w:rsidRDefault="00225235" w:rsidP="00225235">
      <w:pPr>
        <w:pStyle w:val="ListParagraph"/>
        <w:rPr>
          <w:rFonts w:ascii="Arial" w:hAnsi="Arial" w:cs="Arial"/>
          <w:color w:val="2D3439"/>
          <w:sz w:val="20"/>
          <w:szCs w:val="20"/>
        </w:rPr>
      </w:pPr>
    </w:p>
    <w:p w14:paraId="0A4D86C1" w14:textId="1DCE07C5" w:rsidR="00225235" w:rsidRDefault="00225235" w:rsidP="00CD62E7">
      <w:pPr>
        <w:pStyle w:val="ListParagraph"/>
        <w:numPr>
          <w:ilvl w:val="0"/>
          <w:numId w:val="17"/>
        </w:numPr>
        <w:spacing w:after="60"/>
        <w:outlineLvl w:val="0"/>
        <w:rPr>
          <w:rFonts w:ascii="Arial" w:hAnsi="Arial" w:cs="Arial"/>
          <w:color w:val="2D3439"/>
          <w:sz w:val="20"/>
          <w:szCs w:val="20"/>
        </w:rPr>
      </w:pPr>
      <w:r>
        <w:rPr>
          <w:rFonts w:ascii="Arial" w:hAnsi="Arial" w:cs="Arial"/>
          <w:color w:val="2D3439"/>
          <w:sz w:val="20"/>
          <w:szCs w:val="20"/>
        </w:rPr>
        <w:t>Net revenue from Department o</w:t>
      </w:r>
      <w:r w:rsidR="005A54DD">
        <w:rPr>
          <w:rFonts w:ascii="Arial" w:hAnsi="Arial" w:cs="Arial"/>
          <w:color w:val="2D3439"/>
          <w:sz w:val="20"/>
          <w:szCs w:val="20"/>
        </w:rPr>
        <w:t>f</w:t>
      </w:r>
      <w:r>
        <w:rPr>
          <w:rFonts w:ascii="Arial" w:hAnsi="Arial" w:cs="Arial"/>
          <w:color w:val="2D3439"/>
          <w:sz w:val="20"/>
          <w:szCs w:val="20"/>
        </w:rPr>
        <w:t xml:space="preserve"> Lands increased </w:t>
      </w:r>
      <w:r w:rsidR="005A54DD">
        <w:rPr>
          <w:rFonts w:ascii="Arial" w:hAnsi="Arial" w:cs="Arial"/>
          <w:color w:val="2D3439"/>
          <w:sz w:val="20"/>
          <w:szCs w:val="20"/>
        </w:rPr>
        <w:t>23%</w:t>
      </w:r>
    </w:p>
    <w:p w14:paraId="7B3A6546" w14:textId="77777777" w:rsidR="00225235" w:rsidRPr="00225235" w:rsidRDefault="00225235" w:rsidP="00225235">
      <w:pPr>
        <w:pStyle w:val="ListParagraph"/>
        <w:rPr>
          <w:rFonts w:ascii="Arial" w:hAnsi="Arial" w:cs="Arial"/>
          <w:color w:val="2D3439"/>
          <w:sz w:val="20"/>
          <w:szCs w:val="20"/>
        </w:rPr>
      </w:pPr>
    </w:p>
    <w:p w14:paraId="5F13FB4E" w14:textId="165BEE51" w:rsidR="00814163" w:rsidRPr="00814163" w:rsidRDefault="00225235" w:rsidP="00225235">
      <w:pPr>
        <w:pStyle w:val="ListParagraph"/>
        <w:numPr>
          <w:ilvl w:val="0"/>
          <w:numId w:val="17"/>
        </w:numPr>
        <w:spacing w:after="60"/>
        <w:outlineLvl w:val="0"/>
        <w:rPr>
          <w:rFonts w:ascii="Arial" w:hAnsi="Arial" w:cs="Arial"/>
          <w:color w:val="2D3439"/>
          <w:sz w:val="20"/>
          <w:szCs w:val="20"/>
        </w:rPr>
      </w:pPr>
      <w:r w:rsidRPr="00225235">
        <w:rPr>
          <w:rFonts w:ascii="Arial" w:hAnsi="Arial" w:cs="Arial"/>
          <w:color w:val="2D3439"/>
          <w:sz w:val="20"/>
          <w:szCs w:val="20"/>
        </w:rPr>
        <w:t xml:space="preserve">$31.8 million was transferred into the </w:t>
      </w:r>
      <w:r w:rsidR="0062487C">
        <w:rPr>
          <w:rFonts w:ascii="Arial" w:hAnsi="Arial" w:cs="Arial"/>
          <w:color w:val="2D3439"/>
          <w:sz w:val="20"/>
          <w:szCs w:val="20"/>
        </w:rPr>
        <w:t>P</w:t>
      </w:r>
      <w:r w:rsidRPr="00225235">
        <w:rPr>
          <w:rFonts w:ascii="Arial" w:hAnsi="Arial" w:cs="Arial"/>
          <w:color w:val="2D3439"/>
          <w:sz w:val="20"/>
          <w:szCs w:val="20"/>
        </w:rPr>
        <w:t xml:space="preserve">ermanent </w:t>
      </w:r>
      <w:r w:rsidR="0062487C">
        <w:rPr>
          <w:rFonts w:ascii="Arial" w:hAnsi="Arial" w:cs="Arial"/>
          <w:color w:val="2D3439"/>
          <w:sz w:val="20"/>
          <w:szCs w:val="20"/>
        </w:rPr>
        <w:t>F</w:t>
      </w:r>
      <w:r w:rsidRPr="00225235">
        <w:rPr>
          <w:rFonts w:ascii="Arial" w:hAnsi="Arial" w:cs="Arial"/>
          <w:color w:val="2D3439"/>
          <w:sz w:val="20"/>
          <w:szCs w:val="20"/>
        </w:rPr>
        <w:t>und from the Land Ban</w:t>
      </w:r>
      <w:r w:rsidR="005A54DD">
        <w:rPr>
          <w:rFonts w:ascii="Arial" w:hAnsi="Arial" w:cs="Arial"/>
          <w:color w:val="2D3439"/>
          <w:sz w:val="20"/>
          <w:szCs w:val="20"/>
        </w:rPr>
        <w:t>k</w:t>
      </w:r>
    </w:p>
    <w:p w14:paraId="7EAD72A4" w14:textId="52CED8D1" w:rsidR="00814163" w:rsidRDefault="00814163" w:rsidP="00225235">
      <w:pPr>
        <w:pStyle w:val="ListParagraph"/>
        <w:spacing w:after="60"/>
        <w:ind w:left="1080"/>
        <w:outlineLvl w:val="0"/>
        <w:rPr>
          <w:rFonts w:ascii="Arial" w:hAnsi="Arial" w:cs="Arial"/>
          <w:color w:val="2D3439"/>
          <w:sz w:val="20"/>
          <w:szCs w:val="20"/>
        </w:rPr>
      </w:pPr>
    </w:p>
    <w:p w14:paraId="0AD8D782" w14:textId="56F18F2F" w:rsidR="00240D2A" w:rsidRDefault="00240D2A" w:rsidP="00240D2A">
      <w:pPr>
        <w:spacing w:after="60"/>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3BD05F0F" w14:textId="77777777" w:rsidR="002C7E0F" w:rsidRPr="007D14BD" w:rsidRDefault="002C7E0F" w:rsidP="002C7E0F">
      <w:pPr>
        <w:rPr>
          <w:rFonts w:ascii="Arial" w:hAnsi="Arial" w:cs="Arial"/>
          <w:sz w:val="22"/>
          <w:szCs w:val="22"/>
        </w:rPr>
      </w:pP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6A0" w:firstRow="1" w:lastRow="0" w:firstColumn="1" w:lastColumn="0" w:noHBand="1" w:noVBand="1"/>
      </w:tblPr>
      <w:tblGrid>
        <w:gridCol w:w="3081"/>
        <w:gridCol w:w="1235"/>
        <w:gridCol w:w="996"/>
        <w:gridCol w:w="978"/>
        <w:gridCol w:w="939"/>
        <w:gridCol w:w="1043"/>
        <w:gridCol w:w="990"/>
        <w:gridCol w:w="900"/>
      </w:tblGrid>
      <w:tr w:rsidR="00F5321E" w:rsidRPr="00992F6A" w14:paraId="0006B4EF" w14:textId="77777777" w:rsidTr="00C97853">
        <w:trPr>
          <w:cantSplit/>
          <w:trHeight w:val="327"/>
          <w:tblHeader/>
        </w:trPr>
        <w:tc>
          <w:tcPr>
            <w:tcW w:w="4316" w:type="dxa"/>
            <w:gridSpan w:val="2"/>
            <w:shd w:val="clear" w:color="auto" w:fill="000080"/>
            <w:vAlign w:val="bottom"/>
            <w:hideMark/>
          </w:tcPr>
          <w:p w14:paraId="43DB8B34" w14:textId="77777777" w:rsidR="00F5321E" w:rsidRPr="00992F6A" w:rsidRDefault="00F5321E" w:rsidP="00F5321E">
            <w:pPr>
              <w:jc w:val="center"/>
              <w:rPr>
                <w:rFonts w:ascii="Arial" w:hAnsi="Arial" w:cs="Arial"/>
                <w:b/>
                <w:bCs/>
                <w:color w:val="FFFFFF"/>
                <w:sz w:val="20"/>
              </w:rPr>
            </w:pPr>
            <w:r>
              <w:rPr>
                <w:rFonts w:ascii="Arial" w:hAnsi="Arial" w:cs="Arial"/>
                <w:b/>
                <w:bCs/>
                <w:color w:val="FFFFFF"/>
                <w:sz w:val="20"/>
              </w:rPr>
              <w:t>Performance</w:t>
            </w:r>
            <w:r w:rsidRPr="00992F6A">
              <w:rPr>
                <w:rFonts w:ascii="Arial" w:hAnsi="Arial" w:cs="Arial"/>
                <w:b/>
                <w:bCs/>
                <w:color w:val="FFFFFF"/>
                <w:sz w:val="20"/>
              </w:rPr>
              <w:t xml:space="preserve"> Measure</w:t>
            </w:r>
          </w:p>
        </w:tc>
        <w:tc>
          <w:tcPr>
            <w:tcW w:w="996" w:type="dxa"/>
            <w:shd w:val="clear" w:color="auto" w:fill="000080"/>
            <w:vAlign w:val="bottom"/>
          </w:tcPr>
          <w:p w14:paraId="5878320A" w14:textId="232C1380" w:rsidR="00F5321E" w:rsidRPr="00992F6A" w:rsidRDefault="00FB10C0" w:rsidP="00F5321E">
            <w:pPr>
              <w:jc w:val="center"/>
              <w:rPr>
                <w:rFonts w:ascii="Arial" w:hAnsi="Arial" w:cs="Arial"/>
                <w:b/>
                <w:bCs/>
                <w:color w:val="FFFFFF"/>
                <w:sz w:val="20"/>
              </w:rPr>
            </w:pPr>
            <w:r>
              <w:rPr>
                <w:rFonts w:ascii="Arial" w:hAnsi="Arial" w:cs="Arial"/>
                <w:b/>
                <w:bCs/>
                <w:color w:val="FFFFFF"/>
                <w:sz w:val="20"/>
              </w:rPr>
              <w:t>FY 2019</w:t>
            </w:r>
          </w:p>
        </w:tc>
        <w:tc>
          <w:tcPr>
            <w:tcW w:w="978" w:type="dxa"/>
            <w:shd w:val="clear" w:color="auto" w:fill="000080"/>
            <w:vAlign w:val="bottom"/>
          </w:tcPr>
          <w:p w14:paraId="162495E8" w14:textId="66D6B9AF" w:rsidR="00F5321E" w:rsidRPr="00992F6A" w:rsidRDefault="00FB10C0" w:rsidP="00F5321E">
            <w:pPr>
              <w:jc w:val="center"/>
              <w:rPr>
                <w:rFonts w:ascii="Arial" w:hAnsi="Arial" w:cs="Arial"/>
                <w:b/>
                <w:bCs/>
                <w:color w:val="FFFFFF"/>
                <w:sz w:val="20"/>
              </w:rPr>
            </w:pPr>
            <w:r>
              <w:rPr>
                <w:rFonts w:ascii="Arial" w:hAnsi="Arial" w:cs="Arial"/>
                <w:b/>
                <w:bCs/>
                <w:color w:val="FFFFFF"/>
                <w:sz w:val="20"/>
              </w:rPr>
              <w:t>FY 2020</w:t>
            </w:r>
          </w:p>
        </w:tc>
        <w:tc>
          <w:tcPr>
            <w:tcW w:w="939" w:type="dxa"/>
            <w:shd w:val="clear" w:color="auto" w:fill="000080"/>
            <w:vAlign w:val="bottom"/>
          </w:tcPr>
          <w:p w14:paraId="1497AAD1" w14:textId="2A35A7E1" w:rsidR="00F5321E" w:rsidRPr="00B76964" w:rsidRDefault="00FB10C0" w:rsidP="00F5321E">
            <w:pPr>
              <w:jc w:val="center"/>
              <w:rPr>
                <w:rFonts w:ascii="Arial" w:hAnsi="Arial" w:cs="Arial"/>
                <w:b/>
                <w:bCs/>
                <w:color w:val="FFFFFF"/>
                <w:sz w:val="20"/>
              </w:rPr>
            </w:pPr>
            <w:r>
              <w:rPr>
                <w:rFonts w:ascii="Arial" w:hAnsi="Arial" w:cs="Arial"/>
                <w:b/>
                <w:bCs/>
                <w:color w:val="FFFFFF"/>
                <w:sz w:val="20"/>
              </w:rPr>
              <w:t>FY 2021</w:t>
            </w:r>
          </w:p>
        </w:tc>
        <w:tc>
          <w:tcPr>
            <w:tcW w:w="1043" w:type="dxa"/>
            <w:shd w:val="clear" w:color="auto" w:fill="000080"/>
            <w:vAlign w:val="bottom"/>
          </w:tcPr>
          <w:p w14:paraId="1980DCFC" w14:textId="185B2EE6" w:rsidR="00F5321E" w:rsidRPr="00B76964" w:rsidRDefault="00FB10C0" w:rsidP="006D5026">
            <w:pPr>
              <w:jc w:val="center"/>
              <w:rPr>
                <w:rFonts w:ascii="Arial" w:hAnsi="Arial" w:cs="Arial"/>
                <w:b/>
                <w:bCs/>
                <w:color w:val="FFFFFF"/>
                <w:sz w:val="20"/>
              </w:rPr>
            </w:pPr>
            <w:r>
              <w:rPr>
                <w:rFonts w:ascii="Arial" w:hAnsi="Arial" w:cs="Arial"/>
                <w:b/>
                <w:bCs/>
                <w:color w:val="FFFFFF"/>
                <w:sz w:val="20"/>
                <w:szCs w:val="20"/>
              </w:rPr>
              <w:t>FY 2022</w:t>
            </w:r>
          </w:p>
        </w:tc>
        <w:tc>
          <w:tcPr>
            <w:tcW w:w="990" w:type="dxa"/>
            <w:shd w:val="clear" w:color="auto" w:fill="000080"/>
            <w:vAlign w:val="bottom"/>
          </w:tcPr>
          <w:p w14:paraId="47384841" w14:textId="42565EEB" w:rsidR="002131E7" w:rsidRPr="002131E7" w:rsidRDefault="00FB10C0" w:rsidP="00F5321E">
            <w:pPr>
              <w:jc w:val="center"/>
              <w:rPr>
                <w:rFonts w:ascii="Arial" w:hAnsi="Arial" w:cs="Arial"/>
                <w:b/>
                <w:bCs/>
                <w:color w:val="FFFFFF"/>
                <w:sz w:val="20"/>
              </w:rPr>
            </w:pPr>
            <w:r>
              <w:rPr>
                <w:rFonts w:ascii="Arial" w:hAnsi="Arial" w:cs="Arial"/>
                <w:b/>
                <w:bCs/>
                <w:color w:val="FFFFFF"/>
                <w:sz w:val="20"/>
                <w:szCs w:val="20"/>
              </w:rPr>
              <w:t>FY 2023</w:t>
            </w:r>
          </w:p>
        </w:tc>
        <w:tc>
          <w:tcPr>
            <w:tcW w:w="900" w:type="dxa"/>
            <w:shd w:val="clear" w:color="auto" w:fill="000080"/>
            <w:vAlign w:val="center"/>
          </w:tcPr>
          <w:p w14:paraId="5538D315" w14:textId="77777777" w:rsidR="00F5321E" w:rsidRPr="00992F6A" w:rsidRDefault="00F5321E" w:rsidP="00F5321E">
            <w:pPr>
              <w:jc w:val="center"/>
              <w:rPr>
                <w:rFonts w:ascii="Arial" w:hAnsi="Arial" w:cs="Arial"/>
                <w:b/>
                <w:bCs/>
                <w:color w:val="FFFFFF"/>
                <w:sz w:val="20"/>
              </w:rPr>
            </w:pPr>
            <w:r>
              <w:rPr>
                <w:rFonts w:ascii="Arial" w:hAnsi="Arial" w:cs="Arial"/>
                <w:b/>
                <w:bCs/>
                <w:color w:val="FFFFFF"/>
                <w:sz w:val="20"/>
              </w:rPr>
              <w:t>5-Year Avg.</w:t>
            </w:r>
            <w:r>
              <w:rPr>
                <w:rStyle w:val="EndnoteReference"/>
                <w:szCs w:val="20"/>
              </w:rPr>
              <w:t>6</w:t>
            </w:r>
          </w:p>
        </w:tc>
      </w:tr>
      <w:tr w:rsidR="00D455DB" w:rsidRPr="006C3B46" w14:paraId="7291ADFD" w14:textId="77777777" w:rsidTr="00C97853">
        <w:trPr>
          <w:cantSplit/>
          <w:trHeight w:val="525"/>
        </w:trPr>
        <w:tc>
          <w:tcPr>
            <w:tcW w:w="10162" w:type="dxa"/>
            <w:gridSpan w:val="8"/>
            <w:shd w:val="clear" w:color="auto" w:fill="DBE5F1" w:themeFill="accent1" w:themeFillTint="33"/>
            <w:vAlign w:val="center"/>
          </w:tcPr>
          <w:p w14:paraId="1C57E24F" w14:textId="77777777" w:rsidR="00D455DB" w:rsidRPr="00C35D1A" w:rsidRDefault="00D455DB" w:rsidP="00C90DFA">
            <w:pPr>
              <w:jc w:val="both"/>
              <w:rPr>
                <w:rFonts w:ascii="Arial" w:hAnsi="Arial" w:cs="Arial"/>
                <w:i/>
                <w:sz w:val="20"/>
              </w:rPr>
            </w:pPr>
            <w:r w:rsidRPr="00C35D1A">
              <w:rPr>
                <w:rFonts w:ascii="Arial" w:hAnsi="Arial" w:cs="Arial"/>
                <w:b/>
                <w:i/>
                <w:sz w:val="20"/>
              </w:rPr>
              <w:t xml:space="preserve">As our clients’ individual needs for managing an endowment fund require, we will: </w:t>
            </w:r>
            <w:r w:rsidRPr="00C35D1A">
              <w:rPr>
                <w:rFonts w:ascii="Arial" w:hAnsi="Arial" w:cs="Arial"/>
                <w:i/>
                <w:sz w:val="20"/>
              </w:rPr>
              <w:t>Develop a prudent long-term investment strategy, utilize the best portfolio managers, consultants and other agents to execute that strategy, diligently evaluate performance over time, develop an effective distribution policy, and help them fulfill their fiduciary responsibilities and communicate with their stakeholders</w:t>
            </w:r>
          </w:p>
        </w:tc>
      </w:tr>
      <w:tr w:rsidR="00D455DB" w:rsidRPr="00992F6A" w14:paraId="1F0A056C" w14:textId="77777777" w:rsidTr="00C97853">
        <w:trPr>
          <w:cantSplit/>
          <w:trHeight w:val="318"/>
        </w:trPr>
        <w:tc>
          <w:tcPr>
            <w:tcW w:w="10162" w:type="dxa"/>
            <w:gridSpan w:val="8"/>
            <w:vAlign w:val="center"/>
            <w:hideMark/>
          </w:tcPr>
          <w:p w14:paraId="59CCC0B7" w14:textId="1D7263A9" w:rsidR="00D455DB" w:rsidRDefault="00D455DB" w:rsidP="00EE5478">
            <w:pPr>
              <w:numPr>
                <w:ilvl w:val="0"/>
                <w:numId w:val="3"/>
              </w:numPr>
              <w:ind w:left="342"/>
              <w:contextualSpacing/>
              <w:rPr>
                <w:rFonts w:ascii="Arial" w:hAnsi="Arial" w:cs="Arial"/>
                <w:sz w:val="20"/>
              </w:rPr>
            </w:pPr>
            <w:r>
              <w:rPr>
                <w:rFonts w:ascii="Arial" w:hAnsi="Arial" w:cs="Arial"/>
                <w:sz w:val="20"/>
              </w:rPr>
              <w:t>Return vs. Benchmark (</w:t>
            </w:r>
            <w:r w:rsidR="00983E17">
              <w:rPr>
                <w:rFonts w:ascii="Arial" w:hAnsi="Arial" w:cs="Arial"/>
                <w:sz w:val="20"/>
              </w:rPr>
              <w:t xml:space="preserve">gross </w:t>
            </w:r>
            <w:r>
              <w:rPr>
                <w:rFonts w:ascii="Arial" w:hAnsi="Arial" w:cs="Arial"/>
                <w:sz w:val="20"/>
              </w:rPr>
              <w:t>of fees)</w:t>
            </w:r>
          </w:p>
        </w:tc>
      </w:tr>
      <w:tr w:rsidR="00FB10C0" w:rsidRPr="00992F6A" w14:paraId="607C8502" w14:textId="77777777" w:rsidTr="00C97853">
        <w:trPr>
          <w:cantSplit/>
          <w:trHeight w:val="75"/>
        </w:trPr>
        <w:tc>
          <w:tcPr>
            <w:tcW w:w="3081" w:type="dxa"/>
            <w:vMerge w:val="restart"/>
            <w:hideMark/>
          </w:tcPr>
          <w:p w14:paraId="5E7ECB03" w14:textId="77777777" w:rsidR="00FB10C0" w:rsidRPr="00704A3E" w:rsidRDefault="00FB10C0" w:rsidP="00FB10C0">
            <w:pPr>
              <w:pStyle w:val="ListParagraph"/>
              <w:numPr>
                <w:ilvl w:val="0"/>
                <w:numId w:val="4"/>
              </w:numPr>
              <w:rPr>
                <w:rFonts w:ascii="Arial" w:hAnsi="Arial" w:cs="Arial"/>
                <w:bCs/>
                <w:sz w:val="20"/>
              </w:rPr>
            </w:pPr>
            <w:r>
              <w:rPr>
                <w:rFonts w:ascii="Arial" w:hAnsi="Arial" w:cs="Arial"/>
                <w:bCs/>
                <w:sz w:val="20"/>
              </w:rPr>
              <w:t>Land Grant</w:t>
            </w:r>
            <w:r w:rsidRPr="00704A3E">
              <w:rPr>
                <w:rFonts w:ascii="Arial" w:hAnsi="Arial" w:cs="Arial"/>
                <w:bCs/>
                <w:sz w:val="20"/>
              </w:rPr>
              <w:t xml:space="preserve"> Endowment Fund</w:t>
            </w:r>
            <w:r>
              <w:rPr>
                <w:rStyle w:val="EndnoteReference"/>
                <w:rFonts w:ascii="Arial" w:hAnsi="Arial" w:cs="Arial"/>
                <w:bCs/>
                <w:sz w:val="20"/>
              </w:rPr>
              <w:endnoteReference w:id="1"/>
            </w:r>
          </w:p>
        </w:tc>
        <w:tc>
          <w:tcPr>
            <w:tcW w:w="1235" w:type="dxa"/>
            <w:shd w:val="clear" w:color="auto" w:fill="D9D9D9" w:themeFill="background1" w:themeFillShade="D9"/>
            <w:vAlign w:val="center"/>
            <w:hideMark/>
          </w:tcPr>
          <w:p w14:paraId="413F1692" w14:textId="77777777" w:rsidR="00FB10C0" w:rsidRPr="00992F6A" w:rsidRDefault="00FB10C0" w:rsidP="00FB10C0">
            <w:pPr>
              <w:jc w:val="center"/>
              <w:rPr>
                <w:rFonts w:ascii="Arial" w:hAnsi="Arial" w:cs="Arial"/>
                <w:sz w:val="20"/>
              </w:rPr>
            </w:pPr>
            <w:r>
              <w:rPr>
                <w:rFonts w:ascii="Arial" w:hAnsi="Arial" w:cs="Arial"/>
                <w:sz w:val="20"/>
              </w:rPr>
              <w:t>total return</w:t>
            </w:r>
          </w:p>
        </w:tc>
        <w:tc>
          <w:tcPr>
            <w:tcW w:w="996" w:type="dxa"/>
            <w:shd w:val="clear" w:color="auto" w:fill="D9D9D9" w:themeFill="background1" w:themeFillShade="D9"/>
            <w:vAlign w:val="center"/>
          </w:tcPr>
          <w:p w14:paraId="2C51A8C5" w14:textId="58E431C5" w:rsidR="00FB10C0" w:rsidRPr="00D6698C" w:rsidRDefault="00FB10C0" w:rsidP="00FB10C0">
            <w:pPr>
              <w:jc w:val="center"/>
              <w:rPr>
                <w:rFonts w:ascii="Arial" w:hAnsi="Arial" w:cs="Arial"/>
                <w:bCs/>
                <w:sz w:val="20"/>
                <w:szCs w:val="20"/>
              </w:rPr>
            </w:pPr>
            <w:r w:rsidRPr="00D6698C">
              <w:rPr>
                <w:rFonts w:ascii="Arial" w:hAnsi="Arial" w:cs="Arial"/>
                <w:sz w:val="20"/>
                <w:szCs w:val="20"/>
              </w:rPr>
              <w:t>7.7%</w:t>
            </w:r>
          </w:p>
        </w:tc>
        <w:tc>
          <w:tcPr>
            <w:tcW w:w="978" w:type="dxa"/>
            <w:shd w:val="clear" w:color="auto" w:fill="D9D9D9" w:themeFill="background1" w:themeFillShade="D9"/>
            <w:vAlign w:val="center"/>
          </w:tcPr>
          <w:p w14:paraId="53C45D37" w14:textId="4556304D" w:rsidR="00FB10C0" w:rsidRPr="00D6698C" w:rsidRDefault="00FB10C0" w:rsidP="00FB10C0">
            <w:pPr>
              <w:jc w:val="center"/>
              <w:rPr>
                <w:rFonts w:ascii="Arial" w:hAnsi="Arial" w:cs="Arial"/>
                <w:sz w:val="20"/>
              </w:rPr>
            </w:pPr>
            <w:r w:rsidRPr="00D6698C">
              <w:rPr>
                <w:rFonts w:ascii="Arial" w:hAnsi="Arial" w:cs="Arial"/>
                <w:sz w:val="20"/>
                <w:szCs w:val="20"/>
              </w:rPr>
              <w:t>5.2%</w:t>
            </w:r>
          </w:p>
        </w:tc>
        <w:tc>
          <w:tcPr>
            <w:tcW w:w="939" w:type="dxa"/>
            <w:shd w:val="clear" w:color="auto" w:fill="D9D9D9" w:themeFill="background1" w:themeFillShade="D9"/>
            <w:vAlign w:val="center"/>
          </w:tcPr>
          <w:p w14:paraId="2F38E40B" w14:textId="1687DCBB" w:rsidR="00FB10C0" w:rsidRPr="00D6698C" w:rsidRDefault="00FB10C0" w:rsidP="00FB10C0">
            <w:pPr>
              <w:jc w:val="center"/>
              <w:rPr>
                <w:rFonts w:ascii="Arial" w:hAnsi="Arial" w:cs="Arial"/>
                <w:sz w:val="20"/>
                <w:szCs w:val="20"/>
              </w:rPr>
            </w:pPr>
            <w:r>
              <w:rPr>
                <w:rFonts w:ascii="Arial" w:hAnsi="Arial" w:cs="Arial"/>
                <w:sz w:val="20"/>
                <w:szCs w:val="20"/>
              </w:rPr>
              <w:t>29.7</w:t>
            </w:r>
            <w:r w:rsidRPr="00D6698C">
              <w:rPr>
                <w:rFonts w:ascii="Arial" w:hAnsi="Arial" w:cs="Arial"/>
                <w:sz w:val="20"/>
                <w:szCs w:val="20"/>
              </w:rPr>
              <w:t>%</w:t>
            </w:r>
          </w:p>
        </w:tc>
        <w:tc>
          <w:tcPr>
            <w:tcW w:w="1043" w:type="dxa"/>
            <w:shd w:val="clear" w:color="auto" w:fill="D9D9D9" w:themeFill="background1" w:themeFillShade="D9"/>
            <w:vAlign w:val="center"/>
          </w:tcPr>
          <w:p w14:paraId="34914467" w14:textId="34A02852" w:rsidR="00FB10C0" w:rsidRPr="00D6698C" w:rsidRDefault="00FB10C0" w:rsidP="00FB10C0">
            <w:pPr>
              <w:jc w:val="center"/>
              <w:rPr>
                <w:rFonts w:ascii="Arial" w:hAnsi="Arial" w:cs="Arial"/>
                <w:sz w:val="20"/>
                <w:szCs w:val="20"/>
              </w:rPr>
            </w:pPr>
          </w:p>
        </w:tc>
        <w:tc>
          <w:tcPr>
            <w:tcW w:w="990" w:type="dxa"/>
            <w:shd w:val="clear" w:color="auto" w:fill="D9D9D9" w:themeFill="background1" w:themeFillShade="D9"/>
            <w:vAlign w:val="center"/>
          </w:tcPr>
          <w:p w14:paraId="43F9E50E" w14:textId="5402054A" w:rsidR="00FB10C0" w:rsidRPr="00D6698C" w:rsidRDefault="00FB10C0" w:rsidP="00FB10C0">
            <w:pPr>
              <w:jc w:val="center"/>
              <w:rPr>
                <w:rFonts w:ascii="Arial" w:hAnsi="Arial" w:cs="Arial"/>
                <w:sz w:val="20"/>
                <w:szCs w:val="20"/>
              </w:rPr>
            </w:pPr>
          </w:p>
        </w:tc>
        <w:tc>
          <w:tcPr>
            <w:tcW w:w="900" w:type="dxa"/>
            <w:shd w:val="clear" w:color="auto" w:fill="D9D9D9" w:themeFill="background1" w:themeFillShade="D9"/>
            <w:vAlign w:val="center"/>
          </w:tcPr>
          <w:p w14:paraId="64D5286B" w14:textId="6BFD0FB9" w:rsidR="00FB10C0" w:rsidRPr="00D6698C" w:rsidRDefault="00FB10C0" w:rsidP="00FB10C0">
            <w:pPr>
              <w:jc w:val="center"/>
              <w:rPr>
                <w:rFonts w:ascii="Arial" w:hAnsi="Arial" w:cs="Arial"/>
                <w:sz w:val="20"/>
              </w:rPr>
            </w:pPr>
          </w:p>
        </w:tc>
      </w:tr>
      <w:tr w:rsidR="00FB10C0" w:rsidRPr="00992F6A" w14:paraId="062B8927" w14:textId="77777777" w:rsidTr="00C97853">
        <w:trPr>
          <w:cantSplit/>
          <w:trHeight w:val="93"/>
        </w:trPr>
        <w:tc>
          <w:tcPr>
            <w:tcW w:w="3081" w:type="dxa"/>
            <w:vMerge/>
            <w:vAlign w:val="center"/>
            <w:hideMark/>
          </w:tcPr>
          <w:p w14:paraId="24078C66"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hideMark/>
          </w:tcPr>
          <w:p w14:paraId="50A1E365" w14:textId="77777777" w:rsidR="00FB10C0" w:rsidRPr="005D78D0" w:rsidRDefault="00FB10C0" w:rsidP="00FB10C0">
            <w:pPr>
              <w:jc w:val="center"/>
              <w:rPr>
                <w:rFonts w:ascii="Arial" w:hAnsi="Arial" w:cs="Arial"/>
                <w:sz w:val="20"/>
              </w:rPr>
            </w:pPr>
            <w:r w:rsidRPr="005D78D0">
              <w:rPr>
                <w:rFonts w:ascii="Arial" w:hAnsi="Arial" w:cs="Arial"/>
                <w:sz w:val="20"/>
                <w:szCs w:val="16"/>
              </w:rPr>
              <w:t>target</w:t>
            </w:r>
          </w:p>
        </w:tc>
        <w:tc>
          <w:tcPr>
            <w:tcW w:w="996" w:type="dxa"/>
            <w:shd w:val="clear" w:color="auto" w:fill="FFFFFF" w:themeFill="background1"/>
            <w:vAlign w:val="center"/>
          </w:tcPr>
          <w:p w14:paraId="6D9D7853" w14:textId="28C5A42D" w:rsidR="00FB10C0" w:rsidRPr="005D78D0" w:rsidRDefault="00FB10C0" w:rsidP="00FB10C0">
            <w:pPr>
              <w:jc w:val="center"/>
              <w:rPr>
                <w:rFonts w:ascii="Arial" w:hAnsi="Arial" w:cs="Arial"/>
                <w:bCs/>
                <w:sz w:val="20"/>
                <w:szCs w:val="20"/>
              </w:rPr>
            </w:pPr>
            <w:r>
              <w:rPr>
                <w:rFonts w:ascii="Arial" w:hAnsi="Arial" w:cs="Arial"/>
                <w:sz w:val="20"/>
                <w:szCs w:val="20"/>
              </w:rPr>
              <w:t>7.1%</w:t>
            </w:r>
          </w:p>
        </w:tc>
        <w:tc>
          <w:tcPr>
            <w:tcW w:w="978" w:type="dxa"/>
            <w:shd w:val="clear" w:color="auto" w:fill="FFFFFF" w:themeFill="background1"/>
            <w:vAlign w:val="center"/>
          </w:tcPr>
          <w:p w14:paraId="4D1DF1CD" w14:textId="413826CB" w:rsidR="00FB10C0" w:rsidRPr="005D78D0" w:rsidRDefault="00FB10C0" w:rsidP="00FB10C0">
            <w:pPr>
              <w:jc w:val="center"/>
              <w:rPr>
                <w:rFonts w:ascii="Arial" w:hAnsi="Arial" w:cs="Arial"/>
                <w:sz w:val="20"/>
                <w:szCs w:val="16"/>
              </w:rPr>
            </w:pPr>
            <w:r>
              <w:rPr>
                <w:rFonts w:ascii="Arial" w:hAnsi="Arial" w:cs="Arial"/>
                <w:sz w:val="20"/>
                <w:szCs w:val="20"/>
              </w:rPr>
              <w:t>4.9%</w:t>
            </w:r>
          </w:p>
        </w:tc>
        <w:tc>
          <w:tcPr>
            <w:tcW w:w="939" w:type="dxa"/>
            <w:shd w:val="clear" w:color="auto" w:fill="FFFFFF" w:themeFill="background1"/>
            <w:vAlign w:val="center"/>
          </w:tcPr>
          <w:p w14:paraId="10D223D0" w14:textId="2235086C" w:rsidR="00FB10C0" w:rsidRPr="00C35D1A" w:rsidRDefault="00FB10C0" w:rsidP="00FB10C0">
            <w:pPr>
              <w:jc w:val="center"/>
              <w:rPr>
                <w:rFonts w:ascii="Arial" w:hAnsi="Arial" w:cs="Arial"/>
                <w:sz w:val="20"/>
                <w:szCs w:val="20"/>
              </w:rPr>
            </w:pPr>
            <w:r>
              <w:rPr>
                <w:rFonts w:ascii="Arial" w:hAnsi="Arial" w:cs="Arial"/>
                <w:sz w:val="20"/>
                <w:szCs w:val="20"/>
              </w:rPr>
              <w:t>25.9%</w:t>
            </w:r>
          </w:p>
        </w:tc>
        <w:tc>
          <w:tcPr>
            <w:tcW w:w="1043" w:type="dxa"/>
            <w:shd w:val="clear" w:color="auto" w:fill="FFFFFF" w:themeFill="background1"/>
            <w:vAlign w:val="center"/>
          </w:tcPr>
          <w:p w14:paraId="68B489F9" w14:textId="6790E66E" w:rsidR="00FB10C0" w:rsidRPr="00C35D1A" w:rsidRDefault="00FB10C0" w:rsidP="00FB10C0">
            <w:pPr>
              <w:jc w:val="center"/>
              <w:rPr>
                <w:rFonts w:ascii="Arial" w:hAnsi="Arial" w:cs="Arial"/>
                <w:sz w:val="20"/>
                <w:szCs w:val="20"/>
              </w:rPr>
            </w:pPr>
            <w:r>
              <w:rPr>
                <w:rFonts w:ascii="Arial" w:hAnsi="Arial" w:cs="Arial"/>
                <w:sz w:val="20"/>
                <w:szCs w:val="20"/>
              </w:rPr>
              <w:t>5.8%</w:t>
            </w:r>
          </w:p>
        </w:tc>
        <w:tc>
          <w:tcPr>
            <w:tcW w:w="990" w:type="dxa"/>
            <w:shd w:val="clear" w:color="auto" w:fill="FFFFFF" w:themeFill="background1"/>
            <w:vAlign w:val="center"/>
          </w:tcPr>
          <w:p w14:paraId="711E0420" w14:textId="069B70C1" w:rsidR="00FB10C0" w:rsidRPr="00C35D1A" w:rsidRDefault="00FB10C0" w:rsidP="00FB10C0">
            <w:pPr>
              <w:jc w:val="center"/>
              <w:rPr>
                <w:rFonts w:ascii="Arial" w:hAnsi="Arial" w:cs="Arial"/>
                <w:sz w:val="20"/>
                <w:szCs w:val="20"/>
              </w:rPr>
            </w:pPr>
          </w:p>
        </w:tc>
        <w:tc>
          <w:tcPr>
            <w:tcW w:w="900" w:type="dxa"/>
            <w:shd w:val="clear" w:color="auto" w:fill="FFFFFF" w:themeFill="background1"/>
            <w:vAlign w:val="center"/>
          </w:tcPr>
          <w:p w14:paraId="27912455" w14:textId="66510CB6" w:rsidR="00FB10C0" w:rsidRPr="005D78D0" w:rsidRDefault="00FB10C0" w:rsidP="00FB10C0">
            <w:pPr>
              <w:jc w:val="center"/>
              <w:rPr>
                <w:rFonts w:ascii="Arial" w:hAnsi="Arial" w:cs="Arial"/>
                <w:sz w:val="20"/>
                <w:szCs w:val="16"/>
              </w:rPr>
            </w:pPr>
          </w:p>
        </w:tc>
      </w:tr>
      <w:tr w:rsidR="00FB10C0" w:rsidRPr="00992F6A" w14:paraId="36101B89" w14:textId="77777777" w:rsidTr="00C97853">
        <w:trPr>
          <w:cantSplit/>
          <w:trHeight w:val="300"/>
        </w:trPr>
        <w:tc>
          <w:tcPr>
            <w:tcW w:w="3081" w:type="dxa"/>
            <w:vMerge/>
            <w:vAlign w:val="center"/>
          </w:tcPr>
          <w:p w14:paraId="4F396074"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tcPr>
          <w:p w14:paraId="67362053" w14:textId="77777777" w:rsidR="00FB10C0" w:rsidRPr="00B76184" w:rsidRDefault="00FB10C0" w:rsidP="00FB10C0">
            <w:pPr>
              <w:jc w:val="center"/>
              <w:rPr>
                <w:rFonts w:ascii="Arial" w:hAnsi="Arial" w:cs="Arial"/>
                <w:i/>
                <w:sz w:val="20"/>
                <w:szCs w:val="20"/>
              </w:rPr>
            </w:pPr>
            <w:r w:rsidRPr="00B76184">
              <w:rPr>
                <w:rFonts w:ascii="Arial" w:hAnsi="Arial" w:cs="Arial"/>
                <w:i/>
                <w:sz w:val="20"/>
                <w:szCs w:val="20"/>
              </w:rPr>
              <w:t>excess</w:t>
            </w:r>
          </w:p>
        </w:tc>
        <w:tc>
          <w:tcPr>
            <w:tcW w:w="996" w:type="dxa"/>
            <w:shd w:val="clear" w:color="auto" w:fill="FFFFFF" w:themeFill="background1"/>
            <w:vAlign w:val="center"/>
          </w:tcPr>
          <w:p w14:paraId="2282F65B" w14:textId="3CE509F0" w:rsidR="00FB10C0" w:rsidRPr="00B76184" w:rsidRDefault="00FB10C0" w:rsidP="00FB10C0">
            <w:pPr>
              <w:jc w:val="center"/>
              <w:rPr>
                <w:rFonts w:ascii="Arial" w:hAnsi="Arial" w:cs="Arial"/>
                <w:bCs/>
                <w:i/>
                <w:sz w:val="20"/>
                <w:szCs w:val="20"/>
              </w:rPr>
            </w:pPr>
            <w:r w:rsidRPr="00B76184">
              <w:rPr>
                <w:rFonts w:ascii="Arial" w:hAnsi="Arial" w:cs="Arial"/>
                <w:i/>
                <w:sz w:val="20"/>
                <w:szCs w:val="20"/>
              </w:rPr>
              <w:t>0.</w:t>
            </w:r>
            <w:r>
              <w:rPr>
                <w:rFonts w:ascii="Arial" w:hAnsi="Arial" w:cs="Arial"/>
                <w:i/>
                <w:sz w:val="20"/>
                <w:szCs w:val="20"/>
              </w:rPr>
              <w:t>6</w:t>
            </w:r>
            <w:r w:rsidRPr="00B76184">
              <w:rPr>
                <w:rFonts w:ascii="Arial" w:hAnsi="Arial" w:cs="Arial"/>
                <w:i/>
                <w:sz w:val="20"/>
                <w:szCs w:val="20"/>
              </w:rPr>
              <w:t>%</w:t>
            </w:r>
          </w:p>
        </w:tc>
        <w:tc>
          <w:tcPr>
            <w:tcW w:w="978" w:type="dxa"/>
            <w:shd w:val="clear" w:color="auto" w:fill="FFFFFF" w:themeFill="background1"/>
            <w:vAlign w:val="center"/>
          </w:tcPr>
          <w:p w14:paraId="1531D19C" w14:textId="39BB1F51" w:rsidR="00FB10C0" w:rsidRPr="00B76184" w:rsidRDefault="00FB10C0" w:rsidP="00FB10C0">
            <w:pPr>
              <w:jc w:val="center"/>
              <w:rPr>
                <w:rFonts w:ascii="Arial" w:hAnsi="Arial" w:cs="Arial"/>
                <w:i/>
                <w:sz w:val="20"/>
                <w:szCs w:val="20"/>
              </w:rPr>
            </w:pPr>
            <w:r>
              <w:rPr>
                <w:rFonts w:ascii="Arial" w:hAnsi="Arial" w:cs="Arial"/>
                <w:i/>
                <w:sz w:val="20"/>
                <w:szCs w:val="20"/>
              </w:rPr>
              <w:t>0.3%</w:t>
            </w:r>
          </w:p>
        </w:tc>
        <w:tc>
          <w:tcPr>
            <w:tcW w:w="939" w:type="dxa"/>
            <w:shd w:val="clear" w:color="auto" w:fill="FFFFFF" w:themeFill="background1"/>
            <w:vAlign w:val="center"/>
          </w:tcPr>
          <w:p w14:paraId="33430B44" w14:textId="5AAD4C2D" w:rsidR="00FB10C0" w:rsidRPr="00B76184" w:rsidRDefault="00FB10C0" w:rsidP="00FB10C0">
            <w:pPr>
              <w:jc w:val="center"/>
              <w:rPr>
                <w:rFonts w:ascii="Arial" w:hAnsi="Arial" w:cs="Arial"/>
                <w:i/>
                <w:sz w:val="20"/>
                <w:szCs w:val="20"/>
              </w:rPr>
            </w:pPr>
            <w:r>
              <w:rPr>
                <w:rFonts w:ascii="Arial" w:hAnsi="Arial" w:cs="Arial"/>
                <w:i/>
                <w:sz w:val="20"/>
                <w:szCs w:val="20"/>
              </w:rPr>
              <w:t>3.8%</w:t>
            </w:r>
          </w:p>
        </w:tc>
        <w:tc>
          <w:tcPr>
            <w:tcW w:w="1043" w:type="dxa"/>
            <w:shd w:val="clear" w:color="auto" w:fill="FFFFFF" w:themeFill="background1"/>
            <w:vAlign w:val="center"/>
          </w:tcPr>
          <w:p w14:paraId="2E13EF05" w14:textId="45504DD0" w:rsidR="00FB10C0" w:rsidRPr="00B76184" w:rsidRDefault="00FB10C0" w:rsidP="00FB10C0">
            <w:pPr>
              <w:jc w:val="center"/>
              <w:rPr>
                <w:rFonts w:ascii="Arial" w:hAnsi="Arial" w:cs="Arial"/>
                <w:i/>
                <w:sz w:val="20"/>
                <w:szCs w:val="20"/>
              </w:rPr>
            </w:pPr>
            <w:r>
              <w:rPr>
                <w:rFonts w:ascii="Arial" w:hAnsi="Arial" w:cs="Arial"/>
                <w:i/>
                <w:sz w:val="20"/>
                <w:szCs w:val="20"/>
              </w:rPr>
              <w:t>0.0%</w:t>
            </w:r>
          </w:p>
        </w:tc>
        <w:tc>
          <w:tcPr>
            <w:tcW w:w="990" w:type="dxa"/>
            <w:shd w:val="clear" w:color="auto" w:fill="FFFFFF" w:themeFill="background1"/>
            <w:vAlign w:val="center"/>
          </w:tcPr>
          <w:p w14:paraId="4DC558F3" w14:textId="5B7818FF" w:rsidR="00FB10C0" w:rsidRPr="00B76184" w:rsidRDefault="00FB10C0" w:rsidP="00FB10C0">
            <w:pPr>
              <w:jc w:val="center"/>
              <w:rPr>
                <w:rFonts w:ascii="Arial" w:hAnsi="Arial" w:cs="Arial"/>
                <w:i/>
                <w:sz w:val="20"/>
                <w:szCs w:val="20"/>
              </w:rPr>
            </w:pPr>
          </w:p>
        </w:tc>
        <w:tc>
          <w:tcPr>
            <w:tcW w:w="900" w:type="dxa"/>
            <w:shd w:val="clear" w:color="auto" w:fill="FFFFFF" w:themeFill="background1"/>
            <w:vAlign w:val="center"/>
          </w:tcPr>
          <w:p w14:paraId="26F23CB8" w14:textId="4E61A085" w:rsidR="00FB10C0" w:rsidRPr="00B76184" w:rsidRDefault="00FB10C0" w:rsidP="00FB10C0">
            <w:pPr>
              <w:jc w:val="center"/>
              <w:rPr>
                <w:rFonts w:ascii="Arial" w:hAnsi="Arial" w:cs="Arial"/>
                <w:bCs/>
                <w:i/>
                <w:sz w:val="20"/>
                <w:szCs w:val="20"/>
              </w:rPr>
            </w:pPr>
          </w:p>
        </w:tc>
      </w:tr>
      <w:tr w:rsidR="00FB10C0" w:rsidRPr="000A5A89" w14:paraId="2FBAFB02" w14:textId="77777777" w:rsidTr="00C97853">
        <w:trPr>
          <w:cantSplit/>
          <w:trHeight w:val="65"/>
        </w:trPr>
        <w:tc>
          <w:tcPr>
            <w:tcW w:w="3081" w:type="dxa"/>
            <w:vMerge w:val="restart"/>
            <w:hideMark/>
          </w:tcPr>
          <w:p w14:paraId="22FD358E" w14:textId="77777777" w:rsidR="00FB10C0" w:rsidRPr="00704A3E" w:rsidRDefault="00FB10C0" w:rsidP="00FB10C0">
            <w:pPr>
              <w:pStyle w:val="ListParagraph"/>
              <w:numPr>
                <w:ilvl w:val="0"/>
                <w:numId w:val="4"/>
              </w:numPr>
              <w:rPr>
                <w:rFonts w:ascii="Arial" w:hAnsi="Arial" w:cs="Arial"/>
                <w:bCs/>
                <w:sz w:val="20"/>
              </w:rPr>
            </w:pPr>
            <w:r w:rsidRPr="00704A3E">
              <w:rPr>
                <w:rFonts w:ascii="Arial" w:hAnsi="Arial" w:cs="Arial"/>
                <w:bCs/>
                <w:sz w:val="20"/>
              </w:rPr>
              <w:t>State Insurance Fund</w:t>
            </w:r>
            <w:r>
              <w:rPr>
                <w:rStyle w:val="EndnoteReference"/>
                <w:rFonts w:ascii="Arial" w:hAnsi="Arial" w:cs="Arial"/>
                <w:bCs/>
                <w:sz w:val="20"/>
              </w:rPr>
              <w:endnoteReference w:id="2"/>
            </w:r>
          </w:p>
        </w:tc>
        <w:tc>
          <w:tcPr>
            <w:tcW w:w="1235" w:type="dxa"/>
            <w:shd w:val="clear" w:color="auto" w:fill="D9D9D9" w:themeFill="background1" w:themeFillShade="D9"/>
            <w:vAlign w:val="center"/>
            <w:hideMark/>
          </w:tcPr>
          <w:p w14:paraId="66FC59CE" w14:textId="77777777" w:rsidR="00FB10C0" w:rsidRPr="00992F6A" w:rsidRDefault="00FB10C0" w:rsidP="00FB10C0">
            <w:pPr>
              <w:jc w:val="center"/>
              <w:rPr>
                <w:rFonts w:ascii="Arial" w:hAnsi="Arial" w:cs="Arial"/>
                <w:sz w:val="20"/>
              </w:rPr>
            </w:pPr>
            <w:r>
              <w:rPr>
                <w:rFonts w:ascii="Arial" w:hAnsi="Arial" w:cs="Arial"/>
                <w:sz w:val="20"/>
              </w:rPr>
              <w:t>total return</w:t>
            </w:r>
          </w:p>
        </w:tc>
        <w:tc>
          <w:tcPr>
            <w:tcW w:w="996" w:type="dxa"/>
            <w:shd w:val="clear" w:color="auto" w:fill="D9D9D9" w:themeFill="background1" w:themeFillShade="D9"/>
            <w:vAlign w:val="center"/>
          </w:tcPr>
          <w:p w14:paraId="7A0E3024" w14:textId="24C60585" w:rsidR="00FB10C0" w:rsidRPr="000A5A89" w:rsidRDefault="00FB10C0" w:rsidP="00FB10C0">
            <w:pPr>
              <w:jc w:val="center"/>
              <w:rPr>
                <w:rFonts w:ascii="Arial" w:hAnsi="Arial" w:cs="Arial"/>
                <w:bCs/>
                <w:sz w:val="20"/>
                <w:szCs w:val="20"/>
              </w:rPr>
            </w:pPr>
            <w:r>
              <w:rPr>
                <w:rFonts w:ascii="Arial" w:hAnsi="Arial" w:cs="Arial"/>
                <w:sz w:val="20"/>
                <w:szCs w:val="20"/>
              </w:rPr>
              <w:t>6.4</w:t>
            </w:r>
            <w:r w:rsidRPr="00A055A1">
              <w:rPr>
                <w:rFonts w:ascii="Arial" w:hAnsi="Arial" w:cs="Arial"/>
                <w:sz w:val="20"/>
                <w:szCs w:val="20"/>
              </w:rPr>
              <w:t>%</w:t>
            </w:r>
          </w:p>
        </w:tc>
        <w:tc>
          <w:tcPr>
            <w:tcW w:w="978" w:type="dxa"/>
            <w:shd w:val="clear" w:color="auto" w:fill="D9D9D9" w:themeFill="background1" w:themeFillShade="D9"/>
            <w:vAlign w:val="center"/>
          </w:tcPr>
          <w:p w14:paraId="0D59BC08" w14:textId="5BCE7CAE" w:rsidR="00FB10C0" w:rsidRPr="002B7FBA" w:rsidRDefault="00FB10C0" w:rsidP="00FB10C0">
            <w:pPr>
              <w:jc w:val="center"/>
              <w:rPr>
                <w:rFonts w:ascii="Arial" w:hAnsi="Arial" w:cs="Arial"/>
                <w:sz w:val="20"/>
                <w:vertAlign w:val="superscript"/>
              </w:rPr>
            </w:pPr>
            <w:r>
              <w:rPr>
                <w:rFonts w:ascii="Arial" w:hAnsi="Arial" w:cs="Arial"/>
                <w:sz w:val="20"/>
                <w:szCs w:val="20"/>
              </w:rPr>
              <w:t>6.9</w:t>
            </w:r>
            <w:r w:rsidRPr="005F6E70">
              <w:rPr>
                <w:rFonts w:ascii="Arial" w:hAnsi="Arial" w:cs="Arial"/>
                <w:sz w:val="20"/>
                <w:szCs w:val="20"/>
              </w:rPr>
              <w:t>%</w:t>
            </w:r>
          </w:p>
        </w:tc>
        <w:tc>
          <w:tcPr>
            <w:tcW w:w="939" w:type="dxa"/>
            <w:shd w:val="clear" w:color="auto" w:fill="D9D9D9" w:themeFill="background1" w:themeFillShade="D9"/>
            <w:vAlign w:val="center"/>
          </w:tcPr>
          <w:p w14:paraId="468F4890" w14:textId="1B921659" w:rsidR="00FB10C0" w:rsidRPr="00C35D1A" w:rsidRDefault="00FB10C0" w:rsidP="00FB10C0">
            <w:pPr>
              <w:jc w:val="center"/>
              <w:rPr>
                <w:rFonts w:ascii="Arial" w:hAnsi="Arial" w:cs="Arial"/>
                <w:sz w:val="20"/>
                <w:szCs w:val="20"/>
                <w:vertAlign w:val="superscript"/>
              </w:rPr>
            </w:pPr>
            <w:r>
              <w:rPr>
                <w:rFonts w:ascii="Arial" w:hAnsi="Arial" w:cs="Arial"/>
                <w:sz w:val="20"/>
                <w:szCs w:val="20"/>
              </w:rPr>
              <w:t>5.3</w:t>
            </w:r>
            <w:r w:rsidRPr="00EA1229">
              <w:rPr>
                <w:rFonts w:ascii="Arial" w:hAnsi="Arial" w:cs="Arial"/>
                <w:sz w:val="20"/>
                <w:szCs w:val="20"/>
              </w:rPr>
              <w:t>%</w:t>
            </w:r>
          </w:p>
        </w:tc>
        <w:tc>
          <w:tcPr>
            <w:tcW w:w="1043" w:type="dxa"/>
            <w:shd w:val="clear" w:color="auto" w:fill="D9D9D9" w:themeFill="background1" w:themeFillShade="D9"/>
            <w:vAlign w:val="center"/>
          </w:tcPr>
          <w:p w14:paraId="01DF84FF" w14:textId="3F9DF120" w:rsidR="00FB10C0" w:rsidRPr="00C35D1A" w:rsidRDefault="00FB10C0" w:rsidP="00FB10C0">
            <w:pPr>
              <w:jc w:val="center"/>
              <w:rPr>
                <w:rFonts w:ascii="Arial" w:hAnsi="Arial" w:cs="Arial"/>
                <w:sz w:val="20"/>
                <w:szCs w:val="20"/>
                <w:vertAlign w:val="superscript"/>
              </w:rPr>
            </w:pPr>
          </w:p>
        </w:tc>
        <w:tc>
          <w:tcPr>
            <w:tcW w:w="990" w:type="dxa"/>
            <w:shd w:val="clear" w:color="auto" w:fill="D9D9D9" w:themeFill="background1" w:themeFillShade="D9"/>
            <w:vAlign w:val="center"/>
          </w:tcPr>
          <w:p w14:paraId="76FDE574" w14:textId="1192147E" w:rsidR="00FB10C0" w:rsidRPr="004639EC" w:rsidRDefault="00FB10C0" w:rsidP="00FB10C0">
            <w:pPr>
              <w:jc w:val="center"/>
              <w:rPr>
                <w:rFonts w:ascii="Arial" w:hAnsi="Arial" w:cs="Arial"/>
                <w:sz w:val="20"/>
                <w:szCs w:val="20"/>
              </w:rPr>
            </w:pPr>
          </w:p>
        </w:tc>
        <w:tc>
          <w:tcPr>
            <w:tcW w:w="900" w:type="dxa"/>
            <w:shd w:val="clear" w:color="auto" w:fill="D9D9D9" w:themeFill="background1" w:themeFillShade="D9"/>
            <w:vAlign w:val="center"/>
          </w:tcPr>
          <w:p w14:paraId="0558838A" w14:textId="1257F891" w:rsidR="00FB10C0" w:rsidRPr="000A5A89" w:rsidRDefault="00FB10C0" w:rsidP="00FB10C0">
            <w:pPr>
              <w:jc w:val="center"/>
              <w:rPr>
                <w:rFonts w:ascii="Arial" w:hAnsi="Arial" w:cs="Arial"/>
                <w:sz w:val="20"/>
              </w:rPr>
            </w:pPr>
          </w:p>
        </w:tc>
      </w:tr>
      <w:tr w:rsidR="00FB10C0" w:rsidRPr="000A5A89" w14:paraId="3E619336" w14:textId="77777777" w:rsidTr="00C97853">
        <w:trPr>
          <w:cantSplit/>
          <w:trHeight w:val="282"/>
        </w:trPr>
        <w:tc>
          <w:tcPr>
            <w:tcW w:w="3081" w:type="dxa"/>
            <w:vMerge/>
            <w:vAlign w:val="center"/>
            <w:hideMark/>
          </w:tcPr>
          <w:p w14:paraId="333C4635"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hideMark/>
          </w:tcPr>
          <w:p w14:paraId="2A5E27DC" w14:textId="77777777" w:rsidR="00FB10C0" w:rsidRPr="005D78D0" w:rsidRDefault="00FB10C0" w:rsidP="00FB10C0">
            <w:pPr>
              <w:jc w:val="center"/>
              <w:rPr>
                <w:rFonts w:ascii="Arial" w:hAnsi="Arial" w:cs="Arial"/>
                <w:sz w:val="20"/>
              </w:rPr>
            </w:pPr>
            <w:r w:rsidRPr="005D78D0">
              <w:rPr>
                <w:rFonts w:ascii="Arial" w:hAnsi="Arial" w:cs="Arial"/>
                <w:sz w:val="20"/>
                <w:szCs w:val="16"/>
              </w:rPr>
              <w:t>target</w:t>
            </w:r>
          </w:p>
        </w:tc>
        <w:tc>
          <w:tcPr>
            <w:tcW w:w="996" w:type="dxa"/>
            <w:shd w:val="clear" w:color="auto" w:fill="FFFFFF" w:themeFill="background1"/>
            <w:vAlign w:val="center"/>
          </w:tcPr>
          <w:p w14:paraId="792BFD22" w14:textId="3F8E6C55" w:rsidR="00FB10C0" w:rsidRPr="005D78D0" w:rsidRDefault="00FB10C0" w:rsidP="00FB10C0">
            <w:pPr>
              <w:jc w:val="center"/>
              <w:rPr>
                <w:rFonts w:ascii="Arial" w:hAnsi="Arial" w:cs="Arial"/>
                <w:bCs/>
                <w:sz w:val="20"/>
                <w:szCs w:val="20"/>
              </w:rPr>
            </w:pPr>
            <w:r>
              <w:rPr>
                <w:rFonts w:ascii="Arial" w:hAnsi="Arial" w:cs="Arial"/>
                <w:sz w:val="20"/>
                <w:szCs w:val="20"/>
              </w:rPr>
              <w:t>6.7%</w:t>
            </w:r>
          </w:p>
        </w:tc>
        <w:tc>
          <w:tcPr>
            <w:tcW w:w="978" w:type="dxa"/>
            <w:shd w:val="clear" w:color="auto" w:fill="FFFFFF" w:themeFill="background1"/>
            <w:vAlign w:val="center"/>
          </w:tcPr>
          <w:p w14:paraId="279AF5DE" w14:textId="55DEC022" w:rsidR="00FB10C0" w:rsidRPr="005D78D0" w:rsidRDefault="00FB10C0" w:rsidP="00FB10C0">
            <w:pPr>
              <w:jc w:val="center"/>
              <w:rPr>
                <w:rFonts w:ascii="Arial" w:hAnsi="Arial" w:cs="Arial"/>
                <w:sz w:val="20"/>
                <w:szCs w:val="16"/>
              </w:rPr>
            </w:pPr>
            <w:r>
              <w:rPr>
                <w:rFonts w:ascii="Arial" w:hAnsi="Arial" w:cs="Arial"/>
                <w:sz w:val="20"/>
                <w:szCs w:val="20"/>
              </w:rPr>
              <w:t>6.9%</w:t>
            </w:r>
          </w:p>
        </w:tc>
        <w:tc>
          <w:tcPr>
            <w:tcW w:w="939" w:type="dxa"/>
            <w:shd w:val="clear" w:color="auto" w:fill="FFFFFF" w:themeFill="background1"/>
            <w:vAlign w:val="center"/>
          </w:tcPr>
          <w:p w14:paraId="7ED70A81" w14:textId="5D7DCE96" w:rsidR="00FB10C0" w:rsidRPr="00C35D1A" w:rsidRDefault="00FB10C0" w:rsidP="00FB10C0">
            <w:pPr>
              <w:jc w:val="center"/>
              <w:rPr>
                <w:rFonts w:ascii="Arial" w:hAnsi="Arial" w:cs="Arial"/>
                <w:sz w:val="20"/>
                <w:szCs w:val="20"/>
              </w:rPr>
            </w:pPr>
            <w:r>
              <w:rPr>
                <w:rFonts w:ascii="Arial" w:hAnsi="Arial" w:cs="Arial"/>
                <w:sz w:val="20"/>
                <w:szCs w:val="20"/>
              </w:rPr>
              <w:t>5.2%</w:t>
            </w:r>
          </w:p>
        </w:tc>
        <w:tc>
          <w:tcPr>
            <w:tcW w:w="1043" w:type="dxa"/>
            <w:shd w:val="clear" w:color="auto" w:fill="FFFFFF" w:themeFill="background1"/>
            <w:vAlign w:val="center"/>
          </w:tcPr>
          <w:p w14:paraId="1ABAF44C" w14:textId="3E6B4275" w:rsidR="00FB10C0" w:rsidRPr="00C35D1A" w:rsidRDefault="00FB10C0" w:rsidP="00FB10C0">
            <w:pPr>
              <w:jc w:val="center"/>
              <w:rPr>
                <w:rFonts w:ascii="Arial" w:hAnsi="Arial" w:cs="Arial"/>
                <w:sz w:val="20"/>
                <w:szCs w:val="20"/>
              </w:rPr>
            </w:pPr>
            <w:r>
              <w:rPr>
                <w:rFonts w:ascii="Arial" w:hAnsi="Arial" w:cs="Arial"/>
                <w:sz w:val="20"/>
                <w:szCs w:val="20"/>
              </w:rPr>
              <w:t>2.5%</w:t>
            </w:r>
          </w:p>
        </w:tc>
        <w:tc>
          <w:tcPr>
            <w:tcW w:w="990" w:type="dxa"/>
            <w:shd w:val="clear" w:color="auto" w:fill="FFFFFF" w:themeFill="background1"/>
            <w:vAlign w:val="center"/>
          </w:tcPr>
          <w:p w14:paraId="113ABDC9" w14:textId="1C6AE815" w:rsidR="00FB10C0" w:rsidRPr="00C35D1A" w:rsidRDefault="00FB10C0" w:rsidP="00FB10C0">
            <w:pPr>
              <w:jc w:val="center"/>
              <w:rPr>
                <w:rFonts w:ascii="Arial" w:hAnsi="Arial" w:cs="Arial"/>
                <w:sz w:val="20"/>
                <w:szCs w:val="20"/>
              </w:rPr>
            </w:pPr>
          </w:p>
        </w:tc>
        <w:tc>
          <w:tcPr>
            <w:tcW w:w="900" w:type="dxa"/>
            <w:shd w:val="clear" w:color="auto" w:fill="FFFFFF" w:themeFill="background1"/>
            <w:vAlign w:val="center"/>
          </w:tcPr>
          <w:p w14:paraId="158F8803" w14:textId="53E79BE1" w:rsidR="00FB10C0" w:rsidRPr="005D78D0" w:rsidRDefault="00FB10C0" w:rsidP="00FB10C0">
            <w:pPr>
              <w:jc w:val="center"/>
              <w:rPr>
                <w:rFonts w:ascii="Arial" w:hAnsi="Arial" w:cs="Arial"/>
                <w:sz w:val="20"/>
                <w:szCs w:val="16"/>
              </w:rPr>
            </w:pPr>
          </w:p>
        </w:tc>
      </w:tr>
      <w:tr w:rsidR="00FB10C0" w:rsidRPr="000A5A89" w14:paraId="1912E71F" w14:textId="77777777" w:rsidTr="00C97853">
        <w:trPr>
          <w:cantSplit/>
          <w:trHeight w:val="318"/>
        </w:trPr>
        <w:tc>
          <w:tcPr>
            <w:tcW w:w="3081" w:type="dxa"/>
            <w:vMerge/>
            <w:vAlign w:val="center"/>
          </w:tcPr>
          <w:p w14:paraId="40595A54"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tcPr>
          <w:p w14:paraId="3EEB2EF1" w14:textId="77777777" w:rsidR="00FB10C0" w:rsidRPr="00B76184" w:rsidRDefault="00FB10C0" w:rsidP="00FB10C0">
            <w:pPr>
              <w:jc w:val="center"/>
              <w:rPr>
                <w:rFonts w:ascii="Arial" w:hAnsi="Arial" w:cs="Arial"/>
                <w:i/>
                <w:sz w:val="20"/>
                <w:szCs w:val="20"/>
              </w:rPr>
            </w:pPr>
            <w:r w:rsidRPr="00B76184">
              <w:rPr>
                <w:rFonts w:ascii="Arial" w:hAnsi="Arial" w:cs="Arial"/>
                <w:i/>
                <w:sz w:val="20"/>
                <w:szCs w:val="20"/>
              </w:rPr>
              <w:t>excess</w:t>
            </w:r>
          </w:p>
        </w:tc>
        <w:tc>
          <w:tcPr>
            <w:tcW w:w="996" w:type="dxa"/>
            <w:shd w:val="clear" w:color="auto" w:fill="FFFFFF" w:themeFill="background1"/>
            <w:vAlign w:val="center"/>
          </w:tcPr>
          <w:p w14:paraId="5F74B901" w14:textId="33E166E9" w:rsidR="00FB10C0" w:rsidRPr="00B76184" w:rsidRDefault="00FB10C0" w:rsidP="00FB10C0">
            <w:pPr>
              <w:jc w:val="center"/>
              <w:rPr>
                <w:rFonts w:ascii="Arial" w:hAnsi="Arial" w:cs="Arial"/>
                <w:bCs/>
                <w:i/>
                <w:sz w:val="20"/>
                <w:szCs w:val="20"/>
              </w:rPr>
            </w:pPr>
            <w:r>
              <w:rPr>
                <w:rFonts w:ascii="Arial" w:hAnsi="Arial" w:cs="Arial"/>
                <w:i/>
                <w:sz w:val="20"/>
                <w:szCs w:val="20"/>
              </w:rPr>
              <w:t>-</w:t>
            </w:r>
            <w:r w:rsidRPr="00B76184">
              <w:rPr>
                <w:rFonts w:ascii="Arial" w:hAnsi="Arial" w:cs="Arial"/>
                <w:i/>
                <w:sz w:val="20"/>
                <w:szCs w:val="20"/>
              </w:rPr>
              <w:t>0.</w:t>
            </w:r>
            <w:r>
              <w:rPr>
                <w:rFonts w:ascii="Arial" w:hAnsi="Arial" w:cs="Arial"/>
                <w:i/>
                <w:sz w:val="20"/>
                <w:szCs w:val="20"/>
              </w:rPr>
              <w:t>3</w:t>
            </w:r>
            <w:r w:rsidRPr="00B76184">
              <w:rPr>
                <w:rFonts w:ascii="Arial" w:hAnsi="Arial" w:cs="Arial"/>
                <w:i/>
                <w:sz w:val="20"/>
                <w:szCs w:val="20"/>
              </w:rPr>
              <w:t>%</w:t>
            </w:r>
          </w:p>
        </w:tc>
        <w:tc>
          <w:tcPr>
            <w:tcW w:w="978" w:type="dxa"/>
            <w:shd w:val="clear" w:color="auto" w:fill="FFFFFF" w:themeFill="background1"/>
            <w:vAlign w:val="center"/>
          </w:tcPr>
          <w:p w14:paraId="1BEA32F5" w14:textId="6935BB67" w:rsidR="00FB10C0" w:rsidRPr="00B76184" w:rsidRDefault="00FB10C0" w:rsidP="00FB10C0">
            <w:pPr>
              <w:jc w:val="center"/>
              <w:rPr>
                <w:rFonts w:ascii="Arial" w:hAnsi="Arial" w:cs="Arial"/>
                <w:i/>
                <w:sz w:val="20"/>
                <w:szCs w:val="20"/>
              </w:rPr>
            </w:pPr>
            <w:r>
              <w:rPr>
                <w:rFonts w:ascii="Arial" w:hAnsi="Arial" w:cs="Arial"/>
                <w:i/>
                <w:sz w:val="20"/>
                <w:szCs w:val="20"/>
              </w:rPr>
              <w:t>0.0%</w:t>
            </w:r>
          </w:p>
        </w:tc>
        <w:tc>
          <w:tcPr>
            <w:tcW w:w="939" w:type="dxa"/>
            <w:shd w:val="clear" w:color="auto" w:fill="FFFFFF" w:themeFill="background1"/>
            <w:vAlign w:val="center"/>
          </w:tcPr>
          <w:p w14:paraId="02B1A172" w14:textId="4D63588D" w:rsidR="00FB10C0" w:rsidRPr="00B76184" w:rsidRDefault="00FB10C0" w:rsidP="00FB10C0">
            <w:pPr>
              <w:jc w:val="center"/>
              <w:rPr>
                <w:rFonts w:ascii="Arial" w:hAnsi="Arial" w:cs="Arial"/>
                <w:i/>
                <w:sz w:val="20"/>
                <w:szCs w:val="20"/>
              </w:rPr>
            </w:pPr>
            <w:r>
              <w:rPr>
                <w:rFonts w:ascii="Arial" w:hAnsi="Arial" w:cs="Arial"/>
                <w:i/>
                <w:sz w:val="20"/>
                <w:szCs w:val="20"/>
              </w:rPr>
              <w:t>0.1%</w:t>
            </w:r>
          </w:p>
        </w:tc>
        <w:tc>
          <w:tcPr>
            <w:tcW w:w="1043" w:type="dxa"/>
            <w:shd w:val="clear" w:color="auto" w:fill="FFFFFF" w:themeFill="background1"/>
            <w:vAlign w:val="center"/>
          </w:tcPr>
          <w:p w14:paraId="738B4DFB" w14:textId="7748F5E8" w:rsidR="00FB10C0" w:rsidRPr="00B76184" w:rsidRDefault="00FB10C0" w:rsidP="00FB10C0">
            <w:pPr>
              <w:jc w:val="center"/>
              <w:rPr>
                <w:rFonts w:ascii="Arial" w:hAnsi="Arial" w:cs="Arial"/>
                <w:i/>
                <w:sz w:val="20"/>
                <w:szCs w:val="20"/>
              </w:rPr>
            </w:pPr>
            <w:r>
              <w:rPr>
                <w:rFonts w:ascii="Arial" w:hAnsi="Arial" w:cs="Arial"/>
                <w:i/>
                <w:sz w:val="20"/>
                <w:szCs w:val="20"/>
              </w:rPr>
              <w:t>0.0%</w:t>
            </w:r>
          </w:p>
        </w:tc>
        <w:tc>
          <w:tcPr>
            <w:tcW w:w="990" w:type="dxa"/>
            <w:shd w:val="clear" w:color="auto" w:fill="FFFFFF" w:themeFill="background1"/>
            <w:vAlign w:val="center"/>
          </w:tcPr>
          <w:p w14:paraId="423B7F89" w14:textId="4E4AC21F" w:rsidR="00FB10C0" w:rsidRPr="00B76184" w:rsidRDefault="00FB10C0" w:rsidP="00FB10C0">
            <w:pPr>
              <w:jc w:val="center"/>
              <w:rPr>
                <w:rFonts w:ascii="Arial" w:hAnsi="Arial" w:cs="Arial"/>
                <w:i/>
                <w:sz w:val="20"/>
                <w:szCs w:val="20"/>
              </w:rPr>
            </w:pPr>
          </w:p>
        </w:tc>
        <w:tc>
          <w:tcPr>
            <w:tcW w:w="900" w:type="dxa"/>
            <w:shd w:val="clear" w:color="auto" w:fill="FFFFFF" w:themeFill="background1"/>
            <w:vAlign w:val="center"/>
          </w:tcPr>
          <w:p w14:paraId="7F988428" w14:textId="7753F255" w:rsidR="00FB10C0" w:rsidRPr="00B76184" w:rsidRDefault="00FB10C0" w:rsidP="00FB10C0">
            <w:pPr>
              <w:jc w:val="center"/>
              <w:rPr>
                <w:rFonts w:ascii="Arial" w:hAnsi="Arial" w:cs="Arial"/>
                <w:bCs/>
                <w:i/>
                <w:sz w:val="20"/>
                <w:szCs w:val="20"/>
              </w:rPr>
            </w:pPr>
          </w:p>
        </w:tc>
      </w:tr>
      <w:tr w:rsidR="00FB10C0" w:rsidRPr="00992F6A" w14:paraId="048BD16F" w14:textId="77777777" w:rsidTr="00C97853">
        <w:trPr>
          <w:cantSplit/>
          <w:trHeight w:val="65"/>
        </w:trPr>
        <w:tc>
          <w:tcPr>
            <w:tcW w:w="10162" w:type="dxa"/>
            <w:gridSpan w:val="8"/>
            <w:vAlign w:val="center"/>
            <w:hideMark/>
          </w:tcPr>
          <w:p w14:paraId="05395C05" w14:textId="77777777" w:rsidR="00FB10C0" w:rsidRPr="00C35D1A" w:rsidRDefault="00FB10C0" w:rsidP="00FB10C0">
            <w:pPr>
              <w:numPr>
                <w:ilvl w:val="0"/>
                <w:numId w:val="3"/>
              </w:numPr>
              <w:ind w:left="346"/>
              <w:contextualSpacing/>
              <w:rPr>
                <w:rFonts w:ascii="Arial" w:eastAsia="Arial Unicode MS" w:hAnsi="Arial" w:cs="Arial"/>
                <w:sz w:val="20"/>
                <w:szCs w:val="22"/>
              </w:rPr>
            </w:pPr>
            <w:r w:rsidRPr="00C35D1A">
              <w:rPr>
                <w:rFonts w:ascii="Arial" w:eastAsia="Arial Unicode MS" w:hAnsi="Arial" w:cs="Arial"/>
                <w:sz w:val="20"/>
                <w:szCs w:val="22"/>
              </w:rPr>
              <w:t>Return vs. Peers (gross of fees)</w:t>
            </w:r>
          </w:p>
        </w:tc>
      </w:tr>
      <w:tr w:rsidR="00FB10C0" w:rsidRPr="000A5A89" w14:paraId="53BA437F" w14:textId="77777777" w:rsidTr="00C97853">
        <w:trPr>
          <w:cantSplit/>
          <w:trHeight w:val="65"/>
        </w:trPr>
        <w:tc>
          <w:tcPr>
            <w:tcW w:w="3081" w:type="dxa"/>
            <w:vMerge w:val="restart"/>
            <w:hideMark/>
          </w:tcPr>
          <w:p w14:paraId="02EE49D9" w14:textId="77777777" w:rsidR="00FB10C0" w:rsidRPr="00704A3E" w:rsidRDefault="00FB10C0" w:rsidP="00FB10C0">
            <w:pPr>
              <w:pStyle w:val="ListParagraph"/>
              <w:numPr>
                <w:ilvl w:val="0"/>
                <w:numId w:val="5"/>
              </w:numPr>
              <w:rPr>
                <w:rFonts w:ascii="Arial" w:hAnsi="Arial" w:cs="Arial"/>
                <w:bCs/>
                <w:sz w:val="20"/>
              </w:rPr>
            </w:pPr>
            <w:r>
              <w:rPr>
                <w:rFonts w:ascii="Arial" w:hAnsi="Arial" w:cs="Arial"/>
                <w:bCs/>
                <w:sz w:val="20"/>
              </w:rPr>
              <w:t>Land Grant</w:t>
            </w:r>
            <w:r w:rsidRPr="00704A3E">
              <w:rPr>
                <w:rFonts w:ascii="Arial" w:hAnsi="Arial" w:cs="Arial"/>
                <w:bCs/>
                <w:sz w:val="20"/>
              </w:rPr>
              <w:t xml:space="preserve"> Endowment Fund</w:t>
            </w:r>
            <w:r>
              <w:rPr>
                <w:rStyle w:val="EndnoteReference"/>
                <w:rFonts w:ascii="Arial" w:hAnsi="Arial" w:cs="Arial"/>
                <w:bCs/>
                <w:sz w:val="20"/>
              </w:rPr>
              <w:endnoteReference w:id="3"/>
            </w:r>
          </w:p>
        </w:tc>
        <w:tc>
          <w:tcPr>
            <w:tcW w:w="1235" w:type="dxa"/>
            <w:shd w:val="clear" w:color="auto" w:fill="D9D9D9" w:themeFill="background1" w:themeFillShade="D9"/>
            <w:vAlign w:val="center"/>
            <w:hideMark/>
          </w:tcPr>
          <w:p w14:paraId="0A93B7FE" w14:textId="77777777" w:rsidR="00FB10C0" w:rsidRPr="00992F6A" w:rsidRDefault="00FB10C0" w:rsidP="00FB10C0">
            <w:pPr>
              <w:jc w:val="center"/>
              <w:rPr>
                <w:rFonts w:ascii="Arial" w:hAnsi="Arial" w:cs="Arial"/>
                <w:sz w:val="20"/>
              </w:rPr>
            </w:pPr>
            <w:r>
              <w:rPr>
                <w:rFonts w:ascii="Arial" w:hAnsi="Arial" w:cs="Arial"/>
                <w:sz w:val="20"/>
              </w:rPr>
              <w:t>total return</w:t>
            </w:r>
          </w:p>
        </w:tc>
        <w:tc>
          <w:tcPr>
            <w:tcW w:w="996" w:type="dxa"/>
            <w:shd w:val="clear" w:color="auto" w:fill="D9D9D9" w:themeFill="background1" w:themeFillShade="D9"/>
            <w:vAlign w:val="center"/>
          </w:tcPr>
          <w:p w14:paraId="60063A8E" w14:textId="68250946" w:rsidR="00FB10C0" w:rsidRPr="00317435" w:rsidRDefault="00FB10C0" w:rsidP="00FB10C0">
            <w:pPr>
              <w:jc w:val="center"/>
              <w:rPr>
                <w:rFonts w:ascii="Arial" w:hAnsi="Arial" w:cs="Arial"/>
                <w:bCs/>
                <w:sz w:val="20"/>
                <w:szCs w:val="20"/>
              </w:rPr>
            </w:pPr>
            <w:r>
              <w:rPr>
                <w:rFonts w:ascii="Arial" w:hAnsi="Arial" w:cs="Arial"/>
                <w:sz w:val="20"/>
                <w:szCs w:val="20"/>
              </w:rPr>
              <w:t>7.7%</w:t>
            </w:r>
          </w:p>
        </w:tc>
        <w:tc>
          <w:tcPr>
            <w:tcW w:w="978" w:type="dxa"/>
            <w:shd w:val="clear" w:color="auto" w:fill="D9D9D9" w:themeFill="background1" w:themeFillShade="D9"/>
            <w:vAlign w:val="center"/>
          </w:tcPr>
          <w:p w14:paraId="6A013BA8" w14:textId="6FE1A8C7" w:rsidR="00FB10C0" w:rsidRPr="00317435" w:rsidRDefault="00FB10C0" w:rsidP="00FB10C0">
            <w:pPr>
              <w:jc w:val="center"/>
              <w:rPr>
                <w:rFonts w:ascii="Arial" w:hAnsi="Arial" w:cs="Arial"/>
                <w:sz w:val="20"/>
                <w:szCs w:val="20"/>
              </w:rPr>
            </w:pPr>
            <w:r>
              <w:rPr>
                <w:rFonts w:ascii="Arial" w:hAnsi="Arial" w:cs="Arial"/>
                <w:color w:val="000000" w:themeColor="text1"/>
                <w:sz w:val="20"/>
                <w:szCs w:val="20"/>
              </w:rPr>
              <w:t>5.2</w:t>
            </w:r>
            <w:r w:rsidRPr="004C1934">
              <w:rPr>
                <w:rFonts w:ascii="Arial" w:hAnsi="Arial" w:cs="Arial"/>
                <w:color w:val="000000" w:themeColor="text1"/>
                <w:sz w:val="20"/>
                <w:szCs w:val="20"/>
              </w:rPr>
              <w:t>%</w:t>
            </w:r>
          </w:p>
        </w:tc>
        <w:tc>
          <w:tcPr>
            <w:tcW w:w="939" w:type="dxa"/>
            <w:shd w:val="clear" w:color="auto" w:fill="D9D9D9" w:themeFill="background1" w:themeFillShade="D9"/>
            <w:vAlign w:val="center"/>
          </w:tcPr>
          <w:p w14:paraId="4C5A8408" w14:textId="3F14DF24" w:rsidR="00FB10C0" w:rsidRPr="00C35D1A" w:rsidRDefault="00FB10C0" w:rsidP="00FB10C0">
            <w:pPr>
              <w:jc w:val="center"/>
              <w:rPr>
                <w:rFonts w:ascii="Arial" w:hAnsi="Arial" w:cs="Arial"/>
                <w:sz w:val="20"/>
                <w:szCs w:val="20"/>
              </w:rPr>
            </w:pPr>
            <w:r>
              <w:rPr>
                <w:rFonts w:ascii="Arial" w:hAnsi="Arial" w:cs="Arial"/>
                <w:sz w:val="20"/>
                <w:szCs w:val="20"/>
              </w:rPr>
              <w:t>29.7%</w:t>
            </w:r>
          </w:p>
        </w:tc>
        <w:tc>
          <w:tcPr>
            <w:tcW w:w="1043" w:type="dxa"/>
            <w:shd w:val="clear" w:color="auto" w:fill="D9D9D9" w:themeFill="background1" w:themeFillShade="D9"/>
            <w:vAlign w:val="center"/>
          </w:tcPr>
          <w:p w14:paraId="4788053E" w14:textId="38A8C2D4" w:rsidR="00FB10C0" w:rsidRPr="00C35D1A" w:rsidRDefault="00FB10C0" w:rsidP="00FB10C0">
            <w:pPr>
              <w:jc w:val="center"/>
              <w:rPr>
                <w:rFonts w:ascii="Arial" w:hAnsi="Arial" w:cs="Arial"/>
                <w:sz w:val="20"/>
                <w:szCs w:val="20"/>
              </w:rPr>
            </w:pPr>
          </w:p>
        </w:tc>
        <w:tc>
          <w:tcPr>
            <w:tcW w:w="990" w:type="dxa"/>
            <w:shd w:val="clear" w:color="auto" w:fill="D9D9D9" w:themeFill="background1" w:themeFillShade="D9"/>
            <w:vAlign w:val="center"/>
          </w:tcPr>
          <w:p w14:paraId="483DE94D" w14:textId="696F33CD" w:rsidR="00FB10C0" w:rsidRPr="00C35D1A" w:rsidRDefault="00FB10C0" w:rsidP="00FB10C0">
            <w:pPr>
              <w:jc w:val="center"/>
              <w:rPr>
                <w:rFonts w:ascii="Arial" w:hAnsi="Arial" w:cs="Arial"/>
                <w:sz w:val="20"/>
                <w:szCs w:val="20"/>
              </w:rPr>
            </w:pPr>
          </w:p>
        </w:tc>
        <w:tc>
          <w:tcPr>
            <w:tcW w:w="900" w:type="dxa"/>
            <w:shd w:val="clear" w:color="auto" w:fill="D9D9D9" w:themeFill="background1" w:themeFillShade="D9"/>
            <w:vAlign w:val="center"/>
          </w:tcPr>
          <w:p w14:paraId="0A2BF748" w14:textId="0F4592FC" w:rsidR="00FB10C0" w:rsidRPr="00317435" w:rsidRDefault="00FB10C0" w:rsidP="00FB10C0">
            <w:pPr>
              <w:jc w:val="center"/>
              <w:rPr>
                <w:rFonts w:ascii="Arial" w:hAnsi="Arial" w:cs="Arial"/>
                <w:sz w:val="20"/>
                <w:szCs w:val="20"/>
              </w:rPr>
            </w:pPr>
          </w:p>
        </w:tc>
      </w:tr>
      <w:tr w:rsidR="00FB10C0" w:rsidRPr="000A5A89" w14:paraId="34073FB2" w14:textId="77777777" w:rsidTr="00C97853">
        <w:trPr>
          <w:cantSplit/>
          <w:trHeight w:val="363"/>
        </w:trPr>
        <w:tc>
          <w:tcPr>
            <w:tcW w:w="3081" w:type="dxa"/>
            <w:vMerge/>
            <w:vAlign w:val="center"/>
            <w:hideMark/>
          </w:tcPr>
          <w:p w14:paraId="2BBC3DC6"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hideMark/>
          </w:tcPr>
          <w:p w14:paraId="6F9A9836" w14:textId="77777777" w:rsidR="00FB10C0" w:rsidRPr="005D78D0" w:rsidRDefault="00FB10C0" w:rsidP="00FB10C0">
            <w:pPr>
              <w:jc w:val="center"/>
              <w:rPr>
                <w:rFonts w:ascii="Arial" w:hAnsi="Arial" w:cs="Arial"/>
                <w:sz w:val="20"/>
              </w:rPr>
            </w:pPr>
            <w:r w:rsidRPr="005D78D0">
              <w:rPr>
                <w:rFonts w:ascii="Arial" w:hAnsi="Arial" w:cs="Arial"/>
                <w:sz w:val="20"/>
                <w:szCs w:val="16"/>
              </w:rPr>
              <w:t>endowment/ foundation universe median</w:t>
            </w:r>
          </w:p>
        </w:tc>
        <w:tc>
          <w:tcPr>
            <w:tcW w:w="996" w:type="dxa"/>
            <w:shd w:val="clear" w:color="auto" w:fill="FFFFFF" w:themeFill="background1"/>
            <w:vAlign w:val="center"/>
          </w:tcPr>
          <w:p w14:paraId="18CE542B" w14:textId="21B78E8C" w:rsidR="00FB10C0" w:rsidRPr="00317435" w:rsidRDefault="00FB10C0" w:rsidP="00FB10C0">
            <w:pPr>
              <w:jc w:val="center"/>
              <w:rPr>
                <w:rFonts w:ascii="Arial" w:hAnsi="Arial" w:cs="Arial"/>
                <w:bCs/>
                <w:sz w:val="20"/>
                <w:szCs w:val="20"/>
              </w:rPr>
            </w:pPr>
            <w:r w:rsidRPr="00873AEF">
              <w:rPr>
                <w:rFonts w:ascii="Arial" w:hAnsi="Arial" w:cs="Arial"/>
                <w:sz w:val="20"/>
                <w:szCs w:val="20"/>
              </w:rPr>
              <w:t>5.</w:t>
            </w:r>
            <w:r>
              <w:rPr>
                <w:rFonts w:ascii="Arial" w:hAnsi="Arial" w:cs="Arial"/>
                <w:sz w:val="20"/>
                <w:szCs w:val="20"/>
              </w:rPr>
              <w:t>8</w:t>
            </w:r>
            <w:r w:rsidRPr="00873AEF">
              <w:rPr>
                <w:rFonts w:ascii="Arial" w:hAnsi="Arial" w:cs="Arial"/>
                <w:sz w:val="20"/>
                <w:szCs w:val="20"/>
              </w:rPr>
              <w:t>%</w:t>
            </w:r>
          </w:p>
        </w:tc>
        <w:tc>
          <w:tcPr>
            <w:tcW w:w="978" w:type="dxa"/>
            <w:shd w:val="clear" w:color="auto" w:fill="FFFFFF" w:themeFill="background1"/>
            <w:vAlign w:val="center"/>
          </w:tcPr>
          <w:p w14:paraId="3E7FB589" w14:textId="19E4428A" w:rsidR="00FB10C0" w:rsidRPr="00317435" w:rsidRDefault="00FB10C0" w:rsidP="00FB10C0">
            <w:pPr>
              <w:jc w:val="center"/>
              <w:rPr>
                <w:rFonts w:ascii="Arial" w:hAnsi="Arial" w:cs="Arial"/>
                <w:sz w:val="20"/>
                <w:szCs w:val="20"/>
              </w:rPr>
            </w:pPr>
            <w:r>
              <w:rPr>
                <w:rFonts w:ascii="Arial" w:hAnsi="Arial" w:cs="Arial"/>
                <w:sz w:val="20"/>
                <w:szCs w:val="20"/>
              </w:rPr>
              <w:t>2.7%</w:t>
            </w:r>
          </w:p>
        </w:tc>
        <w:tc>
          <w:tcPr>
            <w:tcW w:w="939" w:type="dxa"/>
            <w:shd w:val="clear" w:color="auto" w:fill="FFFFFF" w:themeFill="background1"/>
            <w:vAlign w:val="center"/>
          </w:tcPr>
          <w:p w14:paraId="44642049" w14:textId="64D96C04" w:rsidR="00FB10C0" w:rsidRPr="00C35D1A" w:rsidRDefault="00FB10C0" w:rsidP="00FB10C0">
            <w:pPr>
              <w:jc w:val="center"/>
              <w:rPr>
                <w:rFonts w:ascii="Arial" w:hAnsi="Arial" w:cs="Arial"/>
                <w:sz w:val="20"/>
                <w:szCs w:val="20"/>
              </w:rPr>
            </w:pPr>
            <w:r>
              <w:rPr>
                <w:rFonts w:ascii="Arial" w:hAnsi="Arial" w:cs="Arial"/>
                <w:sz w:val="20"/>
                <w:szCs w:val="20"/>
              </w:rPr>
              <w:t>28.1%</w:t>
            </w:r>
          </w:p>
        </w:tc>
        <w:tc>
          <w:tcPr>
            <w:tcW w:w="1043" w:type="dxa"/>
            <w:shd w:val="clear" w:color="auto" w:fill="FFFFFF" w:themeFill="background1"/>
            <w:vAlign w:val="center"/>
          </w:tcPr>
          <w:p w14:paraId="5037705A" w14:textId="0411C506" w:rsidR="00FB10C0" w:rsidRPr="00C35D1A" w:rsidRDefault="00FB10C0" w:rsidP="00FB10C0">
            <w:pPr>
              <w:jc w:val="center"/>
              <w:rPr>
                <w:rFonts w:ascii="Arial" w:hAnsi="Arial" w:cs="Arial"/>
                <w:sz w:val="20"/>
                <w:szCs w:val="20"/>
              </w:rPr>
            </w:pPr>
            <w:r>
              <w:rPr>
                <w:rFonts w:ascii="Arial" w:hAnsi="Arial" w:cs="Arial"/>
                <w:sz w:val="20"/>
                <w:szCs w:val="20"/>
              </w:rPr>
              <w:t>5.2%</w:t>
            </w:r>
          </w:p>
        </w:tc>
        <w:tc>
          <w:tcPr>
            <w:tcW w:w="990" w:type="dxa"/>
            <w:shd w:val="clear" w:color="auto" w:fill="FFFFFF" w:themeFill="background1"/>
            <w:vAlign w:val="center"/>
          </w:tcPr>
          <w:p w14:paraId="79DE12BF" w14:textId="6A232898" w:rsidR="00FB10C0" w:rsidRPr="00C35D1A" w:rsidRDefault="00FB10C0" w:rsidP="00FB10C0">
            <w:pPr>
              <w:jc w:val="center"/>
              <w:rPr>
                <w:rFonts w:ascii="Arial" w:hAnsi="Arial" w:cs="Arial"/>
                <w:sz w:val="20"/>
                <w:szCs w:val="20"/>
              </w:rPr>
            </w:pPr>
          </w:p>
        </w:tc>
        <w:tc>
          <w:tcPr>
            <w:tcW w:w="900" w:type="dxa"/>
            <w:shd w:val="clear" w:color="auto" w:fill="FFFFFF" w:themeFill="background1"/>
            <w:vAlign w:val="center"/>
          </w:tcPr>
          <w:p w14:paraId="5782125C" w14:textId="481AC186" w:rsidR="00FB10C0" w:rsidRPr="00317435" w:rsidRDefault="00FB10C0" w:rsidP="00FB10C0">
            <w:pPr>
              <w:jc w:val="center"/>
              <w:rPr>
                <w:rFonts w:ascii="Arial" w:hAnsi="Arial" w:cs="Arial"/>
                <w:sz w:val="20"/>
                <w:szCs w:val="20"/>
              </w:rPr>
            </w:pPr>
          </w:p>
        </w:tc>
      </w:tr>
      <w:tr w:rsidR="00FB10C0" w:rsidRPr="000A5A89" w14:paraId="1CD6B358" w14:textId="77777777" w:rsidTr="00C97853">
        <w:trPr>
          <w:cantSplit/>
          <w:trHeight w:val="300"/>
        </w:trPr>
        <w:tc>
          <w:tcPr>
            <w:tcW w:w="3081" w:type="dxa"/>
            <w:vMerge/>
            <w:vAlign w:val="center"/>
          </w:tcPr>
          <w:p w14:paraId="15235533"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tcPr>
          <w:p w14:paraId="07884E96" w14:textId="77777777" w:rsidR="00FB10C0" w:rsidRPr="00B76184" w:rsidRDefault="00FB10C0" w:rsidP="00FB10C0">
            <w:pPr>
              <w:jc w:val="center"/>
              <w:rPr>
                <w:rFonts w:ascii="Arial" w:hAnsi="Arial" w:cs="Arial"/>
                <w:i/>
                <w:sz w:val="20"/>
                <w:szCs w:val="20"/>
              </w:rPr>
            </w:pPr>
            <w:r w:rsidRPr="00B76184">
              <w:rPr>
                <w:rFonts w:ascii="Arial" w:hAnsi="Arial" w:cs="Arial"/>
                <w:i/>
                <w:sz w:val="20"/>
                <w:szCs w:val="20"/>
              </w:rPr>
              <w:t>excess</w:t>
            </w:r>
          </w:p>
        </w:tc>
        <w:tc>
          <w:tcPr>
            <w:tcW w:w="996" w:type="dxa"/>
            <w:shd w:val="clear" w:color="auto" w:fill="FFFFFF" w:themeFill="background1"/>
            <w:vAlign w:val="center"/>
          </w:tcPr>
          <w:p w14:paraId="133B87CB" w14:textId="41DA820E" w:rsidR="00FB10C0" w:rsidRPr="00B76184" w:rsidRDefault="00FB10C0" w:rsidP="00FB10C0">
            <w:pPr>
              <w:jc w:val="center"/>
              <w:rPr>
                <w:rFonts w:ascii="Arial" w:hAnsi="Arial" w:cs="Arial"/>
                <w:bCs/>
                <w:i/>
                <w:sz w:val="20"/>
                <w:szCs w:val="20"/>
              </w:rPr>
            </w:pPr>
            <w:r w:rsidRPr="00873AEF">
              <w:rPr>
                <w:rFonts w:ascii="Arial" w:hAnsi="Arial" w:cs="Arial"/>
                <w:i/>
                <w:sz w:val="20"/>
                <w:szCs w:val="20"/>
              </w:rPr>
              <w:t>1.</w:t>
            </w:r>
            <w:r>
              <w:rPr>
                <w:rFonts w:ascii="Arial" w:hAnsi="Arial" w:cs="Arial"/>
                <w:i/>
                <w:sz w:val="20"/>
                <w:szCs w:val="20"/>
              </w:rPr>
              <w:t>9</w:t>
            </w:r>
            <w:r w:rsidRPr="00873AEF">
              <w:rPr>
                <w:rFonts w:ascii="Arial" w:hAnsi="Arial" w:cs="Arial"/>
                <w:i/>
                <w:sz w:val="20"/>
                <w:szCs w:val="20"/>
              </w:rPr>
              <w:t>%</w:t>
            </w:r>
          </w:p>
        </w:tc>
        <w:tc>
          <w:tcPr>
            <w:tcW w:w="978" w:type="dxa"/>
            <w:shd w:val="clear" w:color="auto" w:fill="FFFFFF" w:themeFill="background1"/>
            <w:vAlign w:val="center"/>
          </w:tcPr>
          <w:p w14:paraId="6DD52C2B" w14:textId="76BC1ADD" w:rsidR="00FB10C0" w:rsidRPr="00B76184" w:rsidRDefault="00FB10C0" w:rsidP="00FB10C0">
            <w:pPr>
              <w:jc w:val="center"/>
              <w:rPr>
                <w:rFonts w:ascii="Arial" w:hAnsi="Arial" w:cs="Arial"/>
                <w:i/>
                <w:sz w:val="20"/>
                <w:szCs w:val="20"/>
              </w:rPr>
            </w:pPr>
            <w:r>
              <w:rPr>
                <w:rFonts w:ascii="Arial" w:hAnsi="Arial" w:cs="Arial"/>
                <w:i/>
                <w:sz w:val="20"/>
                <w:szCs w:val="20"/>
              </w:rPr>
              <w:t>2.5%</w:t>
            </w:r>
          </w:p>
        </w:tc>
        <w:tc>
          <w:tcPr>
            <w:tcW w:w="939" w:type="dxa"/>
            <w:shd w:val="clear" w:color="auto" w:fill="FFFFFF" w:themeFill="background1"/>
            <w:vAlign w:val="center"/>
          </w:tcPr>
          <w:p w14:paraId="260C5B05" w14:textId="295F90F0" w:rsidR="00FB10C0" w:rsidRPr="00B76184" w:rsidRDefault="00FB10C0" w:rsidP="00FB10C0">
            <w:pPr>
              <w:jc w:val="center"/>
              <w:rPr>
                <w:rFonts w:ascii="Arial" w:hAnsi="Arial" w:cs="Arial"/>
                <w:i/>
                <w:sz w:val="20"/>
                <w:szCs w:val="20"/>
              </w:rPr>
            </w:pPr>
            <w:r>
              <w:rPr>
                <w:rFonts w:ascii="Arial" w:hAnsi="Arial" w:cs="Arial"/>
                <w:i/>
                <w:sz w:val="20"/>
                <w:szCs w:val="20"/>
              </w:rPr>
              <w:t>1.6%</w:t>
            </w:r>
          </w:p>
        </w:tc>
        <w:tc>
          <w:tcPr>
            <w:tcW w:w="1043" w:type="dxa"/>
            <w:shd w:val="clear" w:color="auto" w:fill="FFFFFF" w:themeFill="background1"/>
            <w:vAlign w:val="center"/>
          </w:tcPr>
          <w:p w14:paraId="430C89C9" w14:textId="52481C61" w:rsidR="00FB10C0" w:rsidRPr="00B76184" w:rsidRDefault="00FB10C0" w:rsidP="00FB10C0">
            <w:pPr>
              <w:jc w:val="center"/>
              <w:rPr>
                <w:rFonts w:ascii="Arial" w:hAnsi="Arial" w:cs="Arial"/>
                <w:i/>
                <w:sz w:val="20"/>
                <w:szCs w:val="20"/>
              </w:rPr>
            </w:pPr>
            <w:r>
              <w:rPr>
                <w:rFonts w:ascii="Arial" w:hAnsi="Arial" w:cs="Arial"/>
                <w:i/>
                <w:sz w:val="20"/>
                <w:szCs w:val="20"/>
              </w:rPr>
              <w:t>1.0%</w:t>
            </w:r>
          </w:p>
        </w:tc>
        <w:tc>
          <w:tcPr>
            <w:tcW w:w="990" w:type="dxa"/>
            <w:shd w:val="clear" w:color="auto" w:fill="FFFFFF" w:themeFill="background1"/>
            <w:vAlign w:val="center"/>
          </w:tcPr>
          <w:p w14:paraId="530EBBFC" w14:textId="61D9495A" w:rsidR="00FB10C0" w:rsidRPr="00B76184" w:rsidRDefault="00FB10C0" w:rsidP="00FB10C0">
            <w:pPr>
              <w:jc w:val="center"/>
              <w:rPr>
                <w:rFonts w:ascii="Arial" w:hAnsi="Arial" w:cs="Arial"/>
                <w:i/>
                <w:sz w:val="20"/>
                <w:szCs w:val="20"/>
              </w:rPr>
            </w:pPr>
          </w:p>
        </w:tc>
        <w:tc>
          <w:tcPr>
            <w:tcW w:w="900" w:type="dxa"/>
            <w:shd w:val="clear" w:color="auto" w:fill="FFFFFF" w:themeFill="background1"/>
            <w:vAlign w:val="center"/>
          </w:tcPr>
          <w:p w14:paraId="774E95D3" w14:textId="243000B2" w:rsidR="00FB10C0" w:rsidRPr="00B76184" w:rsidRDefault="00FB10C0" w:rsidP="00FB10C0">
            <w:pPr>
              <w:jc w:val="center"/>
              <w:rPr>
                <w:rFonts w:ascii="Arial" w:hAnsi="Arial" w:cs="Arial"/>
                <w:bCs/>
                <w:i/>
                <w:sz w:val="20"/>
                <w:szCs w:val="20"/>
              </w:rPr>
            </w:pPr>
          </w:p>
        </w:tc>
      </w:tr>
      <w:tr w:rsidR="00FB10C0" w:rsidRPr="000A5A89" w14:paraId="3915B65A" w14:textId="77777777" w:rsidTr="00C97853">
        <w:trPr>
          <w:trHeight w:val="65"/>
        </w:trPr>
        <w:tc>
          <w:tcPr>
            <w:tcW w:w="3081" w:type="dxa"/>
            <w:vMerge w:val="restart"/>
            <w:hideMark/>
          </w:tcPr>
          <w:p w14:paraId="73AAFBD3" w14:textId="77777777" w:rsidR="00FB10C0" w:rsidRPr="00704A3E" w:rsidRDefault="00FB10C0" w:rsidP="00FB10C0">
            <w:pPr>
              <w:pStyle w:val="ListParagraph"/>
              <w:keepNext/>
              <w:numPr>
                <w:ilvl w:val="0"/>
                <w:numId w:val="5"/>
              </w:numPr>
              <w:rPr>
                <w:rFonts w:ascii="Arial" w:hAnsi="Arial" w:cs="Arial"/>
                <w:bCs/>
                <w:sz w:val="20"/>
              </w:rPr>
            </w:pPr>
            <w:r>
              <w:rPr>
                <w:rFonts w:ascii="Arial" w:hAnsi="Arial" w:cs="Arial"/>
                <w:bCs/>
                <w:sz w:val="20"/>
              </w:rPr>
              <w:t>Land Grant</w:t>
            </w:r>
            <w:r w:rsidRPr="00704A3E">
              <w:rPr>
                <w:rFonts w:ascii="Arial" w:hAnsi="Arial" w:cs="Arial"/>
                <w:bCs/>
                <w:sz w:val="20"/>
              </w:rPr>
              <w:t xml:space="preserve"> Endowment Fund</w:t>
            </w:r>
            <w:r>
              <w:rPr>
                <w:rStyle w:val="EndnoteReference"/>
                <w:rFonts w:ascii="Arial" w:hAnsi="Arial" w:cs="Arial"/>
                <w:bCs/>
                <w:sz w:val="20"/>
              </w:rPr>
              <w:endnoteReference w:id="4"/>
            </w:r>
          </w:p>
        </w:tc>
        <w:tc>
          <w:tcPr>
            <w:tcW w:w="1235" w:type="dxa"/>
            <w:shd w:val="clear" w:color="auto" w:fill="D9D9D9" w:themeFill="background1" w:themeFillShade="D9"/>
            <w:vAlign w:val="center"/>
            <w:hideMark/>
          </w:tcPr>
          <w:p w14:paraId="018BCB16" w14:textId="77777777" w:rsidR="00FB10C0" w:rsidRPr="00992F6A" w:rsidRDefault="00FB10C0" w:rsidP="00FB10C0">
            <w:pPr>
              <w:keepNext/>
              <w:jc w:val="center"/>
              <w:rPr>
                <w:rFonts w:ascii="Arial" w:hAnsi="Arial" w:cs="Arial"/>
                <w:sz w:val="20"/>
              </w:rPr>
            </w:pPr>
            <w:r>
              <w:rPr>
                <w:rFonts w:ascii="Arial" w:hAnsi="Arial" w:cs="Arial"/>
                <w:sz w:val="20"/>
              </w:rPr>
              <w:t>total return</w:t>
            </w:r>
          </w:p>
        </w:tc>
        <w:tc>
          <w:tcPr>
            <w:tcW w:w="996" w:type="dxa"/>
            <w:shd w:val="clear" w:color="auto" w:fill="D9D9D9" w:themeFill="background1" w:themeFillShade="D9"/>
            <w:vAlign w:val="center"/>
          </w:tcPr>
          <w:p w14:paraId="6AFAC12A" w14:textId="0676AA81" w:rsidR="00FB10C0" w:rsidRPr="00317435" w:rsidRDefault="00FB10C0" w:rsidP="00FB10C0">
            <w:pPr>
              <w:keepNext/>
              <w:jc w:val="center"/>
              <w:rPr>
                <w:rFonts w:ascii="Arial" w:hAnsi="Arial" w:cs="Arial"/>
                <w:bCs/>
                <w:sz w:val="20"/>
                <w:szCs w:val="20"/>
              </w:rPr>
            </w:pPr>
            <w:r>
              <w:rPr>
                <w:rFonts w:ascii="Arial" w:hAnsi="Arial" w:cs="Arial"/>
                <w:sz w:val="20"/>
                <w:szCs w:val="20"/>
              </w:rPr>
              <w:t>7.7%</w:t>
            </w:r>
          </w:p>
        </w:tc>
        <w:tc>
          <w:tcPr>
            <w:tcW w:w="978" w:type="dxa"/>
            <w:shd w:val="clear" w:color="auto" w:fill="D9D9D9" w:themeFill="background1" w:themeFillShade="D9"/>
            <w:vAlign w:val="center"/>
          </w:tcPr>
          <w:p w14:paraId="30D14E9D" w14:textId="1177C493" w:rsidR="00FB10C0" w:rsidRPr="00317435" w:rsidRDefault="00FB10C0" w:rsidP="00FB10C0">
            <w:pPr>
              <w:keepNext/>
              <w:jc w:val="center"/>
              <w:rPr>
                <w:rFonts w:ascii="Arial" w:hAnsi="Arial" w:cs="Arial"/>
                <w:sz w:val="20"/>
                <w:szCs w:val="20"/>
              </w:rPr>
            </w:pPr>
            <w:r>
              <w:rPr>
                <w:rFonts w:ascii="Arial" w:hAnsi="Arial" w:cs="Arial"/>
                <w:sz w:val="20"/>
                <w:szCs w:val="20"/>
              </w:rPr>
              <w:t>5.2%</w:t>
            </w:r>
          </w:p>
        </w:tc>
        <w:tc>
          <w:tcPr>
            <w:tcW w:w="939" w:type="dxa"/>
            <w:shd w:val="clear" w:color="auto" w:fill="D9D9D9" w:themeFill="background1" w:themeFillShade="D9"/>
            <w:vAlign w:val="center"/>
          </w:tcPr>
          <w:p w14:paraId="68C1A0B1" w14:textId="3ABCE73C" w:rsidR="00FB10C0" w:rsidRPr="00C35D1A" w:rsidRDefault="00FB10C0" w:rsidP="00FB10C0">
            <w:pPr>
              <w:keepNext/>
              <w:jc w:val="center"/>
              <w:rPr>
                <w:rFonts w:ascii="Arial" w:hAnsi="Arial" w:cs="Arial"/>
                <w:sz w:val="20"/>
                <w:szCs w:val="20"/>
              </w:rPr>
            </w:pPr>
            <w:r>
              <w:rPr>
                <w:rFonts w:ascii="Arial" w:hAnsi="Arial" w:cs="Arial"/>
                <w:sz w:val="20"/>
                <w:szCs w:val="20"/>
              </w:rPr>
              <w:t>29.7%</w:t>
            </w:r>
          </w:p>
        </w:tc>
        <w:tc>
          <w:tcPr>
            <w:tcW w:w="1043" w:type="dxa"/>
            <w:shd w:val="clear" w:color="auto" w:fill="D9D9D9" w:themeFill="background1" w:themeFillShade="D9"/>
            <w:vAlign w:val="center"/>
          </w:tcPr>
          <w:p w14:paraId="673EA753" w14:textId="3D470A9E" w:rsidR="00FB10C0" w:rsidRPr="00C35D1A" w:rsidRDefault="00FB10C0" w:rsidP="00FB10C0">
            <w:pPr>
              <w:keepNext/>
              <w:jc w:val="center"/>
              <w:rPr>
                <w:rFonts w:ascii="Arial" w:hAnsi="Arial" w:cs="Arial"/>
                <w:sz w:val="20"/>
                <w:szCs w:val="20"/>
              </w:rPr>
            </w:pPr>
          </w:p>
        </w:tc>
        <w:tc>
          <w:tcPr>
            <w:tcW w:w="990" w:type="dxa"/>
            <w:shd w:val="clear" w:color="auto" w:fill="D9D9D9" w:themeFill="background1" w:themeFillShade="D9"/>
            <w:vAlign w:val="center"/>
          </w:tcPr>
          <w:p w14:paraId="69A6131C" w14:textId="585D2DCB" w:rsidR="00FB10C0" w:rsidRPr="00C35D1A" w:rsidRDefault="00FB10C0" w:rsidP="00FB10C0">
            <w:pPr>
              <w:keepNext/>
              <w:jc w:val="center"/>
              <w:rPr>
                <w:rFonts w:ascii="Arial" w:hAnsi="Arial" w:cs="Arial"/>
                <w:sz w:val="20"/>
                <w:szCs w:val="20"/>
              </w:rPr>
            </w:pPr>
          </w:p>
        </w:tc>
        <w:tc>
          <w:tcPr>
            <w:tcW w:w="900" w:type="dxa"/>
            <w:shd w:val="clear" w:color="auto" w:fill="D9D9D9" w:themeFill="background1" w:themeFillShade="D9"/>
            <w:vAlign w:val="center"/>
          </w:tcPr>
          <w:p w14:paraId="233811F5" w14:textId="5F51D93A" w:rsidR="00FB10C0" w:rsidRPr="00317435" w:rsidRDefault="00FB10C0" w:rsidP="00FB10C0">
            <w:pPr>
              <w:keepNext/>
              <w:jc w:val="center"/>
              <w:rPr>
                <w:rFonts w:ascii="Arial" w:hAnsi="Arial" w:cs="Arial"/>
                <w:sz w:val="20"/>
                <w:szCs w:val="20"/>
              </w:rPr>
            </w:pPr>
          </w:p>
        </w:tc>
      </w:tr>
      <w:tr w:rsidR="00FB10C0" w:rsidRPr="000A5A89" w14:paraId="16E067AE" w14:textId="77777777" w:rsidTr="00C97853">
        <w:trPr>
          <w:trHeight w:val="237"/>
        </w:trPr>
        <w:tc>
          <w:tcPr>
            <w:tcW w:w="3081" w:type="dxa"/>
            <w:vMerge/>
            <w:vAlign w:val="center"/>
            <w:hideMark/>
          </w:tcPr>
          <w:p w14:paraId="11016614" w14:textId="77777777" w:rsidR="00FB10C0" w:rsidRPr="00992F6A" w:rsidRDefault="00FB10C0" w:rsidP="00FB10C0">
            <w:pPr>
              <w:keepNext/>
              <w:rPr>
                <w:rFonts w:ascii="Arial" w:hAnsi="Arial" w:cs="Arial"/>
                <w:bCs/>
                <w:sz w:val="20"/>
              </w:rPr>
            </w:pPr>
          </w:p>
        </w:tc>
        <w:tc>
          <w:tcPr>
            <w:tcW w:w="1235" w:type="dxa"/>
            <w:shd w:val="clear" w:color="auto" w:fill="FFFFFF" w:themeFill="background1"/>
            <w:vAlign w:val="center"/>
            <w:hideMark/>
          </w:tcPr>
          <w:p w14:paraId="7DB5B666" w14:textId="77777777" w:rsidR="00FB10C0" w:rsidRPr="005D78D0" w:rsidRDefault="00FB10C0" w:rsidP="00FB10C0">
            <w:pPr>
              <w:keepNext/>
              <w:jc w:val="center"/>
              <w:rPr>
                <w:rFonts w:ascii="Arial" w:hAnsi="Arial" w:cs="Arial"/>
                <w:sz w:val="20"/>
              </w:rPr>
            </w:pPr>
            <w:r w:rsidRPr="005D78D0">
              <w:rPr>
                <w:rFonts w:ascii="Arial" w:hAnsi="Arial" w:cs="Arial"/>
                <w:sz w:val="20"/>
                <w:szCs w:val="16"/>
              </w:rPr>
              <w:t>public funds universe median</w:t>
            </w:r>
          </w:p>
        </w:tc>
        <w:tc>
          <w:tcPr>
            <w:tcW w:w="996" w:type="dxa"/>
            <w:shd w:val="clear" w:color="auto" w:fill="FFFFFF" w:themeFill="background1"/>
            <w:vAlign w:val="center"/>
          </w:tcPr>
          <w:p w14:paraId="3F235C8B" w14:textId="3588B963" w:rsidR="00FB10C0" w:rsidRPr="00317435" w:rsidRDefault="00FB10C0" w:rsidP="00FB10C0">
            <w:pPr>
              <w:keepNext/>
              <w:jc w:val="center"/>
              <w:rPr>
                <w:rFonts w:ascii="Arial" w:hAnsi="Arial" w:cs="Arial"/>
                <w:bCs/>
                <w:sz w:val="20"/>
                <w:szCs w:val="20"/>
              </w:rPr>
            </w:pPr>
            <w:r>
              <w:rPr>
                <w:rFonts w:ascii="Arial" w:hAnsi="Arial" w:cs="Arial"/>
                <w:sz w:val="20"/>
                <w:szCs w:val="20"/>
              </w:rPr>
              <w:t>6.2</w:t>
            </w:r>
            <w:r w:rsidRPr="00873AEF">
              <w:rPr>
                <w:rFonts w:ascii="Arial" w:hAnsi="Arial" w:cs="Arial"/>
                <w:sz w:val="20"/>
                <w:szCs w:val="20"/>
              </w:rPr>
              <w:t>%</w:t>
            </w:r>
          </w:p>
        </w:tc>
        <w:tc>
          <w:tcPr>
            <w:tcW w:w="978" w:type="dxa"/>
            <w:shd w:val="clear" w:color="auto" w:fill="FFFFFF" w:themeFill="background1"/>
            <w:vAlign w:val="center"/>
          </w:tcPr>
          <w:p w14:paraId="4AA21324" w14:textId="593CEB9F" w:rsidR="00FB10C0" w:rsidRPr="00317435" w:rsidRDefault="00FB10C0" w:rsidP="00FB10C0">
            <w:pPr>
              <w:keepNext/>
              <w:jc w:val="center"/>
              <w:rPr>
                <w:rFonts w:ascii="Arial" w:hAnsi="Arial" w:cs="Arial"/>
                <w:sz w:val="20"/>
                <w:szCs w:val="20"/>
              </w:rPr>
            </w:pPr>
            <w:r>
              <w:rPr>
                <w:rFonts w:ascii="Arial" w:hAnsi="Arial" w:cs="Arial"/>
                <w:sz w:val="20"/>
                <w:szCs w:val="20"/>
              </w:rPr>
              <w:t>3.3%</w:t>
            </w:r>
          </w:p>
        </w:tc>
        <w:tc>
          <w:tcPr>
            <w:tcW w:w="939" w:type="dxa"/>
            <w:shd w:val="clear" w:color="auto" w:fill="FFFFFF" w:themeFill="background1"/>
            <w:vAlign w:val="center"/>
          </w:tcPr>
          <w:p w14:paraId="46C53354" w14:textId="112818BE" w:rsidR="00FB10C0" w:rsidRPr="00C35D1A" w:rsidRDefault="00FB10C0" w:rsidP="00FB10C0">
            <w:pPr>
              <w:keepNext/>
              <w:jc w:val="center"/>
              <w:rPr>
                <w:rFonts w:ascii="Arial" w:hAnsi="Arial" w:cs="Arial"/>
                <w:sz w:val="20"/>
                <w:szCs w:val="20"/>
              </w:rPr>
            </w:pPr>
            <w:r>
              <w:rPr>
                <w:rFonts w:ascii="Arial" w:hAnsi="Arial" w:cs="Arial"/>
                <w:sz w:val="20"/>
                <w:szCs w:val="20"/>
              </w:rPr>
              <w:t>25.8%</w:t>
            </w:r>
          </w:p>
        </w:tc>
        <w:tc>
          <w:tcPr>
            <w:tcW w:w="1043" w:type="dxa"/>
            <w:shd w:val="clear" w:color="auto" w:fill="FFFFFF" w:themeFill="background1"/>
            <w:vAlign w:val="center"/>
          </w:tcPr>
          <w:p w14:paraId="164F02E5" w14:textId="4A49ECAB" w:rsidR="00FB10C0" w:rsidRPr="00C35D1A" w:rsidRDefault="00FB10C0" w:rsidP="00FB10C0">
            <w:pPr>
              <w:keepNext/>
              <w:jc w:val="center"/>
              <w:rPr>
                <w:rFonts w:ascii="Arial" w:hAnsi="Arial" w:cs="Arial"/>
                <w:sz w:val="20"/>
                <w:szCs w:val="20"/>
              </w:rPr>
            </w:pPr>
            <w:r>
              <w:rPr>
                <w:rFonts w:ascii="Arial" w:hAnsi="Arial" w:cs="Arial"/>
                <w:sz w:val="20"/>
                <w:szCs w:val="20"/>
              </w:rPr>
              <w:t>5.2%</w:t>
            </w:r>
          </w:p>
        </w:tc>
        <w:tc>
          <w:tcPr>
            <w:tcW w:w="990" w:type="dxa"/>
            <w:shd w:val="clear" w:color="auto" w:fill="FFFFFF" w:themeFill="background1"/>
            <w:vAlign w:val="center"/>
          </w:tcPr>
          <w:p w14:paraId="702EDBD0" w14:textId="09B2B943" w:rsidR="00FB10C0" w:rsidRPr="00C35D1A" w:rsidRDefault="00FB10C0" w:rsidP="00FB10C0">
            <w:pPr>
              <w:keepNext/>
              <w:jc w:val="center"/>
              <w:rPr>
                <w:rFonts w:ascii="Arial" w:hAnsi="Arial" w:cs="Arial"/>
                <w:sz w:val="20"/>
                <w:szCs w:val="20"/>
              </w:rPr>
            </w:pPr>
          </w:p>
        </w:tc>
        <w:tc>
          <w:tcPr>
            <w:tcW w:w="900" w:type="dxa"/>
            <w:shd w:val="clear" w:color="auto" w:fill="FFFFFF" w:themeFill="background1"/>
            <w:vAlign w:val="center"/>
          </w:tcPr>
          <w:p w14:paraId="50B3A57C" w14:textId="7742D50F" w:rsidR="00FB10C0" w:rsidRPr="00317435" w:rsidRDefault="00FB10C0" w:rsidP="00FB10C0">
            <w:pPr>
              <w:keepNext/>
              <w:jc w:val="center"/>
              <w:rPr>
                <w:rFonts w:ascii="Arial" w:hAnsi="Arial" w:cs="Arial"/>
                <w:sz w:val="20"/>
                <w:szCs w:val="20"/>
              </w:rPr>
            </w:pPr>
          </w:p>
        </w:tc>
      </w:tr>
      <w:tr w:rsidR="00FB10C0" w:rsidRPr="000A5A89" w14:paraId="3E86601B" w14:textId="77777777" w:rsidTr="00C97853">
        <w:trPr>
          <w:trHeight w:val="282"/>
        </w:trPr>
        <w:tc>
          <w:tcPr>
            <w:tcW w:w="3081" w:type="dxa"/>
            <w:vMerge/>
            <w:vAlign w:val="center"/>
          </w:tcPr>
          <w:p w14:paraId="39F64BB0" w14:textId="77777777" w:rsidR="00FB10C0" w:rsidRPr="00992F6A" w:rsidRDefault="00FB10C0" w:rsidP="00FB10C0">
            <w:pPr>
              <w:keepNext/>
              <w:rPr>
                <w:rFonts w:ascii="Arial" w:hAnsi="Arial" w:cs="Arial"/>
                <w:bCs/>
                <w:sz w:val="20"/>
              </w:rPr>
            </w:pPr>
          </w:p>
        </w:tc>
        <w:tc>
          <w:tcPr>
            <w:tcW w:w="1235" w:type="dxa"/>
            <w:shd w:val="clear" w:color="auto" w:fill="FFFFFF" w:themeFill="background1"/>
            <w:vAlign w:val="center"/>
          </w:tcPr>
          <w:p w14:paraId="38C271BC" w14:textId="77777777" w:rsidR="00FB10C0" w:rsidRPr="00B76184" w:rsidRDefault="00FB10C0" w:rsidP="00FB10C0">
            <w:pPr>
              <w:keepNext/>
              <w:jc w:val="center"/>
              <w:rPr>
                <w:rFonts w:ascii="Arial" w:hAnsi="Arial" w:cs="Arial"/>
                <w:i/>
                <w:sz w:val="20"/>
                <w:szCs w:val="20"/>
              </w:rPr>
            </w:pPr>
            <w:r w:rsidRPr="00B76184">
              <w:rPr>
                <w:rFonts w:ascii="Arial" w:hAnsi="Arial" w:cs="Arial"/>
                <w:i/>
                <w:sz w:val="20"/>
                <w:szCs w:val="20"/>
              </w:rPr>
              <w:t>excess</w:t>
            </w:r>
          </w:p>
        </w:tc>
        <w:tc>
          <w:tcPr>
            <w:tcW w:w="996" w:type="dxa"/>
            <w:shd w:val="clear" w:color="auto" w:fill="FFFFFF" w:themeFill="background1"/>
            <w:vAlign w:val="center"/>
          </w:tcPr>
          <w:p w14:paraId="16920820" w14:textId="27068B75" w:rsidR="00FB10C0" w:rsidRPr="00B76184" w:rsidRDefault="00FB10C0" w:rsidP="00FB10C0">
            <w:pPr>
              <w:keepNext/>
              <w:jc w:val="center"/>
              <w:rPr>
                <w:rFonts w:ascii="Arial" w:hAnsi="Arial" w:cs="Arial"/>
                <w:bCs/>
                <w:i/>
                <w:sz w:val="20"/>
                <w:szCs w:val="20"/>
              </w:rPr>
            </w:pPr>
            <w:r>
              <w:rPr>
                <w:rFonts w:ascii="Arial" w:hAnsi="Arial" w:cs="Arial"/>
                <w:i/>
                <w:sz w:val="20"/>
                <w:szCs w:val="20"/>
              </w:rPr>
              <w:t>1.5</w:t>
            </w:r>
            <w:r w:rsidRPr="00873AEF">
              <w:rPr>
                <w:rFonts w:ascii="Arial" w:hAnsi="Arial" w:cs="Arial"/>
                <w:i/>
                <w:sz w:val="20"/>
                <w:szCs w:val="20"/>
              </w:rPr>
              <w:t>%</w:t>
            </w:r>
          </w:p>
        </w:tc>
        <w:tc>
          <w:tcPr>
            <w:tcW w:w="978" w:type="dxa"/>
            <w:shd w:val="clear" w:color="auto" w:fill="FFFFFF" w:themeFill="background1"/>
            <w:vAlign w:val="center"/>
          </w:tcPr>
          <w:p w14:paraId="7B4E6A65" w14:textId="4120D834" w:rsidR="00FB10C0" w:rsidRPr="00B76184" w:rsidRDefault="00FB10C0" w:rsidP="00FB10C0">
            <w:pPr>
              <w:keepNext/>
              <w:jc w:val="center"/>
              <w:rPr>
                <w:rFonts w:ascii="Arial" w:hAnsi="Arial" w:cs="Arial"/>
                <w:i/>
                <w:sz w:val="20"/>
                <w:szCs w:val="20"/>
              </w:rPr>
            </w:pPr>
            <w:r>
              <w:rPr>
                <w:rFonts w:ascii="Arial" w:hAnsi="Arial" w:cs="Arial"/>
                <w:i/>
                <w:sz w:val="20"/>
                <w:szCs w:val="20"/>
              </w:rPr>
              <w:t>1.9%</w:t>
            </w:r>
          </w:p>
        </w:tc>
        <w:tc>
          <w:tcPr>
            <w:tcW w:w="939" w:type="dxa"/>
            <w:shd w:val="clear" w:color="auto" w:fill="FFFFFF" w:themeFill="background1"/>
            <w:vAlign w:val="center"/>
          </w:tcPr>
          <w:p w14:paraId="0A549C6E" w14:textId="24130E6C" w:rsidR="00FB10C0" w:rsidRPr="00B76184" w:rsidRDefault="00FB10C0" w:rsidP="00FB10C0">
            <w:pPr>
              <w:keepNext/>
              <w:jc w:val="center"/>
              <w:rPr>
                <w:rFonts w:ascii="Arial" w:hAnsi="Arial" w:cs="Arial"/>
                <w:i/>
                <w:sz w:val="20"/>
                <w:szCs w:val="20"/>
              </w:rPr>
            </w:pPr>
            <w:r>
              <w:rPr>
                <w:rFonts w:ascii="Arial" w:hAnsi="Arial" w:cs="Arial"/>
                <w:i/>
                <w:sz w:val="20"/>
                <w:szCs w:val="20"/>
              </w:rPr>
              <w:t>3.9%</w:t>
            </w:r>
          </w:p>
        </w:tc>
        <w:tc>
          <w:tcPr>
            <w:tcW w:w="1043" w:type="dxa"/>
            <w:shd w:val="clear" w:color="auto" w:fill="FFFFFF" w:themeFill="background1"/>
            <w:vAlign w:val="center"/>
          </w:tcPr>
          <w:p w14:paraId="6B01E5A0" w14:textId="0A1CFC4F" w:rsidR="00FB10C0" w:rsidRPr="00B76184" w:rsidRDefault="00FB10C0" w:rsidP="00FB10C0">
            <w:pPr>
              <w:keepNext/>
              <w:jc w:val="center"/>
              <w:rPr>
                <w:rFonts w:ascii="Arial" w:hAnsi="Arial" w:cs="Arial"/>
                <w:i/>
                <w:sz w:val="20"/>
                <w:szCs w:val="20"/>
              </w:rPr>
            </w:pPr>
            <w:r>
              <w:rPr>
                <w:rFonts w:ascii="Arial" w:hAnsi="Arial" w:cs="Arial"/>
                <w:i/>
                <w:sz w:val="20"/>
                <w:szCs w:val="20"/>
              </w:rPr>
              <w:t>1.0%</w:t>
            </w:r>
          </w:p>
        </w:tc>
        <w:tc>
          <w:tcPr>
            <w:tcW w:w="990" w:type="dxa"/>
            <w:shd w:val="clear" w:color="auto" w:fill="FFFFFF" w:themeFill="background1"/>
            <w:vAlign w:val="center"/>
          </w:tcPr>
          <w:p w14:paraId="42D317C5" w14:textId="287A0420" w:rsidR="00FB10C0" w:rsidRPr="00B76184" w:rsidRDefault="00FB10C0" w:rsidP="00FB10C0">
            <w:pPr>
              <w:keepNext/>
              <w:jc w:val="center"/>
              <w:rPr>
                <w:rFonts w:ascii="Arial" w:hAnsi="Arial" w:cs="Arial"/>
                <w:i/>
                <w:sz w:val="20"/>
                <w:szCs w:val="20"/>
              </w:rPr>
            </w:pPr>
          </w:p>
        </w:tc>
        <w:tc>
          <w:tcPr>
            <w:tcW w:w="900" w:type="dxa"/>
            <w:shd w:val="clear" w:color="auto" w:fill="FFFFFF" w:themeFill="background1"/>
            <w:vAlign w:val="center"/>
          </w:tcPr>
          <w:p w14:paraId="3743C918" w14:textId="498A0E60" w:rsidR="00FB10C0" w:rsidRPr="00B76184" w:rsidRDefault="00FB10C0" w:rsidP="00FB10C0">
            <w:pPr>
              <w:keepNext/>
              <w:jc w:val="center"/>
              <w:rPr>
                <w:rFonts w:ascii="Arial" w:hAnsi="Arial" w:cs="Arial"/>
                <w:bCs/>
                <w:i/>
                <w:sz w:val="20"/>
                <w:szCs w:val="20"/>
              </w:rPr>
            </w:pPr>
          </w:p>
        </w:tc>
      </w:tr>
      <w:tr w:rsidR="00FB10C0" w:rsidRPr="00992F6A" w14:paraId="5E46875F" w14:textId="77777777" w:rsidTr="00C97853">
        <w:trPr>
          <w:trHeight w:val="345"/>
        </w:trPr>
        <w:tc>
          <w:tcPr>
            <w:tcW w:w="10162" w:type="dxa"/>
            <w:gridSpan w:val="8"/>
            <w:vAlign w:val="center"/>
          </w:tcPr>
          <w:p w14:paraId="4421C31A" w14:textId="77777777" w:rsidR="00FB10C0" w:rsidRPr="00C35D1A" w:rsidRDefault="00FB10C0" w:rsidP="00FB10C0">
            <w:pPr>
              <w:numPr>
                <w:ilvl w:val="0"/>
                <w:numId w:val="3"/>
              </w:numPr>
              <w:ind w:left="342"/>
              <w:contextualSpacing/>
              <w:rPr>
                <w:rFonts w:ascii="Arial" w:eastAsia="Arial Unicode MS" w:hAnsi="Arial" w:cs="Arial"/>
                <w:sz w:val="20"/>
                <w:szCs w:val="22"/>
              </w:rPr>
            </w:pPr>
            <w:r>
              <w:rPr>
                <w:rFonts w:ascii="Arial" w:eastAsia="Arial Unicode MS" w:hAnsi="Arial" w:cs="Arial"/>
                <w:sz w:val="20"/>
                <w:szCs w:val="22"/>
              </w:rPr>
              <w:t>Percent Real Change in the Fund</w:t>
            </w:r>
          </w:p>
        </w:tc>
      </w:tr>
      <w:tr w:rsidR="00FB10C0" w:rsidRPr="000A5A89" w14:paraId="2CD81BB7" w14:textId="77777777" w:rsidTr="00C97853">
        <w:trPr>
          <w:trHeight w:val="363"/>
        </w:trPr>
        <w:tc>
          <w:tcPr>
            <w:tcW w:w="3081" w:type="dxa"/>
            <w:vMerge w:val="restart"/>
            <w:hideMark/>
          </w:tcPr>
          <w:p w14:paraId="52C439ED" w14:textId="77777777" w:rsidR="00FB10C0" w:rsidRPr="00704A3E" w:rsidRDefault="00FB10C0" w:rsidP="00FB10C0">
            <w:pPr>
              <w:pStyle w:val="ListParagraph"/>
              <w:numPr>
                <w:ilvl w:val="0"/>
                <w:numId w:val="6"/>
              </w:numPr>
              <w:rPr>
                <w:rFonts w:ascii="Arial" w:hAnsi="Arial" w:cs="Arial"/>
                <w:bCs/>
                <w:sz w:val="20"/>
              </w:rPr>
            </w:pPr>
            <w:r>
              <w:rPr>
                <w:rFonts w:ascii="Arial" w:hAnsi="Arial" w:cs="Arial"/>
                <w:bCs/>
                <w:sz w:val="20"/>
              </w:rPr>
              <w:t>Land Grant</w:t>
            </w:r>
            <w:r w:rsidRPr="00704A3E">
              <w:rPr>
                <w:rFonts w:ascii="Arial" w:hAnsi="Arial" w:cs="Arial"/>
                <w:bCs/>
                <w:sz w:val="20"/>
              </w:rPr>
              <w:t xml:space="preserve"> Endowment: growth in Permanent funds to exceed the rate of inflation and population growth</w:t>
            </w:r>
          </w:p>
        </w:tc>
        <w:tc>
          <w:tcPr>
            <w:tcW w:w="1235" w:type="dxa"/>
            <w:shd w:val="clear" w:color="auto" w:fill="D9D9D9" w:themeFill="background1" w:themeFillShade="D9"/>
            <w:vAlign w:val="center"/>
            <w:hideMark/>
          </w:tcPr>
          <w:p w14:paraId="4CEF20F3" w14:textId="77777777" w:rsidR="00FB10C0" w:rsidRPr="00992F6A" w:rsidRDefault="00FB10C0" w:rsidP="00FB10C0">
            <w:pPr>
              <w:jc w:val="center"/>
              <w:rPr>
                <w:rFonts w:ascii="Arial" w:hAnsi="Arial" w:cs="Arial"/>
                <w:sz w:val="20"/>
              </w:rPr>
            </w:pPr>
            <w:r>
              <w:rPr>
                <w:rFonts w:ascii="Arial" w:hAnsi="Arial" w:cs="Arial"/>
                <w:sz w:val="20"/>
              </w:rPr>
              <w:t>annual growth in corpus</w:t>
            </w:r>
          </w:p>
        </w:tc>
        <w:tc>
          <w:tcPr>
            <w:tcW w:w="996" w:type="dxa"/>
            <w:shd w:val="clear" w:color="auto" w:fill="D9D9D9" w:themeFill="background1" w:themeFillShade="D9"/>
            <w:vAlign w:val="center"/>
          </w:tcPr>
          <w:p w14:paraId="0CCFDAAE" w14:textId="295CC823" w:rsidR="00FB10C0" w:rsidRPr="00317435" w:rsidRDefault="00FB10C0" w:rsidP="00FB10C0">
            <w:pPr>
              <w:jc w:val="center"/>
              <w:rPr>
                <w:rFonts w:ascii="Arial" w:hAnsi="Arial" w:cs="Arial"/>
                <w:bCs/>
                <w:sz w:val="20"/>
                <w:szCs w:val="20"/>
              </w:rPr>
            </w:pPr>
            <w:r>
              <w:rPr>
                <w:rFonts w:ascii="Arial" w:hAnsi="Arial" w:cs="Arial"/>
                <w:sz w:val="20"/>
                <w:szCs w:val="20"/>
              </w:rPr>
              <w:t>5.3%</w:t>
            </w:r>
          </w:p>
        </w:tc>
        <w:tc>
          <w:tcPr>
            <w:tcW w:w="978" w:type="dxa"/>
            <w:shd w:val="clear" w:color="auto" w:fill="D9D9D9" w:themeFill="background1" w:themeFillShade="D9"/>
            <w:vAlign w:val="center"/>
          </w:tcPr>
          <w:p w14:paraId="1D04F4DE" w14:textId="6776BC22" w:rsidR="00FB10C0" w:rsidRPr="00317435" w:rsidRDefault="00FB10C0" w:rsidP="00FB10C0">
            <w:pPr>
              <w:jc w:val="center"/>
              <w:rPr>
                <w:rFonts w:ascii="Arial" w:hAnsi="Arial" w:cs="Arial"/>
                <w:sz w:val="20"/>
                <w:szCs w:val="20"/>
              </w:rPr>
            </w:pPr>
            <w:r>
              <w:rPr>
                <w:rFonts w:ascii="Arial" w:hAnsi="Arial" w:cs="Arial"/>
                <w:sz w:val="20"/>
                <w:szCs w:val="20"/>
              </w:rPr>
              <w:t>5.1%</w:t>
            </w:r>
          </w:p>
        </w:tc>
        <w:tc>
          <w:tcPr>
            <w:tcW w:w="939" w:type="dxa"/>
            <w:shd w:val="clear" w:color="auto" w:fill="D9D9D9" w:themeFill="background1" w:themeFillShade="D9"/>
            <w:vAlign w:val="center"/>
          </w:tcPr>
          <w:p w14:paraId="6232B034" w14:textId="511C40E3" w:rsidR="00FB10C0" w:rsidRPr="00C35D1A" w:rsidRDefault="00FB10C0" w:rsidP="00FB10C0">
            <w:pPr>
              <w:jc w:val="center"/>
              <w:rPr>
                <w:rFonts w:ascii="Arial" w:hAnsi="Arial" w:cs="Arial"/>
                <w:sz w:val="20"/>
                <w:szCs w:val="20"/>
              </w:rPr>
            </w:pPr>
            <w:r>
              <w:rPr>
                <w:rFonts w:ascii="Arial" w:hAnsi="Arial" w:cs="Arial"/>
                <w:sz w:val="20"/>
                <w:szCs w:val="20"/>
              </w:rPr>
              <w:t>5.7%</w:t>
            </w:r>
          </w:p>
        </w:tc>
        <w:tc>
          <w:tcPr>
            <w:tcW w:w="1043" w:type="dxa"/>
            <w:shd w:val="clear" w:color="auto" w:fill="D9D9D9" w:themeFill="background1" w:themeFillShade="D9"/>
            <w:vAlign w:val="center"/>
          </w:tcPr>
          <w:p w14:paraId="4D9EA6A3" w14:textId="31858ECB" w:rsidR="00FB10C0" w:rsidRPr="00C35D1A" w:rsidRDefault="00FB10C0" w:rsidP="00FB10C0">
            <w:pPr>
              <w:jc w:val="center"/>
              <w:rPr>
                <w:rFonts w:ascii="Arial" w:hAnsi="Arial" w:cs="Arial"/>
                <w:sz w:val="20"/>
                <w:szCs w:val="20"/>
              </w:rPr>
            </w:pPr>
          </w:p>
        </w:tc>
        <w:tc>
          <w:tcPr>
            <w:tcW w:w="990" w:type="dxa"/>
            <w:shd w:val="clear" w:color="auto" w:fill="D9D9D9" w:themeFill="background1" w:themeFillShade="D9"/>
            <w:vAlign w:val="center"/>
          </w:tcPr>
          <w:p w14:paraId="5A6B9CB2" w14:textId="6A84A0C9" w:rsidR="00FB10C0" w:rsidRPr="00C35D1A" w:rsidRDefault="00FB10C0" w:rsidP="00FB10C0">
            <w:pPr>
              <w:jc w:val="center"/>
              <w:rPr>
                <w:rFonts w:ascii="Arial" w:hAnsi="Arial" w:cs="Arial"/>
                <w:sz w:val="20"/>
                <w:szCs w:val="20"/>
              </w:rPr>
            </w:pPr>
          </w:p>
        </w:tc>
        <w:tc>
          <w:tcPr>
            <w:tcW w:w="900" w:type="dxa"/>
            <w:shd w:val="clear" w:color="auto" w:fill="D9D9D9" w:themeFill="background1" w:themeFillShade="D9"/>
            <w:vAlign w:val="center"/>
          </w:tcPr>
          <w:p w14:paraId="6D673E90" w14:textId="335EC245" w:rsidR="00FB10C0" w:rsidRPr="00317435" w:rsidRDefault="00FB10C0" w:rsidP="00FB10C0">
            <w:pPr>
              <w:jc w:val="center"/>
              <w:rPr>
                <w:rFonts w:ascii="Arial" w:hAnsi="Arial" w:cs="Arial"/>
                <w:sz w:val="20"/>
                <w:szCs w:val="20"/>
              </w:rPr>
            </w:pPr>
          </w:p>
        </w:tc>
      </w:tr>
      <w:tr w:rsidR="00FB10C0" w:rsidRPr="000A5A89" w14:paraId="1A50D4D8" w14:textId="77777777" w:rsidTr="00C97853">
        <w:trPr>
          <w:trHeight w:val="282"/>
        </w:trPr>
        <w:tc>
          <w:tcPr>
            <w:tcW w:w="3081" w:type="dxa"/>
            <w:vMerge/>
            <w:vAlign w:val="center"/>
            <w:hideMark/>
          </w:tcPr>
          <w:p w14:paraId="79AC09A1"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hideMark/>
          </w:tcPr>
          <w:p w14:paraId="57FA50A2" w14:textId="77777777" w:rsidR="00FB10C0" w:rsidRPr="005D78D0" w:rsidRDefault="00FB10C0" w:rsidP="00FB10C0">
            <w:pPr>
              <w:jc w:val="center"/>
              <w:rPr>
                <w:rFonts w:ascii="Arial" w:hAnsi="Arial" w:cs="Arial"/>
                <w:sz w:val="20"/>
              </w:rPr>
            </w:pPr>
            <w:r w:rsidRPr="005D78D0">
              <w:rPr>
                <w:rFonts w:ascii="Arial" w:hAnsi="Arial" w:cs="Arial"/>
                <w:sz w:val="20"/>
                <w:szCs w:val="16"/>
              </w:rPr>
              <w:t>annual rate of inflation</w:t>
            </w:r>
          </w:p>
        </w:tc>
        <w:tc>
          <w:tcPr>
            <w:tcW w:w="996" w:type="dxa"/>
            <w:shd w:val="clear" w:color="auto" w:fill="FFFFFF" w:themeFill="background1"/>
            <w:vAlign w:val="center"/>
          </w:tcPr>
          <w:p w14:paraId="38F44D77" w14:textId="016F01DC" w:rsidR="00FB10C0" w:rsidRPr="00D6698C" w:rsidRDefault="00FB10C0" w:rsidP="00FB10C0">
            <w:pPr>
              <w:jc w:val="center"/>
              <w:rPr>
                <w:rFonts w:ascii="Arial" w:hAnsi="Arial" w:cs="Arial"/>
                <w:bCs/>
                <w:sz w:val="20"/>
                <w:szCs w:val="20"/>
              </w:rPr>
            </w:pPr>
            <w:r w:rsidRPr="00D6698C">
              <w:rPr>
                <w:rFonts w:ascii="Arial" w:hAnsi="Arial" w:cs="Arial"/>
                <w:sz w:val="20"/>
                <w:szCs w:val="20"/>
              </w:rPr>
              <w:t>2.1%</w:t>
            </w:r>
          </w:p>
        </w:tc>
        <w:tc>
          <w:tcPr>
            <w:tcW w:w="978" w:type="dxa"/>
            <w:shd w:val="clear" w:color="auto" w:fill="FFFFFF" w:themeFill="background1"/>
            <w:vAlign w:val="center"/>
          </w:tcPr>
          <w:p w14:paraId="0F4C9651" w14:textId="1AA714FD" w:rsidR="00FB10C0" w:rsidRPr="00D6698C" w:rsidRDefault="00FB10C0" w:rsidP="00FB10C0">
            <w:pPr>
              <w:jc w:val="center"/>
              <w:rPr>
                <w:rFonts w:ascii="Arial" w:hAnsi="Arial" w:cs="Arial"/>
                <w:sz w:val="20"/>
                <w:szCs w:val="20"/>
              </w:rPr>
            </w:pPr>
            <w:r w:rsidRPr="00D6698C">
              <w:rPr>
                <w:rFonts w:ascii="Arial" w:hAnsi="Arial" w:cs="Arial"/>
                <w:sz w:val="20"/>
                <w:szCs w:val="20"/>
              </w:rPr>
              <w:t>1.6%</w:t>
            </w:r>
          </w:p>
        </w:tc>
        <w:tc>
          <w:tcPr>
            <w:tcW w:w="939" w:type="dxa"/>
            <w:shd w:val="clear" w:color="auto" w:fill="FFFFFF" w:themeFill="background1"/>
            <w:vAlign w:val="center"/>
          </w:tcPr>
          <w:p w14:paraId="082F4ADD" w14:textId="16DCED01" w:rsidR="00FB10C0" w:rsidRPr="00D6698C" w:rsidRDefault="00FB10C0" w:rsidP="00FB10C0">
            <w:pPr>
              <w:jc w:val="center"/>
              <w:rPr>
                <w:rFonts w:ascii="Arial" w:hAnsi="Arial" w:cs="Arial"/>
                <w:sz w:val="20"/>
                <w:szCs w:val="20"/>
              </w:rPr>
            </w:pPr>
            <w:r>
              <w:rPr>
                <w:rFonts w:ascii="Arial" w:hAnsi="Arial" w:cs="Arial"/>
                <w:sz w:val="20"/>
                <w:szCs w:val="20"/>
              </w:rPr>
              <w:t>2.3</w:t>
            </w:r>
            <w:r w:rsidRPr="00D6698C">
              <w:rPr>
                <w:rFonts w:ascii="Arial" w:hAnsi="Arial" w:cs="Arial"/>
                <w:sz w:val="20"/>
                <w:szCs w:val="20"/>
              </w:rPr>
              <w:t>%</w:t>
            </w:r>
          </w:p>
        </w:tc>
        <w:tc>
          <w:tcPr>
            <w:tcW w:w="1043" w:type="dxa"/>
            <w:shd w:val="clear" w:color="auto" w:fill="FFFFFF" w:themeFill="background1"/>
            <w:vAlign w:val="center"/>
          </w:tcPr>
          <w:p w14:paraId="1957C4EC" w14:textId="347CFC18" w:rsidR="00FB10C0" w:rsidRPr="00D6698C" w:rsidRDefault="00FB10C0" w:rsidP="00FB10C0">
            <w:pPr>
              <w:jc w:val="center"/>
              <w:rPr>
                <w:rFonts w:ascii="Arial" w:hAnsi="Arial" w:cs="Arial"/>
                <w:sz w:val="20"/>
                <w:szCs w:val="20"/>
              </w:rPr>
            </w:pPr>
            <w:r>
              <w:rPr>
                <w:rFonts w:ascii="Arial" w:hAnsi="Arial" w:cs="Arial"/>
                <w:sz w:val="20"/>
                <w:szCs w:val="20"/>
              </w:rPr>
              <w:t>2.4%</w:t>
            </w:r>
          </w:p>
        </w:tc>
        <w:tc>
          <w:tcPr>
            <w:tcW w:w="990" w:type="dxa"/>
            <w:shd w:val="clear" w:color="auto" w:fill="FFFFFF" w:themeFill="background1"/>
            <w:vAlign w:val="center"/>
          </w:tcPr>
          <w:p w14:paraId="572A53E5" w14:textId="7D192D3C" w:rsidR="00FB10C0" w:rsidRPr="00D6698C" w:rsidRDefault="00FB10C0" w:rsidP="00FB10C0">
            <w:pPr>
              <w:jc w:val="center"/>
              <w:rPr>
                <w:rFonts w:ascii="Arial" w:hAnsi="Arial" w:cs="Arial"/>
                <w:sz w:val="20"/>
                <w:szCs w:val="20"/>
              </w:rPr>
            </w:pPr>
          </w:p>
        </w:tc>
        <w:tc>
          <w:tcPr>
            <w:tcW w:w="900" w:type="dxa"/>
            <w:shd w:val="clear" w:color="auto" w:fill="FFFFFF" w:themeFill="background1"/>
            <w:vAlign w:val="center"/>
          </w:tcPr>
          <w:p w14:paraId="0DE160F2" w14:textId="4392ED99" w:rsidR="00FB10C0" w:rsidRPr="00D6698C" w:rsidRDefault="00FB10C0" w:rsidP="00FB10C0">
            <w:pPr>
              <w:jc w:val="center"/>
              <w:rPr>
                <w:rFonts w:ascii="Arial" w:hAnsi="Arial" w:cs="Arial"/>
                <w:sz w:val="20"/>
                <w:szCs w:val="20"/>
              </w:rPr>
            </w:pPr>
          </w:p>
        </w:tc>
      </w:tr>
      <w:tr w:rsidR="00FB10C0" w:rsidRPr="000A5A89" w14:paraId="5495B857" w14:textId="77777777" w:rsidTr="00C97853">
        <w:trPr>
          <w:trHeight w:val="435"/>
        </w:trPr>
        <w:tc>
          <w:tcPr>
            <w:tcW w:w="3081" w:type="dxa"/>
            <w:vMerge/>
            <w:vAlign w:val="center"/>
          </w:tcPr>
          <w:p w14:paraId="2A022D66"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tcPr>
          <w:p w14:paraId="30946E1C" w14:textId="77777777" w:rsidR="00FB10C0" w:rsidRPr="005D78D0" w:rsidRDefault="00FB10C0" w:rsidP="00FB10C0">
            <w:pPr>
              <w:jc w:val="center"/>
              <w:rPr>
                <w:rFonts w:ascii="Arial" w:hAnsi="Arial" w:cs="Arial"/>
                <w:sz w:val="20"/>
                <w:szCs w:val="16"/>
              </w:rPr>
            </w:pPr>
            <w:r w:rsidRPr="005D78D0">
              <w:rPr>
                <w:rFonts w:ascii="Arial" w:hAnsi="Arial" w:cs="Arial"/>
                <w:sz w:val="20"/>
                <w:szCs w:val="16"/>
              </w:rPr>
              <w:t>annual population growth</w:t>
            </w:r>
          </w:p>
        </w:tc>
        <w:tc>
          <w:tcPr>
            <w:tcW w:w="996" w:type="dxa"/>
            <w:shd w:val="clear" w:color="auto" w:fill="FFFFFF" w:themeFill="background1"/>
            <w:vAlign w:val="center"/>
          </w:tcPr>
          <w:p w14:paraId="4950E9A9" w14:textId="5F99082D" w:rsidR="00FB10C0" w:rsidRPr="00317435" w:rsidRDefault="00FB10C0" w:rsidP="00FB10C0">
            <w:pPr>
              <w:jc w:val="center"/>
              <w:rPr>
                <w:rFonts w:ascii="Arial" w:hAnsi="Arial" w:cs="Arial"/>
                <w:bCs/>
                <w:sz w:val="20"/>
                <w:szCs w:val="20"/>
              </w:rPr>
            </w:pPr>
            <w:r w:rsidRPr="00A91F1C">
              <w:rPr>
                <w:rFonts w:ascii="Arial" w:hAnsi="Arial" w:cs="Arial"/>
                <w:sz w:val="20"/>
                <w:szCs w:val="20"/>
              </w:rPr>
              <w:t>1.8%</w:t>
            </w:r>
          </w:p>
        </w:tc>
        <w:tc>
          <w:tcPr>
            <w:tcW w:w="978" w:type="dxa"/>
            <w:shd w:val="clear" w:color="auto" w:fill="FFFFFF" w:themeFill="background1"/>
            <w:vAlign w:val="center"/>
          </w:tcPr>
          <w:p w14:paraId="4020C8CB" w14:textId="0CDBA2E2" w:rsidR="00FB10C0" w:rsidRPr="00317435" w:rsidRDefault="00FB10C0" w:rsidP="00FB10C0">
            <w:pPr>
              <w:jc w:val="center"/>
              <w:rPr>
                <w:rFonts w:ascii="Arial" w:hAnsi="Arial" w:cs="Arial"/>
                <w:sz w:val="20"/>
                <w:szCs w:val="20"/>
              </w:rPr>
            </w:pPr>
            <w:r>
              <w:rPr>
                <w:rFonts w:ascii="Arial" w:hAnsi="Arial" w:cs="Arial"/>
                <w:sz w:val="20"/>
                <w:szCs w:val="20"/>
              </w:rPr>
              <w:t>1.6%</w:t>
            </w:r>
          </w:p>
        </w:tc>
        <w:tc>
          <w:tcPr>
            <w:tcW w:w="939" w:type="dxa"/>
            <w:shd w:val="clear" w:color="auto" w:fill="FFFFFF" w:themeFill="background1"/>
            <w:vAlign w:val="center"/>
          </w:tcPr>
          <w:p w14:paraId="44C3E9C4" w14:textId="6104673B" w:rsidR="00FB10C0" w:rsidRPr="00C35D1A" w:rsidRDefault="00FB10C0" w:rsidP="00FB10C0">
            <w:pPr>
              <w:jc w:val="center"/>
              <w:rPr>
                <w:rFonts w:ascii="Arial" w:hAnsi="Arial" w:cs="Arial"/>
                <w:sz w:val="20"/>
                <w:szCs w:val="20"/>
              </w:rPr>
            </w:pPr>
            <w:r>
              <w:rPr>
                <w:rFonts w:ascii="Arial" w:hAnsi="Arial" w:cs="Arial"/>
                <w:sz w:val="20"/>
                <w:szCs w:val="20"/>
              </w:rPr>
              <w:t>2.4%</w:t>
            </w:r>
          </w:p>
        </w:tc>
        <w:tc>
          <w:tcPr>
            <w:tcW w:w="1043" w:type="dxa"/>
            <w:shd w:val="clear" w:color="auto" w:fill="FFFFFF" w:themeFill="background1"/>
            <w:vAlign w:val="center"/>
          </w:tcPr>
          <w:p w14:paraId="2AEBCBC3" w14:textId="00F925F1" w:rsidR="00FB10C0" w:rsidRPr="00C35D1A" w:rsidRDefault="00FB10C0" w:rsidP="00FB10C0">
            <w:pPr>
              <w:jc w:val="center"/>
              <w:rPr>
                <w:rFonts w:ascii="Arial" w:hAnsi="Arial" w:cs="Arial"/>
                <w:sz w:val="20"/>
                <w:szCs w:val="20"/>
              </w:rPr>
            </w:pPr>
            <w:r>
              <w:rPr>
                <w:rFonts w:ascii="Arial" w:hAnsi="Arial" w:cs="Arial"/>
                <w:sz w:val="20"/>
                <w:szCs w:val="20"/>
              </w:rPr>
              <w:t>2.2%</w:t>
            </w:r>
          </w:p>
        </w:tc>
        <w:tc>
          <w:tcPr>
            <w:tcW w:w="990" w:type="dxa"/>
            <w:shd w:val="clear" w:color="auto" w:fill="FFFFFF" w:themeFill="background1"/>
            <w:vAlign w:val="center"/>
          </w:tcPr>
          <w:p w14:paraId="32F4BD39" w14:textId="49E95E6B" w:rsidR="00FB10C0" w:rsidRPr="00C35D1A" w:rsidRDefault="00FB10C0" w:rsidP="00FB10C0">
            <w:pPr>
              <w:jc w:val="center"/>
              <w:rPr>
                <w:rFonts w:ascii="Arial" w:hAnsi="Arial" w:cs="Arial"/>
                <w:sz w:val="20"/>
                <w:szCs w:val="20"/>
              </w:rPr>
            </w:pPr>
          </w:p>
        </w:tc>
        <w:tc>
          <w:tcPr>
            <w:tcW w:w="900" w:type="dxa"/>
            <w:shd w:val="clear" w:color="auto" w:fill="FFFFFF" w:themeFill="background1"/>
            <w:vAlign w:val="center"/>
          </w:tcPr>
          <w:p w14:paraId="720C1530" w14:textId="7488B650" w:rsidR="00FB10C0" w:rsidRPr="00317435" w:rsidRDefault="00FB10C0" w:rsidP="00FB10C0">
            <w:pPr>
              <w:jc w:val="center"/>
              <w:rPr>
                <w:rFonts w:ascii="Arial" w:hAnsi="Arial" w:cs="Arial"/>
                <w:bCs/>
                <w:sz w:val="20"/>
                <w:szCs w:val="20"/>
              </w:rPr>
            </w:pPr>
          </w:p>
        </w:tc>
      </w:tr>
      <w:tr w:rsidR="00FB10C0" w:rsidRPr="000A5A89" w14:paraId="520633E2" w14:textId="77777777" w:rsidTr="00C97853">
        <w:trPr>
          <w:trHeight w:val="273"/>
        </w:trPr>
        <w:tc>
          <w:tcPr>
            <w:tcW w:w="3081" w:type="dxa"/>
            <w:vMerge/>
            <w:vAlign w:val="center"/>
          </w:tcPr>
          <w:p w14:paraId="0ECDBCA6" w14:textId="77777777" w:rsidR="00FB10C0" w:rsidRPr="00992F6A" w:rsidRDefault="00FB10C0" w:rsidP="00FB10C0">
            <w:pPr>
              <w:rPr>
                <w:rFonts w:ascii="Arial" w:hAnsi="Arial" w:cs="Arial"/>
                <w:bCs/>
                <w:sz w:val="20"/>
              </w:rPr>
            </w:pPr>
          </w:p>
        </w:tc>
        <w:tc>
          <w:tcPr>
            <w:tcW w:w="1235" w:type="dxa"/>
            <w:shd w:val="clear" w:color="auto" w:fill="FFFFFF" w:themeFill="background1"/>
            <w:vAlign w:val="center"/>
          </w:tcPr>
          <w:p w14:paraId="05CAD405" w14:textId="77777777" w:rsidR="00FB10C0" w:rsidRPr="00B76184" w:rsidRDefault="00FB10C0" w:rsidP="00FB10C0">
            <w:pPr>
              <w:jc w:val="center"/>
              <w:rPr>
                <w:rFonts w:ascii="Arial" w:hAnsi="Arial" w:cs="Arial"/>
                <w:i/>
                <w:sz w:val="20"/>
                <w:szCs w:val="20"/>
              </w:rPr>
            </w:pPr>
            <w:r w:rsidRPr="00B76184">
              <w:rPr>
                <w:rFonts w:ascii="Arial" w:hAnsi="Arial" w:cs="Arial"/>
                <w:i/>
                <w:sz w:val="20"/>
                <w:szCs w:val="20"/>
              </w:rPr>
              <w:t>excess</w:t>
            </w:r>
          </w:p>
        </w:tc>
        <w:tc>
          <w:tcPr>
            <w:tcW w:w="996" w:type="dxa"/>
            <w:shd w:val="clear" w:color="auto" w:fill="FFFFFF" w:themeFill="background1"/>
            <w:vAlign w:val="center"/>
          </w:tcPr>
          <w:p w14:paraId="513481A2" w14:textId="0B00C9BC" w:rsidR="00FB10C0" w:rsidRPr="00B76184" w:rsidRDefault="00FB10C0" w:rsidP="00FB10C0">
            <w:pPr>
              <w:jc w:val="center"/>
              <w:rPr>
                <w:rFonts w:ascii="Arial" w:hAnsi="Arial" w:cs="Arial"/>
                <w:bCs/>
                <w:i/>
                <w:sz w:val="20"/>
                <w:szCs w:val="20"/>
              </w:rPr>
            </w:pPr>
            <w:r w:rsidRPr="00A91F1C">
              <w:rPr>
                <w:rFonts w:ascii="Arial" w:hAnsi="Arial" w:cs="Arial"/>
                <w:i/>
                <w:sz w:val="20"/>
                <w:szCs w:val="20"/>
              </w:rPr>
              <w:t>1.4%</w:t>
            </w:r>
          </w:p>
        </w:tc>
        <w:tc>
          <w:tcPr>
            <w:tcW w:w="978" w:type="dxa"/>
            <w:shd w:val="clear" w:color="auto" w:fill="FFFFFF" w:themeFill="background1"/>
            <w:vAlign w:val="center"/>
          </w:tcPr>
          <w:p w14:paraId="665DF812" w14:textId="3847EEAA" w:rsidR="00FB10C0" w:rsidRPr="00B76184" w:rsidRDefault="00FB10C0" w:rsidP="00FB10C0">
            <w:pPr>
              <w:jc w:val="center"/>
              <w:rPr>
                <w:rFonts w:ascii="Arial" w:hAnsi="Arial" w:cs="Arial"/>
                <w:i/>
                <w:sz w:val="20"/>
                <w:szCs w:val="20"/>
              </w:rPr>
            </w:pPr>
            <w:r>
              <w:rPr>
                <w:rFonts w:ascii="Arial" w:hAnsi="Arial" w:cs="Arial"/>
                <w:i/>
                <w:sz w:val="20"/>
                <w:szCs w:val="20"/>
              </w:rPr>
              <w:t>1.9%</w:t>
            </w:r>
          </w:p>
        </w:tc>
        <w:tc>
          <w:tcPr>
            <w:tcW w:w="939" w:type="dxa"/>
            <w:shd w:val="clear" w:color="auto" w:fill="FFFFFF" w:themeFill="background1"/>
            <w:vAlign w:val="center"/>
          </w:tcPr>
          <w:p w14:paraId="3E02AAAC" w14:textId="3A9BC088" w:rsidR="00FB10C0" w:rsidRPr="00B76184" w:rsidRDefault="00FB10C0" w:rsidP="00FB10C0">
            <w:pPr>
              <w:jc w:val="center"/>
              <w:rPr>
                <w:rFonts w:ascii="Arial" w:hAnsi="Arial" w:cs="Arial"/>
                <w:i/>
                <w:sz w:val="20"/>
                <w:szCs w:val="20"/>
              </w:rPr>
            </w:pPr>
            <w:r>
              <w:rPr>
                <w:rFonts w:ascii="Arial" w:hAnsi="Arial" w:cs="Arial"/>
                <w:i/>
                <w:sz w:val="20"/>
                <w:szCs w:val="20"/>
              </w:rPr>
              <w:t>1.0%</w:t>
            </w:r>
          </w:p>
        </w:tc>
        <w:tc>
          <w:tcPr>
            <w:tcW w:w="1043" w:type="dxa"/>
            <w:shd w:val="clear" w:color="auto" w:fill="FFFFFF" w:themeFill="background1"/>
            <w:vAlign w:val="center"/>
          </w:tcPr>
          <w:p w14:paraId="075A640D" w14:textId="0435F3E8" w:rsidR="00FB10C0" w:rsidRPr="00B76184" w:rsidRDefault="00FB10C0" w:rsidP="00FB10C0">
            <w:pPr>
              <w:jc w:val="center"/>
              <w:rPr>
                <w:rFonts w:ascii="Arial" w:hAnsi="Arial" w:cs="Arial"/>
                <w:i/>
                <w:sz w:val="20"/>
                <w:szCs w:val="20"/>
              </w:rPr>
            </w:pPr>
            <w:r>
              <w:rPr>
                <w:rFonts w:ascii="Arial" w:hAnsi="Arial" w:cs="Arial"/>
                <w:i/>
                <w:sz w:val="20"/>
                <w:szCs w:val="20"/>
              </w:rPr>
              <w:t>1.6%</w:t>
            </w:r>
          </w:p>
        </w:tc>
        <w:tc>
          <w:tcPr>
            <w:tcW w:w="990" w:type="dxa"/>
            <w:shd w:val="clear" w:color="auto" w:fill="FFFFFF" w:themeFill="background1"/>
            <w:vAlign w:val="center"/>
          </w:tcPr>
          <w:p w14:paraId="31BCF8DA" w14:textId="18D80005" w:rsidR="00FB10C0" w:rsidRPr="00B76184" w:rsidRDefault="00FB10C0" w:rsidP="00FB10C0">
            <w:pPr>
              <w:jc w:val="center"/>
              <w:rPr>
                <w:rFonts w:ascii="Arial" w:hAnsi="Arial" w:cs="Arial"/>
                <w:i/>
                <w:sz w:val="20"/>
                <w:szCs w:val="20"/>
              </w:rPr>
            </w:pPr>
          </w:p>
        </w:tc>
        <w:tc>
          <w:tcPr>
            <w:tcW w:w="900" w:type="dxa"/>
            <w:shd w:val="clear" w:color="auto" w:fill="FFFFFF" w:themeFill="background1"/>
            <w:vAlign w:val="center"/>
          </w:tcPr>
          <w:p w14:paraId="39A38A87" w14:textId="06EA111E" w:rsidR="00FB10C0" w:rsidRPr="00B76184" w:rsidRDefault="00FB10C0" w:rsidP="00FB10C0">
            <w:pPr>
              <w:jc w:val="center"/>
              <w:rPr>
                <w:rFonts w:ascii="Arial" w:hAnsi="Arial" w:cs="Arial"/>
                <w:bCs/>
                <w:i/>
                <w:sz w:val="20"/>
                <w:szCs w:val="20"/>
              </w:rPr>
            </w:pPr>
          </w:p>
        </w:tc>
      </w:tr>
      <w:tr w:rsidR="00FB10C0" w:rsidRPr="00992F6A" w14:paraId="1714FC69" w14:textId="77777777" w:rsidTr="00C97853">
        <w:trPr>
          <w:trHeight w:val="345"/>
        </w:trPr>
        <w:tc>
          <w:tcPr>
            <w:tcW w:w="10162" w:type="dxa"/>
            <w:gridSpan w:val="8"/>
            <w:vAlign w:val="center"/>
            <w:hideMark/>
          </w:tcPr>
          <w:p w14:paraId="12671172" w14:textId="77777777" w:rsidR="00FB10C0" w:rsidRPr="00C35D1A" w:rsidRDefault="00FB10C0" w:rsidP="00FB10C0">
            <w:pPr>
              <w:numPr>
                <w:ilvl w:val="0"/>
                <w:numId w:val="3"/>
              </w:numPr>
              <w:ind w:left="342"/>
              <w:contextualSpacing/>
              <w:rPr>
                <w:rFonts w:ascii="Arial" w:eastAsia="Arial Unicode MS" w:hAnsi="Arial" w:cs="Arial"/>
                <w:sz w:val="20"/>
                <w:szCs w:val="20"/>
              </w:rPr>
            </w:pPr>
            <w:r w:rsidRPr="00C35D1A">
              <w:rPr>
                <w:rFonts w:ascii="Arial" w:eastAsia="Arial Unicode MS" w:hAnsi="Arial" w:cs="Arial"/>
                <w:sz w:val="20"/>
                <w:szCs w:val="20"/>
              </w:rPr>
              <w:t>Change in Distributions to Land Grant Beneficiaries</w:t>
            </w:r>
            <w:r w:rsidRPr="00C35D1A">
              <w:rPr>
                <w:rFonts w:ascii="Arial" w:hAnsi="Arial" w:cs="Arial"/>
                <w:bCs/>
                <w:sz w:val="20"/>
                <w:szCs w:val="20"/>
                <w:vertAlign w:val="superscript"/>
              </w:rPr>
              <w:t>8</w:t>
            </w:r>
          </w:p>
        </w:tc>
      </w:tr>
      <w:tr w:rsidR="00FB10C0" w:rsidRPr="000A5A89" w14:paraId="54D8425D" w14:textId="77777777" w:rsidTr="00C97853">
        <w:trPr>
          <w:trHeight w:val="318"/>
        </w:trPr>
        <w:tc>
          <w:tcPr>
            <w:tcW w:w="3081" w:type="dxa"/>
            <w:vMerge w:val="restart"/>
            <w:hideMark/>
          </w:tcPr>
          <w:p w14:paraId="1B241240" w14:textId="77777777" w:rsidR="00FB10C0" w:rsidRPr="00704A3E" w:rsidRDefault="00FB10C0" w:rsidP="00FB10C0">
            <w:pPr>
              <w:pStyle w:val="ListParagraph"/>
              <w:numPr>
                <w:ilvl w:val="0"/>
                <w:numId w:val="11"/>
              </w:numPr>
              <w:rPr>
                <w:rFonts w:ascii="Arial" w:hAnsi="Arial" w:cs="Arial"/>
                <w:bCs/>
                <w:sz w:val="20"/>
              </w:rPr>
            </w:pPr>
            <w:r>
              <w:rPr>
                <w:rFonts w:ascii="Arial" w:hAnsi="Arial" w:cs="Arial"/>
                <w:bCs/>
                <w:sz w:val="20"/>
              </w:rPr>
              <w:t>No reduction in the total Endowment Distribution</w:t>
            </w:r>
          </w:p>
        </w:tc>
        <w:tc>
          <w:tcPr>
            <w:tcW w:w="1235" w:type="dxa"/>
            <w:shd w:val="clear" w:color="auto" w:fill="D9D9D9" w:themeFill="background1" w:themeFillShade="D9"/>
            <w:vAlign w:val="center"/>
            <w:hideMark/>
          </w:tcPr>
          <w:p w14:paraId="51DCED60" w14:textId="77777777" w:rsidR="00FB10C0" w:rsidRPr="00992F6A" w:rsidRDefault="00FB10C0" w:rsidP="00FB10C0">
            <w:pPr>
              <w:jc w:val="center"/>
              <w:rPr>
                <w:rFonts w:ascii="Arial" w:hAnsi="Arial" w:cs="Arial"/>
                <w:sz w:val="20"/>
              </w:rPr>
            </w:pPr>
            <w:r>
              <w:rPr>
                <w:rFonts w:ascii="Arial" w:hAnsi="Arial" w:cs="Arial"/>
                <w:sz w:val="20"/>
              </w:rPr>
              <w:t>change</w:t>
            </w:r>
          </w:p>
        </w:tc>
        <w:tc>
          <w:tcPr>
            <w:tcW w:w="996" w:type="dxa"/>
            <w:shd w:val="clear" w:color="auto" w:fill="D9D9D9" w:themeFill="background1" w:themeFillShade="D9"/>
            <w:vAlign w:val="center"/>
          </w:tcPr>
          <w:p w14:paraId="238B6AB2" w14:textId="7335E5E9" w:rsidR="00FB10C0" w:rsidRPr="00BB5A4F" w:rsidRDefault="00FB10C0" w:rsidP="00FB10C0">
            <w:pPr>
              <w:jc w:val="center"/>
              <w:rPr>
                <w:rFonts w:ascii="Arial" w:hAnsi="Arial" w:cs="Arial"/>
                <w:sz w:val="20"/>
              </w:rPr>
            </w:pPr>
            <w:r>
              <w:rPr>
                <w:rFonts w:ascii="Arial" w:hAnsi="Arial" w:cs="Arial"/>
                <w:sz w:val="20"/>
              </w:rPr>
              <w:t>$73.5M</w:t>
            </w:r>
          </w:p>
        </w:tc>
        <w:tc>
          <w:tcPr>
            <w:tcW w:w="978" w:type="dxa"/>
            <w:shd w:val="clear" w:color="auto" w:fill="D9D9D9" w:themeFill="background1" w:themeFillShade="D9"/>
            <w:vAlign w:val="center"/>
          </w:tcPr>
          <w:p w14:paraId="3688FAF1" w14:textId="75C2177F" w:rsidR="00FB10C0" w:rsidRPr="00BB5A4F" w:rsidRDefault="00FB10C0" w:rsidP="00FB10C0">
            <w:pPr>
              <w:jc w:val="center"/>
              <w:rPr>
                <w:rFonts w:ascii="Arial" w:hAnsi="Arial" w:cs="Arial"/>
                <w:sz w:val="20"/>
              </w:rPr>
            </w:pPr>
            <w:r>
              <w:rPr>
                <w:rFonts w:ascii="Arial" w:hAnsi="Arial" w:cs="Arial"/>
                <w:sz w:val="20"/>
              </w:rPr>
              <w:t>$78.2M</w:t>
            </w:r>
          </w:p>
        </w:tc>
        <w:tc>
          <w:tcPr>
            <w:tcW w:w="939" w:type="dxa"/>
            <w:shd w:val="clear" w:color="auto" w:fill="D9D9D9" w:themeFill="background1" w:themeFillShade="D9"/>
            <w:vAlign w:val="center"/>
          </w:tcPr>
          <w:p w14:paraId="400FC5F2" w14:textId="320C6D15" w:rsidR="00FB10C0" w:rsidRPr="00BB5A4F" w:rsidRDefault="00FB10C0" w:rsidP="00FB10C0">
            <w:pPr>
              <w:jc w:val="center"/>
              <w:rPr>
                <w:rFonts w:ascii="Arial" w:hAnsi="Arial" w:cs="Arial"/>
                <w:sz w:val="20"/>
              </w:rPr>
            </w:pPr>
            <w:r>
              <w:rPr>
                <w:rFonts w:ascii="Arial" w:hAnsi="Arial" w:cs="Arial"/>
                <w:sz w:val="20"/>
              </w:rPr>
              <w:t>$80.9M</w:t>
            </w:r>
          </w:p>
        </w:tc>
        <w:tc>
          <w:tcPr>
            <w:tcW w:w="1043" w:type="dxa"/>
            <w:shd w:val="clear" w:color="auto" w:fill="D9D9D9" w:themeFill="background1" w:themeFillShade="D9"/>
            <w:vAlign w:val="center"/>
          </w:tcPr>
          <w:p w14:paraId="382998F3" w14:textId="21C1818B" w:rsidR="00FB10C0" w:rsidRPr="00BB5A4F" w:rsidRDefault="00FB10C0" w:rsidP="00FB10C0">
            <w:pPr>
              <w:jc w:val="center"/>
              <w:rPr>
                <w:rFonts w:ascii="Arial" w:hAnsi="Arial" w:cs="Arial"/>
                <w:sz w:val="20"/>
              </w:rPr>
            </w:pPr>
            <w:r>
              <w:rPr>
                <w:rFonts w:ascii="Arial" w:hAnsi="Arial" w:cs="Arial"/>
                <w:sz w:val="20"/>
              </w:rPr>
              <w:t>$84.5M</w:t>
            </w:r>
          </w:p>
        </w:tc>
        <w:tc>
          <w:tcPr>
            <w:tcW w:w="990" w:type="dxa"/>
            <w:shd w:val="clear" w:color="auto" w:fill="D9D9D9" w:themeFill="background1" w:themeFillShade="D9"/>
            <w:vAlign w:val="center"/>
          </w:tcPr>
          <w:p w14:paraId="2EDD796C" w14:textId="6BC3C674" w:rsidR="00FB10C0" w:rsidRPr="00BB5A4F" w:rsidRDefault="00FB10C0" w:rsidP="00FB10C0">
            <w:pPr>
              <w:jc w:val="center"/>
              <w:rPr>
                <w:rFonts w:ascii="Arial" w:hAnsi="Arial" w:cs="Arial"/>
                <w:sz w:val="20"/>
              </w:rPr>
            </w:pPr>
          </w:p>
        </w:tc>
        <w:tc>
          <w:tcPr>
            <w:tcW w:w="900" w:type="dxa"/>
            <w:shd w:val="clear" w:color="auto" w:fill="D9D9D9" w:themeFill="background1" w:themeFillShade="D9"/>
            <w:vAlign w:val="center"/>
          </w:tcPr>
          <w:p w14:paraId="0187E13B" w14:textId="57E2D1A3" w:rsidR="00FB10C0" w:rsidRPr="00BB5A4F" w:rsidRDefault="00FB10C0" w:rsidP="00FB10C0">
            <w:pPr>
              <w:jc w:val="center"/>
              <w:rPr>
                <w:rFonts w:ascii="Arial" w:hAnsi="Arial" w:cs="Arial"/>
                <w:sz w:val="20"/>
              </w:rPr>
            </w:pPr>
          </w:p>
        </w:tc>
      </w:tr>
      <w:tr w:rsidR="00FB10C0" w:rsidRPr="0028232C" w14:paraId="346A4A68" w14:textId="77777777" w:rsidTr="00C97853">
        <w:trPr>
          <w:trHeight w:val="282"/>
        </w:trPr>
        <w:tc>
          <w:tcPr>
            <w:tcW w:w="3081" w:type="dxa"/>
            <w:vMerge/>
            <w:tcBorders>
              <w:bottom w:val="single" w:sz="4" w:space="0" w:color="auto"/>
            </w:tcBorders>
            <w:vAlign w:val="center"/>
            <w:hideMark/>
          </w:tcPr>
          <w:p w14:paraId="0776D0E4" w14:textId="77777777" w:rsidR="00FB10C0" w:rsidRPr="00A66F69" w:rsidRDefault="00FB10C0" w:rsidP="00FB10C0">
            <w:pPr>
              <w:rPr>
                <w:rFonts w:ascii="Arial" w:hAnsi="Arial" w:cs="Arial"/>
                <w:bCs/>
                <w:i/>
                <w:sz w:val="20"/>
              </w:rPr>
            </w:pPr>
          </w:p>
        </w:tc>
        <w:tc>
          <w:tcPr>
            <w:tcW w:w="1235" w:type="dxa"/>
            <w:tcBorders>
              <w:bottom w:val="single" w:sz="4" w:space="0" w:color="auto"/>
            </w:tcBorders>
            <w:shd w:val="clear" w:color="auto" w:fill="FFFFFF" w:themeFill="background1"/>
            <w:vAlign w:val="center"/>
          </w:tcPr>
          <w:p w14:paraId="7438775E" w14:textId="77777777" w:rsidR="00FB10C0" w:rsidRPr="00A66F69" w:rsidRDefault="00FB10C0" w:rsidP="00FB10C0">
            <w:pPr>
              <w:jc w:val="center"/>
              <w:rPr>
                <w:rFonts w:ascii="Arial" w:hAnsi="Arial" w:cs="Arial"/>
                <w:i/>
                <w:sz w:val="20"/>
              </w:rPr>
            </w:pPr>
            <w:r w:rsidRPr="00E85207">
              <w:rPr>
                <w:rFonts w:ascii="Arial" w:hAnsi="Arial" w:cs="Arial"/>
                <w:i/>
                <w:sz w:val="16"/>
              </w:rPr>
              <w:t>target</w:t>
            </w:r>
          </w:p>
        </w:tc>
        <w:tc>
          <w:tcPr>
            <w:tcW w:w="996" w:type="dxa"/>
            <w:tcBorders>
              <w:bottom w:val="single" w:sz="4" w:space="0" w:color="auto"/>
            </w:tcBorders>
            <w:shd w:val="clear" w:color="auto" w:fill="FFFFFF" w:themeFill="background1"/>
            <w:vAlign w:val="center"/>
          </w:tcPr>
          <w:p w14:paraId="3548485C" w14:textId="0DC3488E" w:rsidR="00FB10C0" w:rsidRPr="005D78D0" w:rsidRDefault="00FB10C0" w:rsidP="00FB10C0">
            <w:pPr>
              <w:jc w:val="center"/>
              <w:rPr>
                <w:rFonts w:ascii="Arial" w:hAnsi="Arial" w:cs="Arial"/>
                <w:bCs/>
                <w:i/>
                <w:sz w:val="16"/>
                <w:szCs w:val="16"/>
              </w:rPr>
            </w:pPr>
            <w:r w:rsidRPr="005D78D0">
              <w:rPr>
                <w:rFonts w:ascii="Arial" w:hAnsi="Arial" w:cs="Arial"/>
                <w:bCs/>
                <w:i/>
                <w:sz w:val="16"/>
                <w:szCs w:val="16"/>
              </w:rPr>
              <w:t>Increase</w:t>
            </w:r>
          </w:p>
        </w:tc>
        <w:tc>
          <w:tcPr>
            <w:tcW w:w="978" w:type="dxa"/>
            <w:tcBorders>
              <w:bottom w:val="single" w:sz="4" w:space="0" w:color="auto"/>
            </w:tcBorders>
            <w:shd w:val="clear" w:color="auto" w:fill="FFFFFF" w:themeFill="background1"/>
            <w:vAlign w:val="center"/>
          </w:tcPr>
          <w:p w14:paraId="310CCAF6" w14:textId="17C317E6" w:rsidR="00FB10C0" w:rsidRPr="005D78D0" w:rsidRDefault="00FB10C0" w:rsidP="00FB10C0">
            <w:pPr>
              <w:jc w:val="center"/>
              <w:rPr>
                <w:rFonts w:ascii="Arial" w:hAnsi="Arial" w:cs="Arial"/>
                <w:i/>
                <w:sz w:val="16"/>
                <w:szCs w:val="16"/>
              </w:rPr>
            </w:pPr>
            <w:r w:rsidRPr="00873AEF">
              <w:rPr>
                <w:rFonts w:ascii="Arial" w:hAnsi="Arial" w:cs="Arial"/>
                <w:i/>
                <w:sz w:val="16"/>
                <w:szCs w:val="16"/>
              </w:rPr>
              <w:t>Increase</w:t>
            </w:r>
          </w:p>
        </w:tc>
        <w:tc>
          <w:tcPr>
            <w:tcW w:w="939" w:type="dxa"/>
            <w:tcBorders>
              <w:bottom w:val="single" w:sz="4" w:space="0" w:color="auto"/>
            </w:tcBorders>
            <w:shd w:val="clear" w:color="auto" w:fill="FFFFFF" w:themeFill="background1"/>
            <w:vAlign w:val="center"/>
          </w:tcPr>
          <w:p w14:paraId="52D31B87" w14:textId="3278A1C1" w:rsidR="00FB10C0" w:rsidRPr="005D78D0" w:rsidRDefault="00FB10C0" w:rsidP="00FB10C0">
            <w:pPr>
              <w:jc w:val="center"/>
              <w:rPr>
                <w:rFonts w:ascii="Arial" w:hAnsi="Arial" w:cs="Arial"/>
                <w:i/>
                <w:sz w:val="16"/>
                <w:szCs w:val="16"/>
              </w:rPr>
            </w:pPr>
            <w:r>
              <w:rPr>
                <w:rFonts w:ascii="Arial" w:hAnsi="Arial" w:cs="Arial"/>
                <w:i/>
                <w:sz w:val="16"/>
                <w:szCs w:val="16"/>
              </w:rPr>
              <w:t>Increase</w:t>
            </w:r>
          </w:p>
        </w:tc>
        <w:tc>
          <w:tcPr>
            <w:tcW w:w="1043" w:type="dxa"/>
            <w:tcBorders>
              <w:bottom w:val="single" w:sz="4" w:space="0" w:color="auto"/>
            </w:tcBorders>
            <w:shd w:val="clear" w:color="auto" w:fill="FFFFFF" w:themeFill="background1"/>
            <w:vAlign w:val="center"/>
          </w:tcPr>
          <w:p w14:paraId="07D3F3EC" w14:textId="58E242BA" w:rsidR="00FB10C0" w:rsidRPr="00873AEF" w:rsidRDefault="00FB10C0" w:rsidP="00FB10C0">
            <w:pPr>
              <w:jc w:val="center"/>
              <w:rPr>
                <w:rFonts w:ascii="Arial" w:hAnsi="Arial" w:cs="Arial"/>
                <w:i/>
                <w:sz w:val="16"/>
                <w:szCs w:val="16"/>
              </w:rPr>
            </w:pPr>
            <w:r>
              <w:rPr>
                <w:rFonts w:ascii="Arial" w:hAnsi="Arial" w:cs="Arial"/>
                <w:i/>
                <w:sz w:val="16"/>
                <w:szCs w:val="16"/>
              </w:rPr>
              <w:t>Increase</w:t>
            </w:r>
          </w:p>
        </w:tc>
        <w:tc>
          <w:tcPr>
            <w:tcW w:w="990" w:type="dxa"/>
            <w:tcBorders>
              <w:bottom w:val="single" w:sz="4" w:space="0" w:color="auto"/>
            </w:tcBorders>
            <w:shd w:val="clear" w:color="auto" w:fill="FFFFFF" w:themeFill="background1"/>
            <w:vAlign w:val="center"/>
          </w:tcPr>
          <w:p w14:paraId="69414B18" w14:textId="369BF8AB" w:rsidR="00FB10C0" w:rsidRPr="00873AEF" w:rsidRDefault="00FB10C0" w:rsidP="00FB10C0">
            <w:pPr>
              <w:jc w:val="center"/>
              <w:rPr>
                <w:rFonts w:ascii="Arial" w:hAnsi="Arial" w:cs="Arial"/>
                <w:i/>
                <w:sz w:val="16"/>
                <w:szCs w:val="16"/>
              </w:rPr>
            </w:pPr>
            <w:r>
              <w:rPr>
                <w:rFonts w:ascii="Arial" w:hAnsi="Arial" w:cs="Arial"/>
                <w:i/>
                <w:sz w:val="16"/>
                <w:szCs w:val="16"/>
              </w:rPr>
              <w:t>Increase</w:t>
            </w:r>
          </w:p>
        </w:tc>
        <w:tc>
          <w:tcPr>
            <w:tcW w:w="900" w:type="dxa"/>
            <w:tcBorders>
              <w:bottom w:val="single" w:sz="4" w:space="0" w:color="auto"/>
            </w:tcBorders>
            <w:shd w:val="clear" w:color="auto" w:fill="FFFFFF" w:themeFill="background1"/>
            <w:vAlign w:val="center"/>
          </w:tcPr>
          <w:p w14:paraId="08EAD7ED" w14:textId="3391316F" w:rsidR="00FB10C0" w:rsidRPr="00873AEF" w:rsidRDefault="00FB10C0" w:rsidP="00FB10C0">
            <w:pPr>
              <w:jc w:val="center"/>
              <w:rPr>
                <w:rFonts w:ascii="Arial" w:hAnsi="Arial" w:cs="Arial"/>
                <w:i/>
                <w:sz w:val="16"/>
                <w:szCs w:val="16"/>
              </w:rPr>
            </w:pPr>
          </w:p>
        </w:tc>
      </w:tr>
      <w:tr w:rsidR="00FB10C0" w:rsidRPr="0028232C" w14:paraId="4F1462A5" w14:textId="77777777" w:rsidTr="00C97853">
        <w:trPr>
          <w:trHeight w:val="638"/>
        </w:trPr>
        <w:tc>
          <w:tcPr>
            <w:tcW w:w="3081" w:type="dxa"/>
            <w:tcBorders>
              <w:top w:val="single" w:sz="4" w:space="0" w:color="auto"/>
              <w:left w:val="single" w:sz="4" w:space="0" w:color="auto"/>
              <w:bottom w:val="single" w:sz="4" w:space="0" w:color="auto"/>
            </w:tcBorders>
          </w:tcPr>
          <w:p w14:paraId="6CB5512B" w14:textId="77777777" w:rsidR="00FB10C0" w:rsidRPr="00A66F69" w:rsidRDefault="00FB10C0" w:rsidP="00FB10C0">
            <w:pPr>
              <w:pStyle w:val="ListParagraph"/>
              <w:numPr>
                <w:ilvl w:val="0"/>
                <w:numId w:val="11"/>
              </w:numPr>
              <w:rPr>
                <w:rFonts w:ascii="Arial" w:hAnsi="Arial" w:cs="Arial"/>
                <w:bCs/>
                <w:sz w:val="20"/>
              </w:rPr>
            </w:pPr>
            <w:r>
              <w:rPr>
                <w:rFonts w:ascii="Arial" w:hAnsi="Arial" w:cs="Arial"/>
                <w:bCs/>
                <w:sz w:val="20"/>
              </w:rPr>
              <w:t>Land Grant</w:t>
            </w:r>
            <w:r w:rsidRPr="00A66F69">
              <w:rPr>
                <w:rFonts w:ascii="Arial" w:hAnsi="Arial" w:cs="Arial"/>
                <w:bCs/>
                <w:sz w:val="20"/>
              </w:rPr>
              <w:t xml:space="preserve">     Endowm</w:t>
            </w:r>
            <w:r>
              <w:rPr>
                <w:rFonts w:ascii="Arial" w:hAnsi="Arial" w:cs="Arial"/>
                <w:bCs/>
                <w:sz w:val="20"/>
              </w:rPr>
              <w:t>ent Earnings Reserves at least 6</w:t>
            </w:r>
            <w:r w:rsidRPr="00A66F69">
              <w:rPr>
                <w:rFonts w:ascii="Arial" w:hAnsi="Arial" w:cs="Arial"/>
                <w:bCs/>
                <w:sz w:val="20"/>
              </w:rPr>
              <w:t>00%-700% of next year’s approved distribution</w:t>
            </w:r>
          </w:p>
        </w:tc>
        <w:tc>
          <w:tcPr>
            <w:tcW w:w="1235" w:type="dxa"/>
            <w:tcBorders>
              <w:top w:val="single" w:sz="4" w:space="0" w:color="auto"/>
              <w:bottom w:val="single" w:sz="4" w:space="0" w:color="auto"/>
            </w:tcBorders>
            <w:shd w:val="clear" w:color="auto" w:fill="BFBFBF" w:themeFill="background1" w:themeFillShade="BF"/>
            <w:vAlign w:val="center"/>
          </w:tcPr>
          <w:p w14:paraId="02F7D337" w14:textId="77777777" w:rsidR="00FB10C0" w:rsidRPr="00175997" w:rsidRDefault="00FB10C0" w:rsidP="00FB10C0">
            <w:pPr>
              <w:jc w:val="center"/>
              <w:rPr>
                <w:rFonts w:ascii="Arial" w:hAnsi="Arial" w:cs="Arial"/>
                <w:sz w:val="20"/>
              </w:rPr>
            </w:pPr>
            <w:r>
              <w:rPr>
                <w:rFonts w:ascii="Arial" w:hAnsi="Arial" w:cs="Arial"/>
                <w:sz w:val="20"/>
              </w:rPr>
              <w:t>n</w:t>
            </w:r>
            <w:r w:rsidRPr="00175997">
              <w:rPr>
                <w:rFonts w:ascii="Arial" w:hAnsi="Arial" w:cs="Arial"/>
                <w:sz w:val="20"/>
              </w:rPr>
              <w:t>umber below target</w:t>
            </w:r>
          </w:p>
        </w:tc>
        <w:tc>
          <w:tcPr>
            <w:tcW w:w="996" w:type="dxa"/>
            <w:tcBorders>
              <w:top w:val="single" w:sz="4" w:space="0" w:color="auto"/>
              <w:bottom w:val="single" w:sz="4" w:space="0" w:color="auto"/>
            </w:tcBorders>
            <w:shd w:val="clear" w:color="auto" w:fill="BFBFBF" w:themeFill="background1" w:themeFillShade="BF"/>
            <w:vAlign w:val="center"/>
          </w:tcPr>
          <w:p w14:paraId="786E8A5E" w14:textId="4E701C09" w:rsidR="00FB10C0" w:rsidRPr="00175997" w:rsidRDefault="00FB10C0" w:rsidP="00FB10C0">
            <w:pPr>
              <w:jc w:val="center"/>
              <w:rPr>
                <w:rFonts w:ascii="Arial" w:hAnsi="Arial" w:cs="Arial"/>
                <w:bCs/>
                <w:sz w:val="20"/>
                <w:szCs w:val="20"/>
              </w:rPr>
            </w:pPr>
            <w:r w:rsidRPr="00873AEF">
              <w:rPr>
                <w:rFonts w:ascii="Arial" w:hAnsi="Arial" w:cs="Arial"/>
                <w:bCs/>
                <w:sz w:val="20"/>
                <w:szCs w:val="20"/>
              </w:rPr>
              <w:t>0</w:t>
            </w:r>
          </w:p>
        </w:tc>
        <w:tc>
          <w:tcPr>
            <w:tcW w:w="978" w:type="dxa"/>
            <w:tcBorders>
              <w:top w:val="single" w:sz="4" w:space="0" w:color="auto"/>
              <w:bottom w:val="single" w:sz="4" w:space="0" w:color="auto"/>
            </w:tcBorders>
            <w:shd w:val="clear" w:color="auto" w:fill="BFBFBF" w:themeFill="background1" w:themeFillShade="BF"/>
            <w:vAlign w:val="center"/>
          </w:tcPr>
          <w:p w14:paraId="43BF2A7E" w14:textId="3DF0651A" w:rsidR="00FB10C0" w:rsidRPr="00175997" w:rsidRDefault="00FB10C0" w:rsidP="00FB10C0">
            <w:pPr>
              <w:jc w:val="center"/>
              <w:rPr>
                <w:rFonts w:ascii="Arial" w:hAnsi="Arial" w:cs="Arial"/>
                <w:bCs/>
                <w:sz w:val="20"/>
                <w:szCs w:val="20"/>
              </w:rPr>
            </w:pPr>
            <w:r>
              <w:rPr>
                <w:rFonts w:ascii="Arial" w:hAnsi="Arial" w:cs="Arial"/>
                <w:bCs/>
                <w:sz w:val="20"/>
                <w:szCs w:val="20"/>
              </w:rPr>
              <w:t>0</w:t>
            </w:r>
          </w:p>
        </w:tc>
        <w:tc>
          <w:tcPr>
            <w:tcW w:w="939" w:type="dxa"/>
            <w:tcBorders>
              <w:top w:val="single" w:sz="4" w:space="0" w:color="auto"/>
              <w:bottom w:val="single" w:sz="4" w:space="0" w:color="auto"/>
            </w:tcBorders>
            <w:shd w:val="clear" w:color="auto" w:fill="BFBFBF" w:themeFill="background1" w:themeFillShade="BF"/>
            <w:vAlign w:val="center"/>
          </w:tcPr>
          <w:p w14:paraId="17CDF560" w14:textId="4A637C7F" w:rsidR="00FB10C0" w:rsidRPr="00175997" w:rsidRDefault="00FB10C0" w:rsidP="00FB10C0">
            <w:pPr>
              <w:jc w:val="center"/>
              <w:rPr>
                <w:rFonts w:ascii="Arial" w:hAnsi="Arial" w:cs="Arial"/>
                <w:bCs/>
                <w:sz w:val="20"/>
                <w:szCs w:val="20"/>
              </w:rPr>
            </w:pPr>
            <w:r>
              <w:rPr>
                <w:rFonts w:ascii="Arial" w:hAnsi="Arial" w:cs="Arial"/>
                <w:bCs/>
                <w:sz w:val="20"/>
                <w:szCs w:val="20"/>
              </w:rPr>
              <w:t>0</w:t>
            </w:r>
          </w:p>
        </w:tc>
        <w:tc>
          <w:tcPr>
            <w:tcW w:w="1043" w:type="dxa"/>
            <w:tcBorders>
              <w:top w:val="single" w:sz="4" w:space="0" w:color="auto"/>
              <w:bottom w:val="single" w:sz="4" w:space="0" w:color="auto"/>
            </w:tcBorders>
            <w:shd w:val="clear" w:color="auto" w:fill="BFBFBF" w:themeFill="background1" w:themeFillShade="BF"/>
            <w:vAlign w:val="center"/>
          </w:tcPr>
          <w:p w14:paraId="534B0FEF" w14:textId="65ABFD1C" w:rsidR="00FB10C0" w:rsidRPr="00873AEF" w:rsidRDefault="00FB10C0" w:rsidP="00FB10C0">
            <w:pPr>
              <w:jc w:val="center"/>
              <w:rPr>
                <w:rFonts w:ascii="Arial" w:hAnsi="Arial" w:cs="Arial"/>
                <w:bCs/>
                <w:sz w:val="20"/>
                <w:szCs w:val="20"/>
              </w:rPr>
            </w:pPr>
            <w:r>
              <w:rPr>
                <w:rFonts w:ascii="Arial" w:hAnsi="Arial" w:cs="Arial"/>
                <w:bCs/>
                <w:sz w:val="20"/>
                <w:szCs w:val="20"/>
              </w:rPr>
              <w:t>0</w:t>
            </w:r>
          </w:p>
        </w:tc>
        <w:tc>
          <w:tcPr>
            <w:tcW w:w="990" w:type="dxa"/>
            <w:tcBorders>
              <w:top w:val="single" w:sz="4" w:space="0" w:color="auto"/>
              <w:bottom w:val="single" w:sz="4" w:space="0" w:color="auto"/>
            </w:tcBorders>
            <w:shd w:val="clear" w:color="auto" w:fill="BFBFBF" w:themeFill="background1" w:themeFillShade="BF"/>
            <w:vAlign w:val="center"/>
          </w:tcPr>
          <w:p w14:paraId="01AF162D" w14:textId="20391ADE" w:rsidR="00FB10C0" w:rsidRPr="00873AEF" w:rsidRDefault="00FB10C0" w:rsidP="00FB10C0">
            <w:pPr>
              <w:jc w:val="center"/>
              <w:rPr>
                <w:rFonts w:ascii="Arial" w:hAnsi="Arial" w:cs="Arial"/>
                <w:bCs/>
                <w:sz w:val="20"/>
                <w:szCs w:val="20"/>
              </w:rPr>
            </w:pPr>
          </w:p>
        </w:tc>
        <w:tc>
          <w:tcPr>
            <w:tcW w:w="900" w:type="dxa"/>
            <w:tcBorders>
              <w:top w:val="single" w:sz="4" w:space="0" w:color="auto"/>
              <w:bottom w:val="single" w:sz="4" w:space="0" w:color="auto"/>
              <w:right w:val="single" w:sz="4" w:space="0" w:color="auto"/>
            </w:tcBorders>
            <w:shd w:val="clear" w:color="auto" w:fill="BFBFBF" w:themeFill="background1" w:themeFillShade="BF"/>
            <w:vAlign w:val="center"/>
          </w:tcPr>
          <w:p w14:paraId="627A0267" w14:textId="77777777" w:rsidR="00FB10C0" w:rsidRDefault="00FB10C0" w:rsidP="00FB10C0">
            <w:pPr>
              <w:jc w:val="center"/>
              <w:rPr>
                <w:rFonts w:ascii="Arial" w:hAnsi="Arial" w:cs="Arial"/>
                <w:bCs/>
                <w:sz w:val="20"/>
                <w:szCs w:val="20"/>
              </w:rPr>
            </w:pPr>
          </w:p>
          <w:p w14:paraId="0CAC334E" w14:textId="77777777" w:rsidR="00FB10C0" w:rsidRDefault="00FB10C0" w:rsidP="00FB10C0">
            <w:pPr>
              <w:jc w:val="center"/>
              <w:rPr>
                <w:rFonts w:ascii="Arial" w:hAnsi="Arial" w:cs="Arial"/>
                <w:bCs/>
                <w:sz w:val="20"/>
                <w:szCs w:val="20"/>
              </w:rPr>
            </w:pPr>
          </w:p>
          <w:p w14:paraId="33390360" w14:textId="77777777" w:rsidR="00FB10C0" w:rsidRDefault="00FB10C0" w:rsidP="00FB10C0">
            <w:pPr>
              <w:jc w:val="center"/>
              <w:rPr>
                <w:rFonts w:ascii="Arial" w:hAnsi="Arial" w:cs="Arial"/>
                <w:bCs/>
                <w:sz w:val="20"/>
                <w:szCs w:val="20"/>
              </w:rPr>
            </w:pPr>
          </w:p>
          <w:p w14:paraId="07A24B2E" w14:textId="77777777" w:rsidR="00FB10C0" w:rsidRDefault="00FB10C0" w:rsidP="00FB10C0">
            <w:pPr>
              <w:jc w:val="center"/>
              <w:rPr>
                <w:rFonts w:ascii="Arial" w:hAnsi="Arial" w:cs="Arial"/>
                <w:bCs/>
                <w:sz w:val="20"/>
                <w:szCs w:val="20"/>
              </w:rPr>
            </w:pPr>
          </w:p>
          <w:p w14:paraId="1C15BA90" w14:textId="77777777" w:rsidR="00FB10C0" w:rsidRDefault="00FB10C0" w:rsidP="00FB10C0">
            <w:pPr>
              <w:jc w:val="center"/>
              <w:rPr>
                <w:rFonts w:ascii="Arial" w:hAnsi="Arial" w:cs="Arial"/>
                <w:bCs/>
                <w:sz w:val="20"/>
                <w:szCs w:val="20"/>
              </w:rPr>
            </w:pPr>
          </w:p>
          <w:p w14:paraId="6E21C2AB" w14:textId="77777777" w:rsidR="00FB10C0" w:rsidRDefault="00FB10C0" w:rsidP="00FB10C0">
            <w:pPr>
              <w:jc w:val="center"/>
              <w:rPr>
                <w:rFonts w:ascii="Arial" w:hAnsi="Arial" w:cs="Arial"/>
                <w:bCs/>
                <w:sz w:val="20"/>
                <w:szCs w:val="20"/>
              </w:rPr>
            </w:pPr>
          </w:p>
          <w:p w14:paraId="518DFC49" w14:textId="08A2F1C5" w:rsidR="00FB10C0" w:rsidRPr="00873AEF" w:rsidRDefault="00FB10C0" w:rsidP="00FB10C0">
            <w:pPr>
              <w:jc w:val="center"/>
              <w:rPr>
                <w:rFonts w:ascii="Arial" w:hAnsi="Arial" w:cs="Arial"/>
                <w:bCs/>
                <w:sz w:val="20"/>
                <w:szCs w:val="20"/>
              </w:rPr>
            </w:pPr>
          </w:p>
        </w:tc>
      </w:tr>
    </w:tbl>
    <w:p w14:paraId="68EC688C" w14:textId="0ADD086B" w:rsidR="00C46C7F" w:rsidRDefault="00C46C7F" w:rsidP="00966FC0">
      <w:pPr>
        <w:jc w:val="both"/>
        <w:rPr>
          <w:rFonts w:ascii="Arial" w:hAnsi="Arial" w:cs="Arial"/>
          <w:b/>
          <w:bCs/>
          <w:sz w:val="8"/>
          <w:szCs w:val="8"/>
        </w:rPr>
      </w:pPr>
    </w:p>
    <w:p w14:paraId="5C98BA26" w14:textId="6A2A365E" w:rsidR="00636EB8" w:rsidRDefault="00636EB8" w:rsidP="00966FC0">
      <w:pPr>
        <w:jc w:val="both"/>
        <w:rPr>
          <w:rFonts w:ascii="Arial" w:hAnsi="Arial" w:cs="Arial"/>
          <w:b/>
          <w:bCs/>
          <w:sz w:val="8"/>
          <w:szCs w:val="8"/>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6A0" w:firstRow="1" w:lastRow="0" w:firstColumn="1" w:lastColumn="0" w:noHBand="1" w:noVBand="1"/>
      </w:tblPr>
      <w:tblGrid>
        <w:gridCol w:w="3081"/>
        <w:gridCol w:w="1235"/>
        <w:gridCol w:w="1059"/>
        <w:gridCol w:w="1148"/>
        <w:gridCol w:w="1060"/>
        <w:gridCol w:w="1235"/>
        <w:gridCol w:w="1344"/>
      </w:tblGrid>
      <w:tr w:rsidR="00636EB8" w:rsidRPr="00992F6A" w14:paraId="173F0FF7" w14:textId="77777777" w:rsidTr="00A05512">
        <w:trPr>
          <w:trHeight w:val="611"/>
        </w:trPr>
        <w:tc>
          <w:tcPr>
            <w:tcW w:w="4316"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59E6D0A" w14:textId="77777777" w:rsidR="00636EB8" w:rsidRPr="00814B52" w:rsidRDefault="00636EB8" w:rsidP="00A05512">
            <w:pPr>
              <w:jc w:val="center"/>
              <w:rPr>
                <w:rFonts w:ascii="Arial" w:hAnsi="Arial" w:cs="Arial"/>
                <w:b/>
                <w:bCs/>
                <w:color w:val="FFFFFF"/>
                <w:sz w:val="20"/>
              </w:rPr>
            </w:pPr>
            <w:r>
              <w:rPr>
                <w:rFonts w:ascii="Arial" w:hAnsi="Arial" w:cs="Arial"/>
                <w:b/>
                <w:bCs/>
                <w:color w:val="FFFFFF"/>
                <w:sz w:val="20"/>
              </w:rPr>
              <w:lastRenderedPageBreak/>
              <w:t>Performance</w:t>
            </w:r>
            <w:r w:rsidRPr="00992F6A">
              <w:rPr>
                <w:rFonts w:ascii="Arial" w:hAnsi="Arial" w:cs="Arial"/>
                <w:b/>
                <w:bCs/>
                <w:color w:val="FFFFFF"/>
                <w:sz w:val="20"/>
              </w:rPr>
              <w:t xml:space="preserve"> Measure</w:t>
            </w:r>
          </w:p>
        </w:tc>
        <w:tc>
          <w:tcPr>
            <w:tcW w:w="1059" w:type="dxa"/>
            <w:tcBorders>
              <w:top w:val="single" w:sz="4" w:space="0" w:color="auto"/>
              <w:left w:val="single" w:sz="4" w:space="0" w:color="auto"/>
              <w:bottom w:val="single" w:sz="4" w:space="0" w:color="auto"/>
              <w:right w:val="single" w:sz="4" w:space="0" w:color="auto"/>
            </w:tcBorders>
            <w:shd w:val="clear" w:color="auto" w:fill="000080"/>
            <w:vAlign w:val="bottom"/>
          </w:tcPr>
          <w:p w14:paraId="39CA0B59" w14:textId="77777777" w:rsidR="00636EB8" w:rsidRPr="00992F6A" w:rsidRDefault="00636EB8" w:rsidP="00A05512">
            <w:pPr>
              <w:jc w:val="center"/>
              <w:rPr>
                <w:rFonts w:ascii="Arial" w:hAnsi="Arial" w:cs="Arial"/>
                <w:b/>
                <w:bCs/>
                <w:color w:val="FFFFFF"/>
                <w:sz w:val="20"/>
              </w:rPr>
            </w:pPr>
            <w:r>
              <w:rPr>
                <w:rFonts w:ascii="Arial" w:hAnsi="Arial" w:cs="Arial"/>
                <w:b/>
                <w:bCs/>
                <w:color w:val="FFFFFF"/>
                <w:sz w:val="20"/>
              </w:rPr>
              <w:t>2014-19</w:t>
            </w:r>
          </w:p>
        </w:tc>
        <w:tc>
          <w:tcPr>
            <w:tcW w:w="1148" w:type="dxa"/>
            <w:tcBorders>
              <w:top w:val="single" w:sz="4" w:space="0" w:color="auto"/>
              <w:left w:val="single" w:sz="4" w:space="0" w:color="auto"/>
              <w:bottom w:val="single" w:sz="4" w:space="0" w:color="auto"/>
              <w:right w:val="single" w:sz="4" w:space="0" w:color="auto"/>
            </w:tcBorders>
            <w:shd w:val="clear" w:color="auto" w:fill="000080"/>
            <w:vAlign w:val="bottom"/>
          </w:tcPr>
          <w:p w14:paraId="172232B2" w14:textId="77777777" w:rsidR="00636EB8" w:rsidRPr="00992F6A" w:rsidRDefault="00636EB8" w:rsidP="00A05512">
            <w:pPr>
              <w:jc w:val="center"/>
              <w:rPr>
                <w:rFonts w:ascii="Arial" w:hAnsi="Arial" w:cs="Arial"/>
                <w:b/>
                <w:bCs/>
                <w:color w:val="FFFFFF"/>
                <w:sz w:val="20"/>
              </w:rPr>
            </w:pPr>
            <w:r>
              <w:rPr>
                <w:rFonts w:ascii="Arial" w:hAnsi="Arial" w:cs="Arial"/>
                <w:b/>
                <w:bCs/>
                <w:color w:val="FFFFFF"/>
                <w:sz w:val="20"/>
              </w:rPr>
              <w:t>2015-20</w:t>
            </w:r>
          </w:p>
        </w:tc>
        <w:tc>
          <w:tcPr>
            <w:tcW w:w="1060" w:type="dxa"/>
            <w:tcBorders>
              <w:top w:val="single" w:sz="4" w:space="0" w:color="auto"/>
              <w:left w:val="single" w:sz="4" w:space="0" w:color="auto"/>
              <w:bottom w:val="single" w:sz="4" w:space="0" w:color="auto"/>
              <w:right w:val="single" w:sz="4" w:space="0" w:color="auto"/>
            </w:tcBorders>
            <w:shd w:val="clear" w:color="auto" w:fill="000080"/>
            <w:vAlign w:val="bottom"/>
          </w:tcPr>
          <w:p w14:paraId="15FF9695" w14:textId="77777777" w:rsidR="00636EB8" w:rsidRPr="00992F6A" w:rsidRDefault="00636EB8" w:rsidP="00A05512">
            <w:pPr>
              <w:jc w:val="center"/>
              <w:rPr>
                <w:rFonts w:ascii="Arial" w:hAnsi="Arial" w:cs="Arial"/>
                <w:b/>
                <w:bCs/>
                <w:color w:val="FFFFFF"/>
                <w:sz w:val="20"/>
              </w:rPr>
            </w:pPr>
            <w:r>
              <w:rPr>
                <w:rFonts w:ascii="Arial" w:hAnsi="Arial" w:cs="Arial"/>
                <w:b/>
                <w:bCs/>
                <w:color w:val="FFFFFF"/>
                <w:sz w:val="20"/>
              </w:rPr>
              <w:t>2016-21</w:t>
            </w:r>
          </w:p>
        </w:tc>
        <w:tc>
          <w:tcPr>
            <w:tcW w:w="1235" w:type="dxa"/>
            <w:tcBorders>
              <w:top w:val="single" w:sz="4" w:space="0" w:color="auto"/>
              <w:left w:val="single" w:sz="4" w:space="0" w:color="auto"/>
              <w:bottom w:val="single" w:sz="4" w:space="0" w:color="auto"/>
              <w:right w:val="single" w:sz="4" w:space="0" w:color="auto"/>
            </w:tcBorders>
            <w:shd w:val="clear" w:color="auto" w:fill="000080"/>
            <w:vAlign w:val="bottom"/>
          </w:tcPr>
          <w:p w14:paraId="09408349" w14:textId="77777777" w:rsidR="00636EB8" w:rsidRPr="00992F6A" w:rsidRDefault="00636EB8" w:rsidP="00A05512">
            <w:pPr>
              <w:jc w:val="center"/>
              <w:rPr>
                <w:rFonts w:ascii="Arial" w:hAnsi="Arial" w:cs="Arial"/>
                <w:b/>
                <w:bCs/>
                <w:color w:val="FFFFFF"/>
                <w:sz w:val="20"/>
              </w:rPr>
            </w:pPr>
            <w:r>
              <w:rPr>
                <w:rFonts w:ascii="Arial" w:hAnsi="Arial" w:cs="Arial"/>
                <w:b/>
                <w:bCs/>
                <w:color w:val="FFFFFF"/>
                <w:sz w:val="20"/>
              </w:rPr>
              <w:t>2017-22</w:t>
            </w:r>
          </w:p>
        </w:tc>
        <w:tc>
          <w:tcPr>
            <w:tcW w:w="1344" w:type="dxa"/>
            <w:tcBorders>
              <w:top w:val="single" w:sz="4" w:space="0" w:color="auto"/>
              <w:left w:val="single" w:sz="4" w:space="0" w:color="auto"/>
              <w:bottom w:val="single" w:sz="4" w:space="0" w:color="auto"/>
              <w:right w:val="single" w:sz="4" w:space="0" w:color="auto"/>
            </w:tcBorders>
            <w:shd w:val="clear" w:color="auto" w:fill="000080"/>
            <w:vAlign w:val="bottom"/>
          </w:tcPr>
          <w:p w14:paraId="0AF940FE" w14:textId="77777777" w:rsidR="00636EB8" w:rsidRPr="00992F6A" w:rsidRDefault="00636EB8" w:rsidP="00A05512">
            <w:pPr>
              <w:jc w:val="center"/>
              <w:rPr>
                <w:rFonts w:ascii="Arial" w:hAnsi="Arial" w:cs="Arial"/>
                <w:b/>
                <w:bCs/>
                <w:color w:val="FFFFFF"/>
                <w:sz w:val="20"/>
              </w:rPr>
            </w:pPr>
            <w:r>
              <w:rPr>
                <w:rFonts w:ascii="Arial" w:hAnsi="Arial" w:cs="Arial"/>
                <w:b/>
                <w:bCs/>
                <w:color w:val="FFFFFF"/>
                <w:sz w:val="20"/>
              </w:rPr>
              <w:t>2018-23</w:t>
            </w:r>
          </w:p>
        </w:tc>
      </w:tr>
      <w:tr w:rsidR="00636EB8" w:rsidRPr="000A5A89" w14:paraId="48BC714C" w14:textId="77777777" w:rsidTr="00A05512">
        <w:trPr>
          <w:trHeight w:val="242"/>
        </w:trPr>
        <w:tc>
          <w:tcPr>
            <w:tcW w:w="3081" w:type="dxa"/>
            <w:vMerge w:val="restart"/>
            <w:tcBorders>
              <w:top w:val="single" w:sz="4" w:space="0" w:color="auto"/>
              <w:left w:val="single" w:sz="4" w:space="0" w:color="auto"/>
              <w:right w:val="single" w:sz="4" w:space="0" w:color="auto"/>
            </w:tcBorders>
            <w:hideMark/>
          </w:tcPr>
          <w:p w14:paraId="69543957" w14:textId="77777777" w:rsidR="00636EB8" w:rsidRPr="00704A3E" w:rsidRDefault="00636EB8" w:rsidP="00636EB8">
            <w:pPr>
              <w:pStyle w:val="ListParagraph"/>
              <w:numPr>
                <w:ilvl w:val="0"/>
                <w:numId w:val="11"/>
              </w:numPr>
              <w:rPr>
                <w:rFonts w:ascii="Arial" w:hAnsi="Arial" w:cs="Arial"/>
                <w:bCs/>
                <w:sz w:val="20"/>
              </w:rPr>
            </w:pPr>
            <w:r>
              <w:rPr>
                <w:rFonts w:ascii="Arial" w:hAnsi="Arial" w:cs="Arial"/>
                <w:bCs/>
                <w:sz w:val="20"/>
              </w:rPr>
              <w:t>Growth in Land Grant Endowment distributions exceeds inflation and population growth over a five-year period (avg. annual growth for all endowments)</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8AACD" w14:textId="77777777" w:rsidR="00636EB8" w:rsidRPr="005D78D0" w:rsidRDefault="00636EB8" w:rsidP="00A05512">
            <w:pPr>
              <w:jc w:val="center"/>
              <w:rPr>
                <w:rFonts w:ascii="Arial" w:hAnsi="Arial" w:cs="Arial"/>
                <w:sz w:val="20"/>
                <w:szCs w:val="20"/>
              </w:rPr>
            </w:pPr>
            <w:r>
              <w:rPr>
                <w:rFonts w:ascii="Arial" w:hAnsi="Arial" w:cs="Arial"/>
                <w:sz w:val="20"/>
                <w:szCs w:val="20"/>
              </w:rPr>
              <w:t>growth in distributions</w:t>
            </w: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D5F67" w14:textId="77777777" w:rsidR="00636EB8" w:rsidRPr="005D78D0" w:rsidRDefault="00636EB8" w:rsidP="00A05512">
            <w:pPr>
              <w:jc w:val="center"/>
              <w:rPr>
                <w:rFonts w:ascii="Arial" w:hAnsi="Arial" w:cs="Arial"/>
                <w:bCs/>
                <w:sz w:val="20"/>
                <w:szCs w:val="20"/>
              </w:rPr>
            </w:pPr>
            <w:r>
              <w:rPr>
                <w:rFonts w:ascii="Arial" w:hAnsi="Arial" w:cs="Arial"/>
                <w:sz w:val="20"/>
                <w:szCs w:val="20"/>
              </w:rPr>
              <w:t>9.9%</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1BF99" w14:textId="77777777" w:rsidR="00636EB8" w:rsidRPr="005D78D0" w:rsidRDefault="00636EB8" w:rsidP="00A05512">
            <w:pPr>
              <w:jc w:val="center"/>
              <w:rPr>
                <w:rFonts w:ascii="Arial" w:hAnsi="Arial" w:cs="Arial"/>
                <w:bCs/>
                <w:sz w:val="20"/>
                <w:szCs w:val="20"/>
              </w:rPr>
            </w:pPr>
            <w:r>
              <w:rPr>
                <w:rFonts w:ascii="Arial" w:hAnsi="Arial" w:cs="Arial"/>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0782" w14:textId="77777777" w:rsidR="00636EB8" w:rsidRPr="005D78D0" w:rsidRDefault="00636EB8" w:rsidP="00A05512">
            <w:pPr>
              <w:jc w:val="center"/>
              <w:rPr>
                <w:rFonts w:ascii="Arial" w:hAnsi="Arial" w:cs="Arial"/>
                <w:sz w:val="20"/>
                <w:szCs w:val="20"/>
              </w:rPr>
            </w:pPr>
            <w:r>
              <w:rPr>
                <w:rFonts w:ascii="Arial" w:hAnsi="Arial" w:cs="Arial"/>
                <w:sz w:val="20"/>
                <w:szCs w:val="20"/>
              </w:rPr>
              <w:t>6.9%</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CBF2B" w14:textId="77777777" w:rsidR="00636EB8" w:rsidRPr="005D78D0" w:rsidRDefault="00636EB8" w:rsidP="00A05512">
            <w:pPr>
              <w:jc w:val="center"/>
              <w:rPr>
                <w:rFonts w:ascii="Arial" w:hAnsi="Arial" w:cs="Arial"/>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ED6A0" w14:textId="77777777" w:rsidR="00636EB8" w:rsidRPr="005D78D0" w:rsidRDefault="00636EB8" w:rsidP="00A05512">
            <w:pPr>
              <w:jc w:val="center"/>
              <w:rPr>
                <w:rFonts w:ascii="Arial" w:hAnsi="Arial" w:cs="Arial"/>
                <w:sz w:val="20"/>
                <w:szCs w:val="20"/>
              </w:rPr>
            </w:pPr>
          </w:p>
        </w:tc>
      </w:tr>
      <w:tr w:rsidR="00636EB8" w:rsidRPr="000A5A89" w14:paraId="378567DC" w14:textId="77777777" w:rsidTr="00A05512">
        <w:trPr>
          <w:trHeight w:val="242"/>
        </w:trPr>
        <w:tc>
          <w:tcPr>
            <w:tcW w:w="3081" w:type="dxa"/>
            <w:vMerge/>
            <w:tcBorders>
              <w:left w:val="single" w:sz="4" w:space="0" w:color="auto"/>
              <w:right w:val="single" w:sz="4" w:space="0" w:color="auto"/>
            </w:tcBorders>
            <w:vAlign w:val="center"/>
            <w:hideMark/>
          </w:tcPr>
          <w:p w14:paraId="00533ACB" w14:textId="77777777" w:rsidR="00636EB8" w:rsidRPr="00992F6A" w:rsidRDefault="00636EB8" w:rsidP="00A05512">
            <w:pPr>
              <w:rPr>
                <w:rFonts w:ascii="Arial" w:hAnsi="Arial" w:cs="Arial"/>
                <w:bCs/>
                <w:sz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32A7B" w14:textId="77777777" w:rsidR="00636EB8" w:rsidRPr="005D78D0" w:rsidRDefault="00636EB8" w:rsidP="00A05512">
            <w:pPr>
              <w:jc w:val="center"/>
              <w:rPr>
                <w:rFonts w:ascii="Arial" w:hAnsi="Arial" w:cs="Arial"/>
                <w:sz w:val="20"/>
                <w:szCs w:val="20"/>
              </w:rPr>
            </w:pPr>
            <w:r>
              <w:rPr>
                <w:rFonts w:ascii="Arial" w:hAnsi="Arial" w:cs="Arial"/>
                <w:sz w:val="20"/>
                <w:szCs w:val="20"/>
              </w:rPr>
              <w:t>inflation</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17505" w14:textId="77777777" w:rsidR="00636EB8" w:rsidRPr="005D78D0" w:rsidRDefault="00636EB8" w:rsidP="00A05512">
            <w:pPr>
              <w:jc w:val="center"/>
              <w:rPr>
                <w:rFonts w:ascii="Arial" w:hAnsi="Arial" w:cs="Arial"/>
                <w:bCs/>
                <w:sz w:val="20"/>
                <w:szCs w:val="20"/>
              </w:rPr>
            </w:pPr>
            <w:r>
              <w:rPr>
                <w:rFonts w:ascii="Arial" w:hAnsi="Arial" w:cs="Arial"/>
                <w:sz w:val="20"/>
                <w:szCs w:val="20"/>
              </w:rPr>
              <w:t>1.5%</w:t>
            </w:r>
          </w:p>
        </w:tc>
        <w:tc>
          <w:tcPr>
            <w:tcW w:w="1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31BD5" w14:textId="77777777" w:rsidR="00636EB8" w:rsidRPr="005D78D0" w:rsidRDefault="00636EB8" w:rsidP="00A05512">
            <w:pPr>
              <w:jc w:val="center"/>
              <w:rPr>
                <w:rFonts w:ascii="Arial" w:hAnsi="Arial" w:cs="Arial"/>
                <w:bCs/>
                <w:sz w:val="20"/>
                <w:szCs w:val="20"/>
              </w:rPr>
            </w:pPr>
            <w:r>
              <w:rPr>
                <w:rFonts w:ascii="Arial" w:hAnsi="Arial" w:cs="Arial"/>
                <w:sz w:val="20"/>
                <w:szCs w:val="20"/>
              </w:rPr>
              <w:t>1.7%</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FB6AF" w14:textId="77777777" w:rsidR="00636EB8" w:rsidRPr="005D78D0" w:rsidRDefault="00636EB8" w:rsidP="00A05512">
            <w:pPr>
              <w:jc w:val="center"/>
              <w:rPr>
                <w:rFonts w:ascii="Arial" w:hAnsi="Arial" w:cs="Arial"/>
                <w:sz w:val="20"/>
                <w:szCs w:val="20"/>
              </w:rPr>
            </w:pPr>
            <w:r>
              <w:rPr>
                <w:rFonts w:ascii="Arial" w:hAnsi="Arial" w:cs="Arial"/>
                <w:sz w:val="20"/>
                <w:szCs w:val="20"/>
              </w:rPr>
              <w:t>2.0%</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3E9A" w14:textId="77777777" w:rsidR="00636EB8" w:rsidRPr="005D78D0" w:rsidRDefault="00636EB8" w:rsidP="00A05512">
            <w:pPr>
              <w:jc w:val="center"/>
              <w:rPr>
                <w:rFonts w:ascii="Arial" w:hAnsi="Arial" w:cs="Arial"/>
                <w:sz w:val="20"/>
                <w:szCs w:val="20"/>
              </w:rPr>
            </w:pPr>
            <w:r>
              <w:rPr>
                <w:rFonts w:ascii="Arial" w:hAnsi="Arial" w:cs="Arial"/>
                <w:sz w:val="20"/>
                <w:szCs w:val="20"/>
              </w:rPr>
              <w:t>2.0%</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E6A6C" w14:textId="77777777" w:rsidR="00636EB8" w:rsidRPr="005D78D0" w:rsidRDefault="00636EB8" w:rsidP="00A05512">
            <w:pPr>
              <w:jc w:val="center"/>
              <w:rPr>
                <w:rFonts w:ascii="Arial" w:hAnsi="Arial" w:cs="Arial"/>
                <w:sz w:val="20"/>
                <w:szCs w:val="20"/>
              </w:rPr>
            </w:pPr>
          </w:p>
        </w:tc>
      </w:tr>
      <w:tr w:rsidR="00636EB8" w:rsidRPr="003F6899" w14:paraId="726C5E64" w14:textId="77777777" w:rsidTr="00A05512">
        <w:trPr>
          <w:trHeight w:val="170"/>
        </w:trPr>
        <w:tc>
          <w:tcPr>
            <w:tcW w:w="3081" w:type="dxa"/>
            <w:vMerge/>
            <w:tcBorders>
              <w:left w:val="single" w:sz="4" w:space="0" w:color="auto"/>
              <w:right w:val="single" w:sz="4" w:space="0" w:color="auto"/>
            </w:tcBorders>
            <w:vAlign w:val="center"/>
          </w:tcPr>
          <w:p w14:paraId="13EE265C" w14:textId="77777777" w:rsidR="00636EB8" w:rsidRPr="00992F6A" w:rsidRDefault="00636EB8" w:rsidP="00A05512">
            <w:pPr>
              <w:rPr>
                <w:rFonts w:ascii="Arial" w:hAnsi="Arial" w:cs="Arial"/>
                <w:bCs/>
                <w:sz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25D2E" w14:textId="77777777" w:rsidR="00636EB8" w:rsidRPr="00E85207" w:rsidRDefault="00636EB8" w:rsidP="00A05512">
            <w:pPr>
              <w:jc w:val="center"/>
              <w:rPr>
                <w:rFonts w:ascii="Arial" w:hAnsi="Arial" w:cs="Arial"/>
                <w:sz w:val="20"/>
                <w:szCs w:val="20"/>
              </w:rPr>
            </w:pPr>
            <w:r>
              <w:rPr>
                <w:rFonts w:ascii="Arial" w:hAnsi="Arial" w:cs="Arial"/>
                <w:sz w:val="20"/>
                <w:szCs w:val="20"/>
              </w:rPr>
              <w:t>p</w:t>
            </w:r>
            <w:r w:rsidRPr="00562353">
              <w:rPr>
                <w:rFonts w:ascii="Arial" w:hAnsi="Arial" w:cs="Arial"/>
                <w:sz w:val="20"/>
                <w:szCs w:val="20"/>
              </w:rPr>
              <w:t xml:space="preserve">opulation </w:t>
            </w:r>
            <w:r>
              <w:rPr>
                <w:rFonts w:ascii="Arial" w:hAnsi="Arial" w:cs="Arial"/>
                <w:sz w:val="20"/>
                <w:szCs w:val="20"/>
              </w:rPr>
              <w:t>g</w:t>
            </w:r>
            <w:r w:rsidRPr="00562353">
              <w:rPr>
                <w:rFonts w:ascii="Arial" w:hAnsi="Arial" w:cs="Arial"/>
                <w:sz w:val="20"/>
                <w:szCs w:val="20"/>
              </w:rPr>
              <w:t>rowth</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D8BAC" w14:textId="77777777" w:rsidR="00636EB8" w:rsidRPr="00B45A3F" w:rsidRDefault="00636EB8" w:rsidP="00A05512">
            <w:pPr>
              <w:jc w:val="center"/>
              <w:rPr>
                <w:rFonts w:ascii="Arial" w:hAnsi="Arial" w:cs="Arial"/>
                <w:bCs/>
                <w:sz w:val="20"/>
                <w:szCs w:val="20"/>
              </w:rPr>
            </w:pPr>
            <w:r>
              <w:rPr>
                <w:rFonts w:ascii="Arial" w:hAnsi="Arial" w:cs="Arial"/>
                <w:bCs/>
                <w:sz w:val="20"/>
                <w:szCs w:val="20"/>
              </w:rPr>
              <w:t>1.9%</w:t>
            </w:r>
          </w:p>
        </w:tc>
        <w:tc>
          <w:tcPr>
            <w:tcW w:w="1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416C8" w14:textId="77777777" w:rsidR="00636EB8" w:rsidRPr="00B45A3F" w:rsidRDefault="00636EB8" w:rsidP="00A05512">
            <w:pPr>
              <w:jc w:val="center"/>
              <w:rPr>
                <w:rFonts w:ascii="Arial" w:hAnsi="Arial" w:cs="Arial"/>
                <w:bCs/>
                <w:sz w:val="20"/>
                <w:szCs w:val="20"/>
              </w:rPr>
            </w:pPr>
            <w:r>
              <w:rPr>
                <w:rFonts w:ascii="Arial" w:hAnsi="Arial" w:cs="Arial"/>
                <w:bCs/>
                <w:sz w:val="20"/>
                <w:szCs w:val="20"/>
              </w:rPr>
              <w:t>2.1%</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AD391" w14:textId="77777777" w:rsidR="00636EB8" w:rsidRPr="00B45A3F" w:rsidRDefault="00636EB8" w:rsidP="00A05512">
            <w:pPr>
              <w:jc w:val="center"/>
              <w:rPr>
                <w:rFonts w:ascii="Arial" w:hAnsi="Arial" w:cs="Arial"/>
                <w:bCs/>
                <w:sz w:val="20"/>
                <w:szCs w:val="20"/>
              </w:rPr>
            </w:pPr>
            <w:r>
              <w:rPr>
                <w:rFonts w:ascii="Arial" w:hAnsi="Arial" w:cs="Arial"/>
                <w:bCs/>
                <w:sz w:val="20"/>
                <w:szCs w:val="20"/>
              </w:rPr>
              <w:t>2.1%</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34483" w14:textId="77777777" w:rsidR="00636EB8" w:rsidRPr="00B45A3F" w:rsidRDefault="00636EB8" w:rsidP="00A05512">
            <w:pPr>
              <w:jc w:val="center"/>
              <w:rPr>
                <w:rFonts w:ascii="Arial" w:hAnsi="Arial" w:cs="Arial"/>
                <w:bCs/>
                <w:sz w:val="20"/>
                <w:szCs w:val="20"/>
              </w:rPr>
            </w:pPr>
            <w:r>
              <w:rPr>
                <w:rFonts w:ascii="Arial" w:hAnsi="Arial" w:cs="Arial"/>
                <w:bCs/>
                <w:sz w:val="20"/>
                <w:szCs w:val="20"/>
              </w:rPr>
              <w:t>2.1%</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7F91B" w14:textId="77777777" w:rsidR="00636EB8" w:rsidRPr="00B45A3F" w:rsidRDefault="00636EB8" w:rsidP="00A05512">
            <w:pPr>
              <w:jc w:val="center"/>
              <w:rPr>
                <w:rFonts w:ascii="Arial" w:hAnsi="Arial" w:cs="Arial"/>
                <w:bCs/>
                <w:sz w:val="20"/>
                <w:szCs w:val="20"/>
              </w:rPr>
            </w:pPr>
          </w:p>
        </w:tc>
      </w:tr>
      <w:tr w:rsidR="00636EB8" w:rsidRPr="003F6899" w14:paraId="3086B8B7" w14:textId="77777777" w:rsidTr="00A05512">
        <w:trPr>
          <w:trHeight w:val="70"/>
        </w:trPr>
        <w:tc>
          <w:tcPr>
            <w:tcW w:w="3081" w:type="dxa"/>
            <w:vMerge/>
            <w:tcBorders>
              <w:left w:val="single" w:sz="4" w:space="0" w:color="auto"/>
              <w:right w:val="single" w:sz="4" w:space="0" w:color="auto"/>
            </w:tcBorders>
            <w:vAlign w:val="center"/>
          </w:tcPr>
          <w:p w14:paraId="426E1D83" w14:textId="77777777" w:rsidR="00636EB8" w:rsidRPr="00992F6A" w:rsidRDefault="00636EB8" w:rsidP="00A05512">
            <w:pPr>
              <w:rPr>
                <w:rFonts w:ascii="Arial" w:hAnsi="Arial" w:cs="Arial"/>
                <w:bCs/>
                <w:sz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F5BF" w14:textId="77777777" w:rsidR="00636EB8" w:rsidRPr="00B76184" w:rsidRDefault="00636EB8" w:rsidP="00A05512">
            <w:pPr>
              <w:jc w:val="center"/>
              <w:rPr>
                <w:rFonts w:ascii="Arial" w:hAnsi="Arial" w:cs="Arial"/>
                <w:i/>
                <w:sz w:val="20"/>
                <w:szCs w:val="20"/>
              </w:rPr>
            </w:pPr>
            <w:r w:rsidRPr="00B76184">
              <w:rPr>
                <w:rFonts w:ascii="Arial" w:hAnsi="Arial" w:cs="Arial"/>
                <w:i/>
                <w:sz w:val="20"/>
                <w:szCs w:val="20"/>
              </w:rPr>
              <w:t>excess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5AFB" w14:textId="77777777" w:rsidR="00636EB8" w:rsidRPr="00B76184" w:rsidRDefault="00636EB8" w:rsidP="00A05512">
            <w:pPr>
              <w:jc w:val="center"/>
              <w:rPr>
                <w:rFonts w:ascii="Arial" w:hAnsi="Arial" w:cs="Arial"/>
                <w:bCs/>
                <w:i/>
                <w:sz w:val="20"/>
                <w:szCs w:val="20"/>
              </w:rPr>
            </w:pPr>
            <w:r>
              <w:rPr>
                <w:rFonts w:ascii="Arial" w:hAnsi="Arial" w:cs="Arial"/>
                <w:bCs/>
                <w:i/>
                <w:sz w:val="20"/>
                <w:szCs w:val="20"/>
              </w:rPr>
              <w:t>6.5%</w:t>
            </w:r>
          </w:p>
        </w:tc>
        <w:tc>
          <w:tcPr>
            <w:tcW w:w="1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2AAC" w14:textId="77777777" w:rsidR="00636EB8" w:rsidRPr="00B76184" w:rsidRDefault="00636EB8" w:rsidP="00A05512">
            <w:pPr>
              <w:jc w:val="center"/>
              <w:rPr>
                <w:rFonts w:ascii="Arial" w:hAnsi="Arial" w:cs="Arial"/>
                <w:bCs/>
                <w:i/>
                <w:sz w:val="20"/>
                <w:szCs w:val="20"/>
              </w:rPr>
            </w:pPr>
            <w:r>
              <w:rPr>
                <w:rFonts w:ascii="Arial" w:hAnsi="Arial" w:cs="Arial"/>
                <w:bCs/>
                <w:i/>
                <w:sz w:val="20"/>
                <w:szCs w:val="20"/>
              </w:rPr>
              <w:t>5.5%</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ADA02" w14:textId="77777777" w:rsidR="00636EB8" w:rsidRPr="00B76184" w:rsidRDefault="00636EB8" w:rsidP="00A05512">
            <w:pPr>
              <w:jc w:val="center"/>
              <w:rPr>
                <w:rFonts w:ascii="Arial" w:hAnsi="Arial" w:cs="Arial"/>
                <w:bCs/>
                <w:i/>
                <w:sz w:val="20"/>
                <w:szCs w:val="20"/>
              </w:rPr>
            </w:pPr>
            <w:r>
              <w:rPr>
                <w:rFonts w:ascii="Arial" w:hAnsi="Arial" w:cs="Arial"/>
                <w:bCs/>
                <w:i/>
                <w:sz w:val="20"/>
                <w:szCs w:val="20"/>
              </w:rPr>
              <w:t>2.8%</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A4A2E" w14:textId="77777777" w:rsidR="00636EB8" w:rsidRPr="00B76184" w:rsidRDefault="00636EB8" w:rsidP="00A05512">
            <w:pPr>
              <w:jc w:val="center"/>
              <w:rPr>
                <w:rFonts w:ascii="Arial" w:hAnsi="Arial" w:cs="Arial"/>
                <w:bCs/>
                <w:i/>
                <w:sz w:val="20"/>
                <w:szCs w:val="20"/>
              </w:rPr>
            </w:pPr>
            <w:r>
              <w:rPr>
                <w:rFonts w:ascii="Arial" w:hAnsi="Arial" w:cs="Arial"/>
                <w:bCs/>
                <w:i/>
                <w:sz w:val="20"/>
                <w:szCs w:val="20"/>
              </w:rPr>
              <w:t>2.8%</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9D2E" w14:textId="77777777" w:rsidR="00636EB8" w:rsidRPr="00B76184" w:rsidRDefault="00636EB8" w:rsidP="00A05512">
            <w:pPr>
              <w:jc w:val="center"/>
              <w:rPr>
                <w:rFonts w:ascii="Arial" w:hAnsi="Arial" w:cs="Arial"/>
                <w:bCs/>
                <w:i/>
                <w:sz w:val="20"/>
                <w:szCs w:val="20"/>
              </w:rPr>
            </w:pPr>
          </w:p>
        </w:tc>
      </w:tr>
    </w:tbl>
    <w:p w14:paraId="3B691780" w14:textId="77777777" w:rsidR="00636EB8" w:rsidRPr="00647FDD" w:rsidRDefault="00636EB8" w:rsidP="00636EB8">
      <w:pPr>
        <w:jc w:val="both"/>
        <w:rPr>
          <w:rFonts w:ascii="Arial" w:hAnsi="Arial" w:cs="Arial"/>
          <w:b/>
          <w:bCs/>
          <w:sz w:val="8"/>
          <w:szCs w:val="8"/>
        </w:rPr>
      </w:pPr>
    </w:p>
    <w:p w14:paraId="7074A9EF" w14:textId="77777777" w:rsidR="00636EB8" w:rsidRPr="00647FDD" w:rsidRDefault="00636EB8" w:rsidP="00966FC0">
      <w:pPr>
        <w:jc w:val="both"/>
        <w:rPr>
          <w:rFonts w:ascii="Arial" w:hAnsi="Arial" w:cs="Arial"/>
          <w:b/>
          <w:bCs/>
          <w:sz w:val="8"/>
          <w:szCs w:val="8"/>
        </w:rPr>
      </w:pPr>
    </w:p>
    <w:sectPr w:rsidR="00636EB8" w:rsidRPr="00647FDD" w:rsidSect="00B43ACC">
      <w:headerReference w:type="default" r:id="rId8"/>
      <w:footerReference w:type="default" r:id="rId9"/>
      <w:endnotePr>
        <w:numFmt w:val="decimal"/>
      </w:end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52EA" w14:textId="77777777" w:rsidR="00FA76C3" w:rsidRDefault="00FA76C3">
      <w:r>
        <w:separator/>
      </w:r>
    </w:p>
  </w:endnote>
  <w:endnote w:type="continuationSeparator" w:id="0">
    <w:p w14:paraId="6D8FF04D" w14:textId="77777777" w:rsidR="00FA76C3" w:rsidRDefault="00FA76C3">
      <w:r>
        <w:continuationSeparator/>
      </w:r>
    </w:p>
  </w:endnote>
  <w:endnote w:id="1">
    <w:p w14:paraId="5073BE7E" w14:textId="1D4C6F4D" w:rsidR="00FB10C0" w:rsidRPr="00966FC0" w:rsidRDefault="00FB10C0" w:rsidP="006A3AFF">
      <w:pPr>
        <w:pStyle w:val="EndnoteText"/>
        <w:rPr>
          <w:sz w:val="19"/>
          <w:szCs w:val="19"/>
        </w:rPr>
      </w:pPr>
      <w:r w:rsidRPr="00966FC0">
        <w:rPr>
          <w:rStyle w:val="EndnoteReference"/>
          <w:sz w:val="19"/>
          <w:szCs w:val="19"/>
        </w:rPr>
        <w:endnoteRef/>
      </w:r>
      <w:r w:rsidRPr="00966FC0">
        <w:rPr>
          <w:sz w:val="19"/>
          <w:szCs w:val="19"/>
        </w:rPr>
        <w:t xml:space="preserve"> Exceed benchmark</w:t>
      </w:r>
      <w:r>
        <w:rPr>
          <w:sz w:val="19"/>
          <w:szCs w:val="19"/>
        </w:rPr>
        <w:t>: 38</w:t>
      </w:r>
      <w:r w:rsidRPr="00966FC0">
        <w:rPr>
          <w:sz w:val="19"/>
          <w:szCs w:val="19"/>
        </w:rPr>
        <w:t>% Russell 3000, 1</w:t>
      </w:r>
      <w:r>
        <w:rPr>
          <w:sz w:val="19"/>
          <w:szCs w:val="19"/>
        </w:rPr>
        <w:t>9</w:t>
      </w:r>
      <w:r w:rsidRPr="00966FC0">
        <w:rPr>
          <w:sz w:val="19"/>
          <w:szCs w:val="19"/>
        </w:rPr>
        <w:t xml:space="preserve">% MSCI ACWI ex-US, </w:t>
      </w:r>
      <w:r>
        <w:rPr>
          <w:sz w:val="19"/>
          <w:szCs w:val="19"/>
        </w:rPr>
        <w:t>9</w:t>
      </w:r>
      <w:r w:rsidRPr="00966FC0">
        <w:rPr>
          <w:sz w:val="19"/>
          <w:szCs w:val="19"/>
        </w:rPr>
        <w:t xml:space="preserve">% MSCI ACWI, 26% BBC   Aggregate, 8.0% NCREIF-ODCE  </w:t>
      </w:r>
      <w:r w:rsidRPr="00966FC0">
        <w:rPr>
          <w:b/>
          <w:bCs/>
          <w:sz w:val="19"/>
          <w:szCs w:val="19"/>
        </w:rPr>
        <w:t> </w:t>
      </w:r>
    </w:p>
  </w:endnote>
  <w:endnote w:id="2">
    <w:p w14:paraId="035FB661" w14:textId="0B0A55A6" w:rsidR="00FB10C0" w:rsidRPr="00966FC0" w:rsidRDefault="00FB10C0">
      <w:pPr>
        <w:pStyle w:val="EndnoteText"/>
        <w:rPr>
          <w:sz w:val="19"/>
          <w:szCs w:val="19"/>
        </w:rPr>
      </w:pPr>
      <w:r w:rsidRPr="00966FC0">
        <w:rPr>
          <w:rStyle w:val="EndnoteReference"/>
          <w:sz w:val="19"/>
          <w:szCs w:val="19"/>
        </w:rPr>
        <w:endnoteRef/>
      </w:r>
      <w:r w:rsidRPr="00966FC0">
        <w:rPr>
          <w:sz w:val="19"/>
          <w:szCs w:val="19"/>
        </w:rPr>
        <w:t xml:space="preserve"> </w:t>
      </w:r>
      <w:r>
        <w:rPr>
          <w:sz w:val="19"/>
          <w:szCs w:val="19"/>
        </w:rPr>
        <w:t>E</w:t>
      </w:r>
      <w:r w:rsidRPr="00966FC0">
        <w:rPr>
          <w:rFonts w:cs="Arial"/>
          <w:iCs/>
          <w:sz w:val="19"/>
          <w:szCs w:val="19"/>
        </w:rPr>
        <w:t xml:space="preserve">xceed </w:t>
      </w:r>
      <w:r>
        <w:rPr>
          <w:rFonts w:cs="Arial"/>
          <w:iCs/>
          <w:sz w:val="19"/>
          <w:szCs w:val="19"/>
        </w:rPr>
        <w:t>b</w:t>
      </w:r>
      <w:r w:rsidRPr="00966FC0">
        <w:rPr>
          <w:rFonts w:cs="Arial"/>
          <w:iCs/>
          <w:sz w:val="19"/>
          <w:szCs w:val="19"/>
        </w:rPr>
        <w:t>enchmark</w:t>
      </w:r>
      <w:r>
        <w:rPr>
          <w:rFonts w:cs="Arial"/>
          <w:iCs/>
          <w:sz w:val="19"/>
          <w:szCs w:val="19"/>
        </w:rPr>
        <w:t xml:space="preserve">: </w:t>
      </w:r>
      <w:r w:rsidRPr="00966FC0">
        <w:rPr>
          <w:rFonts w:cs="Arial"/>
          <w:iCs/>
          <w:sz w:val="19"/>
          <w:szCs w:val="19"/>
        </w:rPr>
        <w:t>1</w:t>
      </w:r>
      <w:r>
        <w:rPr>
          <w:rFonts w:cs="Arial"/>
          <w:iCs/>
          <w:sz w:val="19"/>
          <w:szCs w:val="19"/>
        </w:rPr>
        <w:t>0</w:t>
      </w:r>
      <w:r w:rsidRPr="00966FC0">
        <w:rPr>
          <w:rFonts w:cs="Arial"/>
          <w:iCs/>
          <w:sz w:val="19"/>
          <w:szCs w:val="19"/>
        </w:rPr>
        <w:t xml:space="preserve">% </w:t>
      </w:r>
      <w:r>
        <w:rPr>
          <w:rFonts w:cs="Arial"/>
          <w:iCs/>
          <w:sz w:val="19"/>
          <w:szCs w:val="19"/>
        </w:rPr>
        <w:t>S&amp;P 500</w:t>
      </w:r>
      <w:r w:rsidRPr="00966FC0">
        <w:rPr>
          <w:rFonts w:cs="Arial"/>
          <w:iCs/>
          <w:sz w:val="19"/>
          <w:szCs w:val="19"/>
        </w:rPr>
        <w:t xml:space="preserve">, </w:t>
      </w:r>
      <w:r>
        <w:rPr>
          <w:rFonts w:cs="Arial"/>
          <w:iCs/>
          <w:sz w:val="19"/>
          <w:szCs w:val="19"/>
        </w:rPr>
        <w:t>4% MSCI ACWI ex-USA, 50</w:t>
      </w:r>
      <w:r w:rsidRPr="00966FC0">
        <w:rPr>
          <w:rFonts w:cs="Arial"/>
          <w:iCs/>
          <w:sz w:val="19"/>
          <w:szCs w:val="19"/>
        </w:rPr>
        <w:t>% BB</w:t>
      </w:r>
      <w:r>
        <w:rPr>
          <w:rFonts w:cs="Arial"/>
          <w:iCs/>
          <w:sz w:val="19"/>
          <w:szCs w:val="19"/>
        </w:rPr>
        <w:t>C</w:t>
      </w:r>
      <w:r w:rsidRPr="00966FC0">
        <w:rPr>
          <w:rFonts w:cs="Arial"/>
          <w:iCs/>
          <w:sz w:val="19"/>
          <w:szCs w:val="19"/>
        </w:rPr>
        <w:t xml:space="preserve"> Aggregate, </w:t>
      </w:r>
      <w:r>
        <w:rPr>
          <w:rFonts w:cs="Arial"/>
          <w:iCs/>
          <w:sz w:val="19"/>
          <w:szCs w:val="19"/>
        </w:rPr>
        <w:t>12</w:t>
      </w:r>
      <w:r w:rsidRPr="00966FC0">
        <w:rPr>
          <w:rFonts w:cs="Arial"/>
          <w:iCs/>
          <w:sz w:val="19"/>
          <w:szCs w:val="19"/>
        </w:rPr>
        <w:t xml:space="preserve">% BBC </w:t>
      </w:r>
      <w:r>
        <w:rPr>
          <w:rFonts w:cs="Arial"/>
          <w:iCs/>
          <w:sz w:val="19"/>
          <w:szCs w:val="19"/>
        </w:rPr>
        <w:t xml:space="preserve">Int. </w:t>
      </w:r>
      <w:r w:rsidRPr="00966FC0">
        <w:rPr>
          <w:rFonts w:cs="Arial"/>
          <w:iCs/>
          <w:sz w:val="19"/>
          <w:szCs w:val="19"/>
        </w:rPr>
        <w:t>Credit, 1</w:t>
      </w:r>
      <w:r>
        <w:rPr>
          <w:rFonts w:cs="Arial"/>
          <w:iCs/>
          <w:sz w:val="19"/>
          <w:szCs w:val="19"/>
        </w:rPr>
        <w:t>2</w:t>
      </w:r>
      <w:r w:rsidRPr="00966FC0">
        <w:rPr>
          <w:rFonts w:cs="Arial"/>
          <w:iCs/>
          <w:sz w:val="19"/>
          <w:szCs w:val="19"/>
        </w:rPr>
        <w:t>% M/L 1-3 yr. Treasury, 8.</w:t>
      </w:r>
      <w:r>
        <w:rPr>
          <w:rFonts w:cs="Arial"/>
          <w:iCs/>
          <w:sz w:val="19"/>
          <w:szCs w:val="19"/>
        </w:rPr>
        <w:t>4</w:t>
      </w:r>
      <w:r w:rsidRPr="00966FC0">
        <w:rPr>
          <w:rFonts w:cs="Arial"/>
          <w:iCs/>
          <w:sz w:val="19"/>
          <w:szCs w:val="19"/>
        </w:rPr>
        <w:t xml:space="preserve">% </w:t>
      </w:r>
      <w:r>
        <w:rPr>
          <w:rFonts w:cs="Arial"/>
          <w:iCs/>
          <w:sz w:val="19"/>
          <w:szCs w:val="19"/>
        </w:rPr>
        <w:t>BBC US MBS</w:t>
      </w:r>
      <w:r w:rsidRPr="00966FC0">
        <w:rPr>
          <w:rFonts w:cs="Arial"/>
          <w:iCs/>
          <w:sz w:val="19"/>
          <w:szCs w:val="19"/>
        </w:rPr>
        <w:t xml:space="preserve">, </w:t>
      </w:r>
      <w:r>
        <w:rPr>
          <w:rFonts w:cs="Arial"/>
          <w:iCs/>
          <w:sz w:val="19"/>
          <w:szCs w:val="19"/>
        </w:rPr>
        <w:t xml:space="preserve">1.8% BBC CMBS IG, 1.8% ICE </w:t>
      </w:r>
      <w:proofErr w:type="spellStart"/>
      <w:r>
        <w:rPr>
          <w:rFonts w:cs="Arial"/>
          <w:iCs/>
          <w:sz w:val="19"/>
          <w:szCs w:val="19"/>
        </w:rPr>
        <w:t>BofA</w:t>
      </w:r>
      <w:proofErr w:type="spellEnd"/>
      <w:r>
        <w:rPr>
          <w:rFonts w:cs="Arial"/>
          <w:iCs/>
          <w:sz w:val="19"/>
          <w:szCs w:val="19"/>
        </w:rPr>
        <w:t xml:space="preserve"> ABS Index</w:t>
      </w:r>
    </w:p>
  </w:endnote>
  <w:endnote w:id="3">
    <w:p w14:paraId="09E4491C" w14:textId="77777777" w:rsidR="00FB10C0" w:rsidRPr="00966FC0" w:rsidRDefault="00FB10C0">
      <w:pPr>
        <w:pStyle w:val="EndnoteText"/>
        <w:rPr>
          <w:sz w:val="19"/>
          <w:szCs w:val="19"/>
        </w:rPr>
      </w:pPr>
      <w:r w:rsidRPr="00966FC0">
        <w:rPr>
          <w:rStyle w:val="EndnoteReference"/>
          <w:sz w:val="19"/>
          <w:szCs w:val="19"/>
        </w:rPr>
        <w:endnoteRef/>
      </w:r>
      <w:r w:rsidRPr="00966FC0">
        <w:rPr>
          <w:sz w:val="19"/>
          <w:szCs w:val="19"/>
        </w:rPr>
        <w:t xml:space="preserve"> </w:t>
      </w:r>
      <w:r w:rsidRPr="00966FC0">
        <w:rPr>
          <w:rFonts w:cs="Arial"/>
          <w:iCs/>
          <w:sz w:val="19"/>
          <w:szCs w:val="19"/>
        </w:rPr>
        <w:t>Exceed the median of peers in Callan database</w:t>
      </w:r>
    </w:p>
  </w:endnote>
  <w:endnote w:id="4">
    <w:p w14:paraId="15D56E8C" w14:textId="77777777" w:rsidR="00FB10C0" w:rsidRPr="00966FC0" w:rsidRDefault="00FB10C0" w:rsidP="00ED26A6">
      <w:pPr>
        <w:pStyle w:val="EndnoteText"/>
        <w:rPr>
          <w:rFonts w:cs="Arial"/>
          <w:b/>
          <w:bCs/>
          <w:sz w:val="19"/>
          <w:szCs w:val="19"/>
        </w:rPr>
      </w:pPr>
      <w:r w:rsidRPr="00966FC0">
        <w:rPr>
          <w:rStyle w:val="EndnoteReference"/>
          <w:sz w:val="19"/>
          <w:szCs w:val="19"/>
        </w:rPr>
        <w:endnoteRef/>
      </w:r>
      <w:r w:rsidRPr="00966FC0">
        <w:rPr>
          <w:sz w:val="19"/>
          <w:szCs w:val="19"/>
        </w:rPr>
        <w:t xml:space="preserve"> </w:t>
      </w:r>
      <w:r w:rsidRPr="00966FC0">
        <w:rPr>
          <w:rFonts w:cs="Arial"/>
          <w:iCs/>
          <w:sz w:val="19"/>
          <w:szCs w:val="19"/>
        </w:rPr>
        <w:t>Exceed the median of peers</w:t>
      </w:r>
      <w:r w:rsidRPr="00966FC0">
        <w:rPr>
          <w:rFonts w:cs="Arial"/>
          <w:bCs/>
          <w:sz w:val="19"/>
          <w:szCs w:val="19"/>
        </w:rPr>
        <w:t xml:space="preserve"> in Callan database</w:t>
      </w:r>
    </w:p>
    <w:p w14:paraId="37FEAD41" w14:textId="77777777" w:rsidR="00FB10C0" w:rsidRPr="00966FC0" w:rsidRDefault="00FB10C0" w:rsidP="00ED26A6">
      <w:pPr>
        <w:pStyle w:val="EndnoteText"/>
        <w:rPr>
          <w:rFonts w:cs="Arial"/>
          <w:iCs/>
          <w:sz w:val="19"/>
          <w:szCs w:val="19"/>
        </w:rPr>
      </w:pPr>
      <w:r w:rsidRPr="00966FC0">
        <w:rPr>
          <w:rStyle w:val="EndnoteReference"/>
          <w:sz w:val="19"/>
          <w:szCs w:val="19"/>
        </w:rPr>
        <w:t>5</w:t>
      </w:r>
      <w:r w:rsidRPr="00966FC0">
        <w:rPr>
          <w:rFonts w:cs="Arial"/>
          <w:b/>
          <w:bCs/>
          <w:sz w:val="19"/>
          <w:szCs w:val="19"/>
        </w:rPr>
        <w:t xml:space="preserve"> </w:t>
      </w:r>
      <w:r w:rsidRPr="00966FC0">
        <w:rPr>
          <w:rFonts w:cs="Arial"/>
          <w:iCs/>
          <w:sz w:val="19"/>
          <w:szCs w:val="19"/>
        </w:rPr>
        <w:t>Based on projection</w:t>
      </w:r>
    </w:p>
    <w:p w14:paraId="40495986" w14:textId="2671F0AD" w:rsidR="00FB10C0" w:rsidRPr="00966FC0" w:rsidRDefault="00FB10C0" w:rsidP="00ED26A6">
      <w:pPr>
        <w:pStyle w:val="EndnoteText"/>
        <w:rPr>
          <w:rFonts w:cs="Arial"/>
          <w:iCs/>
          <w:sz w:val="19"/>
          <w:szCs w:val="19"/>
        </w:rPr>
      </w:pPr>
      <w:r w:rsidRPr="00966FC0">
        <w:rPr>
          <w:rStyle w:val="EndnoteReference"/>
          <w:sz w:val="19"/>
          <w:szCs w:val="19"/>
        </w:rPr>
        <w:t>6</w:t>
      </w:r>
      <w:r w:rsidRPr="00966FC0">
        <w:rPr>
          <w:rFonts w:cs="Arial"/>
          <w:iCs/>
          <w:sz w:val="19"/>
          <w:szCs w:val="19"/>
        </w:rPr>
        <w:t xml:space="preserve"> for the trailing five-year period (FY1</w:t>
      </w:r>
      <w:r>
        <w:rPr>
          <w:rFonts w:cs="Arial"/>
          <w:iCs/>
          <w:sz w:val="19"/>
          <w:szCs w:val="19"/>
        </w:rPr>
        <w:t>7</w:t>
      </w:r>
      <w:r w:rsidRPr="00966FC0">
        <w:rPr>
          <w:rFonts w:cs="Arial"/>
          <w:iCs/>
          <w:sz w:val="19"/>
          <w:szCs w:val="19"/>
        </w:rPr>
        <w:t>-FY</w:t>
      </w:r>
      <w:r>
        <w:rPr>
          <w:rFonts w:cs="Arial"/>
          <w:iCs/>
          <w:sz w:val="19"/>
          <w:szCs w:val="19"/>
        </w:rPr>
        <w:t>22</w:t>
      </w:r>
      <w:r w:rsidRPr="00966FC0">
        <w:rPr>
          <w:rFonts w:cs="Arial"/>
          <w:iCs/>
          <w:sz w:val="19"/>
          <w:szCs w:val="19"/>
        </w:rPr>
        <w:t>)</w:t>
      </w:r>
    </w:p>
    <w:p w14:paraId="58FC4B63" w14:textId="77777777" w:rsidR="00FB10C0" w:rsidRPr="00966FC0" w:rsidRDefault="00FB10C0" w:rsidP="00ED26A6">
      <w:pPr>
        <w:pStyle w:val="EndnoteText"/>
        <w:rPr>
          <w:rFonts w:cs="Arial"/>
          <w:iCs/>
          <w:sz w:val="19"/>
          <w:szCs w:val="19"/>
        </w:rPr>
      </w:pPr>
      <w:r w:rsidRPr="00966FC0">
        <w:rPr>
          <w:rStyle w:val="EndnoteReference"/>
          <w:sz w:val="19"/>
          <w:szCs w:val="19"/>
        </w:rPr>
        <w:t xml:space="preserve">7 </w:t>
      </w:r>
      <w:r w:rsidRPr="00966FC0">
        <w:rPr>
          <w:rFonts w:cs="Arial"/>
          <w:iCs/>
          <w:sz w:val="19"/>
          <w:szCs w:val="19"/>
        </w:rPr>
        <w:t>Endowment Fund Staff projections based on a ten-year outlook</w:t>
      </w:r>
    </w:p>
    <w:p w14:paraId="61E4E968" w14:textId="77777777" w:rsidR="00FB10C0" w:rsidRPr="00966FC0" w:rsidRDefault="00FB10C0" w:rsidP="00ED26A6">
      <w:pPr>
        <w:pStyle w:val="EndnoteText"/>
        <w:rPr>
          <w:rStyle w:val="EndnoteReference"/>
          <w:sz w:val="19"/>
          <w:szCs w:val="19"/>
        </w:rPr>
      </w:pPr>
      <w:r w:rsidRPr="00966FC0">
        <w:rPr>
          <w:rStyle w:val="EndnoteReference"/>
          <w:sz w:val="19"/>
          <w:szCs w:val="19"/>
        </w:rPr>
        <w:t>8</w:t>
      </w:r>
      <w:r w:rsidRPr="00966FC0">
        <w:rPr>
          <w:sz w:val="19"/>
          <w:szCs w:val="19"/>
        </w:rPr>
        <w:t xml:space="preserve"> Excluding Capitol endowment</w:t>
      </w:r>
    </w:p>
    <w:p w14:paraId="64C65A7D" w14:textId="2EFF5BD1" w:rsidR="00FB10C0" w:rsidRPr="0028284A" w:rsidRDefault="00FB10C0" w:rsidP="004A66C7">
      <w:pPr>
        <w:pStyle w:val="EndnoteText"/>
        <w:rPr>
          <w:rFonts w:cs="Arial"/>
          <w:iCs/>
          <w:sz w:val="19"/>
          <w:szCs w:val="19"/>
        </w:rPr>
      </w:pPr>
    </w:p>
    <w:p w14:paraId="5EED8073" w14:textId="71FE67FC" w:rsidR="00FB10C0" w:rsidRDefault="00FB10C0" w:rsidP="00ED26A6">
      <w:pPr>
        <w:pStyle w:val="EndnoteText"/>
        <w:rPr>
          <w:rFonts w:cs="Arial"/>
          <w:b/>
          <w:bCs/>
        </w:rPr>
      </w:pPr>
    </w:p>
    <w:p w14:paraId="00F58766" w14:textId="77777777" w:rsidR="00FB10C0" w:rsidRPr="00647FDD" w:rsidRDefault="00FB10C0" w:rsidP="00ED26A6">
      <w:pPr>
        <w:pStyle w:val="EndnoteText"/>
        <w:rPr>
          <w:rFonts w:cs="Arial"/>
          <w:b/>
          <w:bCs/>
          <w:sz w:val="18"/>
          <w:szCs w:val="18"/>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ayout w:type="fixed"/>
        <w:tblCellMar>
          <w:left w:w="115" w:type="dxa"/>
          <w:right w:w="115" w:type="dxa"/>
        </w:tblCellMar>
        <w:tblLook w:val="0000" w:firstRow="0" w:lastRow="0" w:firstColumn="0" w:lastColumn="0" w:noHBand="0" w:noVBand="0"/>
      </w:tblPr>
      <w:tblGrid>
        <w:gridCol w:w="7769"/>
      </w:tblGrid>
      <w:tr w:rsidR="00FB10C0" w:rsidRPr="00985108" w14:paraId="57623911" w14:textId="77777777" w:rsidTr="007735BC">
        <w:trPr>
          <w:trHeight w:val="1639"/>
          <w:jc w:val="center"/>
        </w:trPr>
        <w:tc>
          <w:tcPr>
            <w:tcW w:w="7769" w:type="dxa"/>
            <w:tcBorders>
              <w:top w:val="threeDEmboss" w:sz="24" w:space="0" w:color="333399"/>
              <w:bottom w:val="threeDEmboss" w:sz="24" w:space="0" w:color="333399"/>
            </w:tcBorders>
          </w:tcPr>
          <w:p w14:paraId="5865AF3E" w14:textId="77777777" w:rsidR="00FB10C0" w:rsidRPr="00E4486B" w:rsidRDefault="00FB10C0" w:rsidP="000C7DAA">
            <w:pPr>
              <w:spacing w:before="120"/>
              <w:jc w:val="center"/>
              <w:rPr>
                <w:rFonts w:ascii="Arial" w:hAnsi="Arial" w:cs="Arial"/>
                <w:b/>
                <w:bCs/>
                <w:sz w:val="20"/>
              </w:rPr>
            </w:pPr>
            <w:r w:rsidRPr="004674E6">
              <w:rPr>
                <w:rFonts w:ascii="Arial" w:hAnsi="Arial" w:cs="Arial"/>
                <w:b/>
                <w:bCs/>
                <w:sz w:val="20"/>
              </w:rPr>
              <w:t>For More Information Contact</w:t>
            </w:r>
            <w:r>
              <w:rPr>
                <w:rFonts w:ascii="Arial" w:hAnsi="Arial" w:cs="Arial"/>
                <w:b/>
                <w:bCs/>
                <w:sz w:val="20"/>
              </w:rPr>
              <w:br/>
            </w:r>
          </w:p>
          <w:p w14:paraId="5000B3D7" w14:textId="77777777" w:rsidR="00FB10C0" w:rsidRPr="004674E6" w:rsidRDefault="00FB10C0" w:rsidP="000C7DAA">
            <w:pPr>
              <w:ind w:left="252"/>
              <w:rPr>
                <w:rFonts w:ascii="Arial" w:hAnsi="Arial" w:cs="Arial"/>
                <w:noProof/>
                <w:sz w:val="20"/>
              </w:rPr>
            </w:pPr>
            <w:r w:rsidRPr="004674E6">
              <w:rPr>
                <w:rFonts w:ascii="Arial" w:hAnsi="Arial" w:cs="Arial"/>
                <w:iCs/>
                <w:noProof/>
                <w:sz w:val="20"/>
              </w:rPr>
              <w:t>Christopher E. Halvorson</w:t>
            </w:r>
          </w:p>
          <w:p w14:paraId="46002289" w14:textId="77777777" w:rsidR="00FB10C0" w:rsidRPr="004674E6" w:rsidRDefault="00FB10C0" w:rsidP="000C7DAA">
            <w:pPr>
              <w:ind w:left="252"/>
              <w:rPr>
                <w:rFonts w:ascii="Arial" w:hAnsi="Arial" w:cs="Arial"/>
                <w:sz w:val="20"/>
              </w:rPr>
            </w:pPr>
            <w:r w:rsidRPr="004674E6">
              <w:rPr>
                <w:rFonts w:ascii="Arial" w:hAnsi="Arial" w:cs="Arial"/>
                <w:noProof/>
                <w:sz w:val="20"/>
              </w:rPr>
              <w:t>Endowment Fund Investment Board</w:t>
            </w:r>
          </w:p>
          <w:p w14:paraId="0E39BD09" w14:textId="77777777" w:rsidR="00FB10C0" w:rsidRPr="004674E6" w:rsidRDefault="00FB10C0" w:rsidP="000C7DAA">
            <w:pPr>
              <w:ind w:left="252"/>
              <w:rPr>
                <w:rFonts w:ascii="Arial" w:hAnsi="Arial" w:cs="Arial"/>
                <w:noProof/>
                <w:sz w:val="20"/>
              </w:rPr>
            </w:pPr>
            <w:r w:rsidRPr="004674E6">
              <w:rPr>
                <w:rFonts w:ascii="Arial" w:hAnsi="Arial" w:cs="Arial"/>
                <w:noProof/>
                <w:sz w:val="20"/>
              </w:rPr>
              <w:t>816 West Bannock Street  Suite 301</w:t>
            </w:r>
          </w:p>
          <w:p w14:paraId="5815BEE3" w14:textId="77777777" w:rsidR="00FB10C0" w:rsidRPr="00985108" w:rsidRDefault="00FB10C0" w:rsidP="000C7DAA">
            <w:pPr>
              <w:ind w:left="252"/>
              <w:rPr>
                <w:rFonts w:ascii="Arial" w:hAnsi="Arial" w:cs="Arial"/>
                <w:sz w:val="20"/>
                <w:lang w:val="fr-FR"/>
              </w:rPr>
            </w:pPr>
            <w:r w:rsidRPr="00985108">
              <w:rPr>
                <w:rFonts w:ascii="Arial" w:hAnsi="Arial" w:cs="Arial"/>
                <w:noProof/>
                <w:sz w:val="20"/>
                <w:lang w:val="fr-FR"/>
              </w:rPr>
              <w:t>Boise</w:t>
            </w:r>
            <w:r w:rsidRPr="00985108">
              <w:rPr>
                <w:rFonts w:ascii="Arial" w:hAnsi="Arial" w:cs="Arial"/>
                <w:sz w:val="20"/>
                <w:lang w:val="fr-FR"/>
              </w:rPr>
              <w:t xml:space="preserve">, </w:t>
            </w:r>
            <w:r w:rsidRPr="00985108">
              <w:rPr>
                <w:rFonts w:ascii="Arial" w:hAnsi="Arial" w:cs="Arial"/>
                <w:noProof/>
                <w:sz w:val="20"/>
                <w:lang w:val="fr-FR"/>
              </w:rPr>
              <w:t>ID</w:t>
            </w:r>
            <w:r w:rsidRPr="00985108">
              <w:rPr>
                <w:rFonts w:ascii="Arial" w:hAnsi="Arial" w:cs="Arial"/>
                <w:sz w:val="20"/>
                <w:lang w:val="fr-FR"/>
              </w:rPr>
              <w:t xml:space="preserve">  </w:t>
            </w:r>
            <w:r w:rsidRPr="00985108">
              <w:rPr>
                <w:rFonts w:ascii="Arial" w:hAnsi="Arial" w:cs="Arial"/>
                <w:noProof/>
                <w:sz w:val="20"/>
                <w:lang w:val="fr-FR"/>
              </w:rPr>
              <w:t>83702</w:t>
            </w:r>
          </w:p>
          <w:p w14:paraId="5548E248" w14:textId="77777777" w:rsidR="00FB10C0" w:rsidRPr="00985108" w:rsidRDefault="00FB10C0" w:rsidP="000C7DAA">
            <w:pPr>
              <w:ind w:left="252"/>
              <w:rPr>
                <w:rFonts w:ascii="Arial" w:hAnsi="Arial" w:cs="Arial"/>
                <w:sz w:val="20"/>
                <w:szCs w:val="17"/>
                <w:lang w:val="fr-FR"/>
              </w:rPr>
            </w:pPr>
            <w:proofErr w:type="gramStart"/>
            <w:r w:rsidRPr="00985108">
              <w:rPr>
                <w:rFonts w:ascii="Arial" w:hAnsi="Arial" w:cs="Arial"/>
                <w:sz w:val="20"/>
                <w:lang w:val="fr-FR"/>
              </w:rPr>
              <w:t>Phone:</w:t>
            </w:r>
            <w:proofErr w:type="gramEnd"/>
            <w:r w:rsidRPr="00985108">
              <w:rPr>
                <w:rFonts w:ascii="Arial" w:hAnsi="Arial" w:cs="Arial"/>
                <w:sz w:val="20"/>
                <w:lang w:val="fr-FR"/>
              </w:rPr>
              <w:t xml:space="preserve"> (208) 334-3728</w:t>
            </w:r>
          </w:p>
          <w:p w14:paraId="681DB97F" w14:textId="77777777" w:rsidR="00FB10C0" w:rsidRPr="004674E6" w:rsidRDefault="00FB10C0" w:rsidP="000C7DAA">
            <w:pPr>
              <w:spacing w:after="120"/>
              <w:ind w:left="252"/>
              <w:rPr>
                <w:rFonts w:ascii="Arial" w:hAnsi="Arial" w:cs="Arial"/>
                <w:sz w:val="20"/>
                <w:lang w:val="fr-FR"/>
              </w:rPr>
            </w:pPr>
            <w:proofErr w:type="gramStart"/>
            <w:r w:rsidRPr="004674E6">
              <w:rPr>
                <w:rFonts w:ascii="Arial" w:hAnsi="Arial" w:cs="Arial"/>
                <w:sz w:val="20"/>
                <w:szCs w:val="17"/>
                <w:lang w:val="fr-FR"/>
              </w:rPr>
              <w:t>E-mail:</w:t>
            </w:r>
            <w:proofErr w:type="gramEnd"/>
            <w:r w:rsidRPr="004674E6">
              <w:rPr>
                <w:rFonts w:ascii="Arial" w:hAnsi="Arial" w:cs="Arial"/>
                <w:sz w:val="20"/>
                <w:szCs w:val="17"/>
                <w:lang w:val="fr-FR"/>
              </w:rPr>
              <w:t xml:space="preserve">  </w:t>
            </w:r>
            <w:hyperlink r:id="rId1" w:history="1">
              <w:r w:rsidRPr="00900B23">
                <w:rPr>
                  <w:rStyle w:val="Hyperlink"/>
                  <w:rFonts w:ascii="Arial" w:hAnsi="Arial" w:cs="Arial"/>
                  <w:sz w:val="20"/>
                  <w:szCs w:val="17"/>
                  <w:lang w:val="fr-FR"/>
                </w:rPr>
                <w:t>chris.halvorson@efib.idaho.gov</w:t>
              </w:r>
            </w:hyperlink>
          </w:p>
        </w:tc>
      </w:tr>
    </w:tbl>
    <w:p w14:paraId="6E342BA5" w14:textId="77777777" w:rsidR="00FB10C0" w:rsidRPr="003F6899" w:rsidRDefault="00FB10C0" w:rsidP="007D14B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80869"/>
      <w:docPartObj>
        <w:docPartGallery w:val="Page Numbers (Bottom of Page)"/>
        <w:docPartUnique/>
      </w:docPartObj>
    </w:sdtPr>
    <w:sdtEndPr>
      <w:rPr>
        <w:noProof/>
      </w:rPr>
    </w:sdtEndPr>
    <w:sdtContent>
      <w:p w14:paraId="4AE5656B" w14:textId="77777777" w:rsidR="00656DF8" w:rsidRPr="00DE2F28" w:rsidRDefault="00656DF8" w:rsidP="00A71793">
        <w:pPr>
          <w:pStyle w:val="Footer"/>
          <w:tabs>
            <w:tab w:val="clear" w:pos="4320"/>
            <w:tab w:val="clear" w:pos="8640"/>
            <w:tab w:val="center" w:pos="4680"/>
            <w:tab w:val="right" w:pos="10080"/>
          </w:tabs>
          <w:rPr>
            <w:rFonts w:ascii="Arial" w:hAnsi="Arial" w:cs="Arial"/>
            <w:sz w:val="20"/>
            <w:szCs w:val="20"/>
          </w:rPr>
        </w:pPr>
      </w:p>
      <w:p w14:paraId="5D70A132" w14:textId="77777777" w:rsidR="00656DF8" w:rsidRPr="00A71793" w:rsidRDefault="00656DF8" w:rsidP="00A71793">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3665" w14:textId="77777777" w:rsidR="00FA76C3" w:rsidRDefault="00FA76C3">
      <w:r>
        <w:separator/>
      </w:r>
    </w:p>
  </w:footnote>
  <w:footnote w:type="continuationSeparator" w:id="0">
    <w:p w14:paraId="33E6992E" w14:textId="77777777" w:rsidR="00FA76C3" w:rsidRDefault="00FA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8" w:type="dxa"/>
      <w:tblBorders>
        <w:insideH w:val="single" w:sz="4" w:space="0" w:color="auto"/>
        <w:insideV w:val="single" w:sz="4" w:space="0" w:color="auto"/>
      </w:tblBorders>
      <w:tblLook w:val="0000" w:firstRow="0" w:lastRow="0" w:firstColumn="0" w:lastColumn="0" w:noHBand="0" w:noVBand="0"/>
    </w:tblPr>
    <w:tblGrid>
      <w:gridCol w:w="10080"/>
    </w:tblGrid>
    <w:tr w:rsidR="00656DF8" w14:paraId="31BB8ABE" w14:textId="77777777" w:rsidTr="00955118">
      <w:tc>
        <w:tcPr>
          <w:tcW w:w="10260" w:type="dxa"/>
          <w:shd w:val="clear" w:color="auto" w:fill="000080"/>
        </w:tcPr>
        <w:p w14:paraId="627B5D6A" w14:textId="77777777" w:rsidR="00656DF8" w:rsidRDefault="00656DF8" w:rsidP="00B60622">
          <w:pPr>
            <w:tabs>
              <w:tab w:val="right" w:pos="10044"/>
            </w:tabs>
            <w:rPr>
              <w:rFonts w:ascii="Arial" w:hAnsi="Arial" w:cs="Arial"/>
              <w:color w:val="FFFFFF"/>
            </w:rPr>
          </w:pPr>
          <w:r>
            <w:rPr>
              <w:rFonts w:ascii="Arial" w:hAnsi="Arial" w:cs="Arial"/>
              <w:b/>
              <w:bCs/>
              <w:noProof/>
              <w:color w:val="FFFFFF"/>
            </w:rPr>
            <w:t>Endowment Fund Investment Board</w:t>
          </w:r>
          <w:r>
            <w:rPr>
              <w:rFonts w:ascii="Arial" w:hAnsi="Arial" w:cs="Arial"/>
              <w:b/>
              <w:bCs/>
              <w:color w:val="FFFFFF"/>
            </w:rPr>
            <w:tab/>
          </w:r>
          <w:r>
            <w:rPr>
              <w:rFonts w:ascii="Arial" w:hAnsi="Arial" w:cs="Arial"/>
              <w:color w:val="FFFFFF"/>
            </w:rPr>
            <w:t>Performance Report</w:t>
          </w:r>
        </w:p>
      </w:tc>
    </w:tr>
    <w:tr w:rsidR="00656DF8" w14:paraId="11B7BCE2" w14:textId="77777777" w:rsidTr="00955118">
      <w:trPr>
        <w:trHeight w:hRule="exact" w:val="90"/>
      </w:trPr>
      <w:tc>
        <w:tcPr>
          <w:tcW w:w="10260" w:type="dxa"/>
          <w:tcBorders>
            <w:top w:val="nil"/>
            <w:bottom w:val="single" w:sz="4" w:space="0" w:color="auto"/>
          </w:tcBorders>
        </w:tcPr>
        <w:p w14:paraId="02C66FB2" w14:textId="77777777" w:rsidR="00656DF8" w:rsidRDefault="00656DF8" w:rsidP="000A5A89"/>
      </w:tc>
    </w:tr>
    <w:tr w:rsidR="00656DF8" w14:paraId="39EFA4EE" w14:textId="77777777" w:rsidTr="00955118">
      <w:tc>
        <w:tcPr>
          <w:tcW w:w="10260" w:type="dxa"/>
          <w:tcBorders>
            <w:top w:val="single" w:sz="4" w:space="0" w:color="auto"/>
            <w:bottom w:val="nil"/>
          </w:tcBorders>
          <w:shd w:val="clear" w:color="auto" w:fill="000080"/>
        </w:tcPr>
        <w:p w14:paraId="50D5ECF0" w14:textId="77777777" w:rsidR="00656DF8" w:rsidRDefault="00656DF8" w:rsidP="000A5A89"/>
      </w:tc>
    </w:tr>
  </w:tbl>
  <w:p w14:paraId="39970DF6" w14:textId="77777777" w:rsidR="00656DF8" w:rsidRPr="0048752D" w:rsidRDefault="00656DF8" w:rsidP="00487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E9E"/>
    <w:multiLevelType w:val="hybridMultilevel"/>
    <w:tmpl w:val="939A0758"/>
    <w:lvl w:ilvl="0" w:tplc="7B7CC4A6">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CB93FE4"/>
    <w:multiLevelType w:val="hybridMultilevel"/>
    <w:tmpl w:val="B9C65FA6"/>
    <w:lvl w:ilvl="0" w:tplc="45F8B79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1933026C"/>
    <w:multiLevelType w:val="hybridMultilevel"/>
    <w:tmpl w:val="0798D4F8"/>
    <w:lvl w:ilvl="0" w:tplc="0F54834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382750"/>
    <w:multiLevelType w:val="hybridMultilevel"/>
    <w:tmpl w:val="DF3A5B56"/>
    <w:lvl w:ilvl="0" w:tplc="0409000F">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2EA6911"/>
    <w:multiLevelType w:val="hybridMultilevel"/>
    <w:tmpl w:val="B9C65FA6"/>
    <w:lvl w:ilvl="0" w:tplc="FFFFFFFF">
      <w:start w:val="1"/>
      <w:numFmt w:val="upperLetter"/>
      <w:lvlText w:val="%1."/>
      <w:lvlJc w:val="left"/>
      <w:pPr>
        <w:ind w:left="702" w:hanging="360"/>
      </w:pPr>
      <w:rPr>
        <w:rFonts w:hint="default"/>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5" w15:restartNumberingAfterBreak="0">
    <w:nsid w:val="38677B97"/>
    <w:multiLevelType w:val="hybridMultilevel"/>
    <w:tmpl w:val="0570D93C"/>
    <w:lvl w:ilvl="0" w:tplc="45F8B79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3A4D5696"/>
    <w:multiLevelType w:val="hybridMultilevel"/>
    <w:tmpl w:val="B9C65FA6"/>
    <w:lvl w:ilvl="0" w:tplc="45F8B79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472478AE"/>
    <w:multiLevelType w:val="hybridMultilevel"/>
    <w:tmpl w:val="2796F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64519"/>
    <w:multiLevelType w:val="hybridMultilevel"/>
    <w:tmpl w:val="B9C65FA6"/>
    <w:lvl w:ilvl="0" w:tplc="FFFFFFFF">
      <w:start w:val="1"/>
      <w:numFmt w:val="upperLetter"/>
      <w:lvlText w:val="%1."/>
      <w:lvlJc w:val="left"/>
      <w:pPr>
        <w:ind w:left="702" w:hanging="360"/>
      </w:pPr>
      <w:rPr>
        <w:rFonts w:hint="default"/>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9" w15:restartNumberingAfterBreak="0">
    <w:nsid w:val="50C56085"/>
    <w:multiLevelType w:val="hybridMultilevel"/>
    <w:tmpl w:val="CC5440CA"/>
    <w:lvl w:ilvl="0" w:tplc="5A2E1D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54F86F97"/>
    <w:multiLevelType w:val="hybridMultilevel"/>
    <w:tmpl w:val="747C5860"/>
    <w:lvl w:ilvl="0" w:tplc="7CE49AC2">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A04E0"/>
    <w:multiLevelType w:val="multilevel"/>
    <w:tmpl w:val="5EFE92E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E54CBB"/>
    <w:multiLevelType w:val="hybridMultilevel"/>
    <w:tmpl w:val="939A0758"/>
    <w:lvl w:ilvl="0" w:tplc="7B7CC4A6">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5D553D79"/>
    <w:multiLevelType w:val="hybridMultilevel"/>
    <w:tmpl w:val="4348AD6E"/>
    <w:lvl w:ilvl="0" w:tplc="6334423C">
      <w:start w:val="9"/>
      <w:numFmt w:val="bullet"/>
      <w:lvlText w:val=""/>
      <w:lvlJc w:val="left"/>
      <w:pPr>
        <w:ind w:left="432" w:hanging="360"/>
      </w:pPr>
      <w:rPr>
        <w:rFonts w:ascii="Symbol" w:eastAsia="Times New Roman" w:hAnsi="Symbo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63335D02"/>
    <w:multiLevelType w:val="hybridMultilevel"/>
    <w:tmpl w:val="228CBF80"/>
    <w:lvl w:ilvl="0" w:tplc="CC8A896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719750D"/>
    <w:multiLevelType w:val="hybridMultilevel"/>
    <w:tmpl w:val="E74C0E1A"/>
    <w:lvl w:ilvl="0" w:tplc="8A22C032">
      <w:start w:val="9"/>
      <w:numFmt w:val="bullet"/>
      <w:lvlText w:val=""/>
      <w:lvlJc w:val="left"/>
      <w:pPr>
        <w:ind w:left="432" w:hanging="360"/>
      </w:pPr>
      <w:rPr>
        <w:rFonts w:ascii="Symbol" w:eastAsia="Times New Roman" w:hAnsi="Symbo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76283376"/>
    <w:multiLevelType w:val="hybridMultilevel"/>
    <w:tmpl w:val="5BD43FE6"/>
    <w:lvl w:ilvl="0" w:tplc="3CB8BD2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775B3E42"/>
    <w:multiLevelType w:val="hybridMultilevel"/>
    <w:tmpl w:val="BDAAC8C2"/>
    <w:lvl w:ilvl="0" w:tplc="A7C2561A">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468620570">
    <w:abstractNumId w:val="15"/>
  </w:num>
  <w:num w:numId="2" w16cid:durableId="1085490777">
    <w:abstractNumId w:val="17"/>
  </w:num>
  <w:num w:numId="3" w16cid:durableId="808523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423809">
    <w:abstractNumId w:val="18"/>
  </w:num>
  <w:num w:numId="5" w16cid:durableId="1292202304">
    <w:abstractNumId w:val="0"/>
  </w:num>
  <w:num w:numId="6" w16cid:durableId="2005011414">
    <w:abstractNumId w:val="1"/>
  </w:num>
  <w:num w:numId="7" w16cid:durableId="1407336960">
    <w:abstractNumId w:val="7"/>
  </w:num>
  <w:num w:numId="8" w16cid:durableId="195510824">
    <w:abstractNumId w:val="9"/>
  </w:num>
  <w:num w:numId="9" w16cid:durableId="1063722627">
    <w:abstractNumId w:val="3"/>
  </w:num>
  <w:num w:numId="10" w16cid:durableId="2084176062">
    <w:abstractNumId w:val="12"/>
  </w:num>
  <w:num w:numId="11" w16cid:durableId="648096463">
    <w:abstractNumId w:val="5"/>
  </w:num>
  <w:num w:numId="12" w16cid:durableId="428162211">
    <w:abstractNumId w:val="13"/>
  </w:num>
  <w:num w:numId="13" w16cid:durableId="904143650">
    <w:abstractNumId w:val="6"/>
  </w:num>
  <w:num w:numId="14" w16cid:durableId="362828375">
    <w:abstractNumId w:val="11"/>
  </w:num>
  <w:num w:numId="15" w16cid:durableId="59252033">
    <w:abstractNumId w:val="14"/>
  </w:num>
  <w:num w:numId="16" w16cid:durableId="762916671">
    <w:abstractNumId w:val="16"/>
  </w:num>
  <w:num w:numId="17" w16cid:durableId="619797439">
    <w:abstractNumId w:val="2"/>
  </w:num>
  <w:num w:numId="18" w16cid:durableId="55200589">
    <w:abstractNumId w:val="8"/>
  </w:num>
  <w:num w:numId="19" w16cid:durableId="185552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90"/>
    <w:rsid w:val="00000D24"/>
    <w:rsid w:val="000019E5"/>
    <w:rsid w:val="00001E5F"/>
    <w:rsid w:val="00003952"/>
    <w:rsid w:val="00004AD9"/>
    <w:rsid w:val="00004E74"/>
    <w:rsid w:val="000052C6"/>
    <w:rsid w:val="00007518"/>
    <w:rsid w:val="0001018C"/>
    <w:rsid w:val="000132E2"/>
    <w:rsid w:val="00016B16"/>
    <w:rsid w:val="0001790E"/>
    <w:rsid w:val="00021907"/>
    <w:rsid w:val="00023F5B"/>
    <w:rsid w:val="000310F3"/>
    <w:rsid w:val="00032BDC"/>
    <w:rsid w:val="00032D79"/>
    <w:rsid w:val="0003517F"/>
    <w:rsid w:val="000371B6"/>
    <w:rsid w:val="000378FC"/>
    <w:rsid w:val="00040427"/>
    <w:rsid w:val="00040FF4"/>
    <w:rsid w:val="000454B9"/>
    <w:rsid w:val="00052CD3"/>
    <w:rsid w:val="000540F0"/>
    <w:rsid w:val="00054DF9"/>
    <w:rsid w:val="0006133A"/>
    <w:rsid w:val="0006513E"/>
    <w:rsid w:val="00065E88"/>
    <w:rsid w:val="00067AC8"/>
    <w:rsid w:val="00070507"/>
    <w:rsid w:val="00070F55"/>
    <w:rsid w:val="0007166B"/>
    <w:rsid w:val="00071903"/>
    <w:rsid w:val="0007467F"/>
    <w:rsid w:val="000756BC"/>
    <w:rsid w:val="00076320"/>
    <w:rsid w:val="0008090A"/>
    <w:rsid w:val="00081114"/>
    <w:rsid w:val="00081BEF"/>
    <w:rsid w:val="00082294"/>
    <w:rsid w:val="000906FD"/>
    <w:rsid w:val="0009089B"/>
    <w:rsid w:val="00090A04"/>
    <w:rsid w:val="00093851"/>
    <w:rsid w:val="00094A5D"/>
    <w:rsid w:val="000A22BA"/>
    <w:rsid w:val="000A5A89"/>
    <w:rsid w:val="000B125B"/>
    <w:rsid w:val="000B13C7"/>
    <w:rsid w:val="000B4233"/>
    <w:rsid w:val="000C34B7"/>
    <w:rsid w:val="000C6448"/>
    <w:rsid w:val="000C7DAA"/>
    <w:rsid w:val="000D0328"/>
    <w:rsid w:val="000D10FC"/>
    <w:rsid w:val="000D1CFA"/>
    <w:rsid w:val="000D3B61"/>
    <w:rsid w:val="000D52AF"/>
    <w:rsid w:val="000D5973"/>
    <w:rsid w:val="000D6D3C"/>
    <w:rsid w:val="000E064C"/>
    <w:rsid w:val="000E1D25"/>
    <w:rsid w:val="000F2228"/>
    <w:rsid w:val="000F35B7"/>
    <w:rsid w:val="000F3FC3"/>
    <w:rsid w:val="000F6B3E"/>
    <w:rsid w:val="00102493"/>
    <w:rsid w:val="00102AEB"/>
    <w:rsid w:val="001173B5"/>
    <w:rsid w:val="00120EDB"/>
    <w:rsid w:val="00121D59"/>
    <w:rsid w:val="00124BD5"/>
    <w:rsid w:val="00125A9E"/>
    <w:rsid w:val="001262CF"/>
    <w:rsid w:val="001269F3"/>
    <w:rsid w:val="0013022F"/>
    <w:rsid w:val="00132352"/>
    <w:rsid w:val="00133150"/>
    <w:rsid w:val="0013406C"/>
    <w:rsid w:val="001340CD"/>
    <w:rsid w:val="00134F83"/>
    <w:rsid w:val="001355B4"/>
    <w:rsid w:val="001356F3"/>
    <w:rsid w:val="00143E00"/>
    <w:rsid w:val="00144F10"/>
    <w:rsid w:val="0014660B"/>
    <w:rsid w:val="00147F92"/>
    <w:rsid w:val="0015679A"/>
    <w:rsid w:val="001568F1"/>
    <w:rsid w:val="001578A3"/>
    <w:rsid w:val="0016092B"/>
    <w:rsid w:val="00160D4C"/>
    <w:rsid w:val="00161F1D"/>
    <w:rsid w:val="00162492"/>
    <w:rsid w:val="0016501E"/>
    <w:rsid w:val="00165957"/>
    <w:rsid w:val="0017108A"/>
    <w:rsid w:val="0017125D"/>
    <w:rsid w:val="001755DC"/>
    <w:rsid w:val="00175997"/>
    <w:rsid w:val="00177791"/>
    <w:rsid w:val="00180F88"/>
    <w:rsid w:val="00182E5B"/>
    <w:rsid w:val="00184CBB"/>
    <w:rsid w:val="001867D9"/>
    <w:rsid w:val="00186EDB"/>
    <w:rsid w:val="00187E41"/>
    <w:rsid w:val="00192629"/>
    <w:rsid w:val="00193A7F"/>
    <w:rsid w:val="001A27D9"/>
    <w:rsid w:val="001A6AFC"/>
    <w:rsid w:val="001B33E3"/>
    <w:rsid w:val="001B3AE9"/>
    <w:rsid w:val="001B493C"/>
    <w:rsid w:val="001B4EB9"/>
    <w:rsid w:val="001B7171"/>
    <w:rsid w:val="001B737C"/>
    <w:rsid w:val="001C4164"/>
    <w:rsid w:val="001D1899"/>
    <w:rsid w:val="001D1A2A"/>
    <w:rsid w:val="001D457E"/>
    <w:rsid w:val="001E3933"/>
    <w:rsid w:val="001E5750"/>
    <w:rsid w:val="001E61FB"/>
    <w:rsid w:val="001E74DB"/>
    <w:rsid w:val="001F06F3"/>
    <w:rsid w:val="001F5F99"/>
    <w:rsid w:val="001F6712"/>
    <w:rsid w:val="0020006B"/>
    <w:rsid w:val="00205AEB"/>
    <w:rsid w:val="002062BF"/>
    <w:rsid w:val="0021177C"/>
    <w:rsid w:val="002131E7"/>
    <w:rsid w:val="0021492A"/>
    <w:rsid w:val="00214CBA"/>
    <w:rsid w:val="00220D46"/>
    <w:rsid w:val="00222181"/>
    <w:rsid w:val="0022376A"/>
    <w:rsid w:val="00225235"/>
    <w:rsid w:val="00227B6D"/>
    <w:rsid w:val="00235DF4"/>
    <w:rsid w:val="00237E78"/>
    <w:rsid w:val="00240D2A"/>
    <w:rsid w:val="00243202"/>
    <w:rsid w:val="0024608A"/>
    <w:rsid w:val="00251A5A"/>
    <w:rsid w:val="002536F2"/>
    <w:rsid w:val="00257BD1"/>
    <w:rsid w:val="00272AF0"/>
    <w:rsid w:val="00272F1B"/>
    <w:rsid w:val="00273492"/>
    <w:rsid w:val="0027495C"/>
    <w:rsid w:val="00275173"/>
    <w:rsid w:val="00276AAC"/>
    <w:rsid w:val="002802EC"/>
    <w:rsid w:val="0028232C"/>
    <w:rsid w:val="0028284A"/>
    <w:rsid w:val="00285E27"/>
    <w:rsid w:val="00286B75"/>
    <w:rsid w:val="00292711"/>
    <w:rsid w:val="00294D80"/>
    <w:rsid w:val="00295010"/>
    <w:rsid w:val="00295770"/>
    <w:rsid w:val="00295B25"/>
    <w:rsid w:val="00295DAB"/>
    <w:rsid w:val="00295E81"/>
    <w:rsid w:val="002A2285"/>
    <w:rsid w:val="002A2751"/>
    <w:rsid w:val="002A2D2B"/>
    <w:rsid w:val="002A499F"/>
    <w:rsid w:val="002A64BF"/>
    <w:rsid w:val="002B0827"/>
    <w:rsid w:val="002B2650"/>
    <w:rsid w:val="002B2E21"/>
    <w:rsid w:val="002B371D"/>
    <w:rsid w:val="002B7FBA"/>
    <w:rsid w:val="002C0567"/>
    <w:rsid w:val="002C0FE0"/>
    <w:rsid w:val="002C7E0F"/>
    <w:rsid w:val="002E1265"/>
    <w:rsid w:val="002E1BB5"/>
    <w:rsid w:val="002E2AA2"/>
    <w:rsid w:val="002E6364"/>
    <w:rsid w:val="002E6643"/>
    <w:rsid w:val="002E7F2E"/>
    <w:rsid w:val="002F4059"/>
    <w:rsid w:val="002F6D39"/>
    <w:rsid w:val="00301BE1"/>
    <w:rsid w:val="00311E17"/>
    <w:rsid w:val="0031249C"/>
    <w:rsid w:val="00315104"/>
    <w:rsid w:val="00317435"/>
    <w:rsid w:val="003361D7"/>
    <w:rsid w:val="00344339"/>
    <w:rsid w:val="00344AF6"/>
    <w:rsid w:val="00346888"/>
    <w:rsid w:val="0035033A"/>
    <w:rsid w:val="00351A5E"/>
    <w:rsid w:val="00351B6F"/>
    <w:rsid w:val="00353AFC"/>
    <w:rsid w:val="0035439E"/>
    <w:rsid w:val="00354A5D"/>
    <w:rsid w:val="003570F8"/>
    <w:rsid w:val="00362E8A"/>
    <w:rsid w:val="0036552A"/>
    <w:rsid w:val="00372273"/>
    <w:rsid w:val="00372FB0"/>
    <w:rsid w:val="00374F32"/>
    <w:rsid w:val="00376EEB"/>
    <w:rsid w:val="00377B02"/>
    <w:rsid w:val="00381CB5"/>
    <w:rsid w:val="00391AA7"/>
    <w:rsid w:val="003926F9"/>
    <w:rsid w:val="00392FA3"/>
    <w:rsid w:val="0039563E"/>
    <w:rsid w:val="003979C1"/>
    <w:rsid w:val="003A0407"/>
    <w:rsid w:val="003A64FF"/>
    <w:rsid w:val="003A7A40"/>
    <w:rsid w:val="003B2038"/>
    <w:rsid w:val="003B46E7"/>
    <w:rsid w:val="003C19D8"/>
    <w:rsid w:val="003C2048"/>
    <w:rsid w:val="003C2BE8"/>
    <w:rsid w:val="003C2D81"/>
    <w:rsid w:val="003C5042"/>
    <w:rsid w:val="003C58E6"/>
    <w:rsid w:val="003D7376"/>
    <w:rsid w:val="003D7481"/>
    <w:rsid w:val="003E025B"/>
    <w:rsid w:val="003F1168"/>
    <w:rsid w:val="003F122B"/>
    <w:rsid w:val="003F486F"/>
    <w:rsid w:val="003F6899"/>
    <w:rsid w:val="00402E86"/>
    <w:rsid w:val="00407386"/>
    <w:rsid w:val="00411E36"/>
    <w:rsid w:val="00412B39"/>
    <w:rsid w:val="00413C70"/>
    <w:rsid w:val="00414033"/>
    <w:rsid w:val="0041723B"/>
    <w:rsid w:val="00421343"/>
    <w:rsid w:val="00421366"/>
    <w:rsid w:val="004215CB"/>
    <w:rsid w:val="00423B3D"/>
    <w:rsid w:val="004252F3"/>
    <w:rsid w:val="004267A6"/>
    <w:rsid w:val="004316FF"/>
    <w:rsid w:val="00431798"/>
    <w:rsid w:val="00431974"/>
    <w:rsid w:val="00434D38"/>
    <w:rsid w:val="00441BAB"/>
    <w:rsid w:val="0044313A"/>
    <w:rsid w:val="00445FE8"/>
    <w:rsid w:val="00447654"/>
    <w:rsid w:val="0045433C"/>
    <w:rsid w:val="00456B16"/>
    <w:rsid w:val="004639EC"/>
    <w:rsid w:val="00463CEB"/>
    <w:rsid w:val="004674E6"/>
    <w:rsid w:val="004715EF"/>
    <w:rsid w:val="00473F9F"/>
    <w:rsid w:val="00474179"/>
    <w:rsid w:val="00477B57"/>
    <w:rsid w:val="00481EF5"/>
    <w:rsid w:val="00482DAB"/>
    <w:rsid w:val="00484C3C"/>
    <w:rsid w:val="0048752D"/>
    <w:rsid w:val="00487893"/>
    <w:rsid w:val="00490601"/>
    <w:rsid w:val="00493059"/>
    <w:rsid w:val="004940B5"/>
    <w:rsid w:val="004A2207"/>
    <w:rsid w:val="004A29E6"/>
    <w:rsid w:val="004A3D08"/>
    <w:rsid w:val="004A4763"/>
    <w:rsid w:val="004A4BA7"/>
    <w:rsid w:val="004A66C7"/>
    <w:rsid w:val="004A77E3"/>
    <w:rsid w:val="004B2312"/>
    <w:rsid w:val="004B501C"/>
    <w:rsid w:val="004C1934"/>
    <w:rsid w:val="004C296E"/>
    <w:rsid w:val="004C4436"/>
    <w:rsid w:val="004C7F54"/>
    <w:rsid w:val="004E3813"/>
    <w:rsid w:val="004E5435"/>
    <w:rsid w:val="004E6E2D"/>
    <w:rsid w:val="004E79FF"/>
    <w:rsid w:val="004F5F88"/>
    <w:rsid w:val="0050550D"/>
    <w:rsid w:val="00507EF6"/>
    <w:rsid w:val="00514E1C"/>
    <w:rsid w:val="00516C95"/>
    <w:rsid w:val="00517F1E"/>
    <w:rsid w:val="00520034"/>
    <w:rsid w:val="0052502D"/>
    <w:rsid w:val="00526D2B"/>
    <w:rsid w:val="00527100"/>
    <w:rsid w:val="005273CA"/>
    <w:rsid w:val="00527A41"/>
    <w:rsid w:val="00530A43"/>
    <w:rsid w:val="00536BB1"/>
    <w:rsid w:val="005428AF"/>
    <w:rsid w:val="00542C6F"/>
    <w:rsid w:val="00543322"/>
    <w:rsid w:val="00543504"/>
    <w:rsid w:val="00543653"/>
    <w:rsid w:val="00547D70"/>
    <w:rsid w:val="005505A0"/>
    <w:rsid w:val="00555020"/>
    <w:rsid w:val="005550D7"/>
    <w:rsid w:val="00556FD4"/>
    <w:rsid w:val="005573EF"/>
    <w:rsid w:val="00562353"/>
    <w:rsid w:val="00562769"/>
    <w:rsid w:val="00563338"/>
    <w:rsid w:val="00563F11"/>
    <w:rsid w:val="005661BB"/>
    <w:rsid w:val="00572998"/>
    <w:rsid w:val="00575B33"/>
    <w:rsid w:val="005804D4"/>
    <w:rsid w:val="0058180B"/>
    <w:rsid w:val="00587F70"/>
    <w:rsid w:val="00593857"/>
    <w:rsid w:val="00593F16"/>
    <w:rsid w:val="00595350"/>
    <w:rsid w:val="00596515"/>
    <w:rsid w:val="005A54DD"/>
    <w:rsid w:val="005A72BC"/>
    <w:rsid w:val="005B1D3F"/>
    <w:rsid w:val="005B3A62"/>
    <w:rsid w:val="005B54D1"/>
    <w:rsid w:val="005B7D39"/>
    <w:rsid w:val="005C07EA"/>
    <w:rsid w:val="005C25C0"/>
    <w:rsid w:val="005D076D"/>
    <w:rsid w:val="005D475A"/>
    <w:rsid w:val="005D78D0"/>
    <w:rsid w:val="005E331E"/>
    <w:rsid w:val="005F0D42"/>
    <w:rsid w:val="005F33C1"/>
    <w:rsid w:val="005F4EAC"/>
    <w:rsid w:val="005F63EC"/>
    <w:rsid w:val="005F6E70"/>
    <w:rsid w:val="006012F0"/>
    <w:rsid w:val="006070AA"/>
    <w:rsid w:val="00607590"/>
    <w:rsid w:val="0061073A"/>
    <w:rsid w:val="006117ED"/>
    <w:rsid w:val="00613C7A"/>
    <w:rsid w:val="00615560"/>
    <w:rsid w:val="006224FA"/>
    <w:rsid w:val="006235A9"/>
    <w:rsid w:val="006237A6"/>
    <w:rsid w:val="0062487C"/>
    <w:rsid w:val="00625948"/>
    <w:rsid w:val="006266CA"/>
    <w:rsid w:val="00627938"/>
    <w:rsid w:val="006305E5"/>
    <w:rsid w:val="0063075F"/>
    <w:rsid w:val="0063678D"/>
    <w:rsid w:val="00636E6A"/>
    <w:rsid w:val="00636EB8"/>
    <w:rsid w:val="0064072D"/>
    <w:rsid w:val="00641135"/>
    <w:rsid w:val="00647FDD"/>
    <w:rsid w:val="0065106D"/>
    <w:rsid w:val="006528D1"/>
    <w:rsid w:val="00656DF8"/>
    <w:rsid w:val="0066048D"/>
    <w:rsid w:val="006623AD"/>
    <w:rsid w:val="00670C4A"/>
    <w:rsid w:val="00674B2E"/>
    <w:rsid w:val="00677A13"/>
    <w:rsid w:val="00677A9E"/>
    <w:rsid w:val="00677C7D"/>
    <w:rsid w:val="00680C1C"/>
    <w:rsid w:val="006824B2"/>
    <w:rsid w:val="0068445B"/>
    <w:rsid w:val="00684DF0"/>
    <w:rsid w:val="006854D0"/>
    <w:rsid w:val="00690D86"/>
    <w:rsid w:val="006912F6"/>
    <w:rsid w:val="00692E6E"/>
    <w:rsid w:val="006A1ECC"/>
    <w:rsid w:val="006A25B5"/>
    <w:rsid w:val="006A34F3"/>
    <w:rsid w:val="006A397A"/>
    <w:rsid w:val="006A3AFF"/>
    <w:rsid w:val="006A62B5"/>
    <w:rsid w:val="006A7702"/>
    <w:rsid w:val="006B0B3B"/>
    <w:rsid w:val="006B10E6"/>
    <w:rsid w:val="006B2741"/>
    <w:rsid w:val="006B3A72"/>
    <w:rsid w:val="006B4493"/>
    <w:rsid w:val="006B56D6"/>
    <w:rsid w:val="006C30B5"/>
    <w:rsid w:val="006C3D0A"/>
    <w:rsid w:val="006C56CF"/>
    <w:rsid w:val="006C7D85"/>
    <w:rsid w:val="006D40AC"/>
    <w:rsid w:val="006D5026"/>
    <w:rsid w:val="006D542B"/>
    <w:rsid w:val="006D7B30"/>
    <w:rsid w:val="006E0B45"/>
    <w:rsid w:val="006F3508"/>
    <w:rsid w:val="006F46A2"/>
    <w:rsid w:val="006F5133"/>
    <w:rsid w:val="006F69E8"/>
    <w:rsid w:val="00701117"/>
    <w:rsid w:val="0070167F"/>
    <w:rsid w:val="00701EAF"/>
    <w:rsid w:val="00704A3E"/>
    <w:rsid w:val="00706AEF"/>
    <w:rsid w:val="00707939"/>
    <w:rsid w:val="007119AD"/>
    <w:rsid w:val="00713F29"/>
    <w:rsid w:val="00720EE9"/>
    <w:rsid w:val="0072137D"/>
    <w:rsid w:val="007254A9"/>
    <w:rsid w:val="00725E35"/>
    <w:rsid w:val="00726200"/>
    <w:rsid w:val="007262D5"/>
    <w:rsid w:val="007356FC"/>
    <w:rsid w:val="0073635D"/>
    <w:rsid w:val="00743E7F"/>
    <w:rsid w:val="00744A13"/>
    <w:rsid w:val="00745E5E"/>
    <w:rsid w:val="0075192C"/>
    <w:rsid w:val="00751DF9"/>
    <w:rsid w:val="007623BF"/>
    <w:rsid w:val="00762CF7"/>
    <w:rsid w:val="0076465D"/>
    <w:rsid w:val="0077348E"/>
    <w:rsid w:val="007735BC"/>
    <w:rsid w:val="00775B27"/>
    <w:rsid w:val="007812A5"/>
    <w:rsid w:val="007817A9"/>
    <w:rsid w:val="0078278A"/>
    <w:rsid w:val="00782C00"/>
    <w:rsid w:val="00787C64"/>
    <w:rsid w:val="007902CD"/>
    <w:rsid w:val="00791DAE"/>
    <w:rsid w:val="0079405E"/>
    <w:rsid w:val="007970D3"/>
    <w:rsid w:val="007A5271"/>
    <w:rsid w:val="007B4B3C"/>
    <w:rsid w:val="007C4D5F"/>
    <w:rsid w:val="007C7C4E"/>
    <w:rsid w:val="007D14BD"/>
    <w:rsid w:val="007D23FE"/>
    <w:rsid w:val="007D5383"/>
    <w:rsid w:val="007D6C47"/>
    <w:rsid w:val="007E0736"/>
    <w:rsid w:val="007E3C6B"/>
    <w:rsid w:val="007E3EF6"/>
    <w:rsid w:val="007E4916"/>
    <w:rsid w:val="007E5FA4"/>
    <w:rsid w:val="007E6FF4"/>
    <w:rsid w:val="007F0E06"/>
    <w:rsid w:val="007F44EF"/>
    <w:rsid w:val="007F67D9"/>
    <w:rsid w:val="007F7619"/>
    <w:rsid w:val="00803317"/>
    <w:rsid w:val="00803F62"/>
    <w:rsid w:val="00804DD4"/>
    <w:rsid w:val="00810378"/>
    <w:rsid w:val="00814163"/>
    <w:rsid w:val="00814B52"/>
    <w:rsid w:val="00814C70"/>
    <w:rsid w:val="008156D1"/>
    <w:rsid w:val="008169DF"/>
    <w:rsid w:val="008209B4"/>
    <w:rsid w:val="00821C9C"/>
    <w:rsid w:val="0082357F"/>
    <w:rsid w:val="008248B8"/>
    <w:rsid w:val="00824D12"/>
    <w:rsid w:val="00830FA1"/>
    <w:rsid w:val="008324A4"/>
    <w:rsid w:val="0083291F"/>
    <w:rsid w:val="00835529"/>
    <w:rsid w:val="0083701D"/>
    <w:rsid w:val="00837B3C"/>
    <w:rsid w:val="00840FC7"/>
    <w:rsid w:val="0084254B"/>
    <w:rsid w:val="00850BBA"/>
    <w:rsid w:val="00850FF4"/>
    <w:rsid w:val="008532A8"/>
    <w:rsid w:val="00856E51"/>
    <w:rsid w:val="00857109"/>
    <w:rsid w:val="00862D83"/>
    <w:rsid w:val="008632E9"/>
    <w:rsid w:val="00863563"/>
    <w:rsid w:val="0087005D"/>
    <w:rsid w:val="00873AEF"/>
    <w:rsid w:val="00873F8E"/>
    <w:rsid w:val="00873FE7"/>
    <w:rsid w:val="0087522B"/>
    <w:rsid w:val="00876841"/>
    <w:rsid w:val="008822C1"/>
    <w:rsid w:val="0088294A"/>
    <w:rsid w:val="00884BEA"/>
    <w:rsid w:val="00887DDB"/>
    <w:rsid w:val="00887E56"/>
    <w:rsid w:val="0089244B"/>
    <w:rsid w:val="0089436D"/>
    <w:rsid w:val="00895537"/>
    <w:rsid w:val="0089644F"/>
    <w:rsid w:val="008A2798"/>
    <w:rsid w:val="008C5A1F"/>
    <w:rsid w:val="008C5CB7"/>
    <w:rsid w:val="008D04E2"/>
    <w:rsid w:val="008D0D23"/>
    <w:rsid w:val="008D26C9"/>
    <w:rsid w:val="008D7EDF"/>
    <w:rsid w:val="008E13F0"/>
    <w:rsid w:val="008E6461"/>
    <w:rsid w:val="00900B23"/>
    <w:rsid w:val="009049AF"/>
    <w:rsid w:val="00905D2F"/>
    <w:rsid w:val="00913B97"/>
    <w:rsid w:val="00916390"/>
    <w:rsid w:val="00920E6B"/>
    <w:rsid w:val="009238AC"/>
    <w:rsid w:val="00925219"/>
    <w:rsid w:val="00925BD7"/>
    <w:rsid w:val="00927143"/>
    <w:rsid w:val="00930DE6"/>
    <w:rsid w:val="00931BB8"/>
    <w:rsid w:val="00937936"/>
    <w:rsid w:val="00941249"/>
    <w:rsid w:val="00942BEA"/>
    <w:rsid w:val="00950C84"/>
    <w:rsid w:val="00952C00"/>
    <w:rsid w:val="0095312F"/>
    <w:rsid w:val="00954ED6"/>
    <w:rsid w:val="009550D4"/>
    <w:rsid w:val="00955118"/>
    <w:rsid w:val="00956A1A"/>
    <w:rsid w:val="0095700D"/>
    <w:rsid w:val="00964622"/>
    <w:rsid w:val="00966FC0"/>
    <w:rsid w:val="00971F1C"/>
    <w:rsid w:val="009768AC"/>
    <w:rsid w:val="00980E64"/>
    <w:rsid w:val="0098168E"/>
    <w:rsid w:val="00981B41"/>
    <w:rsid w:val="009831FC"/>
    <w:rsid w:val="00983E17"/>
    <w:rsid w:val="00985108"/>
    <w:rsid w:val="00985DA5"/>
    <w:rsid w:val="0099143A"/>
    <w:rsid w:val="0099195E"/>
    <w:rsid w:val="00992F6A"/>
    <w:rsid w:val="009A08AB"/>
    <w:rsid w:val="009A098F"/>
    <w:rsid w:val="009A1F57"/>
    <w:rsid w:val="009A2988"/>
    <w:rsid w:val="009A2DCB"/>
    <w:rsid w:val="009A32AF"/>
    <w:rsid w:val="009A5267"/>
    <w:rsid w:val="009A5644"/>
    <w:rsid w:val="009A744F"/>
    <w:rsid w:val="009B43A7"/>
    <w:rsid w:val="009B5560"/>
    <w:rsid w:val="009C5DA3"/>
    <w:rsid w:val="009C6144"/>
    <w:rsid w:val="009C69B6"/>
    <w:rsid w:val="009C6EAD"/>
    <w:rsid w:val="009D525E"/>
    <w:rsid w:val="009E0AC0"/>
    <w:rsid w:val="009E3962"/>
    <w:rsid w:val="009E4D9E"/>
    <w:rsid w:val="009E54D4"/>
    <w:rsid w:val="009E5B42"/>
    <w:rsid w:val="009E620E"/>
    <w:rsid w:val="009F1F0E"/>
    <w:rsid w:val="009F256B"/>
    <w:rsid w:val="009F343F"/>
    <w:rsid w:val="00A00054"/>
    <w:rsid w:val="00A00C9F"/>
    <w:rsid w:val="00A055A1"/>
    <w:rsid w:val="00A06538"/>
    <w:rsid w:val="00A06A03"/>
    <w:rsid w:val="00A0756C"/>
    <w:rsid w:val="00A1158D"/>
    <w:rsid w:val="00A13380"/>
    <w:rsid w:val="00A1569B"/>
    <w:rsid w:val="00A178D5"/>
    <w:rsid w:val="00A20906"/>
    <w:rsid w:val="00A25977"/>
    <w:rsid w:val="00A26D84"/>
    <w:rsid w:val="00A27817"/>
    <w:rsid w:val="00A33470"/>
    <w:rsid w:val="00A36E4C"/>
    <w:rsid w:val="00A37BDF"/>
    <w:rsid w:val="00A46546"/>
    <w:rsid w:val="00A5033E"/>
    <w:rsid w:val="00A50B93"/>
    <w:rsid w:val="00A56F0F"/>
    <w:rsid w:val="00A644EA"/>
    <w:rsid w:val="00A65AC9"/>
    <w:rsid w:val="00A65ADE"/>
    <w:rsid w:val="00A66F69"/>
    <w:rsid w:val="00A71350"/>
    <w:rsid w:val="00A71739"/>
    <w:rsid w:val="00A71793"/>
    <w:rsid w:val="00A73F8F"/>
    <w:rsid w:val="00A812EA"/>
    <w:rsid w:val="00A8167E"/>
    <w:rsid w:val="00A82C75"/>
    <w:rsid w:val="00A83C44"/>
    <w:rsid w:val="00A91D58"/>
    <w:rsid w:val="00A91F1C"/>
    <w:rsid w:val="00A92F9D"/>
    <w:rsid w:val="00A93851"/>
    <w:rsid w:val="00A97A25"/>
    <w:rsid w:val="00AA01E9"/>
    <w:rsid w:val="00AA03BD"/>
    <w:rsid w:val="00AA04FA"/>
    <w:rsid w:val="00AA078D"/>
    <w:rsid w:val="00AA6537"/>
    <w:rsid w:val="00AC5529"/>
    <w:rsid w:val="00AD25C4"/>
    <w:rsid w:val="00AD448F"/>
    <w:rsid w:val="00AD4D6C"/>
    <w:rsid w:val="00AE28FC"/>
    <w:rsid w:val="00AE2D92"/>
    <w:rsid w:val="00AE6CCF"/>
    <w:rsid w:val="00AF39EE"/>
    <w:rsid w:val="00AF4E82"/>
    <w:rsid w:val="00AF7783"/>
    <w:rsid w:val="00B001DD"/>
    <w:rsid w:val="00B00AFB"/>
    <w:rsid w:val="00B04EFD"/>
    <w:rsid w:val="00B0587D"/>
    <w:rsid w:val="00B070FD"/>
    <w:rsid w:val="00B2084C"/>
    <w:rsid w:val="00B21503"/>
    <w:rsid w:val="00B21838"/>
    <w:rsid w:val="00B21924"/>
    <w:rsid w:val="00B27690"/>
    <w:rsid w:val="00B32338"/>
    <w:rsid w:val="00B331FB"/>
    <w:rsid w:val="00B33659"/>
    <w:rsid w:val="00B3447E"/>
    <w:rsid w:val="00B35B02"/>
    <w:rsid w:val="00B365E7"/>
    <w:rsid w:val="00B366A8"/>
    <w:rsid w:val="00B43ACC"/>
    <w:rsid w:val="00B45A3F"/>
    <w:rsid w:val="00B5485F"/>
    <w:rsid w:val="00B56671"/>
    <w:rsid w:val="00B568C8"/>
    <w:rsid w:val="00B5711A"/>
    <w:rsid w:val="00B60622"/>
    <w:rsid w:val="00B608BF"/>
    <w:rsid w:val="00B60E45"/>
    <w:rsid w:val="00B6157E"/>
    <w:rsid w:val="00B62689"/>
    <w:rsid w:val="00B64470"/>
    <w:rsid w:val="00B73EAF"/>
    <w:rsid w:val="00B74DF2"/>
    <w:rsid w:val="00B76184"/>
    <w:rsid w:val="00B76964"/>
    <w:rsid w:val="00B807D9"/>
    <w:rsid w:val="00B80850"/>
    <w:rsid w:val="00B85811"/>
    <w:rsid w:val="00B85980"/>
    <w:rsid w:val="00B8745A"/>
    <w:rsid w:val="00B900F2"/>
    <w:rsid w:val="00B908C9"/>
    <w:rsid w:val="00B9360D"/>
    <w:rsid w:val="00B9649D"/>
    <w:rsid w:val="00BA0C96"/>
    <w:rsid w:val="00BA0E57"/>
    <w:rsid w:val="00BA16B5"/>
    <w:rsid w:val="00BA1AB2"/>
    <w:rsid w:val="00BA3037"/>
    <w:rsid w:val="00BA44FC"/>
    <w:rsid w:val="00BA6941"/>
    <w:rsid w:val="00BB05B9"/>
    <w:rsid w:val="00BB5A4F"/>
    <w:rsid w:val="00BC1347"/>
    <w:rsid w:val="00BC3B0F"/>
    <w:rsid w:val="00BD4D67"/>
    <w:rsid w:val="00BD4E35"/>
    <w:rsid w:val="00BE335F"/>
    <w:rsid w:val="00BE5092"/>
    <w:rsid w:val="00BE6857"/>
    <w:rsid w:val="00BF0B5C"/>
    <w:rsid w:val="00C0142F"/>
    <w:rsid w:val="00C01DA4"/>
    <w:rsid w:val="00C02FC6"/>
    <w:rsid w:val="00C04D8E"/>
    <w:rsid w:val="00C060BE"/>
    <w:rsid w:val="00C109D4"/>
    <w:rsid w:val="00C154DC"/>
    <w:rsid w:val="00C16619"/>
    <w:rsid w:val="00C17CF1"/>
    <w:rsid w:val="00C24FC0"/>
    <w:rsid w:val="00C26531"/>
    <w:rsid w:val="00C26A1A"/>
    <w:rsid w:val="00C27114"/>
    <w:rsid w:val="00C31D77"/>
    <w:rsid w:val="00C35D1A"/>
    <w:rsid w:val="00C43E8F"/>
    <w:rsid w:val="00C456AE"/>
    <w:rsid w:val="00C467C8"/>
    <w:rsid w:val="00C46C7F"/>
    <w:rsid w:val="00C47C27"/>
    <w:rsid w:val="00C50B00"/>
    <w:rsid w:val="00C52DA0"/>
    <w:rsid w:val="00C53BC4"/>
    <w:rsid w:val="00C54F33"/>
    <w:rsid w:val="00C560C1"/>
    <w:rsid w:val="00C65B81"/>
    <w:rsid w:val="00C70BAA"/>
    <w:rsid w:val="00C71BEE"/>
    <w:rsid w:val="00C77DA9"/>
    <w:rsid w:val="00C81449"/>
    <w:rsid w:val="00C83561"/>
    <w:rsid w:val="00C87CE6"/>
    <w:rsid w:val="00C909D9"/>
    <w:rsid w:val="00C90DFA"/>
    <w:rsid w:val="00C90E8D"/>
    <w:rsid w:val="00C93E08"/>
    <w:rsid w:val="00C96997"/>
    <w:rsid w:val="00C97853"/>
    <w:rsid w:val="00CA4ADD"/>
    <w:rsid w:val="00CA527F"/>
    <w:rsid w:val="00CA594E"/>
    <w:rsid w:val="00CA7442"/>
    <w:rsid w:val="00CA759B"/>
    <w:rsid w:val="00CB134D"/>
    <w:rsid w:val="00CB3580"/>
    <w:rsid w:val="00CB642D"/>
    <w:rsid w:val="00CB7192"/>
    <w:rsid w:val="00CC16B2"/>
    <w:rsid w:val="00CC1A38"/>
    <w:rsid w:val="00CC7E99"/>
    <w:rsid w:val="00CD62E7"/>
    <w:rsid w:val="00CD6B38"/>
    <w:rsid w:val="00CD711F"/>
    <w:rsid w:val="00CE0931"/>
    <w:rsid w:val="00CE0E3C"/>
    <w:rsid w:val="00CE15B2"/>
    <w:rsid w:val="00CE2014"/>
    <w:rsid w:val="00CE3999"/>
    <w:rsid w:val="00CE43DD"/>
    <w:rsid w:val="00CE4B60"/>
    <w:rsid w:val="00CE590B"/>
    <w:rsid w:val="00CE5A49"/>
    <w:rsid w:val="00CE66C0"/>
    <w:rsid w:val="00CF05BC"/>
    <w:rsid w:val="00CF148F"/>
    <w:rsid w:val="00D0071A"/>
    <w:rsid w:val="00D0483E"/>
    <w:rsid w:val="00D04BBF"/>
    <w:rsid w:val="00D154A9"/>
    <w:rsid w:val="00D20C02"/>
    <w:rsid w:val="00D21579"/>
    <w:rsid w:val="00D219D9"/>
    <w:rsid w:val="00D25CA1"/>
    <w:rsid w:val="00D2671A"/>
    <w:rsid w:val="00D26ADC"/>
    <w:rsid w:val="00D27518"/>
    <w:rsid w:val="00D31B48"/>
    <w:rsid w:val="00D335B5"/>
    <w:rsid w:val="00D403B8"/>
    <w:rsid w:val="00D40592"/>
    <w:rsid w:val="00D41A7E"/>
    <w:rsid w:val="00D42A75"/>
    <w:rsid w:val="00D455DB"/>
    <w:rsid w:val="00D45E33"/>
    <w:rsid w:val="00D466A2"/>
    <w:rsid w:val="00D54642"/>
    <w:rsid w:val="00D55B06"/>
    <w:rsid w:val="00D577BB"/>
    <w:rsid w:val="00D57958"/>
    <w:rsid w:val="00D62A08"/>
    <w:rsid w:val="00D639A1"/>
    <w:rsid w:val="00D6698C"/>
    <w:rsid w:val="00D704FE"/>
    <w:rsid w:val="00D72F13"/>
    <w:rsid w:val="00D73A85"/>
    <w:rsid w:val="00D73D94"/>
    <w:rsid w:val="00D76FF0"/>
    <w:rsid w:val="00D77507"/>
    <w:rsid w:val="00D80004"/>
    <w:rsid w:val="00D80424"/>
    <w:rsid w:val="00D807E0"/>
    <w:rsid w:val="00D80EFD"/>
    <w:rsid w:val="00D833FD"/>
    <w:rsid w:val="00D83EBB"/>
    <w:rsid w:val="00D90253"/>
    <w:rsid w:val="00D93FBB"/>
    <w:rsid w:val="00D94432"/>
    <w:rsid w:val="00DA1D49"/>
    <w:rsid w:val="00DA202F"/>
    <w:rsid w:val="00DA232D"/>
    <w:rsid w:val="00DA2412"/>
    <w:rsid w:val="00DA52EA"/>
    <w:rsid w:val="00DA65E8"/>
    <w:rsid w:val="00DA7E1E"/>
    <w:rsid w:val="00DA7E9B"/>
    <w:rsid w:val="00DB1847"/>
    <w:rsid w:val="00DB3409"/>
    <w:rsid w:val="00DB3AAB"/>
    <w:rsid w:val="00DB411D"/>
    <w:rsid w:val="00DB59D4"/>
    <w:rsid w:val="00DB64B3"/>
    <w:rsid w:val="00DC20D8"/>
    <w:rsid w:val="00DC789A"/>
    <w:rsid w:val="00DD2699"/>
    <w:rsid w:val="00DD2B13"/>
    <w:rsid w:val="00DE0334"/>
    <w:rsid w:val="00DE0ADF"/>
    <w:rsid w:val="00DE2C47"/>
    <w:rsid w:val="00DE2F28"/>
    <w:rsid w:val="00DE707B"/>
    <w:rsid w:val="00DF63DF"/>
    <w:rsid w:val="00DF7BFF"/>
    <w:rsid w:val="00E008A1"/>
    <w:rsid w:val="00E050BB"/>
    <w:rsid w:val="00E06F8A"/>
    <w:rsid w:val="00E10797"/>
    <w:rsid w:val="00E11AFD"/>
    <w:rsid w:val="00E1452F"/>
    <w:rsid w:val="00E15C05"/>
    <w:rsid w:val="00E15C41"/>
    <w:rsid w:val="00E16256"/>
    <w:rsid w:val="00E20067"/>
    <w:rsid w:val="00E246B0"/>
    <w:rsid w:val="00E24BFB"/>
    <w:rsid w:val="00E35BAE"/>
    <w:rsid w:val="00E361CE"/>
    <w:rsid w:val="00E418B3"/>
    <w:rsid w:val="00E4486B"/>
    <w:rsid w:val="00E44A22"/>
    <w:rsid w:val="00E50D93"/>
    <w:rsid w:val="00E5265F"/>
    <w:rsid w:val="00E52758"/>
    <w:rsid w:val="00E561F6"/>
    <w:rsid w:val="00E60377"/>
    <w:rsid w:val="00E60FD9"/>
    <w:rsid w:val="00E61641"/>
    <w:rsid w:val="00E63C31"/>
    <w:rsid w:val="00E71231"/>
    <w:rsid w:val="00E726FE"/>
    <w:rsid w:val="00E8325D"/>
    <w:rsid w:val="00E8491F"/>
    <w:rsid w:val="00E850CD"/>
    <w:rsid w:val="00E85207"/>
    <w:rsid w:val="00E90751"/>
    <w:rsid w:val="00E92312"/>
    <w:rsid w:val="00E93268"/>
    <w:rsid w:val="00E93327"/>
    <w:rsid w:val="00E9338F"/>
    <w:rsid w:val="00E942F9"/>
    <w:rsid w:val="00E956E8"/>
    <w:rsid w:val="00E961C7"/>
    <w:rsid w:val="00E966CB"/>
    <w:rsid w:val="00EA1229"/>
    <w:rsid w:val="00EA5A30"/>
    <w:rsid w:val="00EB0801"/>
    <w:rsid w:val="00EB4DA3"/>
    <w:rsid w:val="00EB5774"/>
    <w:rsid w:val="00EB7EED"/>
    <w:rsid w:val="00EC4B56"/>
    <w:rsid w:val="00EC73E4"/>
    <w:rsid w:val="00ED21DA"/>
    <w:rsid w:val="00ED26A6"/>
    <w:rsid w:val="00ED2ECD"/>
    <w:rsid w:val="00EE092A"/>
    <w:rsid w:val="00EE308B"/>
    <w:rsid w:val="00EE30DE"/>
    <w:rsid w:val="00EE5478"/>
    <w:rsid w:val="00EE5805"/>
    <w:rsid w:val="00EE5AC1"/>
    <w:rsid w:val="00EF0337"/>
    <w:rsid w:val="00EF2DC1"/>
    <w:rsid w:val="00F029BF"/>
    <w:rsid w:val="00F044FB"/>
    <w:rsid w:val="00F052F4"/>
    <w:rsid w:val="00F11452"/>
    <w:rsid w:val="00F117D6"/>
    <w:rsid w:val="00F238A9"/>
    <w:rsid w:val="00F25FF8"/>
    <w:rsid w:val="00F2658E"/>
    <w:rsid w:val="00F26A28"/>
    <w:rsid w:val="00F317DA"/>
    <w:rsid w:val="00F33EB4"/>
    <w:rsid w:val="00F3498F"/>
    <w:rsid w:val="00F35122"/>
    <w:rsid w:val="00F35731"/>
    <w:rsid w:val="00F44184"/>
    <w:rsid w:val="00F5321E"/>
    <w:rsid w:val="00F61476"/>
    <w:rsid w:val="00F624AC"/>
    <w:rsid w:val="00F67192"/>
    <w:rsid w:val="00F67C2A"/>
    <w:rsid w:val="00F71483"/>
    <w:rsid w:val="00F722C6"/>
    <w:rsid w:val="00F728D3"/>
    <w:rsid w:val="00F73AFA"/>
    <w:rsid w:val="00F75FA9"/>
    <w:rsid w:val="00F82A1A"/>
    <w:rsid w:val="00F8760C"/>
    <w:rsid w:val="00F92985"/>
    <w:rsid w:val="00F93019"/>
    <w:rsid w:val="00FA19AD"/>
    <w:rsid w:val="00FA56FE"/>
    <w:rsid w:val="00FA76C3"/>
    <w:rsid w:val="00FA7F9E"/>
    <w:rsid w:val="00FB1018"/>
    <w:rsid w:val="00FB10C0"/>
    <w:rsid w:val="00FB4DF1"/>
    <w:rsid w:val="00FC06B9"/>
    <w:rsid w:val="00FC7FF1"/>
    <w:rsid w:val="00FD15AA"/>
    <w:rsid w:val="00FD1AC8"/>
    <w:rsid w:val="00FD21A0"/>
    <w:rsid w:val="00FE2C1E"/>
    <w:rsid w:val="00FE4A4B"/>
    <w:rsid w:val="00FE6FCB"/>
    <w:rsid w:val="00FF1219"/>
    <w:rsid w:val="00FF295E"/>
    <w:rsid w:val="00FF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C83F8D6"/>
  <w15:docId w15:val="{5C2C8745-3D4A-4048-9793-2C66C75C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27"/>
    <w:rPr>
      <w:sz w:val="24"/>
      <w:szCs w:val="24"/>
    </w:rPr>
  </w:style>
  <w:style w:type="paragraph" w:styleId="Heading1">
    <w:name w:val="heading 1"/>
    <w:basedOn w:val="Normal"/>
    <w:next w:val="Normal"/>
    <w:link w:val="Heading1Char"/>
    <w:qFormat/>
    <w:locked/>
    <w:rsid w:val="00240D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1639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D4D6C"/>
    <w:rPr>
      <w:rFonts w:ascii="Cambria" w:hAnsi="Cambria" w:cs="Times New Roman"/>
      <w:b/>
      <w:bCs/>
      <w:i/>
      <w:iCs/>
      <w:sz w:val="28"/>
      <w:szCs w:val="28"/>
    </w:rPr>
  </w:style>
  <w:style w:type="paragraph" w:styleId="EnvelopeAddress">
    <w:name w:val="envelope address"/>
    <w:basedOn w:val="Normal"/>
    <w:uiPriority w:val="99"/>
    <w:rsid w:val="0050550D"/>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50550D"/>
    <w:pPr>
      <w:tabs>
        <w:tab w:val="center" w:pos="4320"/>
        <w:tab w:val="right" w:pos="8640"/>
      </w:tabs>
    </w:pPr>
  </w:style>
  <w:style w:type="character" w:customStyle="1" w:styleId="HeaderChar">
    <w:name w:val="Header Char"/>
    <w:basedOn w:val="DefaultParagraphFont"/>
    <w:link w:val="Header"/>
    <w:uiPriority w:val="99"/>
    <w:semiHidden/>
    <w:locked/>
    <w:rsid w:val="00AD4D6C"/>
    <w:rPr>
      <w:rFonts w:cs="Times New Roman"/>
      <w:sz w:val="24"/>
      <w:szCs w:val="24"/>
    </w:rPr>
  </w:style>
  <w:style w:type="paragraph" w:styleId="Footer">
    <w:name w:val="footer"/>
    <w:basedOn w:val="Normal"/>
    <w:link w:val="FooterChar"/>
    <w:uiPriority w:val="99"/>
    <w:rsid w:val="0050550D"/>
    <w:pPr>
      <w:tabs>
        <w:tab w:val="center" w:pos="4320"/>
        <w:tab w:val="right" w:pos="8640"/>
      </w:tabs>
    </w:pPr>
  </w:style>
  <w:style w:type="character" w:customStyle="1" w:styleId="FooterChar">
    <w:name w:val="Footer Char"/>
    <w:basedOn w:val="DefaultParagraphFont"/>
    <w:link w:val="Footer"/>
    <w:uiPriority w:val="99"/>
    <w:locked/>
    <w:rsid w:val="00AD4D6C"/>
    <w:rPr>
      <w:rFonts w:cs="Times New Roman"/>
      <w:sz w:val="24"/>
      <w:szCs w:val="24"/>
    </w:rPr>
  </w:style>
  <w:style w:type="character" w:styleId="PageNumber">
    <w:name w:val="page number"/>
    <w:basedOn w:val="DefaultParagraphFont"/>
    <w:uiPriority w:val="99"/>
    <w:rsid w:val="0050550D"/>
    <w:rPr>
      <w:rFonts w:cs="Times New Roman"/>
    </w:rPr>
  </w:style>
  <w:style w:type="paragraph" w:styleId="BalloonText">
    <w:name w:val="Balloon Text"/>
    <w:basedOn w:val="Normal"/>
    <w:link w:val="BalloonTextChar"/>
    <w:uiPriority w:val="99"/>
    <w:semiHidden/>
    <w:rsid w:val="00402E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D6C"/>
    <w:rPr>
      <w:rFonts w:cs="Times New Roman"/>
      <w:sz w:val="2"/>
    </w:rPr>
  </w:style>
  <w:style w:type="character" w:styleId="Hyperlink">
    <w:name w:val="Hyperlink"/>
    <w:basedOn w:val="DefaultParagraphFont"/>
    <w:uiPriority w:val="99"/>
    <w:rsid w:val="004B2312"/>
    <w:rPr>
      <w:rFonts w:cs="Times New Roman"/>
      <w:color w:val="0000FF"/>
      <w:u w:val="single"/>
    </w:rPr>
  </w:style>
  <w:style w:type="table" w:styleId="TableGrid">
    <w:name w:val="Table Grid"/>
    <w:basedOn w:val="TableNormal"/>
    <w:locked/>
    <w:rsid w:val="00206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C47"/>
    <w:pPr>
      <w:ind w:left="720"/>
      <w:contextualSpacing/>
    </w:pPr>
  </w:style>
  <w:style w:type="paragraph" w:styleId="EndnoteText">
    <w:name w:val="endnote text"/>
    <w:basedOn w:val="Normal"/>
    <w:link w:val="EndnoteTextChar"/>
    <w:uiPriority w:val="99"/>
    <w:unhideWhenUsed/>
    <w:rsid w:val="006A3AFF"/>
    <w:rPr>
      <w:rFonts w:ascii="Arial" w:hAnsi="Arial"/>
      <w:sz w:val="20"/>
      <w:szCs w:val="20"/>
    </w:rPr>
  </w:style>
  <w:style w:type="character" w:customStyle="1" w:styleId="EndnoteTextChar">
    <w:name w:val="Endnote Text Char"/>
    <w:basedOn w:val="DefaultParagraphFont"/>
    <w:link w:val="EndnoteText"/>
    <w:uiPriority w:val="99"/>
    <w:rsid w:val="006A3AFF"/>
    <w:rPr>
      <w:rFonts w:ascii="Arial" w:hAnsi="Arial"/>
      <w:sz w:val="20"/>
      <w:szCs w:val="20"/>
    </w:rPr>
  </w:style>
  <w:style w:type="character" w:styleId="EndnoteReference">
    <w:name w:val="endnote reference"/>
    <w:basedOn w:val="DefaultParagraphFont"/>
    <w:uiPriority w:val="99"/>
    <w:semiHidden/>
    <w:unhideWhenUsed/>
    <w:rsid w:val="006A3AFF"/>
    <w:rPr>
      <w:vertAlign w:val="superscript"/>
    </w:rPr>
  </w:style>
  <w:style w:type="paragraph" w:styleId="FootnoteText">
    <w:name w:val="footnote text"/>
    <w:basedOn w:val="Normal"/>
    <w:link w:val="FootnoteTextChar"/>
    <w:uiPriority w:val="99"/>
    <w:semiHidden/>
    <w:unhideWhenUsed/>
    <w:rsid w:val="006A3AFF"/>
    <w:rPr>
      <w:sz w:val="20"/>
      <w:szCs w:val="20"/>
    </w:rPr>
  </w:style>
  <w:style w:type="character" w:customStyle="1" w:styleId="FootnoteTextChar">
    <w:name w:val="Footnote Text Char"/>
    <w:basedOn w:val="DefaultParagraphFont"/>
    <w:link w:val="FootnoteText"/>
    <w:uiPriority w:val="99"/>
    <w:semiHidden/>
    <w:rsid w:val="006A3AFF"/>
    <w:rPr>
      <w:sz w:val="20"/>
      <w:szCs w:val="20"/>
    </w:rPr>
  </w:style>
  <w:style w:type="character" w:styleId="FootnoteReference">
    <w:name w:val="footnote reference"/>
    <w:basedOn w:val="DefaultParagraphFont"/>
    <w:uiPriority w:val="99"/>
    <w:semiHidden/>
    <w:unhideWhenUsed/>
    <w:rsid w:val="006A3AFF"/>
    <w:rPr>
      <w:vertAlign w:val="superscript"/>
    </w:rPr>
  </w:style>
  <w:style w:type="character" w:customStyle="1" w:styleId="Heading1Char">
    <w:name w:val="Heading 1 Char"/>
    <w:basedOn w:val="DefaultParagraphFont"/>
    <w:link w:val="Heading1"/>
    <w:rsid w:val="00240D2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37BDF"/>
    <w:pPr>
      <w:spacing w:before="100" w:beforeAutospacing="1" w:after="100" w:afterAutospacing="1"/>
    </w:pPr>
  </w:style>
  <w:style w:type="character" w:styleId="CommentReference">
    <w:name w:val="annotation reference"/>
    <w:basedOn w:val="DefaultParagraphFont"/>
    <w:uiPriority w:val="99"/>
    <w:semiHidden/>
    <w:unhideWhenUsed/>
    <w:rsid w:val="000906FD"/>
    <w:rPr>
      <w:sz w:val="16"/>
      <w:szCs w:val="16"/>
    </w:rPr>
  </w:style>
  <w:style w:type="paragraph" w:styleId="CommentText">
    <w:name w:val="annotation text"/>
    <w:basedOn w:val="Normal"/>
    <w:link w:val="CommentTextChar"/>
    <w:uiPriority w:val="99"/>
    <w:semiHidden/>
    <w:unhideWhenUsed/>
    <w:rsid w:val="000906FD"/>
    <w:rPr>
      <w:sz w:val="20"/>
      <w:szCs w:val="20"/>
    </w:rPr>
  </w:style>
  <w:style w:type="character" w:customStyle="1" w:styleId="CommentTextChar">
    <w:name w:val="Comment Text Char"/>
    <w:basedOn w:val="DefaultParagraphFont"/>
    <w:link w:val="CommentText"/>
    <w:uiPriority w:val="99"/>
    <w:semiHidden/>
    <w:rsid w:val="000906FD"/>
    <w:rPr>
      <w:sz w:val="20"/>
      <w:szCs w:val="20"/>
    </w:rPr>
  </w:style>
  <w:style w:type="paragraph" w:styleId="CommentSubject">
    <w:name w:val="annotation subject"/>
    <w:basedOn w:val="CommentText"/>
    <w:next w:val="CommentText"/>
    <w:link w:val="CommentSubjectChar"/>
    <w:uiPriority w:val="99"/>
    <w:semiHidden/>
    <w:unhideWhenUsed/>
    <w:rsid w:val="000906FD"/>
    <w:rPr>
      <w:b/>
      <w:bCs/>
    </w:rPr>
  </w:style>
  <w:style w:type="character" w:customStyle="1" w:styleId="CommentSubjectChar">
    <w:name w:val="Comment Subject Char"/>
    <w:basedOn w:val="CommentTextChar"/>
    <w:link w:val="CommentSubject"/>
    <w:uiPriority w:val="99"/>
    <w:semiHidden/>
    <w:rsid w:val="00090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359">
      <w:marLeft w:val="0"/>
      <w:marRight w:val="0"/>
      <w:marTop w:val="0"/>
      <w:marBottom w:val="0"/>
      <w:divBdr>
        <w:top w:val="none" w:sz="0" w:space="0" w:color="auto"/>
        <w:left w:val="none" w:sz="0" w:space="0" w:color="auto"/>
        <w:bottom w:val="none" w:sz="0" w:space="0" w:color="auto"/>
        <w:right w:val="none" w:sz="0" w:space="0" w:color="auto"/>
      </w:divBdr>
    </w:div>
    <w:div w:id="35550360">
      <w:marLeft w:val="0"/>
      <w:marRight w:val="0"/>
      <w:marTop w:val="0"/>
      <w:marBottom w:val="0"/>
      <w:divBdr>
        <w:top w:val="none" w:sz="0" w:space="0" w:color="auto"/>
        <w:left w:val="none" w:sz="0" w:space="0" w:color="auto"/>
        <w:bottom w:val="none" w:sz="0" w:space="0" w:color="auto"/>
        <w:right w:val="none" w:sz="0" w:space="0" w:color="auto"/>
      </w:divBdr>
    </w:div>
    <w:div w:id="35550361">
      <w:marLeft w:val="0"/>
      <w:marRight w:val="0"/>
      <w:marTop w:val="0"/>
      <w:marBottom w:val="0"/>
      <w:divBdr>
        <w:top w:val="none" w:sz="0" w:space="0" w:color="auto"/>
        <w:left w:val="none" w:sz="0" w:space="0" w:color="auto"/>
        <w:bottom w:val="none" w:sz="0" w:space="0" w:color="auto"/>
        <w:right w:val="none" w:sz="0" w:space="0" w:color="auto"/>
      </w:divBdr>
    </w:div>
    <w:div w:id="35550362">
      <w:marLeft w:val="0"/>
      <w:marRight w:val="0"/>
      <w:marTop w:val="0"/>
      <w:marBottom w:val="0"/>
      <w:divBdr>
        <w:top w:val="none" w:sz="0" w:space="0" w:color="auto"/>
        <w:left w:val="none" w:sz="0" w:space="0" w:color="auto"/>
        <w:bottom w:val="none" w:sz="0" w:space="0" w:color="auto"/>
        <w:right w:val="none" w:sz="0" w:space="0" w:color="auto"/>
      </w:divBdr>
    </w:div>
    <w:div w:id="35550363">
      <w:marLeft w:val="0"/>
      <w:marRight w:val="0"/>
      <w:marTop w:val="0"/>
      <w:marBottom w:val="0"/>
      <w:divBdr>
        <w:top w:val="none" w:sz="0" w:space="0" w:color="auto"/>
        <w:left w:val="none" w:sz="0" w:space="0" w:color="auto"/>
        <w:bottom w:val="none" w:sz="0" w:space="0" w:color="auto"/>
        <w:right w:val="none" w:sz="0" w:space="0" w:color="auto"/>
      </w:divBdr>
    </w:div>
    <w:div w:id="35550364">
      <w:marLeft w:val="0"/>
      <w:marRight w:val="0"/>
      <w:marTop w:val="0"/>
      <w:marBottom w:val="0"/>
      <w:divBdr>
        <w:top w:val="none" w:sz="0" w:space="0" w:color="auto"/>
        <w:left w:val="none" w:sz="0" w:space="0" w:color="auto"/>
        <w:bottom w:val="none" w:sz="0" w:space="0" w:color="auto"/>
        <w:right w:val="none" w:sz="0" w:space="0" w:color="auto"/>
      </w:divBdr>
    </w:div>
    <w:div w:id="35550365">
      <w:marLeft w:val="0"/>
      <w:marRight w:val="0"/>
      <w:marTop w:val="0"/>
      <w:marBottom w:val="0"/>
      <w:divBdr>
        <w:top w:val="none" w:sz="0" w:space="0" w:color="auto"/>
        <w:left w:val="none" w:sz="0" w:space="0" w:color="auto"/>
        <w:bottom w:val="none" w:sz="0" w:space="0" w:color="auto"/>
        <w:right w:val="none" w:sz="0" w:space="0" w:color="auto"/>
      </w:divBdr>
    </w:div>
    <w:div w:id="35550366">
      <w:marLeft w:val="0"/>
      <w:marRight w:val="0"/>
      <w:marTop w:val="0"/>
      <w:marBottom w:val="0"/>
      <w:divBdr>
        <w:top w:val="none" w:sz="0" w:space="0" w:color="auto"/>
        <w:left w:val="none" w:sz="0" w:space="0" w:color="auto"/>
        <w:bottom w:val="none" w:sz="0" w:space="0" w:color="auto"/>
        <w:right w:val="none" w:sz="0" w:space="0" w:color="auto"/>
      </w:divBdr>
    </w:div>
    <w:div w:id="35550367">
      <w:marLeft w:val="0"/>
      <w:marRight w:val="0"/>
      <w:marTop w:val="0"/>
      <w:marBottom w:val="0"/>
      <w:divBdr>
        <w:top w:val="none" w:sz="0" w:space="0" w:color="auto"/>
        <w:left w:val="none" w:sz="0" w:space="0" w:color="auto"/>
        <w:bottom w:val="none" w:sz="0" w:space="0" w:color="auto"/>
        <w:right w:val="none" w:sz="0" w:space="0" w:color="auto"/>
      </w:divBdr>
    </w:div>
    <w:div w:id="35550368">
      <w:marLeft w:val="0"/>
      <w:marRight w:val="0"/>
      <w:marTop w:val="0"/>
      <w:marBottom w:val="0"/>
      <w:divBdr>
        <w:top w:val="none" w:sz="0" w:space="0" w:color="auto"/>
        <w:left w:val="none" w:sz="0" w:space="0" w:color="auto"/>
        <w:bottom w:val="none" w:sz="0" w:space="0" w:color="auto"/>
        <w:right w:val="none" w:sz="0" w:space="0" w:color="auto"/>
      </w:divBdr>
    </w:div>
    <w:div w:id="35550369">
      <w:marLeft w:val="0"/>
      <w:marRight w:val="0"/>
      <w:marTop w:val="0"/>
      <w:marBottom w:val="0"/>
      <w:divBdr>
        <w:top w:val="none" w:sz="0" w:space="0" w:color="auto"/>
        <w:left w:val="none" w:sz="0" w:space="0" w:color="auto"/>
        <w:bottom w:val="none" w:sz="0" w:space="0" w:color="auto"/>
        <w:right w:val="none" w:sz="0" w:space="0" w:color="auto"/>
      </w:divBdr>
    </w:div>
    <w:div w:id="35550370">
      <w:marLeft w:val="0"/>
      <w:marRight w:val="0"/>
      <w:marTop w:val="0"/>
      <w:marBottom w:val="0"/>
      <w:divBdr>
        <w:top w:val="none" w:sz="0" w:space="0" w:color="auto"/>
        <w:left w:val="none" w:sz="0" w:space="0" w:color="auto"/>
        <w:bottom w:val="none" w:sz="0" w:space="0" w:color="auto"/>
        <w:right w:val="none" w:sz="0" w:space="0" w:color="auto"/>
      </w:divBdr>
    </w:div>
    <w:div w:id="35550371">
      <w:marLeft w:val="0"/>
      <w:marRight w:val="0"/>
      <w:marTop w:val="0"/>
      <w:marBottom w:val="0"/>
      <w:divBdr>
        <w:top w:val="none" w:sz="0" w:space="0" w:color="auto"/>
        <w:left w:val="none" w:sz="0" w:space="0" w:color="auto"/>
        <w:bottom w:val="none" w:sz="0" w:space="0" w:color="auto"/>
        <w:right w:val="none" w:sz="0" w:space="0" w:color="auto"/>
      </w:divBdr>
    </w:div>
    <w:div w:id="35550372">
      <w:marLeft w:val="0"/>
      <w:marRight w:val="0"/>
      <w:marTop w:val="0"/>
      <w:marBottom w:val="0"/>
      <w:divBdr>
        <w:top w:val="none" w:sz="0" w:space="0" w:color="auto"/>
        <w:left w:val="none" w:sz="0" w:space="0" w:color="auto"/>
        <w:bottom w:val="none" w:sz="0" w:space="0" w:color="auto"/>
        <w:right w:val="none" w:sz="0" w:space="0" w:color="auto"/>
      </w:divBdr>
    </w:div>
    <w:div w:id="35550373">
      <w:marLeft w:val="0"/>
      <w:marRight w:val="0"/>
      <w:marTop w:val="0"/>
      <w:marBottom w:val="0"/>
      <w:divBdr>
        <w:top w:val="none" w:sz="0" w:space="0" w:color="auto"/>
        <w:left w:val="none" w:sz="0" w:space="0" w:color="auto"/>
        <w:bottom w:val="none" w:sz="0" w:space="0" w:color="auto"/>
        <w:right w:val="none" w:sz="0" w:space="0" w:color="auto"/>
      </w:divBdr>
    </w:div>
    <w:div w:id="35550374">
      <w:marLeft w:val="0"/>
      <w:marRight w:val="0"/>
      <w:marTop w:val="0"/>
      <w:marBottom w:val="0"/>
      <w:divBdr>
        <w:top w:val="none" w:sz="0" w:space="0" w:color="auto"/>
        <w:left w:val="none" w:sz="0" w:space="0" w:color="auto"/>
        <w:bottom w:val="none" w:sz="0" w:space="0" w:color="auto"/>
        <w:right w:val="none" w:sz="0" w:space="0" w:color="auto"/>
      </w:divBdr>
    </w:div>
    <w:div w:id="35550375">
      <w:marLeft w:val="0"/>
      <w:marRight w:val="0"/>
      <w:marTop w:val="0"/>
      <w:marBottom w:val="0"/>
      <w:divBdr>
        <w:top w:val="none" w:sz="0" w:space="0" w:color="auto"/>
        <w:left w:val="none" w:sz="0" w:space="0" w:color="auto"/>
        <w:bottom w:val="none" w:sz="0" w:space="0" w:color="auto"/>
        <w:right w:val="none" w:sz="0" w:space="0" w:color="auto"/>
      </w:divBdr>
    </w:div>
    <w:div w:id="35550376">
      <w:marLeft w:val="0"/>
      <w:marRight w:val="0"/>
      <w:marTop w:val="0"/>
      <w:marBottom w:val="0"/>
      <w:divBdr>
        <w:top w:val="none" w:sz="0" w:space="0" w:color="auto"/>
        <w:left w:val="none" w:sz="0" w:space="0" w:color="auto"/>
        <w:bottom w:val="none" w:sz="0" w:space="0" w:color="auto"/>
        <w:right w:val="none" w:sz="0" w:space="0" w:color="auto"/>
      </w:divBdr>
    </w:div>
    <w:div w:id="35550377">
      <w:marLeft w:val="0"/>
      <w:marRight w:val="0"/>
      <w:marTop w:val="0"/>
      <w:marBottom w:val="0"/>
      <w:divBdr>
        <w:top w:val="none" w:sz="0" w:space="0" w:color="auto"/>
        <w:left w:val="none" w:sz="0" w:space="0" w:color="auto"/>
        <w:bottom w:val="none" w:sz="0" w:space="0" w:color="auto"/>
        <w:right w:val="none" w:sz="0" w:space="0" w:color="auto"/>
      </w:divBdr>
    </w:div>
    <w:div w:id="35550378">
      <w:marLeft w:val="0"/>
      <w:marRight w:val="0"/>
      <w:marTop w:val="0"/>
      <w:marBottom w:val="0"/>
      <w:divBdr>
        <w:top w:val="none" w:sz="0" w:space="0" w:color="auto"/>
        <w:left w:val="none" w:sz="0" w:space="0" w:color="auto"/>
        <w:bottom w:val="none" w:sz="0" w:space="0" w:color="auto"/>
        <w:right w:val="none" w:sz="0" w:space="0" w:color="auto"/>
      </w:divBdr>
    </w:div>
    <w:div w:id="35550379">
      <w:marLeft w:val="0"/>
      <w:marRight w:val="0"/>
      <w:marTop w:val="0"/>
      <w:marBottom w:val="0"/>
      <w:divBdr>
        <w:top w:val="none" w:sz="0" w:space="0" w:color="auto"/>
        <w:left w:val="none" w:sz="0" w:space="0" w:color="auto"/>
        <w:bottom w:val="none" w:sz="0" w:space="0" w:color="auto"/>
        <w:right w:val="none" w:sz="0" w:space="0" w:color="auto"/>
      </w:divBdr>
    </w:div>
    <w:div w:id="35550380">
      <w:marLeft w:val="0"/>
      <w:marRight w:val="0"/>
      <w:marTop w:val="0"/>
      <w:marBottom w:val="0"/>
      <w:divBdr>
        <w:top w:val="none" w:sz="0" w:space="0" w:color="auto"/>
        <w:left w:val="none" w:sz="0" w:space="0" w:color="auto"/>
        <w:bottom w:val="none" w:sz="0" w:space="0" w:color="auto"/>
        <w:right w:val="none" w:sz="0" w:space="0" w:color="auto"/>
      </w:divBdr>
    </w:div>
    <w:div w:id="39979289">
      <w:bodyDiv w:val="1"/>
      <w:marLeft w:val="0"/>
      <w:marRight w:val="0"/>
      <w:marTop w:val="0"/>
      <w:marBottom w:val="0"/>
      <w:divBdr>
        <w:top w:val="none" w:sz="0" w:space="0" w:color="auto"/>
        <w:left w:val="none" w:sz="0" w:space="0" w:color="auto"/>
        <w:bottom w:val="none" w:sz="0" w:space="0" w:color="auto"/>
        <w:right w:val="none" w:sz="0" w:space="0" w:color="auto"/>
      </w:divBdr>
    </w:div>
    <w:div w:id="243539211">
      <w:bodyDiv w:val="1"/>
      <w:marLeft w:val="0"/>
      <w:marRight w:val="0"/>
      <w:marTop w:val="0"/>
      <w:marBottom w:val="0"/>
      <w:divBdr>
        <w:top w:val="none" w:sz="0" w:space="0" w:color="auto"/>
        <w:left w:val="none" w:sz="0" w:space="0" w:color="auto"/>
        <w:bottom w:val="none" w:sz="0" w:space="0" w:color="auto"/>
        <w:right w:val="none" w:sz="0" w:space="0" w:color="auto"/>
      </w:divBdr>
    </w:div>
    <w:div w:id="1241790271">
      <w:bodyDiv w:val="1"/>
      <w:marLeft w:val="0"/>
      <w:marRight w:val="0"/>
      <w:marTop w:val="0"/>
      <w:marBottom w:val="0"/>
      <w:divBdr>
        <w:top w:val="none" w:sz="0" w:space="0" w:color="auto"/>
        <w:left w:val="none" w:sz="0" w:space="0" w:color="auto"/>
        <w:bottom w:val="none" w:sz="0" w:space="0" w:color="auto"/>
        <w:right w:val="none" w:sz="0" w:space="0" w:color="auto"/>
      </w:divBdr>
    </w:div>
    <w:div w:id="21453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chris.halvorson@efib.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1958-FBC7-44F2-ACC6-AF8EFD40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1036</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jshock</dc:creator>
  <cp:lastModifiedBy>Misty Lawrence</cp:lastModifiedBy>
  <cp:revision>12</cp:revision>
  <cp:lastPrinted>2021-08-20T15:54:00Z</cp:lastPrinted>
  <dcterms:created xsi:type="dcterms:W3CDTF">2021-08-12T21:10:00Z</dcterms:created>
  <dcterms:modified xsi:type="dcterms:W3CDTF">2022-06-02T23:51:00Z</dcterms:modified>
</cp:coreProperties>
</file>