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B811" w14:textId="77777777" w:rsidR="00CC4B11" w:rsidRPr="00250391" w:rsidRDefault="00CC4B11" w:rsidP="004A1E98">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4DFE3061" w14:textId="77777777" w:rsidR="004D30C9" w:rsidRDefault="004D30C9" w:rsidP="00AB3DA7">
      <w:pPr>
        <w:rPr>
          <w:rFonts w:ascii="Arial" w:hAnsi="Arial" w:cs="Arial"/>
          <w:b/>
          <w:bCs/>
        </w:rPr>
      </w:pPr>
    </w:p>
    <w:p w14:paraId="2B92C8AA" w14:textId="77777777" w:rsidR="0012775D" w:rsidRPr="00580003" w:rsidRDefault="00571E39" w:rsidP="004A1E98">
      <w:pPr>
        <w:rPr>
          <w:rFonts w:ascii="Arial" w:hAnsi="Arial" w:cs="Arial"/>
          <w:b/>
          <w:bCs/>
        </w:rPr>
      </w:pPr>
      <w:r w:rsidRPr="00580003">
        <w:rPr>
          <w:rFonts w:ascii="Arial" w:hAnsi="Arial" w:cs="Arial"/>
          <w:b/>
          <w:bCs/>
        </w:rPr>
        <w:t>Agency Overview</w:t>
      </w:r>
    </w:p>
    <w:p w14:paraId="3928E9EA" w14:textId="77777777" w:rsidR="0002120D" w:rsidRPr="00580003" w:rsidRDefault="00E42921" w:rsidP="004A1E98">
      <w:pPr>
        <w:pStyle w:val="BodyText"/>
        <w:spacing w:after="0"/>
        <w:jc w:val="both"/>
        <w:rPr>
          <w:rFonts w:ascii="Arial" w:hAnsi="Arial" w:cs="Arial"/>
          <w:sz w:val="20"/>
          <w:szCs w:val="20"/>
        </w:rPr>
      </w:pPr>
      <w:r w:rsidRPr="00580003">
        <w:rPr>
          <w:rFonts w:ascii="Arial" w:hAnsi="Arial" w:cs="Arial"/>
          <w:sz w:val="20"/>
          <w:szCs w:val="20"/>
        </w:rPr>
        <w:t xml:space="preserve">The Idaho Department of Environmental Quality (DEQ) was established by the Environmental Protection and Health </w:t>
      </w:r>
      <w:r w:rsidR="00553CBF">
        <w:rPr>
          <w:rFonts w:ascii="Arial" w:hAnsi="Arial" w:cs="Arial"/>
          <w:sz w:val="20"/>
          <w:szCs w:val="20"/>
        </w:rPr>
        <w:t xml:space="preserve">Act, Chapter </w:t>
      </w:r>
      <w:r w:rsidR="00490636" w:rsidRPr="00580003">
        <w:rPr>
          <w:rFonts w:ascii="Arial" w:hAnsi="Arial" w:cs="Arial"/>
          <w:sz w:val="20"/>
          <w:szCs w:val="20"/>
        </w:rPr>
        <w:t>1, Title 39,</w:t>
      </w:r>
      <w:r w:rsidRPr="00580003">
        <w:rPr>
          <w:rFonts w:ascii="Arial" w:hAnsi="Arial" w:cs="Arial"/>
          <w:sz w:val="20"/>
          <w:szCs w:val="20"/>
        </w:rPr>
        <w:t xml:space="preserve"> Idaho Code, to protect hu</w:t>
      </w:r>
      <w:r w:rsidR="00553CBF">
        <w:rPr>
          <w:rFonts w:ascii="Arial" w:hAnsi="Arial" w:cs="Arial"/>
          <w:sz w:val="20"/>
          <w:szCs w:val="20"/>
        </w:rPr>
        <w:t xml:space="preserve">man health and the environment. </w:t>
      </w:r>
      <w:r w:rsidRPr="00580003">
        <w:rPr>
          <w:rFonts w:ascii="Arial" w:hAnsi="Arial" w:cs="Arial"/>
          <w:sz w:val="20"/>
          <w:szCs w:val="20"/>
        </w:rPr>
        <w:t>As the state's environmental regulatory agency, DEQ is responsible for implementing and enforcing delegated federal programs under the Clean Air, Clean Water, Safe Drinking Water, and Resource Conservation and Recovery Act</w:t>
      </w:r>
      <w:r w:rsidR="00F57F65" w:rsidRPr="00580003">
        <w:rPr>
          <w:rFonts w:ascii="Arial" w:hAnsi="Arial" w:cs="Arial"/>
          <w:sz w:val="20"/>
          <w:szCs w:val="20"/>
        </w:rPr>
        <w:t>s</w:t>
      </w:r>
      <w:r w:rsidRPr="00580003">
        <w:rPr>
          <w:rFonts w:ascii="Arial" w:hAnsi="Arial" w:cs="Arial"/>
          <w:sz w:val="20"/>
          <w:szCs w:val="20"/>
        </w:rPr>
        <w:t>, as well as many state environmental laws and rules</w:t>
      </w:r>
      <w:r w:rsidR="00553CBF">
        <w:rPr>
          <w:rFonts w:ascii="Arial" w:hAnsi="Arial" w:cs="Arial"/>
          <w:sz w:val="20"/>
          <w:szCs w:val="20"/>
        </w:rPr>
        <w:t xml:space="preserve">. </w:t>
      </w:r>
      <w:r w:rsidRPr="00580003">
        <w:rPr>
          <w:rFonts w:ascii="Arial" w:hAnsi="Arial" w:cs="Arial"/>
          <w:sz w:val="20"/>
          <w:szCs w:val="20"/>
        </w:rPr>
        <w:t>This regulatory responsibility covers a broad range of activities to ensure Idaho’s air, water,</w:t>
      </w:r>
      <w:r w:rsidR="00F01BF9" w:rsidRPr="00580003">
        <w:rPr>
          <w:rFonts w:ascii="Arial" w:hAnsi="Arial" w:cs="Arial"/>
          <w:sz w:val="20"/>
          <w:szCs w:val="20"/>
        </w:rPr>
        <w:t xml:space="preserve"> land</w:t>
      </w:r>
      <w:r w:rsidR="004E21DB">
        <w:rPr>
          <w:rFonts w:ascii="Arial" w:hAnsi="Arial" w:cs="Arial"/>
          <w:sz w:val="20"/>
          <w:szCs w:val="20"/>
        </w:rPr>
        <w:t>,</w:t>
      </w:r>
      <w:r w:rsidR="00F01BF9" w:rsidRPr="00580003">
        <w:rPr>
          <w:rFonts w:ascii="Arial" w:hAnsi="Arial" w:cs="Arial"/>
          <w:sz w:val="20"/>
          <w:szCs w:val="20"/>
        </w:rPr>
        <w:t xml:space="preserve"> and Idaho</w:t>
      </w:r>
      <w:r w:rsidRPr="00580003">
        <w:rPr>
          <w:rFonts w:ascii="Arial" w:hAnsi="Arial" w:cs="Arial"/>
          <w:sz w:val="20"/>
          <w:szCs w:val="20"/>
        </w:rPr>
        <w:t xml:space="preserve"> citizens are protected from the adverse impacts o</w:t>
      </w:r>
      <w:r w:rsidR="00490636" w:rsidRPr="00580003">
        <w:rPr>
          <w:rFonts w:ascii="Arial" w:hAnsi="Arial" w:cs="Arial"/>
          <w:sz w:val="20"/>
          <w:szCs w:val="20"/>
        </w:rPr>
        <w:t>f pollution.</w:t>
      </w:r>
    </w:p>
    <w:p w14:paraId="71A28CC6" w14:textId="77777777" w:rsidR="00C97F75" w:rsidRPr="00580003" w:rsidRDefault="00C97F75" w:rsidP="00AB3DA7">
      <w:pPr>
        <w:pStyle w:val="BodyText"/>
        <w:spacing w:after="0"/>
        <w:jc w:val="both"/>
        <w:rPr>
          <w:sz w:val="20"/>
          <w:szCs w:val="20"/>
        </w:rPr>
      </w:pPr>
    </w:p>
    <w:p w14:paraId="03FF6ECF" w14:textId="77777777" w:rsidR="00524AA1" w:rsidRPr="00580003" w:rsidRDefault="00524AA1" w:rsidP="004A1E98">
      <w:pPr>
        <w:pStyle w:val="HTMLPreformatted"/>
        <w:jc w:val="both"/>
        <w:rPr>
          <w:rFonts w:ascii="Arial" w:hAnsi="Arial" w:cs="Arial"/>
        </w:rPr>
      </w:pPr>
      <w:r w:rsidRPr="00580003">
        <w:rPr>
          <w:rFonts w:ascii="Arial" w:hAnsi="Arial" w:cs="Arial"/>
        </w:rPr>
        <w:t>The Environmental Protection and Health Act also established the Board of Environmental Qualit</w:t>
      </w:r>
      <w:r w:rsidR="00553CBF">
        <w:rPr>
          <w:rFonts w:ascii="Arial" w:hAnsi="Arial" w:cs="Arial"/>
        </w:rPr>
        <w:t xml:space="preserve">y. </w:t>
      </w:r>
      <w:r w:rsidR="00AA7743" w:rsidRPr="00580003">
        <w:rPr>
          <w:rFonts w:ascii="Arial" w:hAnsi="Arial" w:cs="Arial"/>
        </w:rPr>
        <w:t xml:space="preserve">The </w:t>
      </w:r>
      <w:r w:rsidR="004E21DB">
        <w:rPr>
          <w:rFonts w:ascii="Arial" w:hAnsi="Arial" w:cs="Arial"/>
        </w:rPr>
        <w:t>b</w:t>
      </w:r>
      <w:r w:rsidR="00AA7743" w:rsidRPr="00580003">
        <w:rPr>
          <w:rFonts w:ascii="Arial" w:hAnsi="Arial" w:cs="Arial"/>
        </w:rPr>
        <w:t xml:space="preserve">oard is the administrative body </w:t>
      </w:r>
      <w:r w:rsidR="00490636" w:rsidRPr="00580003">
        <w:rPr>
          <w:rFonts w:ascii="Arial" w:hAnsi="Arial" w:cs="Arial"/>
        </w:rPr>
        <w:t>charged with making</w:t>
      </w:r>
      <w:r w:rsidR="003B639F" w:rsidRPr="00580003">
        <w:rPr>
          <w:rFonts w:ascii="Arial" w:hAnsi="Arial" w:cs="Arial"/>
        </w:rPr>
        <w:t xml:space="preserve"> decisions on rules proposed by the </w:t>
      </w:r>
      <w:r w:rsidR="00682942" w:rsidRPr="00580003">
        <w:rPr>
          <w:rFonts w:ascii="Arial" w:hAnsi="Arial" w:cs="Arial"/>
        </w:rPr>
        <w:t>d</w:t>
      </w:r>
      <w:r w:rsidR="003B639F" w:rsidRPr="00580003">
        <w:rPr>
          <w:rFonts w:ascii="Arial" w:hAnsi="Arial" w:cs="Arial"/>
        </w:rPr>
        <w:t xml:space="preserve">epartment </w:t>
      </w:r>
      <w:r w:rsidR="007D4A97" w:rsidRPr="00580003">
        <w:rPr>
          <w:rFonts w:ascii="Arial" w:hAnsi="Arial" w:cs="Arial"/>
        </w:rPr>
        <w:t>to carry</w:t>
      </w:r>
      <w:r w:rsidR="003B639F" w:rsidRPr="00580003">
        <w:rPr>
          <w:rFonts w:ascii="Arial" w:hAnsi="Arial" w:cs="Arial"/>
        </w:rPr>
        <w:t xml:space="preserve"> out </w:t>
      </w:r>
      <w:r w:rsidR="00AA7743" w:rsidRPr="00580003">
        <w:rPr>
          <w:rFonts w:ascii="Arial" w:hAnsi="Arial" w:cs="Arial"/>
        </w:rPr>
        <w:t>provisions</w:t>
      </w:r>
      <w:r w:rsidR="00045A3A" w:rsidRPr="00580003">
        <w:rPr>
          <w:rFonts w:ascii="Arial" w:hAnsi="Arial" w:cs="Arial"/>
        </w:rPr>
        <w:t xml:space="preserve"> </w:t>
      </w:r>
      <w:r w:rsidR="00AA7743" w:rsidRPr="00580003">
        <w:rPr>
          <w:rFonts w:ascii="Arial" w:hAnsi="Arial" w:cs="Arial"/>
        </w:rPr>
        <w:t>of th</w:t>
      </w:r>
      <w:r w:rsidR="001C3D7A" w:rsidRPr="00580003">
        <w:rPr>
          <w:rFonts w:ascii="Arial" w:hAnsi="Arial" w:cs="Arial"/>
        </w:rPr>
        <w:t xml:space="preserve">e act and to enforce state </w:t>
      </w:r>
      <w:r w:rsidR="00046EA8" w:rsidRPr="00580003">
        <w:rPr>
          <w:rFonts w:ascii="Arial" w:hAnsi="Arial" w:cs="Arial"/>
        </w:rPr>
        <w:t xml:space="preserve">environmental </w:t>
      </w:r>
      <w:r w:rsidR="001C3D7A" w:rsidRPr="00580003">
        <w:rPr>
          <w:rFonts w:ascii="Arial" w:hAnsi="Arial" w:cs="Arial"/>
        </w:rPr>
        <w:t>laws</w:t>
      </w:r>
      <w:r w:rsidR="00AA7743" w:rsidRPr="00580003">
        <w:rPr>
          <w:rFonts w:ascii="Arial" w:hAnsi="Arial" w:cs="Arial"/>
        </w:rPr>
        <w:t>.</w:t>
      </w:r>
      <w:r w:rsidR="00AD226A" w:rsidRPr="00580003">
        <w:rPr>
          <w:rFonts w:ascii="Arial" w:hAnsi="Arial" w:cs="Arial"/>
        </w:rPr>
        <w:t xml:space="preserve"> </w:t>
      </w:r>
      <w:r w:rsidR="003B639F" w:rsidRPr="00580003">
        <w:rPr>
          <w:rFonts w:ascii="Arial" w:hAnsi="Arial" w:cs="Arial"/>
        </w:rPr>
        <w:t xml:space="preserve">DEQ drafts </w:t>
      </w:r>
      <w:r w:rsidR="007C15BF" w:rsidRPr="00580003">
        <w:rPr>
          <w:rFonts w:ascii="Arial" w:hAnsi="Arial" w:cs="Arial"/>
        </w:rPr>
        <w:t>rules with</w:t>
      </w:r>
      <w:r w:rsidRPr="00580003">
        <w:rPr>
          <w:rFonts w:ascii="Arial" w:hAnsi="Arial" w:cs="Arial"/>
        </w:rPr>
        <w:t xml:space="preserve"> assistance </w:t>
      </w:r>
      <w:r w:rsidR="007C15BF" w:rsidRPr="00580003">
        <w:rPr>
          <w:rFonts w:ascii="Arial" w:hAnsi="Arial" w:cs="Arial"/>
        </w:rPr>
        <w:t>from</w:t>
      </w:r>
      <w:r w:rsidRPr="00580003">
        <w:rPr>
          <w:rFonts w:ascii="Arial" w:hAnsi="Arial" w:cs="Arial"/>
        </w:rPr>
        <w:t xml:space="preserve"> the Office of the Attorney General following a negotiated rulemaking process </w:t>
      </w:r>
      <w:r w:rsidR="001C3D7A" w:rsidRPr="00580003">
        <w:rPr>
          <w:rFonts w:ascii="Arial" w:hAnsi="Arial" w:cs="Arial"/>
        </w:rPr>
        <w:t>involving</w:t>
      </w:r>
      <w:r w:rsidRPr="00580003">
        <w:rPr>
          <w:rFonts w:ascii="Arial" w:hAnsi="Arial" w:cs="Arial"/>
        </w:rPr>
        <w:t xml:space="preserve"> interested stakeholders. Rules may be adopted, amended</w:t>
      </w:r>
      <w:r w:rsidR="00682942" w:rsidRPr="00580003">
        <w:rPr>
          <w:rFonts w:ascii="Arial" w:hAnsi="Arial" w:cs="Arial"/>
        </w:rPr>
        <w:t>,</w:t>
      </w:r>
      <w:r w:rsidRPr="00580003">
        <w:rPr>
          <w:rFonts w:ascii="Arial" w:hAnsi="Arial" w:cs="Arial"/>
        </w:rPr>
        <w:t xml:space="preserve"> or repealed</w:t>
      </w:r>
      <w:r w:rsidR="00CE6C34" w:rsidRPr="00580003">
        <w:rPr>
          <w:rFonts w:ascii="Arial" w:hAnsi="Arial" w:cs="Arial"/>
        </w:rPr>
        <w:t xml:space="preserve"> by the </w:t>
      </w:r>
      <w:r w:rsidR="004E21DB">
        <w:rPr>
          <w:rFonts w:ascii="Arial" w:hAnsi="Arial" w:cs="Arial"/>
        </w:rPr>
        <w:t>b</w:t>
      </w:r>
      <w:r w:rsidR="00682942" w:rsidRPr="00580003">
        <w:rPr>
          <w:rFonts w:ascii="Arial" w:hAnsi="Arial" w:cs="Arial"/>
        </w:rPr>
        <w:t>oard</w:t>
      </w:r>
      <w:r w:rsidR="00553CBF">
        <w:rPr>
          <w:rFonts w:ascii="Arial" w:hAnsi="Arial" w:cs="Arial"/>
        </w:rPr>
        <w:t xml:space="preserve">. </w:t>
      </w:r>
      <w:r w:rsidRPr="00580003">
        <w:rPr>
          <w:rFonts w:ascii="Arial" w:hAnsi="Arial" w:cs="Arial"/>
        </w:rPr>
        <w:t xml:space="preserve">All administrative rules adopted by the </w:t>
      </w:r>
      <w:r w:rsidR="004E21DB">
        <w:rPr>
          <w:rFonts w:ascii="Arial" w:hAnsi="Arial" w:cs="Arial"/>
        </w:rPr>
        <w:t>b</w:t>
      </w:r>
      <w:r w:rsidRPr="00580003">
        <w:rPr>
          <w:rFonts w:ascii="Arial" w:hAnsi="Arial" w:cs="Arial"/>
        </w:rPr>
        <w:t xml:space="preserve">oard are subject to legislative </w:t>
      </w:r>
      <w:r w:rsidR="00682942" w:rsidRPr="00580003">
        <w:rPr>
          <w:rFonts w:ascii="Arial" w:hAnsi="Arial" w:cs="Arial"/>
        </w:rPr>
        <w:t>review</w:t>
      </w:r>
      <w:r w:rsidR="00553CBF">
        <w:rPr>
          <w:rFonts w:ascii="Arial" w:hAnsi="Arial" w:cs="Arial"/>
        </w:rPr>
        <w:t xml:space="preserve">. </w:t>
      </w:r>
      <w:r w:rsidRPr="00580003">
        <w:rPr>
          <w:rFonts w:ascii="Arial" w:hAnsi="Arial" w:cs="Arial"/>
        </w:rPr>
        <w:t xml:space="preserve">The </w:t>
      </w:r>
      <w:r w:rsidR="004E21DB">
        <w:rPr>
          <w:rFonts w:ascii="Arial" w:hAnsi="Arial" w:cs="Arial"/>
        </w:rPr>
        <w:t>b</w:t>
      </w:r>
      <w:r w:rsidRPr="00580003">
        <w:rPr>
          <w:rFonts w:ascii="Arial" w:hAnsi="Arial" w:cs="Arial"/>
        </w:rPr>
        <w:t xml:space="preserve">oard also functions as the agency's administrative appeals board. Decisions of the agency can be appealed to the </w:t>
      </w:r>
      <w:r w:rsidR="004E21DB">
        <w:rPr>
          <w:rFonts w:ascii="Arial" w:hAnsi="Arial" w:cs="Arial"/>
        </w:rPr>
        <w:t>b</w:t>
      </w:r>
      <w:r w:rsidRPr="00580003">
        <w:rPr>
          <w:rFonts w:ascii="Arial" w:hAnsi="Arial" w:cs="Arial"/>
        </w:rPr>
        <w:t>oard</w:t>
      </w:r>
      <w:r w:rsidR="004E21DB">
        <w:rPr>
          <w:rFonts w:ascii="Arial" w:hAnsi="Arial" w:cs="Arial"/>
        </w:rPr>
        <w:t>,</w:t>
      </w:r>
      <w:r w:rsidRPr="00580003">
        <w:rPr>
          <w:rFonts w:ascii="Arial" w:hAnsi="Arial" w:cs="Arial"/>
        </w:rPr>
        <w:t xml:space="preserve"> wh</w:t>
      </w:r>
      <w:r w:rsidR="00682942" w:rsidRPr="00580003">
        <w:rPr>
          <w:rFonts w:ascii="Arial" w:hAnsi="Arial" w:cs="Arial"/>
        </w:rPr>
        <w:t>ich</w:t>
      </w:r>
      <w:r w:rsidRPr="00580003">
        <w:rPr>
          <w:rFonts w:ascii="Arial" w:hAnsi="Arial" w:cs="Arial"/>
        </w:rPr>
        <w:t xml:space="preserve"> may choose to hear the case or designate a hearing officer. Final determinations of the </w:t>
      </w:r>
      <w:r w:rsidR="004E21DB">
        <w:rPr>
          <w:rFonts w:ascii="Arial" w:hAnsi="Arial" w:cs="Arial"/>
        </w:rPr>
        <w:t>b</w:t>
      </w:r>
      <w:r w:rsidRPr="00580003">
        <w:rPr>
          <w:rFonts w:ascii="Arial" w:hAnsi="Arial" w:cs="Arial"/>
        </w:rPr>
        <w:t>oard are subject to judicial review.</w:t>
      </w:r>
    </w:p>
    <w:p w14:paraId="794ABDCF" w14:textId="77777777" w:rsidR="005A3160" w:rsidRPr="00580003" w:rsidRDefault="005A3160" w:rsidP="00AB3DA7">
      <w:pPr>
        <w:pStyle w:val="HTMLPreformatted"/>
        <w:jc w:val="both"/>
        <w:rPr>
          <w:rFonts w:ascii="Arial" w:hAnsi="Arial" w:cs="Arial"/>
        </w:rPr>
      </w:pPr>
    </w:p>
    <w:p w14:paraId="43609A65" w14:textId="77777777" w:rsidR="00D73D10" w:rsidRPr="00580003" w:rsidRDefault="007C15BF" w:rsidP="004A1E98">
      <w:pPr>
        <w:pStyle w:val="BodyText"/>
        <w:spacing w:after="0"/>
        <w:jc w:val="both"/>
        <w:rPr>
          <w:rFonts w:ascii="Arial" w:hAnsi="Arial" w:cs="Arial"/>
          <w:sz w:val="20"/>
          <w:szCs w:val="20"/>
        </w:rPr>
      </w:pPr>
      <w:r w:rsidRPr="00580003">
        <w:rPr>
          <w:rFonts w:ascii="Arial" w:hAnsi="Arial" w:cs="Arial"/>
          <w:sz w:val="20"/>
          <w:szCs w:val="20"/>
        </w:rPr>
        <w:t xml:space="preserve">To protect human health and the environment, </w:t>
      </w:r>
      <w:r w:rsidR="00F57F65" w:rsidRPr="00580003">
        <w:rPr>
          <w:rFonts w:ascii="Arial" w:hAnsi="Arial" w:cs="Arial"/>
          <w:sz w:val="20"/>
          <w:szCs w:val="20"/>
        </w:rPr>
        <w:t xml:space="preserve">DEQ's </w:t>
      </w:r>
      <w:r w:rsidR="00E42921" w:rsidRPr="00580003">
        <w:rPr>
          <w:rFonts w:ascii="Arial" w:hAnsi="Arial" w:cs="Arial"/>
          <w:sz w:val="20"/>
          <w:szCs w:val="20"/>
        </w:rPr>
        <w:t>primary activities</w:t>
      </w:r>
      <w:r w:rsidR="00F01BF9" w:rsidRPr="00580003">
        <w:rPr>
          <w:rFonts w:ascii="Arial" w:hAnsi="Arial" w:cs="Arial"/>
          <w:sz w:val="20"/>
          <w:szCs w:val="20"/>
        </w:rPr>
        <w:t xml:space="preserve"> </w:t>
      </w:r>
      <w:r w:rsidR="00E42921" w:rsidRPr="00580003">
        <w:rPr>
          <w:rFonts w:ascii="Arial" w:hAnsi="Arial" w:cs="Arial"/>
          <w:sz w:val="20"/>
          <w:szCs w:val="20"/>
        </w:rPr>
        <w:t>in</w:t>
      </w:r>
      <w:r w:rsidRPr="00580003">
        <w:rPr>
          <w:rFonts w:ascii="Arial" w:hAnsi="Arial" w:cs="Arial"/>
          <w:sz w:val="20"/>
          <w:szCs w:val="20"/>
        </w:rPr>
        <w:t>clude</w:t>
      </w:r>
      <w:r w:rsidR="00E42921" w:rsidRPr="00580003">
        <w:rPr>
          <w:rFonts w:ascii="Arial" w:hAnsi="Arial" w:cs="Arial"/>
          <w:sz w:val="20"/>
          <w:szCs w:val="20"/>
        </w:rPr>
        <w:t xml:space="preserve"> monitoring, permitting, conducting inspections, performing remediation, and providing </w:t>
      </w:r>
      <w:r w:rsidR="00DE576B" w:rsidRPr="00580003">
        <w:rPr>
          <w:rFonts w:ascii="Arial" w:hAnsi="Arial" w:cs="Arial"/>
          <w:sz w:val="20"/>
          <w:szCs w:val="20"/>
        </w:rPr>
        <w:t xml:space="preserve">a wide range of </w:t>
      </w:r>
      <w:r w:rsidR="00E42921" w:rsidRPr="00580003">
        <w:rPr>
          <w:rFonts w:ascii="Arial" w:hAnsi="Arial" w:cs="Arial"/>
          <w:sz w:val="20"/>
          <w:szCs w:val="20"/>
        </w:rPr>
        <w:t>oversight</w:t>
      </w:r>
      <w:r w:rsidR="00F57F65" w:rsidRPr="00580003">
        <w:rPr>
          <w:rFonts w:ascii="Arial" w:hAnsi="Arial" w:cs="Arial"/>
          <w:sz w:val="20"/>
          <w:szCs w:val="20"/>
        </w:rPr>
        <w:t>,</w:t>
      </w:r>
      <w:r w:rsidR="00E42921" w:rsidRPr="00580003">
        <w:rPr>
          <w:rFonts w:ascii="Arial" w:hAnsi="Arial" w:cs="Arial"/>
          <w:sz w:val="20"/>
          <w:szCs w:val="20"/>
        </w:rPr>
        <w:t xml:space="preserve"> technical assistance</w:t>
      </w:r>
      <w:r w:rsidR="00271C04" w:rsidRPr="00580003">
        <w:rPr>
          <w:rFonts w:ascii="Arial" w:hAnsi="Arial" w:cs="Arial"/>
          <w:sz w:val="20"/>
          <w:szCs w:val="20"/>
        </w:rPr>
        <w:t xml:space="preserve">, </w:t>
      </w:r>
      <w:r w:rsidR="00F57F65" w:rsidRPr="00580003">
        <w:rPr>
          <w:rFonts w:ascii="Arial" w:hAnsi="Arial" w:cs="Arial"/>
          <w:sz w:val="20"/>
          <w:szCs w:val="20"/>
        </w:rPr>
        <w:t>and outreach</w:t>
      </w:r>
      <w:r w:rsidR="000B074D" w:rsidRPr="00580003">
        <w:rPr>
          <w:rFonts w:ascii="Arial" w:hAnsi="Arial" w:cs="Arial"/>
          <w:sz w:val="20"/>
          <w:szCs w:val="20"/>
        </w:rPr>
        <w:t>.</w:t>
      </w:r>
    </w:p>
    <w:p w14:paraId="6C0FF99E" w14:textId="77777777" w:rsidR="00944D9E" w:rsidRPr="00580003" w:rsidRDefault="00E42921" w:rsidP="00AB3DA7">
      <w:pPr>
        <w:pStyle w:val="ListBullet"/>
        <w:jc w:val="both"/>
        <w:rPr>
          <w:sz w:val="20"/>
          <w:szCs w:val="20"/>
        </w:rPr>
      </w:pPr>
      <w:r w:rsidRPr="00580003">
        <w:rPr>
          <w:sz w:val="20"/>
          <w:szCs w:val="20"/>
        </w:rPr>
        <w:t xml:space="preserve">Environmental monitoring is performed to assess conditions and ensure health-based standards are met. </w:t>
      </w:r>
    </w:p>
    <w:p w14:paraId="3BE815F0" w14:textId="77777777" w:rsidR="00D73D10" w:rsidRPr="00580003" w:rsidRDefault="00E42921" w:rsidP="00AB3DA7">
      <w:pPr>
        <w:pStyle w:val="ListBullet"/>
        <w:jc w:val="both"/>
        <w:rPr>
          <w:sz w:val="20"/>
          <w:szCs w:val="20"/>
        </w:rPr>
      </w:pPr>
      <w:r w:rsidRPr="00580003">
        <w:rPr>
          <w:sz w:val="20"/>
          <w:szCs w:val="20"/>
        </w:rPr>
        <w:t>Permits are issued to facilities that manage wastes or release pollutants t</w:t>
      </w:r>
      <w:r w:rsidR="00CE6C34" w:rsidRPr="00580003">
        <w:rPr>
          <w:sz w:val="20"/>
          <w:szCs w:val="20"/>
        </w:rPr>
        <w:t>o</w:t>
      </w:r>
      <w:r w:rsidR="000B074D" w:rsidRPr="00580003">
        <w:rPr>
          <w:sz w:val="20"/>
          <w:szCs w:val="20"/>
        </w:rPr>
        <w:t xml:space="preserve"> </w:t>
      </w:r>
      <w:r w:rsidR="00BB4780">
        <w:rPr>
          <w:sz w:val="20"/>
          <w:szCs w:val="20"/>
        </w:rPr>
        <w:t>limit</w:t>
      </w:r>
      <w:r w:rsidR="00BB4780" w:rsidRPr="00580003">
        <w:rPr>
          <w:sz w:val="20"/>
          <w:szCs w:val="20"/>
        </w:rPr>
        <w:t xml:space="preserve"> </w:t>
      </w:r>
      <w:r w:rsidR="000B074D" w:rsidRPr="00580003">
        <w:rPr>
          <w:sz w:val="20"/>
          <w:szCs w:val="20"/>
        </w:rPr>
        <w:t xml:space="preserve">discharges </w:t>
      </w:r>
      <w:r w:rsidRPr="00580003">
        <w:rPr>
          <w:sz w:val="20"/>
          <w:szCs w:val="20"/>
        </w:rPr>
        <w:t xml:space="preserve">to safe levels. </w:t>
      </w:r>
    </w:p>
    <w:p w14:paraId="519E759F" w14:textId="77777777" w:rsidR="00D73D10" w:rsidRPr="00580003" w:rsidRDefault="00E42921" w:rsidP="00AB3DA7">
      <w:pPr>
        <w:pStyle w:val="ListBullet"/>
        <w:jc w:val="both"/>
        <w:rPr>
          <w:sz w:val="20"/>
          <w:szCs w:val="20"/>
        </w:rPr>
      </w:pPr>
      <w:r w:rsidRPr="00580003">
        <w:rPr>
          <w:sz w:val="20"/>
          <w:szCs w:val="20"/>
        </w:rPr>
        <w:t xml:space="preserve">Inspections of pollution sources </w:t>
      </w:r>
      <w:r w:rsidR="000B074D" w:rsidRPr="00580003">
        <w:rPr>
          <w:sz w:val="20"/>
          <w:szCs w:val="20"/>
        </w:rPr>
        <w:t xml:space="preserve">are conducted </w:t>
      </w:r>
      <w:r w:rsidRPr="00580003">
        <w:rPr>
          <w:sz w:val="20"/>
          <w:szCs w:val="20"/>
        </w:rPr>
        <w:t>and complaints</w:t>
      </w:r>
      <w:r w:rsidR="000B074D" w:rsidRPr="00580003">
        <w:rPr>
          <w:sz w:val="20"/>
          <w:szCs w:val="20"/>
        </w:rPr>
        <w:t xml:space="preserve"> are investigated to ensure</w:t>
      </w:r>
      <w:r w:rsidRPr="00580003">
        <w:rPr>
          <w:sz w:val="20"/>
          <w:szCs w:val="20"/>
        </w:rPr>
        <w:t xml:space="preserve"> compliance with environmental regulations and standards. When necessary, enforcement action is taken. </w:t>
      </w:r>
    </w:p>
    <w:p w14:paraId="47134202" w14:textId="77777777" w:rsidR="000F1811" w:rsidRPr="00580003" w:rsidRDefault="000F1811" w:rsidP="00AB3DA7">
      <w:pPr>
        <w:pStyle w:val="ListBullet"/>
        <w:jc w:val="both"/>
        <w:rPr>
          <w:sz w:val="20"/>
          <w:szCs w:val="20"/>
        </w:rPr>
      </w:pPr>
      <w:r w:rsidRPr="00580003">
        <w:rPr>
          <w:sz w:val="20"/>
          <w:szCs w:val="20"/>
        </w:rPr>
        <w:t>Remediation</w:t>
      </w:r>
      <w:r w:rsidR="000B074D" w:rsidRPr="00580003">
        <w:rPr>
          <w:sz w:val="20"/>
          <w:szCs w:val="20"/>
        </w:rPr>
        <w:t xml:space="preserve"> is </w:t>
      </w:r>
      <w:r w:rsidR="005651AC" w:rsidRPr="00580003">
        <w:rPr>
          <w:sz w:val="20"/>
          <w:szCs w:val="20"/>
        </w:rPr>
        <w:t>conducted</w:t>
      </w:r>
      <w:r w:rsidR="00E26DD6" w:rsidRPr="00580003">
        <w:rPr>
          <w:sz w:val="20"/>
          <w:szCs w:val="20"/>
        </w:rPr>
        <w:t xml:space="preserve"> to remove or neutralize</w:t>
      </w:r>
      <w:r w:rsidR="000B074D" w:rsidRPr="00580003">
        <w:rPr>
          <w:sz w:val="20"/>
          <w:szCs w:val="20"/>
        </w:rPr>
        <w:t xml:space="preserve"> </w:t>
      </w:r>
      <w:r w:rsidRPr="00580003">
        <w:rPr>
          <w:sz w:val="20"/>
          <w:szCs w:val="20"/>
        </w:rPr>
        <w:t>contaminants in soil</w:t>
      </w:r>
      <w:r w:rsidR="00152D64">
        <w:rPr>
          <w:sz w:val="20"/>
          <w:szCs w:val="20"/>
        </w:rPr>
        <w:t>, ground water,</w:t>
      </w:r>
      <w:r w:rsidRPr="00580003">
        <w:rPr>
          <w:sz w:val="20"/>
          <w:szCs w:val="20"/>
        </w:rPr>
        <w:t xml:space="preserve"> </w:t>
      </w:r>
      <w:r w:rsidR="00152D64">
        <w:rPr>
          <w:sz w:val="20"/>
          <w:szCs w:val="20"/>
        </w:rPr>
        <w:t xml:space="preserve">and </w:t>
      </w:r>
      <w:r w:rsidRPr="00580003">
        <w:rPr>
          <w:sz w:val="20"/>
          <w:szCs w:val="20"/>
        </w:rPr>
        <w:t xml:space="preserve">surface waters. Compliance </w:t>
      </w:r>
      <w:r w:rsidR="000B074D" w:rsidRPr="00580003">
        <w:rPr>
          <w:sz w:val="20"/>
          <w:szCs w:val="20"/>
        </w:rPr>
        <w:t xml:space="preserve">with remedial activities </w:t>
      </w:r>
      <w:r w:rsidR="007D4A97" w:rsidRPr="00580003">
        <w:rPr>
          <w:sz w:val="20"/>
          <w:szCs w:val="20"/>
        </w:rPr>
        <w:t>is typically</w:t>
      </w:r>
      <w:r w:rsidRPr="00580003">
        <w:rPr>
          <w:sz w:val="20"/>
          <w:szCs w:val="20"/>
        </w:rPr>
        <w:t xml:space="preserve"> voluntary</w:t>
      </w:r>
      <w:r w:rsidR="004E21DB">
        <w:rPr>
          <w:sz w:val="20"/>
          <w:szCs w:val="20"/>
        </w:rPr>
        <w:t>,</w:t>
      </w:r>
      <w:r w:rsidRPr="00580003">
        <w:rPr>
          <w:sz w:val="20"/>
          <w:szCs w:val="20"/>
        </w:rPr>
        <w:t xml:space="preserve"> </w:t>
      </w:r>
      <w:r w:rsidR="007D4A97" w:rsidRPr="00580003">
        <w:rPr>
          <w:sz w:val="20"/>
          <w:szCs w:val="20"/>
        </w:rPr>
        <w:t>but</w:t>
      </w:r>
      <w:r w:rsidRPr="00580003">
        <w:rPr>
          <w:sz w:val="20"/>
          <w:szCs w:val="20"/>
        </w:rPr>
        <w:t xml:space="preserve"> </w:t>
      </w:r>
      <w:r w:rsidR="007D4A97" w:rsidRPr="00580003">
        <w:rPr>
          <w:sz w:val="20"/>
          <w:szCs w:val="20"/>
        </w:rPr>
        <w:t>when</w:t>
      </w:r>
      <w:r w:rsidRPr="00580003">
        <w:rPr>
          <w:sz w:val="20"/>
          <w:szCs w:val="20"/>
        </w:rPr>
        <w:t xml:space="preserve"> necessary, enforcement action </w:t>
      </w:r>
      <w:r w:rsidR="000B074D" w:rsidRPr="00580003">
        <w:rPr>
          <w:sz w:val="20"/>
          <w:szCs w:val="20"/>
        </w:rPr>
        <w:t>is</w:t>
      </w:r>
      <w:r w:rsidRPr="00580003">
        <w:rPr>
          <w:sz w:val="20"/>
          <w:szCs w:val="20"/>
        </w:rPr>
        <w:t xml:space="preserve"> taken.</w:t>
      </w:r>
    </w:p>
    <w:p w14:paraId="48D81A1F" w14:textId="77777777" w:rsidR="00D73D10" w:rsidRPr="00580003" w:rsidRDefault="00E42921" w:rsidP="00AB3DA7">
      <w:pPr>
        <w:pStyle w:val="ListBullet"/>
        <w:jc w:val="both"/>
        <w:rPr>
          <w:sz w:val="20"/>
          <w:szCs w:val="20"/>
        </w:rPr>
      </w:pPr>
      <w:r w:rsidRPr="00580003">
        <w:rPr>
          <w:sz w:val="20"/>
          <w:szCs w:val="20"/>
        </w:rPr>
        <w:t xml:space="preserve">Oversight </w:t>
      </w:r>
      <w:r w:rsidR="00E26DD6" w:rsidRPr="00580003">
        <w:rPr>
          <w:sz w:val="20"/>
          <w:szCs w:val="20"/>
        </w:rPr>
        <w:t>is maintained for a variety of projects including</w:t>
      </w:r>
      <w:r w:rsidRPr="00580003">
        <w:rPr>
          <w:sz w:val="20"/>
          <w:szCs w:val="20"/>
        </w:rPr>
        <w:t xml:space="preserve"> </w:t>
      </w:r>
      <w:r w:rsidR="00BA31A8" w:rsidRPr="00580003">
        <w:rPr>
          <w:sz w:val="20"/>
          <w:szCs w:val="20"/>
        </w:rPr>
        <w:t xml:space="preserve">environmental </w:t>
      </w:r>
      <w:r w:rsidRPr="00580003">
        <w:rPr>
          <w:sz w:val="20"/>
          <w:szCs w:val="20"/>
        </w:rPr>
        <w:t>cleanups, pollution reduction</w:t>
      </w:r>
      <w:r w:rsidR="00BA31A8" w:rsidRPr="00580003">
        <w:rPr>
          <w:sz w:val="20"/>
          <w:szCs w:val="20"/>
        </w:rPr>
        <w:t xml:space="preserve"> efforts</w:t>
      </w:r>
      <w:r w:rsidRPr="00580003">
        <w:rPr>
          <w:sz w:val="20"/>
          <w:szCs w:val="20"/>
        </w:rPr>
        <w:t xml:space="preserve">, and drinking water and wastewater infrastructure improvements. </w:t>
      </w:r>
    </w:p>
    <w:p w14:paraId="256EF779" w14:textId="77777777" w:rsidR="00E42921" w:rsidRPr="00580003" w:rsidRDefault="00E26DD6" w:rsidP="00AB3DA7">
      <w:pPr>
        <w:pStyle w:val="ListBullet"/>
        <w:jc w:val="both"/>
        <w:rPr>
          <w:sz w:val="20"/>
          <w:szCs w:val="20"/>
        </w:rPr>
      </w:pPr>
      <w:r w:rsidRPr="00580003">
        <w:rPr>
          <w:sz w:val="20"/>
          <w:szCs w:val="20"/>
        </w:rPr>
        <w:t>T</w:t>
      </w:r>
      <w:r w:rsidR="00F01BF9" w:rsidRPr="00580003">
        <w:rPr>
          <w:sz w:val="20"/>
          <w:szCs w:val="20"/>
        </w:rPr>
        <w:t xml:space="preserve">echnical support, </w:t>
      </w:r>
      <w:r w:rsidR="00E42921" w:rsidRPr="00580003">
        <w:rPr>
          <w:sz w:val="20"/>
          <w:szCs w:val="20"/>
        </w:rPr>
        <w:t>outreach</w:t>
      </w:r>
      <w:r w:rsidR="00682942" w:rsidRPr="00580003">
        <w:rPr>
          <w:sz w:val="20"/>
          <w:szCs w:val="20"/>
        </w:rPr>
        <w:t>,</w:t>
      </w:r>
      <w:r w:rsidR="00E42921" w:rsidRPr="00580003">
        <w:rPr>
          <w:sz w:val="20"/>
          <w:szCs w:val="20"/>
        </w:rPr>
        <w:t xml:space="preserve"> and education </w:t>
      </w:r>
      <w:r w:rsidR="00682942" w:rsidRPr="00580003">
        <w:rPr>
          <w:sz w:val="20"/>
          <w:szCs w:val="20"/>
        </w:rPr>
        <w:t xml:space="preserve">are </w:t>
      </w:r>
      <w:r w:rsidRPr="00580003">
        <w:rPr>
          <w:sz w:val="20"/>
          <w:szCs w:val="20"/>
        </w:rPr>
        <w:t>offered</w:t>
      </w:r>
      <w:r w:rsidR="00682942" w:rsidRPr="00580003">
        <w:rPr>
          <w:sz w:val="20"/>
          <w:szCs w:val="20"/>
        </w:rPr>
        <w:t xml:space="preserve"> </w:t>
      </w:r>
      <w:r w:rsidR="00E42921" w:rsidRPr="00580003">
        <w:rPr>
          <w:sz w:val="20"/>
          <w:szCs w:val="20"/>
        </w:rPr>
        <w:t>to facilitate compliance with environmental requirements</w:t>
      </w:r>
      <w:r w:rsidR="00DE576B" w:rsidRPr="00580003">
        <w:rPr>
          <w:sz w:val="20"/>
          <w:szCs w:val="20"/>
        </w:rPr>
        <w:t xml:space="preserve"> for air quality, water quality, and waste management</w:t>
      </w:r>
      <w:r w:rsidR="00152D64">
        <w:rPr>
          <w:sz w:val="20"/>
          <w:szCs w:val="20"/>
        </w:rPr>
        <w:t xml:space="preserve"> and remediation</w:t>
      </w:r>
      <w:r w:rsidR="00E42921" w:rsidRPr="00580003">
        <w:rPr>
          <w:sz w:val="20"/>
          <w:szCs w:val="20"/>
        </w:rPr>
        <w:t>.</w:t>
      </w:r>
    </w:p>
    <w:p w14:paraId="2D189920" w14:textId="77777777" w:rsidR="00D73D10" w:rsidRPr="00580003" w:rsidRDefault="00D73D10" w:rsidP="00AB3DA7">
      <w:pPr>
        <w:pStyle w:val="ListBullet"/>
        <w:numPr>
          <w:ilvl w:val="0"/>
          <w:numId w:val="0"/>
        </w:numPr>
        <w:jc w:val="both"/>
        <w:rPr>
          <w:sz w:val="20"/>
          <w:szCs w:val="20"/>
        </w:rPr>
      </w:pPr>
    </w:p>
    <w:p w14:paraId="23B734FF" w14:textId="77777777" w:rsidR="00D42C08" w:rsidRDefault="00E42921" w:rsidP="004A1E98">
      <w:pPr>
        <w:pStyle w:val="BodyText"/>
        <w:spacing w:after="0"/>
        <w:jc w:val="both"/>
        <w:rPr>
          <w:rFonts w:ascii="Arial" w:hAnsi="Arial" w:cs="Arial"/>
          <w:sz w:val="20"/>
          <w:szCs w:val="20"/>
        </w:rPr>
      </w:pPr>
      <w:r w:rsidRPr="009A6D18">
        <w:rPr>
          <w:rFonts w:ascii="Arial" w:hAnsi="Arial" w:cs="Arial"/>
          <w:sz w:val="20"/>
          <w:szCs w:val="20"/>
        </w:rPr>
        <w:t>DEQ works closely and collaboratively with a wide range</w:t>
      </w:r>
      <w:r w:rsidR="005651AC" w:rsidRPr="009A6D18">
        <w:rPr>
          <w:rFonts w:ascii="Arial" w:hAnsi="Arial" w:cs="Arial"/>
          <w:sz w:val="20"/>
          <w:szCs w:val="20"/>
        </w:rPr>
        <w:t xml:space="preserve"> of public and private partners</w:t>
      </w:r>
      <w:r w:rsidRPr="009A6D18">
        <w:rPr>
          <w:rFonts w:ascii="Arial" w:hAnsi="Arial" w:cs="Arial"/>
          <w:sz w:val="20"/>
          <w:szCs w:val="20"/>
        </w:rPr>
        <w:t xml:space="preserve"> including </w:t>
      </w:r>
      <w:r w:rsidR="00944D9E" w:rsidRPr="009A6D18">
        <w:rPr>
          <w:rFonts w:ascii="Arial" w:hAnsi="Arial" w:cs="Arial"/>
          <w:sz w:val="20"/>
          <w:szCs w:val="20"/>
        </w:rPr>
        <w:t>the legislature</w:t>
      </w:r>
      <w:r w:rsidR="004E21DB" w:rsidRPr="009A6D18">
        <w:rPr>
          <w:rFonts w:ascii="Arial" w:hAnsi="Arial" w:cs="Arial"/>
          <w:sz w:val="20"/>
          <w:szCs w:val="20"/>
        </w:rPr>
        <w:t>;</w:t>
      </w:r>
      <w:r w:rsidRPr="009A6D18">
        <w:rPr>
          <w:rFonts w:ascii="Arial" w:hAnsi="Arial" w:cs="Arial"/>
          <w:sz w:val="20"/>
          <w:szCs w:val="20"/>
        </w:rPr>
        <w:t xml:space="preserve"> the</w:t>
      </w:r>
      <w:r w:rsidR="005651AC" w:rsidRPr="009A6D18">
        <w:rPr>
          <w:rFonts w:ascii="Arial" w:hAnsi="Arial" w:cs="Arial"/>
          <w:sz w:val="20"/>
          <w:szCs w:val="20"/>
        </w:rPr>
        <w:t xml:space="preserve"> Board of Environmental Quality</w:t>
      </w:r>
      <w:r w:rsidR="004E21DB" w:rsidRPr="009A6D18">
        <w:rPr>
          <w:rFonts w:ascii="Arial" w:hAnsi="Arial" w:cs="Arial"/>
          <w:sz w:val="20"/>
          <w:szCs w:val="20"/>
        </w:rPr>
        <w:t>;</w:t>
      </w:r>
      <w:r w:rsidRPr="009A6D18">
        <w:rPr>
          <w:rFonts w:ascii="Arial" w:hAnsi="Arial" w:cs="Arial"/>
          <w:sz w:val="20"/>
          <w:szCs w:val="20"/>
        </w:rPr>
        <w:t xml:space="preserve"> </w:t>
      </w:r>
      <w:r w:rsidR="00F01BF9" w:rsidRPr="009A6D18">
        <w:rPr>
          <w:rFonts w:ascii="Arial" w:hAnsi="Arial" w:cs="Arial"/>
          <w:sz w:val="20"/>
          <w:szCs w:val="20"/>
        </w:rPr>
        <w:t>federal and state agencies</w:t>
      </w:r>
      <w:r w:rsidR="004E21DB" w:rsidRPr="009A6D18">
        <w:rPr>
          <w:rFonts w:ascii="Arial" w:hAnsi="Arial" w:cs="Arial"/>
          <w:sz w:val="20"/>
          <w:szCs w:val="20"/>
        </w:rPr>
        <w:t>;</w:t>
      </w:r>
      <w:r w:rsidR="00F01BF9" w:rsidRPr="009A6D18">
        <w:rPr>
          <w:rFonts w:ascii="Arial" w:hAnsi="Arial" w:cs="Arial"/>
          <w:sz w:val="20"/>
          <w:szCs w:val="20"/>
        </w:rPr>
        <w:t xml:space="preserve"> </w:t>
      </w:r>
      <w:r w:rsidRPr="009A6D18">
        <w:rPr>
          <w:rFonts w:ascii="Arial" w:hAnsi="Arial" w:cs="Arial"/>
          <w:sz w:val="20"/>
          <w:szCs w:val="20"/>
        </w:rPr>
        <w:t>city, county</w:t>
      </w:r>
      <w:r w:rsidR="004E21DB" w:rsidRPr="009A6D18">
        <w:rPr>
          <w:rFonts w:ascii="Arial" w:hAnsi="Arial" w:cs="Arial"/>
          <w:sz w:val="20"/>
          <w:szCs w:val="20"/>
        </w:rPr>
        <w:t>,</w:t>
      </w:r>
      <w:r w:rsidRPr="009A6D18">
        <w:rPr>
          <w:rFonts w:ascii="Arial" w:hAnsi="Arial" w:cs="Arial"/>
          <w:sz w:val="20"/>
          <w:szCs w:val="20"/>
        </w:rPr>
        <w:t xml:space="preserve"> and tribal governments</w:t>
      </w:r>
      <w:r w:rsidR="004E21DB" w:rsidRPr="009A6D18">
        <w:rPr>
          <w:rFonts w:ascii="Arial" w:hAnsi="Arial" w:cs="Arial"/>
          <w:sz w:val="20"/>
          <w:szCs w:val="20"/>
        </w:rPr>
        <w:t>;</w:t>
      </w:r>
      <w:r w:rsidR="005651AC" w:rsidRPr="009A6D18">
        <w:rPr>
          <w:rFonts w:ascii="Arial" w:hAnsi="Arial" w:cs="Arial"/>
          <w:sz w:val="20"/>
          <w:szCs w:val="20"/>
        </w:rPr>
        <w:t xml:space="preserve"> businesses</w:t>
      </w:r>
      <w:r w:rsidR="004E21DB" w:rsidRPr="009A6D18">
        <w:rPr>
          <w:rFonts w:ascii="Arial" w:hAnsi="Arial" w:cs="Arial"/>
          <w:sz w:val="20"/>
          <w:szCs w:val="20"/>
        </w:rPr>
        <w:t>;</w:t>
      </w:r>
      <w:r w:rsidR="005651AC" w:rsidRPr="009A6D18">
        <w:rPr>
          <w:rFonts w:ascii="Arial" w:hAnsi="Arial" w:cs="Arial"/>
          <w:sz w:val="20"/>
          <w:szCs w:val="20"/>
        </w:rPr>
        <w:t xml:space="preserve"> community organizations</w:t>
      </w:r>
      <w:r w:rsidR="004E21DB" w:rsidRPr="009A6D18">
        <w:rPr>
          <w:rFonts w:ascii="Arial" w:hAnsi="Arial" w:cs="Arial"/>
          <w:sz w:val="20"/>
          <w:szCs w:val="20"/>
        </w:rPr>
        <w:t>;</w:t>
      </w:r>
      <w:r w:rsidRPr="009A6D18">
        <w:rPr>
          <w:rFonts w:ascii="Arial" w:hAnsi="Arial" w:cs="Arial"/>
          <w:sz w:val="20"/>
          <w:szCs w:val="20"/>
        </w:rPr>
        <w:t xml:space="preserve"> and citizens. These partnerships are critical to accomplishing </w:t>
      </w:r>
      <w:r w:rsidR="00944D9E" w:rsidRPr="009A6D18">
        <w:rPr>
          <w:rFonts w:ascii="Arial" w:hAnsi="Arial" w:cs="Arial"/>
          <w:sz w:val="20"/>
          <w:szCs w:val="20"/>
        </w:rPr>
        <w:t xml:space="preserve">the agency's </w:t>
      </w:r>
      <w:r w:rsidRPr="009A6D18">
        <w:rPr>
          <w:rFonts w:ascii="Arial" w:hAnsi="Arial" w:cs="Arial"/>
          <w:sz w:val="20"/>
          <w:szCs w:val="20"/>
        </w:rPr>
        <w:t>mission.</w:t>
      </w:r>
    </w:p>
    <w:p w14:paraId="4678E258" w14:textId="77777777" w:rsidR="009A6D18" w:rsidRPr="009A6D18" w:rsidRDefault="009A6D18" w:rsidP="009A6D18">
      <w:pPr>
        <w:pStyle w:val="BodyText"/>
        <w:spacing w:after="0"/>
        <w:jc w:val="both"/>
        <w:rPr>
          <w:rFonts w:ascii="Arial" w:hAnsi="Arial" w:cs="Arial"/>
          <w:sz w:val="20"/>
          <w:szCs w:val="20"/>
        </w:rPr>
      </w:pPr>
    </w:p>
    <w:p w14:paraId="26901D4A" w14:textId="77777777" w:rsidR="00692EF5" w:rsidRPr="009A6D18" w:rsidRDefault="0094732A" w:rsidP="004A1E98">
      <w:pPr>
        <w:pStyle w:val="BodyText"/>
        <w:spacing w:after="0"/>
        <w:jc w:val="both"/>
        <w:rPr>
          <w:rFonts w:ascii="Arial" w:hAnsi="Arial" w:cs="Arial"/>
          <w:b/>
          <w:sz w:val="20"/>
        </w:rPr>
      </w:pPr>
      <w:r w:rsidRPr="009A6D18">
        <w:rPr>
          <w:rFonts w:ascii="Arial" w:hAnsi="Arial" w:cs="Arial"/>
          <w:sz w:val="20"/>
        </w:rPr>
        <w:t>DEQ</w:t>
      </w:r>
      <w:r w:rsidR="005651AC" w:rsidRPr="009A6D18">
        <w:rPr>
          <w:rFonts w:ascii="Arial" w:hAnsi="Arial" w:cs="Arial"/>
          <w:sz w:val="20"/>
        </w:rPr>
        <w:t>’s</w:t>
      </w:r>
      <w:r w:rsidRPr="009A6D18">
        <w:rPr>
          <w:rFonts w:ascii="Arial" w:hAnsi="Arial" w:cs="Arial"/>
          <w:sz w:val="20"/>
        </w:rPr>
        <w:t xml:space="preserve"> headquarters in Boise is</w:t>
      </w:r>
      <w:r w:rsidR="00E42921" w:rsidRPr="009A6D18">
        <w:rPr>
          <w:rFonts w:ascii="Arial" w:hAnsi="Arial" w:cs="Arial"/>
          <w:sz w:val="20"/>
        </w:rPr>
        <w:t xml:space="preserve"> organized into </w:t>
      </w:r>
      <w:r w:rsidR="00720E20" w:rsidRPr="009A6D18">
        <w:rPr>
          <w:rFonts w:ascii="Arial" w:hAnsi="Arial" w:cs="Arial"/>
          <w:sz w:val="20"/>
        </w:rPr>
        <w:t>f</w:t>
      </w:r>
      <w:r w:rsidR="00B153A0">
        <w:rPr>
          <w:rFonts w:ascii="Arial" w:hAnsi="Arial" w:cs="Arial"/>
          <w:sz w:val="20"/>
        </w:rPr>
        <w:t>ive</w:t>
      </w:r>
      <w:r w:rsidR="00D73D10" w:rsidRPr="009A6D18">
        <w:rPr>
          <w:rFonts w:ascii="Arial" w:hAnsi="Arial" w:cs="Arial"/>
          <w:sz w:val="20"/>
        </w:rPr>
        <w:t xml:space="preserve"> </w:t>
      </w:r>
      <w:r w:rsidR="00E42921" w:rsidRPr="009A6D18">
        <w:rPr>
          <w:rFonts w:ascii="Arial" w:hAnsi="Arial" w:cs="Arial"/>
          <w:sz w:val="20"/>
        </w:rPr>
        <w:t xml:space="preserve">divisions </w:t>
      </w:r>
      <w:r w:rsidR="005651AC" w:rsidRPr="009A6D18">
        <w:rPr>
          <w:rFonts w:ascii="Arial" w:hAnsi="Arial" w:cs="Arial"/>
          <w:sz w:val="20"/>
        </w:rPr>
        <w:t>focused</w:t>
      </w:r>
      <w:r w:rsidR="00E42921" w:rsidRPr="009A6D18">
        <w:rPr>
          <w:rFonts w:ascii="Arial" w:hAnsi="Arial" w:cs="Arial"/>
          <w:sz w:val="20"/>
        </w:rPr>
        <w:t xml:space="preserve"> on developing and administering programs and policies</w:t>
      </w:r>
      <w:r w:rsidR="00D73D10" w:rsidRPr="009A6D18">
        <w:rPr>
          <w:rFonts w:ascii="Arial" w:hAnsi="Arial" w:cs="Arial"/>
          <w:sz w:val="20"/>
        </w:rPr>
        <w:t>,</w:t>
      </w:r>
      <w:r w:rsidR="007246F8" w:rsidRPr="009A6D18">
        <w:rPr>
          <w:rFonts w:ascii="Arial" w:hAnsi="Arial" w:cs="Arial"/>
          <w:sz w:val="20"/>
        </w:rPr>
        <w:t xml:space="preserve"> providing technical support to the </w:t>
      </w:r>
      <w:r w:rsidR="005A5EA9" w:rsidRPr="009A6D18">
        <w:rPr>
          <w:rFonts w:ascii="Arial" w:hAnsi="Arial" w:cs="Arial"/>
          <w:sz w:val="20"/>
        </w:rPr>
        <w:t xml:space="preserve">divisions </w:t>
      </w:r>
      <w:r w:rsidR="007246F8" w:rsidRPr="009A6D18">
        <w:rPr>
          <w:rFonts w:ascii="Arial" w:hAnsi="Arial" w:cs="Arial"/>
          <w:sz w:val="20"/>
        </w:rPr>
        <w:t>and regions</w:t>
      </w:r>
      <w:r w:rsidR="005A5EA9" w:rsidRPr="009A6D18">
        <w:rPr>
          <w:rFonts w:ascii="Arial" w:hAnsi="Arial" w:cs="Arial"/>
          <w:sz w:val="20"/>
        </w:rPr>
        <w:t>,</w:t>
      </w:r>
      <w:r w:rsidR="007246F8" w:rsidRPr="009A6D18">
        <w:rPr>
          <w:rFonts w:ascii="Arial" w:hAnsi="Arial" w:cs="Arial"/>
          <w:sz w:val="20"/>
        </w:rPr>
        <w:t xml:space="preserve"> and providing agen</w:t>
      </w:r>
      <w:r w:rsidR="00553CBF" w:rsidRPr="009A6D18">
        <w:rPr>
          <w:rFonts w:ascii="Arial" w:hAnsi="Arial" w:cs="Arial"/>
          <w:sz w:val="20"/>
        </w:rPr>
        <w:t xml:space="preserve">cywide administrative support. </w:t>
      </w:r>
      <w:r w:rsidR="007246F8" w:rsidRPr="009A6D18">
        <w:rPr>
          <w:rFonts w:ascii="Arial" w:hAnsi="Arial" w:cs="Arial"/>
          <w:sz w:val="20"/>
        </w:rPr>
        <w:t xml:space="preserve">The </w:t>
      </w:r>
      <w:r w:rsidR="005A5EA9" w:rsidRPr="009A6D18">
        <w:rPr>
          <w:rFonts w:ascii="Arial" w:hAnsi="Arial" w:cs="Arial"/>
          <w:sz w:val="20"/>
        </w:rPr>
        <w:t>d</w:t>
      </w:r>
      <w:r w:rsidR="00E36762" w:rsidRPr="009A6D18">
        <w:rPr>
          <w:rFonts w:ascii="Arial" w:hAnsi="Arial" w:cs="Arial"/>
          <w:sz w:val="20"/>
        </w:rPr>
        <w:t>ivisions include</w:t>
      </w:r>
      <w:r w:rsidR="007246F8" w:rsidRPr="009A6D18">
        <w:rPr>
          <w:rFonts w:ascii="Arial" w:hAnsi="Arial" w:cs="Arial"/>
          <w:sz w:val="20"/>
        </w:rPr>
        <w:t xml:space="preserve"> Air Quality, </w:t>
      </w:r>
      <w:r w:rsidR="00B153A0">
        <w:rPr>
          <w:rFonts w:ascii="Arial" w:hAnsi="Arial" w:cs="Arial"/>
          <w:sz w:val="20"/>
        </w:rPr>
        <w:t xml:space="preserve">Surface </w:t>
      </w:r>
      <w:r w:rsidR="007246F8" w:rsidRPr="009A6D18">
        <w:rPr>
          <w:rFonts w:ascii="Arial" w:hAnsi="Arial" w:cs="Arial"/>
          <w:sz w:val="20"/>
        </w:rPr>
        <w:t>Water</w:t>
      </w:r>
      <w:r w:rsidR="00B153A0">
        <w:rPr>
          <w:rFonts w:ascii="Arial" w:hAnsi="Arial" w:cs="Arial"/>
          <w:sz w:val="20"/>
        </w:rPr>
        <w:t xml:space="preserve"> and Wastewater, Drinking Water and Finance</w:t>
      </w:r>
      <w:r w:rsidR="007246F8" w:rsidRPr="009A6D18">
        <w:rPr>
          <w:rFonts w:ascii="Arial" w:hAnsi="Arial" w:cs="Arial"/>
          <w:sz w:val="20"/>
        </w:rPr>
        <w:t xml:space="preserve">, Waste </w:t>
      </w:r>
      <w:r w:rsidR="008B27F3" w:rsidRPr="009A6D18">
        <w:rPr>
          <w:rFonts w:ascii="Arial" w:hAnsi="Arial" w:cs="Arial"/>
          <w:sz w:val="20"/>
        </w:rPr>
        <w:t xml:space="preserve">Management </w:t>
      </w:r>
      <w:r w:rsidR="007246F8" w:rsidRPr="009A6D18">
        <w:rPr>
          <w:rFonts w:ascii="Arial" w:hAnsi="Arial" w:cs="Arial"/>
          <w:sz w:val="20"/>
        </w:rPr>
        <w:t xml:space="preserve">and Remediation, </w:t>
      </w:r>
      <w:r w:rsidR="00720E20" w:rsidRPr="009A6D18">
        <w:rPr>
          <w:rFonts w:ascii="Arial" w:hAnsi="Arial" w:cs="Arial"/>
          <w:sz w:val="20"/>
        </w:rPr>
        <w:t xml:space="preserve">and </w:t>
      </w:r>
      <w:r w:rsidR="007246F8" w:rsidRPr="009A6D18">
        <w:rPr>
          <w:rFonts w:ascii="Arial" w:hAnsi="Arial" w:cs="Arial"/>
          <w:sz w:val="20"/>
        </w:rPr>
        <w:t>Technical Services</w:t>
      </w:r>
      <w:r w:rsidR="00E42921" w:rsidRPr="009A6D18">
        <w:rPr>
          <w:rFonts w:ascii="Arial" w:hAnsi="Arial" w:cs="Arial"/>
          <w:sz w:val="20"/>
        </w:rPr>
        <w:t xml:space="preserve">. </w:t>
      </w:r>
    </w:p>
    <w:p w14:paraId="01C07920" w14:textId="77777777" w:rsidR="0043708C" w:rsidRPr="00A605E7" w:rsidRDefault="0043708C" w:rsidP="0043708C">
      <w:pPr>
        <w:rPr>
          <w:rFonts w:ascii="Arial" w:hAnsi="Arial" w:cs="Arial"/>
          <w:sz w:val="20"/>
          <w:szCs w:val="20"/>
        </w:rPr>
      </w:pPr>
    </w:p>
    <w:p w14:paraId="4FF380EA" w14:textId="77777777" w:rsidR="00AB3DA7" w:rsidRPr="009A6D18" w:rsidRDefault="00E36762" w:rsidP="004A1E98">
      <w:pPr>
        <w:pStyle w:val="BodyText"/>
        <w:spacing w:after="0"/>
        <w:jc w:val="both"/>
        <w:rPr>
          <w:rFonts w:ascii="Arial" w:hAnsi="Arial" w:cs="Arial"/>
          <w:sz w:val="20"/>
          <w:szCs w:val="20"/>
        </w:rPr>
      </w:pPr>
      <w:r w:rsidRPr="009A6D18">
        <w:rPr>
          <w:rFonts w:ascii="Arial" w:hAnsi="Arial" w:cs="Arial"/>
          <w:sz w:val="20"/>
          <w:szCs w:val="20"/>
        </w:rPr>
        <w:t>D</w:t>
      </w:r>
      <w:r w:rsidR="00E42921" w:rsidRPr="009A6D18">
        <w:rPr>
          <w:rFonts w:ascii="Arial" w:hAnsi="Arial" w:cs="Arial"/>
          <w:sz w:val="20"/>
          <w:szCs w:val="20"/>
        </w:rPr>
        <w:t xml:space="preserve">ay-to-day, on-the-ground </w:t>
      </w:r>
      <w:r w:rsidRPr="009A6D18">
        <w:rPr>
          <w:rFonts w:ascii="Arial" w:hAnsi="Arial" w:cs="Arial"/>
          <w:sz w:val="20"/>
          <w:szCs w:val="20"/>
        </w:rPr>
        <w:t>agency services</w:t>
      </w:r>
      <w:r w:rsidR="00E42921" w:rsidRPr="009A6D18">
        <w:rPr>
          <w:rFonts w:ascii="Arial" w:hAnsi="Arial" w:cs="Arial"/>
          <w:sz w:val="20"/>
          <w:szCs w:val="20"/>
        </w:rPr>
        <w:t xml:space="preserve"> are provided by six regional o</w:t>
      </w:r>
      <w:r w:rsidR="007246F8" w:rsidRPr="009A6D18">
        <w:rPr>
          <w:rFonts w:ascii="Arial" w:hAnsi="Arial" w:cs="Arial"/>
          <w:sz w:val="20"/>
          <w:szCs w:val="20"/>
        </w:rPr>
        <w:t xml:space="preserve">ffices located in </w:t>
      </w:r>
      <w:r w:rsidR="007D4A97" w:rsidRPr="009A6D18">
        <w:rPr>
          <w:rFonts w:ascii="Arial" w:hAnsi="Arial" w:cs="Arial"/>
          <w:sz w:val="20"/>
          <w:szCs w:val="20"/>
        </w:rPr>
        <w:t xml:space="preserve">Boise, </w:t>
      </w:r>
      <w:r w:rsidR="007246F8" w:rsidRPr="009A6D18">
        <w:rPr>
          <w:rFonts w:ascii="Arial" w:hAnsi="Arial" w:cs="Arial"/>
          <w:sz w:val="20"/>
          <w:szCs w:val="20"/>
        </w:rPr>
        <w:t>Coeur</w:t>
      </w:r>
      <w:r w:rsidR="000F1811" w:rsidRPr="009A6D18">
        <w:rPr>
          <w:rFonts w:ascii="Arial" w:hAnsi="Arial" w:cs="Arial"/>
          <w:sz w:val="20"/>
          <w:szCs w:val="20"/>
        </w:rPr>
        <w:t> </w:t>
      </w:r>
      <w:r w:rsidR="007246F8" w:rsidRPr="009A6D18">
        <w:rPr>
          <w:rFonts w:ascii="Arial" w:hAnsi="Arial" w:cs="Arial"/>
          <w:sz w:val="20"/>
          <w:szCs w:val="20"/>
        </w:rPr>
        <w:t>d'Alene,</w:t>
      </w:r>
      <w:r w:rsidR="007D4A97" w:rsidRPr="009A6D18">
        <w:rPr>
          <w:rFonts w:ascii="Arial" w:hAnsi="Arial" w:cs="Arial"/>
          <w:sz w:val="20"/>
          <w:szCs w:val="20"/>
        </w:rPr>
        <w:t xml:space="preserve"> Idaho Falls,</w:t>
      </w:r>
      <w:r w:rsidR="007246F8" w:rsidRPr="009A6D18">
        <w:rPr>
          <w:rFonts w:ascii="Arial" w:hAnsi="Arial" w:cs="Arial"/>
          <w:sz w:val="20"/>
          <w:szCs w:val="20"/>
        </w:rPr>
        <w:t xml:space="preserve"> Lewiston, </w:t>
      </w:r>
      <w:r w:rsidR="007D4A97" w:rsidRPr="009A6D18">
        <w:rPr>
          <w:rFonts w:ascii="Arial" w:hAnsi="Arial" w:cs="Arial"/>
          <w:sz w:val="20"/>
          <w:szCs w:val="20"/>
        </w:rPr>
        <w:t xml:space="preserve">Pocatello, and </w:t>
      </w:r>
      <w:r w:rsidR="007246F8" w:rsidRPr="009A6D18">
        <w:rPr>
          <w:rFonts w:ascii="Arial" w:hAnsi="Arial" w:cs="Arial"/>
          <w:sz w:val="20"/>
          <w:szCs w:val="20"/>
        </w:rPr>
        <w:t>Twin Falls</w:t>
      </w:r>
      <w:r w:rsidR="0094732A" w:rsidRPr="009A6D18">
        <w:rPr>
          <w:rFonts w:ascii="Arial" w:hAnsi="Arial" w:cs="Arial"/>
          <w:sz w:val="20"/>
          <w:szCs w:val="20"/>
        </w:rPr>
        <w:t xml:space="preserve">. </w:t>
      </w:r>
      <w:r w:rsidRPr="009A6D18">
        <w:rPr>
          <w:rFonts w:ascii="Arial" w:hAnsi="Arial" w:cs="Arial"/>
          <w:sz w:val="20"/>
          <w:szCs w:val="20"/>
        </w:rPr>
        <w:t>Regional</w:t>
      </w:r>
      <w:r w:rsidR="00F97AAC" w:rsidRPr="009A6D18">
        <w:rPr>
          <w:rFonts w:ascii="Arial" w:hAnsi="Arial" w:cs="Arial"/>
          <w:sz w:val="20"/>
          <w:szCs w:val="20"/>
        </w:rPr>
        <w:t xml:space="preserve"> offices </w:t>
      </w:r>
      <w:r w:rsidR="00E42921" w:rsidRPr="009A6D18">
        <w:rPr>
          <w:rFonts w:ascii="Arial" w:hAnsi="Arial" w:cs="Arial"/>
          <w:sz w:val="20"/>
          <w:szCs w:val="20"/>
        </w:rPr>
        <w:t xml:space="preserve">are charged with implementing </w:t>
      </w:r>
      <w:r w:rsidR="00F97AAC" w:rsidRPr="009A6D18">
        <w:rPr>
          <w:rFonts w:ascii="Arial" w:hAnsi="Arial" w:cs="Arial"/>
          <w:sz w:val="20"/>
          <w:szCs w:val="20"/>
        </w:rPr>
        <w:t xml:space="preserve">agency </w:t>
      </w:r>
      <w:r w:rsidR="00E42921" w:rsidRPr="009A6D18">
        <w:rPr>
          <w:rFonts w:ascii="Arial" w:hAnsi="Arial" w:cs="Arial"/>
          <w:sz w:val="20"/>
          <w:szCs w:val="20"/>
        </w:rPr>
        <w:t xml:space="preserve">programs and policies and </w:t>
      </w:r>
      <w:r w:rsidR="00F97AAC" w:rsidRPr="009A6D18">
        <w:rPr>
          <w:rFonts w:ascii="Arial" w:hAnsi="Arial" w:cs="Arial"/>
          <w:sz w:val="20"/>
          <w:szCs w:val="20"/>
        </w:rPr>
        <w:t>providing direct services to citizens, communities, businesses</w:t>
      </w:r>
      <w:r w:rsidR="00682942" w:rsidRPr="009A6D18">
        <w:rPr>
          <w:rFonts w:ascii="Arial" w:hAnsi="Arial" w:cs="Arial"/>
          <w:sz w:val="20"/>
          <w:szCs w:val="20"/>
        </w:rPr>
        <w:t>,</w:t>
      </w:r>
      <w:r w:rsidR="00F97AAC" w:rsidRPr="009A6D18">
        <w:rPr>
          <w:rFonts w:ascii="Arial" w:hAnsi="Arial" w:cs="Arial"/>
          <w:sz w:val="20"/>
          <w:szCs w:val="20"/>
        </w:rPr>
        <w:t xml:space="preserve"> and industries</w:t>
      </w:r>
      <w:r w:rsidR="00AB3DA7" w:rsidRPr="009A6D18">
        <w:rPr>
          <w:rFonts w:ascii="Arial" w:hAnsi="Arial" w:cs="Arial"/>
          <w:sz w:val="20"/>
          <w:szCs w:val="20"/>
        </w:rPr>
        <w:t>.</w:t>
      </w:r>
    </w:p>
    <w:p w14:paraId="4BA56501" w14:textId="77777777" w:rsidR="00AB3DA7" w:rsidRPr="00791D4C" w:rsidRDefault="00AB3DA7" w:rsidP="00572329">
      <w:pPr>
        <w:pStyle w:val="BodyText"/>
        <w:spacing w:after="0"/>
        <w:rPr>
          <w:rFonts w:ascii="Arial" w:hAnsi="Arial"/>
        </w:rPr>
      </w:pPr>
    </w:p>
    <w:p w14:paraId="2320B999" w14:textId="77777777" w:rsidR="00AB3DA7" w:rsidRDefault="00571E39" w:rsidP="004A1E98">
      <w:pPr>
        <w:pStyle w:val="Figure"/>
        <w:spacing w:before="0" w:after="0"/>
        <w:jc w:val="both"/>
        <w:rPr>
          <w:rFonts w:ascii="Arial" w:hAnsi="Arial" w:cs="Arial"/>
          <w:b/>
          <w:bCs/>
        </w:rPr>
      </w:pPr>
      <w:r w:rsidRPr="0071684C">
        <w:rPr>
          <w:rFonts w:ascii="Arial" w:hAnsi="Arial" w:cs="Arial"/>
          <w:b/>
          <w:bCs/>
        </w:rPr>
        <w:t>Core Functions/Idaho Code</w:t>
      </w:r>
    </w:p>
    <w:p w14:paraId="397CDB14" w14:textId="77777777" w:rsidR="0012775D" w:rsidRDefault="004B4B97" w:rsidP="004A1E98">
      <w:pPr>
        <w:pStyle w:val="Figure"/>
        <w:spacing w:before="0" w:after="0"/>
        <w:jc w:val="both"/>
        <w:rPr>
          <w:rFonts w:ascii="Arial" w:hAnsi="Arial" w:cs="Arial"/>
          <w:bCs/>
          <w:sz w:val="20"/>
          <w:szCs w:val="20"/>
        </w:rPr>
      </w:pPr>
      <w:r w:rsidRPr="004B4B97">
        <w:rPr>
          <w:rFonts w:ascii="Arial" w:hAnsi="Arial" w:cs="Arial"/>
          <w:bCs/>
          <w:sz w:val="20"/>
          <w:szCs w:val="20"/>
        </w:rPr>
        <w:t xml:space="preserve">DEQ’s core functions and regulatory authorities are summarized below, followed by a table detailing the department’s revenues and expenditures for the past four fiscal years. </w:t>
      </w:r>
    </w:p>
    <w:p w14:paraId="05ED6676" w14:textId="77777777" w:rsidR="00571E39" w:rsidRPr="00045A3A" w:rsidRDefault="00571E39" w:rsidP="00A605E7">
      <w:pPr>
        <w:keepNext/>
        <w:keepLines/>
        <w:numPr>
          <w:ilvl w:val="0"/>
          <w:numId w:val="11"/>
        </w:numPr>
        <w:jc w:val="both"/>
        <w:rPr>
          <w:rFonts w:ascii="Arial" w:hAnsi="Arial" w:cs="Arial"/>
          <w:sz w:val="20"/>
          <w:szCs w:val="20"/>
        </w:rPr>
      </w:pPr>
      <w:r w:rsidRPr="00045A3A">
        <w:rPr>
          <w:rFonts w:ascii="Arial" w:hAnsi="Arial" w:cs="Arial"/>
          <w:b/>
          <w:bCs/>
          <w:sz w:val="20"/>
          <w:szCs w:val="20"/>
        </w:rPr>
        <w:lastRenderedPageBreak/>
        <w:t>Air Qualit</w:t>
      </w:r>
      <w:r w:rsidRPr="00601E48">
        <w:rPr>
          <w:rFonts w:ascii="Arial" w:hAnsi="Arial" w:cs="Arial"/>
          <w:b/>
          <w:bCs/>
          <w:sz w:val="20"/>
          <w:szCs w:val="20"/>
        </w:rPr>
        <w:t>y</w:t>
      </w:r>
      <w:r w:rsidRPr="00601E48">
        <w:rPr>
          <w:rFonts w:ascii="Arial" w:hAnsi="Arial" w:cs="Arial"/>
          <w:b/>
          <w:sz w:val="20"/>
          <w:szCs w:val="20"/>
        </w:rPr>
        <w:t>:</w:t>
      </w:r>
      <w:r w:rsidRPr="00045A3A">
        <w:rPr>
          <w:rFonts w:ascii="Arial" w:hAnsi="Arial" w:cs="Arial"/>
          <w:sz w:val="20"/>
          <w:szCs w:val="20"/>
        </w:rPr>
        <w:t xml:space="preserve"> DEQ </w:t>
      </w:r>
      <w:r w:rsidR="000F1811">
        <w:rPr>
          <w:rFonts w:ascii="Arial" w:hAnsi="Arial" w:cs="Arial"/>
          <w:sz w:val="20"/>
          <w:szCs w:val="20"/>
        </w:rPr>
        <w:t>ensures</w:t>
      </w:r>
      <w:r w:rsidR="000F1811" w:rsidRPr="00045A3A">
        <w:rPr>
          <w:rFonts w:ascii="Arial" w:hAnsi="Arial" w:cs="Arial"/>
          <w:sz w:val="20"/>
          <w:szCs w:val="20"/>
        </w:rPr>
        <w:t xml:space="preserve"> </w:t>
      </w:r>
      <w:r w:rsidRPr="00045A3A">
        <w:rPr>
          <w:rFonts w:ascii="Arial" w:hAnsi="Arial" w:cs="Arial"/>
          <w:sz w:val="20"/>
          <w:szCs w:val="20"/>
        </w:rPr>
        <w:t xml:space="preserve">compliance with federal and state health-based air quality standards by </w:t>
      </w:r>
      <w:r w:rsidR="001F6077" w:rsidRPr="00045A3A">
        <w:rPr>
          <w:rFonts w:ascii="Arial" w:hAnsi="Arial" w:cs="Arial"/>
          <w:sz w:val="20"/>
          <w:szCs w:val="20"/>
        </w:rPr>
        <w:t xml:space="preserve">collecting air </w:t>
      </w:r>
      <w:r w:rsidR="00E61D34" w:rsidRPr="00045A3A">
        <w:rPr>
          <w:rFonts w:ascii="Arial" w:hAnsi="Arial" w:cs="Arial"/>
          <w:sz w:val="20"/>
          <w:szCs w:val="20"/>
        </w:rPr>
        <w:t xml:space="preserve">quality </w:t>
      </w:r>
      <w:r w:rsidR="001F6077" w:rsidRPr="00045A3A">
        <w:rPr>
          <w:rFonts w:ascii="Arial" w:hAnsi="Arial" w:cs="Arial"/>
          <w:sz w:val="20"/>
          <w:szCs w:val="20"/>
        </w:rPr>
        <w:t>information</w:t>
      </w:r>
      <w:r w:rsidR="005D77D1">
        <w:rPr>
          <w:rFonts w:ascii="Arial" w:hAnsi="Arial" w:cs="Arial"/>
          <w:sz w:val="20"/>
          <w:szCs w:val="20"/>
        </w:rPr>
        <w:t>,</w:t>
      </w:r>
      <w:r w:rsidR="001F6077" w:rsidRPr="00045A3A">
        <w:rPr>
          <w:rFonts w:ascii="Arial" w:hAnsi="Arial" w:cs="Arial"/>
          <w:sz w:val="20"/>
          <w:szCs w:val="20"/>
        </w:rPr>
        <w:t xml:space="preserve"> monitoring</w:t>
      </w:r>
      <w:r w:rsidR="005D77D1">
        <w:rPr>
          <w:rFonts w:ascii="Arial" w:hAnsi="Arial" w:cs="Arial"/>
          <w:sz w:val="20"/>
          <w:szCs w:val="20"/>
        </w:rPr>
        <w:t>,</w:t>
      </w:r>
      <w:r w:rsidRPr="00045A3A">
        <w:rPr>
          <w:rFonts w:ascii="Arial" w:hAnsi="Arial" w:cs="Arial"/>
          <w:sz w:val="20"/>
          <w:szCs w:val="20"/>
        </w:rPr>
        <w:t xml:space="preserve"> developing and issuing permits</w:t>
      </w:r>
      <w:r w:rsidR="005D77D1">
        <w:rPr>
          <w:rFonts w:ascii="Arial" w:hAnsi="Arial" w:cs="Arial"/>
          <w:sz w:val="20"/>
          <w:szCs w:val="20"/>
        </w:rPr>
        <w:t>,</w:t>
      </w:r>
      <w:r w:rsidRPr="00045A3A">
        <w:rPr>
          <w:rFonts w:ascii="Arial" w:hAnsi="Arial" w:cs="Arial"/>
          <w:sz w:val="20"/>
          <w:szCs w:val="20"/>
        </w:rPr>
        <w:t xml:space="preserve"> </w:t>
      </w:r>
      <w:r w:rsidR="00310744">
        <w:rPr>
          <w:rFonts w:ascii="Arial" w:hAnsi="Arial" w:cs="Arial"/>
          <w:sz w:val="20"/>
          <w:szCs w:val="20"/>
        </w:rPr>
        <w:t xml:space="preserve">conducting inspections at facilities, responding to complaints, </w:t>
      </w:r>
      <w:r w:rsidRPr="00045A3A">
        <w:rPr>
          <w:rFonts w:ascii="Arial" w:hAnsi="Arial" w:cs="Arial"/>
          <w:sz w:val="20"/>
          <w:szCs w:val="20"/>
        </w:rPr>
        <w:t>and coordinating air quality improvement efforts among communities, citizen groups, businesses, industries, other state agencies, tribes</w:t>
      </w:r>
      <w:r w:rsidR="00C549F1" w:rsidRPr="00045A3A">
        <w:rPr>
          <w:rFonts w:ascii="Arial" w:hAnsi="Arial" w:cs="Arial"/>
          <w:sz w:val="20"/>
          <w:szCs w:val="20"/>
        </w:rPr>
        <w:t>,</w:t>
      </w:r>
      <w:r w:rsidRPr="00045A3A">
        <w:rPr>
          <w:rFonts w:ascii="Arial" w:hAnsi="Arial" w:cs="Arial"/>
          <w:sz w:val="20"/>
          <w:szCs w:val="20"/>
        </w:rPr>
        <w:t xml:space="preserve"> and the US</w:t>
      </w:r>
      <w:r w:rsidR="004E21DB">
        <w:rPr>
          <w:rFonts w:ascii="Arial" w:hAnsi="Arial" w:cs="Arial"/>
          <w:sz w:val="20"/>
          <w:szCs w:val="20"/>
        </w:rPr>
        <w:t> </w:t>
      </w:r>
      <w:r w:rsidRPr="00045A3A">
        <w:rPr>
          <w:rFonts w:ascii="Arial" w:hAnsi="Arial" w:cs="Arial"/>
          <w:sz w:val="20"/>
          <w:szCs w:val="20"/>
        </w:rPr>
        <w:t xml:space="preserve">Environmental Protection Agency </w:t>
      </w:r>
      <w:r w:rsidR="0037009D">
        <w:rPr>
          <w:rFonts w:ascii="Arial" w:hAnsi="Arial" w:cs="Arial"/>
          <w:sz w:val="20"/>
          <w:szCs w:val="20"/>
        </w:rPr>
        <w:t xml:space="preserve">(EPA) </w:t>
      </w:r>
      <w:r w:rsidR="006C4744" w:rsidRPr="00045A3A">
        <w:rPr>
          <w:rFonts w:ascii="Arial" w:hAnsi="Arial" w:cs="Arial"/>
          <w:sz w:val="20"/>
          <w:szCs w:val="20"/>
        </w:rPr>
        <w:t>(T</w:t>
      </w:r>
      <w:r w:rsidRPr="00045A3A">
        <w:rPr>
          <w:rFonts w:ascii="Arial" w:hAnsi="Arial" w:cs="Arial"/>
          <w:sz w:val="20"/>
          <w:szCs w:val="20"/>
        </w:rPr>
        <w:t xml:space="preserve">itle 39, </w:t>
      </w:r>
      <w:r w:rsidR="006C4744" w:rsidRPr="00045A3A">
        <w:rPr>
          <w:rFonts w:ascii="Arial" w:hAnsi="Arial" w:cs="Arial"/>
          <w:sz w:val="20"/>
          <w:szCs w:val="20"/>
        </w:rPr>
        <w:t>C</w:t>
      </w:r>
      <w:r w:rsidRPr="00045A3A">
        <w:rPr>
          <w:rFonts w:ascii="Arial" w:hAnsi="Arial" w:cs="Arial"/>
          <w:sz w:val="20"/>
          <w:szCs w:val="20"/>
        </w:rPr>
        <w:t>hapter 1</w:t>
      </w:r>
      <w:r w:rsidR="00E2559A" w:rsidRPr="00045A3A">
        <w:rPr>
          <w:rFonts w:ascii="Arial" w:hAnsi="Arial" w:cs="Arial"/>
          <w:sz w:val="20"/>
          <w:szCs w:val="20"/>
        </w:rPr>
        <w:t>, Idaho Code</w:t>
      </w:r>
      <w:r w:rsidR="006E428D">
        <w:rPr>
          <w:rFonts w:ascii="Arial" w:hAnsi="Arial" w:cs="Arial"/>
          <w:sz w:val="20"/>
          <w:szCs w:val="20"/>
        </w:rPr>
        <w:t>;</w:t>
      </w:r>
      <w:r w:rsidR="00EE49D5" w:rsidRPr="00045A3A">
        <w:rPr>
          <w:rFonts w:ascii="Arial" w:hAnsi="Arial" w:cs="Arial"/>
          <w:sz w:val="20"/>
          <w:szCs w:val="20"/>
        </w:rPr>
        <w:t xml:space="preserve"> </w:t>
      </w:r>
      <w:r w:rsidRPr="00045A3A">
        <w:rPr>
          <w:rFonts w:ascii="Arial" w:hAnsi="Arial" w:cs="Arial"/>
          <w:sz w:val="20"/>
          <w:szCs w:val="20"/>
        </w:rPr>
        <w:t>Clean Air Act</w:t>
      </w:r>
      <w:r w:rsidR="00CE5253" w:rsidRPr="00045A3A">
        <w:rPr>
          <w:rFonts w:ascii="Arial" w:hAnsi="Arial" w:cs="Arial"/>
          <w:sz w:val="20"/>
          <w:szCs w:val="20"/>
        </w:rPr>
        <w:t>)</w:t>
      </w:r>
      <w:r w:rsidR="006C4744" w:rsidRPr="00045A3A">
        <w:rPr>
          <w:rFonts w:ascii="Arial" w:hAnsi="Arial" w:cs="Arial"/>
          <w:sz w:val="20"/>
          <w:szCs w:val="20"/>
        </w:rPr>
        <w:t>.</w:t>
      </w:r>
    </w:p>
    <w:p w14:paraId="7F806852" w14:textId="77777777" w:rsidR="00571E39" w:rsidRPr="00045A3A" w:rsidRDefault="00571E39" w:rsidP="00A605E7">
      <w:pPr>
        <w:ind w:left="360"/>
        <w:jc w:val="both"/>
        <w:rPr>
          <w:rFonts w:ascii="Arial" w:hAnsi="Arial" w:cs="Arial"/>
          <w:sz w:val="20"/>
          <w:szCs w:val="20"/>
        </w:rPr>
      </w:pPr>
    </w:p>
    <w:p w14:paraId="7C2F1F7A" w14:textId="77777777" w:rsidR="00571E39" w:rsidRDefault="008A5747" w:rsidP="00A605E7">
      <w:pPr>
        <w:numPr>
          <w:ilvl w:val="0"/>
          <w:numId w:val="11"/>
        </w:numPr>
        <w:jc w:val="both"/>
        <w:rPr>
          <w:rFonts w:ascii="Arial" w:hAnsi="Arial" w:cs="Arial"/>
          <w:sz w:val="20"/>
          <w:szCs w:val="20"/>
        </w:rPr>
      </w:pPr>
      <w:r w:rsidRPr="006E428D">
        <w:rPr>
          <w:rFonts w:ascii="Arial" w:hAnsi="Arial" w:cs="Arial"/>
          <w:b/>
          <w:bCs/>
          <w:sz w:val="20"/>
          <w:szCs w:val="20"/>
        </w:rPr>
        <w:t>Water Quality:</w:t>
      </w:r>
      <w:r w:rsidRPr="006E428D">
        <w:rPr>
          <w:rFonts w:ascii="Arial" w:hAnsi="Arial" w:cs="Arial"/>
          <w:sz w:val="20"/>
          <w:szCs w:val="20"/>
        </w:rPr>
        <w:t xml:space="preserve"> DEQ </w:t>
      </w:r>
      <w:r w:rsidR="00EE07A7" w:rsidRPr="006E428D">
        <w:rPr>
          <w:rFonts w:ascii="Arial" w:hAnsi="Arial" w:cs="Arial"/>
          <w:sz w:val="20"/>
          <w:szCs w:val="20"/>
        </w:rPr>
        <w:t>protect</w:t>
      </w:r>
      <w:r w:rsidR="007401DB" w:rsidRPr="006E428D">
        <w:rPr>
          <w:rFonts w:ascii="Arial" w:hAnsi="Arial" w:cs="Arial"/>
          <w:sz w:val="20"/>
          <w:szCs w:val="20"/>
        </w:rPr>
        <w:t>s</w:t>
      </w:r>
      <w:r w:rsidR="00EE07A7" w:rsidRPr="006E428D">
        <w:rPr>
          <w:rFonts w:ascii="Arial" w:hAnsi="Arial" w:cs="Arial"/>
          <w:sz w:val="20"/>
          <w:szCs w:val="20"/>
        </w:rPr>
        <w:t xml:space="preserve"> </w:t>
      </w:r>
      <w:r w:rsidR="00601E48" w:rsidRPr="006E428D">
        <w:rPr>
          <w:rFonts w:ascii="Arial" w:hAnsi="Arial" w:cs="Arial"/>
          <w:sz w:val="20"/>
          <w:szCs w:val="20"/>
        </w:rPr>
        <w:t xml:space="preserve">the surface and ground </w:t>
      </w:r>
      <w:r w:rsidRPr="006E428D">
        <w:rPr>
          <w:rFonts w:ascii="Arial" w:hAnsi="Arial" w:cs="Arial"/>
          <w:sz w:val="20"/>
          <w:szCs w:val="20"/>
        </w:rPr>
        <w:t>waters of the state to support beneficial uses and provid</w:t>
      </w:r>
      <w:r w:rsidR="00EE07A7" w:rsidRPr="006E428D">
        <w:rPr>
          <w:rFonts w:ascii="Arial" w:hAnsi="Arial" w:cs="Arial"/>
          <w:sz w:val="20"/>
          <w:szCs w:val="20"/>
        </w:rPr>
        <w:t>e</w:t>
      </w:r>
      <w:r w:rsidRPr="006E428D">
        <w:rPr>
          <w:rFonts w:ascii="Arial" w:hAnsi="Arial" w:cs="Arial"/>
          <w:sz w:val="20"/>
          <w:szCs w:val="20"/>
        </w:rPr>
        <w:t xml:space="preserve"> safe drinking water supplies by setting </w:t>
      </w:r>
      <w:r w:rsidR="006E428D" w:rsidRPr="006E428D">
        <w:rPr>
          <w:rFonts w:ascii="Arial" w:hAnsi="Arial" w:cs="Arial"/>
          <w:sz w:val="20"/>
          <w:szCs w:val="20"/>
        </w:rPr>
        <w:t xml:space="preserve">water quality </w:t>
      </w:r>
      <w:r w:rsidRPr="006E428D">
        <w:rPr>
          <w:rFonts w:ascii="Arial" w:hAnsi="Arial" w:cs="Arial"/>
          <w:sz w:val="20"/>
          <w:szCs w:val="20"/>
        </w:rPr>
        <w:t>standards, certifying project compliance with standards, monitorin</w:t>
      </w:r>
      <w:r w:rsidR="003B3B9E" w:rsidRPr="006E428D">
        <w:rPr>
          <w:rFonts w:ascii="Arial" w:hAnsi="Arial" w:cs="Arial"/>
          <w:sz w:val="20"/>
          <w:szCs w:val="20"/>
        </w:rPr>
        <w:t xml:space="preserve">g, </w:t>
      </w:r>
      <w:r w:rsidRPr="006E428D">
        <w:rPr>
          <w:rFonts w:ascii="Arial" w:hAnsi="Arial" w:cs="Arial"/>
          <w:sz w:val="20"/>
          <w:szCs w:val="20"/>
        </w:rPr>
        <w:t xml:space="preserve">reporting on </w:t>
      </w:r>
      <w:r w:rsidR="006E428D" w:rsidRPr="006E428D">
        <w:rPr>
          <w:rFonts w:ascii="Arial" w:hAnsi="Arial" w:cs="Arial"/>
          <w:sz w:val="20"/>
          <w:szCs w:val="20"/>
        </w:rPr>
        <w:t xml:space="preserve">water </w:t>
      </w:r>
      <w:r w:rsidRPr="006E428D">
        <w:rPr>
          <w:rFonts w:ascii="Arial" w:hAnsi="Arial" w:cs="Arial"/>
          <w:sz w:val="20"/>
          <w:szCs w:val="20"/>
        </w:rPr>
        <w:t>quality</w:t>
      </w:r>
      <w:r w:rsidR="007401DB" w:rsidRPr="006E428D">
        <w:rPr>
          <w:rFonts w:ascii="Arial" w:hAnsi="Arial" w:cs="Arial"/>
          <w:sz w:val="20"/>
          <w:szCs w:val="20"/>
        </w:rPr>
        <w:t>,</w:t>
      </w:r>
      <w:r w:rsidRPr="006E428D">
        <w:rPr>
          <w:rFonts w:ascii="Arial" w:hAnsi="Arial" w:cs="Arial"/>
          <w:sz w:val="20"/>
          <w:szCs w:val="20"/>
        </w:rPr>
        <w:t xml:space="preserve"> developing and implementing improvement plans</w:t>
      </w:r>
      <w:r w:rsidR="007401DB" w:rsidRPr="006E428D">
        <w:rPr>
          <w:rFonts w:ascii="Arial" w:hAnsi="Arial" w:cs="Arial"/>
          <w:sz w:val="20"/>
          <w:szCs w:val="20"/>
        </w:rPr>
        <w:t>,</w:t>
      </w:r>
      <w:r w:rsidRPr="006E428D">
        <w:rPr>
          <w:rFonts w:ascii="Arial" w:hAnsi="Arial" w:cs="Arial"/>
          <w:sz w:val="20"/>
          <w:szCs w:val="20"/>
        </w:rPr>
        <w:t xml:space="preserve"> issuing wastewater</w:t>
      </w:r>
      <w:r w:rsidR="006C4744" w:rsidRPr="006E428D">
        <w:rPr>
          <w:rFonts w:ascii="Arial" w:hAnsi="Arial" w:cs="Arial"/>
          <w:sz w:val="20"/>
          <w:szCs w:val="20"/>
        </w:rPr>
        <w:t xml:space="preserve"> </w:t>
      </w:r>
      <w:r w:rsidRPr="006E428D">
        <w:rPr>
          <w:rFonts w:ascii="Arial" w:hAnsi="Arial" w:cs="Arial"/>
          <w:sz w:val="20"/>
          <w:szCs w:val="20"/>
        </w:rPr>
        <w:t>reuse</w:t>
      </w:r>
      <w:r w:rsidR="00A775D3">
        <w:rPr>
          <w:rFonts w:ascii="Arial" w:hAnsi="Arial" w:cs="Arial"/>
          <w:sz w:val="20"/>
          <w:szCs w:val="20"/>
        </w:rPr>
        <w:t xml:space="preserve"> and direct discharge</w:t>
      </w:r>
      <w:r w:rsidRPr="006E428D">
        <w:rPr>
          <w:rFonts w:ascii="Arial" w:hAnsi="Arial" w:cs="Arial"/>
          <w:sz w:val="20"/>
          <w:szCs w:val="20"/>
        </w:rPr>
        <w:t xml:space="preserve"> permits</w:t>
      </w:r>
      <w:r w:rsidR="007401DB" w:rsidRPr="006E428D">
        <w:rPr>
          <w:rFonts w:ascii="Arial" w:hAnsi="Arial" w:cs="Arial"/>
          <w:sz w:val="20"/>
          <w:szCs w:val="20"/>
        </w:rPr>
        <w:t>,</w:t>
      </w:r>
      <w:r w:rsidRPr="006E428D">
        <w:rPr>
          <w:rFonts w:ascii="Arial" w:hAnsi="Arial" w:cs="Arial"/>
          <w:sz w:val="20"/>
          <w:szCs w:val="20"/>
        </w:rPr>
        <w:t xml:space="preserve"> and providing grants and loans for </w:t>
      </w:r>
      <w:r w:rsidR="009C4332" w:rsidRPr="006E428D">
        <w:rPr>
          <w:rFonts w:ascii="Arial" w:hAnsi="Arial" w:cs="Arial"/>
          <w:sz w:val="20"/>
          <w:szCs w:val="20"/>
        </w:rPr>
        <w:t xml:space="preserve">constructing </w:t>
      </w:r>
      <w:r w:rsidRPr="006E428D">
        <w:rPr>
          <w:rFonts w:ascii="Arial" w:hAnsi="Arial" w:cs="Arial"/>
          <w:sz w:val="20"/>
          <w:szCs w:val="20"/>
        </w:rPr>
        <w:t xml:space="preserve">drinking water and wastewater </w:t>
      </w:r>
      <w:r w:rsidR="00EE07A7" w:rsidRPr="006E428D">
        <w:rPr>
          <w:rFonts w:ascii="Arial" w:hAnsi="Arial" w:cs="Arial"/>
          <w:sz w:val="20"/>
          <w:szCs w:val="20"/>
        </w:rPr>
        <w:t>treatment facilit</w:t>
      </w:r>
      <w:r w:rsidR="003B3B9E" w:rsidRPr="006E428D">
        <w:rPr>
          <w:rFonts w:ascii="Arial" w:hAnsi="Arial" w:cs="Arial"/>
          <w:sz w:val="20"/>
          <w:szCs w:val="20"/>
        </w:rPr>
        <w:t>ies</w:t>
      </w:r>
      <w:r w:rsidR="006C4744" w:rsidRPr="006E428D">
        <w:rPr>
          <w:rFonts w:ascii="Arial" w:hAnsi="Arial" w:cs="Arial"/>
          <w:sz w:val="20"/>
          <w:szCs w:val="20"/>
        </w:rPr>
        <w:t xml:space="preserve"> (T</w:t>
      </w:r>
      <w:r w:rsidR="00571E39" w:rsidRPr="006E428D">
        <w:rPr>
          <w:rFonts w:ascii="Arial" w:hAnsi="Arial" w:cs="Arial"/>
          <w:sz w:val="20"/>
          <w:szCs w:val="20"/>
        </w:rPr>
        <w:t xml:space="preserve">itle 39, </w:t>
      </w:r>
      <w:r w:rsidR="006C4744" w:rsidRPr="006E428D">
        <w:rPr>
          <w:rFonts w:ascii="Arial" w:hAnsi="Arial" w:cs="Arial"/>
          <w:sz w:val="20"/>
          <w:szCs w:val="20"/>
        </w:rPr>
        <w:t>C</w:t>
      </w:r>
      <w:r w:rsidR="00571E39" w:rsidRPr="006E428D">
        <w:rPr>
          <w:rFonts w:ascii="Arial" w:hAnsi="Arial" w:cs="Arial"/>
          <w:sz w:val="20"/>
          <w:szCs w:val="20"/>
        </w:rPr>
        <w:t>hapters 1, 36, 66, 76</w:t>
      </w:r>
      <w:r w:rsidR="00DE1819" w:rsidRPr="006E428D">
        <w:rPr>
          <w:rFonts w:ascii="Arial" w:hAnsi="Arial" w:cs="Arial"/>
          <w:sz w:val="20"/>
          <w:szCs w:val="20"/>
        </w:rPr>
        <w:t xml:space="preserve">, </w:t>
      </w:r>
      <w:r w:rsidR="004C7BD1">
        <w:rPr>
          <w:rFonts w:ascii="Arial" w:hAnsi="Arial" w:cs="Arial"/>
          <w:sz w:val="20"/>
          <w:szCs w:val="20"/>
        </w:rPr>
        <w:t xml:space="preserve">79, 85, </w:t>
      </w:r>
      <w:r w:rsidR="00DE1819" w:rsidRPr="006E428D">
        <w:rPr>
          <w:rFonts w:ascii="Arial" w:hAnsi="Arial" w:cs="Arial"/>
          <w:sz w:val="20"/>
          <w:szCs w:val="20"/>
        </w:rPr>
        <w:t>Idaho Code</w:t>
      </w:r>
      <w:r w:rsidR="00571E39" w:rsidRPr="006E428D">
        <w:rPr>
          <w:rFonts w:ascii="Arial" w:hAnsi="Arial" w:cs="Arial"/>
          <w:sz w:val="20"/>
          <w:szCs w:val="20"/>
        </w:rPr>
        <w:t xml:space="preserve">; </w:t>
      </w:r>
      <w:r w:rsidR="006E428D">
        <w:rPr>
          <w:rFonts w:ascii="Arial" w:hAnsi="Arial" w:cs="Arial"/>
          <w:sz w:val="20"/>
          <w:szCs w:val="20"/>
        </w:rPr>
        <w:t>T</w:t>
      </w:r>
      <w:r w:rsidR="00571E39" w:rsidRPr="006E428D">
        <w:rPr>
          <w:rFonts w:ascii="Arial" w:hAnsi="Arial" w:cs="Arial"/>
          <w:sz w:val="20"/>
          <w:szCs w:val="20"/>
        </w:rPr>
        <w:t xml:space="preserve">itle 37, </w:t>
      </w:r>
      <w:r w:rsidR="006E428D">
        <w:rPr>
          <w:rFonts w:ascii="Arial" w:hAnsi="Arial" w:cs="Arial"/>
          <w:sz w:val="20"/>
          <w:szCs w:val="20"/>
        </w:rPr>
        <w:t>C</w:t>
      </w:r>
      <w:r w:rsidR="00571E39" w:rsidRPr="006E428D">
        <w:rPr>
          <w:rFonts w:ascii="Arial" w:hAnsi="Arial" w:cs="Arial"/>
          <w:sz w:val="20"/>
          <w:szCs w:val="20"/>
        </w:rPr>
        <w:t>hapter 21</w:t>
      </w:r>
      <w:r w:rsidR="00DE1819" w:rsidRPr="006E428D">
        <w:rPr>
          <w:rFonts w:ascii="Arial" w:hAnsi="Arial" w:cs="Arial"/>
          <w:sz w:val="20"/>
          <w:szCs w:val="20"/>
        </w:rPr>
        <w:t>, Idaho Code</w:t>
      </w:r>
      <w:r w:rsidR="00571E39" w:rsidRPr="006E428D">
        <w:rPr>
          <w:rFonts w:ascii="Arial" w:hAnsi="Arial" w:cs="Arial"/>
          <w:sz w:val="20"/>
          <w:szCs w:val="20"/>
        </w:rPr>
        <w:t>;</w:t>
      </w:r>
      <w:r w:rsidR="004C7BD1">
        <w:rPr>
          <w:rFonts w:ascii="Arial" w:hAnsi="Arial" w:cs="Arial"/>
          <w:sz w:val="20"/>
          <w:szCs w:val="20"/>
        </w:rPr>
        <w:t xml:space="preserve"> Title 50 Chapter 13</w:t>
      </w:r>
      <w:r w:rsidR="00B449F5">
        <w:rPr>
          <w:rFonts w:ascii="Arial" w:hAnsi="Arial" w:cs="Arial"/>
          <w:sz w:val="20"/>
          <w:szCs w:val="20"/>
        </w:rPr>
        <w:t xml:space="preserve"> Idaho Code</w:t>
      </w:r>
      <w:r w:rsidR="004C7BD1">
        <w:rPr>
          <w:rFonts w:ascii="Arial" w:hAnsi="Arial" w:cs="Arial"/>
          <w:sz w:val="20"/>
          <w:szCs w:val="20"/>
        </w:rPr>
        <w:t>;</w:t>
      </w:r>
      <w:r w:rsidR="00571E39" w:rsidRPr="006E428D">
        <w:rPr>
          <w:rFonts w:ascii="Arial" w:hAnsi="Arial" w:cs="Arial"/>
          <w:sz w:val="20"/>
          <w:szCs w:val="20"/>
        </w:rPr>
        <w:t xml:space="preserve"> Clean Water Act</w:t>
      </w:r>
      <w:r w:rsidR="007F53CC" w:rsidRPr="006E428D">
        <w:rPr>
          <w:rFonts w:ascii="Arial" w:hAnsi="Arial" w:cs="Arial"/>
          <w:sz w:val="20"/>
          <w:szCs w:val="20"/>
        </w:rPr>
        <w:t>)</w:t>
      </w:r>
      <w:r w:rsidR="006C4744" w:rsidRPr="006E428D">
        <w:rPr>
          <w:rFonts w:ascii="Arial" w:hAnsi="Arial" w:cs="Arial"/>
          <w:sz w:val="20"/>
          <w:szCs w:val="20"/>
        </w:rPr>
        <w:t>.</w:t>
      </w:r>
    </w:p>
    <w:p w14:paraId="36D777BE" w14:textId="77777777" w:rsidR="00A83F71" w:rsidRPr="006E428D" w:rsidRDefault="00A83F71" w:rsidP="00A605E7">
      <w:pPr>
        <w:pStyle w:val="BodyText"/>
        <w:spacing w:after="0"/>
        <w:jc w:val="both"/>
      </w:pPr>
    </w:p>
    <w:p w14:paraId="03198793" w14:textId="77777777" w:rsidR="00571E39" w:rsidRDefault="00A87F43" w:rsidP="00A605E7">
      <w:pPr>
        <w:pStyle w:val="content"/>
        <w:numPr>
          <w:ilvl w:val="0"/>
          <w:numId w:val="11"/>
        </w:numPr>
        <w:spacing w:before="0" w:beforeAutospacing="0" w:after="0" w:afterAutospacing="0"/>
        <w:jc w:val="both"/>
        <w:rPr>
          <w:rStyle w:val="content1"/>
          <w:rFonts w:ascii="Arial" w:hAnsi="Arial" w:cs="Arial"/>
          <w:sz w:val="20"/>
          <w:szCs w:val="20"/>
        </w:rPr>
      </w:pPr>
      <w:r w:rsidRPr="00045A3A">
        <w:rPr>
          <w:rFonts w:ascii="Arial" w:hAnsi="Arial" w:cs="Arial"/>
          <w:b/>
          <w:bCs/>
          <w:sz w:val="20"/>
          <w:szCs w:val="20"/>
        </w:rPr>
        <w:t>Waste Management and Remediation:</w:t>
      </w:r>
      <w:r w:rsidR="00712005" w:rsidRPr="00045A3A">
        <w:rPr>
          <w:rFonts w:ascii="Arial" w:hAnsi="Arial" w:cs="Arial"/>
          <w:sz w:val="20"/>
          <w:szCs w:val="20"/>
        </w:rPr>
        <w:t xml:space="preserve"> </w:t>
      </w:r>
      <w:r w:rsidRPr="00045A3A">
        <w:rPr>
          <w:rFonts w:ascii="Arial" w:hAnsi="Arial" w:cs="Arial"/>
          <w:sz w:val="20"/>
          <w:szCs w:val="20"/>
        </w:rPr>
        <w:t xml:space="preserve">DEQ ensures </w:t>
      </w:r>
      <w:r w:rsidR="00712005" w:rsidRPr="00045A3A">
        <w:rPr>
          <w:rFonts w:ascii="Arial" w:hAnsi="Arial" w:cs="Arial"/>
          <w:sz w:val="20"/>
          <w:szCs w:val="20"/>
        </w:rPr>
        <w:t xml:space="preserve">management and disposal of </w:t>
      </w:r>
      <w:r w:rsidRPr="00045A3A">
        <w:rPr>
          <w:rFonts w:ascii="Arial" w:hAnsi="Arial" w:cs="Arial"/>
          <w:sz w:val="20"/>
          <w:szCs w:val="20"/>
        </w:rPr>
        <w:t xml:space="preserve">waste generated in or entering </w:t>
      </w:r>
      <w:r w:rsidR="00712005" w:rsidRPr="00045A3A">
        <w:rPr>
          <w:rFonts w:ascii="Arial" w:hAnsi="Arial" w:cs="Arial"/>
          <w:sz w:val="20"/>
          <w:szCs w:val="20"/>
        </w:rPr>
        <w:t>Idaho</w:t>
      </w:r>
      <w:r w:rsidRPr="00045A3A">
        <w:rPr>
          <w:rFonts w:ascii="Arial" w:hAnsi="Arial" w:cs="Arial"/>
          <w:sz w:val="20"/>
          <w:szCs w:val="20"/>
        </w:rPr>
        <w:t xml:space="preserve"> </w:t>
      </w:r>
      <w:r w:rsidR="004E21DB">
        <w:rPr>
          <w:rFonts w:ascii="Arial" w:hAnsi="Arial" w:cs="Arial"/>
          <w:sz w:val="20"/>
          <w:szCs w:val="20"/>
        </w:rPr>
        <w:t xml:space="preserve">is conducted </w:t>
      </w:r>
      <w:r w:rsidRPr="00045A3A">
        <w:rPr>
          <w:rFonts w:ascii="Arial" w:hAnsi="Arial" w:cs="Arial"/>
          <w:sz w:val="20"/>
          <w:szCs w:val="20"/>
        </w:rPr>
        <w:t>in a manner protective of human health and the environment. DEQ</w:t>
      </w:r>
      <w:r w:rsidR="00571E39" w:rsidRPr="00045A3A">
        <w:rPr>
          <w:rFonts w:ascii="Arial" w:hAnsi="Arial" w:cs="Arial"/>
          <w:sz w:val="20"/>
          <w:szCs w:val="20"/>
        </w:rPr>
        <w:t xml:space="preserve"> responds to releases of hazardous substances to surface waters, ground water</w:t>
      </w:r>
      <w:r w:rsidRPr="00045A3A">
        <w:rPr>
          <w:rFonts w:ascii="Arial" w:hAnsi="Arial" w:cs="Arial"/>
          <w:sz w:val="20"/>
          <w:szCs w:val="20"/>
        </w:rPr>
        <w:t>s,</w:t>
      </w:r>
      <w:r w:rsidR="00571E39" w:rsidRPr="00045A3A">
        <w:rPr>
          <w:rFonts w:ascii="Arial" w:hAnsi="Arial" w:cs="Arial"/>
          <w:sz w:val="20"/>
          <w:szCs w:val="20"/>
        </w:rPr>
        <w:t xml:space="preserve"> or soils</w:t>
      </w:r>
      <w:r w:rsidR="009C4332">
        <w:rPr>
          <w:rFonts w:ascii="Arial" w:hAnsi="Arial" w:cs="Arial"/>
          <w:sz w:val="20"/>
          <w:szCs w:val="20"/>
        </w:rPr>
        <w:t xml:space="preserve"> and </w:t>
      </w:r>
      <w:r w:rsidR="006F3595" w:rsidRPr="00045A3A">
        <w:rPr>
          <w:rFonts w:ascii="Arial" w:hAnsi="Arial" w:cs="Arial"/>
          <w:sz w:val="20"/>
          <w:szCs w:val="20"/>
        </w:rPr>
        <w:t>conducts, oversees, and negotiates cleanup of contaminated sites</w:t>
      </w:r>
      <w:r w:rsidR="009C4332">
        <w:rPr>
          <w:rFonts w:ascii="Arial" w:hAnsi="Arial" w:cs="Arial"/>
          <w:sz w:val="20"/>
          <w:szCs w:val="20"/>
        </w:rPr>
        <w:t>.</w:t>
      </w:r>
      <w:r w:rsidR="006F3595" w:rsidRPr="00045A3A">
        <w:rPr>
          <w:rFonts w:ascii="Arial" w:hAnsi="Arial" w:cs="Arial"/>
          <w:sz w:val="20"/>
          <w:szCs w:val="20"/>
        </w:rPr>
        <w:t xml:space="preserve"> </w:t>
      </w:r>
      <w:r w:rsidR="009C4332">
        <w:rPr>
          <w:rFonts w:ascii="Arial" w:hAnsi="Arial" w:cs="Arial"/>
          <w:sz w:val="20"/>
          <w:szCs w:val="20"/>
        </w:rPr>
        <w:t xml:space="preserve">DEQ works </w:t>
      </w:r>
      <w:r w:rsidR="006F3595" w:rsidRPr="00045A3A">
        <w:rPr>
          <w:rFonts w:ascii="Arial" w:hAnsi="Arial" w:cs="Arial"/>
          <w:sz w:val="20"/>
          <w:szCs w:val="20"/>
        </w:rPr>
        <w:t>with communities</w:t>
      </w:r>
      <w:r w:rsidR="009C4332">
        <w:rPr>
          <w:rFonts w:ascii="Arial" w:hAnsi="Arial" w:cs="Arial"/>
          <w:sz w:val="20"/>
          <w:szCs w:val="20"/>
        </w:rPr>
        <w:t xml:space="preserve"> to</w:t>
      </w:r>
      <w:r w:rsidR="006F3595" w:rsidRPr="00045A3A">
        <w:rPr>
          <w:rFonts w:ascii="Arial" w:hAnsi="Arial" w:cs="Arial"/>
          <w:sz w:val="20"/>
          <w:szCs w:val="20"/>
        </w:rPr>
        <w:t xml:space="preserve"> rehabilitate contaminated sites to</w:t>
      </w:r>
      <w:r w:rsidR="009C4332">
        <w:rPr>
          <w:rFonts w:ascii="Arial" w:hAnsi="Arial" w:cs="Arial"/>
          <w:sz w:val="20"/>
          <w:szCs w:val="20"/>
        </w:rPr>
        <w:t xml:space="preserve"> return them to</w:t>
      </w:r>
      <w:r w:rsidR="006E428D">
        <w:rPr>
          <w:rFonts w:ascii="Arial" w:hAnsi="Arial" w:cs="Arial"/>
          <w:sz w:val="20"/>
          <w:szCs w:val="20"/>
        </w:rPr>
        <w:t xml:space="preserve"> a</w:t>
      </w:r>
      <w:r w:rsidR="009C4332">
        <w:rPr>
          <w:rFonts w:ascii="Arial" w:hAnsi="Arial" w:cs="Arial"/>
          <w:sz w:val="20"/>
          <w:szCs w:val="20"/>
        </w:rPr>
        <w:t xml:space="preserve"> safe and developable condition </w:t>
      </w:r>
      <w:r w:rsidR="006C4744" w:rsidRPr="00045A3A">
        <w:rPr>
          <w:rFonts w:ascii="Arial" w:hAnsi="Arial" w:cs="Arial"/>
          <w:sz w:val="20"/>
          <w:szCs w:val="20"/>
        </w:rPr>
        <w:t>(T</w:t>
      </w:r>
      <w:r w:rsidR="004C206D" w:rsidRPr="00045A3A">
        <w:rPr>
          <w:rFonts w:ascii="Arial" w:hAnsi="Arial" w:cs="Arial"/>
          <w:sz w:val="20"/>
          <w:szCs w:val="20"/>
        </w:rPr>
        <w:t xml:space="preserve">itle 39, </w:t>
      </w:r>
      <w:r w:rsidR="006C4744" w:rsidRPr="00045A3A">
        <w:rPr>
          <w:rFonts w:ascii="Arial" w:hAnsi="Arial" w:cs="Arial"/>
          <w:sz w:val="20"/>
          <w:szCs w:val="20"/>
        </w:rPr>
        <w:t>C</w:t>
      </w:r>
      <w:r w:rsidR="004C206D" w:rsidRPr="00045A3A">
        <w:rPr>
          <w:rFonts w:ascii="Arial" w:hAnsi="Arial" w:cs="Arial"/>
          <w:sz w:val="20"/>
          <w:szCs w:val="20"/>
        </w:rPr>
        <w:t>hapters 1,</w:t>
      </w:r>
      <w:r w:rsidR="00174300">
        <w:rPr>
          <w:rFonts w:ascii="Arial" w:hAnsi="Arial" w:cs="Arial"/>
          <w:sz w:val="20"/>
          <w:szCs w:val="20"/>
        </w:rPr>
        <w:t xml:space="preserve"> 30,</w:t>
      </w:r>
      <w:r w:rsidR="004C206D" w:rsidRPr="00045A3A">
        <w:rPr>
          <w:rFonts w:ascii="Arial" w:hAnsi="Arial" w:cs="Arial"/>
          <w:sz w:val="20"/>
          <w:szCs w:val="20"/>
        </w:rPr>
        <w:t xml:space="preserve"> 44, 58, 65, 71,</w:t>
      </w:r>
      <w:r w:rsidR="004C7BD1">
        <w:rPr>
          <w:rFonts w:ascii="Arial" w:hAnsi="Arial" w:cs="Arial"/>
          <w:sz w:val="20"/>
          <w:szCs w:val="20"/>
        </w:rPr>
        <w:t xml:space="preserve"> 72.</w:t>
      </w:r>
      <w:r w:rsidR="004C206D" w:rsidRPr="00045A3A">
        <w:rPr>
          <w:rFonts w:ascii="Arial" w:hAnsi="Arial" w:cs="Arial"/>
          <w:sz w:val="20"/>
          <w:szCs w:val="20"/>
        </w:rPr>
        <w:t xml:space="preserve"> 74, 81</w:t>
      </w:r>
      <w:r w:rsidR="007F53CC" w:rsidRPr="00045A3A">
        <w:rPr>
          <w:rFonts w:ascii="Arial" w:hAnsi="Arial" w:cs="Arial"/>
          <w:sz w:val="20"/>
          <w:szCs w:val="20"/>
        </w:rPr>
        <w:t xml:space="preserve">, </w:t>
      </w:r>
      <w:r w:rsidR="004C7BD1">
        <w:rPr>
          <w:rFonts w:ascii="Arial" w:hAnsi="Arial" w:cs="Arial"/>
          <w:sz w:val="20"/>
          <w:szCs w:val="20"/>
        </w:rPr>
        <w:t xml:space="preserve">88, </w:t>
      </w:r>
      <w:r w:rsidR="007F53CC" w:rsidRPr="00045A3A">
        <w:rPr>
          <w:rFonts w:ascii="Arial" w:hAnsi="Arial" w:cs="Arial"/>
          <w:sz w:val="20"/>
          <w:szCs w:val="20"/>
        </w:rPr>
        <w:t>Idaho Code</w:t>
      </w:r>
      <w:r w:rsidR="004C206D" w:rsidRPr="00045A3A">
        <w:rPr>
          <w:rFonts w:ascii="Arial" w:hAnsi="Arial" w:cs="Arial"/>
          <w:sz w:val="20"/>
          <w:szCs w:val="20"/>
        </w:rPr>
        <w:t>; Resource Conservation and Recovery Act</w:t>
      </w:r>
      <w:r w:rsidR="003D5694" w:rsidRPr="00045A3A">
        <w:rPr>
          <w:rFonts w:ascii="Arial" w:hAnsi="Arial" w:cs="Arial"/>
          <w:sz w:val="20"/>
          <w:szCs w:val="20"/>
        </w:rPr>
        <w:t>; Comprehensive</w:t>
      </w:r>
      <w:r w:rsidR="004C206D" w:rsidRPr="00045A3A">
        <w:rPr>
          <w:rStyle w:val="content1"/>
          <w:rFonts w:ascii="Arial" w:hAnsi="Arial" w:cs="Arial"/>
          <w:sz w:val="20"/>
          <w:szCs w:val="20"/>
        </w:rPr>
        <w:t xml:space="preserve"> Environmental Response, Compensation</w:t>
      </w:r>
      <w:r w:rsidR="006E428D">
        <w:rPr>
          <w:rStyle w:val="content1"/>
          <w:rFonts w:ascii="Arial" w:hAnsi="Arial" w:cs="Arial"/>
          <w:sz w:val="20"/>
          <w:szCs w:val="20"/>
        </w:rPr>
        <w:t>,</w:t>
      </w:r>
      <w:r w:rsidR="004C206D" w:rsidRPr="00045A3A">
        <w:rPr>
          <w:rStyle w:val="content1"/>
          <w:rFonts w:ascii="Arial" w:hAnsi="Arial" w:cs="Arial"/>
          <w:sz w:val="20"/>
          <w:szCs w:val="20"/>
        </w:rPr>
        <w:t xml:space="preserve"> and Liability Act</w:t>
      </w:r>
      <w:r w:rsidR="008B02AF" w:rsidRPr="00045A3A">
        <w:rPr>
          <w:rStyle w:val="content1"/>
          <w:rFonts w:ascii="Arial" w:hAnsi="Arial" w:cs="Arial"/>
          <w:sz w:val="20"/>
          <w:szCs w:val="20"/>
        </w:rPr>
        <w:t>)</w:t>
      </w:r>
      <w:r w:rsidR="00EE49D5" w:rsidRPr="00045A3A">
        <w:rPr>
          <w:rStyle w:val="content1"/>
          <w:rFonts w:ascii="Arial" w:hAnsi="Arial" w:cs="Arial"/>
          <w:sz w:val="20"/>
          <w:szCs w:val="20"/>
        </w:rPr>
        <w:t>.</w:t>
      </w:r>
    </w:p>
    <w:p w14:paraId="0572B3D3" w14:textId="77777777" w:rsidR="00642952" w:rsidRPr="00045A3A" w:rsidRDefault="00642952" w:rsidP="00A605E7">
      <w:pPr>
        <w:pStyle w:val="BodyText"/>
        <w:spacing w:after="0"/>
        <w:jc w:val="both"/>
      </w:pPr>
    </w:p>
    <w:p w14:paraId="1C695995" w14:textId="77777777" w:rsidR="009A7FF3" w:rsidRDefault="00571E39" w:rsidP="009A7FF3">
      <w:pPr>
        <w:numPr>
          <w:ilvl w:val="0"/>
          <w:numId w:val="18"/>
        </w:numPr>
        <w:jc w:val="both"/>
        <w:rPr>
          <w:rFonts w:ascii="Arial" w:hAnsi="Arial" w:cs="Arial"/>
          <w:b/>
          <w:bCs/>
          <w:sz w:val="20"/>
          <w:szCs w:val="20"/>
        </w:rPr>
      </w:pPr>
      <w:r w:rsidRPr="00045A3A">
        <w:rPr>
          <w:rFonts w:ascii="Arial" w:hAnsi="Arial" w:cs="Arial"/>
          <w:b/>
          <w:bCs/>
          <w:sz w:val="20"/>
          <w:szCs w:val="20"/>
        </w:rPr>
        <w:t>INL Oversight:</w:t>
      </w:r>
      <w:r w:rsidRPr="00045A3A">
        <w:rPr>
          <w:rFonts w:ascii="Arial" w:hAnsi="Arial" w:cs="Arial"/>
          <w:sz w:val="20"/>
          <w:szCs w:val="20"/>
        </w:rPr>
        <w:t xml:space="preserve"> DEQ oversees activities at the Idaho National Laboratory</w:t>
      </w:r>
      <w:r w:rsidR="00046EA8">
        <w:rPr>
          <w:rFonts w:ascii="Arial" w:hAnsi="Arial" w:cs="Arial"/>
          <w:sz w:val="20"/>
          <w:szCs w:val="20"/>
        </w:rPr>
        <w:t xml:space="preserve"> (INL)</w:t>
      </w:r>
      <w:r w:rsidRPr="00045A3A">
        <w:rPr>
          <w:rFonts w:ascii="Arial" w:hAnsi="Arial" w:cs="Arial"/>
          <w:sz w:val="20"/>
          <w:szCs w:val="20"/>
        </w:rPr>
        <w:t xml:space="preserve"> </w:t>
      </w:r>
      <w:r w:rsidR="005D2C94" w:rsidRPr="00045A3A">
        <w:rPr>
          <w:rFonts w:ascii="Arial" w:hAnsi="Arial" w:cs="Arial"/>
          <w:sz w:val="20"/>
          <w:szCs w:val="20"/>
        </w:rPr>
        <w:t xml:space="preserve">to ensure compliance with legal agreements </w:t>
      </w:r>
      <w:r w:rsidR="00ED7B52">
        <w:rPr>
          <w:rFonts w:ascii="Arial" w:hAnsi="Arial" w:cs="Arial"/>
          <w:sz w:val="20"/>
          <w:szCs w:val="20"/>
        </w:rPr>
        <w:t xml:space="preserve">and environmental regulations </w:t>
      </w:r>
      <w:r w:rsidR="005D2C94" w:rsidRPr="00045A3A">
        <w:rPr>
          <w:rFonts w:ascii="Arial" w:hAnsi="Arial" w:cs="Arial"/>
          <w:sz w:val="20"/>
          <w:szCs w:val="20"/>
        </w:rPr>
        <w:t>for waste treatment, remediation</w:t>
      </w:r>
      <w:r w:rsidR="006E428D">
        <w:rPr>
          <w:rFonts w:ascii="Arial" w:hAnsi="Arial" w:cs="Arial"/>
          <w:sz w:val="20"/>
          <w:szCs w:val="20"/>
        </w:rPr>
        <w:t>,</w:t>
      </w:r>
      <w:r w:rsidR="005D2C94" w:rsidRPr="00045A3A">
        <w:rPr>
          <w:rFonts w:ascii="Arial" w:hAnsi="Arial" w:cs="Arial"/>
          <w:sz w:val="20"/>
          <w:szCs w:val="20"/>
        </w:rPr>
        <w:t xml:space="preserve"> and removal. DEQ </w:t>
      </w:r>
      <w:r w:rsidR="00EE49D5" w:rsidRPr="00045A3A">
        <w:rPr>
          <w:rFonts w:ascii="Arial" w:hAnsi="Arial" w:cs="Arial"/>
          <w:color w:val="000000"/>
          <w:sz w:val="20"/>
          <w:szCs w:val="20"/>
        </w:rPr>
        <w:t xml:space="preserve">maintains </w:t>
      </w:r>
      <w:r w:rsidRPr="00045A3A">
        <w:rPr>
          <w:rFonts w:ascii="Arial" w:hAnsi="Arial" w:cs="Arial"/>
          <w:color w:val="000000"/>
          <w:sz w:val="20"/>
          <w:szCs w:val="20"/>
        </w:rPr>
        <w:t xml:space="preserve">an independent environmental </w:t>
      </w:r>
      <w:r w:rsidR="00EE49D5" w:rsidRPr="00045A3A">
        <w:rPr>
          <w:rFonts w:ascii="Arial" w:hAnsi="Arial" w:cs="Arial"/>
          <w:color w:val="000000"/>
          <w:sz w:val="20"/>
          <w:szCs w:val="20"/>
        </w:rPr>
        <w:t xml:space="preserve">monitoring </w:t>
      </w:r>
      <w:r w:rsidRPr="00045A3A">
        <w:rPr>
          <w:rFonts w:ascii="Arial" w:hAnsi="Arial" w:cs="Arial"/>
          <w:color w:val="000000"/>
          <w:sz w:val="20"/>
          <w:szCs w:val="20"/>
        </w:rPr>
        <w:t>program designed to verify and supplement monitoring programs</w:t>
      </w:r>
      <w:r w:rsidR="00EE49D5" w:rsidRPr="00045A3A">
        <w:rPr>
          <w:rFonts w:ascii="Arial" w:hAnsi="Arial" w:cs="Arial"/>
          <w:color w:val="000000"/>
          <w:sz w:val="20"/>
          <w:szCs w:val="20"/>
        </w:rPr>
        <w:t xml:space="preserve"> carried out by the INL</w:t>
      </w:r>
      <w:r w:rsidRPr="00045A3A">
        <w:rPr>
          <w:rFonts w:ascii="Arial" w:hAnsi="Arial" w:cs="Arial"/>
          <w:color w:val="000000"/>
          <w:sz w:val="20"/>
          <w:szCs w:val="20"/>
        </w:rPr>
        <w:t xml:space="preserve">. </w:t>
      </w:r>
      <w:r w:rsidR="005D2C94" w:rsidRPr="00045A3A">
        <w:rPr>
          <w:rFonts w:ascii="Arial" w:hAnsi="Arial" w:cs="Arial"/>
          <w:color w:val="000000"/>
          <w:sz w:val="20"/>
          <w:szCs w:val="20"/>
        </w:rPr>
        <w:t>W</w:t>
      </w:r>
      <w:r w:rsidRPr="00045A3A">
        <w:rPr>
          <w:rFonts w:ascii="Arial" w:hAnsi="Arial" w:cs="Arial"/>
          <w:color w:val="000000"/>
          <w:sz w:val="20"/>
          <w:szCs w:val="20"/>
        </w:rPr>
        <w:t>ork</w:t>
      </w:r>
      <w:r w:rsidR="005D2C94" w:rsidRPr="00045A3A">
        <w:rPr>
          <w:rFonts w:ascii="Arial" w:hAnsi="Arial" w:cs="Arial"/>
          <w:color w:val="000000"/>
          <w:sz w:val="20"/>
          <w:szCs w:val="20"/>
        </w:rPr>
        <w:t>ing</w:t>
      </w:r>
      <w:r w:rsidRPr="00045A3A">
        <w:rPr>
          <w:rFonts w:ascii="Arial" w:hAnsi="Arial" w:cs="Arial"/>
          <w:color w:val="000000"/>
          <w:sz w:val="20"/>
          <w:szCs w:val="20"/>
        </w:rPr>
        <w:t xml:space="preserve"> with other state agencies</w:t>
      </w:r>
      <w:r w:rsidR="005D2C94" w:rsidRPr="00045A3A">
        <w:rPr>
          <w:rFonts w:ascii="Arial" w:hAnsi="Arial" w:cs="Arial"/>
          <w:color w:val="000000"/>
          <w:sz w:val="20"/>
          <w:szCs w:val="20"/>
        </w:rPr>
        <w:t>, DEQ</w:t>
      </w:r>
      <w:r w:rsidRPr="00045A3A">
        <w:rPr>
          <w:rFonts w:ascii="Arial" w:hAnsi="Arial" w:cs="Arial"/>
          <w:color w:val="000000"/>
          <w:sz w:val="20"/>
          <w:szCs w:val="20"/>
        </w:rPr>
        <w:t xml:space="preserve"> assists local governments statewide in planning and respon</w:t>
      </w:r>
      <w:r w:rsidR="00361295">
        <w:rPr>
          <w:rFonts w:ascii="Arial" w:hAnsi="Arial" w:cs="Arial"/>
          <w:color w:val="000000"/>
          <w:sz w:val="20"/>
          <w:szCs w:val="20"/>
        </w:rPr>
        <w:t>ding</w:t>
      </w:r>
      <w:r w:rsidRPr="00045A3A">
        <w:rPr>
          <w:rFonts w:ascii="Arial" w:hAnsi="Arial" w:cs="Arial"/>
          <w:color w:val="000000"/>
          <w:sz w:val="20"/>
          <w:szCs w:val="20"/>
        </w:rPr>
        <w:t xml:space="preserve"> to emergencies involving radiological materials. DEQ </w:t>
      </w:r>
      <w:r w:rsidR="006D0A17">
        <w:rPr>
          <w:rFonts w:ascii="Arial" w:hAnsi="Arial" w:cs="Arial"/>
          <w:color w:val="000000"/>
          <w:sz w:val="20"/>
          <w:szCs w:val="20"/>
        </w:rPr>
        <w:t xml:space="preserve">also </w:t>
      </w:r>
      <w:r w:rsidR="00DE576B">
        <w:rPr>
          <w:rFonts w:ascii="Arial" w:hAnsi="Arial" w:cs="Arial"/>
          <w:color w:val="000000"/>
          <w:sz w:val="20"/>
          <w:szCs w:val="20"/>
        </w:rPr>
        <w:t xml:space="preserve">routinely </w:t>
      </w:r>
      <w:r w:rsidR="006D0A17">
        <w:rPr>
          <w:rFonts w:ascii="Arial" w:hAnsi="Arial" w:cs="Arial"/>
          <w:color w:val="000000"/>
          <w:sz w:val="20"/>
          <w:szCs w:val="20"/>
        </w:rPr>
        <w:t>informs the</w:t>
      </w:r>
      <w:r w:rsidR="00361295">
        <w:rPr>
          <w:rFonts w:ascii="Arial" w:hAnsi="Arial" w:cs="Arial"/>
          <w:color w:val="000000"/>
          <w:sz w:val="20"/>
          <w:szCs w:val="20"/>
        </w:rPr>
        <w:t xml:space="preserve"> public about INL activities impacting Idaho's environment </w:t>
      </w:r>
      <w:r w:rsidR="00EE49D5" w:rsidRPr="00045A3A">
        <w:rPr>
          <w:rFonts w:ascii="Arial" w:hAnsi="Arial" w:cs="Arial"/>
          <w:color w:val="000000"/>
          <w:sz w:val="20"/>
          <w:szCs w:val="20"/>
        </w:rPr>
        <w:t>(T</w:t>
      </w:r>
      <w:r w:rsidRPr="00045A3A">
        <w:rPr>
          <w:rFonts w:ascii="Arial" w:hAnsi="Arial" w:cs="Arial"/>
          <w:sz w:val="20"/>
          <w:szCs w:val="20"/>
        </w:rPr>
        <w:t xml:space="preserve">itle </w:t>
      </w:r>
      <w:r w:rsidR="00573372" w:rsidRPr="00045A3A">
        <w:rPr>
          <w:rFonts w:ascii="Arial" w:hAnsi="Arial" w:cs="Arial"/>
          <w:sz w:val="20"/>
          <w:szCs w:val="20"/>
        </w:rPr>
        <w:t>39</w:t>
      </w:r>
      <w:r w:rsidRPr="00045A3A">
        <w:rPr>
          <w:rFonts w:ascii="Arial" w:hAnsi="Arial" w:cs="Arial"/>
          <w:sz w:val="20"/>
          <w:szCs w:val="20"/>
        </w:rPr>
        <w:t xml:space="preserve">, </w:t>
      </w:r>
      <w:r w:rsidR="00EE49D5" w:rsidRPr="00045A3A">
        <w:rPr>
          <w:rFonts w:ascii="Arial" w:hAnsi="Arial" w:cs="Arial"/>
          <w:sz w:val="20"/>
          <w:szCs w:val="20"/>
        </w:rPr>
        <w:t>C</w:t>
      </w:r>
      <w:r w:rsidRPr="00045A3A">
        <w:rPr>
          <w:rFonts w:ascii="Arial" w:hAnsi="Arial" w:cs="Arial"/>
          <w:sz w:val="20"/>
          <w:szCs w:val="20"/>
        </w:rPr>
        <w:t xml:space="preserve">hapter </w:t>
      </w:r>
      <w:r w:rsidR="00573372" w:rsidRPr="00045A3A">
        <w:rPr>
          <w:rFonts w:ascii="Arial" w:hAnsi="Arial" w:cs="Arial"/>
          <w:sz w:val="20"/>
          <w:szCs w:val="20"/>
        </w:rPr>
        <w:t>1</w:t>
      </w:r>
      <w:r w:rsidR="007065DE" w:rsidRPr="00045A3A">
        <w:rPr>
          <w:rFonts w:ascii="Arial" w:hAnsi="Arial" w:cs="Arial"/>
          <w:sz w:val="20"/>
          <w:szCs w:val="20"/>
        </w:rPr>
        <w:t>, Idaho Code)</w:t>
      </w:r>
      <w:r w:rsidR="0012775D" w:rsidRPr="00045A3A">
        <w:rPr>
          <w:rFonts w:ascii="Arial" w:hAnsi="Arial" w:cs="Arial"/>
          <w:sz w:val="20"/>
          <w:szCs w:val="20"/>
        </w:rPr>
        <w:t>.</w:t>
      </w:r>
      <w:r w:rsidRPr="00045A3A">
        <w:rPr>
          <w:rFonts w:ascii="Arial" w:hAnsi="Arial" w:cs="Arial"/>
          <w:sz w:val="20"/>
          <w:szCs w:val="20"/>
        </w:rPr>
        <w:t xml:space="preserve"> </w:t>
      </w:r>
    </w:p>
    <w:p w14:paraId="109E6EE2" w14:textId="77777777" w:rsidR="004A1E98" w:rsidRDefault="004A1E98" w:rsidP="004A1E98">
      <w:pPr>
        <w:tabs>
          <w:tab w:val="left" w:pos="4230"/>
        </w:tabs>
        <w:jc w:val="both"/>
        <w:rPr>
          <w:rFonts w:ascii="Arial" w:hAnsi="Arial" w:cs="Arial"/>
          <w:b/>
          <w:bCs/>
        </w:rPr>
      </w:pPr>
    </w:p>
    <w:p w14:paraId="29107C74" w14:textId="77777777" w:rsidR="00580003" w:rsidRDefault="00571E39" w:rsidP="004A1E98">
      <w:pPr>
        <w:tabs>
          <w:tab w:val="left" w:pos="4230"/>
        </w:tabs>
        <w:jc w:val="both"/>
        <w:rPr>
          <w:rFonts w:ascii="Arial" w:hAnsi="Arial" w:cs="Arial"/>
          <w:b/>
          <w:bCs/>
        </w:rPr>
      </w:pPr>
      <w:r w:rsidRPr="003A06FE">
        <w:rPr>
          <w:rFonts w:ascii="Arial" w:hAnsi="Arial" w:cs="Arial"/>
          <w:b/>
          <w:bCs/>
        </w:rPr>
        <w:t>Revenue</w:t>
      </w:r>
      <w:r w:rsidR="00D80E5F">
        <w:rPr>
          <w:rFonts w:ascii="Arial" w:hAnsi="Arial" w:cs="Arial"/>
          <w:b/>
          <w:bCs/>
        </w:rPr>
        <w:t>s</w:t>
      </w:r>
      <w:r w:rsidRPr="003A06FE">
        <w:rPr>
          <w:rFonts w:ascii="Arial" w:hAnsi="Arial" w:cs="Arial"/>
          <w:b/>
          <w:bCs/>
        </w:rPr>
        <w:t xml:space="preserve"> and Expenditures</w:t>
      </w:r>
    </w:p>
    <w:tbl>
      <w:tblPr>
        <w:tblW w:w="10080" w:type="dxa"/>
        <w:tblInd w:w="14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8"/>
        <w:gridCol w:w="1440"/>
        <w:gridCol w:w="1650"/>
        <w:gridCol w:w="1651"/>
        <w:gridCol w:w="1651"/>
      </w:tblGrid>
      <w:tr w:rsidR="00D77B74" w:rsidRPr="00A62448" w14:paraId="5BE58711" w14:textId="77777777" w:rsidTr="004D5C1D">
        <w:tc>
          <w:tcPr>
            <w:tcW w:w="3688" w:type="dxa"/>
            <w:shd w:val="clear" w:color="auto" w:fill="000080"/>
            <w:vAlign w:val="bottom"/>
          </w:tcPr>
          <w:p w14:paraId="78832DA4" w14:textId="77777777" w:rsidR="00D77B74" w:rsidRPr="00A62448" w:rsidRDefault="00D77B74" w:rsidP="004A1E98">
            <w:pPr>
              <w:rPr>
                <w:rFonts w:ascii="Arial" w:hAnsi="Arial" w:cs="Arial"/>
                <w:b/>
                <w:bCs/>
                <w:color w:val="FFFFFF"/>
                <w:sz w:val="20"/>
                <w:szCs w:val="20"/>
              </w:rPr>
            </w:pPr>
            <w:r w:rsidRPr="00A62448">
              <w:rPr>
                <w:rFonts w:ascii="Arial" w:hAnsi="Arial" w:cs="Arial"/>
                <w:b/>
                <w:bCs/>
                <w:color w:val="FFFFFF"/>
                <w:sz w:val="20"/>
                <w:szCs w:val="20"/>
              </w:rPr>
              <w:t>Revenue</w:t>
            </w:r>
          </w:p>
        </w:tc>
        <w:tc>
          <w:tcPr>
            <w:tcW w:w="1440" w:type="dxa"/>
            <w:shd w:val="clear" w:color="auto" w:fill="000080"/>
            <w:vAlign w:val="bottom"/>
          </w:tcPr>
          <w:p w14:paraId="5B7AD750" w14:textId="1B2548F1" w:rsidR="00D77B74" w:rsidRPr="00A62448" w:rsidRDefault="00944CE9" w:rsidP="00FB6617">
            <w:pPr>
              <w:jc w:val="right"/>
              <w:rPr>
                <w:rFonts w:ascii="Arial" w:hAnsi="Arial" w:cs="Arial"/>
                <w:b/>
                <w:bCs/>
                <w:color w:val="FFFFFF"/>
                <w:sz w:val="20"/>
                <w:szCs w:val="20"/>
              </w:rPr>
            </w:pPr>
            <w:r>
              <w:rPr>
                <w:rFonts w:ascii="Arial" w:hAnsi="Arial" w:cs="Arial"/>
                <w:b/>
                <w:bCs/>
                <w:color w:val="FFFFFF"/>
                <w:sz w:val="20"/>
                <w:szCs w:val="20"/>
              </w:rPr>
              <w:t>FY 2019</w:t>
            </w:r>
          </w:p>
        </w:tc>
        <w:tc>
          <w:tcPr>
            <w:tcW w:w="1650" w:type="dxa"/>
            <w:shd w:val="clear" w:color="auto" w:fill="000080"/>
            <w:vAlign w:val="bottom"/>
          </w:tcPr>
          <w:p w14:paraId="12A2FB7F" w14:textId="46F7761D" w:rsidR="00D77B74" w:rsidRPr="00A62448" w:rsidRDefault="00944CE9" w:rsidP="00FB6617">
            <w:pPr>
              <w:jc w:val="right"/>
              <w:rPr>
                <w:rFonts w:ascii="Arial" w:hAnsi="Arial" w:cs="Arial"/>
                <w:b/>
                <w:bCs/>
                <w:color w:val="FFFFFF"/>
                <w:sz w:val="20"/>
                <w:szCs w:val="20"/>
              </w:rPr>
            </w:pPr>
            <w:r>
              <w:rPr>
                <w:rFonts w:ascii="Arial" w:hAnsi="Arial" w:cs="Arial"/>
                <w:b/>
                <w:bCs/>
                <w:color w:val="FFFFFF"/>
                <w:sz w:val="20"/>
                <w:szCs w:val="20"/>
              </w:rPr>
              <w:t>FY 2020</w:t>
            </w:r>
          </w:p>
        </w:tc>
        <w:tc>
          <w:tcPr>
            <w:tcW w:w="1651" w:type="dxa"/>
            <w:shd w:val="clear" w:color="auto" w:fill="000080"/>
            <w:vAlign w:val="bottom"/>
          </w:tcPr>
          <w:p w14:paraId="1196EC0A" w14:textId="3F5A4217" w:rsidR="00D77B74" w:rsidRPr="00A62448" w:rsidRDefault="00944CE9" w:rsidP="00FB6617">
            <w:pPr>
              <w:jc w:val="right"/>
              <w:rPr>
                <w:rFonts w:ascii="Arial" w:hAnsi="Arial" w:cs="Arial"/>
                <w:b/>
                <w:bCs/>
                <w:color w:val="FFFFFF"/>
                <w:sz w:val="20"/>
              </w:rPr>
            </w:pPr>
            <w:r>
              <w:rPr>
                <w:rFonts w:ascii="Arial" w:hAnsi="Arial" w:cs="Arial"/>
                <w:b/>
                <w:bCs/>
                <w:color w:val="FFFFFF"/>
                <w:sz w:val="20"/>
              </w:rPr>
              <w:t>FY 2021</w:t>
            </w:r>
          </w:p>
        </w:tc>
        <w:tc>
          <w:tcPr>
            <w:tcW w:w="1651" w:type="dxa"/>
            <w:shd w:val="clear" w:color="auto" w:fill="000080"/>
            <w:vAlign w:val="bottom"/>
          </w:tcPr>
          <w:p w14:paraId="65E9F83F" w14:textId="593CD92F" w:rsidR="00D77B74" w:rsidRPr="00A62448" w:rsidRDefault="00944CE9" w:rsidP="00FB6617">
            <w:pPr>
              <w:jc w:val="right"/>
              <w:rPr>
                <w:rFonts w:ascii="Arial" w:hAnsi="Arial" w:cs="Arial"/>
                <w:b/>
                <w:bCs/>
                <w:color w:val="FFFFFF"/>
                <w:sz w:val="20"/>
              </w:rPr>
            </w:pPr>
            <w:r>
              <w:rPr>
                <w:rFonts w:ascii="Arial" w:hAnsi="Arial" w:cs="Arial"/>
                <w:b/>
                <w:bCs/>
                <w:color w:val="FFFFFF"/>
                <w:sz w:val="20"/>
              </w:rPr>
              <w:t>FY 2022</w:t>
            </w:r>
          </w:p>
        </w:tc>
      </w:tr>
      <w:tr w:rsidR="00944CE9" w:rsidRPr="00A62448" w14:paraId="3662D752" w14:textId="77777777" w:rsidTr="004D5C1D">
        <w:tc>
          <w:tcPr>
            <w:tcW w:w="3688" w:type="dxa"/>
            <w:vAlign w:val="bottom"/>
          </w:tcPr>
          <w:p w14:paraId="0F7B6C86" w14:textId="77777777" w:rsidR="00944CE9" w:rsidRPr="00A62448" w:rsidRDefault="00944CE9" w:rsidP="00944CE9">
            <w:pPr>
              <w:rPr>
                <w:rFonts w:ascii="Arial" w:eastAsia="Arial Unicode MS" w:hAnsi="Arial" w:cs="Arial"/>
                <w:color w:val="000000"/>
                <w:sz w:val="20"/>
                <w:szCs w:val="20"/>
              </w:rPr>
            </w:pPr>
            <w:r w:rsidRPr="00A62448">
              <w:rPr>
                <w:rFonts w:ascii="Arial" w:hAnsi="Arial" w:cs="Arial"/>
                <w:color w:val="000000"/>
                <w:sz w:val="20"/>
                <w:szCs w:val="20"/>
              </w:rPr>
              <w:t>Air Quality Permitting</w:t>
            </w:r>
          </w:p>
        </w:tc>
        <w:tc>
          <w:tcPr>
            <w:tcW w:w="1440" w:type="dxa"/>
            <w:vAlign w:val="bottom"/>
          </w:tcPr>
          <w:p w14:paraId="0CFEFFE3" w14:textId="36079A64" w:rsidR="00944CE9" w:rsidRPr="00A62448" w:rsidRDefault="00944CE9" w:rsidP="00944CE9">
            <w:pPr>
              <w:jc w:val="right"/>
              <w:rPr>
                <w:rFonts w:ascii="Arial" w:hAnsi="Arial" w:cs="Arial"/>
                <w:color w:val="000000"/>
                <w:sz w:val="20"/>
                <w:szCs w:val="20"/>
              </w:rPr>
            </w:pPr>
            <w:r>
              <w:rPr>
                <w:rFonts w:ascii="Arial" w:eastAsiaTheme="minorHAnsi" w:hAnsi="Arial" w:cs="Arial"/>
                <w:sz w:val="20"/>
                <w:szCs w:val="20"/>
              </w:rPr>
              <w:t>$1,126,068</w:t>
            </w:r>
          </w:p>
        </w:tc>
        <w:tc>
          <w:tcPr>
            <w:tcW w:w="1650" w:type="dxa"/>
            <w:vAlign w:val="bottom"/>
          </w:tcPr>
          <w:p w14:paraId="2DAB6B93" w14:textId="5CBAB5F5" w:rsidR="00944CE9" w:rsidRPr="00A62448" w:rsidRDefault="00944CE9" w:rsidP="00944CE9">
            <w:pPr>
              <w:jc w:val="right"/>
              <w:rPr>
                <w:rFonts w:ascii="Arial" w:hAnsi="Arial" w:cs="Arial"/>
                <w:color w:val="000000"/>
                <w:sz w:val="20"/>
                <w:szCs w:val="20"/>
              </w:rPr>
            </w:pPr>
            <w:r>
              <w:rPr>
                <w:rFonts w:ascii="Arial" w:hAnsi="Arial" w:cs="Arial"/>
                <w:sz w:val="20"/>
                <w:szCs w:val="20"/>
              </w:rPr>
              <w:t>$793,865</w:t>
            </w:r>
          </w:p>
        </w:tc>
        <w:tc>
          <w:tcPr>
            <w:tcW w:w="1651" w:type="dxa"/>
            <w:vAlign w:val="bottom"/>
          </w:tcPr>
          <w:p w14:paraId="244AC484" w14:textId="01E36AB9" w:rsidR="00944CE9" w:rsidRPr="00A62448"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$1,214,168</w:t>
            </w:r>
          </w:p>
        </w:tc>
        <w:tc>
          <w:tcPr>
            <w:tcW w:w="1651" w:type="dxa"/>
            <w:vAlign w:val="bottom"/>
          </w:tcPr>
          <w:p w14:paraId="6361B4D2" w14:textId="26E01DDA"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177F25E5" w14:textId="77777777" w:rsidTr="004D5C1D">
        <w:tc>
          <w:tcPr>
            <w:tcW w:w="3688" w:type="dxa"/>
            <w:vAlign w:val="bottom"/>
          </w:tcPr>
          <w:p w14:paraId="08EB485F" w14:textId="77777777" w:rsidR="00944CE9" w:rsidRPr="00A62448" w:rsidRDefault="00944CE9" w:rsidP="00944CE9">
            <w:pPr>
              <w:rPr>
                <w:rFonts w:ascii="Arial" w:hAnsi="Arial" w:cs="Arial"/>
                <w:color w:val="000000"/>
                <w:sz w:val="20"/>
                <w:szCs w:val="20"/>
              </w:rPr>
            </w:pPr>
            <w:r w:rsidRPr="00A62448">
              <w:rPr>
                <w:rFonts w:ascii="Arial" w:hAnsi="Arial" w:cs="Arial"/>
                <w:color w:val="000000"/>
                <w:sz w:val="20"/>
                <w:szCs w:val="20"/>
              </w:rPr>
              <w:t>Public Water System Oversight</w:t>
            </w:r>
          </w:p>
        </w:tc>
        <w:tc>
          <w:tcPr>
            <w:tcW w:w="1440" w:type="dxa"/>
            <w:vAlign w:val="bottom"/>
          </w:tcPr>
          <w:p w14:paraId="45442759" w14:textId="0C81F235" w:rsidR="00944CE9" w:rsidRPr="00A62448" w:rsidRDefault="00944CE9" w:rsidP="00944CE9">
            <w:pPr>
              <w:jc w:val="right"/>
              <w:rPr>
                <w:rFonts w:ascii="Arial" w:hAnsi="Arial" w:cs="Arial"/>
                <w:color w:val="000000"/>
                <w:sz w:val="20"/>
                <w:szCs w:val="20"/>
              </w:rPr>
            </w:pPr>
            <w:r>
              <w:rPr>
                <w:rFonts w:ascii="Arial" w:eastAsiaTheme="minorHAnsi" w:hAnsi="Arial" w:cs="Arial"/>
                <w:sz w:val="20"/>
                <w:szCs w:val="20"/>
              </w:rPr>
              <w:t>$1,620,766</w:t>
            </w:r>
          </w:p>
        </w:tc>
        <w:tc>
          <w:tcPr>
            <w:tcW w:w="1650" w:type="dxa"/>
            <w:vAlign w:val="bottom"/>
          </w:tcPr>
          <w:p w14:paraId="62A65C12" w14:textId="70359B2B" w:rsidR="00944CE9" w:rsidRPr="00A62448" w:rsidRDefault="00944CE9" w:rsidP="00944CE9">
            <w:pPr>
              <w:jc w:val="right"/>
              <w:rPr>
                <w:rFonts w:ascii="Arial" w:hAnsi="Arial" w:cs="Arial"/>
                <w:color w:val="000000"/>
                <w:sz w:val="20"/>
                <w:szCs w:val="20"/>
              </w:rPr>
            </w:pPr>
            <w:r>
              <w:rPr>
                <w:rFonts w:ascii="Arial" w:hAnsi="Arial" w:cs="Arial"/>
                <w:sz w:val="20"/>
                <w:szCs w:val="20"/>
              </w:rPr>
              <w:t>$1,747,254</w:t>
            </w:r>
          </w:p>
        </w:tc>
        <w:tc>
          <w:tcPr>
            <w:tcW w:w="1651" w:type="dxa"/>
            <w:vAlign w:val="bottom"/>
          </w:tcPr>
          <w:p w14:paraId="2326F71B" w14:textId="538EAF21" w:rsidR="00944CE9" w:rsidRPr="00A62448"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$1,570,492</w:t>
            </w:r>
          </w:p>
        </w:tc>
        <w:tc>
          <w:tcPr>
            <w:tcW w:w="1651" w:type="dxa"/>
            <w:vAlign w:val="bottom"/>
          </w:tcPr>
          <w:p w14:paraId="28E2951C" w14:textId="695817AC"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65AC8EF0" w14:textId="77777777" w:rsidTr="004D5C1D">
        <w:tc>
          <w:tcPr>
            <w:tcW w:w="3688" w:type="dxa"/>
            <w:vAlign w:val="bottom"/>
          </w:tcPr>
          <w:p w14:paraId="03DD8A0D" w14:textId="77777777" w:rsidR="00944CE9" w:rsidRPr="00A62448" w:rsidRDefault="00944CE9" w:rsidP="00944CE9">
            <w:pPr>
              <w:rPr>
                <w:rFonts w:ascii="Arial" w:eastAsia="Arial Unicode MS" w:hAnsi="Arial" w:cs="Arial"/>
                <w:color w:val="000000"/>
                <w:sz w:val="20"/>
                <w:szCs w:val="20"/>
              </w:rPr>
            </w:pPr>
            <w:r w:rsidRPr="00A62448">
              <w:rPr>
                <w:rFonts w:ascii="Arial" w:hAnsi="Arial" w:cs="Arial"/>
                <w:color w:val="000000"/>
                <w:sz w:val="20"/>
                <w:szCs w:val="20"/>
              </w:rPr>
              <w:t>Water Pollution Control</w:t>
            </w:r>
          </w:p>
        </w:tc>
        <w:tc>
          <w:tcPr>
            <w:tcW w:w="1440" w:type="dxa"/>
            <w:vAlign w:val="bottom"/>
          </w:tcPr>
          <w:p w14:paraId="6505CF9D" w14:textId="23E172E9" w:rsidR="00944CE9" w:rsidRPr="00A62448" w:rsidRDefault="00944CE9" w:rsidP="00944CE9">
            <w:pPr>
              <w:jc w:val="right"/>
              <w:rPr>
                <w:rFonts w:ascii="Arial" w:hAnsi="Arial" w:cs="Arial"/>
                <w:color w:val="000000"/>
                <w:sz w:val="20"/>
                <w:szCs w:val="20"/>
              </w:rPr>
            </w:pPr>
            <w:r>
              <w:rPr>
                <w:rFonts w:ascii="Arial" w:eastAsiaTheme="minorHAnsi" w:hAnsi="Arial" w:cs="Arial"/>
                <w:sz w:val="20"/>
                <w:szCs w:val="20"/>
              </w:rPr>
              <w:t>$4,823,587</w:t>
            </w:r>
          </w:p>
        </w:tc>
        <w:tc>
          <w:tcPr>
            <w:tcW w:w="1650" w:type="dxa"/>
            <w:vAlign w:val="bottom"/>
          </w:tcPr>
          <w:p w14:paraId="2AFAB166" w14:textId="1B021A08" w:rsidR="00944CE9" w:rsidRPr="00A62448" w:rsidRDefault="00944CE9" w:rsidP="00944CE9">
            <w:pPr>
              <w:jc w:val="right"/>
              <w:rPr>
                <w:rFonts w:ascii="Arial" w:hAnsi="Arial" w:cs="Arial"/>
                <w:color w:val="000000"/>
                <w:sz w:val="20"/>
                <w:szCs w:val="20"/>
              </w:rPr>
            </w:pPr>
            <w:r>
              <w:rPr>
                <w:rFonts w:ascii="Arial" w:hAnsi="Arial" w:cs="Arial"/>
                <w:sz w:val="20"/>
                <w:szCs w:val="20"/>
              </w:rPr>
              <w:t>$4,823,194</w:t>
            </w:r>
          </w:p>
        </w:tc>
        <w:tc>
          <w:tcPr>
            <w:tcW w:w="1651" w:type="dxa"/>
            <w:vAlign w:val="bottom"/>
          </w:tcPr>
          <w:p w14:paraId="6E745717" w14:textId="3AAD6006" w:rsidR="00944CE9" w:rsidRPr="00A62448"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$4,804,852</w:t>
            </w:r>
          </w:p>
        </w:tc>
        <w:tc>
          <w:tcPr>
            <w:tcW w:w="1651" w:type="dxa"/>
            <w:vAlign w:val="bottom"/>
          </w:tcPr>
          <w:p w14:paraId="003E00AD" w14:textId="7A6F0645"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38E4835D" w14:textId="77777777" w:rsidTr="004D5C1D">
        <w:tc>
          <w:tcPr>
            <w:tcW w:w="3688" w:type="dxa"/>
            <w:vAlign w:val="bottom"/>
          </w:tcPr>
          <w:p w14:paraId="27F47FD5" w14:textId="77777777" w:rsidR="00944CE9" w:rsidRPr="00A62448" w:rsidRDefault="00944CE9" w:rsidP="00944CE9">
            <w:pPr>
              <w:rPr>
                <w:rFonts w:ascii="Arial" w:eastAsia="Arial Unicode MS" w:hAnsi="Arial" w:cs="Arial"/>
                <w:color w:val="000000"/>
                <w:sz w:val="20"/>
                <w:szCs w:val="20"/>
              </w:rPr>
            </w:pPr>
            <w:r w:rsidRPr="00A62448">
              <w:rPr>
                <w:rFonts w:ascii="Arial" w:hAnsi="Arial" w:cs="Arial"/>
                <w:color w:val="000000"/>
                <w:sz w:val="20"/>
                <w:szCs w:val="20"/>
              </w:rPr>
              <w:t>Environmental Remediation</w:t>
            </w:r>
          </w:p>
        </w:tc>
        <w:tc>
          <w:tcPr>
            <w:tcW w:w="1440" w:type="dxa"/>
            <w:vAlign w:val="bottom"/>
          </w:tcPr>
          <w:p w14:paraId="69D8CCCB" w14:textId="2849AC15" w:rsidR="00944CE9" w:rsidRPr="00A62448" w:rsidRDefault="00944CE9" w:rsidP="00944CE9">
            <w:pPr>
              <w:jc w:val="right"/>
              <w:rPr>
                <w:rFonts w:ascii="Arial" w:hAnsi="Arial" w:cs="Arial"/>
                <w:color w:val="000000"/>
                <w:sz w:val="20"/>
                <w:szCs w:val="20"/>
              </w:rPr>
            </w:pPr>
            <w:r>
              <w:rPr>
                <w:rFonts w:ascii="Arial" w:eastAsiaTheme="minorHAnsi" w:hAnsi="Arial" w:cs="Arial"/>
                <w:sz w:val="20"/>
                <w:szCs w:val="20"/>
              </w:rPr>
              <w:t>$2,110,912</w:t>
            </w:r>
          </w:p>
        </w:tc>
        <w:tc>
          <w:tcPr>
            <w:tcW w:w="1650" w:type="dxa"/>
            <w:vAlign w:val="bottom"/>
          </w:tcPr>
          <w:p w14:paraId="3D356D59" w14:textId="2D5B7CAB" w:rsidR="00944CE9" w:rsidRPr="00A62448" w:rsidRDefault="00944CE9" w:rsidP="00944CE9">
            <w:pPr>
              <w:jc w:val="right"/>
              <w:rPr>
                <w:rFonts w:ascii="Arial" w:hAnsi="Arial" w:cs="Arial"/>
                <w:color w:val="000000"/>
                <w:sz w:val="20"/>
                <w:szCs w:val="20"/>
              </w:rPr>
            </w:pPr>
            <w:r>
              <w:rPr>
                <w:rFonts w:ascii="Arial" w:hAnsi="Arial" w:cs="Arial"/>
                <w:sz w:val="20"/>
                <w:szCs w:val="20"/>
              </w:rPr>
              <w:t>$2,081,704</w:t>
            </w:r>
          </w:p>
        </w:tc>
        <w:tc>
          <w:tcPr>
            <w:tcW w:w="1651" w:type="dxa"/>
            <w:vAlign w:val="bottom"/>
          </w:tcPr>
          <w:p w14:paraId="45B0D4DC" w14:textId="29CA7A33" w:rsidR="00944CE9" w:rsidRPr="00A62448"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$365,641</w:t>
            </w:r>
          </w:p>
        </w:tc>
        <w:tc>
          <w:tcPr>
            <w:tcW w:w="1651" w:type="dxa"/>
            <w:vAlign w:val="bottom"/>
          </w:tcPr>
          <w:p w14:paraId="2BE2DA7C" w14:textId="24107246"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08DE7190" w14:textId="77777777" w:rsidTr="004D5C1D">
        <w:tc>
          <w:tcPr>
            <w:tcW w:w="3688" w:type="dxa"/>
            <w:vAlign w:val="bottom"/>
          </w:tcPr>
          <w:p w14:paraId="31906918" w14:textId="77777777" w:rsidR="00944CE9" w:rsidRPr="00A62448" w:rsidRDefault="00944CE9" w:rsidP="00944CE9">
            <w:pPr>
              <w:rPr>
                <w:rFonts w:ascii="Arial" w:eastAsia="Arial Unicode MS" w:hAnsi="Arial" w:cs="Arial"/>
                <w:color w:val="000000"/>
                <w:sz w:val="20"/>
                <w:szCs w:val="20"/>
              </w:rPr>
            </w:pPr>
            <w:r w:rsidRPr="00A62448">
              <w:rPr>
                <w:rFonts w:ascii="Arial" w:hAnsi="Arial" w:cs="Arial"/>
                <w:color w:val="000000"/>
                <w:sz w:val="20"/>
                <w:szCs w:val="20"/>
              </w:rPr>
              <w:t>Cooperative DEQ-Federal</w:t>
            </w:r>
          </w:p>
        </w:tc>
        <w:tc>
          <w:tcPr>
            <w:tcW w:w="1440" w:type="dxa"/>
            <w:vAlign w:val="bottom"/>
          </w:tcPr>
          <w:p w14:paraId="0C1C7D30" w14:textId="57BEB458" w:rsidR="00944CE9" w:rsidRPr="00A62448" w:rsidRDefault="00944CE9" w:rsidP="00944CE9">
            <w:pPr>
              <w:jc w:val="right"/>
              <w:rPr>
                <w:rFonts w:ascii="Arial" w:hAnsi="Arial" w:cs="Arial"/>
                <w:color w:val="000000"/>
                <w:sz w:val="20"/>
                <w:szCs w:val="20"/>
              </w:rPr>
            </w:pPr>
            <w:r>
              <w:rPr>
                <w:rFonts w:ascii="Arial" w:eastAsiaTheme="minorHAnsi" w:hAnsi="Arial" w:cs="Arial"/>
                <w:sz w:val="20"/>
                <w:szCs w:val="20"/>
              </w:rPr>
              <w:t>$23,280,316</w:t>
            </w:r>
          </w:p>
        </w:tc>
        <w:tc>
          <w:tcPr>
            <w:tcW w:w="1650" w:type="dxa"/>
            <w:vAlign w:val="bottom"/>
          </w:tcPr>
          <w:p w14:paraId="3BFB4825" w14:textId="4A196830" w:rsidR="00944CE9" w:rsidRPr="00A62448" w:rsidRDefault="00944CE9" w:rsidP="00944CE9">
            <w:pPr>
              <w:jc w:val="right"/>
              <w:rPr>
                <w:rFonts w:ascii="Arial" w:hAnsi="Arial" w:cs="Arial"/>
                <w:color w:val="000000"/>
                <w:sz w:val="20"/>
                <w:szCs w:val="20"/>
              </w:rPr>
            </w:pPr>
            <w:r>
              <w:rPr>
                <w:rFonts w:ascii="Arial" w:hAnsi="Arial" w:cs="Arial"/>
                <w:sz w:val="20"/>
                <w:szCs w:val="20"/>
              </w:rPr>
              <w:t>$21,414,464</w:t>
            </w:r>
          </w:p>
        </w:tc>
        <w:tc>
          <w:tcPr>
            <w:tcW w:w="1651" w:type="dxa"/>
            <w:vAlign w:val="bottom"/>
          </w:tcPr>
          <w:p w14:paraId="320B85A4" w14:textId="4BBED992" w:rsidR="00944CE9" w:rsidRPr="00A62448"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$18,618,610</w:t>
            </w:r>
          </w:p>
        </w:tc>
        <w:tc>
          <w:tcPr>
            <w:tcW w:w="1651" w:type="dxa"/>
            <w:vAlign w:val="bottom"/>
          </w:tcPr>
          <w:p w14:paraId="7F12A204" w14:textId="6B891339"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0FEE123D" w14:textId="77777777" w:rsidTr="004D5C1D">
        <w:tc>
          <w:tcPr>
            <w:tcW w:w="3688" w:type="dxa"/>
            <w:vAlign w:val="bottom"/>
          </w:tcPr>
          <w:p w14:paraId="58B74966" w14:textId="77777777" w:rsidR="00944CE9" w:rsidRPr="00A62448" w:rsidRDefault="00944CE9" w:rsidP="00944CE9">
            <w:pPr>
              <w:rPr>
                <w:rFonts w:ascii="Arial" w:eastAsia="Arial Unicode MS" w:hAnsi="Arial" w:cs="Arial"/>
                <w:color w:val="000000"/>
                <w:sz w:val="20"/>
                <w:szCs w:val="20"/>
              </w:rPr>
            </w:pPr>
            <w:r w:rsidRPr="00A62448">
              <w:rPr>
                <w:rFonts w:ascii="Arial" w:hAnsi="Arial" w:cs="Arial"/>
                <w:color w:val="000000"/>
                <w:sz w:val="20"/>
                <w:szCs w:val="20"/>
              </w:rPr>
              <w:t>Cooperative DEQ-General</w:t>
            </w:r>
          </w:p>
        </w:tc>
        <w:tc>
          <w:tcPr>
            <w:tcW w:w="1440" w:type="dxa"/>
            <w:vAlign w:val="bottom"/>
          </w:tcPr>
          <w:p w14:paraId="0A87AEB7" w14:textId="73AD9199" w:rsidR="00944CE9" w:rsidRPr="00A62448" w:rsidRDefault="00944CE9" w:rsidP="00944CE9">
            <w:pPr>
              <w:jc w:val="right"/>
              <w:rPr>
                <w:rFonts w:ascii="Arial" w:hAnsi="Arial" w:cs="Arial"/>
                <w:color w:val="000000"/>
                <w:sz w:val="20"/>
                <w:szCs w:val="20"/>
              </w:rPr>
            </w:pPr>
            <w:r>
              <w:rPr>
                <w:rFonts w:ascii="Arial" w:eastAsiaTheme="minorHAnsi" w:hAnsi="Arial" w:cs="Arial"/>
                <w:sz w:val="20"/>
                <w:szCs w:val="20"/>
              </w:rPr>
              <w:t>$20,751,696</w:t>
            </w:r>
          </w:p>
        </w:tc>
        <w:tc>
          <w:tcPr>
            <w:tcW w:w="1650" w:type="dxa"/>
            <w:vAlign w:val="bottom"/>
          </w:tcPr>
          <w:p w14:paraId="12466219" w14:textId="64B7996F" w:rsidR="00944CE9" w:rsidRPr="00A62448" w:rsidRDefault="00944CE9" w:rsidP="00944CE9">
            <w:pPr>
              <w:jc w:val="right"/>
              <w:rPr>
                <w:rFonts w:ascii="Arial" w:hAnsi="Arial" w:cs="Arial"/>
                <w:color w:val="000000"/>
                <w:sz w:val="20"/>
                <w:szCs w:val="20"/>
              </w:rPr>
            </w:pPr>
            <w:r>
              <w:rPr>
                <w:rFonts w:ascii="Arial" w:hAnsi="Arial" w:cs="Arial"/>
                <w:sz w:val="20"/>
                <w:szCs w:val="20"/>
              </w:rPr>
              <w:t>$22,013,564</w:t>
            </w:r>
          </w:p>
        </w:tc>
        <w:tc>
          <w:tcPr>
            <w:tcW w:w="1651" w:type="dxa"/>
            <w:vAlign w:val="bottom"/>
          </w:tcPr>
          <w:p w14:paraId="312E14BA" w14:textId="72862517" w:rsidR="00944CE9" w:rsidRPr="00A62448"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$20,963,476</w:t>
            </w:r>
          </w:p>
        </w:tc>
        <w:tc>
          <w:tcPr>
            <w:tcW w:w="1651" w:type="dxa"/>
            <w:vAlign w:val="bottom"/>
          </w:tcPr>
          <w:p w14:paraId="4FDDED86" w14:textId="79EF6BB4"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44DE2A52" w14:textId="77777777" w:rsidTr="004D5C1D">
        <w:tc>
          <w:tcPr>
            <w:tcW w:w="3688" w:type="dxa"/>
            <w:vAlign w:val="bottom"/>
          </w:tcPr>
          <w:p w14:paraId="3B3E587F" w14:textId="77777777" w:rsidR="00944CE9" w:rsidRPr="00A62448" w:rsidRDefault="00944CE9" w:rsidP="00944CE9">
            <w:pPr>
              <w:rPr>
                <w:rFonts w:ascii="Arial" w:eastAsia="Arial Unicode MS" w:hAnsi="Arial" w:cs="Arial"/>
                <w:color w:val="000000"/>
                <w:sz w:val="20"/>
                <w:szCs w:val="20"/>
              </w:rPr>
            </w:pPr>
            <w:r w:rsidRPr="00A62448">
              <w:rPr>
                <w:rFonts w:ascii="Arial" w:hAnsi="Arial" w:cs="Arial"/>
                <w:color w:val="000000"/>
                <w:sz w:val="20"/>
                <w:szCs w:val="20"/>
              </w:rPr>
              <w:t>Cooperative DEQ-Other</w:t>
            </w:r>
          </w:p>
        </w:tc>
        <w:tc>
          <w:tcPr>
            <w:tcW w:w="1440" w:type="dxa"/>
            <w:vAlign w:val="bottom"/>
          </w:tcPr>
          <w:p w14:paraId="61D5CBAA" w14:textId="1F49E788" w:rsidR="00944CE9" w:rsidRPr="00A62448" w:rsidRDefault="00944CE9" w:rsidP="00944CE9">
            <w:pPr>
              <w:jc w:val="right"/>
              <w:rPr>
                <w:rFonts w:ascii="Arial" w:hAnsi="Arial" w:cs="Arial"/>
                <w:color w:val="000000"/>
                <w:sz w:val="20"/>
                <w:szCs w:val="20"/>
              </w:rPr>
            </w:pPr>
            <w:r>
              <w:rPr>
                <w:rFonts w:ascii="Arial" w:eastAsiaTheme="minorHAnsi" w:hAnsi="Arial" w:cs="Arial"/>
                <w:sz w:val="20"/>
                <w:szCs w:val="20"/>
              </w:rPr>
              <w:t>$2,115,232</w:t>
            </w:r>
          </w:p>
        </w:tc>
        <w:tc>
          <w:tcPr>
            <w:tcW w:w="1650" w:type="dxa"/>
            <w:vAlign w:val="bottom"/>
          </w:tcPr>
          <w:p w14:paraId="61F31631" w14:textId="71440FC4" w:rsidR="00944CE9" w:rsidRPr="00A62448" w:rsidRDefault="00944CE9" w:rsidP="00944CE9">
            <w:pPr>
              <w:jc w:val="right"/>
              <w:rPr>
                <w:rFonts w:ascii="Arial" w:hAnsi="Arial" w:cs="Arial"/>
                <w:color w:val="000000"/>
                <w:sz w:val="20"/>
                <w:szCs w:val="20"/>
              </w:rPr>
            </w:pPr>
            <w:r>
              <w:rPr>
                <w:rFonts w:ascii="Arial" w:hAnsi="Arial" w:cs="Arial"/>
                <w:sz w:val="20"/>
                <w:szCs w:val="20"/>
              </w:rPr>
              <w:t>$4,268,183</w:t>
            </w:r>
          </w:p>
        </w:tc>
        <w:tc>
          <w:tcPr>
            <w:tcW w:w="1651" w:type="dxa"/>
            <w:vAlign w:val="bottom"/>
          </w:tcPr>
          <w:p w14:paraId="45A7430C" w14:textId="5B1DB75B" w:rsidR="00944CE9" w:rsidRPr="00A62448"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$2,602,490</w:t>
            </w:r>
          </w:p>
        </w:tc>
        <w:tc>
          <w:tcPr>
            <w:tcW w:w="1651" w:type="dxa"/>
            <w:vAlign w:val="bottom"/>
          </w:tcPr>
          <w:p w14:paraId="3CC3F6C1" w14:textId="39777C59"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5E629833" w14:textId="77777777" w:rsidTr="004D5C1D">
        <w:tc>
          <w:tcPr>
            <w:tcW w:w="3688" w:type="dxa"/>
            <w:vAlign w:val="bottom"/>
          </w:tcPr>
          <w:p w14:paraId="1A0A6E53" w14:textId="77777777" w:rsidR="00944CE9" w:rsidRPr="00A62448" w:rsidRDefault="00944CE9" w:rsidP="00944CE9">
            <w:pPr>
              <w:rPr>
                <w:rFonts w:ascii="Arial" w:eastAsia="Arial Unicode MS" w:hAnsi="Arial" w:cs="Arial"/>
                <w:color w:val="000000"/>
                <w:sz w:val="20"/>
                <w:szCs w:val="20"/>
              </w:rPr>
            </w:pPr>
            <w:r w:rsidRPr="00A62448">
              <w:rPr>
                <w:rFonts w:ascii="Arial" w:hAnsi="Arial" w:cs="Arial"/>
                <w:color w:val="000000"/>
                <w:sz w:val="20"/>
                <w:szCs w:val="20"/>
              </w:rPr>
              <w:t>Bunker Hill Consent Decree</w:t>
            </w:r>
          </w:p>
        </w:tc>
        <w:tc>
          <w:tcPr>
            <w:tcW w:w="1440" w:type="dxa"/>
            <w:tcBorders>
              <w:bottom w:val="nil"/>
            </w:tcBorders>
            <w:vAlign w:val="bottom"/>
          </w:tcPr>
          <w:p w14:paraId="1D371429" w14:textId="1E10004B" w:rsidR="00944CE9" w:rsidRPr="00855C25" w:rsidRDefault="00944CE9" w:rsidP="00944CE9">
            <w:pPr>
              <w:jc w:val="right"/>
              <w:rPr>
                <w:rFonts w:ascii="Arial" w:hAnsi="Arial" w:cs="Arial"/>
                <w:color w:val="000000"/>
                <w:sz w:val="20"/>
                <w:szCs w:val="20"/>
              </w:rPr>
            </w:pPr>
            <w:r w:rsidRPr="00855C25">
              <w:rPr>
                <w:rFonts w:ascii="Arial" w:eastAsiaTheme="minorHAnsi" w:hAnsi="Arial" w:cs="Arial"/>
                <w:sz w:val="20"/>
                <w:szCs w:val="20"/>
              </w:rPr>
              <w:t>$179,326</w:t>
            </w:r>
          </w:p>
        </w:tc>
        <w:tc>
          <w:tcPr>
            <w:tcW w:w="1650" w:type="dxa"/>
            <w:tcBorders>
              <w:bottom w:val="nil"/>
            </w:tcBorders>
            <w:vAlign w:val="bottom"/>
          </w:tcPr>
          <w:p w14:paraId="650D3099" w14:textId="66E7F5BD" w:rsidR="00944CE9" w:rsidRPr="00855C25" w:rsidRDefault="00944CE9" w:rsidP="00944CE9">
            <w:pPr>
              <w:jc w:val="right"/>
              <w:rPr>
                <w:rFonts w:ascii="Arial" w:hAnsi="Arial" w:cs="Arial"/>
                <w:color w:val="000000"/>
                <w:sz w:val="20"/>
                <w:szCs w:val="20"/>
              </w:rPr>
            </w:pPr>
            <w:r>
              <w:rPr>
                <w:rFonts w:ascii="Arial" w:hAnsi="Arial" w:cs="Arial"/>
                <w:sz w:val="20"/>
                <w:szCs w:val="20"/>
              </w:rPr>
              <w:t>$287,571</w:t>
            </w:r>
          </w:p>
        </w:tc>
        <w:tc>
          <w:tcPr>
            <w:tcW w:w="1651" w:type="dxa"/>
            <w:tcBorders>
              <w:bottom w:val="nil"/>
            </w:tcBorders>
            <w:vAlign w:val="bottom"/>
          </w:tcPr>
          <w:p w14:paraId="460E5744" w14:textId="6BCB5236" w:rsidR="00944CE9" w:rsidRPr="00855C25"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$2,124,981</w:t>
            </w:r>
          </w:p>
        </w:tc>
        <w:tc>
          <w:tcPr>
            <w:tcW w:w="1651" w:type="dxa"/>
            <w:tcBorders>
              <w:bottom w:val="nil"/>
            </w:tcBorders>
            <w:vAlign w:val="bottom"/>
          </w:tcPr>
          <w:p w14:paraId="2F36A4F2" w14:textId="4F199324"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4689FF2A" w14:textId="77777777" w:rsidTr="00422BA0">
        <w:tc>
          <w:tcPr>
            <w:tcW w:w="3688" w:type="dxa"/>
            <w:vAlign w:val="bottom"/>
          </w:tcPr>
          <w:p w14:paraId="0775D6E4" w14:textId="77777777" w:rsidR="00944CE9" w:rsidRPr="00A62448" w:rsidRDefault="00944CE9" w:rsidP="00944CE9">
            <w:pPr>
              <w:rPr>
                <w:rFonts w:ascii="Arial" w:hAnsi="Arial" w:cs="Arial"/>
                <w:color w:val="000000"/>
                <w:sz w:val="20"/>
                <w:szCs w:val="20"/>
              </w:rPr>
            </w:pPr>
            <w:r>
              <w:rPr>
                <w:rFonts w:ascii="Arial" w:hAnsi="Arial" w:cs="Arial"/>
                <w:color w:val="000000"/>
                <w:sz w:val="20"/>
                <w:szCs w:val="20"/>
              </w:rPr>
              <w:t>U</w:t>
            </w:r>
            <w:r w:rsidRPr="00855C25">
              <w:rPr>
                <w:rFonts w:ascii="Arial" w:hAnsi="Arial" w:cs="Arial"/>
                <w:color w:val="000000"/>
                <w:sz w:val="20"/>
                <w:szCs w:val="20"/>
              </w:rPr>
              <w:t>nderground Storage Tank Fees</w:t>
            </w:r>
          </w:p>
        </w:tc>
        <w:tc>
          <w:tcPr>
            <w:tcW w:w="1440" w:type="dxa"/>
            <w:tcBorders>
              <w:top w:val="nil"/>
              <w:bottom w:val="nil"/>
            </w:tcBorders>
            <w:vAlign w:val="bottom"/>
          </w:tcPr>
          <w:p w14:paraId="4EC18DB1" w14:textId="721DD9CD" w:rsidR="00944CE9" w:rsidRPr="00855C25" w:rsidRDefault="00944CE9" w:rsidP="00944CE9">
            <w:pPr>
              <w:jc w:val="right"/>
              <w:rPr>
                <w:rFonts w:ascii="Arial" w:hAnsi="Arial" w:cs="Arial"/>
                <w:color w:val="000000"/>
                <w:sz w:val="20"/>
                <w:szCs w:val="20"/>
              </w:rPr>
            </w:pPr>
            <w:r w:rsidRPr="00855C25">
              <w:rPr>
                <w:rFonts w:ascii="Arial" w:eastAsiaTheme="minorHAnsi" w:hAnsi="Arial" w:cs="Arial"/>
                <w:sz w:val="20"/>
                <w:szCs w:val="20"/>
              </w:rPr>
              <w:t>$196,085</w:t>
            </w:r>
          </w:p>
        </w:tc>
        <w:tc>
          <w:tcPr>
            <w:tcW w:w="1650" w:type="dxa"/>
            <w:tcBorders>
              <w:top w:val="nil"/>
              <w:bottom w:val="nil"/>
            </w:tcBorders>
            <w:vAlign w:val="bottom"/>
          </w:tcPr>
          <w:p w14:paraId="7265A739" w14:textId="7E3974CC" w:rsidR="00944CE9" w:rsidRPr="00855C25" w:rsidRDefault="00944CE9" w:rsidP="00944CE9">
            <w:pPr>
              <w:jc w:val="right"/>
              <w:rPr>
                <w:rFonts w:ascii="Arial" w:hAnsi="Arial" w:cs="Arial"/>
                <w:color w:val="000000"/>
                <w:sz w:val="20"/>
                <w:szCs w:val="20"/>
              </w:rPr>
            </w:pPr>
            <w:r>
              <w:rPr>
                <w:rFonts w:ascii="Arial" w:hAnsi="Arial" w:cs="Arial"/>
                <w:sz w:val="20"/>
                <w:szCs w:val="20"/>
              </w:rPr>
              <w:t>$</w:t>
            </w:r>
            <w:r w:rsidRPr="002835C6">
              <w:rPr>
                <w:rFonts w:ascii="Arial" w:hAnsi="Arial" w:cs="Arial"/>
                <w:sz w:val="20"/>
                <w:szCs w:val="20"/>
              </w:rPr>
              <w:t>198,558</w:t>
            </w:r>
          </w:p>
        </w:tc>
        <w:tc>
          <w:tcPr>
            <w:tcW w:w="1651" w:type="dxa"/>
            <w:tcBorders>
              <w:top w:val="nil"/>
              <w:bottom w:val="nil"/>
            </w:tcBorders>
            <w:vAlign w:val="bottom"/>
          </w:tcPr>
          <w:p w14:paraId="40CD3370" w14:textId="7D42A287" w:rsidR="00944CE9" w:rsidRPr="00855C25" w:rsidRDefault="00944CE9" w:rsidP="00944CE9">
            <w:pPr>
              <w:jc w:val="right"/>
              <w:rPr>
                <w:rFonts w:ascii="Arial" w:eastAsiaTheme="minorHAnsi" w:hAnsi="Arial" w:cs="Arial"/>
                <w:sz w:val="20"/>
                <w:szCs w:val="20"/>
              </w:rPr>
            </w:pPr>
            <w:r w:rsidRPr="00FF43A1">
              <w:rPr>
                <w:rFonts w:ascii="Arial" w:hAnsi="Arial" w:cs="Arial"/>
                <w:color w:val="000000" w:themeColor="text1"/>
                <w:sz w:val="20"/>
                <w:szCs w:val="20"/>
              </w:rPr>
              <w:t>$199,816</w:t>
            </w:r>
          </w:p>
        </w:tc>
        <w:tc>
          <w:tcPr>
            <w:tcW w:w="1651" w:type="dxa"/>
            <w:tcBorders>
              <w:top w:val="nil"/>
              <w:bottom w:val="nil"/>
            </w:tcBorders>
            <w:vAlign w:val="bottom"/>
          </w:tcPr>
          <w:p w14:paraId="1B3B21BD" w14:textId="257DCF05" w:rsidR="00944CE9" w:rsidRPr="00FF43A1" w:rsidRDefault="00944CE9" w:rsidP="00944CE9">
            <w:pPr>
              <w:jc w:val="right"/>
              <w:rPr>
                <w:rFonts w:ascii="Arial" w:eastAsiaTheme="minorHAnsi" w:hAnsi="Arial" w:cs="Arial"/>
                <w:color w:val="000000" w:themeColor="text1"/>
                <w:sz w:val="20"/>
                <w:szCs w:val="20"/>
              </w:rPr>
            </w:pPr>
          </w:p>
        </w:tc>
      </w:tr>
      <w:tr w:rsidR="00944CE9" w:rsidRPr="00A62448" w14:paraId="3BBCFE7A" w14:textId="77777777" w:rsidTr="00D65989">
        <w:tc>
          <w:tcPr>
            <w:tcW w:w="3688" w:type="dxa"/>
            <w:vAlign w:val="bottom"/>
          </w:tcPr>
          <w:p w14:paraId="370ECE3E" w14:textId="77777777" w:rsidR="00944CE9" w:rsidRDefault="00944CE9" w:rsidP="00944CE9">
            <w:pPr>
              <w:rPr>
                <w:rFonts w:ascii="Arial" w:hAnsi="Arial" w:cs="Arial"/>
                <w:color w:val="000000"/>
                <w:sz w:val="20"/>
                <w:szCs w:val="20"/>
              </w:rPr>
            </w:pPr>
            <w:r w:rsidRPr="00630426">
              <w:rPr>
                <w:rFonts w:ascii="Arial" w:hAnsi="Arial" w:cs="Arial"/>
                <w:color w:val="000000"/>
                <w:sz w:val="20"/>
                <w:szCs w:val="20"/>
              </w:rPr>
              <w:t>Idaho Pollutant Discharge Elimination System</w:t>
            </w:r>
          </w:p>
        </w:tc>
        <w:tc>
          <w:tcPr>
            <w:tcW w:w="1440" w:type="dxa"/>
            <w:tcBorders>
              <w:top w:val="nil"/>
              <w:bottom w:val="nil"/>
            </w:tcBorders>
          </w:tcPr>
          <w:p w14:paraId="4E0AEE26" w14:textId="00620EF5" w:rsidR="00944CE9" w:rsidRPr="00D65989" w:rsidRDefault="00944CE9" w:rsidP="00944CE9">
            <w:pPr>
              <w:jc w:val="right"/>
              <w:rPr>
                <w:rFonts w:ascii="Arial" w:hAnsi="Arial" w:cs="Arial"/>
                <w:sz w:val="20"/>
                <w:szCs w:val="20"/>
                <w:u w:val="single"/>
              </w:rPr>
            </w:pPr>
            <w:r w:rsidRPr="00D65989">
              <w:rPr>
                <w:rFonts w:ascii="Arial" w:hAnsi="Arial" w:cs="Arial"/>
                <w:sz w:val="20"/>
                <w:szCs w:val="20"/>
                <w:u w:val="single"/>
              </w:rPr>
              <w:t>---</w:t>
            </w:r>
            <w:r w:rsidRPr="00D65989">
              <w:rPr>
                <w:rFonts w:ascii="Arial" w:hAnsi="Arial" w:cs="Arial"/>
                <w:sz w:val="20"/>
                <w:szCs w:val="20"/>
                <w:u w:val="single"/>
                <w:vertAlign w:val="superscript"/>
              </w:rPr>
              <w:t>b</w:t>
            </w:r>
          </w:p>
        </w:tc>
        <w:tc>
          <w:tcPr>
            <w:tcW w:w="1650" w:type="dxa"/>
            <w:tcBorders>
              <w:top w:val="nil"/>
              <w:bottom w:val="nil"/>
            </w:tcBorders>
          </w:tcPr>
          <w:p w14:paraId="145F088A" w14:textId="4CE46E7F" w:rsidR="00944CE9" w:rsidRPr="00D65989" w:rsidRDefault="00944CE9" w:rsidP="00944CE9">
            <w:pPr>
              <w:jc w:val="right"/>
              <w:rPr>
                <w:rFonts w:ascii="Arial" w:hAnsi="Arial" w:cs="Arial"/>
                <w:sz w:val="20"/>
                <w:szCs w:val="20"/>
                <w:u w:val="single"/>
              </w:rPr>
            </w:pPr>
            <w:r w:rsidRPr="00D65989">
              <w:rPr>
                <w:rFonts w:ascii="Arial" w:hAnsi="Arial" w:cs="Arial"/>
                <w:sz w:val="20"/>
                <w:szCs w:val="20"/>
                <w:u w:val="single"/>
              </w:rPr>
              <w:t>$764,771</w:t>
            </w:r>
          </w:p>
        </w:tc>
        <w:tc>
          <w:tcPr>
            <w:tcW w:w="1651" w:type="dxa"/>
            <w:tcBorders>
              <w:top w:val="nil"/>
              <w:bottom w:val="nil"/>
            </w:tcBorders>
          </w:tcPr>
          <w:p w14:paraId="1CD75CB8" w14:textId="726FDF64" w:rsidR="00944CE9" w:rsidRPr="00D65989" w:rsidRDefault="00944CE9" w:rsidP="00944CE9">
            <w:pPr>
              <w:jc w:val="right"/>
              <w:rPr>
                <w:rFonts w:ascii="Arial" w:eastAsiaTheme="minorHAnsi" w:hAnsi="Arial" w:cs="Arial"/>
                <w:sz w:val="20"/>
                <w:szCs w:val="20"/>
                <w:u w:val="single"/>
              </w:rPr>
            </w:pPr>
            <w:r w:rsidRPr="00D65989">
              <w:rPr>
                <w:rFonts w:ascii="Arial" w:hAnsi="Arial" w:cs="Arial"/>
                <w:color w:val="000000" w:themeColor="text1"/>
                <w:sz w:val="20"/>
                <w:szCs w:val="20"/>
                <w:u w:val="single"/>
              </w:rPr>
              <w:t>$1,170,992</w:t>
            </w:r>
          </w:p>
        </w:tc>
        <w:tc>
          <w:tcPr>
            <w:tcW w:w="1651" w:type="dxa"/>
            <w:tcBorders>
              <w:top w:val="nil"/>
              <w:bottom w:val="nil"/>
            </w:tcBorders>
          </w:tcPr>
          <w:p w14:paraId="0D0CB65E" w14:textId="253A0BD9" w:rsidR="00944CE9" w:rsidRPr="00FF43A1" w:rsidRDefault="00944CE9" w:rsidP="00944CE9">
            <w:pPr>
              <w:jc w:val="right"/>
              <w:rPr>
                <w:rFonts w:ascii="Arial" w:eastAsiaTheme="minorHAnsi" w:hAnsi="Arial" w:cs="Arial"/>
                <w:color w:val="000000" w:themeColor="text1"/>
                <w:sz w:val="20"/>
                <w:szCs w:val="20"/>
              </w:rPr>
            </w:pPr>
          </w:p>
        </w:tc>
      </w:tr>
      <w:tr w:rsidR="00944CE9" w:rsidRPr="00855C25" w14:paraId="775095FA" w14:textId="77777777" w:rsidTr="00D65989">
        <w:tc>
          <w:tcPr>
            <w:tcW w:w="3688" w:type="dxa"/>
            <w:vAlign w:val="bottom"/>
          </w:tcPr>
          <w:p w14:paraId="5C7B6F5A" w14:textId="77777777" w:rsidR="00944CE9" w:rsidRPr="00A62448" w:rsidRDefault="00944CE9" w:rsidP="00944CE9">
            <w:pPr>
              <w:jc w:val="right"/>
              <w:rPr>
                <w:rFonts w:ascii="Arial" w:eastAsia="Arial Unicode MS" w:hAnsi="Arial" w:cs="Arial"/>
                <w:b/>
                <w:bCs/>
                <w:color w:val="000000"/>
                <w:sz w:val="20"/>
                <w:szCs w:val="20"/>
              </w:rPr>
            </w:pPr>
            <w:r w:rsidRPr="00A62448">
              <w:rPr>
                <w:rFonts w:ascii="Arial" w:hAnsi="Arial" w:cs="Arial"/>
                <w:b/>
                <w:bCs/>
                <w:color w:val="000000"/>
                <w:sz w:val="20"/>
                <w:szCs w:val="20"/>
              </w:rPr>
              <w:t>Total</w:t>
            </w:r>
          </w:p>
        </w:tc>
        <w:tc>
          <w:tcPr>
            <w:tcW w:w="1440" w:type="dxa"/>
            <w:tcBorders>
              <w:top w:val="nil"/>
              <w:bottom w:val="nil"/>
            </w:tcBorders>
            <w:vAlign w:val="bottom"/>
          </w:tcPr>
          <w:p w14:paraId="066BB228" w14:textId="48DA0513" w:rsidR="00944CE9" w:rsidRPr="00A62448" w:rsidRDefault="00944CE9" w:rsidP="00944CE9">
            <w:pPr>
              <w:jc w:val="right"/>
              <w:rPr>
                <w:rFonts w:ascii="Arial" w:hAnsi="Arial" w:cs="Arial"/>
                <w:b/>
                <w:bCs/>
                <w:sz w:val="20"/>
                <w:szCs w:val="20"/>
              </w:rPr>
            </w:pPr>
            <w:r w:rsidRPr="002D4BDC">
              <w:rPr>
                <w:rFonts w:ascii="Arial" w:eastAsiaTheme="minorHAnsi" w:hAnsi="Arial" w:cs="Arial"/>
                <w:b/>
                <w:bCs/>
                <w:color w:val="000000" w:themeColor="text1"/>
                <w:sz w:val="20"/>
                <w:szCs w:val="20"/>
              </w:rPr>
              <w:t>$</w:t>
            </w:r>
            <w:r w:rsidRPr="002D4BDC">
              <w:rPr>
                <w:rFonts w:ascii="Arial" w:hAnsi="Arial" w:cs="Arial"/>
                <w:b/>
                <w:color w:val="000000" w:themeColor="text1"/>
                <w:sz w:val="20"/>
                <w:szCs w:val="20"/>
              </w:rPr>
              <w:t>56,203,988</w:t>
            </w:r>
          </w:p>
        </w:tc>
        <w:tc>
          <w:tcPr>
            <w:tcW w:w="1650" w:type="dxa"/>
            <w:tcBorders>
              <w:top w:val="nil"/>
              <w:bottom w:val="nil"/>
            </w:tcBorders>
            <w:vAlign w:val="bottom"/>
          </w:tcPr>
          <w:p w14:paraId="6C9E4F91" w14:textId="6F018C95" w:rsidR="00944CE9" w:rsidRPr="00A62448" w:rsidRDefault="00944CE9" w:rsidP="00944CE9">
            <w:pPr>
              <w:jc w:val="right"/>
              <w:rPr>
                <w:rFonts w:ascii="Arial" w:hAnsi="Arial" w:cs="Arial"/>
                <w:b/>
                <w:bCs/>
                <w:sz w:val="20"/>
                <w:szCs w:val="20"/>
              </w:rPr>
            </w:pPr>
            <w:r>
              <w:rPr>
                <w:rFonts w:ascii="Arial" w:hAnsi="Arial" w:cs="Arial"/>
                <w:b/>
                <w:bCs/>
                <w:sz w:val="20"/>
                <w:szCs w:val="20"/>
              </w:rPr>
              <w:t>$</w:t>
            </w:r>
            <w:r w:rsidRPr="002835C6">
              <w:rPr>
                <w:rFonts w:ascii="Arial" w:hAnsi="Arial" w:cs="Arial"/>
                <w:b/>
                <w:bCs/>
                <w:sz w:val="20"/>
                <w:szCs w:val="20"/>
              </w:rPr>
              <w:t>58,393,128</w:t>
            </w:r>
          </w:p>
        </w:tc>
        <w:tc>
          <w:tcPr>
            <w:tcW w:w="1651" w:type="dxa"/>
            <w:tcBorders>
              <w:top w:val="nil"/>
              <w:bottom w:val="nil"/>
            </w:tcBorders>
            <w:vAlign w:val="bottom"/>
          </w:tcPr>
          <w:p w14:paraId="105F5FDF" w14:textId="297B1270" w:rsidR="00944CE9" w:rsidRPr="00A62448" w:rsidRDefault="00944CE9" w:rsidP="00944CE9">
            <w:pPr>
              <w:jc w:val="right"/>
              <w:rPr>
                <w:rFonts w:ascii="Arial" w:eastAsiaTheme="minorHAnsi" w:hAnsi="Arial" w:cs="Arial"/>
                <w:b/>
                <w:bCs/>
                <w:sz w:val="20"/>
                <w:szCs w:val="20"/>
              </w:rPr>
            </w:pPr>
            <w:r w:rsidRPr="00FF43A1">
              <w:rPr>
                <w:rFonts w:ascii="Arial" w:hAnsi="Arial" w:cs="Arial"/>
                <w:b/>
                <w:bCs/>
                <w:color w:val="000000" w:themeColor="text1"/>
                <w:sz w:val="20"/>
                <w:szCs w:val="20"/>
              </w:rPr>
              <w:t>$53,635,518</w:t>
            </w:r>
          </w:p>
        </w:tc>
        <w:tc>
          <w:tcPr>
            <w:tcW w:w="1651" w:type="dxa"/>
            <w:tcBorders>
              <w:top w:val="nil"/>
              <w:bottom w:val="nil"/>
            </w:tcBorders>
            <w:vAlign w:val="bottom"/>
          </w:tcPr>
          <w:p w14:paraId="35ED9A98" w14:textId="0B093342" w:rsidR="00944CE9" w:rsidRPr="00FF43A1" w:rsidRDefault="00944CE9" w:rsidP="00944CE9">
            <w:pPr>
              <w:jc w:val="right"/>
              <w:rPr>
                <w:rFonts w:ascii="Arial" w:eastAsiaTheme="minorHAnsi" w:hAnsi="Arial" w:cs="Arial"/>
                <w:b/>
                <w:bCs/>
                <w:color w:val="000000" w:themeColor="text1"/>
                <w:sz w:val="20"/>
                <w:szCs w:val="20"/>
              </w:rPr>
            </w:pPr>
          </w:p>
        </w:tc>
      </w:tr>
      <w:tr w:rsidR="00944CE9" w:rsidRPr="00A62448" w14:paraId="6BC2B21A" w14:textId="77777777" w:rsidTr="004D5C1D">
        <w:tc>
          <w:tcPr>
            <w:tcW w:w="3688" w:type="dxa"/>
            <w:shd w:val="clear" w:color="auto" w:fill="000080"/>
            <w:vAlign w:val="bottom"/>
          </w:tcPr>
          <w:p w14:paraId="69969313" w14:textId="77777777" w:rsidR="00944CE9" w:rsidRPr="00A62448" w:rsidRDefault="00944CE9" w:rsidP="00944CE9">
            <w:pPr>
              <w:rPr>
                <w:rFonts w:ascii="Arial" w:hAnsi="Arial" w:cs="Arial"/>
                <w:b/>
                <w:bCs/>
                <w:color w:val="FFFFFF"/>
                <w:sz w:val="20"/>
                <w:szCs w:val="20"/>
              </w:rPr>
            </w:pPr>
            <w:r w:rsidRPr="00A62448">
              <w:rPr>
                <w:rFonts w:ascii="Arial" w:hAnsi="Arial" w:cs="Arial"/>
                <w:b/>
                <w:bCs/>
                <w:color w:val="FFFFFF"/>
                <w:sz w:val="20"/>
                <w:szCs w:val="20"/>
              </w:rPr>
              <w:t>Expenditures</w:t>
            </w:r>
          </w:p>
        </w:tc>
        <w:tc>
          <w:tcPr>
            <w:tcW w:w="1440" w:type="dxa"/>
            <w:tcBorders>
              <w:top w:val="nil"/>
            </w:tcBorders>
            <w:shd w:val="clear" w:color="auto" w:fill="000080"/>
            <w:vAlign w:val="bottom"/>
          </w:tcPr>
          <w:p w14:paraId="50953876" w14:textId="3F1E7214" w:rsidR="00944CE9" w:rsidRPr="00A62448" w:rsidRDefault="00944CE9" w:rsidP="00944CE9">
            <w:pPr>
              <w:jc w:val="right"/>
              <w:rPr>
                <w:rFonts w:ascii="Arial" w:hAnsi="Arial" w:cs="Arial"/>
                <w:b/>
                <w:bCs/>
                <w:color w:val="FFFFFF"/>
                <w:sz w:val="20"/>
                <w:szCs w:val="20"/>
              </w:rPr>
            </w:pPr>
            <w:r>
              <w:rPr>
                <w:rFonts w:ascii="Arial" w:hAnsi="Arial" w:cs="Arial"/>
                <w:b/>
                <w:bCs/>
                <w:color w:val="FFFFFF"/>
                <w:sz w:val="20"/>
                <w:szCs w:val="20"/>
              </w:rPr>
              <w:t>FY 2019</w:t>
            </w:r>
          </w:p>
        </w:tc>
        <w:tc>
          <w:tcPr>
            <w:tcW w:w="1650" w:type="dxa"/>
            <w:tcBorders>
              <w:top w:val="nil"/>
            </w:tcBorders>
            <w:shd w:val="clear" w:color="auto" w:fill="000080"/>
            <w:vAlign w:val="bottom"/>
          </w:tcPr>
          <w:p w14:paraId="07A3EAAD" w14:textId="34B13CC5" w:rsidR="00944CE9" w:rsidRPr="00A62448" w:rsidRDefault="00944CE9" w:rsidP="00944CE9">
            <w:pPr>
              <w:jc w:val="right"/>
              <w:rPr>
                <w:rFonts w:ascii="Arial" w:hAnsi="Arial" w:cs="Arial"/>
                <w:b/>
                <w:bCs/>
                <w:color w:val="FFFFFF"/>
                <w:sz w:val="20"/>
                <w:szCs w:val="20"/>
              </w:rPr>
            </w:pPr>
            <w:r>
              <w:rPr>
                <w:rFonts w:ascii="Arial" w:hAnsi="Arial" w:cs="Arial"/>
                <w:b/>
                <w:bCs/>
                <w:color w:val="FFFFFF"/>
                <w:sz w:val="20"/>
                <w:szCs w:val="20"/>
              </w:rPr>
              <w:t>FY 2020</w:t>
            </w:r>
          </w:p>
        </w:tc>
        <w:tc>
          <w:tcPr>
            <w:tcW w:w="1651" w:type="dxa"/>
            <w:tcBorders>
              <w:top w:val="nil"/>
            </w:tcBorders>
            <w:shd w:val="clear" w:color="auto" w:fill="000080"/>
            <w:vAlign w:val="bottom"/>
          </w:tcPr>
          <w:p w14:paraId="366EA03A" w14:textId="3F4EA0F3" w:rsidR="00944CE9" w:rsidRPr="00A62448" w:rsidRDefault="00944CE9" w:rsidP="00944CE9">
            <w:pPr>
              <w:jc w:val="right"/>
              <w:rPr>
                <w:rFonts w:ascii="Arial" w:hAnsi="Arial" w:cs="Arial"/>
                <w:b/>
                <w:bCs/>
                <w:color w:val="FFFFFF"/>
                <w:sz w:val="20"/>
              </w:rPr>
            </w:pPr>
            <w:r>
              <w:rPr>
                <w:rFonts w:ascii="Arial" w:hAnsi="Arial" w:cs="Arial"/>
                <w:b/>
                <w:bCs/>
                <w:color w:val="FFFFFF"/>
                <w:sz w:val="20"/>
              </w:rPr>
              <w:t>FY 2021</w:t>
            </w:r>
          </w:p>
        </w:tc>
        <w:tc>
          <w:tcPr>
            <w:tcW w:w="1651" w:type="dxa"/>
            <w:tcBorders>
              <w:top w:val="nil"/>
            </w:tcBorders>
            <w:shd w:val="clear" w:color="auto" w:fill="000080"/>
            <w:vAlign w:val="bottom"/>
          </w:tcPr>
          <w:p w14:paraId="4D059F72" w14:textId="599163C1" w:rsidR="00944CE9" w:rsidRPr="00A62448" w:rsidRDefault="00944CE9" w:rsidP="00944CE9">
            <w:pPr>
              <w:jc w:val="right"/>
              <w:rPr>
                <w:rFonts w:ascii="Arial" w:hAnsi="Arial" w:cs="Arial"/>
                <w:b/>
                <w:bCs/>
                <w:color w:val="FFFFFF"/>
                <w:sz w:val="20"/>
              </w:rPr>
            </w:pPr>
            <w:r>
              <w:rPr>
                <w:rFonts w:ascii="Arial" w:hAnsi="Arial" w:cs="Arial"/>
                <w:b/>
                <w:bCs/>
                <w:color w:val="FFFFFF"/>
                <w:sz w:val="20"/>
              </w:rPr>
              <w:t>FY 2022</w:t>
            </w:r>
          </w:p>
        </w:tc>
      </w:tr>
      <w:tr w:rsidR="00D65989" w:rsidRPr="00A62448" w14:paraId="5449A027" w14:textId="77777777" w:rsidTr="004D5C1D">
        <w:tc>
          <w:tcPr>
            <w:tcW w:w="3688" w:type="dxa"/>
            <w:vAlign w:val="bottom"/>
          </w:tcPr>
          <w:p w14:paraId="2737798C" w14:textId="77777777" w:rsidR="00D65989" w:rsidRPr="00A62448" w:rsidRDefault="00D65989" w:rsidP="00D65989">
            <w:pPr>
              <w:rPr>
                <w:rFonts w:ascii="Arial" w:hAnsi="Arial" w:cs="Arial"/>
                <w:sz w:val="20"/>
                <w:szCs w:val="20"/>
              </w:rPr>
            </w:pPr>
            <w:r w:rsidRPr="00A62448">
              <w:rPr>
                <w:rFonts w:ascii="Arial" w:hAnsi="Arial" w:cs="Arial"/>
                <w:sz w:val="20"/>
                <w:szCs w:val="20"/>
              </w:rPr>
              <w:t>Personnel Costs</w:t>
            </w:r>
          </w:p>
        </w:tc>
        <w:tc>
          <w:tcPr>
            <w:tcW w:w="1440" w:type="dxa"/>
            <w:vAlign w:val="bottom"/>
          </w:tcPr>
          <w:p w14:paraId="163EAB21" w14:textId="38979C2D" w:rsidR="00D65989" w:rsidRPr="00A62448" w:rsidRDefault="00D65989" w:rsidP="00D65989">
            <w:pPr>
              <w:jc w:val="right"/>
              <w:rPr>
                <w:rFonts w:ascii="Arial" w:hAnsi="Arial" w:cs="Arial"/>
                <w:sz w:val="20"/>
                <w:szCs w:val="20"/>
              </w:rPr>
            </w:pPr>
            <w:r>
              <w:rPr>
                <w:rFonts w:ascii="Arial" w:eastAsiaTheme="minorHAnsi" w:hAnsi="Arial" w:cs="Arial"/>
                <w:sz w:val="20"/>
                <w:szCs w:val="20"/>
              </w:rPr>
              <w:t>$30,856,108</w:t>
            </w:r>
          </w:p>
        </w:tc>
        <w:tc>
          <w:tcPr>
            <w:tcW w:w="1650" w:type="dxa"/>
            <w:vAlign w:val="bottom"/>
          </w:tcPr>
          <w:p w14:paraId="7D37DE76" w14:textId="2B4F4C35" w:rsidR="00D65989" w:rsidRPr="00A62448" w:rsidRDefault="00D65989" w:rsidP="00D65989">
            <w:pPr>
              <w:jc w:val="right"/>
              <w:rPr>
                <w:rFonts w:ascii="Arial" w:hAnsi="Arial" w:cs="Arial"/>
                <w:sz w:val="20"/>
                <w:szCs w:val="20"/>
              </w:rPr>
            </w:pPr>
            <w:r>
              <w:rPr>
                <w:rFonts w:ascii="Arial" w:hAnsi="Arial" w:cs="Arial"/>
                <w:sz w:val="20"/>
                <w:szCs w:val="20"/>
              </w:rPr>
              <w:t>$31,381,508</w:t>
            </w:r>
          </w:p>
        </w:tc>
        <w:tc>
          <w:tcPr>
            <w:tcW w:w="1651" w:type="dxa"/>
            <w:vAlign w:val="bottom"/>
          </w:tcPr>
          <w:p w14:paraId="635E4E06" w14:textId="1C2B4946" w:rsidR="00D65989" w:rsidRPr="00A62448" w:rsidRDefault="00D65989" w:rsidP="00D65989">
            <w:pPr>
              <w:jc w:val="right"/>
              <w:rPr>
                <w:rFonts w:ascii="Arial" w:eastAsiaTheme="minorHAnsi" w:hAnsi="Arial" w:cs="Arial"/>
                <w:sz w:val="20"/>
                <w:szCs w:val="20"/>
              </w:rPr>
            </w:pPr>
            <w:r w:rsidRPr="00FF43A1">
              <w:rPr>
                <w:rFonts w:ascii="Arial" w:hAnsi="Arial" w:cs="Arial"/>
                <w:color w:val="000000" w:themeColor="text1"/>
                <w:sz w:val="20"/>
                <w:szCs w:val="20"/>
              </w:rPr>
              <w:t>$30,027,626</w:t>
            </w:r>
          </w:p>
        </w:tc>
        <w:tc>
          <w:tcPr>
            <w:tcW w:w="1651" w:type="dxa"/>
            <w:vAlign w:val="bottom"/>
          </w:tcPr>
          <w:p w14:paraId="33E43172" w14:textId="04DAADA5" w:rsidR="00D65989" w:rsidRPr="00FF43A1" w:rsidRDefault="00D65989" w:rsidP="00D65989">
            <w:pPr>
              <w:jc w:val="right"/>
              <w:rPr>
                <w:rFonts w:ascii="Arial" w:eastAsiaTheme="minorHAnsi" w:hAnsi="Arial" w:cs="Arial"/>
                <w:color w:val="000000" w:themeColor="text1"/>
                <w:sz w:val="20"/>
                <w:szCs w:val="20"/>
              </w:rPr>
            </w:pPr>
          </w:p>
        </w:tc>
      </w:tr>
      <w:tr w:rsidR="00D65989" w:rsidRPr="00A62448" w14:paraId="1E5AC0AD" w14:textId="77777777" w:rsidTr="004D5C1D">
        <w:tc>
          <w:tcPr>
            <w:tcW w:w="3688" w:type="dxa"/>
            <w:vAlign w:val="bottom"/>
          </w:tcPr>
          <w:p w14:paraId="2791EBC9" w14:textId="77777777" w:rsidR="00D65989" w:rsidRPr="00A62448" w:rsidRDefault="00D65989" w:rsidP="00D65989">
            <w:pPr>
              <w:rPr>
                <w:rFonts w:ascii="Arial" w:hAnsi="Arial" w:cs="Arial"/>
                <w:sz w:val="20"/>
                <w:szCs w:val="20"/>
              </w:rPr>
            </w:pPr>
            <w:r w:rsidRPr="00A62448">
              <w:rPr>
                <w:rFonts w:ascii="Arial" w:hAnsi="Arial" w:cs="Arial"/>
                <w:sz w:val="20"/>
                <w:szCs w:val="20"/>
              </w:rPr>
              <w:t>Operating Expenditures</w:t>
            </w:r>
          </w:p>
        </w:tc>
        <w:tc>
          <w:tcPr>
            <w:tcW w:w="1440" w:type="dxa"/>
            <w:vAlign w:val="bottom"/>
          </w:tcPr>
          <w:p w14:paraId="240F3BEA" w14:textId="43A6C8DD" w:rsidR="00D65989" w:rsidRPr="00A62448" w:rsidRDefault="00D65989" w:rsidP="00D65989">
            <w:pPr>
              <w:jc w:val="right"/>
              <w:rPr>
                <w:rFonts w:ascii="Arial" w:hAnsi="Arial" w:cs="Arial"/>
                <w:sz w:val="20"/>
                <w:szCs w:val="20"/>
              </w:rPr>
            </w:pPr>
            <w:r>
              <w:rPr>
                <w:rFonts w:ascii="Arial" w:eastAsiaTheme="minorHAnsi" w:hAnsi="Arial" w:cs="Arial"/>
                <w:sz w:val="20"/>
                <w:szCs w:val="20"/>
              </w:rPr>
              <w:t>$13.397.042</w:t>
            </w:r>
          </w:p>
        </w:tc>
        <w:tc>
          <w:tcPr>
            <w:tcW w:w="1650" w:type="dxa"/>
            <w:vAlign w:val="bottom"/>
          </w:tcPr>
          <w:p w14:paraId="777A34D4" w14:textId="7074963B" w:rsidR="00D65989" w:rsidRPr="00A62448" w:rsidRDefault="00D65989" w:rsidP="00D65989">
            <w:pPr>
              <w:jc w:val="right"/>
              <w:rPr>
                <w:rFonts w:ascii="Arial" w:hAnsi="Arial" w:cs="Arial"/>
                <w:sz w:val="20"/>
                <w:szCs w:val="20"/>
              </w:rPr>
            </w:pPr>
            <w:r>
              <w:rPr>
                <w:rFonts w:ascii="Arial" w:hAnsi="Arial" w:cs="Arial"/>
                <w:sz w:val="20"/>
                <w:szCs w:val="20"/>
              </w:rPr>
              <w:t>$12,333,133</w:t>
            </w:r>
          </w:p>
        </w:tc>
        <w:tc>
          <w:tcPr>
            <w:tcW w:w="1651" w:type="dxa"/>
            <w:vAlign w:val="bottom"/>
          </w:tcPr>
          <w:p w14:paraId="2649AB65" w14:textId="43B44E5E" w:rsidR="00D65989" w:rsidRPr="00A62448" w:rsidRDefault="00D65989" w:rsidP="00D65989">
            <w:pPr>
              <w:jc w:val="right"/>
              <w:rPr>
                <w:rFonts w:ascii="Arial" w:eastAsiaTheme="minorHAnsi" w:hAnsi="Arial" w:cs="Arial"/>
                <w:sz w:val="20"/>
                <w:szCs w:val="20"/>
              </w:rPr>
            </w:pPr>
            <w:r w:rsidRPr="00FF43A1">
              <w:rPr>
                <w:rFonts w:ascii="Arial" w:hAnsi="Arial" w:cs="Arial"/>
                <w:color w:val="000000" w:themeColor="text1"/>
                <w:sz w:val="20"/>
                <w:szCs w:val="20"/>
              </w:rPr>
              <w:t>$12,494,236</w:t>
            </w:r>
          </w:p>
        </w:tc>
        <w:tc>
          <w:tcPr>
            <w:tcW w:w="1651" w:type="dxa"/>
            <w:vAlign w:val="bottom"/>
          </w:tcPr>
          <w:p w14:paraId="7340F743" w14:textId="5946342D" w:rsidR="00D65989" w:rsidRPr="00FF43A1" w:rsidRDefault="00D65989" w:rsidP="00D65989">
            <w:pPr>
              <w:jc w:val="right"/>
              <w:rPr>
                <w:rFonts w:ascii="Arial" w:eastAsiaTheme="minorHAnsi" w:hAnsi="Arial" w:cs="Arial"/>
                <w:color w:val="000000" w:themeColor="text1"/>
                <w:sz w:val="20"/>
                <w:szCs w:val="20"/>
              </w:rPr>
            </w:pPr>
          </w:p>
        </w:tc>
      </w:tr>
      <w:tr w:rsidR="00D65989" w:rsidRPr="00A62448" w14:paraId="18EFFE98" w14:textId="77777777" w:rsidTr="00D65989">
        <w:tc>
          <w:tcPr>
            <w:tcW w:w="3688" w:type="dxa"/>
            <w:vAlign w:val="bottom"/>
          </w:tcPr>
          <w:p w14:paraId="1A9E5FBA" w14:textId="77777777" w:rsidR="00D65989" w:rsidRPr="00A62448" w:rsidRDefault="00D65989" w:rsidP="00D65989">
            <w:pPr>
              <w:rPr>
                <w:rFonts w:ascii="Arial" w:hAnsi="Arial" w:cs="Arial"/>
                <w:sz w:val="20"/>
                <w:szCs w:val="20"/>
              </w:rPr>
            </w:pPr>
            <w:r w:rsidRPr="00A62448">
              <w:rPr>
                <w:rFonts w:ascii="Arial" w:hAnsi="Arial" w:cs="Arial"/>
                <w:sz w:val="20"/>
                <w:szCs w:val="20"/>
              </w:rPr>
              <w:t>Capital Outlay</w:t>
            </w:r>
          </w:p>
        </w:tc>
        <w:tc>
          <w:tcPr>
            <w:tcW w:w="1440" w:type="dxa"/>
            <w:tcBorders>
              <w:bottom w:val="nil"/>
            </w:tcBorders>
            <w:vAlign w:val="bottom"/>
          </w:tcPr>
          <w:p w14:paraId="48CB22DC" w14:textId="772F4C94" w:rsidR="00D65989" w:rsidRPr="00A62448" w:rsidRDefault="00D65989" w:rsidP="00D65989">
            <w:pPr>
              <w:jc w:val="right"/>
              <w:rPr>
                <w:rFonts w:ascii="Arial" w:hAnsi="Arial" w:cs="Arial"/>
                <w:sz w:val="20"/>
                <w:szCs w:val="20"/>
              </w:rPr>
            </w:pPr>
            <w:r>
              <w:rPr>
                <w:rFonts w:ascii="Arial" w:eastAsiaTheme="minorHAnsi" w:hAnsi="Arial" w:cs="Arial"/>
                <w:sz w:val="20"/>
                <w:szCs w:val="20"/>
              </w:rPr>
              <w:t>$542,398</w:t>
            </w:r>
          </w:p>
        </w:tc>
        <w:tc>
          <w:tcPr>
            <w:tcW w:w="1650" w:type="dxa"/>
            <w:tcBorders>
              <w:bottom w:val="nil"/>
            </w:tcBorders>
            <w:vAlign w:val="bottom"/>
          </w:tcPr>
          <w:p w14:paraId="340525EB" w14:textId="6C99C133" w:rsidR="00D65989" w:rsidRPr="00A62448" w:rsidRDefault="00D65989" w:rsidP="00D65989">
            <w:pPr>
              <w:jc w:val="right"/>
              <w:rPr>
                <w:rFonts w:ascii="Arial" w:hAnsi="Arial" w:cs="Arial"/>
                <w:sz w:val="20"/>
                <w:szCs w:val="20"/>
              </w:rPr>
            </w:pPr>
            <w:r>
              <w:rPr>
                <w:rFonts w:ascii="Arial" w:hAnsi="Arial" w:cs="Arial"/>
                <w:sz w:val="20"/>
                <w:szCs w:val="20"/>
              </w:rPr>
              <w:t>$414,156</w:t>
            </w:r>
          </w:p>
        </w:tc>
        <w:tc>
          <w:tcPr>
            <w:tcW w:w="1651" w:type="dxa"/>
            <w:tcBorders>
              <w:bottom w:val="nil"/>
            </w:tcBorders>
            <w:vAlign w:val="bottom"/>
          </w:tcPr>
          <w:p w14:paraId="448C7399" w14:textId="6195B00B" w:rsidR="00D65989" w:rsidRPr="00A62448" w:rsidRDefault="00D65989" w:rsidP="00D65989">
            <w:pPr>
              <w:jc w:val="right"/>
              <w:rPr>
                <w:rFonts w:ascii="Arial" w:eastAsiaTheme="minorHAnsi" w:hAnsi="Arial" w:cs="Arial"/>
                <w:sz w:val="20"/>
                <w:szCs w:val="20"/>
              </w:rPr>
            </w:pPr>
            <w:r w:rsidRPr="00FF43A1">
              <w:rPr>
                <w:rFonts w:ascii="Arial" w:hAnsi="Arial" w:cs="Arial"/>
                <w:color w:val="000000" w:themeColor="text1"/>
                <w:sz w:val="20"/>
                <w:szCs w:val="20"/>
              </w:rPr>
              <w:t>$404,646</w:t>
            </w:r>
          </w:p>
        </w:tc>
        <w:tc>
          <w:tcPr>
            <w:tcW w:w="1651" w:type="dxa"/>
            <w:tcBorders>
              <w:bottom w:val="nil"/>
            </w:tcBorders>
            <w:vAlign w:val="bottom"/>
          </w:tcPr>
          <w:p w14:paraId="5B3B9C82" w14:textId="687CC927" w:rsidR="00D65989" w:rsidRPr="00FF43A1" w:rsidRDefault="00D65989" w:rsidP="00D65989">
            <w:pPr>
              <w:jc w:val="right"/>
              <w:rPr>
                <w:rFonts w:ascii="Arial" w:eastAsiaTheme="minorHAnsi" w:hAnsi="Arial" w:cs="Arial"/>
                <w:color w:val="000000" w:themeColor="text1"/>
                <w:sz w:val="20"/>
                <w:szCs w:val="20"/>
              </w:rPr>
            </w:pPr>
          </w:p>
        </w:tc>
      </w:tr>
      <w:tr w:rsidR="00D65989" w:rsidRPr="00A62448" w14:paraId="58492DE2" w14:textId="77777777" w:rsidTr="00D65989">
        <w:tc>
          <w:tcPr>
            <w:tcW w:w="3688" w:type="dxa"/>
            <w:vAlign w:val="bottom"/>
          </w:tcPr>
          <w:p w14:paraId="4A06DF1D" w14:textId="77777777" w:rsidR="00D65989" w:rsidRPr="00A62448" w:rsidRDefault="00D65989" w:rsidP="00D65989">
            <w:pPr>
              <w:rPr>
                <w:rFonts w:ascii="Arial" w:hAnsi="Arial" w:cs="Arial"/>
                <w:sz w:val="20"/>
                <w:szCs w:val="20"/>
              </w:rPr>
            </w:pPr>
            <w:r w:rsidRPr="00A62448">
              <w:rPr>
                <w:rFonts w:ascii="Arial" w:hAnsi="Arial" w:cs="Arial"/>
                <w:sz w:val="20"/>
                <w:szCs w:val="20"/>
              </w:rPr>
              <w:t>Trustee/Benefit Payments</w:t>
            </w:r>
          </w:p>
        </w:tc>
        <w:tc>
          <w:tcPr>
            <w:tcW w:w="1440" w:type="dxa"/>
            <w:tcBorders>
              <w:top w:val="nil"/>
              <w:bottom w:val="nil"/>
            </w:tcBorders>
            <w:vAlign w:val="bottom"/>
          </w:tcPr>
          <w:p w14:paraId="04AA49D5" w14:textId="468F9334" w:rsidR="00D65989" w:rsidRPr="00D65989" w:rsidRDefault="00D65989" w:rsidP="00D65989">
            <w:pPr>
              <w:jc w:val="right"/>
              <w:rPr>
                <w:rFonts w:ascii="Arial" w:hAnsi="Arial" w:cs="Arial"/>
                <w:sz w:val="20"/>
                <w:szCs w:val="20"/>
                <w:u w:val="single"/>
              </w:rPr>
            </w:pPr>
            <w:r w:rsidRPr="00D65989">
              <w:rPr>
                <w:rFonts w:ascii="Arial" w:eastAsiaTheme="minorHAnsi" w:hAnsi="Arial" w:cs="Arial"/>
                <w:sz w:val="20"/>
                <w:szCs w:val="20"/>
                <w:u w:val="single"/>
              </w:rPr>
              <w:t>$6,368,776</w:t>
            </w:r>
          </w:p>
        </w:tc>
        <w:tc>
          <w:tcPr>
            <w:tcW w:w="1650" w:type="dxa"/>
            <w:tcBorders>
              <w:top w:val="nil"/>
              <w:bottom w:val="nil"/>
            </w:tcBorders>
            <w:vAlign w:val="bottom"/>
          </w:tcPr>
          <w:p w14:paraId="13DF323E" w14:textId="0D0EF960" w:rsidR="00D65989" w:rsidRPr="00D65989" w:rsidRDefault="00D65989" w:rsidP="00D65989">
            <w:pPr>
              <w:jc w:val="right"/>
              <w:rPr>
                <w:rFonts w:ascii="Arial" w:hAnsi="Arial" w:cs="Arial"/>
                <w:sz w:val="20"/>
                <w:szCs w:val="20"/>
                <w:u w:val="single"/>
              </w:rPr>
            </w:pPr>
            <w:r w:rsidRPr="00D65989">
              <w:rPr>
                <w:rFonts w:ascii="Arial" w:hAnsi="Arial" w:cs="Arial"/>
                <w:sz w:val="20"/>
                <w:szCs w:val="20"/>
                <w:u w:val="single"/>
              </w:rPr>
              <w:t>$7,202,156</w:t>
            </w:r>
          </w:p>
        </w:tc>
        <w:tc>
          <w:tcPr>
            <w:tcW w:w="1651" w:type="dxa"/>
            <w:tcBorders>
              <w:top w:val="nil"/>
              <w:bottom w:val="nil"/>
            </w:tcBorders>
            <w:vAlign w:val="bottom"/>
          </w:tcPr>
          <w:p w14:paraId="74974166" w14:textId="1281964B" w:rsidR="00D65989" w:rsidRPr="00D65989" w:rsidRDefault="00D65989" w:rsidP="00D65989">
            <w:pPr>
              <w:jc w:val="right"/>
              <w:rPr>
                <w:rFonts w:ascii="Arial" w:eastAsiaTheme="minorHAnsi" w:hAnsi="Arial" w:cs="Arial"/>
                <w:sz w:val="20"/>
                <w:szCs w:val="20"/>
                <w:u w:val="single"/>
              </w:rPr>
            </w:pPr>
            <w:r w:rsidRPr="00D65989">
              <w:rPr>
                <w:rFonts w:ascii="Arial" w:hAnsi="Arial" w:cs="Arial"/>
                <w:color w:val="000000" w:themeColor="text1"/>
                <w:sz w:val="20"/>
                <w:szCs w:val="20"/>
                <w:u w:val="single"/>
              </w:rPr>
              <w:t>$5,773,975</w:t>
            </w:r>
          </w:p>
        </w:tc>
        <w:tc>
          <w:tcPr>
            <w:tcW w:w="1651" w:type="dxa"/>
            <w:tcBorders>
              <w:top w:val="nil"/>
              <w:bottom w:val="nil"/>
            </w:tcBorders>
            <w:vAlign w:val="bottom"/>
          </w:tcPr>
          <w:p w14:paraId="69B4CDD4" w14:textId="511F363F" w:rsidR="00D65989" w:rsidRPr="00D65989" w:rsidRDefault="00D65989" w:rsidP="00D65989">
            <w:pPr>
              <w:jc w:val="right"/>
              <w:rPr>
                <w:rFonts w:ascii="Arial" w:eastAsiaTheme="minorHAnsi" w:hAnsi="Arial" w:cs="Arial"/>
                <w:color w:val="000000" w:themeColor="text1"/>
                <w:sz w:val="20"/>
                <w:szCs w:val="20"/>
                <w:u w:val="single"/>
              </w:rPr>
            </w:pPr>
          </w:p>
        </w:tc>
      </w:tr>
      <w:tr w:rsidR="00D65989" w:rsidRPr="00A62448" w14:paraId="70F3FA0A" w14:textId="77777777" w:rsidTr="00D65989">
        <w:tc>
          <w:tcPr>
            <w:tcW w:w="3688" w:type="dxa"/>
            <w:tcBorders>
              <w:bottom w:val="single" w:sz="4" w:space="0" w:color="auto"/>
            </w:tcBorders>
            <w:vAlign w:val="bottom"/>
          </w:tcPr>
          <w:p w14:paraId="0A721836" w14:textId="77777777" w:rsidR="00D65989" w:rsidRPr="00A62448" w:rsidRDefault="00D65989" w:rsidP="00D65989">
            <w:pPr>
              <w:jc w:val="right"/>
              <w:rPr>
                <w:rFonts w:ascii="Arial" w:hAnsi="Arial" w:cs="Arial"/>
                <w:b/>
                <w:bCs/>
                <w:sz w:val="20"/>
                <w:szCs w:val="20"/>
              </w:rPr>
            </w:pPr>
            <w:r w:rsidRPr="00A62448">
              <w:rPr>
                <w:rFonts w:ascii="Arial" w:hAnsi="Arial" w:cs="Arial"/>
                <w:b/>
                <w:bCs/>
                <w:sz w:val="20"/>
                <w:szCs w:val="20"/>
              </w:rPr>
              <w:t>Total</w:t>
            </w:r>
          </w:p>
        </w:tc>
        <w:tc>
          <w:tcPr>
            <w:tcW w:w="1440" w:type="dxa"/>
            <w:tcBorders>
              <w:top w:val="nil"/>
              <w:bottom w:val="single" w:sz="4" w:space="0" w:color="auto"/>
            </w:tcBorders>
            <w:vAlign w:val="bottom"/>
          </w:tcPr>
          <w:p w14:paraId="561792AD" w14:textId="106F7A7D" w:rsidR="00D65989" w:rsidRPr="00A62448" w:rsidRDefault="00D65989" w:rsidP="00D65989">
            <w:pPr>
              <w:jc w:val="right"/>
              <w:rPr>
                <w:rFonts w:ascii="Arial" w:hAnsi="Arial" w:cs="Arial"/>
                <w:b/>
                <w:bCs/>
                <w:sz w:val="20"/>
                <w:szCs w:val="20"/>
              </w:rPr>
            </w:pPr>
            <w:r>
              <w:rPr>
                <w:rFonts w:ascii="Arial" w:eastAsiaTheme="minorHAnsi" w:hAnsi="Arial" w:cs="Arial"/>
                <w:b/>
                <w:bCs/>
                <w:sz w:val="20"/>
                <w:szCs w:val="20"/>
              </w:rPr>
              <w:t>$51,164,325</w:t>
            </w:r>
          </w:p>
        </w:tc>
        <w:tc>
          <w:tcPr>
            <w:tcW w:w="1650" w:type="dxa"/>
            <w:tcBorders>
              <w:top w:val="nil"/>
              <w:bottom w:val="single" w:sz="4" w:space="0" w:color="auto"/>
            </w:tcBorders>
            <w:vAlign w:val="bottom"/>
          </w:tcPr>
          <w:p w14:paraId="6162E67D" w14:textId="1FBACC94" w:rsidR="00D65989" w:rsidRPr="00A62448" w:rsidRDefault="00D65989" w:rsidP="00D65989">
            <w:pPr>
              <w:jc w:val="right"/>
              <w:rPr>
                <w:rFonts w:ascii="Arial" w:hAnsi="Arial" w:cs="Arial"/>
                <w:b/>
                <w:bCs/>
                <w:sz w:val="20"/>
                <w:szCs w:val="20"/>
              </w:rPr>
            </w:pPr>
            <w:r>
              <w:rPr>
                <w:rFonts w:ascii="Arial" w:hAnsi="Arial" w:cs="Arial"/>
                <w:b/>
                <w:bCs/>
                <w:sz w:val="20"/>
                <w:szCs w:val="20"/>
              </w:rPr>
              <w:t>$51,330,953</w:t>
            </w:r>
          </w:p>
        </w:tc>
        <w:tc>
          <w:tcPr>
            <w:tcW w:w="1651" w:type="dxa"/>
            <w:tcBorders>
              <w:top w:val="nil"/>
              <w:bottom w:val="single" w:sz="4" w:space="0" w:color="auto"/>
            </w:tcBorders>
            <w:vAlign w:val="bottom"/>
          </w:tcPr>
          <w:p w14:paraId="2A313BFA" w14:textId="5C4701F6" w:rsidR="00D65989" w:rsidRPr="00A62448" w:rsidRDefault="00D65989" w:rsidP="00D65989">
            <w:pPr>
              <w:jc w:val="right"/>
              <w:rPr>
                <w:rFonts w:ascii="Arial" w:eastAsiaTheme="minorHAnsi" w:hAnsi="Arial" w:cs="Arial"/>
                <w:b/>
                <w:bCs/>
                <w:sz w:val="20"/>
                <w:szCs w:val="20"/>
              </w:rPr>
            </w:pPr>
            <w:r w:rsidRPr="00FF43A1">
              <w:rPr>
                <w:rFonts w:ascii="Arial" w:hAnsi="Arial" w:cs="Arial"/>
                <w:b/>
                <w:bCs/>
                <w:color w:val="000000" w:themeColor="text1"/>
                <w:sz w:val="20"/>
                <w:szCs w:val="20"/>
              </w:rPr>
              <w:t>$48,700,483</w:t>
            </w:r>
          </w:p>
        </w:tc>
        <w:tc>
          <w:tcPr>
            <w:tcW w:w="1651" w:type="dxa"/>
            <w:tcBorders>
              <w:top w:val="nil"/>
              <w:bottom w:val="single" w:sz="4" w:space="0" w:color="auto"/>
            </w:tcBorders>
            <w:vAlign w:val="bottom"/>
          </w:tcPr>
          <w:p w14:paraId="3DD6B53F" w14:textId="7BC62DD9" w:rsidR="00D65989" w:rsidRPr="00FF43A1" w:rsidRDefault="00D65989" w:rsidP="00D65989">
            <w:pPr>
              <w:jc w:val="right"/>
              <w:rPr>
                <w:rFonts w:ascii="Arial" w:eastAsiaTheme="minorHAnsi" w:hAnsi="Arial" w:cs="Arial"/>
                <w:b/>
                <w:bCs/>
                <w:color w:val="000000" w:themeColor="text1"/>
                <w:sz w:val="20"/>
                <w:szCs w:val="20"/>
              </w:rPr>
            </w:pPr>
          </w:p>
        </w:tc>
      </w:tr>
      <w:tr w:rsidR="00D65989" w:rsidRPr="00A62448" w14:paraId="0CD00067" w14:textId="77777777" w:rsidTr="00544343">
        <w:tc>
          <w:tcPr>
            <w:tcW w:w="10080" w:type="dxa"/>
            <w:gridSpan w:val="5"/>
            <w:tcBorders>
              <w:top w:val="single" w:sz="4" w:space="0" w:color="auto"/>
              <w:left w:val="nil"/>
              <w:bottom w:val="nil"/>
              <w:right w:val="nil"/>
            </w:tcBorders>
            <w:vAlign w:val="bottom"/>
          </w:tcPr>
          <w:p w14:paraId="5ACC4EC3" w14:textId="72262CCF" w:rsidR="00D65989" w:rsidRPr="00C17E7D" w:rsidRDefault="00D65989" w:rsidP="00D65989">
            <w:pPr>
              <w:tabs>
                <w:tab w:val="left" w:pos="4230"/>
              </w:tabs>
              <w:jc w:val="both"/>
              <w:rPr>
                <w:rFonts w:ascii="Arial" w:hAnsi="Arial" w:cs="Arial"/>
                <w:bCs/>
                <w:sz w:val="18"/>
                <w:szCs w:val="18"/>
              </w:rPr>
            </w:pPr>
            <w:r w:rsidRPr="00C17E7D">
              <w:rPr>
                <w:rFonts w:ascii="Arial" w:hAnsi="Arial" w:cs="Arial"/>
                <w:bCs/>
                <w:sz w:val="18"/>
                <w:szCs w:val="18"/>
              </w:rPr>
              <w:t>a.</w:t>
            </w:r>
            <w:r w:rsidRPr="00C17E7D">
              <w:rPr>
                <w:sz w:val="18"/>
                <w:szCs w:val="18"/>
              </w:rPr>
              <w:t xml:space="preserve"> </w:t>
            </w:r>
            <w:r w:rsidRPr="00C17E7D">
              <w:rPr>
                <w:rFonts w:ascii="Arial" w:hAnsi="Arial" w:cs="Arial"/>
                <w:bCs/>
                <w:sz w:val="18"/>
                <w:szCs w:val="18"/>
              </w:rPr>
              <w:t>FY 2019 is the first year DEQ has received this revenue source.</w:t>
            </w:r>
          </w:p>
          <w:p w14:paraId="6AF675DD" w14:textId="49831B1F" w:rsidR="00D65989" w:rsidRPr="00C17E7D" w:rsidRDefault="00D65989" w:rsidP="00D65989">
            <w:pPr>
              <w:tabs>
                <w:tab w:val="left" w:pos="4230"/>
              </w:tabs>
              <w:jc w:val="both"/>
              <w:rPr>
                <w:rFonts w:ascii="Arial" w:hAnsi="Arial" w:cs="Arial"/>
                <w:bCs/>
                <w:sz w:val="18"/>
                <w:szCs w:val="18"/>
              </w:rPr>
            </w:pPr>
            <w:r w:rsidRPr="00C17E7D">
              <w:rPr>
                <w:rFonts w:ascii="Arial" w:hAnsi="Arial" w:cs="Arial"/>
                <w:bCs/>
                <w:sz w:val="18"/>
                <w:szCs w:val="18"/>
              </w:rPr>
              <w:t>b. FY 2020 is the first year DEQ has received this revenue source.</w:t>
            </w:r>
          </w:p>
          <w:p w14:paraId="0C149620" w14:textId="77777777" w:rsidR="00D65989" w:rsidRPr="00A62448" w:rsidRDefault="00D65989" w:rsidP="00D65989">
            <w:pPr>
              <w:jc w:val="right"/>
              <w:rPr>
                <w:rFonts w:ascii="Arial" w:eastAsiaTheme="minorHAnsi" w:hAnsi="Arial" w:cs="Arial"/>
                <w:b/>
                <w:bCs/>
                <w:sz w:val="20"/>
                <w:szCs w:val="20"/>
              </w:rPr>
            </w:pPr>
          </w:p>
        </w:tc>
      </w:tr>
    </w:tbl>
    <w:p w14:paraId="22AC1A6E" w14:textId="77777777" w:rsidR="0012775D" w:rsidRDefault="00571E39" w:rsidP="0032629D">
      <w:pPr>
        <w:pageBreakBefore/>
        <w:rPr>
          <w:rFonts w:ascii="Arial" w:hAnsi="Arial" w:cs="Arial"/>
          <w:b/>
          <w:bCs/>
        </w:rPr>
      </w:pPr>
      <w:bookmarkStart w:id="2" w:name="OLE_LINK23"/>
      <w:bookmarkStart w:id="3" w:name="OLE_LINK24"/>
      <w:r w:rsidRPr="0071684C">
        <w:rPr>
          <w:rFonts w:ascii="Arial" w:hAnsi="Arial" w:cs="Arial"/>
          <w:b/>
          <w:bCs/>
        </w:rPr>
        <w:lastRenderedPageBreak/>
        <w:t xml:space="preserve">Profile of </w:t>
      </w:r>
      <w:r w:rsidR="00AB3DA7">
        <w:rPr>
          <w:rFonts w:ascii="Arial" w:hAnsi="Arial" w:cs="Arial"/>
          <w:b/>
          <w:bCs/>
        </w:rPr>
        <w:t xml:space="preserve">Cases Managed and/or </w:t>
      </w:r>
      <w:r w:rsidRPr="0071684C">
        <w:rPr>
          <w:rFonts w:ascii="Arial" w:hAnsi="Arial" w:cs="Arial"/>
          <w:b/>
          <w:bCs/>
        </w:rPr>
        <w:t>Key Services Provided</w:t>
      </w:r>
    </w:p>
    <w:bookmarkEnd w:id="2"/>
    <w:bookmarkEnd w:id="3"/>
    <w:p w14:paraId="3F7EAB7A" w14:textId="77777777" w:rsidR="00636A9B" w:rsidRDefault="006F2061" w:rsidP="0032629D">
      <w:pPr>
        <w:rPr>
          <w:rFonts w:ascii="Arial" w:hAnsi="Arial" w:cs="Arial"/>
          <w:bCs/>
          <w:sz w:val="20"/>
          <w:szCs w:val="20"/>
        </w:rPr>
      </w:pPr>
      <w:r w:rsidRPr="00045A3A">
        <w:rPr>
          <w:rFonts w:ascii="Arial" w:hAnsi="Arial" w:cs="Arial"/>
          <w:bCs/>
          <w:sz w:val="20"/>
          <w:szCs w:val="20"/>
        </w:rPr>
        <w:t xml:space="preserve">The following table </w:t>
      </w:r>
      <w:r w:rsidR="003A06FE">
        <w:rPr>
          <w:rFonts w:ascii="Arial" w:hAnsi="Arial" w:cs="Arial"/>
          <w:bCs/>
          <w:sz w:val="20"/>
          <w:szCs w:val="20"/>
        </w:rPr>
        <w:t xml:space="preserve">summarizes </w:t>
      </w:r>
      <w:r w:rsidRPr="00045A3A">
        <w:rPr>
          <w:rFonts w:ascii="Arial" w:hAnsi="Arial" w:cs="Arial"/>
          <w:bCs/>
          <w:sz w:val="20"/>
          <w:szCs w:val="20"/>
        </w:rPr>
        <w:t>some of the key services DEQ provides to communities, businesses</w:t>
      </w:r>
      <w:r w:rsidR="008C5863" w:rsidRPr="00045A3A">
        <w:rPr>
          <w:rFonts w:ascii="Arial" w:hAnsi="Arial" w:cs="Arial"/>
          <w:bCs/>
          <w:sz w:val="20"/>
          <w:szCs w:val="20"/>
        </w:rPr>
        <w:t>,</w:t>
      </w:r>
      <w:r w:rsidRPr="00045A3A">
        <w:rPr>
          <w:rFonts w:ascii="Arial" w:hAnsi="Arial" w:cs="Arial"/>
          <w:bCs/>
          <w:sz w:val="20"/>
          <w:szCs w:val="20"/>
        </w:rPr>
        <w:t xml:space="preserve"> </w:t>
      </w:r>
      <w:r w:rsidR="0012775D" w:rsidRPr="00045A3A">
        <w:rPr>
          <w:rFonts w:ascii="Arial" w:hAnsi="Arial" w:cs="Arial"/>
          <w:bCs/>
          <w:sz w:val="20"/>
          <w:szCs w:val="20"/>
        </w:rPr>
        <w:t>industr</w:t>
      </w:r>
      <w:r w:rsidR="003A06FE">
        <w:rPr>
          <w:rFonts w:ascii="Arial" w:hAnsi="Arial" w:cs="Arial"/>
          <w:bCs/>
          <w:sz w:val="20"/>
          <w:szCs w:val="20"/>
        </w:rPr>
        <w:t>ies,</w:t>
      </w:r>
      <w:r w:rsidR="0012775D" w:rsidRPr="00045A3A">
        <w:rPr>
          <w:rFonts w:ascii="Arial" w:hAnsi="Arial" w:cs="Arial"/>
          <w:bCs/>
          <w:sz w:val="20"/>
          <w:szCs w:val="20"/>
        </w:rPr>
        <w:t xml:space="preserve"> </w:t>
      </w:r>
      <w:r w:rsidRPr="00045A3A">
        <w:rPr>
          <w:rFonts w:ascii="Arial" w:hAnsi="Arial" w:cs="Arial"/>
          <w:bCs/>
          <w:sz w:val="20"/>
          <w:szCs w:val="20"/>
        </w:rPr>
        <w:t>and the</w:t>
      </w:r>
      <w:r w:rsidR="003E1B35">
        <w:rPr>
          <w:rFonts w:ascii="Arial" w:hAnsi="Arial" w:cs="Arial"/>
          <w:bCs/>
          <w:sz w:val="20"/>
          <w:szCs w:val="20"/>
        </w:rPr>
        <w:t xml:space="preserve"> </w:t>
      </w:r>
      <w:r w:rsidR="003D5354" w:rsidRPr="00045A3A">
        <w:rPr>
          <w:rFonts w:ascii="Arial" w:hAnsi="Arial" w:cs="Arial"/>
          <w:bCs/>
          <w:sz w:val="20"/>
          <w:szCs w:val="20"/>
        </w:rPr>
        <w:t>c</w:t>
      </w:r>
      <w:r w:rsidRPr="00045A3A">
        <w:rPr>
          <w:rFonts w:ascii="Arial" w:hAnsi="Arial" w:cs="Arial"/>
          <w:bCs/>
          <w:sz w:val="20"/>
          <w:szCs w:val="20"/>
        </w:rPr>
        <w:t>itizens</w:t>
      </w:r>
      <w:r w:rsidR="003D5354" w:rsidRPr="00045A3A">
        <w:rPr>
          <w:rFonts w:ascii="Arial" w:hAnsi="Arial" w:cs="Arial"/>
          <w:bCs/>
          <w:sz w:val="20"/>
          <w:szCs w:val="20"/>
        </w:rPr>
        <w:t xml:space="preserve"> </w:t>
      </w:r>
      <w:r w:rsidRPr="00045A3A">
        <w:rPr>
          <w:rFonts w:ascii="Arial" w:hAnsi="Arial" w:cs="Arial"/>
          <w:bCs/>
          <w:sz w:val="20"/>
          <w:szCs w:val="20"/>
        </w:rPr>
        <w:t>of Idaho.</w:t>
      </w:r>
    </w:p>
    <w:tbl>
      <w:tblPr>
        <w:tblW w:w="10080" w:type="dxa"/>
        <w:tblInd w:w="144" w:type="dxa"/>
        <w:tblBorders>
          <w:top w:val="double" w:sz="4" w:space="0" w:color="000080"/>
          <w:left w:val="double" w:sz="4" w:space="0" w:color="000080"/>
          <w:bottom w:val="double" w:sz="4" w:space="0" w:color="000080"/>
          <w:right w:val="double" w:sz="4" w:space="0" w:color="000080"/>
        </w:tblBorders>
        <w:tblLayout w:type="fixed"/>
        <w:tblCellMar>
          <w:left w:w="115" w:type="dxa"/>
          <w:right w:w="115" w:type="dxa"/>
        </w:tblCellMar>
        <w:tblLook w:val="0000" w:firstRow="0" w:lastRow="0" w:firstColumn="0" w:lastColumn="0" w:noHBand="0" w:noVBand="0"/>
      </w:tblPr>
      <w:tblGrid>
        <w:gridCol w:w="4684"/>
        <w:gridCol w:w="1349"/>
        <w:gridCol w:w="1349"/>
        <w:gridCol w:w="1349"/>
        <w:gridCol w:w="1349"/>
      </w:tblGrid>
      <w:tr w:rsidR="00D77B74" w:rsidRPr="00CC4B11" w14:paraId="51B4B115" w14:textId="77777777" w:rsidTr="00541E42">
        <w:trPr>
          <w:cantSplit/>
          <w:trHeight w:val="357"/>
        </w:trPr>
        <w:tc>
          <w:tcPr>
            <w:tcW w:w="4684" w:type="dxa"/>
            <w:tcBorders>
              <w:top w:val="single" w:sz="4" w:space="0" w:color="auto"/>
              <w:left w:val="single" w:sz="4" w:space="0" w:color="auto"/>
              <w:bottom w:val="nil"/>
              <w:right w:val="single" w:sz="4" w:space="0" w:color="auto"/>
            </w:tcBorders>
            <w:shd w:val="clear" w:color="auto" w:fill="000080"/>
            <w:vAlign w:val="bottom"/>
          </w:tcPr>
          <w:p w14:paraId="79854607" w14:textId="77777777" w:rsidR="00D77B74" w:rsidRPr="00CC4B11" w:rsidRDefault="00D77B74" w:rsidP="00D77B74">
            <w:pPr>
              <w:keepNext/>
              <w:jc w:val="center"/>
              <w:rPr>
                <w:rFonts w:ascii="Arial" w:hAnsi="Arial" w:cs="Arial"/>
                <w:b/>
                <w:bCs/>
                <w:color w:val="FFFFFF"/>
                <w:sz w:val="20"/>
                <w:szCs w:val="20"/>
              </w:rPr>
            </w:pPr>
            <w:bookmarkStart w:id="4" w:name="_Hlk205021431"/>
            <w:r w:rsidRPr="00CC4B11">
              <w:rPr>
                <w:rFonts w:ascii="Arial" w:hAnsi="Arial" w:cs="Arial"/>
                <w:b/>
                <w:bCs/>
                <w:color w:val="FFFFFF"/>
                <w:sz w:val="20"/>
                <w:szCs w:val="20"/>
              </w:rPr>
              <w:t>Cases Managed and/or Key Services Provided</w:t>
            </w:r>
          </w:p>
        </w:tc>
        <w:tc>
          <w:tcPr>
            <w:tcW w:w="1349" w:type="dxa"/>
            <w:tcBorders>
              <w:top w:val="single" w:sz="4" w:space="0" w:color="auto"/>
              <w:left w:val="single" w:sz="4" w:space="0" w:color="auto"/>
              <w:bottom w:val="nil"/>
              <w:right w:val="single" w:sz="4" w:space="0" w:color="auto"/>
            </w:tcBorders>
            <w:shd w:val="clear" w:color="auto" w:fill="000080"/>
            <w:vAlign w:val="bottom"/>
          </w:tcPr>
          <w:p w14:paraId="08DC6B2A" w14:textId="45B4518C" w:rsidR="00D77B74" w:rsidRPr="00CC4B11" w:rsidRDefault="00944CE9" w:rsidP="00D77B74">
            <w:pPr>
              <w:keepNext/>
              <w:jc w:val="center"/>
              <w:rPr>
                <w:rFonts w:ascii="Arial" w:hAnsi="Arial" w:cs="Arial"/>
                <w:b/>
                <w:bCs/>
                <w:color w:val="FFFFFF"/>
                <w:sz w:val="20"/>
                <w:szCs w:val="20"/>
              </w:rPr>
            </w:pPr>
            <w:r>
              <w:rPr>
                <w:rFonts w:ascii="Arial" w:hAnsi="Arial" w:cs="Arial"/>
                <w:b/>
                <w:bCs/>
                <w:color w:val="FFFFFF"/>
                <w:sz w:val="20"/>
                <w:szCs w:val="20"/>
              </w:rPr>
              <w:t>FY 2019</w:t>
            </w:r>
          </w:p>
        </w:tc>
        <w:tc>
          <w:tcPr>
            <w:tcW w:w="1349" w:type="dxa"/>
            <w:tcBorders>
              <w:top w:val="single" w:sz="4" w:space="0" w:color="auto"/>
              <w:left w:val="single" w:sz="4" w:space="0" w:color="auto"/>
              <w:bottom w:val="nil"/>
              <w:right w:val="single" w:sz="4" w:space="0" w:color="auto"/>
            </w:tcBorders>
            <w:shd w:val="clear" w:color="auto" w:fill="000080"/>
            <w:vAlign w:val="bottom"/>
          </w:tcPr>
          <w:p w14:paraId="0B07DE09" w14:textId="69A5AE00" w:rsidR="00D77B74" w:rsidRPr="00CC4B11" w:rsidRDefault="00944CE9" w:rsidP="00D77B74">
            <w:pPr>
              <w:keepNext/>
              <w:jc w:val="center"/>
              <w:rPr>
                <w:rFonts w:ascii="Arial" w:hAnsi="Arial" w:cs="Arial"/>
                <w:b/>
                <w:bCs/>
                <w:color w:val="FFFFFF"/>
                <w:sz w:val="20"/>
                <w:szCs w:val="20"/>
              </w:rPr>
            </w:pPr>
            <w:r>
              <w:rPr>
                <w:rFonts w:ascii="Arial" w:hAnsi="Arial" w:cs="Arial"/>
                <w:b/>
                <w:bCs/>
                <w:color w:val="FFFFFF"/>
                <w:sz w:val="20"/>
                <w:szCs w:val="20"/>
              </w:rPr>
              <w:t>FY 2020</w:t>
            </w:r>
          </w:p>
        </w:tc>
        <w:tc>
          <w:tcPr>
            <w:tcW w:w="1349" w:type="dxa"/>
            <w:tcBorders>
              <w:top w:val="single" w:sz="4" w:space="0" w:color="auto"/>
              <w:left w:val="single" w:sz="4" w:space="0" w:color="auto"/>
              <w:bottom w:val="nil"/>
              <w:right w:val="single" w:sz="4" w:space="0" w:color="auto"/>
            </w:tcBorders>
            <w:shd w:val="clear" w:color="auto" w:fill="000080"/>
            <w:vAlign w:val="bottom"/>
          </w:tcPr>
          <w:p w14:paraId="47DDC674" w14:textId="20A9024C" w:rsidR="00D77B74" w:rsidRPr="00CC4B11" w:rsidRDefault="00944CE9" w:rsidP="00D77B74">
            <w:pPr>
              <w:keepNext/>
              <w:jc w:val="center"/>
              <w:rPr>
                <w:rFonts w:ascii="Arial" w:hAnsi="Arial" w:cs="Arial"/>
                <w:b/>
                <w:bCs/>
                <w:color w:val="FFFFFF"/>
                <w:sz w:val="20"/>
                <w:szCs w:val="20"/>
              </w:rPr>
            </w:pPr>
            <w:r>
              <w:rPr>
                <w:rFonts w:ascii="Arial" w:hAnsi="Arial" w:cs="Arial"/>
                <w:b/>
                <w:bCs/>
                <w:color w:val="FFFFFF"/>
                <w:sz w:val="20"/>
                <w:szCs w:val="20"/>
              </w:rPr>
              <w:t>FY 2021</w:t>
            </w:r>
          </w:p>
        </w:tc>
        <w:tc>
          <w:tcPr>
            <w:tcW w:w="1349" w:type="dxa"/>
            <w:tcBorders>
              <w:top w:val="single" w:sz="4" w:space="0" w:color="auto"/>
              <w:left w:val="single" w:sz="4" w:space="0" w:color="auto"/>
              <w:bottom w:val="nil"/>
              <w:right w:val="single" w:sz="4" w:space="0" w:color="auto"/>
            </w:tcBorders>
            <w:shd w:val="clear" w:color="auto" w:fill="000080"/>
            <w:vAlign w:val="bottom"/>
          </w:tcPr>
          <w:p w14:paraId="2213190C" w14:textId="34BA11AC" w:rsidR="00D77B74" w:rsidRPr="00CC4B11" w:rsidRDefault="00944CE9" w:rsidP="00D77B74">
            <w:pPr>
              <w:keepNext/>
              <w:jc w:val="center"/>
              <w:rPr>
                <w:rFonts w:ascii="Arial" w:hAnsi="Arial" w:cs="Arial"/>
                <w:b/>
                <w:bCs/>
                <w:color w:val="FFFFFF"/>
                <w:sz w:val="20"/>
                <w:szCs w:val="20"/>
              </w:rPr>
            </w:pPr>
            <w:r>
              <w:rPr>
                <w:rFonts w:ascii="Arial" w:hAnsi="Arial" w:cs="Arial"/>
                <w:b/>
                <w:bCs/>
                <w:color w:val="FFFFFF"/>
                <w:sz w:val="20"/>
                <w:szCs w:val="20"/>
              </w:rPr>
              <w:t>FY 2022</w:t>
            </w:r>
          </w:p>
        </w:tc>
      </w:tr>
      <w:tr w:rsidR="00B27CD1" w:rsidRPr="00CC4B11" w14:paraId="6DDB57AD"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16"/>
        </w:trPr>
        <w:tc>
          <w:tcPr>
            <w:tcW w:w="10080" w:type="dxa"/>
            <w:gridSpan w:val="5"/>
            <w:tcBorders>
              <w:top w:val="nil"/>
              <w:left w:val="single" w:sz="4" w:space="0" w:color="auto"/>
              <w:bottom w:val="single" w:sz="4" w:space="0" w:color="auto"/>
              <w:right w:val="single" w:sz="4" w:space="0" w:color="auto"/>
            </w:tcBorders>
            <w:shd w:val="clear" w:color="auto" w:fill="auto"/>
            <w:vAlign w:val="center"/>
          </w:tcPr>
          <w:p w14:paraId="1BFA56A9" w14:textId="77777777" w:rsidR="00B27CD1" w:rsidRPr="00CC4B11" w:rsidRDefault="00B27CD1" w:rsidP="0059186F">
            <w:pPr>
              <w:keepNext/>
              <w:rPr>
                <w:rFonts w:ascii="Arial" w:hAnsi="Arial" w:cs="Arial"/>
                <w:sz w:val="20"/>
                <w:szCs w:val="20"/>
              </w:rPr>
            </w:pPr>
            <w:r w:rsidRPr="00CC4B11">
              <w:rPr>
                <w:rFonts w:ascii="Arial" w:hAnsi="Arial" w:cs="Arial"/>
                <w:b/>
                <w:sz w:val="20"/>
                <w:szCs w:val="20"/>
              </w:rPr>
              <w:t>Air Quality Division</w:t>
            </w:r>
          </w:p>
        </w:tc>
      </w:tr>
      <w:bookmarkEnd w:id="4"/>
      <w:tr w:rsidR="00D65989" w:rsidRPr="00CC4B11" w14:paraId="3E063029"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top w:val="single" w:sz="4" w:space="0" w:color="auto"/>
              <w:left w:val="single" w:sz="4" w:space="0" w:color="auto"/>
              <w:right w:val="single" w:sz="4" w:space="0" w:color="auto"/>
            </w:tcBorders>
            <w:vAlign w:val="center"/>
          </w:tcPr>
          <w:p w14:paraId="12BF703A"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Air Quality Permits to Construct Issued</w:t>
            </w:r>
          </w:p>
        </w:tc>
        <w:tc>
          <w:tcPr>
            <w:tcW w:w="1349" w:type="dxa"/>
            <w:tcBorders>
              <w:top w:val="single" w:sz="4" w:space="0" w:color="auto"/>
              <w:left w:val="single" w:sz="4" w:space="0" w:color="auto"/>
              <w:right w:val="single" w:sz="4" w:space="0" w:color="auto"/>
            </w:tcBorders>
            <w:vAlign w:val="center"/>
          </w:tcPr>
          <w:p w14:paraId="55411598" w14:textId="68664DA0" w:rsidR="00D65989" w:rsidRPr="00CC4B11" w:rsidRDefault="00D65989" w:rsidP="00D65989">
            <w:pPr>
              <w:keepNext/>
              <w:jc w:val="center"/>
              <w:rPr>
                <w:rFonts w:ascii="Arial" w:hAnsi="Arial" w:cs="Arial"/>
                <w:sz w:val="20"/>
                <w:szCs w:val="20"/>
              </w:rPr>
            </w:pPr>
            <w:r>
              <w:rPr>
                <w:rFonts w:ascii="Arial" w:hAnsi="Arial" w:cs="Arial"/>
                <w:sz w:val="20"/>
                <w:szCs w:val="20"/>
              </w:rPr>
              <w:t>72</w:t>
            </w:r>
          </w:p>
        </w:tc>
        <w:tc>
          <w:tcPr>
            <w:tcW w:w="1349" w:type="dxa"/>
            <w:tcBorders>
              <w:top w:val="single" w:sz="4" w:space="0" w:color="auto"/>
              <w:left w:val="single" w:sz="4" w:space="0" w:color="auto"/>
              <w:right w:val="single" w:sz="4" w:space="0" w:color="auto"/>
            </w:tcBorders>
            <w:vAlign w:val="center"/>
          </w:tcPr>
          <w:p w14:paraId="3CE64EB9" w14:textId="37BCF3ED" w:rsidR="00D65989" w:rsidRPr="00CC4B11" w:rsidRDefault="00D65989" w:rsidP="00D65989">
            <w:pPr>
              <w:keepNext/>
              <w:jc w:val="center"/>
              <w:rPr>
                <w:rFonts w:ascii="Arial" w:hAnsi="Arial" w:cs="Arial"/>
                <w:sz w:val="20"/>
                <w:szCs w:val="20"/>
              </w:rPr>
            </w:pPr>
            <w:r>
              <w:rPr>
                <w:rFonts w:ascii="Arial" w:hAnsi="Arial" w:cs="Arial"/>
                <w:sz w:val="20"/>
                <w:szCs w:val="20"/>
              </w:rPr>
              <w:t>70</w:t>
            </w:r>
          </w:p>
        </w:tc>
        <w:tc>
          <w:tcPr>
            <w:tcW w:w="1349" w:type="dxa"/>
            <w:tcBorders>
              <w:top w:val="single" w:sz="4" w:space="0" w:color="auto"/>
              <w:left w:val="single" w:sz="4" w:space="0" w:color="auto"/>
              <w:right w:val="single" w:sz="4" w:space="0" w:color="auto"/>
            </w:tcBorders>
            <w:vAlign w:val="center"/>
          </w:tcPr>
          <w:p w14:paraId="6A66D543" w14:textId="66E6AE27" w:rsidR="00D65989" w:rsidRPr="00CC4B11" w:rsidRDefault="00D65989" w:rsidP="00D65989">
            <w:pPr>
              <w:keepNext/>
              <w:jc w:val="center"/>
              <w:rPr>
                <w:rFonts w:ascii="Arial" w:hAnsi="Arial" w:cs="Arial"/>
                <w:sz w:val="20"/>
                <w:szCs w:val="20"/>
              </w:rPr>
            </w:pPr>
            <w:r>
              <w:rPr>
                <w:rFonts w:ascii="Arial" w:hAnsi="Arial" w:cs="Arial"/>
                <w:sz w:val="20"/>
                <w:szCs w:val="20"/>
              </w:rPr>
              <w:t>68</w:t>
            </w:r>
          </w:p>
        </w:tc>
        <w:tc>
          <w:tcPr>
            <w:tcW w:w="1349" w:type="dxa"/>
            <w:tcBorders>
              <w:top w:val="single" w:sz="4" w:space="0" w:color="auto"/>
              <w:left w:val="single" w:sz="4" w:space="0" w:color="auto"/>
              <w:right w:val="single" w:sz="4" w:space="0" w:color="auto"/>
            </w:tcBorders>
            <w:vAlign w:val="center"/>
          </w:tcPr>
          <w:p w14:paraId="0610652D" w14:textId="1DEDEC01" w:rsidR="00D65989" w:rsidRPr="00CC4B11" w:rsidRDefault="00D65989" w:rsidP="00D65989">
            <w:pPr>
              <w:keepNext/>
              <w:jc w:val="center"/>
              <w:rPr>
                <w:rFonts w:ascii="Arial" w:hAnsi="Arial" w:cs="Arial"/>
                <w:sz w:val="20"/>
                <w:szCs w:val="20"/>
              </w:rPr>
            </w:pPr>
          </w:p>
        </w:tc>
      </w:tr>
      <w:tr w:rsidR="00D65989" w:rsidRPr="00CC4B11" w14:paraId="06C47A59"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0E72734F"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Air Quality Tier I (Title V) Permits Issued</w:t>
            </w:r>
          </w:p>
        </w:tc>
        <w:tc>
          <w:tcPr>
            <w:tcW w:w="1349" w:type="dxa"/>
            <w:tcBorders>
              <w:left w:val="single" w:sz="4" w:space="0" w:color="auto"/>
              <w:right w:val="single" w:sz="4" w:space="0" w:color="auto"/>
            </w:tcBorders>
            <w:vAlign w:val="center"/>
          </w:tcPr>
          <w:p w14:paraId="57BE4C14" w14:textId="3AB3ECF4" w:rsidR="00D65989" w:rsidRPr="00CC4B11" w:rsidRDefault="00D65989" w:rsidP="00D65989">
            <w:pPr>
              <w:keepNext/>
              <w:jc w:val="center"/>
              <w:rPr>
                <w:rFonts w:ascii="Arial" w:hAnsi="Arial" w:cs="Arial"/>
                <w:sz w:val="20"/>
                <w:szCs w:val="20"/>
              </w:rPr>
            </w:pPr>
            <w:r>
              <w:rPr>
                <w:rFonts w:ascii="Arial" w:hAnsi="Arial" w:cs="Arial"/>
                <w:sz w:val="20"/>
                <w:szCs w:val="20"/>
              </w:rPr>
              <w:t>18</w:t>
            </w:r>
          </w:p>
        </w:tc>
        <w:tc>
          <w:tcPr>
            <w:tcW w:w="1349" w:type="dxa"/>
            <w:tcBorders>
              <w:left w:val="single" w:sz="4" w:space="0" w:color="auto"/>
              <w:right w:val="single" w:sz="4" w:space="0" w:color="auto"/>
            </w:tcBorders>
            <w:vAlign w:val="center"/>
          </w:tcPr>
          <w:p w14:paraId="3A7985D0" w14:textId="23961DDD" w:rsidR="00D65989" w:rsidRPr="00CC4B11" w:rsidRDefault="00D65989" w:rsidP="00D65989">
            <w:pPr>
              <w:keepNext/>
              <w:jc w:val="center"/>
              <w:rPr>
                <w:rFonts w:ascii="Arial" w:hAnsi="Arial" w:cs="Arial"/>
                <w:sz w:val="20"/>
                <w:szCs w:val="20"/>
              </w:rPr>
            </w:pPr>
            <w:r>
              <w:rPr>
                <w:rFonts w:ascii="Arial" w:hAnsi="Arial" w:cs="Arial"/>
                <w:sz w:val="20"/>
                <w:szCs w:val="20"/>
              </w:rPr>
              <w:t>13</w:t>
            </w:r>
          </w:p>
        </w:tc>
        <w:tc>
          <w:tcPr>
            <w:tcW w:w="1349" w:type="dxa"/>
            <w:tcBorders>
              <w:left w:val="single" w:sz="4" w:space="0" w:color="auto"/>
              <w:right w:val="single" w:sz="4" w:space="0" w:color="auto"/>
            </w:tcBorders>
            <w:vAlign w:val="center"/>
          </w:tcPr>
          <w:p w14:paraId="630F61A4" w14:textId="51047D3A" w:rsidR="00D65989" w:rsidRPr="00CC4B11" w:rsidRDefault="00D65989" w:rsidP="00D65989">
            <w:pPr>
              <w:keepNext/>
              <w:jc w:val="center"/>
              <w:rPr>
                <w:rFonts w:ascii="Arial" w:hAnsi="Arial" w:cs="Arial"/>
                <w:sz w:val="20"/>
                <w:szCs w:val="20"/>
              </w:rPr>
            </w:pPr>
            <w:r>
              <w:rPr>
                <w:rFonts w:ascii="Arial" w:hAnsi="Arial" w:cs="Arial"/>
                <w:sz w:val="20"/>
                <w:szCs w:val="20"/>
              </w:rPr>
              <w:t>14</w:t>
            </w:r>
          </w:p>
        </w:tc>
        <w:tc>
          <w:tcPr>
            <w:tcW w:w="1349" w:type="dxa"/>
            <w:tcBorders>
              <w:left w:val="single" w:sz="4" w:space="0" w:color="auto"/>
              <w:right w:val="single" w:sz="4" w:space="0" w:color="auto"/>
            </w:tcBorders>
            <w:vAlign w:val="center"/>
          </w:tcPr>
          <w:p w14:paraId="6021ABB0" w14:textId="3FE3B121" w:rsidR="00D65989" w:rsidRPr="00CC4B11" w:rsidRDefault="00D65989" w:rsidP="00D65989">
            <w:pPr>
              <w:keepNext/>
              <w:jc w:val="center"/>
              <w:rPr>
                <w:rFonts w:ascii="Arial" w:hAnsi="Arial" w:cs="Arial"/>
                <w:sz w:val="20"/>
                <w:szCs w:val="20"/>
              </w:rPr>
            </w:pPr>
          </w:p>
        </w:tc>
      </w:tr>
      <w:tr w:rsidR="00D65989" w:rsidRPr="00CC4B11" w14:paraId="74D4A8DF"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3A966207"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Air Quality Tier II Permits Issued</w:t>
            </w:r>
          </w:p>
        </w:tc>
        <w:tc>
          <w:tcPr>
            <w:tcW w:w="1349" w:type="dxa"/>
            <w:tcBorders>
              <w:left w:val="single" w:sz="4" w:space="0" w:color="auto"/>
              <w:right w:val="single" w:sz="4" w:space="0" w:color="auto"/>
            </w:tcBorders>
            <w:vAlign w:val="center"/>
          </w:tcPr>
          <w:p w14:paraId="363B7B23" w14:textId="34450106" w:rsidR="00D65989" w:rsidRPr="00CC4B11" w:rsidRDefault="00D65989" w:rsidP="00D65989">
            <w:pPr>
              <w:keepNext/>
              <w:jc w:val="center"/>
              <w:rPr>
                <w:rFonts w:ascii="Arial" w:hAnsi="Arial" w:cs="Arial"/>
                <w:sz w:val="20"/>
                <w:szCs w:val="20"/>
              </w:rPr>
            </w:pPr>
            <w:r>
              <w:rPr>
                <w:rFonts w:ascii="Arial" w:hAnsi="Arial" w:cs="Arial"/>
                <w:sz w:val="20"/>
                <w:szCs w:val="20"/>
              </w:rPr>
              <w:t>1</w:t>
            </w:r>
          </w:p>
        </w:tc>
        <w:tc>
          <w:tcPr>
            <w:tcW w:w="1349" w:type="dxa"/>
            <w:tcBorders>
              <w:left w:val="single" w:sz="4" w:space="0" w:color="auto"/>
              <w:right w:val="single" w:sz="4" w:space="0" w:color="auto"/>
            </w:tcBorders>
            <w:vAlign w:val="center"/>
          </w:tcPr>
          <w:p w14:paraId="22EFCA54" w14:textId="56450CAF" w:rsidR="00D65989" w:rsidRPr="00CC4B11" w:rsidRDefault="00D65989" w:rsidP="00D65989">
            <w:pPr>
              <w:keepNext/>
              <w:jc w:val="center"/>
              <w:rPr>
                <w:rFonts w:ascii="Arial" w:hAnsi="Arial" w:cs="Arial"/>
                <w:sz w:val="20"/>
                <w:szCs w:val="20"/>
              </w:rPr>
            </w:pPr>
            <w:r>
              <w:rPr>
                <w:rFonts w:ascii="Arial" w:hAnsi="Arial" w:cs="Arial"/>
                <w:sz w:val="20"/>
                <w:szCs w:val="20"/>
              </w:rPr>
              <w:t>1</w:t>
            </w:r>
          </w:p>
        </w:tc>
        <w:tc>
          <w:tcPr>
            <w:tcW w:w="1349" w:type="dxa"/>
            <w:tcBorders>
              <w:left w:val="single" w:sz="4" w:space="0" w:color="auto"/>
              <w:right w:val="single" w:sz="4" w:space="0" w:color="auto"/>
            </w:tcBorders>
            <w:vAlign w:val="center"/>
          </w:tcPr>
          <w:p w14:paraId="6431BF79" w14:textId="320476AF" w:rsidR="00D65989" w:rsidRPr="00CC4B11" w:rsidRDefault="00D65989" w:rsidP="00D65989">
            <w:pPr>
              <w:keepNext/>
              <w:jc w:val="center"/>
              <w:rPr>
                <w:rFonts w:ascii="Arial" w:hAnsi="Arial" w:cs="Arial"/>
                <w:sz w:val="20"/>
                <w:szCs w:val="20"/>
              </w:rPr>
            </w:pPr>
            <w:r>
              <w:rPr>
                <w:rFonts w:ascii="Arial" w:hAnsi="Arial" w:cs="Arial"/>
                <w:sz w:val="20"/>
                <w:szCs w:val="20"/>
              </w:rPr>
              <w:t>1</w:t>
            </w:r>
          </w:p>
        </w:tc>
        <w:tc>
          <w:tcPr>
            <w:tcW w:w="1349" w:type="dxa"/>
            <w:tcBorders>
              <w:left w:val="single" w:sz="4" w:space="0" w:color="auto"/>
              <w:right w:val="single" w:sz="4" w:space="0" w:color="auto"/>
            </w:tcBorders>
            <w:vAlign w:val="center"/>
          </w:tcPr>
          <w:p w14:paraId="638B5F52" w14:textId="0272B376" w:rsidR="00D65989" w:rsidRPr="00CC4B11" w:rsidRDefault="00D65989" w:rsidP="00D65989">
            <w:pPr>
              <w:keepNext/>
              <w:jc w:val="center"/>
              <w:rPr>
                <w:rFonts w:ascii="Arial" w:hAnsi="Arial" w:cs="Arial"/>
                <w:sz w:val="20"/>
                <w:szCs w:val="20"/>
              </w:rPr>
            </w:pPr>
          </w:p>
        </w:tc>
      </w:tr>
      <w:tr w:rsidR="00D65989" w:rsidRPr="00CC4B11" w14:paraId="029A7663"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1D5F7C48" w14:textId="77777777" w:rsidR="00D65989" w:rsidRPr="00CC4B11" w:rsidRDefault="00D65989" w:rsidP="00D65989">
            <w:pPr>
              <w:keepNext/>
              <w:rPr>
                <w:rFonts w:ascii="Arial" w:hAnsi="Arial" w:cs="Arial"/>
                <w:sz w:val="20"/>
                <w:szCs w:val="20"/>
              </w:rPr>
            </w:pPr>
            <w:r>
              <w:rPr>
                <w:rFonts w:ascii="Arial" w:hAnsi="Arial" w:cs="Arial"/>
                <w:sz w:val="20"/>
                <w:szCs w:val="20"/>
              </w:rPr>
              <w:t>Air Quality Permits by Rule Issued</w:t>
            </w:r>
          </w:p>
        </w:tc>
        <w:tc>
          <w:tcPr>
            <w:tcW w:w="1349" w:type="dxa"/>
            <w:tcBorders>
              <w:left w:val="single" w:sz="4" w:space="0" w:color="auto"/>
              <w:right w:val="single" w:sz="4" w:space="0" w:color="auto"/>
            </w:tcBorders>
            <w:vAlign w:val="center"/>
          </w:tcPr>
          <w:p w14:paraId="732FA700" w14:textId="7049DAA2" w:rsidR="00D65989" w:rsidRPr="00CC4B11" w:rsidRDefault="00D65989" w:rsidP="00D65989">
            <w:pPr>
              <w:keepNext/>
              <w:jc w:val="center"/>
              <w:rPr>
                <w:rFonts w:ascii="Arial" w:hAnsi="Arial" w:cs="Arial"/>
                <w:sz w:val="20"/>
                <w:szCs w:val="20"/>
              </w:rPr>
            </w:pPr>
            <w:r>
              <w:rPr>
                <w:rFonts w:ascii="Arial" w:hAnsi="Arial" w:cs="Arial"/>
                <w:sz w:val="20"/>
                <w:szCs w:val="20"/>
              </w:rPr>
              <w:t>26</w:t>
            </w:r>
          </w:p>
        </w:tc>
        <w:tc>
          <w:tcPr>
            <w:tcW w:w="1349" w:type="dxa"/>
            <w:tcBorders>
              <w:left w:val="single" w:sz="4" w:space="0" w:color="auto"/>
              <w:right w:val="single" w:sz="4" w:space="0" w:color="auto"/>
            </w:tcBorders>
            <w:vAlign w:val="center"/>
          </w:tcPr>
          <w:p w14:paraId="0626AAD5" w14:textId="5C55687E" w:rsidR="00D65989" w:rsidRDefault="00D65989" w:rsidP="00D65989">
            <w:pPr>
              <w:keepNext/>
              <w:jc w:val="center"/>
              <w:rPr>
                <w:rFonts w:ascii="Arial" w:hAnsi="Arial" w:cs="Arial"/>
                <w:sz w:val="20"/>
                <w:szCs w:val="20"/>
              </w:rPr>
            </w:pPr>
            <w:r>
              <w:rPr>
                <w:rFonts w:ascii="Arial" w:hAnsi="Arial" w:cs="Arial"/>
                <w:sz w:val="20"/>
                <w:szCs w:val="20"/>
              </w:rPr>
              <w:t>40</w:t>
            </w:r>
          </w:p>
        </w:tc>
        <w:tc>
          <w:tcPr>
            <w:tcW w:w="1349" w:type="dxa"/>
            <w:tcBorders>
              <w:left w:val="single" w:sz="4" w:space="0" w:color="auto"/>
              <w:right w:val="single" w:sz="4" w:space="0" w:color="auto"/>
            </w:tcBorders>
            <w:vAlign w:val="center"/>
          </w:tcPr>
          <w:p w14:paraId="14745C5D" w14:textId="53969C7D" w:rsidR="00D65989" w:rsidRDefault="00D65989" w:rsidP="00D65989">
            <w:pPr>
              <w:keepNext/>
              <w:jc w:val="center"/>
              <w:rPr>
                <w:rFonts w:ascii="Arial" w:hAnsi="Arial" w:cs="Arial"/>
                <w:sz w:val="20"/>
                <w:szCs w:val="20"/>
              </w:rPr>
            </w:pPr>
            <w:r>
              <w:rPr>
                <w:rFonts w:ascii="Arial" w:hAnsi="Arial" w:cs="Arial"/>
                <w:sz w:val="20"/>
                <w:szCs w:val="20"/>
              </w:rPr>
              <w:t>31</w:t>
            </w:r>
          </w:p>
        </w:tc>
        <w:tc>
          <w:tcPr>
            <w:tcW w:w="1349" w:type="dxa"/>
            <w:tcBorders>
              <w:left w:val="single" w:sz="4" w:space="0" w:color="auto"/>
              <w:right w:val="single" w:sz="4" w:space="0" w:color="auto"/>
            </w:tcBorders>
            <w:vAlign w:val="center"/>
          </w:tcPr>
          <w:p w14:paraId="4F080AFD" w14:textId="7731419F" w:rsidR="00D65989" w:rsidRDefault="00D65989" w:rsidP="00D65989">
            <w:pPr>
              <w:keepNext/>
              <w:jc w:val="center"/>
              <w:rPr>
                <w:rFonts w:ascii="Arial" w:hAnsi="Arial" w:cs="Arial"/>
                <w:sz w:val="20"/>
                <w:szCs w:val="20"/>
              </w:rPr>
            </w:pPr>
          </w:p>
        </w:tc>
      </w:tr>
      <w:tr w:rsidR="00D65989" w:rsidRPr="00CC4B11" w14:paraId="6CD5C888"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bottom w:val="nil"/>
              <w:right w:val="single" w:sz="4" w:space="0" w:color="auto"/>
            </w:tcBorders>
            <w:vAlign w:val="center"/>
          </w:tcPr>
          <w:p w14:paraId="7ABC6BB5"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Inspections of Stationary and Portable Air Pollution Sources</w:t>
            </w:r>
          </w:p>
        </w:tc>
        <w:tc>
          <w:tcPr>
            <w:tcW w:w="1349" w:type="dxa"/>
            <w:tcBorders>
              <w:left w:val="single" w:sz="4" w:space="0" w:color="auto"/>
              <w:bottom w:val="nil"/>
              <w:right w:val="single" w:sz="4" w:space="0" w:color="auto"/>
            </w:tcBorders>
            <w:vAlign w:val="center"/>
          </w:tcPr>
          <w:p w14:paraId="297D045B" w14:textId="53FE44C5" w:rsidR="00D65989" w:rsidRPr="00CC4B11" w:rsidRDefault="00D65989" w:rsidP="00D65989">
            <w:pPr>
              <w:keepNext/>
              <w:jc w:val="center"/>
              <w:rPr>
                <w:rFonts w:ascii="Arial" w:hAnsi="Arial" w:cs="Arial"/>
                <w:sz w:val="20"/>
                <w:szCs w:val="20"/>
              </w:rPr>
            </w:pPr>
            <w:r>
              <w:rPr>
                <w:rFonts w:ascii="Arial" w:hAnsi="Arial" w:cs="Arial"/>
                <w:sz w:val="20"/>
                <w:szCs w:val="20"/>
              </w:rPr>
              <w:t>197</w:t>
            </w:r>
          </w:p>
        </w:tc>
        <w:tc>
          <w:tcPr>
            <w:tcW w:w="1349" w:type="dxa"/>
            <w:tcBorders>
              <w:left w:val="single" w:sz="4" w:space="0" w:color="auto"/>
              <w:bottom w:val="nil"/>
              <w:right w:val="single" w:sz="4" w:space="0" w:color="auto"/>
            </w:tcBorders>
            <w:vAlign w:val="center"/>
          </w:tcPr>
          <w:p w14:paraId="3C1CDC5E" w14:textId="5CA11FD8" w:rsidR="00D65989" w:rsidRPr="00CC4B11" w:rsidRDefault="00D65989" w:rsidP="00D65989">
            <w:pPr>
              <w:keepNext/>
              <w:jc w:val="center"/>
              <w:rPr>
                <w:rFonts w:ascii="Arial" w:hAnsi="Arial" w:cs="Arial"/>
                <w:sz w:val="20"/>
                <w:szCs w:val="20"/>
              </w:rPr>
            </w:pPr>
            <w:r>
              <w:rPr>
                <w:rFonts w:ascii="Arial" w:hAnsi="Arial" w:cs="Arial"/>
                <w:sz w:val="20"/>
                <w:szCs w:val="20"/>
              </w:rPr>
              <w:t>212</w:t>
            </w:r>
          </w:p>
        </w:tc>
        <w:tc>
          <w:tcPr>
            <w:tcW w:w="1349" w:type="dxa"/>
            <w:tcBorders>
              <w:left w:val="single" w:sz="4" w:space="0" w:color="auto"/>
              <w:bottom w:val="nil"/>
              <w:right w:val="single" w:sz="4" w:space="0" w:color="auto"/>
            </w:tcBorders>
            <w:vAlign w:val="center"/>
          </w:tcPr>
          <w:p w14:paraId="3A3EDCAA" w14:textId="2C4F78FD" w:rsidR="00D65989" w:rsidRPr="00CC4B11" w:rsidRDefault="00D65989" w:rsidP="00D65989">
            <w:pPr>
              <w:keepNext/>
              <w:jc w:val="center"/>
              <w:rPr>
                <w:rFonts w:ascii="Arial" w:hAnsi="Arial" w:cs="Arial"/>
                <w:sz w:val="20"/>
                <w:szCs w:val="20"/>
              </w:rPr>
            </w:pPr>
            <w:r>
              <w:rPr>
                <w:rFonts w:ascii="Arial" w:hAnsi="Arial" w:cs="Arial"/>
                <w:sz w:val="20"/>
                <w:szCs w:val="20"/>
              </w:rPr>
              <w:t>214</w:t>
            </w:r>
          </w:p>
        </w:tc>
        <w:tc>
          <w:tcPr>
            <w:tcW w:w="1349" w:type="dxa"/>
            <w:tcBorders>
              <w:left w:val="single" w:sz="4" w:space="0" w:color="auto"/>
              <w:bottom w:val="nil"/>
              <w:right w:val="single" w:sz="4" w:space="0" w:color="auto"/>
            </w:tcBorders>
            <w:vAlign w:val="center"/>
          </w:tcPr>
          <w:p w14:paraId="18A4296C" w14:textId="325A9978" w:rsidR="00D65989" w:rsidRPr="00CC4B11" w:rsidRDefault="00D65989" w:rsidP="00D65989">
            <w:pPr>
              <w:keepNext/>
              <w:jc w:val="center"/>
              <w:rPr>
                <w:rFonts w:ascii="Arial" w:hAnsi="Arial" w:cs="Arial"/>
                <w:sz w:val="20"/>
                <w:szCs w:val="20"/>
              </w:rPr>
            </w:pPr>
          </w:p>
        </w:tc>
      </w:tr>
      <w:tr w:rsidR="00D65989" w:rsidRPr="00CC4B11" w14:paraId="190A8217"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top w:val="nil"/>
              <w:left w:val="single" w:sz="4" w:space="0" w:color="auto"/>
              <w:bottom w:val="single" w:sz="4" w:space="0" w:color="000000" w:themeColor="text1"/>
              <w:right w:val="single" w:sz="4" w:space="0" w:color="auto"/>
            </w:tcBorders>
            <w:vAlign w:val="center"/>
          </w:tcPr>
          <w:p w14:paraId="607B015D"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Number of Crop Residue Acres Approved and Burned</w:t>
            </w:r>
          </w:p>
        </w:tc>
        <w:tc>
          <w:tcPr>
            <w:tcW w:w="1349" w:type="dxa"/>
            <w:tcBorders>
              <w:top w:val="nil"/>
              <w:left w:val="single" w:sz="4" w:space="0" w:color="auto"/>
              <w:bottom w:val="single" w:sz="4" w:space="0" w:color="000000" w:themeColor="text1"/>
              <w:right w:val="single" w:sz="4" w:space="0" w:color="auto"/>
            </w:tcBorders>
            <w:vAlign w:val="center"/>
          </w:tcPr>
          <w:p w14:paraId="69F045A4" w14:textId="7FE13B60" w:rsidR="00D65989" w:rsidRPr="00CC4B11" w:rsidRDefault="00D65989" w:rsidP="00D65989">
            <w:pPr>
              <w:keepNext/>
              <w:jc w:val="center"/>
              <w:rPr>
                <w:rFonts w:ascii="Arial" w:hAnsi="Arial" w:cs="Arial"/>
                <w:sz w:val="20"/>
                <w:szCs w:val="20"/>
              </w:rPr>
            </w:pPr>
            <w:r>
              <w:rPr>
                <w:rFonts w:ascii="Arial" w:hAnsi="Arial" w:cs="Arial"/>
                <w:sz w:val="20"/>
                <w:szCs w:val="20"/>
              </w:rPr>
              <w:t>40,104</w:t>
            </w:r>
          </w:p>
        </w:tc>
        <w:tc>
          <w:tcPr>
            <w:tcW w:w="1349" w:type="dxa"/>
            <w:tcBorders>
              <w:top w:val="nil"/>
              <w:left w:val="single" w:sz="4" w:space="0" w:color="auto"/>
              <w:bottom w:val="single" w:sz="4" w:space="0" w:color="000000" w:themeColor="text1"/>
              <w:right w:val="single" w:sz="4" w:space="0" w:color="auto"/>
            </w:tcBorders>
            <w:vAlign w:val="center"/>
          </w:tcPr>
          <w:p w14:paraId="41ACA442" w14:textId="7EAFDE4A" w:rsidR="00D65989" w:rsidRPr="00CC4B11" w:rsidRDefault="00D65989" w:rsidP="00D65989">
            <w:pPr>
              <w:keepNext/>
              <w:jc w:val="center"/>
              <w:rPr>
                <w:rFonts w:ascii="Arial" w:hAnsi="Arial" w:cs="Arial"/>
                <w:sz w:val="20"/>
                <w:szCs w:val="20"/>
              </w:rPr>
            </w:pPr>
            <w:r>
              <w:rPr>
                <w:rFonts w:ascii="Arial" w:hAnsi="Arial" w:cs="Arial"/>
                <w:sz w:val="20"/>
                <w:szCs w:val="20"/>
              </w:rPr>
              <w:t>34,312</w:t>
            </w:r>
          </w:p>
        </w:tc>
        <w:tc>
          <w:tcPr>
            <w:tcW w:w="1349" w:type="dxa"/>
            <w:tcBorders>
              <w:top w:val="nil"/>
              <w:left w:val="single" w:sz="4" w:space="0" w:color="auto"/>
              <w:bottom w:val="single" w:sz="4" w:space="0" w:color="000000" w:themeColor="text1"/>
              <w:right w:val="single" w:sz="4" w:space="0" w:color="auto"/>
            </w:tcBorders>
            <w:vAlign w:val="center"/>
          </w:tcPr>
          <w:p w14:paraId="17263F3C" w14:textId="3BEFA602" w:rsidR="00D65989" w:rsidRPr="00CC4B11" w:rsidRDefault="00D65989" w:rsidP="00D65989">
            <w:pPr>
              <w:keepNext/>
              <w:jc w:val="center"/>
              <w:rPr>
                <w:rFonts w:ascii="Arial" w:hAnsi="Arial" w:cs="Arial"/>
                <w:sz w:val="20"/>
                <w:szCs w:val="20"/>
              </w:rPr>
            </w:pPr>
            <w:r>
              <w:rPr>
                <w:rFonts w:ascii="Arial" w:hAnsi="Arial" w:cs="Arial"/>
                <w:sz w:val="20"/>
                <w:szCs w:val="20"/>
              </w:rPr>
              <w:t>54,347</w:t>
            </w:r>
          </w:p>
        </w:tc>
        <w:tc>
          <w:tcPr>
            <w:tcW w:w="1349" w:type="dxa"/>
            <w:tcBorders>
              <w:top w:val="nil"/>
              <w:left w:val="single" w:sz="4" w:space="0" w:color="auto"/>
              <w:bottom w:val="single" w:sz="4" w:space="0" w:color="000000" w:themeColor="text1"/>
              <w:right w:val="single" w:sz="4" w:space="0" w:color="auto"/>
            </w:tcBorders>
            <w:vAlign w:val="center"/>
          </w:tcPr>
          <w:p w14:paraId="3154B0AC" w14:textId="5F5E469C" w:rsidR="00D65989" w:rsidRPr="00CC4B11" w:rsidRDefault="00D65989" w:rsidP="00D65989">
            <w:pPr>
              <w:keepNext/>
              <w:jc w:val="center"/>
              <w:rPr>
                <w:rFonts w:ascii="Arial" w:hAnsi="Arial" w:cs="Arial"/>
                <w:sz w:val="20"/>
                <w:szCs w:val="20"/>
              </w:rPr>
            </w:pPr>
          </w:p>
        </w:tc>
      </w:tr>
      <w:tr w:rsidR="00D65989" w:rsidRPr="00CC4B11" w14:paraId="40578DD1"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33"/>
        </w:trPr>
        <w:tc>
          <w:tcPr>
            <w:tcW w:w="1008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14:paraId="432D6A65" w14:textId="77777777" w:rsidR="00D65989" w:rsidRPr="00CC4B11" w:rsidRDefault="00D65989" w:rsidP="00D65989">
            <w:pPr>
              <w:keepNext/>
              <w:rPr>
                <w:rFonts w:ascii="Arial" w:hAnsi="Arial" w:cs="Arial"/>
                <w:sz w:val="20"/>
                <w:szCs w:val="20"/>
              </w:rPr>
            </w:pPr>
            <w:r w:rsidRPr="002347D2">
              <w:rPr>
                <w:rFonts w:ascii="Arial" w:hAnsi="Arial" w:cs="Arial"/>
                <w:b/>
                <w:sz w:val="20"/>
                <w:szCs w:val="20"/>
              </w:rPr>
              <w:t>Water Quality Division</w:t>
            </w:r>
            <w:r>
              <w:rPr>
                <w:rFonts w:ascii="Arial" w:hAnsi="Arial" w:cs="Arial"/>
                <w:b/>
                <w:sz w:val="20"/>
                <w:szCs w:val="20"/>
              </w:rPr>
              <w:t>s</w:t>
            </w:r>
          </w:p>
        </w:tc>
      </w:tr>
      <w:tr w:rsidR="00D65989" w:rsidRPr="00CC4B11" w14:paraId="3FAA5350"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top w:val="single" w:sz="4" w:space="0" w:color="000000" w:themeColor="text1"/>
              <w:left w:val="single" w:sz="4" w:space="0" w:color="auto"/>
              <w:right w:val="single" w:sz="4" w:space="0" w:color="auto"/>
            </w:tcBorders>
            <w:vAlign w:val="center"/>
          </w:tcPr>
          <w:p w14:paraId="79E85EB1"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Wastewater Grants Awarded</w:t>
            </w:r>
          </w:p>
        </w:tc>
        <w:tc>
          <w:tcPr>
            <w:tcW w:w="1349" w:type="dxa"/>
            <w:tcBorders>
              <w:top w:val="single" w:sz="4" w:space="0" w:color="000000" w:themeColor="text1"/>
              <w:left w:val="single" w:sz="4" w:space="0" w:color="auto"/>
              <w:right w:val="single" w:sz="4" w:space="0" w:color="auto"/>
            </w:tcBorders>
            <w:vAlign w:val="center"/>
          </w:tcPr>
          <w:p w14:paraId="6285AF59" w14:textId="1F57C976" w:rsidR="00D65989" w:rsidRPr="00CC4B11" w:rsidRDefault="00D65989" w:rsidP="00D65989">
            <w:pPr>
              <w:keepNext/>
              <w:jc w:val="center"/>
              <w:rPr>
                <w:rFonts w:ascii="Arial" w:hAnsi="Arial" w:cs="Arial"/>
                <w:sz w:val="20"/>
                <w:szCs w:val="20"/>
              </w:rPr>
            </w:pPr>
            <w:r>
              <w:rPr>
                <w:rFonts w:ascii="Arial" w:hAnsi="Arial" w:cs="Arial"/>
                <w:sz w:val="20"/>
                <w:szCs w:val="20"/>
              </w:rPr>
              <w:t>$343,500</w:t>
            </w:r>
          </w:p>
        </w:tc>
        <w:tc>
          <w:tcPr>
            <w:tcW w:w="1349" w:type="dxa"/>
            <w:tcBorders>
              <w:top w:val="single" w:sz="4" w:space="0" w:color="000000" w:themeColor="text1"/>
              <w:left w:val="single" w:sz="4" w:space="0" w:color="auto"/>
              <w:right w:val="single" w:sz="4" w:space="0" w:color="auto"/>
            </w:tcBorders>
            <w:vAlign w:val="center"/>
          </w:tcPr>
          <w:p w14:paraId="3DA4DDB2" w14:textId="05D884CB" w:rsidR="00D65989" w:rsidRPr="00CC4B11" w:rsidRDefault="00D65989" w:rsidP="00D65989">
            <w:pPr>
              <w:keepNext/>
              <w:jc w:val="center"/>
              <w:rPr>
                <w:rFonts w:ascii="Arial" w:hAnsi="Arial" w:cs="Arial"/>
                <w:sz w:val="20"/>
                <w:szCs w:val="20"/>
              </w:rPr>
            </w:pPr>
            <w:r>
              <w:rPr>
                <w:rFonts w:ascii="Arial" w:hAnsi="Arial" w:cs="Arial"/>
                <w:sz w:val="20"/>
                <w:szCs w:val="20"/>
              </w:rPr>
              <w:t>$326,625</w:t>
            </w:r>
          </w:p>
        </w:tc>
        <w:tc>
          <w:tcPr>
            <w:tcW w:w="1349" w:type="dxa"/>
            <w:tcBorders>
              <w:top w:val="single" w:sz="4" w:space="0" w:color="000000" w:themeColor="text1"/>
              <w:left w:val="single" w:sz="4" w:space="0" w:color="auto"/>
              <w:right w:val="single" w:sz="4" w:space="0" w:color="auto"/>
            </w:tcBorders>
            <w:vAlign w:val="center"/>
          </w:tcPr>
          <w:p w14:paraId="78D9D2DF" w14:textId="5E6B19D0" w:rsidR="00D65989" w:rsidRPr="00CC4B11" w:rsidRDefault="00D65989" w:rsidP="00D65989">
            <w:pPr>
              <w:keepNext/>
              <w:jc w:val="center"/>
              <w:rPr>
                <w:rFonts w:ascii="Arial" w:hAnsi="Arial" w:cs="Arial"/>
                <w:sz w:val="20"/>
                <w:szCs w:val="20"/>
              </w:rPr>
            </w:pPr>
            <w:r>
              <w:rPr>
                <w:rFonts w:ascii="Arial" w:hAnsi="Arial" w:cs="Arial"/>
                <w:sz w:val="20"/>
                <w:szCs w:val="20"/>
              </w:rPr>
              <w:t>$303,460</w:t>
            </w:r>
          </w:p>
        </w:tc>
        <w:tc>
          <w:tcPr>
            <w:tcW w:w="1349" w:type="dxa"/>
            <w:tcBorders>
              <w:top w:val="single" w:sz="4" w:space="0" w:color="000000" w:themeColor="text1"/>
              <w:left w:val="single" w:sz="4" w:space="0" w:color="auto"/>
              <w:right w:val="single" w:sz="4" w:space="0" w:color="auto"/>
            </w:tcBorders>
            <w:vAlign w:val="center"/>
          </w:tcPr>
          <w:p w14:paraId="577BB3B7" w14:textId="1BF726E7" w:rsidR="00D65989" w:rsidRPr="00CC4B11" w:rsidRDefault="00D65989" w:rsidP="00D65989">
            <w:pPr>
              <w:keepNext/>
              <w:jc w:val="center"/>
              <w:rPr>
                <w:rFonts w:ascii="Arial" w:hAnsi="Arial" w:cs="Arial"/>
                <w:sz w:val="20"/>
                <w:szCs w:val="20"/>
              </w:rPr>
            </w:pPr>
          </w:p>
        </w:tc>
      </w:tr>
      <w:tr w:rsidR="00D65989" w:rsidRPr="00CC4B11" w14:paraId="3C5D419C"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044B0A1E"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Wastewater Loans Awarded</w:t>
            </w:r>
          </w:p>
        </w:tc>
        <w:tc>
          <w:tcPr>
            <w:tcW w:w="1349" w:type="dxa"/>
            <w:tcBorders>
              <w:left w:val="single" w:sz="4" w:space="0" w:color="auto"/>
              <w:right w:val="single" w:sz="4" w:space="0" w:color="auto"/>
            </w:tcBorders>
            <w:vAlign w:val="center"/>
          </w:tcPr>
          <w:p w14:paraId="4DCFE382" w14:textId="4DCA37FF" w:rsidR="00D65989" w:rsidRPr="00CC4B11" w:rsidRDefault="00D65989" w:rsidP="00D65989">
            <w:pPr>
              <w:keepNext/>
              <w:jc w:val="center"/>
              <w:rPr>
                <w:rFonts w:ascii="Arial" w:hAnsi="Arial" w:cs="Arial"/>
                <w:sz w:val="20"/>
                <w:szCs w:val="20"/>
              </w:rPr>
            </w:pPr>
            <w:r>
              <w:rPr>
                <w:rFonts w:ascii="Arial" w:hAnsi="Arial" w:cs="Arial"/>
                <w:sz w:val="20"/>
                <w:szCs w:val="20"/>
              </w:rPr>
              <w:t>$53,423,000</w:t>
            </w:r>
          </w:p>
        </w:tc>
        <w:tc>
          <w:tcPr>
            <w:tcW w:w="1349" w:type="dxa"/>
            <w:tcBorders>
              <w:left w:val="single" w:sz="4" w:space="0" w:color="auto"/>
              <w:right w:val="single" w:sz="4" w:space="0" w:color="auto"/>
            </w:tcBorders>
            <w:vAlign w:val="center"/>
          </w:tcPr>
          <w:p w14:paraId="3B57DE6C" w14:textId="61D32001" w:rsidR="00D65989" w:rsidRPr="00CC4B11" w:rsidRDefault="00D65989" w:rsidP="00D65989">
            <w:pPr>
              <w:keepNext/>
              <w:jc w:val="center"/>
              <w:rPr>
                <w:rFonts w:ascii="Arial" w:hAnsi="Arial" w:cs="Arial"/>
                <w:sz w:val="20"/>
                <w:szCs w:val="20"/>
              </w:rPr>
            </w:pPr>
            <w:r>
              <w:rPr>
                <w:rFonts w:ascii="Arial" w:hAnsi="Arial" w:cs="Arial"/>
                <w:sz w:val="20"/>
                <w:szCs w:val="20"/>
              </w:rPr>
              <w:t>$65,765,815</w:t>
            </w:r>
          </w:p>
        </w:tc>
        <w:tc>
          <w:tcPr>
            <w:tcW w:w="1349" w:type="dxa"/>
            <w:tcBorders>
              <w:left w:val="single" w:sz="4" w:space="0" w:color="auto"/>
              <w:right w:val="single" w:sz="4" w:space="0" w:color="auto"/>
            </w:tcBorders>
            <w:vAlign w:val="center"/>
          </w:tcPr>
          <w:p w14:paraId="34FCBA2A" w14:textId="7B7FB58E" w:rsidR="00D65989" w:rsidRPr="00CC4B11" w:rsidRDefault="00D65989" w:rsidP="00D65989">
            <w:pPr>
              <w:keepNext/>
              <w:jc w:val="center"/>
              <w:rPr>
                <w:rFonts w:ascii="Arial" w:hAnsi="Arial" w:cs="Arial"/>
                <w:sz w:val="20"/>
                <w:szCs w:val="20"/>
              </w:rPr>
            </w:pPr>
            <w:r>
              <w:rPr>
                <w:rFonts w:ascii="Arial" w:hAnsi="Arial" w:cs="Arial"/>
                <w:sz w:val="20"/>
                <w:szCs w:val="20"/>
              </w:rPr>
              <w:t>$38,577,250</w:t>
            </w:r>
          </w:p>
        </w:tc>
        <w:tc>
          <w:tcPr>
            <w:tcW w:w="1349" w:type="dxa"/>
            <w:tcBorders>
              <w:left w:val="single" w:sz="4" w:space="0" w:color="auto"/>
              <w:right w:val="single" w:sz="4" w:space="0" w:color="auto"/>
            </w:tcBorders>
            <w:vAlign w:val="center"/>
          </w:tcPr>
          <w:p w14:paraId="5E7EAA6F" w14:textId="53671EE6" w:rsidR="00D65989" w:rsidRPr="00CC4B11" w:rsidRDefault="00D65989" w:rsidP="00D65989">
            <w:pPr>
              <w:keepNext/>
              <w:jc w:val="center"/>
              <w:rPr>
                <w:rFonts w:ascii="Arial" w:hAnsi="Arial" w:cs="Arial"/>
                <w:sz w:val="20"/>
                <w:szCs w:val="20"/>
              </w:rPr>
            </w:pPr>
          </w:p>
        </w:tc>
      </w:tr>
      <w:tr w:rsidR="00D65989" w:rsidRPr="00CC4B11" w14:paraId="34FCC174"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60AADCFB"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Drinking Water Grants Awarded</w:t>
            </w:r>
          </w:p>
        </w:tc>
        <w:tc>
          <w:tcPr>
            <w:tcW w:w="1349" w:type="dxa"/>
            <w:tcBorders>
              <w:left w:val="single" w:sz="4" w:space="0" w:color="auto"/>
              <w:right w:val="single" w:sz="4" w:space="0" w:color="auto"/>
            </w:tcBorders>
            <w:vAlign w:val="center"/>
          </w:tcPr>
          <w:p w14:paraId="15EC64D3" w14:textId="6D64F7B4" w:rsidR="00D65989" w:rsidRPr="00CC4B11" w:rsidRDefault="00D65989" w:rsidP="00D65989">
            <w:pPr>
              <w:keepNext/>
              <w:jc w:val="center"/>
              <w:rPr>
                <w:rFonts w:ascii="Arial" w:hAnsi="Arial" w:cs="Arial"/>
                <w:sz w:val="20"/>
                <w:szCs w:val="20"/>
              </w:rPr>
            </w:pPr>
            <w:r>
              <w:rPr>
                <w:rFonts w:ascii="Arial" w:hAnsi="Arial" w:cs="Arial"/>
                <w:sz w:val="20"/>
                <w:szCs w:val="20"/>
              </w:rPr>
              <w:t>$248,935</w:t>
            </w:r>
          </w:p>
        </w:tc>
        <w:tc>
          <w:tcPr>
            <w:tcW w:w="1349" w:type="dxa"/>
            <w:tcBorders>
              <w:left w:val="single" w:sz="4" w:space="0" w:color="auto"/>
              <w:right w:val="single" w:sz="4" w:space="0" w:color="auto"/>
            </w:tcBorders>
            <w:vAlign w:val="center"/>
          </w:tcPr>
          <w:p w14:paraId="28E4ABC0" w14:textId="557F9C9D" w:rsidR="00D65989" w:rsidRPr="00CC4B11" w:rsidRDefault="00D65989" w:rsidP="00D65989">
            <w:pPr>
              <w:keepNext/>
              <w:jc w:val="center"/>
              <w:rPr>
                <w:rFonts w:ascii="Arial" w:hAnsi="Arial" w:cs="Arial"/>
                <w:sz w:val="20"/>
                <w:szCs w:val="20"/>
              </w:rPr>
            </w:pPr>
            <w:r>
              <w:rPr>
                <w:rFonts w:ascii="Arial" w:hAnsi="Arial" w:cs="Arial"/>
                <w:sz w:val="20"/>
                <w:szCs w:val="20"/>
              </w:rPr>
              <w:t>$339,250</w:t>
            </w:r>
          </w:p>
        </w:tc>
        <w:tc>
          <w:tcPr>
            <w:tcW w:w="1349" w:type="dxa"/>
            <w:tcBorders>
              <w:left w:val="single" w:sz="4" w:space="0" w:color="auto"/>
              <w:right w:val="single" w:sz="4" w:space="0" w:color="auto"/>
            </w:tcBorders>
            <w:vAlign w:val="center"/>
          </w:tcPr>
          <w:p w14:paraId="679DA7F5" w14:textId="1BA8265A" w:rsidR="00D65989" w:rsidRPr="00CC4B11" w:rsidRDefault="00D65989" w:rsidP="00D65989">
            <w:pPr>
              <w:keepNext/>
              <w:jc w:val="center"/>
              <w:rPr>
                <w:rFonts w:ascii="Arial" w:hAnsi="Arial" w:cs="Arial"/>
                <w:sz w:val="20"/>
                <w:szCs w:val="20"/>
              </w:rPr>
            </w:pPr>
            <w:r>
              <w:rPr>
                <w:rFonts w:ascii="Arial" w:hAnsi="Arial" w:cs="Arial"/>
                <w:sz w:val="20"/>
                <w:szCs w:val="20"/>
              </w:rPr>
              <w:t>$347,500</w:t>
            </w:r>
          </w:p>
        </w:tc>
        <w:tc>
          <w:tcPr>
            <w:tcW w:w="1349" w:type="dxa"/>
            <w:tcBorders>
              <w:left w:val="single" w:sz="4" w:space="0" w:color="auto"/>
              <w:right w:val="single" w:sz="4" w:space="0" w:color="auto"/>
            </w:tcBorders>
            <w:vAlign w:val="center"/>
          </w:tcPr>
          <w:p w14:paraId="26415F96" w14:textId="36B67CBA" w:rsidR="00D65989" w:rsidRPr="00CC4B11" w:rsidRDefault="00D65989" w:rsidP="00D65989">
            <w:pPr>
              <w:keepNext/>
              <w:jc w:val="center"/>
              <w:rPr>
                <w:rFonts w:ascii="Arial" w:hAnsi="Arial" w:cs="Arial"/>
                <w:sz w:val="20"/>
                <w:szCs w:val="20"/>
              </w:rPr>
            </w:pPr>
          </w:p>
        </w:tc>
      </w:tr>
      <w:tr w:rsidR="00D65989" w:rsidRPr="00CC4B11" w14:paraId="7EF6F271"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5F964F50"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Drinking Water Loans Awarded</w:t>
            </w:r>
          </w:p>
        </w:tc>
        <w:tc>
          <w:tcPr>
            <w:tcW w:w="1349" w:type="dxa"/>
            <w:tcBorders>
              <w:left w:val="single" w:sz="4" w:space="0" w:color="auto"/>
              <w:right w:val="single" w:sz="4" w:space="0" w:color="auto"/>
            </w:tcBorders>
            <w:vAlign w:val="center"/>
          </w:tcPr>
          <w:p w14:paraId="246D978A" w14:textId="1CD41314" w:rsidR="00D65989" w:rsidRPr="00CC4B11" w:rsidRDefault="00D65989" w:rsidP="00D65989">
            <w:pPr>
              <w:keepNext/>
              <w:jc w:val="center"/>
              <w:rPr>
                <w:rFonts w:ascii="Arial" w:hAnsi="Arial" w:cs="Arial"/>
                <w:sz w:val="20"/>
                <w:szCs w:val="20"/>
              </w:rPr>
            </w:pPr>
            <w:r>
              <w:rPr>
                <w:rFonts w:ascii="Arial" w:hAnsi="Arial" w:cs="Arial"/>
                <w:sz w:val="20"/>
                <w:szCs w:val="20"/>
              </w:rPr>
              <w:t>$6,058,650</w:t>
            </w:r>
          </w:p>
        </w:tc>
        <w:tc>
          <w:tcPr>
            <w:tcW w:w="1349" w:type="dxa"/>
            <w:tcBorders>
              <w:left w:val="single" w:sz="4" w:space="0" w:color="auto"/>
              <w:right w:val="single" w:sz="4" w:space="0" w:color="auto"/>
            </w:tcBorders>
            <w:vAlign w:val="center"/>
          </w:tcPr>
          <w:p w14:paraId="1B5B5D0E" w14:textId="0EECAB94" w:rsidR="00D65989" w:rsidRPr="00CC4B11" w:rsidRDefault="00D65989" w:rsidP="00D65989">
            <w:pPr>
              <w:keepNext/>
              <w:jc w:val="center"/>
              <w:rPr>
                <w:rFonts w:ascii="Arial" w:hAnsi="Arial" w:cs="Arial"/>
                <w:sz w:val="20"/>
                <w:szCs w:val="20"/>
              </w:rPr>
            </w:pPr>
            <w:r>
              <w:rPr>
                <w:rFonts w:ascii="Arial" w:hAnsi="Arial" w:cs="Arial"/>
                <w:sz w:val="20"/>
                <w:szCs w:val="20"/>
              </w:rPr>
              <w:t>$62,679,141</w:t>
            </w:r>
          </w:p>
        </w:tc>
        <w:tc>
          <w:tcPr>
            <w:tcW w:w="1349" w:type="dxa"/>
            <w:tcBorders>
              <w:left w:val="single" w:sz="4" w:space="0" w:color="auto"/>
              <w:right w:val="single" w:sz="4" w:space="0" w:color="auto"/>
            </w:tcBorders>
            <w:vAlign w:val="center"/>
          </w:tcPr>
          <w:p w14:paraId="1B0DA659" w14:textId="287F00EB" w:rsidR="00D65989" w:rsidRPr="00CC4B11" w:rsidRDefault="00D65989" w:rsidP="00D65989">
            <w:pPr>
              <w:keepNext/>
              <w:jc w:val="center"/>
              <w:rPr>
                <w:rFonts w:ascii="Arial" w:hAnsi="Arial" w:cs="Arial"/>
                <w:sz w:val="20"/>
                <w:szCs w:val="20"/>
              </w:rPr>
            </w:pPr>
            <w:r>
              <w:rPr>
                <w:rFonts w:ascii="Arial" w:hAnsi="Arial" w:cs="Arial"/>
                <w:sz w:val="20"/>
                <w:szCs w:val="20"/>
              </w:rPr>
              <w:t>$19,285,914</w:t>
            </w:r>
          </w:p>
        </w:tc>
        <w:tc>
          <w:tcPr>
            <w:tcW w:w="1349" w:type="dxa"/>
            <w:tcBorders>
              <w:left w:val="single" w:sz="4" w:space="0" w:color="auto"/>
              <w:right w:val="single" w:sz="4" w:space="0" w:color="auto"/>
            </w:tcBorders>
            <w:vAlign w:val="center"/>
          </w:tcPr>
          <w:p w14:paraId="75B36A03" w14:textId="0F9D074D" w:rsidR="00D65989" w:rsidRPr="00CC4B11" w:rsidRDefault="00D65989" w:rsidP="00D65989">
            <w:pPr>
              <w:keepNext/>
              <w:jc w:val="center"/>
              <w:rPr>
                <w:rFonts w:ascii="Arial" w:hAnsi="Arial" w:cs="Arial"/>
                <w:sz w:val="20"/>
                <w:szCs w:val="20"/>
              </w:rPr>
            </w:pPr>
          </w:p>
        </w:tc>
      </w:tr>
      <w:tr w:rsidR="00D65989" w:rsidRPr="00CC4B11" w14:paraId="7727811F"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62BFD4E8"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401/404 Water Quality Certifications Issued</w:t>
            </w:r>
          </w:p>
        </w:tc>
        <w:tc>
          <w:tcPr>
            <w:tcW w:w="1349" w:type="dxa"/>
            <w:tcBorders>
              <w:left w:val="single" w:sz="4" w:space="0" w:color="auto"/>
              <w:right w:val="single" w:sz="4" w:space="0" w:color="auto"/>
            </w:tcBorders>
            <w:vAlign w:val="center"/>
          </w:tcPr>
          <w:p w14:paraId="7457ABDC" w14:textId="2B52FB08" w:rsidR="00D65989" w:rsidRPr="00CC4B11" w:rsidRDefault="00D65989" w:rsidP="00D65989">
            <w:pPr>
              <w:keepNext/>
              <w:jc w:val="center"/>
              <w:rPr>
                <w:rFonts w:ascii="Arial" w:hAnsi="Arial" w:cs="Arial"/>
                <w:sz w:val="20"/>
                <w:szCs w:val="20"/>
              </w:rPr>
            </w:pPr>
            <w:r>
              <w:rPr>
                <w:rFonts w:ascii="Arial" w:hAnsi="Arial" w:cs="Arial"/>
                <w:sz w:val="20"/>
                <w:szCs w:val="20"/>
              </w:rPr>
              <w:t>48</w:t>
            </w:r>
          </w:p>
        </w:tc>
        <w:tc>
          <w:tcPr>
            <w:tcW w:w="1349" w:type="dxa"/>
            <w:tcBorders>
              <w:left w:val="single" w:sz="4" w:space="0" w:color="auto"/>
              <w:right w:val="single" w:sz="4" w:space="0" w:color="auto"/>
            </w:tcBorders>
            <w:vAlign w:val="center"/>
          </w:tcPr>
          <w:p w14:paraId="6269001F" w14:textId="29753C92" w:rsidR="00D65989" w:rsidRPr="00CC4B11" w:rsidRDefault="00D65989" w:rsidP="00D65989">
            <w:pPr>
              <w:keepNext/>
              <w:jc w:val="center"/>
              <w:rPr>
                <w:rFonts w:ascii="Arial" w:hAnsi="Arial" w:cs="Arial"/>
                <w:sz w:val="20"/>
                <w:szCs w:val="20"/>
              </w:rPr>
            </w:pPr>
            <w:r>
              <w:rPr>
                <w:rFonts w:ascii="Arial" w:hAnsi="Arial" w:cs="Arial"/>
                <w:sz w:val="20"/>
                <w:szCs w:val="20"/>
              </w:rPr>
              <w:t>57</w:t>
            </w:r>
          </w:p>
        </w:tc>
        <w:tc>
          <w:tcPr>
            <w:tcW w:w="1349" w:type="dxa"/>
            <w:tcBorders>
              <w:left w:val="single" w:sz="4" w:space="0" w:color="auto"/>
              <w:right w:val="single" w:sz="4" w:space="0" w:color="auto"/>
            </w:tcBorders>
            <w:vAlign w:val="center"/>
          </w:tcPr>
          <w:p w14:paraId="71367FFF" w14:textId="11A17EA4" w:rsidR="00D65989" w:rsidRPr="00CC4B11" w:rsidRDefault="00D65989" w:rsidP="00D65989">
            <w:pPr>
              <w:keepNext/>
              <w:jc w:val="center"/>
              <w:rPr>
                <w:rFonts w:ascii="Arial" w:hAnsi="Arial" w:cs="Arial"/>
                <w:sz w:val="20"/>
                <w:szCs w:val="20"/>
              </w:rPr>
            </w:pPr>
            <w:r>
              <w:rPr>
                <w:rFonts w:ascii="Arial" w:hAnsi="Arial" w:cs="Arial"/>
                <w:sz w:val="20"/>
                <w:szCs w:val="20"/>
              </w:rPr>
              <w:t>47</w:t>
            </w:r>
          </w:p>
        </w:tc>
        <w:tc>
          <w:tcPr>
            <w:tcW w:w="1349" w:type="dxa"/>
            <w:tcBorders>
              <w:left w:val="single" w:sz="4" w:space="0" w:color="auto"/>
              <w:right w:val="single" w:sz="4" w:space="0" w:color="auto"/>
            </w:tcBorders>
            <w:vAlign w:val="center"/>
          </w:tcPr>
          <w:p w14:paraId="52D95890" w14:textId="5F45825B" w:rsidR="00D65989" w:rsidRPr="00CC4B11" w:rsidRDefault="00D65989" w:rsidP="00D65989">
            <w:pPr>
              <w:keepNext/>
              <w:jc w:val="center"/>
              <w:rPr>
                <w:rFonts w:ascii="Arial" w:hAnsi="Arial" w:cs="Arial"/>
                <w:sz w:val="20"/>
                <w:szCs w:val="20"/>
              </w:rPr>
            </w:pPr>
          </w:p>
        </w:tc>
      </w:tr>
      <w:tr w:rsidR="00D65989" w:rsidRPr="00CC4B11" w14:paraId="1A5E9866"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41918948"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Wastewater Reuse Permits Issued</w:t>
            </w:r>
          </w:p>
        </w:tc>
        <w:tc>
          <w:tcPr>
            <w:tcW w:w="1349" w:type="dxa"/>
            <w:tcBorders>
              <w:left w:val="single" w:sz="4" w:space="0" w:color="auto"/>
              <w:right w:val="single" w:sz="4" w:space="0" w:color="auto"/>
            </w:tcBorders>
            <w:vAlign w:val="center"/>
          </w:tcPr>
          <w:p w14:paraId="074C754A" w14:textId="7B8405A2" w:rsidR="00D65989" w:rsidRPr="00CC4B11" w:rsidRDefault="00D65989" w:rsidP="00D65989">
            <w:pPr>
              <w:keepNext/>
              <w:jc w:val="center"/>
              <w:rPr>
                <w:rFonts w:ascii="Arial" w:hAnsi="Arial" w:cs="Arial"/>
                <w:bCs/>
                <w:noProof/>
                <w:sz w:val="20"/>
                <w:szCs w:val="20"/>
              </w:rPr>
            </w:pPr>
            <w:r>
              <w:rPr>
                <w:rFonts w:ascii="Arial" w:hAnsi="Arial" w:cs="Arial"/>
                <w:bCs/>
                <w:noProof/>
                <w:sz w:val="20"/>
                <w:szCs w:val="20"/>
              </w:rPr>
              <w:t>23</w:t>
            </w:r>
            <w:r w:rsidRPr="006E0E7A">
              <w:rPr>
                <w:rFonts w:ascii="Arial" w:hAnsi="Arial" w:cs="Arial"/>
                <w:bCs/>
                <w:noProof/>
                <w:sz w:val="20"/>
                <w:szCs w:val="20"/>
                <w:vertAlign w:val="superscript"/>
              </w:rPr>
              <w:t>b</w:t>
            </w:r>
          </w:p>
        </w:tc>
        <w:tc>
          <w:tcPr>
            <w:tcW w:w="1349" w:type="dxa"/>
            <w:tcBorders>
              <w:left w:val="single" w:sz="4" w:space="0" w:color="auto"/>
              <w:right w:val="single" w:sz="4" w:space="0" w:color="auto"/>
            </w:tcBorders>
            <w:vAlign w:val="center"/>
          </w:tcPr>
          <w:p w14:paraId="1B3C3B1A" w14:textId="12D91090" w:rsidR="00D65989" w:rsidRPr="00CC4B11" w:rsidRDefault="00D65989" w:rsidP="00D65989">
            <w:pPr>
              <w:keepNext/>
              <w:jc w:val="center"/>
              <w:rPr>
                <w:rFonts w:ascii="Arial" w:hAnsi="Arial" w:cs="Arial"/>
                <w:bCs/>
                <w:noProof/>
                <w:sz w:val="20"/>
                <w:szCs w:val="20"/>
              </w:rPr>
            </w:pPr>
            <w:r>
              <w:rPr>
                <w:rFonts w:ascii="Arial" w:hAnsi="Arial" w:cs="Arial"/>
                <w:bCs/>
                <w:noProof/>
                <w:sz w:val="20"/>
                <w:szCs w:val="20"/>
              </w:rPr>
              <w:t>12</w:t>
            </w:r>
            <w:r w:rsidRPr="00CD61EB">
              <w:rPr>
                <w:rFonts w:ascii="Arial" w:hAnsi="Arial" w:cs="Arial"/>
                <w:bCs/>
                <w:noProof/>
                <w:sz w:val="20"/>
                <w:szCs w:val="20"/>
                <w:vertAlign w:val="superscript"/>
              </w:rPr>
              <w:t>b</w:t>
            </w:r>
          </w:p>
        </w:tc>
        <w:tc>
          <w:tcPr>
            <w:tcW w:w="1349" w:type="dxa"/>
            <w:tcBorders>
              <w:left w:val="single" w:sz="4" w:space="0" w:color="auto"/>
              <w:right w:val="single" w:sz="4" w:space="0" w:color="auto"/>
            </w:tcBorders>
            <w:vAlign w:val="center"/>
          </w:tcPr>
          <w:p w14:paraId="70B41628" w14:textId="2C5D2FC4" w:rsidR="00D65989" w:rsidRPr="00CC4B11" w:rsidRDefault="00D65989" w:rsidP="00D65989">
            <w:pPr>
              <w:keepNext/>
              <w:jc w:val="center"/>
              <w:rPr>
                <w:rFonts w:ascii="Arial" w:hAnsi="Arial" w:cs="Arial"/>
                <w:bCs/>
                <w:noProof/>
                <w:sz w:val="20"/>
                <w:szCs w:val="20"/>
              </w:rPr>
            </w:pPr>
            <w:r>
              <w:rPr>
                <w:rFonts w:ascii="Arial" w:hAnsi="Arial" w:cs="Arial"/>
                <w:bCs/>
                <w:noProof/>
                <w:sz w:val="20"/>
                <w:szCs w:val="20"/>
              </w:rPr>
              <w:t>5</w:t>
            </w:r>
          </w:p>
        </w:tc>
        <w:tc>
          <w:tcPr>
            <w:tcW w:w="1349" w:type="dxa"/>
            <w:tcBorders>
              <w:left w:val="single" w:sz="4" w:space="0" w:color="auto"/>
              <w:right w:val="single" w:sz="4" w:space="0" w:color="auto"/>
            </w:tcBorders>
            <w:vAlign w:val="center"/>
          </w:tcPr>
          <w:p w14:paraId="47C2E1D6" w14:textId="6F879F41" w:rsidR="00D65989" w:rsidRPr="00CC4B11" w:rsidRDefault="00D65989" w:rsidP="00D65989">
            <w:pPr>
              <w:keepNext/>
              <w:jc w:val="center"/>
              <w:rPr>
                <w:rFonts w:ascii="Arial" w:hAnsi="Arial" w:cs="Arial"/>
                <w:bCs/>
                <w:noProof/>
                <w:sz w:val="20"/>
                <w:szCs w:val="20"/>
              </w:rPr>
            </w:pPr>
          </w:p>
        </w:tc>
      </w:tr>
      <w:tr w:rsidR="00D65989" w:rsidRPr="00CC4B11" w14:paraId="1FF44D62"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198"/>
        </w:trPr>
        <w:tc>
          <w:tcPr>
            <w:tcW w:w="4684" w:type="dxa"/>
            <w:tcBorders>
              <w:left w:val="single" w:sz="4" w:space="0" w:color="auto"/>
              <w:right w:val="single" w:sz="4" w:space="0" w:color="auto"/>
            </w:tcBorders>
            <w:vAlign w:val="center"/>
          </w:tcPr>
          <w:p w14:paraId="3A0949BC" w14:textId="77777777" w:rsidR="00D65989" w:rsidRPr="00CC4B11" w:rsidRDefault="00D65989" w:rsidP="00D65989">
            <w:pPr>
              <w:keepNext/>
              <w:ind w:left="372" w:hanging="372"/>
              <w:rPr>
                <w:rFonts w:ascii="Arial" w:hAnsi="Arial" w:cs="Arial"/>
                <w:sz w:val="20"/>
                <w:szCs w:val="20"/>
              </w:rPr>
            </w:pPr>
            <w:r>
              <w:rPr>
                <w:rFonts w:ascii="Arial" w:hAnsi="Arial" w:cs="Arial"/>
                <w:sz w:val="20"/>
                <w:szCs w:val="20"/>
              </w:rPr>
              <w:t>IPDES Direct Discharge Permits Issued</w:t>
            </w:r>
          </w:p>
        </w:tc>
        <w:tc>
          <w:tcPr>
            <w:tcW w:w="1349" w:type="dxa"/>
            <w:tcBorders>
              <w:left w:val="single" w:sz="4" w:space="0" w:color="auto"/>
              <w:right w:val="single" w:sz="4" w:space="0" w:color="auto"/>
            </w:tcBorders>
            <w:vAlign w:val="center"/>
          </w:tcPr>
          <w:p w14:paraId="115E927B" w14:textId="0DFE48AC" w:rsidR="00D65989" w:rsidRPr="00CC4B11" w:rsidRDefault="00D65989" w:rsidP="00D65989">
            <w:pPr>
              <w:keepNext/>
              <w:jc w:val="center"/>
              <w:rPr>
                <w:rFonts w:ascii="Arial" w:hAnsi="Arial" w:cs="Arial"/>
                <w:sz w:val="20"/>
                <w:szCs w:val="20"/>
              </w:rPr>
            </w:pPr>
            <w:r>
              <w:rPr>
                <w:rFonts w:ascii="Arial" w:hAnsi="Arial" w:cs="Arial"/>
                <w:sz w:val="20"/>
                <w:szCs w:val="20"/>
              </w:rPr>
              <w:t>1</w:t>
            </w:r>
          </w:p>
        </w:tc>
        <w:tc>
          <w:tcPr>
            <w:tcW w:w="1349" w:type="dxa"/>
            <w:tcBorders>
              <w:left w:val="single" w:sz="4" w:space="0" w:color="auto"/>
              <w:right w:val="single" w:sz="4" w:space="0" w:color="auto"/>
            </w:tcBorders>
            <w:vAlign w:val="center"/>
          </w:tcPr>
          <w:p w14:paraId="742642B6" w14:textId="6F36B97C" w:rsidR="00D65989" w:rsidRDefault="00D65989" w:rsidP="00D65989">
            <w:pPr>
              <w:keepNext/>
              <w:jc w:val="center"/>
              <w:rPr>
                <w:rFonts w:ascii="Arial" w:hAnsi="Arial" w:cs="Arial"/>
                <w:sz w:val="20"/>
                <w:szCs w:val="20"/>
              </w:rPr>
            </w:pPr>
            <w:r>
              <w:rPr>
                <w:rFonts w:ascii="Arial" w:hAnsi="Arial" w:cs="Arial"/>
                <w:sz w:val="20"/>
                <w:szCs w:val="20"/>
              </w:rPr>
              <w:t>9</w:t>
            </w:r>
          </w:p>
        </w:tc>
        <w:tc>
          <w:tcPr>
            <w:tcW w:w="1349" w:type="dxa"/>
            <w:tcBorders>
              <w:left w:val="single" w:sz="4" w:space="0" w:color="auto"/>
              <w:right w:val="single" w:sz="4" w:space="0" w:color="auto"/>
            </w:tcBorders>
            <w:vAlign w:val="center"/>
          </w:tcPr>
          <w:p w14:paraId="7ADA2BA3" w14:textId="2176C36F" w:rsidR="00D65989" w:rsidRPr="00EB773E" w:rsidRDefault="00D65989" w:rsidP="00D65989">
            <w:pPr>
              <w:keepNext/>
              <w:jc w:val="center"/>
              <w:rPr>
                <w:rFonts w:ascii="Arial" w:hAnsi="Arial" w:cs="Arial"/>
                <w:sz w:val="20"/>
                <w:szCs w:val="20"/>
              </w:rPr>
            </w:pPr>
            <w:r>
              <w:rPr>
                <w:rFonts w:ascii="Arial" w:hAnsi="Arial" w:cs="Arial"/>
                <w:sz w:val="20"/>
                <w:szCs w:val="20"/>
              </w:rPr>
              <w:t>7</w:t>
            </w:r>
          </w:p>
        </w:tc>
        <w:tc>
          <w:tcPr>
            <w:tcW w:w="1349" w:type="dxa"/>
            <w:tcBorders>
              <w:left w:val="single" w:sz="4" w:space="0" w:color="auto"/>
              <w:right w:val="single" w:sz="4" w:space="0" w:color="auto"/>
            </w:tcBorders>
            <w:vAlign w:val="center"/>
          </w:tcPr>
          <w:p w14:paraId="1EC8FF3B" w14:textId="31FE69FD" w:rsidR="00D65989" w:rsidRPr="00E4760E" w:rsidRDefault="00D65989" w:rsidP="00D65989">
            <w:pPr>
              <w:keepNext/>
              <w:jc w:val="center"/>
              <w:rPr>
                <w:rFonts w:ascii="Arial" w:hAnsi="Arial" w:cs="Arial"/>
                <w:sz w:val="20"/>
                <w:szCs w:val="20"/>
              </w:rPr>
            </w:pPr>
          </w:p>
        </w:tc>
      </w:tr>
      <w:tr w:rsidR="00D65989" w:rsidRPr="00CC4B11" w14:paraId="15A3CEF8"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198"/>
        </w:trPr>
        <w:tc>
          <w:tcPr>
            <w:tcW w:w="4684" w:type="dxa"/>
            <w:tcBorders>
              <w:left w:val="single" w:sz="4" w:space="0" w:color="auto"/>
              <w:right w:val="single" w:sz="4" w:space="0" w:color="auto"/>
            </w:tcBorders>
            <w:vAlign w:val="center"/>
          </w:tcPr>
          <w:p w14:paraId="7A495EFF" w14:textId="77777777" w:rsidR="00D65989" w:rsidRPr="00CC4B11" w:rsidRDefault="00D65989" w:rsidP="00D65989">
            <w:pPr>
              <w:keepNext/>
              <w:ind w:left="372" w:hanging="372"/>
              <w:rPr>
                <w:rFonts w:ascii="Arial" w:hAnsi="Arial" w:cs="Arial"/>
                <w:sz w:val="20"/>
                <w:szCs w:val="20"/>
              </w:rPr>
            </w:pPr>
            <w:r w:rsidRPr="00CC4B11">
              <w:rPr>
                <w:rFonts w:ascii="Arial" w:hAnsi="Arial" w:cs="Arial"/>
                <w:sz w:val="20"/>
                <w:szCs w:val="20"/>
              </w:rPr>
              <w:t>Total Wastewater Engineering Plan and Specification Reviews Completed</w:t>
            </w:r>
          </w:p>
        </w:tc>
        <w:tc>
          <w:tcPr>
            <w:tcW w:w="1349" w:type="dxa"/>
            <w:tcBorders>
              <w:left w:val="single" w:sz="4" w:space="0" w:color="auto"/>
              <w:right w:val="single" w:sz="4" w:space="0" w:color="auto"/>
            </w:tcBorders>
            <w:vAlign w:val="center"/>
          </w:tcPr>
          <w:p w14:paraId="6BCE57E4" w14:textId="643436B0" w:rsidR="00D65989" w:rsidRPr="00CC4B11" w:rsidRDefault="00D65989" w:rsidP="00D65989">
            <w:pPr>
              <w:keepNext/>
              <w:jc w:val="center"/>
              <w:rPr>
                <w:rFonts w:ascii="Arial" w:hAnsi="Arial" w:cs="Arial"/>
                <w:sz w:val="20"/>
                <w:szCs w:val="20"/>
              </w:rPr>
            </w:pPr>
            <w:r w:rsidRPr="00E4760E">
              <w:rPr>
                <w:rFonts w:ascii="Arial" w:hAnsi="Arial" w:cs="Arial"/>
                <w:sz w:val="20"/>
                <w:szCs w:val="20"/>
              </w:rPr>
              <w:t>256</w:t>
            </w:r>
          </w:p>
        </w:tc>
        <w:tc>
          <w:tcPr>
            <w:tcW w:w="1349" w:type="dxa"/>
            <w:tcBorders>
              <w:left w:val="single" w:sz="4" w:space="0" w:color="auto"/>
              <w:right w:val="single" w:sz="4" w:space="0" w:color="auto"/>
            </w:tcBorders>
            <w:vAlign w:val="center"/>
          </w:tcPr>
          <w:p w14:paraId="660EBE63" w14:textId="4222F513" w:rsidR="00D65989" w:rsidRPr="00CC4B11" w:rsidRDefault="00D65989" w:rsidP="00D65989">
            <w:pPr>
              <w:keepNext/>
              <w:jc w:val="center"/>
              <w:rPr>
                <w:rFonts w:ascii="Arial" w:hAnsi="Arial" w:cs="Arial"/>
                <w:sz w:val="20"/>
                <w:szCs w:val="20"/>
                <w:highlight w:val="yellow"/>
              </w:rPr>
            </w:pPr>
            <w:r w:rsidRPr="00800EFD">
              <w:rPr>
                <w:rFonts w:ascii="Arial" w:hAnsi="Arial" w:cs="Arial"/>
                <w:sz w:val="20"/>
                <w:szCs w:val="20"/>
              </w:rPr>
              <w:t>400</w:t>
            </w:r>
          </w:p>
        </w:tc>
        <w:tc>
          <w:tcPr>
            <w:tcW w:w="1349" w:type="dxa"/>
            <w:tcBorders>
              <w:left w:val="single" w:sz="4" w:space="0" w:color="auto"/>
              <w:right w:val="single" w:sz="4" w:space="0" w:color="auto"/>
            </w:tcBorders>
            <w:vAlign w:val="center"/>
          </w:tcPr>
          <w:p w14:paraId="5EAABFD8" w14:textId="5220AC66" w:rsidR="00D65989" w:rsidRPr="00CC4B11" w:rsidRDefault="00D65989" w:rsidP="00D65989">
            <w:pPr>
              <w:keepNext/>
              <w:jc w:val="center"/>
              <w:rPr>
                <w:rFonts w:ascii="Arial" w:hAnsi="Arial" w:cs="Arial"/>
                <w:sz w:val="20"/>
                <w:szCs w:val="20"/>
                <w:highlight w:val="yellow"/>
              </w:rPr>
            </w:pPr>
            <w:r w:rsidRPr="00C03DF4">
              <w:rPr>
                <w:rFonts w:ascii="Arial" w:hAnsi="Arial" w:cs="Arial"/>
                <w:sz w:val="20"/>
                <w:szCs w:val="20"/>
              </w:rPr>
              <w:t>402</w:t>
            </w:r>
          </w:p>
        </w:tc>
        <w:tc>
          <w:tcPr>
            <w:tcW w:w="1349" w:type="dxa"/>
            <w:tcBorders>
              <w:left w:val="single" w:sz="4" w:space="0" w:color="auto"/>
              <w:right w:val="single" w:sz="4" w:space="0" w:color="auto"/>
            </w:tcBorders>
            <w:vAlign w:val="center"/>
          </w:tcPr>
          <w:p w14:paraId="578EA02D" w14:textId="2EC176B0" w:rsidR="00D65989" w:rsidRPr="00CC4B11" w:rsidRDefault="00D65989" w:rsidP="00D65989">
            <w:pPr>
              <w:keepNext/>
              <w:jc w:val="center"/>
              <w:rPr>
                <w:rFonts w:ascii="Arial" w:hAnsi="Arial" w:cs="Arial"/>
                <w:sz w:val="20"/>
                <w:szCs w:val="20"/>
                <w:highlight w:val="yellow"/>
              </w:rPr>
            </w:pPr>
          </w:p>
        </w:tc>
      </w:tr>
      <w:tr w:rsidR="00D65989" w:rsidRPr="00CC4B11" w14:paraId="6B7DAC2F"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198"/>
        </w:trPr>
        <w:tc>
          <w:tcPr>
            <w:tcW w:w="4684" w:type="dxa"/>
            <w:tcBorders>
              <w:left w:val="single" w:sz="4" w:space="0" w:color="auto"/>
              <w:right w:val="single" w:sz="4" w:space="0" w:color="auto"/>
            </w:tcBorders>
            <w:vAlign w:val="center"/>
          </w:tcPr>
          <w:p w14:paraId="4847B3CB" w14:textId="77777777" w:rsidR="00D65989" w:rsidRPr="00CC4B11" w:rsidRDefault="00D65989" w:rsidP="00D65989">
            <w:pPr>
              <w:keepNext/>
              <w:ind w:left="372" w:hanging="372"/>
              <w:rPr>
                <w:rFonts w:ascii="Arial" w:hAnsi="Arial" w:cs="Arial"/>
                <w:sz w:val="20"/>
                <w:szCs w:val="20"/>
              </w:rPr>
            </w:pPr>
            <w:r w:rsidRPr="00CC4B11">
              <w:rPr>
                <w:rFonts w:ascii="Arial" w:hAnsi="Arial" w:cs="Arial"/>
                <w:sz w:val="20"/>
                <w:szCs w:val="20"/>
              </w:rPr>
              <w:t>Total Drinking Water Engineering Plan and Specification Reviews Completed</w:t>
            </w:r>
          </w:p>
        </w:tc>
        <w:tc>
          <w:tcPr>
            <w:tcW w:w="1349" w:type="dxa"/>
            <w:tcBorders>
              <w:left w:val="single" w:sz="4" w:space="0" w:color="auto"/>
              <w:right w:val="single" w:sz="4" w:space="0" w:color="auto"/>
            </w:tcBorders>
            <w:vAlign w:val="center"/>
          </w:tcPr>
          <w:p w14:paraId="01C95954" w14:textId="4A829E5E" w:rsidR="00D65989" w:rsidRPr="00CC4B11" w:rsidRDefault="00D65989" w:rsidP="00D65989">
            <w:pPr>
              <w:keepNext/>
              <w:jc w:val="center"/>
              <w:rPr>
                <w:rFonts w:ascii="Arial" w:hAnsi="Arial" w:cs="Arial"/>
                <w:sz w:val="20"/>
                <w:szCs w:val="20"/>
              </w:rPr>
            </w:pPr>
            <w:r>
              <w:rPr>
                <w:rFonts w:ascii="Arial" w:hAnsi="Arial" w:cs="Arial"/>
                <w:sz w:val="20"/>
                <w:szCs w:val="20"/>
              </w:rPr>
              <w:t>409</w:t>
            </w:r>
          </w:p>
        </w:tc>
        <w:tc>
          <w:tcPr>
            <w:tcW w:w="1349" w:type="dxa"/>
            <w:tcBorders>
              <w:left w:val="single" w:sz="4" w:space="0" w:color="auto"/>
              <w:right w:val="single" w:sz="4" w:space="0" w:color="auto"/>
            </w:tcBorders>
            <w:vAlign w:val="center"/>
          </w:tcPr>
          <w:p w14:paraId="2474922E" w14:textId="100269C6" w:rsidR="00D65989" w:rsidRPr="00CC4B11" w:rsidRDefault="00D65989" w:rsidP="00D65989">
            <w:pPr>
              <w:keepNext/>
              <w:jc w:val="center"/>
              <w:rPr>
                <w:rFonts w:ascii="Arial" w:hAnsi="Arial" w:cs="Arial"/>
                <w:sz w:val="20"/>
                <w:szCs w:val="20"/>
              </w:rPr>
            </w:pPr>
            <w:r>
              <w:rPr>
                <w:rFonts w:ascii="Arial" w:hAnsi="Arial" w:cs="Arial"/>
                <w:sz w:val="20"/>
                <w:szCs w:val="20"/>
              </w:rPr>
              <w:t>470</w:t>
            </w:r>
          </w:p>
        </w:tc>
        <w:tc>
          <w:tcPr>
            <w:tcW w:w="1349" w:type="dxa"/>
            <w:tcBorders>
              <w:left w:val="single" w:sz="4" w:space="0" w:color="auto"/>
              <w:right w:val="single" w:sz="4" w:space="0" w:color="auto"/>
            </w:tcBorders>
            <w:vAlign w:val="center"/>
          </w:tcPr>
          <w:p w14:paraId="2718BE10" w14:textId="47A07A71" w:rsidR="00D65989" w:rsidRPr="00CC4B11" w:rsidRDefault="00D65989" w:rsidP="00D65989">
            <w:pPr>
              <w:keepNext/>
              <w:jc w:val="center"/>
              <w:rPr>
                <w:rFonts w:ascii="Arial" w:hAnsi="Arial" w:cs="Arial"/>
                <w:sz w:val="20"/>
                <w:szCs w:val="20"/>
              </w:rPr>
            </w:pPr>
            <w:r>
              <w:rPr>
                <w:rFonts w:ascii="Arial" w:hAnsi="Arial" w:cs="Arial"/>
                <w:sz w:val="20"/>
                <w:szCs w:val="20"/>
              </w:rPr>
              <w:t>492</w:t>
            </w:r>
          </w:p>
        </w:tc>
        <w:tc>
          <w:tcPr>
            <w:tcW w:w="1349" w:type="dxa"/>
            <w:tcBorders>
              <w:left w:val="single" w:sz="4" w:space="0" w:color="auto"/>
              <w:right w:val="single" w:sz="4" w:space="0" w:color="auto"/>
            </w:tcBorders>
            <w:vAlign w:val="center"/>
          </w:tcPr>
          <w:p w14:paraId="7B404400" w14:textId="46DB8744" w:rsidR="00D65989" w:rsidRPr="00CC4B11" w:rsidRDefault="00D65989" w:rsidP="00D65989">
            <w:pPr>
              <w:keepNext/>
              <w:jc w:val="center"/>
              <w:rPr>
                <w:rFonts w:ascii="Arial" w:hAnsi="Arial" w:cs="Arial"/>
                <w:sz w:val="20"/>
                <w:szCs w:val="20"/>
              </w:rPr>
            </w:pPr>
          </w:p>
        </w:tc>
      </w:tr>
      <w:tr w:rsidR="00D65989" w:rsidRPr="00CC4B11" w14:paraId="717C682A"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4F436E66"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Drinking Water Sanitary Surveys Completed</w:t>
            </w:r>
          </w:p>
        </w:tc>
        <w:tc>
          <w:tcPr>
            <w:tcW w:w="1349" w:type="dxa"/>
            <w:tcBorders>
              <w:left w:val="single" w:sz="4" w:space="0" w:color="auto"/>
              <w:right w:val="single" w:sz="4" w:space="0" w:color="auto"/>
            </w:tcBorders>
            <w:vAlign w:val="center"/>
          </w:tcPr>
          <w:p w14:paraId="68EF2B79" w14:textId="72860CA7" w:rsidR="00D65989" w:rsidRPr="00CC4B11" w:rsidRDefault="00D65989" w:rsidP="00D65989">
            <w:pPr>
              <w:keepNext/>
              <w:jc w:val="center"/>
              <w:rPr>
                <w:rFonts w:ascii="Arial" w:hAnsi="Arial" w:cs="Arial"/>
                <w:sz w:val="20"/>
                <w:szCs w:val="20"/>
              </w:rPr>
            </w:pPr>
            <w:r>
              <w:rPr>
                <w:rFonts w:ascii="Arial" w:hAnsi="Arial" w:cs="Arial"/>
                <w:sz w:val="20"/>
                <w:szCs w:val="20"/>
              </w:rPr>
              <w:t>441</w:t>
            </w:r>
          </w:p>
        </w:tc>
        <w:tc>
          <w:tcPr>
            <w:tcW w:w="1349" w:type="dxa"/>
            <w:tcBorders>
              <w:left w:val="single" w:sz="4" w:space="0" w:color="auto"/>
              <w:right w:val="single" w:sz="4" w:space="0" w:color="auto"/>
            </w:tcBorders>
            <w:vAlign w:val="center"/>
          </w:tcPr>
          <w:p w14:paraId="3A63BACB" w14:textId="1BA04713" w:rsidR="00D65989" w:rsidRPr="00CC4B11" w:rsidRDefault="00D65989" w:rsidP="00D65989">
            <w:pPr>
              <w:keepNext/>
              <w:jc w:val="center"/>
              <w:rPr>
                <w:rFonts w:ascii="Arial" w:hAnsi="Arial" w:cs="Arial"/>
                <w:sz w:val="20"/>
                <w:szCs w:val="20"/>
              </w:rPr>
            </w:pPr>
            <w:r>
              <w:rPr>
                <w:rFonts w:ascii="Arial" w:hAnsi="Arial" w:cs="Arial"/>
                <w:sz w:val="20"/>
                <w:szCs w:val="20"/>
              </w:rPr>
              <w:t>342</w:t>
            </w:r>
            <w:r w:rsidRPr="00041007">
              <w:rPr>
                <w:rFonts w:ascii="Arial" w:hAnsi="Arial" w:cs="Arial"/>
                <w:sz w:val="20"/>
                <w:szCs w:val="20"/>
                <w:vertAlign w:val="superscript"/>
              </w:rPr>
              <w:t>c</w:t>
            </w:r>
          </w:p>
        </w:tc>
        <w:tc>
          <w:tcPr>
            <w:tcW w:w="1349" w:type="dxa"/>
            <w:tcBorders>
              <w:left w:val="single" w:sz="4" w:space="0" w:color="auto"/>
              <w:right w:val="single" w:sz="4" w:space="0" w:color="auto"/>
            </w:tcBorders>
            <w:vAlign w:val="center"/>
          </w:tcPr>
          <w:p w14:paraId="1F01BE90" w14:textId="6ED366A9" w:rsidR="00D65989" w:rsidRPr="00CC4B11" w:rsidRDefault="00D65989" w:rsidP="00D65989">
            <w:pPr>
              <w:keepNext/>
              <w:jc w:val="center"/>
              <w:rPr>
                <w:rFonts w:ascii="Arial" w:hAnsi="Arial" w:cs="Arial"/>
                <w:sz w:val="20"/>
                <w:szCs w:val="20"/>
              </w:rPr>
            </w:pPr>
            <w:r>
              <w:rPr>
                <w:rFonts w:ascii="Arial" w:hAnsi="Arial" w:cs="Arial"/>
                <w:sz w:val="20"/>
                <w:szCs w:val="20"/>
              </w:rPr>
              <w:t>390</w:t>
            </w:r>
          </w:p>
        </w:tc>
        <w:tc>
          <w:tcPr>
            <w:tcW w:w="1349" w:type="dxa"/>
            <w:tcBorders>
              <w:left w:val="single" w:sz="4" w:space="0" w:color="auto"/>
              <w:right w:val="single" w:sz="4" w:space="0" w:color="auto"/>
            </w:tcBorders>
            <w:vAlign w:val="center"/>
          </w:tcPr>
          <w:p w14:paraId="20F8525C" w14:textId="04B045D2" w:rsidR="00D65989" w:rsidRPr="00CC4B11" w:rsidRDefault="00D65989" w:rsidP="00D65989">
            <w:pPr>
              <w:keepNext/>
              <w:jc w:val="center"/>
              <w:rPr>
                <w:rFonts w:ascii="Arial" w:hAnsi="Arial" w:cs="Arial"/>
                <w:sz w:val="20"/>
                <w:szCs w:val="20"/>
              </w:rPr>
            </w:pPr>
          </w:p>
        </w:tc>
      </w:tr>
      <w:tr w:rsidR="00D65989" w:rsidRPr="00CC4B11" w14:paraId="5D4DC806"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4CB4FDCE" w14:textId="77777777" w:rsidR="00D65989" w:rsidRPr="00CC4B11" w:rsidRDefault="00D65989" w:rsidP="00D65989">
            <w:pPr>
              <w:keepNext/>
              <w:rPr>
                <w:rFonts w:ascii="Arial" w:hAnsi="Arial" w:cs="Arial"/>
                <w:sz w:val="20"/>
                <w:szCs w:val="20"/>
              </w:rPr>
            </w:pPr>
            <w:r>
              <w:rPr>
                <w:rFonts w:ascii="Arial" w:hAnsi="Arial" w:cs="Arial"/>
                <w:sz w:val="20"/>
                <w:szCs w:val="20"/>
              </w:rPr>
              <w:t>Source Water Assessments Completed</w:t>
            </w:r>
          </w:p>
        </w:tc>
        <w:tc>
          <w:tcPr>
            <w:tcW w:w="1349" w:type="dxa"/>
            <w:tcBorders>
              <w:left w:val="single" w:sz="4" w:space="0" w:color="auto"/>
              <w:right w:val="single" w:sz="4" w:space="0" w:color="auto"/>
            </w:tcBorders>
            <w:vAlign w:val="center"/>
          </w:tcPr>
          <w:p w14:paraId="5679AD10" w14:textId="3F165B87" w:rsidR="00D65989" w:rsidRPr="00CC4B11" w:rsidRDefault="00D65989" w:rsidP="00D65989">
            <w:pPr>
              <w:keepNext/>
              <w:jc w:val="center"/>
              <w:rPr>
                <w:rFonts w:ascii="Arial" w:hAnsi="Arial" w:cs="Arial"/>
                <w:sz w:val="20"/>
                <w:szCs w:val="20"/>
              </w:rPr>
            </w:pPr>
            <w:r>
              <w:rPr>
                <w:rFonts w:ascii="Arial" w:hAnsi="Arial" w:cs="Arial"/>
                <w:sz w:val="20"/>
                <w:szCs w:val="20"/>
              </w:rPr>
              <w:t>102</w:t>
            </w:r>
          </w:p>
        </w:tc>
        <w:tc>
          <w:tcPr>
            <w:tcW w:w="1349" w:type="dxa"/>
            <w:tcBorders>
              <w:left w:val="single" w:sz="4" w:space="0" w:color="auto"/>
              <w:right w:val="single" w:sz="4" w:space="0" w:color="auto"/>
            </w:tcBorders>
            <w:vAlign w:val="center"/>
          </w:tcPr>
          <w:p w14:paraId="14F127DD" w14:textId="57C226E1" w:rsidR="00D65989" w:rsidRPr="00CC4B11" w:rsidRDefault="00D65989" w:rsidP="00D65989">
            <w:pPr>
              <w:keepNext/>
              <w:jc w:val="center"/>
              <w:rPr>
                <w:rFonts w:ascii="Arial" w:hAnsi="Arial" w:cs="Arial"/>
                <w:sz w:val="20"/>
                <w:szCs w:val="20"/>
              </w:rPr>
            </w:pPr>
            <w:r>
              <w:rPr>
                <w:rFonts w:ascii="Arial" w:hAnsi="Arial" w:cs="Arial"/>
                <w:sz w:val="20"/>
                <w:szCs w:val="20"/>
              </w:rPr>
              <w:t>110</w:t>
            </w:r>
          </w:p>
        </w:tc>
        <w:tc>
          <w:tcPr>
            <w:tcW w:w="1349" w:type="dxa"/>
            <w:tcBorders>
              <w:left w:val="single" w:sz="4" w:space="0" w:color="auto"/>
              <w:right w:val="single" w:sz="4" w:space="0" w:color="auto"/>
            </w:tcBorders>
            <w:vAlign w:val="center"/>
          </w:tcPr>
          <w:p w14:paraId="02931617" w14:textId="4E5A619A" w:rsidR="00D65989" w:rsidRPr="00CC4B11" w:rsidRDefault="00D65989" w:rsidP="00D65989">
            <w:pPr>
              <w:keepNext/>
              <w:jc w:val="center"/>
              <w:rPr>
                <w:rFonts w:ascii="Arial" w:hAnsi="Arial" w:cs="Arial"/>
                <w:sz w:val="20"/>
                <w:szCs w:val="20"/>
              </w:rPr>
            </w:pPr>
            <w:r>
              <w:rPr>
                <w:rFonts w:ascii="Arial" w:hAnsi="Arial" w:cs="Arial"/>
                <w:sz w:val="20"/>
                <w:szCs w:val="20"/>
              </w:rPr>
              <w:t>83</w:t>
            </w:r>
          </w:p>
        </w:tc>
        <w:tc>
          <w:tcPr>
            <w:tcW w:w="1349" w:type="dxa"/>
            <w:tcBorders>
              <w:left w:val="single" w:sz="4" w:space="0" w:color="auto"/>
              <w:right w:val="single" w:sz="4" w:space="0" w:color="auto"/>
            </w:tcBorders>
            <w:vAlign w:val="center"/>
          </w:tcPr>
          <w:p w14:paraId="5FC32ACC" w14:textId="16C8084C" w:rsidR="00D65989" w:rsidRPr="00CC4B11" w:rsidRDefault="00D65989" w:rsidP="00D65989">
            <w:pPr>
              <w:keepNext/>
              <w:jc w:val="center"/>
              <w:rPr>
                <w:rFonts w:ascii="Arial" w:hAnsi="Arial" w:cs="Arial"/>
                <w:sz w:val="20"/>
                <w:szCs w:val="20"/>
              </w:rPr>
            </w:pPr>
          </w:p>
        </w:tc>
      </w:tr>
      <w:tr w:rsidR="00D65989" w:rsidRPr="00CC4B11" w14:paraId="01AEF000"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0BFF7EF3"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Active Nonpoi</w:t>
            </w:r>
            <w:r>
              <w:rPr>
                <w:rFonts w:ascii="Arial" w:hAnsi="Arial" w:cs="Arial"/>
                <w:sz w:val="20"/>
                <w:szCs w:val="20"/>
              </w:rPr>
              <w:t>nt Source Projects Administered</w:t>
            </w:r>
          </w:p>
          <w:p w14:paraId="63B5F1EA" w14:textId="77777777" w:rsidR="00D65989" w:rsidRPr="00CC4B11" w:rsidRDefault="00D65989" w:rsidP="00D65989">
            <w:pPr>
              <w:keepNext/>
              <w:ind w:left="372"/>
              <w:rPr>
                <w:rFonts w:ascii="Arial" w:hAnsi="Arial" w:cs="Arial"/>
                <w:sz w:val="20"/>
                <w:szCs w:val="20"/>
              </w:rPr>
            </w:pPr>
            <w:r w:rsidRPr="00CC4B11">
              <w:rPr>
                <w:rFonts w:ascii="Arial" w:hAnsi="Arial" w:cs="Arial"/>
                <w:sz w:val="20"/>
                <w:szCs w:val="20"/>
              </w:rPr>
              <w:t>(Previous Calendar Year)</w:t>
            </w:r>
          </w:p>
        </w:tc>
        <w:tc>
          <w:tcPr>
            <w:tcW w:w="1349" w:type="dxa"/>
            <w:tcBorders>
              <w:left w:val="single" w:sz="4" w:space="0" w:color="auto"/>
              <w:right w:val="single" w:sz="4" w:space="0" w:color="auto"/>
            </w:tcBorders>
            <w:vAlign w:val="center"/>
          </w:tcPr>
          <w:p w14:paraId="560E7C57" w14:textId="7C5F1EF1" w:rsidR="00D65989" w:rsidRPr="00CC4B11" w:rsidRDefault="00D65989" w:rsidP="00D65989">
            <w:pPr>
              <w:keepNext/>
              <w:jc w:val="center"/>
              <w:rPr>
                <w:rFonts w:ascii="Arial" w:hAnsi="Arial" w:cs="Arial"/>
                <w:sz w:val="20"/>
                <w:szCs w:val="20"/>
              </w:rPr>
            </w:pPr>
            <w:r>
              <w:rPr>
                <w:rFonts w:ascii="Arial" w:hAnsi="Arial" w:cs="Arial"/>
                <w:sz w:val="20"/>
                <w:szCs w:val="20"/>
              </w:rPr>
              <w:t>45</w:t>
            </w:r>
          </w:p>
        </w:tc>
        <w:tc>
          <w:tcPr>
            <w:tcW w:w="1349" w:type="dxa"/>
            <w:tcBorders>
              <w:left w:val="single" w:sz="4" w:space="0" w:color="auto"/>
              <w:right w:val="single" w:sz="4" w:space="0" w:color="auto"/>
            </w:tcBorders>
            <w:vAlign w:val="center"/>
          </w:tcPr>
          <w:p w14:paraId="04C509C0" w14:textId="6833071F" w:rsidR="00D65989" w:rsidRPr="00CC4B11" w:rsidRDefault="00D65989" w:rsidP="00D65989">
            <w:pPr>
              <w:keepNext/>
              <w:jc w:val="center"/>
              <w:rPr>
                <w:rFonts w:ascii="Arial" w:hAnsi="Arial" w:cs="Arial"/>
                <w:sz w:val="20"/>
                <w:szCs w:val="20"/>
              </w:rPr>
            </w:pPr>
            <w:r>
              <w:rPr>
                <w:rFonts w:ascii="Arial" w:hAnsi="Arial" w:cs="Arial"/>
                <w:sz w:val="20"/>
                <w:szCs w:val="20"/>
              </w:rPr>
              <w:t>42</w:t>
            </w:r>
          </w:p>
        </w:tc>
        <w:tc>
          <w:tcPr>
            <w:tcW w:w="1349" w:type="dxa"/>
            <w:tcBorders>
              <w:left w:val="single" w:sz="4" w:space="0" w:color="auto"/>
              <w:right w:val="single" w:sz="4" w:space="0" w:color="auto"/>
            </w:tcBorders>
            <w:vAlign w:val="center"/>
          </w:tcPr>
          <w:p w14:paraId="1613ACB2" w14:textId="08A52EF8" w:rsidR="00D65989" w:rsidRPr="00CC4B11" w:rsidRDefault="00D65989" w:rsidP="00D65989">
            <w:pPr>
              <w:keepNext/>
              <w:jc w:val="center"/>
              <w:rPr>
                <w:rFonts w:ascii="Arial" w:hAnsi="Arial" w:cs="Arial"/>
                <w:sz w:val="20"/>
                <w:szCs w:val="20"/>
              </w:rPr>
            </w:pPr>
            <w:r>
              <w:rPr>
                <w:rFonts w:ascii="Arial" w:hAnsi="Arial" w:cs="Arial"/>
                <w:sz w:val="20"/>
                <w:szCs w:val="20"/>
              </w:rPr>
              <w:t>47</w:t>
            </w:r>
          </w:p>
        </w:tc>
        <w:tc>
          <w:tcPr>
            <w:tcW w:w="1349" w:type="dxa"/>
            <w:tcBorders>
              <w:left w:val="single" w:sz="4" w:space="0" w:color="auto"/>
              <w:right w:val="single" w:sz="4" w:space="0" w:color="auto"/>
            </w:tcBorders>
            <w:vAlign w:val="center"/>
          </w:tcPr>
          <w:p w14:paraId="0BD4E702" w14:textId="6C2EC531" w:rsidR="00D65989" w:rsidRPr="00CC4B11" w:rsidRDefault="00D65989" w:rsidP="00D65989">
            <w:pPr>
              <w:keepNext/>
              <w:jc w:val="center"/>
              <w:rPr>
                <w:rFonts w:ascii="Arial" w:hAnsi="Arial" w:cs="Arial"/>
                <w:sz w:val="20"/>
                <w:szCs w:val="20"/>
              </w:rPr>
            </w:pPr>
          </w:p>
        </w:tc>
      </w:tr>
      <w:tr w:rsidR="00D65989" w:rsidRPr="00CC4B11" w14:paraId="1CAEE5E8"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bottom w:val="nil"/>
              <w:right w:val="single" w:sz="4" w:space="0" w:color="auto"/>
            </w:tcBorders>
            <w:vAlign w:val="center"/>
          </w:tcPr>
          <w:p w14:paraId="2F39F349" w14:textId="77777777" w:rsidR="00D65989" w:rsidRPr="00CC4B11" w:rsidRDefault="00D65989" w:rsidP="00D65989">
            <w:pPr>
              <w:keepNext/>
              <w:rPr>
                <w:rFonts w:ascii="Arial" w:hAnsi="Arial" w:cs="Arial"/>
                <w:sz w:val="20"/>
                <w:szCs w:val="20"/>
              </w:rPr>
            </w:pPr>
            <w:r w:rsidRPr="00CC4B11">
              <w:rPr>
                <w:rFonts w:ascii="Arial" w:hAnsi="Arial" w:cs="Arial"/>
                <w:sz w:val="20"/>
                <w:szCs w:val="20"/>
              </w:rPr>
              <w:t>Non</w:t>
            </w:r>
            <w:r>
              <w:rPr>
                <w:rFonts w:ascii="Arial" w:hAnsi="Arial" w:cs="Arial"/>
                <w:sz w:val="20"/>
                <w:szCs w:val="20"/>
              </w:rPr>
              <w:t>point Source Projects Completed</w:t>
            </w:r>
          </w:p>
          <w:p w14:paraId="5D3715B5" w14:textId="77777777" w:rsidR="00D65989" w:rsidRPr="00CC4B11" w:rsidRDefault="00D65989" w:rsidP="00D65989">
            <w:pPr>
              <w:keepNext/>
              <w:ind w:left="372"/>
              <w:rPr>
                <w:rFonts w:ascii="Arial" w:hAnsi="Arial" w:cs="Arial"/>
                <w:sz w:val="20"/>
                <w:szCs w:val="20"/>
              </w:rPr>
            </w:pPr>
            <w:r w:rsidRPr="00CC4B11">
              <w:rPr>
                <w:rFonts w:ascii="Arial" w:hAnsi="Arial" w:cs="Arial"/>
                <w:sz w:val="20"/>
                <w:szCs w:val="20"/>
              </w:rPr>
              <w:t>(Previous Calendar Year)</w:t>
            </w:r>
          </w:p>
        </w:tc>
        <w:tc>
          <w:tcPr>
            <w:tcW w:w="1349" w:type="dxa"/>
            <w:tcBorders>
              <w:left w:val="single" w:sz="4" w:space="0" w:color="auto"/>
              <w:bottom w:val="nil"/>
              <w:right w:val="single" w:sz="4" w:space="0" w:color="auto"/>
            </w:tcBorders>
            <w:vAlign w:val="center"/>
          </w:tcPr>
          <w:p w14:paraId="25489799" w14:textId="4407997D" w:rsidR="00D65989" w:rsidRPr="00CC4B11" w:rsidRDefault="00D65989" w:rsidP="00D65989">
            <w:pPr>
              <w:keepNext/>
              <w:jc w:val="center"/>
              <w:rPr>
                <w:rFonts w:ascii="Arial" w:hAnsi="Arial" w:cs="Arial"/>
                <w:sz w:val="20"/>
                <w:szCs w:val="20"/>
              </w:rPr>
            </w:pPr>
            <w:r>
              <w:rPr>
                <w:rFonts w:ascii="Arial" w:hAnsi="Arial" w:cs="Arial"/>
                <w:sz w:val="20"/>
                <w:szCs w:val="20"/>
              </w:rPr>
              <w:t>9</w:t>
            </w:r>
          </w:p>
        </w:tc>
        <w:tc>
          <w:tcPr>
            <w:tcW w:w="1349" w:type="dxa"/>
            <w:tcBorders>
              <w:left w:val="single" w:sz="4" w:space="0" w:color="auto"/>
              <w:bottom w:val="nil"/>
              <w:right w:val="single" w:sz="4" w:space="0" w:color="auto"/>
            </w:tcBorders>
            <w:vAlign w:val="center"/>
          </w:tcPr>
          <w:p w14:paraId="6CEC9010" w14:textId="72982F7E" w:rsidR="00D65989" w:rsidRPr="00CC4B11" w:rsidRDefault="00D65989" w:rsidP="00D65989">
            <w:pPr>
              <w:keepNext/>
              <w:jc w:val="center"/>
              <w:rPr>
                <w:rFonts w:ascii="Arial" w:hAnsi="Arial" w:cs="Arial"/>
                <w:sz w:val="20"/>
                <w:szCs w:val="20"/>
              </w:rPr>
            </w:pPr>
            <w:r>
              <w:rPr>
                <w:rFonts w:ascii="Arial" w:hAnsi="Arial" w:cs="Arial"/>
                <w:sz w:val="20"/>
                <w:szCs w:val="20"/>
              </w:rPr>
              <w:t>3</w:t>
            </w:r>
          </w:p>
        </w:tc>
        <w:tc>
          <w:tcPr>
            <w:tcW w:w="1349" w:type="dxa"/>
            <w:tcBorders>
              <w:left w:val="single" w:sz="4" w:space="0" w:color="auto"/>
              <w:bottom w:val="nil"/>
              <w:right w:val="single" w:sz="4" w:space="0" w:color="auto"/>
            </w:tcBorders>
            <w:vAlign w:val="center"/>
          </w:tcPr>
          <w:p w14:paraId="4A5F9A97" w14:textId="5362E1DE" w:rsidR="00D65989" w:rsidRPr="00CC4B11" w:rsidRDefault="00D65989" w:rsidP="00D65989">
            <w:pPr>
              <w:keepNext/>
              <w:jc w:val="center"/>
              <w:rPr>
                <w:rFonts w:ascii="Arial" w:hAnsi="Arial" w:cs="Arial"/>
                <w:sz w:val="20"/>
                <w:szCs w:val="20"/>
              </w:rPr>
            </w:pPr>
            <w:r>
              <w:rPr>
                <w:rFonts w:ascii="Arial" w:hAnsi="Arial" w:cs="Arial"/>
                <w:sz w:val="20"/>
                <w:szCs w:val="20"/>
              </w:rPr>
              <w:t>19</w:t>
            </w:r>
          </w:p>
        </w:tc>
        <w:tc>
          <w:tcPr>
            <w:tcW w:w="1349" w:type="dxa"/>
            <w:tcBorders>
              <w:left w:val="single" w:sz="4" w:space="0" w:color="auto"/>
              <w:bottom w:val="nil"/>
              <w:right w:val="single" w:sz="4" w:space="0" w:color="auto"/>
            </w:tcBorders>
            <w:vAlign w:val="center"/>
          </w:tcPr>
          <w:p w14:paraId="50BA7888" w14:textId="5BD578B4" w:rsidR="00D65989" w:rsidRPr="00CC4B11" w:rsidRDefault="00D65989" w:rsidP="00D65989">
            <w:pPr>
              <w:keepNext/>
              <w:jc w:val="center"/>
              <w:rPr>
                <w:rFonts w:ascii="Arial" w:hAnsi="Arial" w:cs="Arial"/>
                <w:sz w:val="20"/>
                <w:szCs w:val="20"/>
              </w:rPr>
            </w:pPr>
          </w:p>
        </w:tc>
      </w:tr>
      <w:tr w:rsidR="00D65989" w:rsidRPr="00CC4B11" w14:paraId="360B6044"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top w:val="nil"/>
              <w:left w:val="single" w:sz="4" w:space="0" w:color="auto"/>
              <w:bottom w:val="single" w:sz="4" w:space="0" w:color="auto"/>
              <w:right w:val="single" w:sz="4" w:space="0" w:color="auto"/>
            </w:tcBorders>
            <w:vAlign w:val="center"/>
          </w:tcPr>
          <w:p w14:paraId="7CB6A95A" w14:textId="77777777" w:rsidR="00D65989" w:rsidRPr="00CC4B11" w:rsidRDefault="00D65989" w:rsidP="00D65989">
            <w:pPr>
              <w:keepNext/>
              <w:ind w:left="342" w:hanging="342"/>
              <w:rPr>
                <w:rFonts w:ascii="Arial" w:hAnsi="Arial" w:cs="Arial"/>
                <w:sz w:val="20"/>
                <w:szCs w:val="20"/>
              </w:rPr>
            </w:pPr>
            <w:r w:rsidRPr="00CC4B11">
              <w:rPr>
                <w:rFonts w:ascii="Arial" w:hAnsi="Arial" w:cs="Arial"/>
                <w:sz w:val="20"/>
                <w:szCs w:val="20"/>
              </w:rPr>
              <w:t>Beneficial Use Reconnaissance Program (BURP) Sites Surveyed</w:t>
            </w:r>
          </w:p>
        </w:tc>
        <w:tc>
          <w:tcPr>
            <w:tcW w:w="1349" w:type="dxa"/>
            <w:tcBorders>
              <w:top w:val="nil"/>
              <w:left w:val="single" w:sz="4" w:space="0" w:color="auto"/>
              <w:bottom w:val="single" w:sz="4" w:space="0" w:color="auto"/>
              <w:right w:val="single" w:sz="4" w:space="0" w:color="auto"/>
            </w:tcBorders>
            <w:vAlign w:val="center"/>
          </w:tcPr>
          <w:p w14:paraId="068BEB1E" w14:textId="137FED79" w:rsidR="00D65989" w:rsidRPr="00CC4B11" w:rsidRDefault="00D65989" w:rsidP="00D65989">
            <w:pPr>
              <w:keepNext/>
              <w:jc w:val="center"/>
              <w:rPr>
                <w:rFonts w:ascii="Arial" w:hAnsi="Arial" w:cs="Arial"/>
                <w:sz w:val="20"/>
                <w:szCs w:val="20"/>
              </w:rPr>
            </w:pPr>
            <w:r>
              <w:rPr>
                <w:rFonts w:ascii="Arial" w:hAnsi="Arial" w:cs="Arial"/>
                <w:sz w:val="20"/>
                <w:szCs w:val="20"/>
              </w:rPr>
              <w:t>242</w:t>
            </w:r>
          </w:p>
        </w:tc>
        <w:tc>
          <w:tcPr>
            <w:tcW w:w="1349" w:type="dxa"/>
            <w:tcBorders>
              <w:top w:val="nil"/>
              <w:left w:val="single" w:sz="4" w:space="0" w:color="auto"/>
              <w:bottom w:val="single" w:sz="4" w:space="0" w:color="auto"/>
              <w:right w:val="single" w:sz="4" w:space="0" w:color="auto"/>
            </w:tcBorders>
            <w:vAlign w:val="center"/>
          </w:tcPr>
          <w:p w14:paraId="40C79678" w14:textId="2DC5FD0C" w:rsidR="00D65989" w:rsidRPr="00CC4B11" w:rsidRDefault="00D65989" w:rsidP="00D65989">
            <w:pPr>
              <w:keepNext/>
              <w:jc w:val="center"/>
              <w:rPr>
                <w:rFonts w:ascii="Arial" w:hAnsi="Arial" w:cs="Arial"/>
                <w:sz w:val="20"/>
                <w:szCs w:val="20"/>
              </w:rPr>
            </w:pPr>
            <w:r>
              <w:rPr>
                <w:rFonts w:ascii="Arial" w:hAnsi="Arial" w:cs="Arial"/>
                <w:sz w:val="20"/>
                <w:szCs w:val="20"/>
              </w:rPr>
              <w:t>235</w:t>
            </w:r>
          </w:p>
        </w:tc>
        <w:tc>
          <w:tcPr>
            <w:tcW w:w="1349" w:type="dxa"/>
            <w:tcBorders>
              <w:top w:val="nil"/>
              <w:left w:val="single" w:sz="4" w:space="0" w:color="auto"/>
              <w:bottom w:val="single" w:sz="4" w:space="0" w:color="auto"/>
              <w:right w:val="single" w:sz="4" w:space="0" w:color="auto"/>
            </w:tcBorders>
            <w:vAlign w:val="center"/>
          </w:tcPr>
          <w:p w14:paraId="43E458C1" w14:textId="1F8970C8" w:rsidR="00D65989" w:rsidRPr="00CC4B11" w:rsidRDefault="00D65989" w:rsidP="00D65989">
            <w:pPr>
              <w:keepNext/>
              <w:jc w:val="center"/>
              <w:rPr>
                <w:rFonts w:ascii="Arial" w:hAnsi="Arial" w:cs="Arial"/>
                <w:sz w:val="20"/>
                <w:szCs w:val="20"/>
              </w:rPr>
            </w:pPr>
            <w:r>
              <w:rPr>
                <w:rFonts w:ascii="Arial" w:hAnsi="Arial" w:cs="Arial"/>
                <w:sz w:val="20"/>
                <w:szCs w:val="20"/>
              </w:rPr>
              <w:t>0</w:t>
            </w:r>
            <w:r w:rsidRPr="006969A9">
              <w:rPr>
                <w:rFonts w:ascii="Arial" w:hAnsi="Arial" w:cs="Arial"/>
                <w:sz w:val="20"/>
                <w:szCs w:val="20"/>
                <w:vertAlign w:val="superscript"/>
              </w:rPr>
              <w:t>d</w:t>
            </w:r>
          </w:p>
        </w:tc>
        <w:tc>
          <w:tcPr>
            <w:tcW w:w="1349" w:type="dxa"/>
            <w:tcBorders>
              <w:top w:val="nil"/>
              <w:left w:val="single" w:sz="4" w:space="0" w:color="auto"/>
              <w:bottom w:val="single" w:sz="4" w:space="0" w:color="auto"/>
              <w:right w:val="single" w:sz="4" w:space="0" w:color="auto"/>
            </w:tcBorders>
            <w:vAlign w:val="center"/>
          </w:tcPr>
          <w:p w14:paraId="2A2DB1D1" w14:textId="39F1621C" w:rsidR="00D65989" w:rsidRPr="00CC4B11" w:rsidRDefault="00D65989" w:rsidP="00D65989">
            <w:pPr>
              <w:keepNext/>
              <w:jc w:val="center"/>
              <w:rPr>
                <w:rFonts w:ascii="Arial" w:hAnsi="Arial" w:cs="Arial"/>
                <w:sz w:val="20"/>
                <w:szCs w:val="20"/>
              </w:rPr>
            </w:pPr>
          </w:p>
        </w:tc>
      </w:tr>
      <w:tr w:rsidR="00D65989" w:rsidRPr="00CC4B11" w14:paraId="4F49D084"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188"/>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78D329" w14:textId="77777777" w:rsidR="00D65989" w:rsidRPr="00CC4B11" w:rsidRDefault="00D65989" w:rsidP="00D65989">
            <w:pPr>
              <w:keepNext/>
              <w:rPr>
                <w:rFonts w:ascii="Arial" w:hAnsi="Arial" w:cs="Arial"/>
                <w:sz w:val="20"/>
                <w:szCs w:val="20"/>
              </w:rPr>
            </w:pPr>
            <w:r w:rsidRPr="00CC4B11">
              <w:rPr>
                <w:rFonts w:ascii="Arial" w:hAnsi="Arial" w:cs="Arial"/>
                <w:b/>
                <w:sz w:val="20"/>
                <w:szCs w:val="20"/>
              </w:rPr>
              <w:t>Waste Management and Remediation Division</w:t>
            </w:r>
          </w:p>
        </w:tc>
      </w:tr>
      <w:tr w:rsidR="00D65989" w:rsidRPr="00CC4B11" w14:paraId="436E159E"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top w:val="single" w:sz="4" w:space="0" w:color="auto"/>
              <w:left w:val="single" w:sz="4" w:space="0" w:color="auto"/>
              <w:right w:val="single" w:sz="4" w:space="0" w:color="auto"/>
            </w:tcBorders>
            <w:vAlign w:val="center"/>
          </w:tcPr>
          <w:p w14:paraId="5DD14546" w14:textId="77777777" w:rsidR="00D65989" w:rsidRPr="00CC4B11" w:rsidRDefault="00D65989" w:rsidP="00D65989">
            <w:pPr>
              <w:keepNext/>
              <w:ind w:left="342" w:hanging="342"/>
              <w:rPr>
                <w:rFonts w:ascii="Arial" w:hAnsi="Arial" w:cs="Arial"/>
                <w:sz w:val="20"/>
                <w:szCs w:val="20"/>
              </w:rPr>
            </w:pPr>
            <w:r w:rsidRPr="00CC4B11">
              <w:rPr>
                <w:rFonts w:ascii="Arial" w:hAnsi="Arial" w:cs="Arial"/>
                <w:sz w:val="20"/>
                <w:szCs w:val="20"/>
              </w:rPr>
              <w:t>Leaking Underground Storage Tank Cleanups</w:t>
            </w:r>
            <w:r>
              <w:rPr>
                <w:rFonts w:ascii="Arial" w:hAnsi="Arial" w:cs="Arial"/>
                <w:sz w:val="20"/>
                <w:szCs w:val="20"/>
              </w:rPr>
              <w:t xml:space="preserve"> </w:t>
            </w:r>
            <w:r w:rsidRPr="00CC4B11">
              <w:rPr>
                <w:rFonts w:ascii="Arial" w:hAnsi="Arial" w:cs="Arial"/>
                <w:sz w:val="20"/>
                <w:szCs w:val="20"/>
              </w:rPr>
              <w:t>Completed</w:t>
            </w:r>
          </w:p>
        </w:tc>
        <w:tc>
          <w:tcPr>
            <w:tcW w:w="1349" w:type="dxa"/>
            <w:tcBorders>
              <w:top w:val="single" w:sz="4" w:space="0" w:color="auto"/>
              <w:left w:val="single" w:sz="4" w:space="0" w:color="auto"/>
              <w:right w:val="single" w:sz="4" w:space="0" w:color="auto"/>
            </w:tcBorders>
            <w:vAlign w:val="center"/>
          </w:tcPr>
          <w:p w14:paraId="405B68CB" w14:textId="165C31EF" w:rsidR="00D65989" w:rsidRPr="00CC4B11" w:rsidRDefault="00D65989" w:rsidP="00D65989">
            <w:pPr>
              <w:keepNext/>
              <w:jc w:val="center"/>
              <w:rPr>
                <w:rFonts w:ascii="Arial" w:hAnsi="Arial" w:cs="Arial"/>
                <w:sz w:val="20"/>
                <w:szCs w:val="20"/>
              </w:rPr>
            </w:pPr>
            <w:r>
              <w:rPr>
                <w:rFonts w:ascii="Arial" w:hAnsi="Arial" w:cs="Arial"/>
                <w:sz w:val="20"/>
                <w:szCs w:val="20"/>
              </w:rPr>
              <w:t>16</w:t>
            </w:r>
          </w:p>
        </w:tc>
        <w:tc>
          <w:tcPr>
            <w:tcW w:w="1349" w:type="dxa"/>
            <w:tcBorders>
              <w:top w:val="single" w:sz="4" w:space="0" w:color="auto"/>
              <w:left w:val="single" w:sz="4" w:space="0" w:color="auto"/>
              <w:right w:val="single" w:sz="4" w:space="0" w:color="auto"/>
            </w:tcBorders>
            <w:vAlign w:val="center"/>
          </w:tcPr>
          <w:p w14:paraId="0DD00FD6" w14:textId="69F46980" w:rsidR="00D65989" w:rsidRPr="00CC4B11" w:rsidRDefault="00D65989" w:rsidP="00D65989">
            <w:pPr>
              <w:keepNext/>
              <w:jc w:val="center"/>
              <w:rPr>
                <w:rFonts w:ascii="Arial" w:hAnsi="Arial" w:cs="Arial"/>
                <w:sz w:val="20"/>
                <w:szCs w:val="20"/>
              </w:rPr>
            </w:pPr>
            <w:r>
              <w:rPr>
                <w:rFonts w:ascii="Arial" w:hAnsi="Arial" w:cs="Arial"/>
                <w:sz w:val="20"/>
                <w:szCs w:val="20"/>
              </w:rPr>
              <w:t>21</w:t>
            </w:r>
          </w:p>
        </w:tc>
        <w:tc>
          <w:tcPr>
            <w:tcW w:w="1349" w:type="dxa"/>
            <w:tcBorders>
              <w:top w:val="single" w:sz="4" w:space="0" w:color="auto"/>
              <w:left w:val="single" w:sz="4" w:space="0" w:color="auto"/>
              <w:right w:val="single" w:sz="4" w:space="0" w:color="auto"/>
            </w:tcBorders>
            <w:vAlign w:val="center"/>
          </w:tcPr>
          <w:p w14:paraId="01FC414A" w14:textId="60803EDF" w:rsidR="00D65989" w:rsidRPr="00CC4B11" w:rsidRDefault="00D65989" w:rsidP="00D65989">
            <w:pPr>
              <w:keepNext/>
              <w:jc w:val="center"/>
              <w:rPr>
                <w:rFonts w:ascii="Arial" w:hAnsi="Arial" w:cs="Arial"/>
                <w:sz w:val="20"/>
                <w:szCs w:val="20"/>
              </w:rPr>
            </w:pPr>
            <w:r>
              <w:rPr>
                <w:rFonts w:ascii="Arial" w:hAnsi="Arial" w:cs="Arial"/>
                <w:sz w:val="20"/>
                <w:szCs w:val="20"/>
              </w:rPr>
              <w:t>11</w:t>
            </w:r>
          </w:p>
        </w:tc>
        <w:tc>
          <w:tcPr>
            <w:tcW w:w="1349" w:type="dxa"/>
            <w:tcBorders>
              <w:top w:val="single" w:sz="4" w:space="0" w:color="auto"/>
              <w:left w:val="single" w:sz="4" w:space="0" w:color="auto"/>
              <w:right w:val="single" w:sz="4" w:space="0" w:color="auto"/>
            </w:tcBorders>
            <w:vAlign w:val="center"/>
          </w:tcPr>
          <w:p w14:paraId="45615E5E" w14:textId="000F6066" w:rsidR="00D65989" w:rsidRPr="00CC4B11" w:rsidRDefault="00D65989" w:rsidP="00D65989">
            <w:pPr>
              <w:keepNext/>
              <w:jc w:val="center"/>
              <w:rPr>
                <w:rFonts w:ascii="Arial" w:hAnsi="Arial" w:cs="Arial"/>
                <w:sz w:val="20"/>
                <w:szCs w:val="20"/>
              </w:rPr>
            </w:pPr>
          </w:p>
        </w:tc>
      </w:tr>
      <w:tr w:rsidR="00D65989" w:rsidRPr="00CC4B11" w14:paraId="2A6889A9"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7140143B" w14:textId="77777777" w:rsidR="00D65989" w:rsidRPr="00CC4B11" w:rsidRDefault="00D65989" w:rsidP="00D65989">
            <w:pPr>
              <w:keepNext/>
              <w:ind w:left="342" w:hanging="342"/>
              <w:rPr>
                <w:rFonts w:ascii="Arial" w:hAnsi="Arial" w:cs="Arial"/>
                <w:sz w:val="20"/>
                <w:szCs w:val="20"/>
              </w:rPr>
            </w:pPr>
            <w:r w:rsidRPr="00CC4B11">
              <w:rPr>
                <w:rFonts w:ascii="Arial" w:hAnsi="Arial" w:cs="Arial"/>
                <w:sz w:val="20"/>
                <w:szCs w:val="20"/>
              </w:rPr>
              <w:t>Underground Storage Tank Training and Inspections Completed</w:t>
            </w:r>
          </w:p>
        </w:tc>
        <w:tc>
          <w:tcPr>
            <w:tcW w:w="1349" w:type="dxa"/>
            <w:tcBorders>
              <w:left w:val="single" w:sz="4" w:space="0" w:color="auto"/>
              <w:right w:val="single" w:sz="4" w:space="0" w:color="auto"/>
            </w:tcBorders>
            <w:vAlign w:val="center"/>
          </w:tcPr>
          <w:p w14:paraId="4255005D" w14:textId="32F8D604" w:rsidR="00D65989" w:rsidRPr="00CC4B11" w:rsidRDefault="00D65989" w:rsidP="00D65989">
            <w:pPr>
              <w:keepNext/>
              <w:jc w:val="center"/>
              <w:rPr>
                <w:rFonts w:ascii="Arial" w:hAnsi="Arial" w:cs="Arial"/>
                <w:sz w:val="20"/>
                <w:szCs w:val="20"/>
              </w:rPr>
            </w:pPr>
            <w:r>
              <w:rPr>
                <w:rFonts w:ascii="Arial" w:hAnsi="Arial" w:cs="Arial"/>
                <w:sz w:val="20"/>
                <w:szCs w:val="20"/>
              </w:rPr>
              <w:t>338</w:t>
            </w:r>
          </w:p>
        </w:tc>
        <w:tc>
          <w:tcPr>
            <w:tcW w:w="1349" w:type="dxa"/>
            <w:tcBorders>
              <w:left w:val="single" w:sz="4" w:space="0" w:color="auto"/>
              <w:right w:val="single" w:sz="4" w:space="0" w:color="auto"/>
            </w:tcBorders>
            <w:vAlign w:val="center"/>
          </w:tcPr>
          <w:p w14:paraId="51FBBD09" w14:textId="0F372B9A" w:rsidR="00D65989" w:rsidRPr="00CC4B11" w:rsidRDefault="00D65989" w:rsidP="00D65989">
            <w:pPr>
              <w:keepNext/>
              <w:jc w:val="center"/>
              <w:rPr>
                <w:rFonts w:ascii="Arial" w:hAnsi="Arial" w:cs="Arial"/>
                <w:sz w:val="20"/>
                <w:szCs w:val="20"/>
              </w:rPr>
            </w:pPr>
            <w:r>
              <w:rPr>
                <w:rFonts w:ascii="Arial" w:hAnsi="Arial" w:cs="Arial"/>
                <w:sz w:val="20"/>
                <w:szCs w:val="20"/>
              </w:rPr>
              <w:t>285</w:t>
            </w:r>
          </w:p>
        </w:tc>
        <w:tc>
          <w:tcPr>
            <w:tcW w:w="1349" w:type="dxa"/>
            <w:tcBorders>
              <w:left w:val="single" w:sz="4" w:space="0" w:color="auto"/>
              <w:right w:val="single" w:sz="4" w:space="0" w:color="auto"/>
            </w:tcBorders>
            <w:vAlign w:val="center"/>
          </w:tcPr>
          <w:p w14:paraId="418FE686" w14:textId="529065BF" w:rsidR="00D65989" w:rsidRPr="00CC4B11" w:rsidRDefault="00D65989" w:rsidP="00D65989">
            <w:pPr>
              <w:keepNext/>
              <w:jc w:val="center"/>
              <w:rPr>
                <w:rFonts w:ascii="Arial" w:hAnsi="Arial" w:cs="Arial"/>
                <w:sz w:val="20"/>
                <w:szCs w:val="20"/>
              </w:rPr>
            </w:pPr>
            <w:r>
              <w:rPr>
                <w:rFonts w:ascii="Arial" w:hAnsi="Arial" w:cs="Arial"/>
                <w:sz w:val="20"/>
                <w:szCs w:val="20"/>
              </w:rPr>
              <w:t>487</w:t>
            </w:r>
          </w:p>
        </w:tc>
        <w:tc>
          <w:tcPr>
            <w:tcW w:w="1349" w:type="dxa"/>
            <w:tcBorders>
              <w:left w:val="single" w:sz="4" w:space="0" w:color="auto"/>
              <w:right w:val="single" w:sz="4" w:space="0" w:color="auto"/>
            </w:tcBorders>
            <w:vAlign w:val="center"/>
          </w:tcPr>
          <w:p w14:paraId="488B7DDE" w14:textId="5B38A6EC" w:rsidR="00D65989" w:rsidRPr="00CC4B11" w:rsidRDefault="00D65989" w:rsidP="00D65989">
            <w:pPr>
              <w:keepNext/>
              <w:jc w:val="center"/>
              <w:rPr>
                <w:rFonts w:ascii="Arial" w:hAnsi="Arial" w:cs="Arial"/>
                <w:sz w:val="20"/>
                <w:szCs w:val="20"/>
              </w:rPr>
            </w:pPr>
          </w:p>
        </w:tc>
      </w:tr>
      <w:tr w:rsidR="00D65989" w:rsidRPr="00CC4B11" w14:paraId="2F689802"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0775F456" w14:textId="77777777" w:rsidR="00D65989" w:rsidRPr="00CC4B11" w:rsidRDefault="00D65989" w:rsidP="00D65989">
            <w:pPr>
              <w:keepNext/>
              <w:ind w:left="342" w:hanging="342"/>
              <w:rPr>
                <w:rFonts w:ascii="Arial" w:hAnsi="Arial" w:cs="Arial"/>
                <w:sz w:val="20"/>
                <w:szCs w:val="20"/>
              </w:rPr>
            </w:pPr>
            <w:r w:rsidRPr="00CC4B11">
              <w:rPr>
                <w:rFonts w:ascii="Arial" w:hAnsi="Arial" w:cs="Arial"/>
                <w:sz w:val="20"/>
                <w:szCs w:val="20"/>
              </w:rPr>
              <w:t xml:space="preserve">Hazardous Waste Inspections Conducted </w:t>
            </w:r>
          </w:p>
        </w:tc>
        <w:tc>
          <w:tcPr>
            <w:tcW w:w="1349" w:type="dxa"/>
            <w:tcBorders>
              <w:left w:val="single" w:sz="4" w:space="0" w:color="auto"/>
              <w:right w:val="single" w:sz="4" w:space="0" w:color="auto"/>
            </w:tcBorders>
            <w:vAlign w:val="center"/>
          </w:tcPr>
          <w:p w14:paraId="532B35D9" w14:textId="089C3013" w:rsidR="00D65989" w:rsidRPr="00CC4B11" w:rsidRDefault="00D65989" w:rsidP="00D65989">
            <w:pPr>
              <w:keepNext/>
              <w:jc w:val="center"/>
              <w:rPr>
                <w:rFonts w:ascii="Arial" w:hAnsi="Arial" w:cs="Arial"/>
                <w:sz w:val="20"/>
                <w:szCs w:val="20"/>
              </w:rPr>
            </w:pPr>
            <w:r>
              <w:rPr>
                <w:rFonts w:ascii="Arial" w:hAnsi="Arial" w:cs="Arial"/>
                <w:sz w:val="20"/>
                <w:szCs w:val="20"/>
              </w:rPr>
              <w:t>111</w:t>
            </w:r>
          </w:p>
        </w:tc>
        <w:tc>
          <w:tcPr>
            <w:tcW w:w="1349" w:type="dxa"/>
            <w:tcBorders>
              <w:left w:val="single" w:sz="4" w:space="0" w:color="auto"/>
              <w:right w:val="single" w:sz="4" w:space="0" w:color="auto"/>
            </w:tcBorders>
            <w:vAlign w:val="center"/>
          </w:tcPr>
          <w:p w14:paraId="3BBD9EEC" w14:textId="6AECFAA7" w:rsidR="00D65989" w:rsidRPr="00CC4B11" w:rsidRDefault="00D65989" w:rsidP="00D65989">
            <w:pPr>
              <w:keepNext/>
              <w:jc w:val="center"/>
              <w:rPr>
                <w:rFonts w:ascii="Arial" w:hAnsi="Arial" w:cs="Arial"/>
                <w:sz w:val="20"/>
                <w:szCs w:val="20"/>
              </w:rPr>
            </w:pPr>
            <w:r>
              <w:rPr>
                <w:rFonts w:ascii="Arial" w:hAnsi="Arial" w:cs="Arial"/>
                <w:sz w:val="20"/>
                <w:szCs w:val="20"/>
              </w:rPr>
              <w:t>85</w:t>
            </w:r>
          </w:p>
        </w:tc>
        <w:tc>
          <w:tcPr>
            <w:tcW w:w="1349" w:type="dxa"/>
            <w:tcBorders>
              <w:left w:val="single" w:sz="4" w:space="0" w:color="auto"/>
              <w:right w:val="single" w:sz="4" w:space="0" w:color="auto"/>
            </w:tcBorders>
            <w:vAlign w:val="center"/>
          </w:tcPr>
          <w:p w14:paraId="74869C72" w14:textId="2058C9E3" w:rsidR="00D65989" w:rsidRPr="00CC4B11" w:rsidRDefault="00D65989" w:rsidP="00D65989">
            <w:pPr>
              <w:keepNext/>
              <w:jc w:val="center"/>
              <w:rPr>
                <w:rFonts w:ascii="Arial" w:hAnsi="Arial" w:cs="Arial"/>
                <w:sz w:val="20"/>
                <w:szCs w:val="20"/>
              </w:rPr>
            </w:pPr>
            <w:r>
              <w:rPr>
                <w:rFonts w:ascii="Arial" w:hAnsi="Arial" w:cs="Arial"/>
                <w:sz w:val="20"/>
                <w:szCs w:val="20"/>
              </w:rPr>
              <w:t>93</w:t>
            </w:r>
          </w:p>
        </w:tc>
        <w:tc>
          <w:tcPr>
            <w:tcW w:w="1349" w:type="dxa"/>
            <w:tcBorders>
              <w:left w:val="single" w:sz="4" w:space="0" w:color="auto"/>
              <w:right w:val="single" w:sz="4" w:space="0" w:color="auto"/>
            </w:tcBorders>
            <w:vAlign w:val="center"/>
          </w:tcPr>
          <w:p w14:paraId="6B2CC403" w14:textId="6B05EC18" w:rsidR="00D65989" w:rsidRPr="00CC4B11" w:rsidRDefault="00D65989" w:rsidP="00D65989">
            <w:pPr>
              <w:keepNext/>
              <w:jc w:val="center"/>
              <w:rPr>
                <w:rFonts w:ascii="Arial" w:hAnsi="Arial" w:cs="Arial"/>
                <w:sz w:val="20"/>
                <w:szCs w:val="20"/>
              </w:rPr>
            </w:pPr>
          </w:p>
        </w:tc>
      </w:tr>
      <w:tr w:rsidR="00D65989" w:rsidRPr="00CC4B11" w14:paraId="36CC71F8"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5A9C5460" w14:textId="77777777" w:rsidR="00D65989" w:rsidRPr="00CC4B11" w:rsidRDefault="00D65989" w:rsidP="00D65989">
            <w:pPr>
              <w:keepNext/>
              <w:ind w:left="342" w:hanging="342"/>
              <w:rPr>
                <w:rFonts w:ascii="Arial" w:hAnsi="Arial" w:cs="Arial"/>
                <w:sz w:val="20"/>
                <w:szCs w:val="20"/>
              </w:rPr>
            </w:pPr>
            <w:r>
              <w:rPr>
                <w:rFonts w:ascii="Arial" w:hAnsi="Arial" w:cs="Arial"/>
                <w:sz w:val="20"/>
                <w:szCs w:val="20"/>
              </w:rPr>
              <w:t>Three-to-five-year inspections of municipal solid waste landfills completed (three are required)</w:t>
            </w:r>
          </w:p>
        </w:tc>
        <w:tc>
          <w:tcPr>
            <w:tcW w:w="1349" w:type="dxa"/>
            <w:tcBorders>
              <w:left w:val="single" w:sz="4" w:space="0" w:color="auto"/>
              <w:right w:val="single" w:sz="4" w:space="0" w:color="auto"/>
            </w:tcBorders>
            <w:vAlign w:val="center"/>
          </w:tcPr>
          <w:p w14:paraId="3A5DC3F0" w14:textId="0945CEA1" w:rsidR="00D65989" w:rsidRPr="00CC4B11" w:rsidRDefault="00D65989" w:rsidP="00D65989">
            <w:pPr>
              <w:keepNext/>
              <w:jc w:val="center"/>
              <w:rPr>
                <w:rFonts w:ascii="Arial" w:hAnsi="Arial" w:cs="Arial"/>
                <w:sz w:val="20"/>
                <w:szCs w:val="20"/>
              </w:rPr>
            </w:pPr>
            <w:r>
              <w:rPr>
                <w:rFonts w:ascii="Arial" w:hAnsi="Arial" w:cs="Arial"/>
                <w:sz w:val="20"/>
                <w:szCs w:val="20"/>
              </w:rPr>
              <w:t>6</w:t>
            </w:r>
          </w:p>
        </w:tc>
        <w:tc>
          <w:tcPr>
            <w:tcW w:w="1349" w:type="dxa"/>
            <w:tcBorders>
              <w:left w:val="single" w:sz="4" w:space="0" w:color="auto"/>
              <w:right w:val="single" w:sz="4" w:space="0" w:color="auto"/>
            </w:tcBorders>
            <w:vAlign w:val="center"/>
          </w:tcPr>
          <w:p w14:paraId="3A329898" w14:textId="56149CB3" w:rsidR="00D65989" w:rsidRDefault="00D65989" w:rsidP="00D65989">
            <w:pPr>
              <w:keepNext/>
              <w:jc w:val="center"/>
              <w:rPr>
                <w:rFonts w:ascii="Arial" w:hAnsi="Arial" w:cs="Arial"/>
                <w:sz w:val="20"/>
                <w:szCs w:val="20"/>
              </w:rPr>
            </w:pPr>
            <w:r>
              <w:rPr>
                <w:rFonts w:ascii="Arial" w:hAnsi="Arial" w:cs="Arial"/>
                <w:sz w:val="20"/>
                <w:szCs w:val="20"/>
              </w:rPr>
              <w:t>2</w:t>
            </w:r>
          </w:p>
        </w:tc>
        <w:tc>
          <w:tcPr>
            <w:tcW w:w="1349" w:type="dxa"/>
            <w:tcBorders>
              <w:left w:val="single" w:sz="4" w:space="0" w:color="auto"/>
              <w:right w:val="single" w:sz="4" w:space="0" w:color="auto"/>
            </w:tcBorders>
            <w:vAlign w:val="center"/>
          </w:tcPr>
          <w:p w14:paraId="4214C0DB" w14:textId="6FCC714A" w:rsidR="00D65989" w:rsidRDefault="00D65989" w:rsidP="00D65989">
            <w:pPr>
              <w:keepNext/>
              <w:jc w:val="center"/>
              <w:rPr>
                <w:rFonts w:ascii="Arial" w:hAnsi="Arial" w:cs="Arial"/>
                <w:sz w:val="20"/>
                <w:szCs w:val="20"/>
              </w:rPr>
            </w:pPr>
            <w:r>
              <w:rPr>
                <w:rFonts w:ascii="Arial" w:hAnsi="Arial" w:cs="Arial"/>
                <w:sz w:val="20"/>
                <w:szCs w:val="20"/>
              </w:rPr>
              <w:t>6</w:t>
            </w:r>
          </w:p>
        </w:tc>
        <w:tc>
          <w:tcPr>
            <w:tcW w:w="1349" w:type="dxa"/>
            <w:tcBorders>
              <w:left w:val="single" w:sz="4" w:space="0" w:color="auto"/>
              <w:right w:val="single" w:sz="4" w:space="0" w:color="auto"/>
            </w:tcBorders>
            <w:vAlign w:val="center"/>
          </w:tcPr>
          <w:p w14:paraId="31376FE5" w14:textId="213B7FFA" w:rsidR="00D65989" w:rsidRDefault="00D65989" w:rsidP="00D65989">
            <w:pPr>
              <w:keepNext/>
              <w:jc w:val="center"/>
              <w:rPr>
                <w:rFonts w:ascii="Arial" w:hAnsi="Arial" w:cs="Arial"/>
                <w:sz w:val="20"/>
                <w:szCs w:val="20"/>
              </w:rPr>
            </w:pPr>
          </w:p>
        </w:tc>
      </w:tr>
      <w:tr w:rsidR="00D65989" w:rsidRPr="00CC4B11" w14:paraId="1E4CFE3D" w14:textId="77777777" w:rsidTr="00541E42">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right w:val="single" w:sz="4" w:space="0" w:color="auto"/>
            </w:tcBorders>
            <w:vAlign w:val="center"/>
          </w:tcPr>
          <w:p w14:paraId="5C3CFF66" w14:textId="77777777" w:rsidR="00D65989" w:rsidRPr="00CC4B11" w:rsidRDefault="00D65989" w:rsidP="00D65989">
            <w:pPr>
              <w:keepNext/>
              <w:ind w:left="342" w:hanging="342"/>
              <w:rPr>
                <w:rFonts w:ascii="Arial" w:hAnsi="Arial" w:cs="Arial"/>
                <w:sz w:val="20"/>
                <w:szCs w:val="20"/>
              </w:rPr>
            </w:pPr>
            <w:r w:rsidRPr="00CC4B11">
              <w:rPr>
                <w:rFonts w:ascii="Arial" w:hAnsi="Arial" w:cs="Arial"/>
                <w:sz w:val="20"/>
                <w:szCs w:val="20"/>
              </w:rPr>
              <w:t>Snake River Plain Environmental Samples Analyzed (for INL)</w:t>
            </w:r>
          </w:p>
        </w:tc>
        <w:tc>
          <w:tcPr>
            <w:tcW w:w="1349" w:type="dxa"/>
            <w:tcBorders>
              <w:left w:val="single" w:sz="4" w:space="0" w:color="auto"/>
              <w:right w:val="single" w:sz="4" w:space="0" w:color="auto"/>
            </w:tcBorders>
            <w:vAlign w:val="center"/>
          </w:tcPr>
          <w:p w14:paraId="2B1ED0C3" w14:textId="1123242A" w:rsidR="00D65989" w:rsidRPr="00CC4B11" w:rsidRDefault="00D65989" w:rsidP="00D65989">
            <w:pPr>
              <w:keepNext/>
              <w:jc w:val="center"/>
              <w:rPr>
                <w:rFonts w:ascii="Arial" w:hAnsi="Arial" w:cs="Arial"/>
                <w:sz w:val="20"/>
                <w:szCs w:val="20"/>
              </w:rPr>
            </w:pPr>
            <w:r>
              <w:rPr>
                <w:rFonts w:ascii="Arial" w:hAnsi="Arial" w:cs="Arial"/>
                <w:sz w:val="20"/>
                <w:szCs w:val="20"/>
              </w:rPr>
              <w:t>6,027</w:t>
            </w:r>
          </w:p>
        </w:tc>
        <w:tc>
          <w:tcPr>
            <w:tcW w:w="1349" w:type="dxa"/>
            <w:tcBorders>
              <w:left w:val="single" w:sz="4" w:space="0" w:color="auto"/>
              <w:right w:val="single" w:sz="4" w:space="0" w:color="auto"/>
            </w:tcBorders>
            <w:vAlign w:val="center"/>
          </w:tcPr>
          <w:p w14:paraId="583B811C" w14:textId="0C2F118A" w:rsidR="00D65989" w:rsidRPr="00CC4B11" w:rsidRDefault="00D65989" w:rsidP="00D65989">
            <w:pPr>
              <w:keepNext/>
              <w:jc w:val="center"/>
              <w:rPr>
                <w:rFonts w:ascii="Arial" w:hAnsi="Arial" w:cs="Arial"/>
                <w:sz w:val="20"/>
                <w:szCs w:val="20"/>
              </w:rPr>
            </w:pPr>
            <w:r>
              <w:rPr>
                <w:rFonts w:ascii="Arial" w:hAnsi="Arial" w:cs="Arial"/>
                <w:sz w:val="20"/>
                <w:szCs w:val="20"/>
              </w:rPr>
              <w:t>5,809</w:t>
            </w:r>
          </w:p>
        </w:tc>
        <w:tc>
          <w:tcPr>
            <w:tcW w:w="1349" w:type="dxa"/>
            <w:tcBorders>
              <w:left w:val="single" w:sz="4" w:space="0" w:color="auto"/>
              <w:right w:val="single" w:sz="4" w:space="0" w:color="auto"/>
            </w:tcBorders>
            <w:vAlign w:val="center"/>
          </w:tcPr>
          <w:p w14:paraId="7DD4F8D1" w14:textId="04C08A0B" w:rsidR="00D65989" w:rsidRPr="00CC4B11" w:rsidRDefault="00D65989" w:rsidP="00D65989">
            <w:pPr>
              <w:keepNext/>
              <w:jc w:val="center"/>
              <w:rPr>
                <w:rFonts w:ascii="Arial" w:hAnsi="Arial" w:cs="Arial"/>
                <w:sz w:val="20"/>
                <w:szCs w:val="20"/>
              </w:rPr>
            </w:pPr>
            <w:r>
              <w:rPr>
                <w:rFonts w:ascii="Arial" w:hAnsi="Arial" w:cs="Arial"/>
                <w:sz w:val="20"/>
                <w:szCs w:val="20"/>
              </w:rPr>
              <w:t>6,159</w:t>
            </w:r>
          </w:p>
        </w:tc>
        <w:tc>
          <w:tcPr>
            <w:tcW w:w="1349" w:type="dxa"/>
            <w:tcBorders>
              <w:left w:val="single" w:sz="4" w:space="0" w:color="auto"/>
              <w:right w:val="single" w:sz="4" w:space="0" w:color="auto"/>
            </w:tcBorders>
            <w:vAlign w:val="center"/>
          </w:tcPr>
          <w:p w14:paraId="6E5A6E79" w14:textId="7CE0DE33" w:rsidR="00D65989" w:rsidRPr="00CC4B11" w:rsidRDefault="00D65989" w:rsidP="00D65989">
            <w:pPr>
              <w:keepNext/>
              <w:jc w:val="center"/>
              <w:rPr>
                <w:rFonts w:ascii="Arial" w:hAnsi="Arial" w:cs="Arial"/>
                <w:sz w:val="20"/>
                <w:szCs w:val="20"/>
              </w:rPr>
            </w:pPr>
          </w:p>
        </w:tc>
      </w:tr>
      <w:tr w:rsidR="00D65989" w:rsidRPr="00CC4B11" w14:paraId="6CA90174" w14:textId="77777777" w:rsidTr="00362BDE">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4684" w:type="dxa"/>
            <w:tcBorders>
              <w:left w:val="single" w:sz="4" w:space="0" w:color="auto"/>
              <w:bottom w:val="single" w:sz="4" w:space="0" w:color="auto"/>
              <w:right w:val="single" w:sz="4" w:space="0" w:color="auto"/>
            </w:tcBorders>
            <w:vAlign w:val="center"/>
          </w:tcPr>
          <w:p w14:paraId="0AC21B64" w14:textId="77777777" w:rsidR="00D65989" w:rsidRPr="00CC4B11" w:rsidRDefault="00D65989" w:rsidP="00D65989">
            <w:pPr>
              <w:keepNext/>
              <w:ind w:left="342" w:hanging="342"/>
              <w:rPr>
                <w:rFonts w:ascii="Arial" w:hAnsi="Arial" w:cs="Arial"/>
                <w:sz w:val="20"/>
                <w:szCs w:val="20"/>
              </w:rPr>
            </w:pPr>
            <w:r w:rsidRPr="00CC4B11">
              <w:rPr>
                <w:rFonts w:ascii="Arial" w:hAnsi="Arial" w:cs="Arial"/>
                <w:sz w:val="20"/>
                <w:szCs w:val="20"/>
              </w:rPr>
              <w:t>Pollution Prevention Technical Assistance Efforts</w:t>
            </w:r>
          </w:p>
        </w:tc>
        <w:tc>
          <w:tcPr>
            <w:tcW w:w="1349" w:type="dxa"/>
            <w:tcBorders>
              <w:left w:val="single" w:sz="4" w:space="0" w:color="auto"/>
              <w:bottom w:val="single" w:sz="4" w:space="0" w:color="auto"/>
              <w:right w:val="single" w:sz="4" w:space="0" w:color="auto"/>
            </w:tcBorders>
            <w:vAlign w:val="center"/>
          </w:tcPr>
          <w:p w14:paraId="53A18BC4" w14:textId="697C703B" w:rsidR="00D65989" w:rsidRPr="00CC4B11" w:rsidRDefault="00D65989" w:rsidP="00D65989">
            <w:pPr>
              <w:keepNext/>
              <w:jc w:val="center"/>
              <w:rPr>
                <w:rFonts w:ascii="Arial" w:hAnsi="Arial" w:cs="Arial"/>
                <w:sz w:val="20"/>
                <w:szCs w:val="20"/>
              </w:rPr>
            </w:pPr>
            <w:r>
              <w:rPr>
                <w:rFonts w:ascii="Arial" w:hAnsi="Arial" w:cs="Arial"/>
                <w:sz w:val="20"/>
                <w:szCs w:val="20"/>
              </w:rPr>
              <w:t>110</w:t>
            </w:r>
          </w:p>
        </w:tc>
        <w:tc>
          <w:tcPr>
            <w:tcW w:w="1349" w:type="dxa"/>
            <w:tcBorders>
              <w:left w:val="single" w:sz="4" w:space="0" w:color="auto"/>
              <w:bottom w:val="single" w:sz="4" w:space="0" w:color="auto"/>
              <w:right w:val="single" w:sz="4" w:space="0" w:color="auto"/>
            </w:tcBorders>
            <w:vAlign w:val="center"/>
          </w:tcPr>
          <w:p w14:paraId="777BC022" w14:textId="65EA7607" w:rsidR="00D65989" w:rsidRPr="00CC4B11" w:rsidRDefault="00D65989" w:rsidP="00D65989">
            <w:pPr>
              <w:keepNext/>
              <w:jc w:val="center"/>
              <w:rPr>
                <w:rFonts w:ascii="Arial" w:hAnsi="Arial" w:cs="Arial"/>
                <w:sz w:val="20"/>
                <w:szCs w:val="20"/>
              </w:rPr>
            </w:pPr>
            <w:r>
              <w:rPr>
                <w:rFonts w:ascii="Arial" w:hAnsi="Arial" w:cs="Arial"/>
                <w:sz w:val="20"/>
                <w:szCs w:val="20"/>
              </w:rPr>
              <w:t>78</w:t>
            </w:r>
          </w:p>
        </w:tc>
        <w:tc>
          <w:tcPr>
            <w:tcW w:w="1349" w:type="dxa"/>
            <w:tcBorders>
              <w:left w:val="single" w:sz="4" w:space="0" w:color="auto"/>
              <w:bottom w:val="single" w:sz="4" w:space="0" w:color="auto"/>
              <w:right w:val="single" w:sz="4" w:space="0" w:color="auto"/>
            </w:tcBorders>
            <w:vAlign w:val="center"/>
          </w:tcPr>
          <w:p w14:paraId="6186C1B3" w14:textId="6EBEC847" w:rsidR="00D65989" w:rsidRPr="00CC4B11" w:rsidRDefault="00D65989" w:rsidP="00D65989">
            <w:pPr>
              <w:keepNext/>
              <w:jc w:val="center"/>
              <w:rPr>
                <w:rFonts w:ascii="Arial" w:hAnsi="Arial" w:cs="Arial"/>
                <w:sz w:val="20"/>
                <w:szCs w:val="20"/>
              </w:rPr>
            </w:pPr>
            <w:r>
              <w:rPr>
                <w:rFonts w:ascii="Arial" w:hAnsi="Arial" w:cs="Arial"/>
                <w:sz w:val="20"/>
                <w:szCs w:val="20"/>
              </w:rPr>
              <w:t>96</w:t>
            </w:r>
          </w:p>
        </w:tc>
        <w:tc>
          <w:tcPr>
            <w:tcW w:w="1349" w:type="dxa"/>
            <w:tcBorders>
              <w:left w:val="single" w:sz="4" w:space="0" w:color="auto"/>
              <w:bottom w:val="single" w:sz="4" w:space="0" w:color="auto"/>
              <w:right w:val="single" w:sz="4" w:space="0" w:color="auto"/>
            </w:tcBorders>
            <w:vAlign w:val="center"/>
          </w:tcPr>
          <w:p w14:paraId="09C1D8DB" w14:textId="0A929F3C" w:rsidR="00D65989" w:rsidRPr="00CC4B11" w:rsidRDefault="00D65989" w:rsidP="00D65989">
            <w:pPr>
              <w:keepNext/>
              <w:jc w:val="center"/>
              <w:rPr>
                <w:rFonts w:ascii="Arial" w:hAnsi="Arial" w:cs="Arial"/>
                <w:sz w:val="20"/>
                <w:szCs w:val="20"/>
              </w:rPr>
            </w:pPr>
          </w:p>
        </w:tc>
      </w:tr>
      <w:tr w:rsidR="00D65989" w:rsidRPr="00CC4B11" w14:paraId="079C8E06" w14:textId="77777777" w:rsidTr="00362BDE">
        <w:tblPrEx>
          <w:tblBorders>
            <w:top w:val="double" w:sz="4" w:space="0" w:color="1F497D" w:themeColor="text2"/>
            <w:left w:val="double" w:sz="4" w:space="0" w:color="1F497D" w:themeColor="text2"/>
            <w:bottom w:val="double" w:sz="4" w:space="0" w:color="1F497D" w:themeColor="text2"/>
            <w:right w:val="double" w:sz="4" w:space="0" w:color="1F497D" w:themeColor="text2"/>
            <w:insideV w:val="double" w:sz="4" w:space="0" w:color="1F497D" w:themeColor="text2"/>
          </w:tblBorders>
        </w:tblPrEx>
        <w:trPr>
          <w:cantSplit/>
          <w:trHeight w:val="288"/>
        </w:trPr>
        <w:tc>
          <w:tcPr>
            <w:tcW w:w="10080" w:type="dxa"/>
            <w:gridSpan w:val="5"/>
            <w:tcBorders>
              <w:top w:val="single" w:sz="4" w:space="0" w:color="auto"/>
              <w:left w:val="nil"/>
              <w:bottom w:val="nil"/>
              <w:right w:val="nil"/>
            </w:tcBorders>
            <w:vAlign w:val="center"/>
          </w:tcPr>
          <w:p w14:paraId="2AA9AC50" w14:textId="2924CAEF" w:rsidR="00D65989" w:rsidRPr="00C17E7D" w:rsidRDefault="00D65989" w:rsidP="00D65989">
            <w:pPr>
              <w:rPr>
                <w:rFonts w:ascii="Arial" w:hAnsi="Arial" w:cs="Arial"/>
                <w:sz w:val="18"/>
                <w:szCs w:val="18"/>
              </w:rPr>
            </w:pPr>
            <w:r w:rsidRPr="00C17E7D">
              <w:rPr>
                <w:rFonts w:ascii="Arial" w:hAnsi="Arial" w:cs="Arial"/>
                <w:sz w:val="18"/>
                <w:szCs w:val="18"/>
              </w:rPr>
              <w:t xml:space="preserve">a. New key service—data are not available for FY 2016–FY 2018. </w:t>
            </w:r>
          </w:p>
          <w:p w14:paraId="4A444590" w14:textId="77777777" w:rsidR="00D65989" w:rsidRPr="00C17E7D" w:rsidRDefault="00D65989" w:rsidP="00D65989">
            <w:pPr>
              <w:rPr>
                <w:rFonts w:ascii="Arial" w:hAnsi="Arial" w:cs="Arial"/>
                <w:sz w:val="18"/>
                <w:szCs w:val="18"/>
              </w:rPr>
            </w:pPr>
            <w:r w:rsidRPr="00C17E7D">
              <w:rPr>
                <w:rFonts w:ascii="Arial" w:hAnsi="Arial" w:cs="Arial"/>
                <w:sz w:val="18"/>
                <w:szCs w:val="18"/>
              </w:rPr>
              <w:t>b. Loss of key staff statewide has affected these numbers. Seven major permit modifications have also been issued (EPA Performance Partnership Agreement).</w:t>
            </w:r>
          </w:p>
          <w:p w14:paraId="382D909C" w14:textId="77777777" w:rsidR="00D65989" w:rsidRPr="00C17E7D" w:rsidRDefault="00D65989" w:rsidP="00D65989">
            <w:pPr>
              <w:rPr>
                <w:rFonts w:ascii="Arial" w:hAnsi="Arial" w:cs="Arial"/>
                <w:sz w:val="18"/>
                <w:szCs w:val="18"/>
              </w:rPr>
            </w:pPr>
            <w:r w:rsidRPr="00C17E7D">
              <w:rPr>
                <w:rFonts w:ascii="Arial" w:hAnsi="Arial" w:cs="Arial"/>
                <w:sz w:val="18"/>
                <w:szCs w:val="18"/>
              </w:rPr>
              <w:t>c. The drop in surveys is due to COVID 19. From the end of quarter 3 through quarter 4, sanitary surveys were suspended by DEQ and the health districts.</w:t>
            </w:r>
          </w:p>
          <w:p w14:paraId="47118EB5" w14:textId="77777777" w:rsidR="00D65989" w:rsidRDefault="00D65989" w:rsidP="00D65989">
            <w:pPr>
              <w:rPr>
                <w:rFonts w:ascii="Arial" w:hAnsi="Arial" w:cs="Arial"/>
                <w:sz w:val="20"/>
                <w:szCs w:val="20"/>
              </w:rPr>
            </w:pPr>
            <w:r w:rsidRPr="00C17E7D">
              <w:rPr>
                <w:rFonts w:ascii="Arial" w:hAnsi="Arial" w:cs="Arial"/>
                <w:sz w:val="18"/>
                <w:szCs w:val="18"/>
              </w:rPr>
              <w:t>d. All BURP monitoring occurs in summer (Q1); BURP was suspended due to COVID and budget reductions.</w:t>
            </w:r>
          </w:p>
        </w:tc>
      </w:tr>
    </w:tbl>
    <w:p w14:paraId="1C012E9C" w14:textId="77777777" w:rsidR="00336165" w:rsidRDefault="00336165" w:rsidP="00AB3DA7">
      <w:pPr>
        <w:jc w:val="both"/>
        <w:rPr>
          <w:rFonts w:ascii="Arial" w:hAnsi="Arial" w:cs="Arial"/>
          <w:b/>
          <w:i/>
          <w:sz w:val="20"/>
          <w:szCs w:val="20"/>
        </w:rPr>
      </w:pPr>
      <w:bookmarkStart w:id="5" w:name="OLE_LINK3"/>
      <w:bookmarkStart w:id="6" w:name="OLE_LINK4"/>
    </w:p>
    <w:p w14:paraId="7465D383" w14:textId="09305251" w:rsidR="00D77B74" w:rsidRPr="002622E5" w:rsidRDefault="00601F45" w:rsidP="00AB3DA7">
      <w:pPr>
        <w:jc w:val="both"/>
        <w:rPr>
          <w:rFonts w:ascii="Arial" w:hAnsi="Arial" w:cs="Arial"/>
          <w:b/>
          <w:i/>
          <w:color w:val="000000" w:themeColor="text1"/>
        </w:rPr>
      </w:pPr>
      <w:r>
        <w:rPr>
          <w:rFonts w:ascii="Arial" w:hAnsi="Arial" w:cs="Arial"/>
          <w:b/>
          <w:bCs/>
        </w:rPr>
        <w:lastRenderedPageBreak/>
        <w:t>FY 2021</w:t>
      </w:r>
      <w:r w:rsidR="00D77B74" w:rsidRPr="00442722">
        <w:rPr>
          <w:rFonts w:ascii="Arial" w:hAnsi="Arial" w:cs="Arial"/>
          <w:b/>
          <w:bCs/>
        </w:rPr>
        <w:t xml:space="preserve"> Performance Highlights</w:t>
      </w:r>
    </w:p>
    <w:p w14:paraId="01703551" w14:textId="77777777" w:rsidR="00B24C2C" w:rsidRPr="000357AA" w:rsidRDefault="00B24C2C" w:rsidP="003C40F2">
      <w:pPr>
        <w:jc w:val="both"/>
        <w:rPr>
          <w:rFonts w:ascii="Arial" w:hAnsi="Arial" w:cs="Arial"/>
          <w:b/>
          <w:i/>
        </w:rPr>
      </w:pPr>
    </w:p>
    <w:p w14:paraId="48BA071E" w14:textId="69AC1149" w:rsidR="00B24C2C" w:rsidRPr="007D05ED" w:rsidRDefault="00B24C2C" w:rsidP="00F71A63">
      <w:pPr>
        <w:pStyle w:val="BodyText"/>
        <w:spacing w:after="160"/>
        <w:jc w:val="both"/>
        <w:rPr>
          <w:rFonts w:ascii="Arial" w:hAnsi="Arial" w:cs="Arial"/>
          <w:b/>
          <w:i/>
          <w:sz w:val="18"/>
          <w:szCs w:val="18"/>
        </w:rPr>
      </w:pPr>
      <w:r>
        <w:rPr>
          <w:rFonts w:ascii="Arial" w:hAnsi="Arial" w:cs="Arial"/>
          <w:b/>
          <w:i/>
          <w:sz w:val="20"/>
          <w:szCs w:val="20"/>
        </w:rPr>
        <w:t>Air Quality</w:t>
      </w:r>
      <w:r w:rsidRPr="002622E5">
        <w:rPr>
          <w:rFonts w:ascii="Arial" w:hAnsi="Arial" w:cs="Arial"/>
          <w:sz w:val="20"/>
          <w:szCs w:val="20"/>
        </w:rPr>
        <w:t>—</w:t>
      </w:r>
      <w:r w:rsidR="00FD0112" w:rsidRPr="00FD0112">
        <w:rPr>
          <w:rFonts w:ascii="Arial" w:hAnsi="Arial" w:cs="Arial"/>
          <w:sz w:val="20"/>
          <w:szCs w:val="20"/>
        </w:rPr>
        <w:t>In 2016, Volkswagen agreed to settle a lawsuit alleging it manufactured diesel cars sold and operated with systems intended to defeat emission tests. As a Volkswagen Settlement Beneficiary, the State of Idaho is eligible to request $17.3 million dollars from the Volkswagen Settlement Fund for projects under Eligible Mitigation Actions, which include a vehicle replacement program (VRP) and an electric vehicle supply equipment program (EVSE). Through the VW Trust, and in combination with EPA Diesel Emission Reduction Act grant funding, DEQ has completed two VRP application periods, the 2019 and 2020 VRPs. DEQ awarded $7.5 million dollars in settlement funding projects in the 2019 VRP to replace 130 diesel</w:t>
      </w:r>
      <w:r w:rsidR="00FD0112">
        <w:rPr>
          <w:rFonts w:ascii="Arial" w:hAnsi="Arial" w:cs="Arial"/>
          <w:sz w:val="20"/>
          <w:szCs w:val="20"/>
        </w:rPr>
        <w:t xml:space="preserve"> </w:t>
      </w:r>
      <w:r w:rsidR="00FD0112" w:rsidRPr="00FD0112">
        <w:rPr>
          <w:rFonts w:ascii="Arial" w:hAnsi="Arial" w:cs="Arial"/>
          <w:sz w:val="20"/>
          <w:szCs w:val="20"/>
        </w:rPr>
        <w:t>vehicles, of which $2 million in rebates were paid in FY 2021 toward 41 heavy duty diesel vehicle replacements. The 2020 VRP application period closed on June 1, 2020; DEQ awarded $5.2 million in settlement funding projects to replace 69 diesel vehicles, of which $239,485 was paid in FY</w:t>
      </w:r>
      <w:r w:rsidR="00FD0112">
        <w:rPr>
          <w:rFonts w:ascii="Arial" w:hAnsi="Arial" w:cs="Arial"/>
          <w:sz w:val="20"/>
          <w:szCs w:val="20"/>
        </w:rPr>
        <w:t xml:space="preserve"> </w:t>
      </w:r>
      <w:r w:rsidR="00FD0112" w:rsidRPr="00FD0112">
        <w:rPr>
          <w:rFonts w:ascii="Arial" w:hAnsi="Arial" w:cs="Arial"/>
          <w:sz w:val="20"/>
          <w:szCs w:val="20"/>
        </w:rPr>
        <w:t xml:space="preserve">2021 to replace 5 heavy duty diesel vehicles. DEQ has also approved four applications for funding toward six electric vehicle-charging stations and currently has one additional application under review. Two of these projects </w:t>
      </w:r>
      <w:r w:rsidR="00BE78CF">
        <w:rPr>
          <w:rFonts w:ascii="Arial" w:hAnsi="Arial" w:cs="Arial"/>
          <w:sz w:val="20"/>
          <w:szCs w:val="20"/>
        </w:rPr>
        <w:t>were</w:t>
      </w:r>
      <w:r w:rsidR="00FD0112" w:rsidRPr="00FD0112">
        <w:rPr>
          <w:rFonts w:ascii="Arial" w:hAnsi="Arial" w:cs="Arial"/>
          <w:sz w:val="20"/>
          <w:szCs w:val="20"/>
        </w:rPr>
        <w:t xml:space="preserve"> completed</w:t>
      </w:r>
      <w:r w:rsidR="00BE78CF">
        <w:rPr>
          <w:rFonts w:ascii="Arial" w:hAnsi="Arial" w:cs="Arial"/>
          <w:sz w:val="20"/>
          <w:szCs w:val="20"/>
        </w:rPr>
        <w:t xml:space="preserve"> with</w:t>
      </w:r>
      <w:r w:rsidR="00FD0112" w:rsidRPr="00FD0112">
        <w:rPr>
          <w:rFonts w:ascii="Arial" w:hAnsi="Arial" w:cs="Arial"/>
          <w:sz w:val="20"/>
          <w:szCs w:val="20"/>
        </w:rPr>
        <w:t xml:space="preserve"> $151,257 paid in FY</w:t>
      </w:r>
      <w:r w:rsidR="00BE78CF">
        <w:rPr>
          <w:rFonts w:ascii="Arial" w:hAnsi="Arial" w:cs="Arial"/>
          <w:sz w:val="20"/>
          <w:szCs w:val="20"/>
        </w:rPr>
        <w:t> </w:t>
      </w:r>
      <w:r w:rsidR="00FD0112" w:rsidRPr="00FD0112">
        <w:rPr>
          <w:rFonts w:ascii="Arial" w:hAnsi="Arial" w:cs="Arial"/>
          <w:sz w:val="20"/>
          <w:szCs w:val="20"/>
        </w:rPr>
        <w:t>2021 to install two EV charging stations. DEQ works closely with the Office of Energy and Mineral Resources on the electric vehicle supply equipment portion of the settlement.</w:t>
      </w:r>
    </w:p>
    <w:p w14:paraId="23AFE790" w14:textId="77777777" w:rsidR="007623BB" w:rsidRDefault="003C40F2" w:rsidP="007623BB">
      <w:pPr>
        <w:pStyle w:val="BodyText"/>
        <w:spacing w:after="160"/>
        <w:jc w:val="both"/>
        <w:rPr>
          <w:rFonts w:ascii="Arial" w:hAnsi="Arial" w:cs="Arial"/>
          <w:sz w:val="20"/>
          <w:szCs w:val="20"/>
        </w:rPr>
      </w:pPr>
      <w:r w:rsidRPr="00B143EB">
        <w:rPr>
          <w:rFonts w:ascii="Arial" w:hAnsi="Arial" w:cs="Arial"/>
          <w:b/>
          <w:i/>
          <w:sz w:val="20"/>
          <w:szCs w:val="20"/>
        </w:rPr>
        <w:t>Water Quality</w:t>
      </w:r>
      <w:r>
        <w:rPr>
          <w:rFonts w:ascii="Arial" w:hAnsi="Arial" w:cs="Arial"/>
          <w:sz w:val="20"/>
          <w:szCs w:val="20"/>
        </w:rPr>
        <w:t>—</w:t>
      </w:r>
      <w:r w:rsidR="007623BB" w:rsidRPr="008A72BB">
        <w:rPr>
          <w:rFonts w:ascii="Arial" w:hAnsi="Arial" w:cs="Arial"/>
          <w:sz w:val="20"/>
          <w:szCs w:val="20"/>
        </w:rPr>
        <w:t>In</w:t>
      </w:r>
      <w:r w:rsidR="007623BB">
        <w:rPr>
          <w:rFonts w:ascii="Arial" w:hAnsi="Arial" w:cs="Arial"/>
          <w:sz w:val="20"/>
          <w:szCs w:val="20"/>
        </w:rPr>
        <w:t xml:space="preserve"> </w:t>
      </w:r>
      <w:r w:rsidR="007623BB" w:rsidRPr="008A72BB">
        <w:rPr>
          <w:rFonts w:ascii="Arial" w:hAnsi="Arial" w:cs="Arial"/>
          <w:sz w:val="20"/>
          <w:szCs w:val="20"/>
        </w:rPr>
        <w:t xml:space="preserve">federal fiscal years 2020 and 2021, EPA provided DEQ with an additional $87,000 and $126,000 in Public Water System Supervision grant funding, respectively. This additional funding will be used for activities that deal with emerging contaminants such as </w:t>
      </w:r>
      <w:r w:rsidR="007623BB">
        <w:rPr>
          <w:rFonts w:ascii="Arial" w:hAnsi="Arial" w:cs="Arial"/>
          <w:sz w:val="20"/>
          <w:szCs w:val="20"/>
        </w:rPr>
        <w:t>p</w:t>
      </w:r>
      <w:r w:rsidR="007623BB" w:rsidRPr="008A72BB">
        <w:rPr>
          <w:rFonts w:ascii="Arial" w:hAnsi="Arial" w:cs="Arial"/>
          <w:sz w:val="20"/>
          <w:szCs w:val="20"/>
        </w:rPr>
        <w:t>er- and polyfluoroalkyl substances</w:t>
      </w:r>
      <w:r w:rsidR="007623BB">
        <w:t xml:space="preserve"> </w:t>
      </w:r>
      <w:r w:rsidR="007623BB">
        <w:rPr>
          <w:rFonts w:ascii="Arial" w:hAnsi="Arial" w:cs="Arial"/>
          <w:sz w:val="20"/>
          <w:szCs w:val="20"/>
        </w:rPr>
        <w:t>(</w:t>
      </w:r>
      <w:r w:rsidR="007623BB" w:rsidRPr="008A72BB">
        <w:rPr>
          <w:rFonts w:ascii="Arial" w:hAnsi="Arial" w:cs="Arial"/>
          <w:sz w:val="20"/>
          <w:szCs w:val="20"/>
        </w:rPr>
        <w:t>PFAS</w:t>
      </w:r>
      <w:r w:rsidR="007623BB">
        <w:rPr>
          <w:rFonts w:ascii="Arial" w:hAnsi="Arial" w:cs="Arial"/>
          <w:sz w:val="20"/>
          <w:szCs w:val="20"/>
        </w:rPr>
        <w:t>)</w:t>
      </w:r>
      <w:r w:rsidR="007623BB" w:rsidRPr="008A72BB">
        <w:rPr>
          <w:rFonts w:ascii="Arial" w:hAnsi="Arial" w:cs="Arial"/>
          <w:sz w:val="20"/>
          <w:szCs w:val="20"/>
        </w:rPr>
        <w:t>.</w:t>
      </w:r>
      <w:r w:rsidR="007623BB">
        <w:rPr>
          <w:rFonts w:ascii="Arial" w:hAnsi="Arial" w:cs="Arial"/>
          <w:sz w:val="20"/>
          <w:szCs w:val="20"/>
        </w:rPr>
        <w:t xml:space="preserve"> </w:t>
      </w:r>
      <w:r w:rsidR="007623BB" w:rsidRPr="008A72BB">
        <w:rPr>
          <w:rFonts w:ascii="Arial" w:hAnsi="Arial" w:cs="Arial"/>
          <w:sz w:val="20"/>
          <w:szCs w:val="20"/>
        </w:rPr>
        <w:t>The Drinking Water Bureau developed a drinking water source sampling project to evaluate the presence and sources of PFAS in Idaho’s public drinking water. This monitoring will complement the monitoring done under EPA’s Third Unregulated Contaminant Monitoring Rule, where 33 of Idaho’s systems participated between 2013 and 2015 (none of these samples were over the method detection limit). Sampling</w:t>
      </w:r>
      <w:r w:rsidR="007623BB">
        <w:rPr>
          <w:rFonts w:ascii="Arial" w:hAnsi="Arial" w:cs="Arial"/>
          <w:sz w:val="20"/>
          <w:szCs w:val="20"/>
        </w:rPr>
        <w:t xml:space="preserve"> is voluntary. Sampling</w:t>
      </w:r>
      <w:r w:rsidR="007623BB" w:rsidRPr="008A72BB">
        <w:rPr>
          <w:rFonts w:ascii="Arial" w:hAnsi="Arial" w:cs="Arial"/>
          <w:sz w:val="20"/>
          <w:szCs w:val="20"/>
        </w:rPr>
        <w:t xml:space="preserve"> </w:t>
      </w:r>
      <w:r w:rsidR="007623BB">
        <w:rPr>
          <w:rFonts w:ascii="Arial" w:hAnsi="Arial" w:cs="Arial"/>
          <w:sz w:val="20"/>
          <w:szCs w:val="20"/>
        </w:rPr>
        <w:t xml:space="preserve">began </w:t>
      </w:r>
      <w:r w:rsidR="007623BB" w:rsidRPr="008A72BB">
        <w:rPr>
          <w:rFonts w:ascii="Arial" w:hAnsi="Arial" w:cs="Arial"/>
          <w:sz w:val="20"/>
          <w:szCs w:val="20"/>
        </w:rPr>
        <w:t xml:space="preserve">in spring 2021 and </w:t>
      </w:r>
      <w:r w:rsidR="007623BB">
        <w:rPr>
          <w:rFonts w:ascii="Arial" w:hAnsi="Arial" w:cs="Arial"/>
          <w:sz w:val="20"/>
          <w:szCs w:val="20"/>
        </w:rPr>
        <w:t xml:space="preserve">will </w:t>
      </w:r>
      <w:r w:rsidR="007623BB" w:rsidRPr="008A72BB">
        <w:rPr>
          <w:rFonts w:ascii="Arial" w:hAnsi="Arial" w:cs="Arial"/>
          <w:sz w:val="20"/>
          <w:szCs w:val="20"/>
        </w:rPr>
        <w:t xml:space="preserve">continue through 2022 or until funding is exhausted. </w:t>
      </w:r>
    </w:p>
    <w:p w14:paraId="2E534034" w14:textId="77777777" w:rsidR="00351372" w:rsidRPr="00351372" w:rsidRDefault="00351372" w:rsidP="007623BB">
      <w:pPr>
        <w:pStyle w:val="BodyText"/>
        <w:spacing w:after="160"/>
        <w:jc w:val="both"/>
        <w:rPr>
          <w:rFonts w:ascii="Arial" w:hAnsi="Arial"/>
          <w:sz w:val="20"/>
        </w:rPr>
      </w:pPr>
      <w:r w:rsidRPr="00351372">
        <w:rPr>
          <w:rFonts w:ascii="Arial" w:hAnsi="Arial"/>
          <w:sz w:val="20"/>
        </w:rPr>
        <w:t xml:space="preserve">The Surface and Wastewater Division completed evaluation and negotiated rulemaking under Executive Order No. 2020-01 (Zero-Based Regulation) for IDAPA 58.01.09 Rules Regulating Swine Facilities. This effort resulted in removing 115 restrictive words and a total of 2,394 words removed from the chapter. </w:t>
      </w:r>
    </w:p>
    <w:p w14:paraId="4AD2C9E8" w14:textId="77777777" w:rsidR="00612AB4" w:rsidRPr="00612AB4" w:rsidRDefault="00B24C2C" w:rsidP="00D648E2">
      <w:pPr>
        <w:pStyle w:val="BodyText"/>
        <w:spacing w:after="160"/>
        <w:jc w:val="both"/>
        <w:rPr>
          <w:rFonts w:ascii="Arial" w:hAnsi="Arial" w:cs="Arial"/>
          <w:sz w:val="20"/>
          <w:szCs w:val="20"/>
        </w:rPr>
      </w:pPr>
      <w:bookmarkStart w:id="7" w:name="OLE_LINK21"/>
      <w:bookmarkStart w:id="8" w:name="OLE_LINK22"/>
      <w:bookmarkEnd w:id="5"/>
      <w:bookmarkEnd w:id="6"/>
      <w:r w:rsidRPr="00B734AF">
        <w:rPr>
          <w:rFonts w:ascii="Arial" w:hAnsi="Arial" w:cs="Arial"/>
          <w:b/>
          <w:bCs/>
          <w:i/>
          <w:sz w:val="20"/>
          <w:szCs w:val="20"/>
        </w:rPr>
        <w:t>Waste Management and Remediation</w:t>
      </w:r>
      <w:r>
        <w:rPr>
          <w:rFonts w:ascii="Arial" w:hAnsi="Arial" w:cs="Arial"/>
          <w:bCs/>
          <w:sz w:val="20"/>
          <w:szCs w:val="20"/>
        </w:rPr>
        <w:t>—</w:t>
      </w:r>
      <w:r w:rsidR="00612AB4" w:rsidRPr="00612AB4">
        <w:rPr>
          <w:rFonts w:ascii="Arial" w:hAnsi="Arial" w:cs="Arial"/>
          <w:sz w:val="20"/>
          <w:szCs w:val="20"/>
        </w:rPr>
        <w:t>The Hazardous Waste Bureau developed a number of outreach materials to help the regulated community achieve better compliance. The program developed facts sheets on satellite accumulation areas and paint waste disposal in response to requests from generators. In March 2021, the Bureau held a virtual workshop covering a new rule, Management Standards for Hazardous Waste Pharmaceuticals, and developed a storyboard about the rule for the DEQ website. The universal waste fact sheet was updated to reflect the addition of aerosol cans to the list of hazardous wastes that may be managed under the streamlined universal waste rule.</w:t>
      </w:r>
    </w:p>
    <w:p w14:paraId="139899E8" w14:textId="77777777" w:rsidR="00612AB4" w:rsidRPr="00612AB4" w:rsidRDefault="00612AB4" w:rsidP="00D648E2">
      <w:pPr>
        <w:pStyle w:val="BodyText"/>
        <w:spacing w:after="160"/>
        <w:jc w:val="both"/>
        <w:rPr>
          <w:rFonts w:ascii="Arial" w:hAnsi="Arial" w:cs="Arial"/>
          <w:sz w:val="20"/>
          <w:szCs w:val="20"/>
        </w:rPr>
      </w:pPr>
      <w:r w:rsidRPr="00612AB4">
        <w:rPr>
          <w:rFonts w:ascii="Arial" w:hAnsi="Arial" w:cs="Arial"/>
          <w:sz w:val="20"/>
          <w:szCs w:val="20"/>
        </w:rPr>
        <w:t>The Hazardous Waste Bureau utilized EPA multipurpose grant funding to update the Idaho Hazardous Waste Annual Report (HWAR) software. The original HWAR software application was developed in 2004, and the software was no longer supported and did</w:t>
      </w:r>
      <w:r w:rsidR="00F71A63">
        <w:rPr>
          <w:rFonts w:ascii="Arial" w:hAnsi="Arial" w:cs="Arial"/>
          <w:sz w:val="20"/>
          <w:szCs w:val="20"/>
        </w:rPr>
        <w:t xml:space="preserve"> </w:t>
      </w:r>
      <w:r w:rsidRPr="00612AB4">
        <w:rPr>
          <w:rFonts w:ascii="Arial" w:hAnsi="Arial" w:cs="Arial"/>
          <w:sz w:val="20"/>
          <w:szCs w:val="20"/>
        </w:rPr>
        <w:t>n</w:t>
      </w:r>
      <w:r w:rsidR="00F71A63">
        <w:rPr>
          <w:rFonts w:ascii="Arial" w:hAnsi="Arial" w:cs="Arial"/>
          <w:sz w:val="20"/>
          <w:szCs w:val="20"/>
        </w:rPr>
        <w:t>o</w:t>
      </w:r>
      <w:r w:rsidRPr="00612AB4">
        <w:rPr>
          <w:rFonts w:ascii="Arial" w:hAnsi="Arial" w:cs="Arial"/>
          <w:sz w:val="20"/>
          <w:szCs w:val="20"/>
        </w:rPr>
        <w:t>t meet current server, network, and cybersecurity requirements. Between May and December 2020, DEQ contracted with a company to develop a new HWAR application that has improved functionality. Additionally, the Hazardous Waste Bureau has been working to put together an electronic Inspector Toolbox, which includes regulatory interpretations, templates, brochures and fact sheets,</w:t>
      </w:r>
      <w:r w:rsidR="00F71A63">
        <w:rPr>
          <w:rFonts w:ascii="Arial" w:hAnsi="Arial" w:cs="Arial"/>
          <w:sz w:val="20"/>
          <w:szCs w:val="20"/>
        </w:rPr>
        <w:t xml:space="preserve"> and</w:t>
      </w:r>
      <w:r w:rsidRPr="00612AB4">
        <w:rPr>
          <w:rFonts w:ascii="Arial" w:hAnsi="Arial" w:cs="Arial"/>
          <w:sz w:val="20"/>
          <w:szCs w:val="20"/>
        </w:rPr>
        <w:t xml:space="preserve"> checklists. The program has also implemented a training program for our new inspectors and implemented monthly trainings for the entire group.</w:t>
      </w:r>
    </w:p>
    <w:p w14:paraId="60551DD7" w14:textId="77777777" w:rsidR="00612AB4" w:rsidRPr="00612AB4" w:rsidRDefault="00612AB4" w:rsidP="0059693F">
      <w:pPr>
        <w:pStyle w:val="BodyText"/>
        <w:jc w:val="both"/>
        <w:rPr>
          <w:rFonts w:ascii="Arial" w:hAnsi="Arial" w:cs="Arial"/>
          <w:sz w:val="20"/>
          <w:szCs w:val="20"/>
        </w:rPr>
      </w:pPr>
      <w:r w:rsidRPr="00612AB4">
        <w:rPr>
          <w:rFonts w:ascii="Arial" w:hAnsi="Arial" w:cs="Arial"/>
          <w:sz w:val="20"/>
          <w:szCs w:val="20"/>
        </w:rPr>
        <w:t>The W</w:t>
      </w:r>
      <w:r w:rsidR="00F71A63">
        <w:rPr>
          <w:rFonts w:ascii="Arial" w:hAnsi="Arial" w:cs="Arial"/>
          <w:sz w:val="20"/>
          <w:szCs w:val="20"/>
        </w:rPr>
        <w:t>aste Management and Remediation</w:t>
      </w:r>
      <w:r w:rsidRPr="00612AB4">
        <w:rPr>
          <w:rFonts w:ascii="Arial" w:hAnsi="Arial" w:cs="Arial"/>
          <w:sz w:val="20"/>
          <w:szCs w:val="20"/>
        </w:rPr>
        <w:t xml:space="preserve"> Division completed evaluation and negotiated rulemaking pursuant to Executive Order No. 2020-01 (Zero</w:t>
      </w:r>
      <w:r w:rsidR="00F71A63">
        <w:rPr>
          <w:rFonts w:ascii="Arial" w:hAnsi="Arial" w:cs="Arial"/>
          <w:sz w:val="20"/>
          <w:szCs w:val="20"/>
        </w:rPr>
        <w:t>-</w:t>
      </w:r>
      <w:r w:rsidRPr="00612AB4">
        <w:rPr>
          <w:rFonts w:ascii="Arial" w:hAnsi="Arial" w:cs="Arial"/>
          <w:sz w:val="20"/>
          <w:szCs w:val="20"/>
        </w:rPr>
        <w:t>Based Regulation) of two rule chapters</w:t>
      </w:r>
      <w:r w:rsidR="00F71A63">
        <w:rPr>
          <w:rFonts w:ascii="Arial" w:hAnsi="Arial" w:cs="Arial"/>
          <w:sz w:val="20"/>
          <w:szCs w:val="20"/>
        </w:rPr>
        <w:t>:</w:t>
      </w:r>
      <w:r w:rsidRPr="00612AB4">
        <w:rPr>
          <w:rFonts w:ascii="Arial" w:hAnsi="Arial" w:cs="Arial"/>
          <w:sz w:val="20"/>
          <w:szCs w:val="20"/>
        </w:rPr>
        <w:t xml:space="preserve"> </w:t>
      </w:r>
      <w:r w:rsidR="00F71A63">
        <w:rPr>
          <w:rFonts w:ascii="Arial" w:hAnsi="Arial" w:cs="Arial"/>
          <w:sz w:val="20"/>
          <w:szCs w:val="20"/>
        </w:rPr>
        <w:t>(</w:t>
      </w:r>
      <w:r w:rsidRPr="00612AB4">
        <w:rPr>
          <w:rFonts w:ascii="Arial" w:hAnsi="Arial" w:cs="Arial"/>
          <w:sz w:val="20"/>
          <w:szCs w:val="20"/>
        </w:rPr>
        <w:t xml:space="preserve">1) the Rules and Standards for Hazardous Waste Management (IDAPA 58.01.05), removing 45 restrictive words and 957 total words from the chapter; and </w:t>
      </w:r>
      <w:r w:rsidR="00E43B3C">
        <w:rPr>
          <w:rFonts w:ascii="Arial" w:hAnsi="Arial" w:cs="Arial"/>
          <w:sz w:val="20"/>
          <w:szCs w:val="20"/>
        </w:rPr>
        <w:t>(2) the</w:t>
      </w:r>
      <w:r w:rsidRPr="00612AB4">
        <w:rPr>
          <w:rFonts w:ascii="Arial" w:hAnsi="Arial" w:cs="Arial"/>
          <w:sz w:val="20"/>
          <w:szCs w:val="20"/>
        </w:rPr>
        <w:t xml:space="preserve"> Land Remediation Rules (IDAPA 58.01.18)</w:t>
      </w:r>
      <w:r w:rsidR="00E43B3C">
        <w:rPr>
          <w:rFonts w:ascii="Arial" w:hAnsi="Arial" w:cs="Arial"/>
          <w:sz w:val="20"/>
          <w:szCs w:val="20"/>
        </w:rPr>
        <w:t>,</w:t>
      </w:r>
      <w:r w:rsidRPr="00612AB4">
        <w:rPr>
          <w:rFonts w:ascii="Arial" w:hAnsi="Arial" w:cs="Arial"/>
          <w:sz w:val="20"/>
          <w:szCs w:val="20"/>
        </w:rPr>
        <w:t xml:space="preserve"> removing 50 restrictive words and 3,498 words from the chapter.</w:t>
      </w:r>
      <w:r w:rsidR="00E136C2">
        <w:rPr>
          <w:rFonts w:ascii="Arial" w:hAnsi="Arial" w:cs="Arial"/>
          <w:sz w:val="20"/>
          <w:szCs w:val="20"/>
        </w:rPr>
        <w:t xml:space="preserve"> </w:t>
      </w:r>
    </w:p>
    <w:p w14:paraId="3C66A2AA" w14:textId="77777777" w:rsidR="00CC4B11" w:rsidRDefault="00CC4B11" w:rsidP="00E43B3C">
      <w:pPr>
        <w:keepNext/>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487B1A44" w14:textId="77777777" w:rsidR="00791D4C" w:rsidRPr="000357AA" w:rsidRDefault="00791D4C" w:rsidP="00E43B3C">
      <w:pPr>
        <w:keepNext/>
        <w:jc w:val="both"/>
        <w:rPr>
          <w:rFonts w:ascii="Arial" w:hAnsi="Arial" w:cs="Arial"/>
        </w:rPr>
      </w:pPr>
    </w:p>
    <w:p w14:paraId="35AB799F" w14:textId="77777777" w:rsidR="00C5434C" w:rsidRDefault="00C5434C" w:rsidP="00E43B3C">
      <w:pPr>
        <w:keepNext/>
        <w:jc w:val="both"/>
        <w:rPr>
          <w:rFonts w:ascii="Arial" w:hAnsi="Arial" w:cs="Arial"/>
          <w:sz w:val="20"/>
          <w:szCs w:val="20"/>
        </w:rPr>
      </w:pPr>
      <w:r w:rsidRPr="00045A3A">
        <w:rPr>
          <w:rFonts w:ascii="Arial" w:hAnsi="Arial" w:cs="Arial"/>
          <w:sz w:val="20"/>
          <w:szCs w:val="20"/>
        </w:rPr>
        <w:t>DEQ</w:t>
      </w:r>
      <w:r w:rsidR="004C666F">
        <w:rPr>
          <w:rFonts w:ascii="Arial" w:hAnsi="Arial" w:cs="Arial"/>
          <w:sz w:val="20"/>
          <w:szCs w:val="20"/>
        </w:rPr>
        <w:t>’s</w:t>
      </w:r>
      <w:r w:rsidRPr="00045A3A">
        <w:rPr>
          <w:rFonts w:ascii="Arial" w:hAnsi="Arial" w:cs="Arial"/>
          <w:sz w:val="20"/>
          <w:szCs w:val="20"/>
        </w:rPr>
        <w:t xml:space="preserve"> </w:t>
      </w:r>
      <w:r w:rsidR="00CC4B11">
        <w:rPr>
          <w:rFonts w:ascii="Arial" w:hAnsi="Arial" w:cs="Arial"/>
          <w:sz w:val="20"/>
          <w:szCs w:val="20"/>
        </w:rPr>
        <w:t>target</w:t>
      </w:r>
      <w:r w:rsidRPr="00045A3A">
        <w:rPr>
          <w:rFonts w:ascii="Arial" w:hAnsi="Arial" w:cs="Arial"/>
          <w:sz w:val="20"/>
          <w:szCs w:val="20"/>
        </w:rPr>
        <w:t xml:space="preserve"> performance measures</w:t>
      </w:r>
      <w:r w:rsidR="004C666F">
        <w:rPr>
          <w:rFonts w:ascii="Arial" w:hAnsi="Arial" w:cs="Arial"/>
          <w:sz w:val="20"/>
          <w:szCs w:val="20"/>
        </w:rPr>
        <w:t xml:space="preserve"> are used</w:t>
      </w:r>
      <w:r w:rsidRPr="00045A3A">
        <w:rPr>
          <w:rFonts w:ascii="Arial" w:hAnsi="Arial" w:cs="Arial"/>
          <w:sz w:val="20"/>
          <w:szCs w:val="20"/>
        </w:rPr>
        <w:t xml:space="preserve"> to track and report </w:t>
      </w:r>
      <w:r w:rsidR="006D4053">
        <w:rPr>
          <w:rFonts w:ascii="Arial" w:hAnsi="Arial" w:cs="Arial"/>
          <w:sz w:val="20"/>
          <w:szCs w:val="20"/>
        </w:rPr>
        <w:t xml:space="preserve">progress in meeting the overall agency goal of </w:t>
      </w:r>
      <w:r w:rsidRPr="00045A3A">
        <w:rPr>
          <w:rFonts w:ascii="Arial" w:hAnsi="Arial" w:cs="Arial"/>
          <w:sz w:val="20"/>
          <w:szCs w:val="20"/>
        </w:rPr>
        <w:t>protect</w:t>
      </w:r>
      <w:r w:rsidR="00F642A3">
        <w:rPr>
          <w:rFonts w:ascii="Arial" w:hAnsi="Arial" w:cs="Arial"/>
          <w:sz w:val="20"/>
          <w:szCs w:val="20"/>
        </w:rPr>
        <w:t>ing</w:t>
      </w:r>
      <w:r w:rsidRPr="00045A3A">
        <w:rPr>
          <w:rFonts w:ascii="Arial" w:hAnsi="Arial" w:cs="Arial"/>
          <w:sz w:val="20"/>
          <w:szCs w:val="20"/>
        </w:rPr>
        <w:t xml:space="preserve"> </w:t>
      </w:r>
      <w:r w:rsidR="006D4053">
        <w:rPr>
          <w:rFonts w:ascii="Arial" w:hAnsi="Arial" w:cs="Arial"/>
          <w:sz w:val="20"/>
          <w:szCs w:val="20"/>
        </w:rPr>
        <w:t>public</w:t>
      </w:r>
      <w:r w:rsidRPr="00045A3A">
        <w:rPr>
          <w:rFonts w:ascii="Arial" w:hAnsi="Arial" w:cs="Arial"/>
          <w:sz w:val="20"/>
          <w:szCs w:val="20"/>
        </w:rPr>
        <w:t xml:space="preserve"> health and the environment. </w:t>
      </w:r>
      <w:r w:rsidR="0053553D">
        <w:rPr>
          <w:rFonts w:ascii="Arial" w:hAnsi="Arial" w:cs="Arial"/>
          <w:sz w:val="20"/>
          <w:szCs w:val="20"/>
        </w:rPr>
        <w:t xml:space="preserve">These </w:t>
      </w:r>
      <w:r w:rsidR="00CC4B11">
        <w:rPr>
          <w:rFonts w:ascii="Arial" w:hAnsi="Arial" w:cs="Arial"/>
          <w:sz w:val="20"/>
          <w:szCs w:val="20"/>
        </w:rPr>
        <w:t>target</w:t>
      </w:r>
      <w:r w:rsidR="00581251">
        <w:rPr>
          <w:rFonts w:ascii="Arial" w:hAnsi="Arial" w:cs="Arial"/>
          <w:sz w:val="20"/>
          <w:szCs w:val="20"/>
        </w:rPr>
        <w:t>s</w:t>
      </w:r>
      <w:r w:rsidR="0053553D">
        <w:rPr>
          <w:rFonts w:ascii="Arial" w:hAnsi="Arial" w:cs="Arial"/>
          <w:sz w:val="20"/>
          <w:szCs w:val="20"/>
        </w:rPr>
        <w:t xml:space="preserve"> were chosen </w:t>
      </w:r>
      <w:r w:rsidR="00564599">
        <w:rPr>
          <w:rFonts w:ascii="Arial" w:hAnsi="Arial" w:cs="Arial"/>
          <w:sz w:val="20"/>
          <w:szCs w:val="20"/>
        </w:rPr>
        <w:t xml:space="preserve">because each </w:t>
      </w:r>
      <w:r w:rsidR="00581251">
        <w:rPr>
          <w:rFonts w:ascii="Arial" w:hAnsi="Arial" w:cs="Arial"/>
          <w:sz w:val="20"/>
          <w:szCs w:val="20"/>
        </w:rPr>
        <w:t xml:space="preserve">tracks measurable </w:t>
      </w:r>
      <w:r w:rsidR="0053553D">
        <w:rPr>
          <w:rFonts w:ascii="Arial" w:hAnsi="Arial" w:cs="Arial"/>
          <w:sz w:val="20"/>
          <w:szCs w:val="20"/>
        </w:rPr>
        <w:t xml:space="preserve">agency actions </w:t>
      </w:r>
      <w:r w:rsidR="00564599">
        <w:rPr>
          <w:rFonts w:ascii="Arial" w:hAnsi="Arial" w:cs="Arial"/>
          <w:sz w:val="20"/>
          <w:szCs w:val="20"/>
        </w:rPr>
        <w:t>and</w:t>
      </w:r>
      <w:r w:rsidR="0053553D">
        <w:rPr>
          <w:rFonts w:ascii="Arial" w:hAnsi="Arial" w:cs="Arial"/>
          <w:sz w:val="20"/>
          <w:szCs w:val="20"/>
        </w:rPr>
        <w:t xml:space="preserve"> reflect</w:t>
      </w:r>
      <w:r w:rsidR="00564599">
        <w:rPr>
          <w:rFonts w:ascii="Arial" w:hAnsi="Arial" w:cs="Arial"/>
          <w:sz w:val="20"/>
          <w:szCs w:val="20"/>
        </w:rPr>
        <w:t>s</w:t>
      </w:r>
      <w:r w:rsidR="0053553D">
        <w:rPr>
          <w:rFonts w:ascii="Arial" w:hAnsi="Arial" w:cs="Arial"/>
          <w:sz w:val="20"/>
          <w:szCs w:val="20"/>
        </w:rPr>
        <w:t xml:space="preserve"> an actual environmental or public health outcome </w:t>
      </w:r>
      <w:r w:rsidR="00CF718E">
        <w:rPr>
          <w:rFonts w:ascii="Arial" w:hAnsi="Arial" w:cs="Arial"/>
          <w:sz w:val="20"/>
          <w:szCs w:val="20"/>
        </w:rPr>
        <w:t xml:space="preserve">or </w:t>
      </w:r>
      <w:r w:rsidR="0053553D">
        <w:rPr>
          <w:rFonts w:ascii="Arial" w:hAnsi="Arial" w:cs="Arial"/>
          <w:sz w:val="20"/>
          <w:szCs w:val="20"/>
        </w:rPr>
        <w:t xml:space="preserve">result. </w:t>
      </w:r>
      <w:r w:rsidR="00CF718E">
        <w:rPr>
          <w:rFonts w:ascii="Arial" w:hAnsi="Arial" w:cs="Arial"/>
          <w:sz w:val="20"/>
          <w:szCs w:val="20"/>
        </w:rPr>
        <w:t>Each performance measure is</w:t>
      </w:r>
      <w:r w:rsidR="00581251">
        <w:rPr>
          <w:rFonts w:ascii="Arial" w:hAnsi="Arial" w:cs="Arial"/>
          <w:sz w:val="20"/>
          <w:szCs w:val="20"/>
        </w:rPr>
        <w:t xml:space="preserve"> </w:t>
      </w:r>
      <w:r w:rsidR="00A25A70">
        <w:rPr>
          <w:rFonts w:ascii="Arial" w:hAnsi="Arial" w:cs="Arial"/>
          <w:sz w:val="20"/>
          <w:szCs w:val="20"/>
        </w:rPr>
        <w:t xml:space="preserve">revisited annually </w:t>
      </w:r>
      <w:r w:rsidR="006D4053">
        <w:rPr>
          <w:rFonts w:ascii="Arial" w:hAnsi="Arial" w:cs="Arial"/>
          <w:sz w:val="20"/>
          <w:szCs w:val="20"/>
        </w:rPr>
        <w:t xml:space="preserve">through the strategic planning process </w:t>
      </w:r>
      <w:r w:rsidR="00A25A70">
        <w:rPr>
          <w:rFonts w:ascii="Arial" w:hAnsi="Arial" w:cs="Arial"/>
          <w:sz w:val="20"/>
          <w:szCs w:val="20"/>
        </w:rPr>
        <w:t xml:space="preserve">to ensure </w:t>
      </w:r>
      <w:r w:rsidR="006D4053">
        <w:rPr>
          <w:rFonts w:ascii="Arial" w:hAnsi="Arial" w:cs="Arial"/>
          <w:sz w:val="20"/>
          <w:szCs w:val="20"/>
        </w:rPr>
        <w:t xml:space="preserve">its continued </w:t>
      </w:r>
      <w:r w:rsidR="00A25A70">
        <w:rPr>
          <w:rFonts w:ascii="Arial" w:hAnsi="Arial" w:cs="Arial"/>
          <w:sz w:val="20"/>
          <w:szCs w:val="20"/>
        </w:rPr>
        <w:t>relevance</w:t>
      </w:r>
      <w:r w:rsidR="006D4053">
        <w:rPr>
          <w:rFonts w:ascii="Arial" w:hAnsi="Arial" w:cs="Arial"/>
          <w:sz w:val="20"/>
          <w:szCs w:val="20"/>
        </w:rPr>
        <w:t>.</w:t>
      </w:r>
    </w:p>
    <w:p w14:paraId="0E659737" w14:textId="77777777" w:rsidR="00791D4C" w:rsidRDefault="00791D4C" w:rsidP="00A605E7">
      <w:pPr>
        <w:jc w:val="both"/>
        <w:rPr>
          <w:rFonts w:ascii="Arial" w:hAnsi="Arial" w:cs="Arial"/>
          <w:b/>
          <w:sz w:val="20"/>
          <w:szCs w:val="20"/>
        </w:rPr>
      </w:pPr>
    </w:p>
    <w:p w14:paraId="6A66D346" w14:textId="77777777" w:rsidR="0068505D" w:rsidRDefault="0068505D" w:rsidP="000357AA">
      <w:pPr>
        <w:jc w:val="both"/>
        <w:rPr>
          <w:rFonts w:ascii="Arial" w:hAnsi="Arial" w:cs="Arial"/>
          <w:b/>
          <w:sz w:val="20"/>
          <w:szCs w:val="20"/>
        </w:rPr>
      </w:pPr>
      <w:r w:rsidRPr="00D34506">
        <w:rPr>
          <w:rFonts w:ascii="Arial" w:hAnsi="Arial" w:cs="Arial"/>
          <w:b/>
          <w:sz w:val="20"/>
          <w:szCs w:val="20"/>
        </w:rPr>
        <w:t>Goals and Performance Measures</w:t>
      </w:r>
    </w:p>
    <w:p w14:paraId="05C40A69" w14:textId="57E0D89E" w:rsidR="0068505D" w:rsidRDefault="00F90FAC" w:rsidP="00A605E7">
      <w:pPr>
        <w:jc w:val="both"/>
        <w:rPr>
          <w:rFonts w:ascii="Arial" w:hAnsi="Arial" w:cs="Arial"/>
          <w:sz w:val="20"/>
          <w:szCs w:val="20"/>
        </w:rPr>
      </w:pPr>
      <w:r>
        <w:rPr>
          <w:rFonts w:ascii="Arial" w:hAnsi="Arial" w:cs="Arial"/>
          <w:sz w:val="20"/>
          <w:szCs w:val="20"/>
        </w:rPr>
        <w:t>W</w:t>
      </w:r>
      <w:r w:rsidR="00B40FAC" w:rsidRPr="00B40FAC">
        <w:rPr>
          <w:rFonts w:ascii="Arial" w:hAnsi="Arial" w:cs="Arial"/>
          <w:sz w:val="20"/>
          <w:szCs w:val="20"/>
        </w:rPr>
        <w:t>e successfully completed several objectives</w:t>
      </w:r>
      <w:r w:rsidR="000B4DB9">
        <w:rPr>
          <w:rFonts w:ascii="Arial" w:hAnsi="Arial" w:cs="Arial"/>
          <w:sz w:val="20"/>
          <w:szCs w:val="20"/>
        </w:rPr>
        <w:t xml:space="preserve"> that improved air quality, prioritized impaired waters, and identified new, existing contaminated sites.</w:t>
      </w:r>
      <w:r w:rsidR="00B40FAC" w:rsidRPr="00B40FAC">
        <w:rPr>
          <w:rFonts w:ascii="Arial" w:hAnsi="Arial" w:cs="Arial"/>
          <w:sz w:val="20"/>
          <w:szCs w:val="20"/>
        </w:rPr>
        <w:t xml:space="preserve"> </w:t>
      </w:r>
      <w:r w:rsidR="000B4DB9">
        <w:rPr>
          <w:rFonts w:ascii="Arial" w:hAnsi="Arial" w:cs="Arial"/>
          <w:sz w:val="20"/>
          <w:szCs w:val="20"/>
        </w:rPr>
        <w:t>As a result, the</w:t>
      </w:r>
      <w:r w:rsidR="00B40FAC">
        <w:rPr>
          <w:rFonts w:ascii="Arial" w:hAnsi="Arial" w:cs="Arial"/>
          <w:sz w:val="20"/>
          <w:szCs w:val="20"/>
        </w:rPr>
        <w:t xml:space="preserve"> </w:t>
      </w:r>
      <w:r w:rsidR="00B40FAC" w:rsidRPr="00B40FAC">
        <w:rPr>
          <w:rFonts w:ascii="Arial" w:hAnsi="Arial" w:cs="Arial"/>
          <w:sz w:val="20"/>
          <w:szCs w:val="20"/>
        </w:rPr>
        <w:t>Air Quality</w:t>
      </w:r>
      <w:r w:rsidR="00B40FAC">
        <w:rPr>
          <w:rFonts w:ascii="Arial" w:hAnsi="Arial" w:cs="Arial"/>
          <w:sz w:val="20"/>
          <w:szCs w:val="20"/>
        </w:rPr>
        <w:t>, Water Quality</w:t>
      </w:r>
      <w:r w:rsidR="000B4DB9">
        <w:rPr>
          <w:rFonts w:ascii="Arial" w:hAnsi="Arial" w:cs="Arial"/>
          <w:sz w:val="20"/>
          <w:szCs w:val="20"/>
        </w:rPr>
        <w:t>,</w:t>
      </w:r>
      <w:r w:rsidR="00B40FAC">
        <w:rPr>
          <w:rFonts w:ascii="Arial" w:hAnsi="Arial" w:cs="Arial"/>
          <w:sz w:val="20"/>
          <w:szCs w:val="20"/>
        </w:rPr>
        <w:t xml:space="preserve"> and Waste Management and Remediation </w:t>
      </w:r>
      <w:r w:rsidR="00B40FAC" w:rsidRPr="00B40FAC">
        <w:rPr>
          <w:rFonts w:ascii="Arial" w:hAnsi="Arial" w:cs="Arial"/>
          <w:sz w:val="20"/>
          <w:szCs w:val="20"/>
        </w:rPr>
        <w:t>Division</w:t>
      </w:r>
      <w:r w:rsidR="00B40FAC">
        <w:rPr>
          <w:rFonts w:ascii="Arial" w:hAnsi="Arial" w:cs="Arial"/>
          <w:sz w:val="20"/>
          <w:szCs w:val="20"/>
        </w:rPr>
        <w:t>s</w:t>
      </w:r>
      <w:r w:rsidR="000B4DB9">
        <w:rPr>
          <w:rFonts w:ascii="Arial" w:hAnsi="Arial" w:cs="Arial"/>
          <w:sz w:val="20"/>
          <w:szCs w:val="20"/>
        </w:rPr>
        <w:t xml:space="preserve"> </w:t>
      </w:r>
      <w:r w:rsidR="00F45397">
        <w:rPr>
          <w:rFonts w:ascii="Arial" w:hAnsi="Arial" w:cs="Arial"/>
          <w:sz w:val="20"/>
          <w:szCs w:val="20"/>
        </w:rPr>
        <w:t>developed</w:t>
      </w:r>
      <w:r>
        <w:rPr>
          <w:rFonts w:ascii="Arial" w:hAnsi="Arial" w:cs="Arial"/>
          <w:sz w:val="20"/>
          <w:szCs w:val="20"/>
        </w:rPr>
        <w:t xml:space="preserve"> new</w:t>
      </w:r>
      <w:r w:rsidR="00F45397">
        <w:rPr>
          <w:rFonts w:ascii="Arial" w:hAnsi="Arial" w:cs="Arial"/>
          <w:sz w:val="20"/>
          <w:szCs w:val="20"/>
        </w:rPr>
        <w:t xml:space="preserve"> </w:t>
      </w:r>
      <w:r w:rsidR="000B4DB9">
        <w:rPr>
          <w:rFonts w:ascii="Arial" w:hAnsi="Arial" w:cs="Arial"/>
          <w:sz w:val="20"/>
          <w:szCs w:val="20"/>
        </w:rPr>
        <w:t>objectives for the next fiscal year</w:t>
      </w:r>
      <w:r w:rsidR="00B40FAC" w:rsidRPr="00B40FAC">
        <w:rPr>
          <w:rFonts w:ascii="Arial" w:hAnsi="Arial" w:cs="Arial"/>
          <w:sz w:val="20"/>
          <w:szCs w:val="20"/>
        </w:rPr>
        <w:t>.</w:t>
      </w:r>
      <w:r w:rsidR="000B4DB9">
        <w:rPr>
          <w:rFonts w:ascii="Arial" w:hAnsi="Arial" w:cs="Arial"/>
          <w:sz w:val="20"/>
          <w:szCs w:val="20"/>
        </w:rPr>
        <w:t xml:space="preserve"> </w:t>
      </w:r>
      <w:r w:rsidR="0068505D">
        <w:rPr>
          <w:rFonts w:ascii="Arial" w:hAnsi="Arial" w:cs="Arial"/>
          <w:sz w:val="20"/>
          <w:szCs w:val="20"/>
        </w:rPr>
        <w:t xml:space="preserve">FY </w:t>
      </w:r>
      <w:r w:rsidR="0068505D" w:rsidRPr="00045A3A">
        <w:rPr>
          <w:rFonts w:ascii="Arial" w:hAnsi="Arial" w:cs="Arial"/>
          <w:sz w:val="20"/>
          <w:szCs w:val="20"/>
        </w:rPr>
        <w:t>20</w:t>
      </w:r>
      <w:r w:rsidR="00251ECF">
        <w:rPr>
          <w:rFonts w:ascii="Arial" w:hAnsi="Arial" w:cs="Arial"/>
          <w:sz w:val="20"/>
          <w:szCs w:val="20"/>
        </w:rPr>
        <w:t>2</w:t>
      </w:r>
      <w:r w:rsidR="00857892">
        <w:rPr>
          <w:rFonts w:ascii="Arial" w:hAnsi="Arial" w:cs="Arial"/>
          <w:sz w:val="20"/>
          <w:szCs w:val="20"/>
        </w:rPr>
        <w:t>2</w:t>
      </w:r>
      <w:r w:rsidR="0068505D">
        <w:rPr>
          <w:rFonts w:ascii="Arial" w:hAnsi="Arial" w:cs="Arial"/>
          <w:sz w:val="20"/>
          <w:szCs w:val="20"/>
        </w:rPr>
        <w:t xml:space="preserve"> targets</w:t>
      </w:r>
      <w:r w:rsidR="0068505D" w:rsidRPr="00045A3A">
        <w:rPr>
          <w:rFonts w:ascii="Arial" w:hAnsi="Arial" w:cs="Arial"/>
          <w:sz w:val="20"/>
          <w:szCs w:val="20"/>
        </w:rPr>
        <w:t xml:space="preserve"> are </w:t>
      </w:r>
      <w:r w:rsidR="0068505D">
        <w:rPr>
          <w:rFonts w:ascii="Arial" w:hAnsi="Arial" w:cs="Arial"/>
          <w:sz w:val="20"/>
          <w:szCs w:val="20"/>
        </w:rPr>
        <w:t>provided in the Goals and Performance Measures table.</w:t>
      </w:r>
    </w:p>
    <w:p w14:paraId="4CD019C9" w14:textId="77777777" w:rsidR="002856C8" w:rsidRDefault="002856C8" w:rsidP="00A605E7">
      <w:pPr>
        <w:jc w:val="both"/>
        <w:rPr>
          <w:rFonts w:ascii="Arial" w:hAnsi="Arial" w:cs="Arial"/>
          <w:sz w:val="20"/>
          <w:szCs w:val="20"/>
        </w:rPr>
      </w:pPr>
    </w:p>
    <w:p w14:paraId="667A2456" w14:textId="065BD8D3" w:rsidR="0068505D" w:rsidRPr="00B21850" w:rsidRDefault="0068505D" w:rsidP="00A605E7">
      <w:pPr>
        <w:pStyle w:val="Listparaafterbullet"/>
        <w:ind w:left="0"/>
        <w:jc w:val="both"/>
        <w:rPr>
          <w:rFonts w:ascii="Arial" w:hAnsi="Arial" w:cs="Arial"/>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1</w:t>
      </w:r>
      <w:r w:rsidRPr="00B21850">
        <w:rPr>
          <w:rFonts w:ascii="Arial" w:hAnsi="Arial" w:cs="Arial"/>
          <w:sz w:val="20"/>
          <w:szCs w:val="20"/>
        </w:rPr>
        <w:t xml:space="preserve">—The target of </w:t>
      </w:r>
      <w:r>
        <w:rPr>
          <w:rFonts w:ascii="Arial" w:hAnsi="Arial" w:cs="Arial"/>
          <w:sz w:val="20"/>
          <w:szCs w:val="20"/>
        </w:rPr>
        <w:t>zero d</w:t>
      </w:r>
      <w:r w:rsidRPr="00B21850">
        <w:rPr>
          <w:rFonts w:ascii="Arial" w:hAnsi="Arial" w:cs="Arial"/>
          <w:sz w:val="20"/>
          <w:szCs w:val="20"/>
        </w:rPr>
        <w:t xml:space="preserve">ays is based on </w:t>
      </w:r>
      <w:r w:rsidR="00175C43">
        <w:rPr>
          <w:rFonts w:ascii="Arial" w:hAnsi="Arial" w:cs="Arial"/>
          <w:sz w:val="20"/>
          <w:szCs w:val="20"/>
        </w:rPr>
        <w:t>2</w:t>
      </w:r>
      <w:r w:rsidR="00413A77" w:rsidRPr="00B21850">
        <w:rPr>
          <w:rFonts w:ascii="Arial" w:hAnsi="Arial" w:cs="Arial"/>
          <w:sz w:val="20"/>
          <w:szCs w:val="20"/>
        </w:rPr>
        <w:t xml:space="preserve"> </w:t>
      </w:r>
      <w:r w:rsidRPr="00B21850">
        <w:rPr>
          <w:rFonts w:ascii="Arial" w:hAnsi="Arial" w:cs="Arial"/>
          <w:sz w:val="20"/>
          <w:szCs w:val="20"/>
        </w:rPr>
        <w:t xml:space="preserve">days in unhealthy range in </w:t>
      </w:r>
      <w:r w:rsidR="0039407F">
        <w:rPr>
          <w:rFonts w:ascii="Arial" w:hAnsi="Arial" w:cs="Arial"/>
          <w:sz w:val="20"/>
          <w:szCs w:val="20"/>
        </w:rPr>
        <w:t>F</w:t>
      </w:r>
      <w:r w:rsidRPr="00B21850">
        <w:rPr>
          <w:rFonts w:ascii="Arial" w:hAnsi="Arial" w:cs="Arial"/>
          <w:sz w:val="20"/>
          <w:szCs w:val="20"/>
        </w:rPr>
        <w:t>Y</w:t>
      </w:r>
      <w:r>
        <w:rPr>
          <w:rFonts w:ascii="Arial" w:hAnsi="Arial" w:cs="Arial"/>
          <w:sz w:val="20"/>
          <w:szCs w:val="20"/>
        </w:rPr>
        <w:t xml:space="preserve"> </w:t>
      </w:r>
      <w:r w:rsidRPr="00B21850">
        <w:rPr>
          <w:rFonts w:ascii="Arial" w:hAnsi="Arial" w:cs="Arial"/>
          <w:sz w:val="20"/>
          <w:szCs w:val="20"/>
        </w:rPr>
        <w:t>20</w:t>
      </w:r>
      <w:r w:rsidR="00175C43">
        <w:rPr>
          <w:rFonts w:ascii="Arial" w:hAnsi="Arial" w:cs="Arial"/>
          <w:sz w:val="20"/>
          <w:szCs w:val="20"/>
        </w:rPr>
        <w:t>20</w:t>
      </w:r>
      <w:r w:rsidRPr="00B21850">
        <w:rPr>
          <w:rFonts w:ascii="Arial" w:hAnsi="Arial" w:cs="Arial"/>
          <w:sz w:val="20"/>
          <w:szCs w:val="20"/>
        </w:rPr>
        <w:t>. This performance measure is determined by any single air monitor reaching unhealthy</w:t>
      </w:r>
      <w:r w:rsidR="0039407F">
        <w:rPr>
          <w:rFonts w:ascii="Arial" w:hAnsi="Arial" w:cs="Arial"/>
          <w:sz w:val="20"/>
          <w:szCs w:val="20"/>
        </w:rPr>
        <w:t xml:space="preserve">, which is identified as </w:t>
      </w:r>
      <w:r w:rsidRPr="002622E5">
        <w:rPr>
          <w:rFonts w:ascii="Arial" w:hAnsi="Arial" w:cs="Arial"/>
          <w:i/>
          <w:sz w:val="20"/>
          <w:szCs w:val="20"/>
        </w:rPr>
        <w:t>red</w:t>
      </w:r>
      <w:r w:rsidRPr="00B21850">
        <w:rPr>
          <w:rFonts w:ascii="Arial" w:hAnsi="Arial" w:cs="Arial"/>
          <w:sz w:val="20"/>
          <w:szCs w:val="20"/>
        </w:rPr>
        <w:t xml:space="preserve"> </w:t>
      </w:r>
      <w:r w:rsidR="0039407F">
        <w:rPr>
          <w:rFonts w:ascii="Arial" w:hAnsi="Arial" w:cs="Arial"/>
          <w:sz w:val="20"/>
          <w:szCs w:val="20"/>
        </w:rPr>
        <w:t>on the Air Quality Index (AQI)</w:t>
      </w:r>
      <w:r w:rsidRPr="00B21850">
        <w:rPr>
          <w:rFonts w:ascii="Arial" w:hAnsi="Arial" w:cs="Arial"/>
          <w:sz w:val="20"/>
          <w:szCs w:val="20"/>
        </w:rPr>
        <w:t xml:space="preserve"> </w:t>
      </w:r>
      <w:r w:rsidR="0039407F">
        <w:rPr>
          <w:rFonts w:ascii="Arial" w:hAnsi="Arial" w:cs="Arial"/>
          <w:sz w:val="20"/>
          <w:szCs w:val="20"/>
        </w:rPr>
        <w:t>scale</w:t>
      </w:r>
      <w:r w:rsidRPr="00B21850">
        <w:rPr>
          <w:rFonts w:ascii="Arial" w:hAnsi="Arial" w:cs="Arial"/>
          <w:sz w:val="20"/>
          <w:szCs w:val="20"/>
        </w:rPr>
        <w:t>. If multiple air monitors reach unhealthy air quality levels on the same day, it still count</w:t>
      </w:r>
      <w:r>
        <w:rPr>
          <w:rFonts w:ascii="Arial" w:hAnsi="Arial" w:cs="Arial"/>
          <w:sz w:val="20"/>
          <w:szCs w:val="20"/>
        </w:rPr>
        <w:t xml:space="preserve">s </w:t>
      </w:r>
      <w:r w:rsidRPr="00B21850">
        <w:rPr>
          <w:rFonts w:ascii="Arial" w:hAnsi="Arial" w:cs="Arial"/>
          <w:sz w:val="20"/>
          <w:szCs w:val="20"/>
        </w:rPr>
        <w:t>as 1 day.</w:t>
      </w:r>
      <w:r w:rsidR="0039407F">
        <w:rPr>
          <w:rFonts w:ascii="Arial" w:hAnsi="Arial" w:cs="Arial"/>
          <w:sz w:val="20"/>
          <w:szCs w:val="20"/>
        </w:rPr>
        <w:t xml:space="preserve"> </w:t>
      </w:r>
      <w:r w:rsidR="005D6898">
        <w:rPr>
          <w:rFonts w:ascii="Arial" w:hAnsi="Arial" w:cs="Arial"/>
          <w:sz w:val="20"/>
          <w:szCs w:val="20"/>
        </w:rPr>
        <w:t xml:space="preserve">A </w:t>
      </w:r>
      <w:r w:rsidR="0039407F">
        <w:rPr>
          <w:rFonts w:ascii="Arial" w:hAnsi="Arial" w:cs="Arial"/>
          <w:sz w:val="20"/>
          <w:szCs w:val="20"/>
        </w:rPr>
        <w:t>vast majority of measured unhealthy days can result from exceptional events such as wildfire and dust.</w:t>
      </w:r>
    </w:p>
    <w:p w14:paraId="76D0DBCB" w14:textId="77777777" w:rsidR="0068505D" w:rsidRPr="00B21850" w:rsidRDefault="0068505D" w:rsidP="00A605E7">
      <w:pPr>
        <w:pStyle w:val="Listparaafterbullet"/>
        <w:ind w:left="0"/>
        <w:jc w:val="both"/>
        <w:rPr>
          <w:rFonts w:ascii="Arial" w:hAnsi="Arial" w:cs="Arial"/>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2</w:t>
      </w:r>
      <w:r w:rsidRPr="00B21850">
        <w:rPr>
          <w:rFonts w:ascii="Arial" w:hAnsi="Arial" w:cs="Arial"/>
          <w:sz w:val="20"/>
          <w:szCs w:val="20"/>
        </w:rPr>
        <w:t>—Derived from DEQ’s 201</w:t>
      </w:r>
      <w:r w:rsidR="00857892">
        <w:rPr>
          <w:rFonts w:ascii="Arial" w:hAnsi="Arial" w:cs="Arial"/>
          <w:sz w:val="20"/>
          <w:szCs w:val="20"/>
        </w:rPr>
        <w:t>8</w:t>
      </w:r>
      <w:r w:rsidR="00224B6B">
        <w:rPr>
          <w:rFonts w:ascii="Arial" w:hAnsi="Arial" w:cs="Arial"/>
          <w:sz w:val="20"/>
          <w:szCs w:val="20"/>
        </w:rPr>
        <w:t>–</w:t>
      </w:r>
      <w:r w:rsidR="00857892">
        <w:rPr>
          <w:rFonts w:ascii="Arial" w:hAnsi="Arial" w:cs="Arial"/>
          <w:sz w:val="20"/>
          <w:szCs w:val="20"/>
        </w:rPr>
        <w:t>2020</w:t>
      </w:r>
      <w:r w:rsidRPr="00B21850">
        <w:rPr>
          <w:rFonts w:ascii="Arial" w:hAnsi="Arial" w:cs="Arial"/>
          <w:sz w:val="20"/>
          <w:szCs w:val="20"/>
        </w:rPr>
        <w:t xml:space="preserve"> Integrated Report, this performance measure </w:t>
      </w:r>
      <w:r>
        <w:rPr>
          <w:rFonts w:ascii="Arial" w:hAnsi="Arial" w:cs="Arial"/>
          <w:sz w:val="20"/>
          <w:szCs w:val="20"/>
        </w:rPr>
        <w:t>compares</w:t>
      </w:r>
      <w:r w:rsidRPr="00B21850">
        <w:rPr>
          <w:rFonts w:ascii="Arial" w:hAnsi="Arial" w:cs="Arial"/>
          <w:sz w:val="20"/>
          <w:szCs w:val="20"/>
        </w:rPr>
        <w:t xml:space="preserve"> </w:t>
      </w:r>
      <w:r>
        <w:rPr>
          <w:rFonts w:ascii="Arial" w:hAnsi="Arial" w:cs="Arial"/>
          <w:sz w:val="20"/>
          <w:szCs w:val="20"/>
        </w:rPr>
        <w:t xml:space="preserve">the number of </w:t>
      </w:r>
      <w:r w:rsidRPr="00B21850">
        <w:rPr>
          <w:rFonts w:ascii="Arial" w:hAnsi="Arial" w:cs="Arial"/>
          <w:sz w:val="20"/>
          <w:szCs w:val="20"/>
        </w:rPr>
        <w:t xml:space="preserve">river </w:t>
      </w:r>
      <w:r>
        <w:rPr>
          <w:rFonts w:ascii="Arial" w:hAnsi="Arial" w:cs="Arial"/>
          <w:sz w:val="20"/>
          <w:szCs w:val="20"/>
        </w:rPr>
        <w:t xml:space="preserve">and stream </w:t>
      </w:r>
      <w:r w:rsidRPr="00B21850">
        <w:rPr>
          <w:rFonts w:ascii="Arial" w:hAnsi="Arial" w:cs="Arial"/>
          <w:sz w:val="20"/>
          <w:szCs w:val="20"/>
        </w:rPr>
        <w:t xml:space="preserve">miles </w:t>
      </w:r>
      <w:r>
        <w:rPr>
          <w:rFonts w:ascii="Arial" w:hAnsi="Arial" w:cs="Arial"/>
          <w:sz w:val="20"/>
          <w:szCs w:val="20"/>
        </w:rPr>
        <w:t xml:space="preserve">that support beneficial uses to the number of </w:t>
      </w:r>
      <w:r w:rsidRPr="00B21850">
        <w:rPr>
          <w:rFonts w:ascii="Arial" w:hAnsi="Arial" w:cs="Arial"/>
          <w:sz w:val="20"/>
          <w:szCs w:val="20"/>
        </w:rPr>
        <w:t>assessed river and stream</w:t>
      </w:r>
      <w:r>
        <w:rPr>
          <w:rFonts w:ascii="Arial" w:hAnsi="Arial" w:cs="Arial"/>
          <w:sz w:val="20"/>
          <w:szCs w:val="20"/>
        </w:rPr>
        <w:t xml:space="preserve"> miles.</w:t>
      </w:r>
      <w:r w:rsidR="00F90FAC">
        <w:rPr>
          <w:rFonts w:ascii="Arial" w:hAnsi="Arial" w:cs="Arial"/>
          <w:sz w:val="20"/>
          <w:szCs w:val="20"/>
        </w:rPr>
        <w:t xml:space="preserve"> </w:t>
      </w:r>
    </w:p>
    <w:p w14:paraId="458CF1CF" w14:textId="77777777" w:rsidR="0068505D" w:rsidRPr="00B21850" w:rsidRDefault="0068505D" w:rsidP="00A605E7">
      <w:pPr>
        <w:pStyle w:val="Listparaafterbullet"/>
        <w:ind w:left="0"/>
        <w:jc w:val="both"/>
        <w:rPr>
          <w:rFonts w:ascii="Arial" w:hAnsi="Arial" w:cs="Arial"/>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3</w:t>
      </w:r>
      <w:r w:rsidRPr="00B21850">
        <w:rPr>
          <w:rFonts w:ascii="Arial" w:hAnsi="Arial" w:cs="Arial"/>
          <w:sz w:val="20"/>
          <w:szCs w:val="20"/>
        </w:rPr>
        <w:t>—</w:t>
      </w:r>
      <w:r w:rsidR="006D07C0">
        <w:rPr>
          <w:rFonts w:ascii="Arial" w:hAnsi="Arial" w:cs="Arial"/>
          <w:sz w:val="20"/>
          <w:szCs w:val="20"/>
        </w:rPr>
        <w:t>Since issu</w:t>
      </w:r>
      <w:r w:rsidR="00B24120">
        <w:rPr>
          <w:rFonts w:ascii="Arial" w:hAnsi="Arial" w:cs="Arial"/>
          <w:sz w:val="20"/>
          <w:szCs w:val="20"/>
        </w:rPr>
        <w:t>ing</w:t>
      </w:r>
      <w:r w:rsidR="006D07C0">
        <w:rPr>
          <w:rFonts w:ascii="Arial" w:hAnsi="Arial" w:cs="Arial"/>
          <w:sz w:val="20"/>
          <w:szCs w:val="20"/>
        </w:rPr>
        <w:t xml:space="preserve"> the strategic plan in July 2021, the numbers for this measure have been updated. </w:t>
      </w:r>
      <w:r w:rsidR="00550355">
        <w:rPr>
          <w:rFonts w:ascii="Arial" w:hAnsi="Arial" w:cs="Arial"/>
          <w:sz w:val="20"/>
          <w:szCs w:val="20"/>
        </w:rPr>
        <w:t>Based on the beginning of the state fiscal year, t</w:t>
      </w:r>
      <w:r w:rsidRPr="00B21850">
        <w:rPr>
          <w:rFonts w:ascii="Arial" w:hAnsi="Arial" w:cs="Arial"/>
          <w:sz w:val="20"/>
          <w:szCs w:val="20"/>
        </w:rPr>
        <w:t xml:space="preserve">he target of </w:t>
      </w:r>
      <w:r w:rsidR="001B3086">
        <w:rPr>
          <w:rFonts w:ascii="Arial" w:hAnsi="Arial" w:cs="Arial"/>
          <w:sz w:val="20"/>
          <w:szCs w:val="20"/>
        </w:rPr>
        <w:t>204</w:t>
      </w:r>
      <w:r w:rsidRPr="00B21850">
        <w:rPr>
          <w:rFonts w:ascii="Arial" w:hAnsi="Arial" w:cs="Arial"/>
          <w:sz w:val="20"/>
          <w:szCs w:val="20"/>
        </w:rPr>
        <w:t xml:space="preserve"> sites</w:t>
      </w:r>
      <w:r w:rsidR="006D07C0">
        <w:rPr>
          <w:rFonts w:ascii="Arial" w:hAnsi="Arial" w:cs="Arial"/>
          <w:sz w:val="20"/>
          <w:szCs w:val="20"/>
        </w:rPr>
        <w:t xml:space="preserve"> is a</w:t>
      </w:r>
      <w:r w:rsidRPr="00B21850">
        <w:rPr>
          <w:rFonts w:ascii="Arial" w:hAnsi="Arial" w:cs="Arial"/>
          <w:sz w:val="20"/>
          <w:szCs w:val="20"/>
        </w:rPr>
        <w:t xml:space="preserve"> 10% reduction in the </w:t>
      </w:r>
      <w:r w:rsidR="001B3086">
        <w:rPr>
          <w:rFonts w:ascii="Arial" w:hAnsi="Arial" w:cs="Arial"/>
          <w:sz w:val="20"/>
          <w:szCs w:val="20"/>
        </w:rPr>
        <w:t>227</w:t>
      </w:r>
      <w:r w:rsidR="001B3086" w:rsidRPr="00B21850">
        <w:rPr>
          <w:rFonts w:ascii="Arial" w:hAnsi="Arial" w:cs="Arial"/>
          <w:sz w:val="20"/>
          <w:szCs w:val="20"/>
        </w:rPr>
        <w:t xml:space="preserve"> </w:t>
      </w:r>
      <w:r w:rsidRPr="00B21850">
        <w:rPr>
          <w:rFonts w:ascii="Arial" w:hAnsi="Arial" w:cs="Arial"/>
          <w:sz w:val="20"/>
          <w:szCs w:val="20"/>
        </w:rPr>
        <w:t>open contaminated sites</w:t>
      </w:r>
      <w:r w:rsidR="001B3086">
        <w:rPr>
          <w:rFonts w:ascii="Arial" w:hAnsi="Arial" w:cs="Arial"/>
          <w:sz w:val="20"/>
          <w:szCs w:val="20"/>
        </w:rPr>
        <w:t xml:space="preserve"> </w:t>
      </w:r>
      <w:r w:rsidRPr="00B21850">
        <w:rPr>
          <w:rFonts w:ascii="Arial" w:hAnsi="Arial" w:cs="Arial"/>
          <w:sz w:val="20"/>
          <w:szCs w:val="20"/>
        </w:rPr>
        <w:t>(</w:t>
      </w:r>
      <w:r w:rsidR="001B3086">
        <w:rPr>
          <w:rFonts w:ascii="Arial" w:hAnsi="Arial" w:cs="Arial"/>
          <w:sz w:val="20"/>
          <w:szCs w:val="20"/>
        </w:rPr>
        <w:t>3</w:t>
      </w:r>
      <w:r w:rsidR="006D07C0">
        <w:rPr>
          <w:rFonts w:ascii="Arial" w:hAnsi="Arial" w:cs="Arial"/>
          <w:sz w:val="20"/>
          <w:szCs w:val="20"/>
        </w:rPr>
        <w:t>,</w:t>
      </w:r>
      <w:r w:rsidR="001B3086">
        <w:rPr>
          <w:rFonts w:ascii="Arial" w:hAnsi="Arial" w:cs="Arial"/>
          <w:sz w:val="20"/>
          <w:szCs w:val="20"/>
        </w:rPr>
        <w:t>010</w:t>
      </w:r>
      <w:r w:rsidRPr="00B21850">
        <w:rPr>
          <w:rFonts w:ascii="Arial" w:hAnsi="Arial" w:cs="Arial"/>
          <w:sz w:val="20"/>
          <w:szCs w:val="20"/>
        </w:rPr>
        <w:t xml:space="preserve"> </w:t>
      </w:r>
      <w:r w:rsidR="003C1D93">
        <w:rPr>
          <w:rFonts w:ascii="Arial" w:hAnsi="Arial" w:cs="Arial"/>
          <w:sz w:val="20"/>
          <w:szCs w:val="20"/>
        </w:rPr>
        <w:t>total known</w:t>
      </w:r>
      <w:r w:rsidRPr="00B21850">
        <w:rPr>
          <w:rFonts w:ascii="Arial" w:hAnsi="Arial" w:cs="Arial"/>
          <w:sz w:val="20"/>
          <w:szCs w:val="20"/>
        </w:rPr>
        <w:t xml:space="preserve"> contaminated sites)</w:t>
      </w:r>
      <w:r w:rsidR="00550355">
        <w:rPr>
          <w:rFonts w:ascii="Arial" w:hAnsi="Arial" w:cs="Arial"/>
          <w:sz w:val="20"/>
          <w:szCs w:val="20"/>
        </w:rPr>
        <w:t xml:space="preserve">. </w:t>
      </w:r>
      <w:r w:rsidRPr="00B21850">
        <w:rPr>
          <w:rFonts w:ascii="Arial" w:hAnsi="Arial" w:cs="Arial"/>
          <w:sz w:val="20"/>
          <w:szCs w:val="20"/>
        </w:rPr>
        <w:t>This performance measure includes leaking underground storage tanks and general remediation sites. Contaminated site closure is complete when contaminant concentrations meet acceptable risk-based or other approved criteria through assessment or remediation activities. This performance measure excludes sites under the Comprehensive Environmental Response, Compensation, and Liability Act (Superfund), including mega sites, such as the Idaho National Laboratory and Bunker Hill</w:t>
      </w:r>
      <w:r w:rsidR="00857892">
        <w:rPr>
          <w:rFonts w:ascii="Arial" w:hAnsi="Arial" w:cs="Arial"/>
          <w:sz w:val="20"/>
          <w:szCs w:val="20"/>
        </w:rPr>
        <w:t>;</w:t>
      </w:r>
      <w:r w:rsidRPr="00B21850">
        <w:rPr>
          <w:rFonts w:ascii="Arial" w:hAnsi="Arial" w:cs="Arial"/>
          <w:sz w:val="20"/>
          <w:szCs w:val="20"/>
        </w:rPr>
        <w:t xml:space="preserve"> Department of Defense cleanup sites</w:t>
      </w:r>
      <w:r w:rsidR="00857892">
        <w:rPr>
          <w:rFonts w:ascii="Arial" w:hAnsi="Arial" w:cs="Arial"/>
          <w:sz w:val="20"/>
          <w:szCs w:val="20"/>
        </w:rPr>
        <w:t>;</w:t>
      </w:r>
      <w:r w:rsidRPr="00B21850">
        <w:rPr>
          <w:rFonts w:ascii="Arial" w:hAnsi="Arial" w:cs="Arial"/>
          <w:sz w:val="20"/>
          <w:szCs w:val="20"/>
        </w:rPr>
        <w:t xml:space="preserve"> hazardous waste sites</w:t>
      </w:r>
      <w:r w:rsidR="00857892">
        <w:rPr>
          <w:rFonts w:ascii="Arial" w:hAnsi="Arial" w:cs="Arial"/>
          <w:sz w:val="20"/>
          <w:szCs w:val="20"/>
        </w:rPr>
        <w:t>;</w:t>
      </w:r>
      <w:r w:rsidRPr="00B21850">
        <w:rPr>
          <w:rFonts w:ascii="Arial" w:hAnsi="Arial" w:cs="Arial"/>
          <w:sz w:val="20"/>
          <w:szCs w:val="20"/>
        </w:rPr>
        <w:t xml:space="preserve"> and solid waste facilities.</w:t>
      </w:r>
    </w:p>
    <w:p w14:paraId="4B255DCD" w14:textId="77777777" w:rsidR="0068505D" w:rsidRPr="00B21850" w:rsidRDefault="0068505D" w:rsidP="00A605E7">
      <w:pPr>
        <w:pStyle w:val="Listparaafterbullet"/>
        <w:ind w:left="0"/>
        <w:jc w:val="both"/>
        <w:rPr>
          <w:rFonts w:ascii="Arial" w:hAnsi="Arial" w:cs="Arial"/>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4</w:t>
      </w:r>
      <w:r w:rsidRPr="00B21850">
        <w:rPr>
          <w:rFonts w:ascii="Arial" w:hAnsi="Arial" w:cs="Arial"/>
          <w:sz w:val="20"/>
          <w:szCs w:val="20"/>
        </w:rPr>
        <w:t>—This performance measure is based on wastewater reuse applications, IPDES applications, drinking water and wastewater plan and specification submittals, air quality permit applications, and hazardous waste permit applications.</w:t>
      </w:r>
    </w:p>
    <w:p w14:paraId="738C65E0" w14:textId="77777777" w:rsidR="0068505D" w:rsidRPr="00B21850" w:rsidRDefault="0068505D" w:rsidP="00A605E7">
      <w:pPr>
        <w:pStyle w:val="Listparaafterbullet"/>
        <w:ind w:left="0"/>
        <w:jc w:val="both"/>
        <w:rPr>
          <w:rFonts w:ascii="Arial" w:hAnsi="Arial" w:cs="Arial"/>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5</w:t>
      </w:r>
      <w:r w:rsidRPr="00B21850">
        <w:rPr>
          <w:rFonts w:ascii="Arial" w:hAnsi="Arial" w:cs="Arial"/>
          <w:sz w:val="20"/>
          <w:szCs w:val="20"/>
        </w:rPr>
        <w:t>—This performance measure is based on 5-year averages across programs. Each program measures compliance differently. Annual updates will be made to the benchmark.</w:t>
      </w:r>
    </w:p>
    <w:p w14:paraId="6C2D2B7F" w14:textId="77777777" w:rsidR="0068505D" w:rsidRPr="00B21850" w:rsidRDefault="0068505D" w:rsidP="00A605E7">
      <w:pPr>
        <w:pStyle w:val="Listparaafterbullet"/>
        <w:ind w:left="0"/>
        <w:jc w:val="both"/>
        <w:rPr>
          <w:rFonts w:ascii="Arial" w:hAnsi="Arial" w:cs="Arial"/>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6</w:t>
      </w:r>
      <w:r w:rsidRPr="00B21850">
        <w:rPr>
          <w:rFonts w:ascii="Arial" w:hAnsi="Arial" w:cs="Arial"/>
          <w:sz w:val="20"/>
          <w:szCs w:val="20"/>
        </w:rPr>
        <w:t>—This performance measure includes air quality permits to construct,</w:t>
      </w:r>
      <w:r>
        <w:rPr>
          <w:rFonts w:ascii="Arial" w:hAnsi="Arial" w:cs="Arial"/>
          <w:sz w:val="20"/>
          <w:szCs w:val="20"/>
        </w:rPr>
        <w:t xml:space="preserve"> </w:t>
      </w:r>
      <w:r w:rsidR="00A32AF6">
        <w:rPr>
          <w:rFonts w:ascii="Arial" w:hAnsi="Arial" w:cs="Arial"/>
          <w:sz w:val="20"/>
          <w:szCs w:val="20"/>
        </w:rPr>
        <w:t>water</w:t>
      </w:r>
      <w:r w:rsidRPr="00B21850">
        <w:rPr>
          <w:rFonts w:ascii="Arial" w:hAnsi="Arial" w:cs="Arial"/>
          <w:sz w:val="20"/>
          <w:szCs w:val="20"/>
        </w:rPr>
        <w:t xml:space="preserve"> </w:t>
      </w:r>
      <w:r w:rsidR="00A32AF6">
        <w:rPr>
          <w:rFonts w:ascii="Arial" w:hAnsi="Arial" w:cs="Arial"/>
          <w:sz w:val="20"/>
          <w:szCs w:val="20"/>
        </w:rPr>
        <w:t xml:space="preserve">quality </w:t>
      </w:r>
      <w:r w:rsidRPr="00B21850">
        <w:rPr>
          <w:rFonts w:ascii="Arial" w:hAnsi="Arial" w:cs="Arial"/>
          <w:sz w:val="20"/>
          <w:szCs w:val="20"/>
        </w:rPr>
        <w:t xml:space="preserve">reuse and IPDES permits, and hazardous waste permits. </w:t>
      </w:r>
      <w:r w:rsidR="00A32AF6">
        <w:rPr>
          <w:rFonts w:ascii="Arial" w:hAnsi="Arial" w:cs="Arial"/>
          <w:sz w:val="20"/>
          <w:szCs w:val="20"/>
        </w:rPr>
        <w:t>The</w:t>
      </w:r>
      <w:r w:rsidRPr="00B21850">
        <w:rPr>
          <w:rFonts w:ascii="Arial" w:hAnsi="Arial" w:cs="Arial"/>
          <w:sz w:val="20"/>
          <w:szCs w:val="20"/>
        </w:rPr>
        <w:t xml:space="preserve"> IPDES Program inherit</w:t>
      </w:r>
      <w:r w:rsidR="00A32AF6">
        <w:rPr>
          <w:rFonts w:ascii="Arial" w:hAnsi="Arial" w:cs="Arial"/>
          <w:sz w:val="20"/>
          <w:szCs w:val="20"/>
        </w:rPr>
        <w:t>ed</w:t>
      </w:r>
      <w:r w:rsidRPr="00B21850">
        <w:rPr>
          <w:rFonts w:ascii="Arial" w:hAnsi="Arial" w:cs="Arial"/>
          <w:sz w:val="20"/>
          <w:szCs w:val="20"/>
        </w:rPr>
        <w:t xml:space="preserve"> a permit backlog that will require 1-to-2 permit cycles (5–10 years) to meet the national goal of 90% current permits.</w:t>
      </w:r>
    </w:p>
    <w:p w14:paraId="1BEAA159" w14:textId="77777777" w:rsidR="00735DE6" w:rsidRDefault="0068505D" w:rsidP="007D05ED">
      <w:pPr>
        <w:pStyle w:val="Listparaafterbullet"/>
        <w:spacing w:after="0"/>
        <w:ind w:left="0"/>
        <w:jc w:val="both"/>
        <w:rPr>
          <w:rFonts w:ascii="Arial" w:hAnsi="Arial" w:cs="Arial"/>
          <w:color w:val="auto"/>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7</w:t>
      </w:r>
      <w:r w:rsidRPr="00B21850">
        <w:rPr>
          <w:rFonts w:ascii="Arial" w:hAnsi="Arial" w:cs="Arial"/>
          <w:sz w:val="20"/>
          <w:szCs w:val="20"/>
        </w:rPr>
        <w:t>—</w:t>
      </w:r>
      <w:r w:rsidR="003C1D93" w:rsidRPr="00660805">
        <w:rPr>
          <w:rFonts w:ascii="Arial" w:hAnsi="Arial" w:cs="Arial"/>
          <w:sz w:val="20"/>
          <w:szCs w:val="20"/>
        </w:rPr>
        <w:t xml:space="preserve">Continuous improvement is a long-term approach to systematically target and incrementally change processes to improve efficiency and quality within the agency. Using the kaizen philosophy and a lean process focus, DEQ </w:t>
      </w:r>
      <w:r w:rsidR="00F45397">
        <w:rPr>
          <w:rFonts w:ascii="Arial" w:hAnsi="Arial" w:cs="Arial"/>
          <w:sz w:val="20"/>
          <w:szCs w:val="20"/>
        </w:rPr>
        <w:t xml:space="preserve">will </w:t>
      </w:r>
      <w:r w:rsidR="003C1D93" w:rsidRPr="00660805">
        <w:rPr>
          <w:rFonts w:ascii="Arial" w:hAnsi="Arial" w:cs="Arial"/>
          <w:sz w:val="20"/>
          <w:szCs w:val="20"/>
        </w:rPr>
        <w:t>examine our processes in detail and determine output improvements. All staff are encouraged to suggest and implement changes that create continuous improvement within the regions and across the agen</w:t>
      </w:r>
      <w:r w:rsidR="003C1D93">
        <w:rPr>
          <w:rFonts w:ascii="Arial" w:hAnsi="Arial" w:cs="Arial"/>
          <w:color w:val="auto"/>
          <w:sz w:val="20"/>
          <w:szCs w:val="20"/>
        </w:rPr>
        <w:t>cy.</w:t>
      </w:r>
    </w:p>
    <w:p w14:paraId="133C90B4" w14:textId="77777777" w:rsidR="00A32AF6" w:rsidRDefault="00A32AF6" w:rsidP="007D05ED">
      <w:pPr>
        <w:pStyle w:val="Listparaafterbullet"/>
        <w:spacing w:after="0"/>
        <w:ind w:left="0"/>
        <w:jc w:val="both"/>
        <w:rPr>
          <w:rFonts w:ascii="Arial" w:hAnsi="Arial" w:cs="Arial"/>
          <w:color w:val="auto"/>
          <w:sz w:val="20"/>
          <w:szCs w:val="20"/>
        </w:rPr>
      </w:pPr>
    </w:p>
    <w:p w14:paraId="1587F3CE" w14:textId="77777777" w:rsidR="003207A8" w:rsidRDefault="00A32AF6" w:rsidP="00152EDD">
      <w:pPr>
        <w:jc w:val="both"/>
        <w:rPr>
          <w:rFonts w:ascii="Arial" w:hAnsi="Arial" w:cs="Arial"/>
          <w:sz w:val="20"/>
          <w:szCs w:val="20"/>
        </w:rPr>
      </w:pPr>
      <w:r w:rsidRPr="004516E8">
        <w:rPr>
          <w:rFonts w:ascii="Arial" w:hAnsi="Arial" w:cs="Arial"/>
          <w:b/>
          <w:sz w:val="20"/>
          <w:szCs w:val="20"/>
        </w:rPr>
        <w:t>P</w:t>
      </w:r>
      <w:r>
        <w:rPr>
          <w:rFonts w:ascii="Arial" w:hAnsi="Arial" w:cs="Arial"/>
          <w:b/>
          <w:sz w:val="20"/>
          <w:szCs w:val="20"/>
        </w:rPr>
        <w:t xml:space="preserve">erformance </w:t>
      </w:r>
      <w:r w:rsidRPr="004516E8">
        <w:rPr>
          <w:rFonts w:ascii="Arial" w:hAnsi="Arial" w:cs="Arial"/>
          <w:b/>
          <w:sz w:val="20"/>
          <w:szCs w:val="20"/>
        </w:rPr>
        <w:t>M</w:t>
      </w:r>
      <w:r>
        <w:rPr>
          <w:rFonts w:ascii="Arial" w:hAnsi="Arial" w:cs="Arial"/>
          <w:b/>
          <w:sz w:val="20"/>
          <w:szCs w:val="20"/>
        </w:rPr>
        <w:t>easure</w:t>
      </w:r>
      <w:r w:rsidRPr="004516E8">
        <w:rPr>
          <w:rFonts w:ascii="Arial" w:hAnsi="Arial" w:cs="Arial"/>
          <w:b/>
          <w:sz w:val="20"/>
          <w:szCs w:val="20"/>
        </w:rPr>
        <w:t xml:space="preserve"> </w:t>
      </w:r>
      <w:r>
        <w:rPr>
          <w:rFonts w:ascii="Arial" w:hAnsi="Arial" w:cs="Arial"/>
          <w:b/>
          <w:sz w:val="20"/>
          <w:szCs w:val="20"/>
        </w:rPr>
        <w:t>8</w:t>
      </w:r>
      <w:r w:rsidRPr="00B21850">
        <w:rPr>
          <w:rFonts w:ascii="Arial" w:hAnsi="Arial" w:cs="Arial"/>
          <w:sz w:val="20"/>
          <w:szCs w:val="20"/>
        </w:rPr>
        <w:t>—</w:t>
      </w:r>
      <w:r w:rsidR="00C03DF4">
        <w:rPr>
          <w:rFonts w:ascii="Arial" w:hAnsi="Arial" w:cs="Arial"/>
          <w:sz w:val="20"/>
          <w:szCs w:val="20"/>
        </w:rPr>
        <w:t>This</w:t>
      </w:r>
      <w:r w:rsidR="003207A8">
        <w:rPr>
          <w:rFonts w:ascii="Arial" w:hAnsi="Arial" w:cs="Arial"/>
          <w:sz w:val="20"/>
          <w:szCs w:val="20"/>
        </w:rPr>
        <w:t xml:space="preserve"> newly developed performance measure</w:t>
      </w:r>
      <w:r w:rsidR="003207A8" w:rsidRPr="00BF4ADD">
        <w:rPr>
          <w:rFonts w:ascii="Arial" w:hAnsi="Arial" w:cs="Arial"/>
          <w:sz w:val="20"/>
          <w:szCs w:val="20"/>
        </w:rPr>
        <w:t xml:space="preserve"> will </w:t>
      </w:r>
      <w:r w:rsidR="003207A8">
        <w:rPr>
          <w:rFonts w:ascii="Arial" w:hAnsi="Arial" w:cs="Arial"/>
          <w:sz w:val="20"/>
          <w:szCs w:val="20"/>
        </w:rPr>
        <w:t>evaluate</w:t>
      </w:r>
      <w:r w:rsidR="003207A8" w:rsidRPr="00BF4ADD">
        <w:rPr>
          <w:rFonts w:ascii="Arial" w:hAnsi="Arial" w:cs="Arial"/>
          <w:sz w:val="20"/>
          <w:szCs w:val="20"/>
        </w:rPr>
        <w:t xml:space="preserve"> employee engagement and retention over time. As an organization, DEQ wants to ensure employees feel connected to the agency, our mission, and the strategic plan. If employees are engaged, they are happier and more productive, which results in less turnover, an expensive issue for DEQ. Assessing engagement and turnover will help us determine if we are achieving this goal.</w:t>
      </w:r>
    </w:p>
    <w:p w14:paraId="1BA0D1F9" w14:textId="77777777" w:rsidR="00A32AF6" w:rsidRDefault="00A32AF6" w:rsidP="00735DE6"/>
    <w:tbl>
      <w:tblPr>
        <w:tblW w:w="1008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81"/>
        <w:gridCol w:w="1152"/>
        <w:gridCol w:w="1126"/>
        <w:gridCol w:w="1126"/>
        <w:gridCol w:w="1128"/>
        <w:gridCol w:w="1126"/>
        <w:gridCol w:w="1141"/>
      </w:tblGrid>
      <w:tr w:rsidR="008A4E23" w14:paraId="434AB367" w14:textId="77777777" w:rsidTr="001C7014">
        <w:trPr>
          <w:trHeight w:val="350"/>
          <w:tblHeader/>
        </w:trPr>
        <w:tc>
          <w:tcPr>
            <w:tcW w:w="10080" w:type="dxa"/>
            <w:gridSpan w:val="7"/>
            <w:shd w:val="clear" w:color="auto" w:fill="000080"/>
            <w:vAlign w:val="center"/>
          </w:tcPr>
          <w:p w14:paraId="03A3F06A" w14:textId="77777777" w:rsidR="008A4E23" w:rsidRDefault="008A4E23" w:rsidP="009113B3">
            <w:pPr>
              <w:jc w:val="center"/>
              <w:rPr>
                <w:rFonts w:ascii="Arial" w:hAnsi="Arial" w:cs="Arial"/>
                <w:b/>
                <w:bCs/>
                <w:color w:val="FFFFFF"/>
                <w:sz w:val="20"/>
              </w:rPr>
            </w:pPr>
            <w:r>
              <w:rPr>
                <w:rFonts w:ascii="Arial" w:hAnsi="Arial" w:cs="Arial"/>
                <w:b/>
                <w:bCs/>
                <w:color w:val="FFFFFF"/>
                <w:sz w:val="20"/>
              </w:rPr>
              <w:t>Goals and Performance Measures</w:t>
            </w:r>
          </w:p>
        </w:tc>
      </w:tr>
      <w:tr w:rsidR="00D77B74" w14:paraId="14FBAA3A" w14:textId="77777777" w:rsidTr="001C7014">
        <w:trPr>
          <w:tblHeader/>
        </w:trPr>
        <w:tc>
          <w:tcPr>
            <w:tcW w:w="4433" w:type="dxa"/>
            <w:gridSpan w:val="2"/>
            <w:shd w:val="clear" w:color="auto" w:fill="000080"/>
            <w:vAlign w:val="bottom"/>
          </w:tcPr>
          <w:p w14:paraId="23D1464B" w14:textId="77777777" w:rsidR="00D77B74" w:rsidRDefault="00D77B74" w:rsidP="00D77B74">
            <w:pPr>
              <w:jc w:val="center"/>
              <w:rPr>
                <w:rFonts w:ascii="Arial" w:hAnsi="Arial" w:cs="Arial"/>
                <w:b/>
                <w:bCs/>
                <w:color w:val="FFFFFF"/>
                <w:sz w:val="20"/>
              </w:rPr>
            </w:pPr>
            <w:r>
              <w:rPr>
                <w:rFonts w:ascii="Arial" w:hAnsi="Arial" w:cs="Arial"/>
                <w:b/>
                <w:bCs/>
                <w:color w:val="FFFFFF"/>
                <w:sz w:val="20"/>
              </w:rPr>
              <w:t>Performance Measure</w:t>
            </w:r>
          </w:p>
        </w:tc>
        <w:tc>
          <w:tcPr>
            <w:tcW w:w="1126" w:type="dxa"/>
            <w:shd w:val="clear" w:color="auto" w:fill="000080"/>
            <w:vAlign w:val="bottom"/>
          </w:tcPr>
          <w:p w14:paraId="2E8276DA" w14:textId="0C99B9A6" w:rsidR="00D77B74" w:rsidRDefault="00944CE9" w:rsidP="00D77B74">
            <w:pPr>
              <w:jc w:val="center"/>
              <w:rPr>
                <w:rFonts w:ascii="Arial" w:hAnsi="Arial" w:cs="Arial"/>
                <w:b/>
                <w:bCs/>
                <w:color w:val="FFFFFF"/>
                <w:sz w:val="20"/>
              </w:rPr>
            </w:pPr>
            <w:r>
              <w:rPr>
                <w:rFonts w:ascii="Arial" w:hAnsi="Arial" w:cs="Arial"/>
                <w:b/>
                <w:bCs/>
                <w:color w:val="FFFFFF"/>
                <w:sz w:val="20"/>
              </w:rPr>
              <w:t>FY 2019</w:t>
            </w:r>
          </w:p>
        </w:tc>
        <w:tc>
          <w:tcPr>
            <w:tcW w:w="1126" w:type="dxa"/>
            <w:shd w:val="clear" w:color="auto" w:fill="000080"/>
            <w:vAlign w:val="bottom"/>
          </w:tcPr>
          <w:p w14:paraId="5E16473C" w14:textId="2BDD9542" w:rsidR="00D77B74" w:rsidRDefault="00944CE9" w:rsidP="00D77B74">
            <w:pPr>
              <w:jc w:val="center"/>
              <w:rPr>
                <w:rFonts w:ascii="Arial" w:hAnsi="Arial" w:cs="Arial"/>
                <w:b/>
                <w:bCs/>
                <w:color w:val="FFFFFF"/>
                <w:sz w:val="20"/>
              </w:rPr>
            </w:pPr>
            <w:r>
              <w:rPr>
                <w:rFonts w:ascii="Arial" w:hAnsi="Arial" w:cs="Arial"/>
                <w:b/>
                <w:bCs/>
                <w:color w:val="FFFFFF"/>
                <w:sz w:val="20"/>
              </w:rPr>
              <w:t>FY 2020</w:t>
            </w:r>
          </w:p>
        </w:tc>
        <w:tc>
          <w:tcPr>
            <w:tcW w:w="1128" w:type="dxa"/>
            <w:shd w:val="clear" w:color="auto" w:fill="000080"/>
            <w:vAlign w:val="bottom"/>
          </w:tcPr>
          <w:p w14:paraId="17B7B1ED" w14:textId="4C0E5F4F" w:rsidR="00D77B74" w:rsidRDefault="00944CE9" w:rsidP="00D77B74">
            <w:pPr>
              <w:jc w:val="center"/>
              <w:rPr>
                <w:rFonts w:ascii="Arial" w:hAnsi="Arial" w:cs="Arial"/>
                <w:b/>
                <w:bCs/>
                <w:color w:val="FFFFFF"/>
                <w:sz w:val="20"/>
              </w:rPr>
            </w:pPr>
            <w:r>
              <w:rPr>
                <w:rFonts w:ascii="Arial" w:hAnsi="Arial" w:cs="Arial"/>
                <w:b/>
                <w:bCs/>
                <w:color w:val="FFFFFF"/>
                <w:sz w:val="20"/>
              </w:rPr>
              <w:t>FY 2021</w:t>
            </w:r>
          </w:p>
        </w:tc>
        <w:tc>
          <w:tcPr>
            <w:tcW w:w="1126" w:type="dxa"/>
            <w:shd w:val="clear" w:color="auto" w:fill="000080"/>
            <w:vAlign w:val="bottom"/>
          </w:tcPr>
          <w:p w14:paraId="7D317E80" w14:textId="72DD6B01" w:rsidR="00D77B74" w:rsidRDefault="00944CE9" w:rsidP="00D77B74">
            <w:pPr>
              <w:jc w:val="center"/>
              <w:rPr>
                <w:rFonts w:ascii="Arial" w:hAnsi="Arial" w:cs="Arial"/>
                <w:b/>
                <w:bCs/>
                <w:color w:val="FFFFFF"/>
                <w:sz w:val="20"/>
              </w:rPr>
            </w:pPr>
            <w:r>
              <w:rPr>
                <w:rFonts w:ascii="Arial" w:hAnsi="Arial" w:cs="Arial"/>
                <w:b/>
                <w:bCs/>
                <w:color w:val="FFFFFF"/>
                <w:sz w:val="20"/>
              </w:rPr>
              <w:t>FY 2022</w:t>
            </w:r>
          </w:p>
        </w:tc>
        <w:tc>
          <w:tcPr>
            <w:tcW w:w="1141" w:type="dxa"/>
            <w:shd w:val="clear" w:color="auto" w:fill="000080"/>
            <w:vAlign w:val="bottom"/>
          </w:tcPr>
          <w:p w14:paraId="6ECEF78C" w14:textId="26DF99F5" w:rsidR="00D77B74" w:rsidRDefault="00944CE9" w:rsidP="00D77B74">
            <w:pPr>
              <w:jc w:val="center"/>
              <w:rPr>
                <w:rFonts w:ascii="Arial" w:hAnsi="Arial" w:cs="Arial"/>
                <w:b/>
                <w:bCs/>
                <w:color w:val="FFFFFF"/>
                <w:sz w:val="20"/>
              </w:rPr>
            </w:pPr>
            <w:r>
              <w:rPr>
                <w:rFonts w:ascii="Arial" w:hAnsi="Arial" w:cs="Arial"/>
                <w:b/>
                <w:bCs/>
                <w:color w:val="FFFFFF"/>
                <w:sz w:val="20"/>
              </w:rPr>
              <w:t>FY 2023</w:t>
            </w:r>
          </w:p>
        </w:tc>
      </w:tr>
      <w:tr w:rsidR="008A4E23" w14:paraId="19B133C5" w14:textId="77777777" w:rsidTr="001C7014">
        <w:trPr>
          <w:trHeight w:val="323"/>
        </w:trPr>
        <w:tc>
          <w:tcPr>
            <w:tcW w:w="10080" w:type="dxa"/>
            <w:gridSpan w:val="7"/>
            <w:shd w:val="clear" w:color="auto" w:fill="DBE5F1" w:themeFill="accent1" w:themeFillTint="33"/>
            <w:vAlign w:val="center"/>
          </w:tcPr>
          <w:p w14:paraId="15BE29FF" w14:textId="77777777" w:rsidR="008A4E23" w:rsidRDefault="008A4E23" w:rsidP="008A4E23">
            <w:pPr>
              <w:jc w:val="center"/>
              <w:rPr>
                <w:rFonts w:ascii="Arial" w:hAnsi="Arial" w:cs="Arial"/>
                <w:b/>
                <w:sz w:val="20"/>
              </w:rPr>
            </w:pPr>
            <w:r>
              <w:rPr>
                <w:rFonts w:ascii="Arial" w:hAnsi="Arial" w:cs="Arial"/>
                <w:b/>
                <w:sz w:val="20"/>
              </w:rPr>
              <w:t>Goal 1</w:t>
            </w:r>
          </w:p>
          <w:p w14:paraId="3B5DD495" w14:textId="77777777" w:rsidR="008A4E23" w:rsidRPr="00841C41" w:rsidRDefault="008A4E23" w:rsidP="008A4E23">
            <w:pPr>
              <w:jc w:val="center"/>
              <w:rPr>
                <w:rFonts w:ascii="Arial" w:hAnsi="Arial" w:cs="Arial"/>
                <w:b/>
                <w:sz w:val="20"/>
              </w:rPr>
            </w:pPr>
            <w:r>
              <w:rPr>
                <w:rFonts w:ascii="Arial" w:hAnsi="Arial" w:cs="Arial"/>
                <w:i/>
                <w:sz w:val="20"/>
              </w:rPr>
              <w:t>Make recognizable and measurable environmental improvements</w:t>
            </w:r>
          </w:p>
        </w:tc>
      </w:tr>
      <w:tr w:rsidR="00D65989" w14:paraId="2521B032" w14:textId="77777777" w:rsidTr="001C7014">
        <w:trPr>
          <w:trHeight w:val="288"/>
        </w:trPr>
        <w:tc>
          <w:tcPr>
            <w:tcW w:w="3281" w:type="dxa"/>
            <w:vMerge w:val="restart"/>
          </w:tcPr>
          <w:p w14:paraId="3E1BC5AA" w14:textId="77777777" w:rsidR="00D65989" w:rsidRPr="002A6E87" w:rsidRDefault="00D65989" w:rsidP="00D65989">
            <w:pPr>
              <w:pStyle w:val="ListParagraph"/>
              <w:numPr>
                <w:ilvl w:val="0"/>
                <w:numId w:val="40"/>
              </w:numPr>
              <w:ind w:left="270" w:hanging="270"/>
              <w:rPr>
                <w:rFonts w:ascii="Arial" w:hAnsi="Arial" w:cs="Arial"/>
                <w:bCs/>
                <w:sz w:val="20"/>
                <w:szCs w:val="20"/>
              </w:rPr>
            </w:pPr>
            <w:r w:rsidRPr="002A6E87">
              <w:rPr>
                <w:rFonts w:ascii="Arial" w:hAnsi="Arial" w:cs="Arial"/>
                <w:sz w:val="20"/>
                <w:szCs w:val="20"/>
              </w:rPr>
              <w:t>Reduce number of unhealthy days based on the Air Quality Index (AQI) throughout the state</w:t>
            </w:r>
          </w:p>
        </w:tc>
        <w:tc>
          <w:tcPr>
            <w:tcW w:w="1152" w:type="dxa"/>
            <w:shd w:val="clear" w:color="auto" w:fill="D9D9D9" w:themeFill="background1" w:themeFillShade="D9"/>
            <w:vAlign w:val="center"/>
          </w:tcPr>
          <w:p w14:paraId="4A7ACDF8" w14:textId="77777777" w:rsidR="00D65989" w:rsidRPr="00E51672" w:rsidRDefault="00D65989" w:rsidP="00D65989">
            <w:pPr>
              <w:jc w:val="center"/>
              <w:rPr>
                <w:rFonts w:ascii="Arial" w:hAnsi="Arial" w:cs="Arial"/>
                <w:sz w:val="20"/>
              </w:rPr>
            </w:pPr>
            <w:r w:rsidRPr="00E51672">
              <w:rPr>
                <w:rFonts w:ascii="Arial" w:hAnsi="Arial" w:cs="Arial"/>
                <w:sz w:val="20"/>
              </w:rPr>
              <w:t>actual</w:t>
            </w:r>
          </w:p>
        </w:tc>
        <w:tc>
          <w:tcPr>
            <w:tcW w:w="1126" w:type="dxa"/>
            <w:shd w:val="clear" w:color="auto" w:fill="D9D9D9" w:themeFill="background1" w:themeFillShade="D9"/>
            <w:vAlign w:val="center"/>
          </w:tcPr>
          <w:p w14:paraId="643C7A4F" w14:textId="136CE40A" w:rsidR="00D65989" w:rsidRDefault="00D65989" w:rsidP="00D65989">
            <w:pPr>
              <w:jc w:val="center"/>
            </w:pPr>
            <w:r>
              <w:rPr>
                <w:rFonts w:ascii="Arial" w:hAnsi="Arial" w:cs="Arial"/>
                <w:sz w:val="20"/>
                <w:szCs w:val="20"/>
              </w:rPr>
              <w:t xml:space="preserve">11 days </w:t>
            </w:r>
          </w:p>
        </w:tc>
        <w:tc>
          <w:tcPr>
            <w:tcW w:w="1126" w:type="dxa"/>
            <w:shd w:val="clear" w:color="auto" w:fill="D9D9D9" w:themeFill="background1" w:themeFillShade="D9"/>
            <w:vAlign w:val="center"/>
          </w:tcPr>
          <w:p w14:paraId="7F2D1305" w14:textId="5374FE0B" w:rsidR="00D65989" w:rsidRDefault="00D65989" w:rsidP="00D65989">
            <w:pPr>
              <w:jc w:val="center"/>
            </w:pPr>
            <w:r>
              <w:rPr>
                <w:rFonts w:ascii="Arial" w:hAnsi="Arial" w:cs="Arial"/>
                <w:sz w:val="20"/>
                <w:szCs w:val="20"/>
              </w:rPr>
              <w:t>2 days</w:t>
            </w:r>
          </w:p>
        </w:tc>
        <w:tc>
          <w:tcPr>
            <w:tcW w:w="1128" w:type="dxa"/>
            <w:shd w:val="clear" w:color="auto" w:fill="D9D9D9" w:themeFill="background1" w:themeFillShade="D9"/>
            <w:vAlign w:val="center"/>
          </w:tcPr>
          <w:p w14:paraId="7F3F9D59" w14:textId="4A42BE7E" w:rsidR="00D65989" w:rsidRPr="00B21850" w:rsidRDefault="00D65989" w:rsidP="00D65989">
            <w:pPr>
              <w:jc w:val="center"/>
              <w:rPr>
                <w:rFonts w:ascii="Arial" w:hAnsi="Arial" w:cs="Arial"/>
                <w:sz w:val="20"/>
                <w:szCs w:val="20"/>
              </w:rPr>
            </w:pPr>
            <w:r>
              <w:rPr>
                <w:rFonts w:ascii="Arial" w:hAnsi="Arial" w:cs="Arial"/>
                <w:sz w:val="20"/>
              </w:rPr>
              <w:t>16 days</w:t>
            </w:r>
          </w:p>
        </w:tc>
        <w:tc>
          <w:tcPr>
            <w:tcW w:w="1126" w:type="dxa"/>
            <w:shd w:val="clear" w:color="auto" w:fill="D9D9D9" w:themeFill="background1" w:themeFillShade="D9"/>
            <w:vAlign w:val="center"/>
          </w:tcPr>
          <w:p w14:paraId="46846D52" w14:textId="5A0D3283" w:rsidR="00D65989" w:rsidRPr="00EE34E1" w:rsidRDefault="00D65989" w:rsidP="00D65989">
            <w:pPr>
              <w:jc w:val="center"/>
              <w:rPr>
                <w:rFonts w:ascii="Arial" w:hAnsi="Arial" w:cs="Arial"/>
                <w:sz w:val="20"/>
                <w:szCs w:val="20"/>
              </w:rPr>
            </w:pPr>
          </w:p>
        </w:tc>
        <w:tc>
          <w:tcPr>
            <w:tcW w:w="1141" w:type="dxa"/>
            <w:shd w:val="clear" w:color="auto" w:fill="D9D9D9" w:themeFill="background1" w:themeFillShade="D9"/>
            <w:vAlign w:val="center"/>
          </w:tcPr>
          <w:p w14:paraId="6162C4B8" w14:textId="5F7870D4" w:rsidR="00D65989" w:rsidRDefault="00D65989" w:rsidP="00D65989">
            <w:pPr>
              <w:jc w:val="center"/>
            </w:pPr>
          </w:p>
        </w:tc>
      </w:tr>
      <w:tr w:rsidR="00D65989" w14:paraId="68B94AA2" w14:textId="77777777" w:rsidTr="001C7014">
        <w:trPr>
          <w:trHeight w:val="288"/>
        </w:trPr>
        <w:tc>
          <w:tcPr>
            <w:tcW w:w="3281" w:type="dxa"/>
            <w:vMerge/>
          </w:tcPr>
          <w:p w14:paraId="1871307A" w14:textId="77777777" w:rsidR="00D65989" w:rsidRPr="00646DA1" w:rsidRDefault="00D65989" w:rsidP="00D65989">
            <w:pPr>
              <w:pStyle w:val="ListParagraph"/>
              <w:numPr>
                <w:ilvl w:val="0"/>
                <w:numId w:val="40"/>
              </w:numPr>
              <w:tabs>
                <w:tab w:val="left" w:pos="2985"/>
              </w:tabs>
              <w:ind w:left="252" w:hanging="270"/>
              <w:rPr>
                <w:rFonts w:ascii="Arial" w:hAnsi="Arial" w:cs="Arial"/>
                <w:sz w:val="20"/>
              </w:rPr>
            </w:pPr>
          </w:p>
        </w:tc>
        <w:tc>
          <w:tcPr>
            <w:tcW w:w="1152" w:type="dxa"/>
            <w:shd w:val="clear" w:color="auto" w:fill="FFFFFF" w:themeFill="background1"/>
            <w:vAlign w:val="center"/>
          </w:tcPr>
          <w:p w14:paraId="495D88A5" w14:textId="77777777" w:rsidR="00D65989" w:rsidRPr="00C17E7D" w:rsidRDefault="00D65989" w:rsidP="00D65989">
            <w:pPr>
              <w:jc w:val="center"/>
              <w:rPr>
                <w:rFonts w:ascii="Arial" w:hAnsi="Arial" w:cs="Arial"/>
                <w:i/>
                <w:sz w:val="20"/>
                <w:szCs w:val="20"/>
              </w:rPr>
            </w:pPr>
            <w:r w:rsidRPr="00C17E7D">
              <w:rPr>
                <w:rFonts w:ascii="Arial" w:hAnsi="Arial" w:cs="Arial"/>
                <w:i/>
                <w:sz w:val="20"/>
                <w:szCs w:val="20"/>
              </w:rPr>
              <w:t>target</w:t>
            </w:r>
          </w:p>
        </w:tc>
        <w:tc>
          <w:tcPr>
            <w:tcW w:w="1126" w:type="dxa"/>
            <w:shd w:val="clear" w:color="auto" w:fill="FFFFFF" w:themeFill="background1"/>
            <w:vAlign w:val="center"/>
          </w:tcPr>
          <w:p w14:paraId="244FF0FE" w14:textId="0206569E" w:rsidR="00D65989" w:rsidRPr="00C17E7D" w:rsidRDefault="00D65989" w:rsidP="00D65989">
            <w:pPr>
              <w:jc w:val="center"/>
              <w:rPr>
                <w:rFonts w:ascii="Arial" w:hAnsi="Arial" w:cs="Arial"/>
                <w:i/>
                <w:sz w:val="20"/>
                <w:szCs w:val="20"/>
              </w:rPr>
            </w:pPr>
            <w:r w:rsidRPr="00C17E7D">
              <w:rPr>
                <w:rFonts w:ascii="Arial" w:hAnsi="Arial" w:cs="Arial"/>
                <w:i/>
                <w:sz w:val="20"/>
                <w:szCs w:val="20"/>
              </w:rPr>
              <w:t>0 days</w:t>
            </w:r>
          </w:p>
        </w:tc>
        <w:tc>
          <w:tcPr>
            <w:tcW w:w="1126" w:type="dxa"/>
            <w:shd w:val="clear" w:color="auto" w:fill="FFFFFF" w:themeFill="background1"/>
            <w:vAlign w:val="center"/>
          </w:tcPr>
          <w:p w14:paraId="29DD0BF4" w14:textId="483594FC" w:rsidR="00D65989" w:rsidRPr="00C17E7D" w:rsidRDefault="00D65989" w:rsidP="00D65989">
            <w:pPr>
              <w:jc w:val="center"/>
              <w:rPr>
                <w:rFonts w:ascii="Arial" w:hAnsi="Arial" w:cs="Arial"/>
                <w:i/>
                <w:sz w:val="20"/>
                <w:szCs w:val="20"/>
              </w:rPr>
            </w:pPr>
            <w:r w:rsidRPr="00C17E7D">
              <w:rPr>
                <w:rFonts w:ascii="Arial" w:hAnsi="Arial" w:cs="Arial"/>
                <w:i/>
                <w:sz w:val="20"/>
                <w:szCs w:val="20"/>
              </w:rPr>
              <w:t>0 days</w:t>
            </w:r>
          </w:p>
        </w:tc>
        <w:tc>
          <w:tcPr>
            <w:tcW w:w="1128" w:type="dxa"/>
            <w:shd w:val="clear" w:color="auto" w:fill="FFFFFF" w:themeFill="background1"/>
            <w:vAlign w:val="center"/>
          </w:tcPr>
          <w:p w14:paraId="202054A7" w14:textId="4AA15A1F" w:rsidR="00D65989" w:rsidRPr="00C17E7D" w:rsidRDefault="00D65989" w:rsidP="00D65989">
            <w:pPr>
              <w:jc w:val="center"/>
              <w:rPr>
                <w:rFonts w:ascii="Arial" w:hAnsi="Arial" w:cs="Arial"/>
                <w:i/>
                <w:sz w:val="20"/>
                <w:szCs w:val="20"/>
              </w:rPr>
            </w:pPr>
            <w:r w:rsidRPr="00C17E7D">
              <w:rPr>
                <w:rFonts w:ascii="Arial" w:hAnsi="Arial" w:cs="Arial"/>
                <w:i/>
                <w:sz w:val="20"/>
                <w:szCs w:val="20"/>
              </w:rPr>
              <w:t>0 days</w:t>
            </w:r>
          </w:p>
        </w:tc>
        <w:tc>
          <w:tcPr>
            <w:tcW w:w="1126" w:type="dxa"/>
            <w:shd w:val="clear" w:color="auto" w:fill="FFFFFF" w:themeFill="background1"/>
            <w:vAlign w:val="center"/>
          </w:tcPr>
          <w:p w14:paraId="135C4950" w14:textId="2B0B2830" w:rsidR="00D65989" w:rsidRPr="00C17E7D" w:rsidRDefault="00D65989" w:rsidP="00D65989">
            <w:pPr>
              <w:jc w:val="center"/>
              <w:rPr>
                <w:rFonts w:ascii="Arial" w:hAnsi="Arial" w:cs="Arial"/>
                <w:i/>
                <w:sz w:val="20"/>
                <w:szCs w:val="20"/>
              </w:rPr>
            </w:pPr>
            <w:r w:rsidRPr="00C17E7D">
              <w:rPr>
                <w:rFonts w:ascii="Arial" w:hAnsi="Arial" w:cs="Arial"/>
                <w:i/>
                <w:sz w:val="20"/>
                <w:szCs w:val="20"/>
              </w:rPr>
              <w:t>0 days</w:t>
            </w:r>
          </w:p>
        </w:tc>
        <w:tc>
          <w:tcPr>
            <w:tcW w:w="1141" w:type="dxa"/>
            <w:shd w:val="clear" w:color="auto" w:fill="FFFFFF" w:themeFill="background1"/>
            <w:vAlign w:val="center"/>
          </w:tcPr>
          <w:p w14:paraId="56752FD8" w14:textId="25547A49" w:rsidR="00D65989" w:rsidRPr="00C17E7D" w:rsidRDefault="00D65989" w:rsidP="00D65989">
            <w:pPr>
              <w:jc w:val="center"/>
              <w:rPr>
                <w:rFonts w:ascii="Arial" w:hAnsi="Arial" w:cs="Arial"/>
                <w:i/>
                <w:sz w:val="20"/>
                <w:szCs w:val="20"/>
              </w:rPr>
            </w:pPr>
          </w:p>
        </w:tc>
      </w:tr>
      <w:tr w:rsidR="00D65989" w14:paraId="0650B4EE" w14:textId="77777777" w:rsidTr="001C7014">
        <w:trPr>
          <w:trHeight w:val="288"/>
        </w:trPr>
        <w:tc>
          <w:tcPr>
            <w:tcW w:w="3281" w:type="dxa"/>
            <w:vMerge w:val="restart"/>
          </w:tcPr>
          <w:p w14:paraId="27710889" w14:textId="77777777" w:rsidR="00D65989" w:rsidRPr="002A6E87" w:rsidRDefault="00D65989" w:rsidP="00D65989">
            <w:pPr>
              <w:pStyle w:val="ListParagraph"/>
              <w:numPr>
                <w:ilvl w:val="0"/>
                <w:numId w:val="40"/>
              </w:numPr>
              <w:ind w:left="270" w:hanging="270"/>
              <w:rPr>
                <w:rFonts w:ascii="Arial" w:hAnsi="Arial" w:cs="Arial"/>
                <w:bCs/>
                <w:sz w:val="20"/>
              </w:rPr>
            </w:pPr>
            <w:r w:rsidRPr="002A6E87">
              <w:rPr>
                <w:rFonts w:ascii="Arial" w:hAnsi="Arial" w:cs="Arial"/>
                <w:bCs/>
                <w:sz w:val="20"/>
              </w:rPr>
              <w:t>Increase the percentage of assessed rivers and streams supporting beneficial uses</w:t>
            </w:r>
          </w:p>
        </w:tc>
        <w:tc>
          <w:tcPr>
            <w:tcW w:w="1152" w:type="dxa"/>
            <w:shd w:val="clear" w:color="auto" w:fill="D9D9D9" w:themeFill="background1" w:themeFillShade="D9"/>
            <w:vAlign w:val="center"/>
          </w:tcPr>
          <w:p w14:paraId="366147E3" w14:textId="77777777" w:rsidR="00D65989" w:rsidRPr="00C17E7D" w:rsidRDefault="00D65989" w:rsidP="00D65989">
            <w:pPr>
              <w:jc w:val="center"/>
              <w:rPr>
                <w:rFonts w:ascii="Arial" w:hAnsi="Arial" w:cs="Arial"/>
                <w:sz w:val="20"/>
                <w:szCs w:val="20"/>
              </w:rPr>
            </w:pPr>
            <w:r w:rsidRPr="00C17E7D">
              <w:rPr>
                <w:rFonts w:ascii="Arial" w:hAnsi="Arial" w:cs="Arial"/>
                <w:sz w:val="20"/>
                <w:szCs w:val="20"/>
              </w:rPr>
              <w:t>actual</w:t>
            </w:r>
          </w:p>
        </w:tc>
        <w:tc>
          <w:tcPr>
            <w:tcW w:w="1126" w:type="dxa"/>
            <w:shd w:val="clear" w:color="auto" w:fill="D9D9D9" w:themeFill="background1" w:themeFillShade="D9"/>
            <w:vAlign w:val="center"/>
          </w:tcPr>
          <w:p w14:paraId="4D0F9A51" w14:textId="66117381" w:rsidR="00D65989" w:rsidRPr="00C17E7D" w:rsidRDefault="00D65989" w:rsidP="00D65989">
            <w:pPr>
              <w:jc w:val="center"/>
              <w:rPr>
                <w:sz w:val="20"/>
                <w:szCs w:val="20"/>
              </w:rPr>
            </w:pPr>
            <w:r w:rsidRPr="00C17E7D">
              <w:rPr>
                <w:rFonts w:ascii="Arial" w:hAnsi="Arial" w:cs="Arial"/>
                <w:sz w:val="20"/>
                <w:szCs w:val="20"/>
              </w:rPr>
              <w:t>33%</w:t>
            </w:r>
          </w:p>
        </w:tc>
        <w:tc>
          <w:tcPr>
            <w:tcW w:w="1126" w:type="dxa"/>
            <w:shd w:val="clear" w:color="auto" w:fill="D9D9D9" w:themeFill="background1" w:themeFillShade="D9"/>
            <w:vAlign w:val="center"/>
          </w:tcPr>
          <w:p w14:paraId="6AA000DF" w14:textId="4689134D" w:rsidR="00D65989" w:rsidRPr="00C17E7D" w:rsidRDefault="00D65989" w:rsidP="00D65989">
            <w:pPr>
              <w:jc w:val="center"/>
              <w:rPr>
                <w:sz w:val="20"/>
                <w:szCs w:val="20"/>
              </w:rPr>
            </w:pPr>
            <w:r w:rsidRPr="00C17E7D">
              <w:rPr>
                <w:rFonts w:ascii="Arial" w:hAnsi="Arial" w:cs="Arial"/>
                <w:sz w:val="20"/>
                <w:szCs w:val="20"/>
              </w:rPr>
              <w:t>33%</w:t>
            </w:r>
          </w:p>
        </w:tc>
        <w:tc>
          <w:tcPr>
            <w:tcW w:w="1128" w:type="dxa"/>
            <w:shd w:val="clear" w:color="auto" w:fill="D9D9D9" w:themeFill="background1" w:themeFillShade="D9"/>
            <w:vAlign w:val="center"/>
          </w:tcPr>
          <w:p w14:paraId="174E56FC" w14:textId="13B638FB" w:rsidR="00D65989" w:rsidRPr="00C17E7D" w:rsidRDefault="00D65989" w:rsidP="00D65989">
            <w:pPr>
              <w:jc w:val="center"/>
              <w:rPr>
                <w:rFonts w:ascii="Arial" w:hAnsi="Arial" w:cs="Arial"/>
                <w:sz w:val="20"/>
                <w:szCs w:val="20"/>
              </w:rPr>
            </w:pPr>
            <w:r w:rsidRPr="00C17E7D">
              <w:rPr>
                <w:rFonts w:ascii="Arial" w:hAnsi="Arial" w:cs="Arial"/>
                <w:sz w:val="20"/>
                <w:szCs w:val="20"/>
              </w:rPr>
              <w:t>35%</w:t>
            </w:r>
          </w:p>
        </w:tc>
        <w:tc>
          <w:tcPr>
            <w:tcW w:w="1126" w:type="dxa"/>
            <w:shd w:val="clear" w:color="auto" w:fill="D9D9D9" w:themeFill="background1" w:themeFillShade="D9"/>
            <w:vAlign w:val="center"/>
          </w:tcPr>
          <w:p w14:paraId="336BD192" w14:textId="128D83FD" w:rsidR="00D65989" w:rsidRPr="00C17E7D" w:rsidRDefault="00D65989" w:rsidP="00D65989">
            <w:pPr>
              <w:jc w:val="center"/>
              <w:rPr>
                <w:rFonts w:ascii="Arial" w:hAnsi="Arial" w:cs="Arial"/>
                <w:sz w:val="20"/>
                <w:szCs w:val="20"/>
              </w:rPr>
            </w:pPr>
          </w:p>
        </w:tc>
        <w:tc>
          <w:tcPr>
            <w:tcW w:w="1141" w:type="dxa"/>
            <w:shd w:val="clear" w:color="auto" w:fill="D9D9D9" w:themeFill="background1" w:themeFillShade="D9"/>
            <w:vAlign w:val="center"/>
          </w:tcPr>
          <w:p w14:paraId="4A53A794" w14:textId="29C62888" w:rsidR="00D65989" w:rsidRPr="00C17E7D" w:rsidRDefault="00D65989" w:rsidP="00D65989">
            <w:pPr>
              <w:jc w:val="center"/>
              <w:rPr>
                <w:sz w:val="20"/>
                <w:szCs w:val="20"/>
              </w:rPr>
            </w:pPr>
          </w:p>
        </w:tc>
      </w:tr>
      <w:tr w:rsidR="00D65989" w14:paraId="4227C1C2" w14:textId="77777777" w:rsidTr="001C7014">
        <w:trPr>
          <w:trHeight w:val="288"/>
        </w:trPr>
        <w:tc>
          <w:tcPr>
            <w:tcW w:w="3281" w:type="dxa"/>
            <w:vMerge/>
          </w:tcPr>
          <w:p w14:paraId="6139D1F8" w14:textId="77777777" w:rsidR="00D65989" w:rsidRPr="00646DA1" w:rsidRDefault="00D65989" w:rsidP="00D65989">
            <w:pPr>
              <w:pStyle w:val="ListParagraph"/>
              <w:numPr>
                <w:ilvl w:val="0"/>
                <w:numId w:val="40"/>
              </w:numPr>
              <w:tabs>
                <w:tab w:val="left" w:pos="2985"/>
              </w:tabs>
              <w:ind w:left="252" w:hanging="270"/>
              <w:rPr>
                <w:rFonts w:ascii="Arial" w:hAnsi="Arial" w:cs="Arial"/>
                <w:sz w:val="20"/>
              </w:rPr>
            </w:pPr>
          </w:p>
        </w:tc>
        <w:tc>
          <w:tcPr>
            <w:tcW w:w="1152" w:type="dxa"/>
            <w:tcBorders>
              <w:bottom w:val="single" w:sz="4" w:space="0" w:color="auto"/>
            </w:tcBorders>
            <w:shd w:val="clear" w:color="auto" w:fill="FFFFFF" w:themeFill="background1"/>
            <w:vAlign w:val="center"/>
          </w:tcPr>
          <w:p w14:paraId="02390A30" w14:textId="77777777" w:rsidR="00D65989" w:rsidRPr="00C17E7D" w:rsidRDefault="00D65989" w:rsidP="00D65989">
            <w:pPr>
              <w:jc w:val="center"/>
              <w:rPr>
                <w:rFonts w:ascii="Arial" w:hAnsi="Arial" w:cs="Arial"/>
                <w:i/>
                <w:sz w:val="20"/>
                <w:szCs w:val="20"/>
              </w:rPr>
            </w:pPr>
            <w:r w:rsidRPr="00C17E7D">
              <w:rPr>
                <w:rFonts w:ascii="Arial" w:hAnsi="Arial" w:cs="Arial"/>
                <w:i/>
                <w:sz w:val="20"/>
                <w:szCs w:val="20"/>
              </w:rPr>
              <w:t>target</w:t>
            </w:r>
          </w:p>
        </w:tc>
        <w:tc>
          <w:tcPr>
            <w:tcW w:w="1126" w:type="dxa"/>
            <w:tcBorders>
              <w:bottom w:val="single" w:sz="4" w:space="0" w:color="auto"/>
            </w:tcBorders>
            <w:shd w:val="clear" w:color="auto" w:fill="FFFFFF" w:themeFill="background1"/>
            <w:vAlign w:val="center"/>
          </w:tcPr>
          <w:p w14:paraId="614886E9" w14:textId="40EA6835" w:rsidR="00D65989" w:rsidRPr="00C17E7D" w:rsidRDefault="00D65989" w:rsidP="00D65989">
            <w:pPr>
              <w:jc w:val="center"/>
              <w:rPr>
                <w:rFonts w:ascii="Arial" w:hAnsi="Arial" w:cs="Arial"/>
                <w:i/>
                <w:sz w:val="20"/>
                <w:szCs w:val="20"/>
              </w:rPr>
            </w:pPr>
            <w:r w:rsidRPr="00C17E7D">
              <w:rPr>
                <w:rFonts w:ascii="Arial" w:hAnsi="Arial" w:cs="Arial"/>
                <w:i/>
                <w:sz w:val="20"/>
                <w:szCs w:val="20"/>
              </w:rPr>
              <w:t>35%</w:t>
            </w:r>
          </w:p>
        </w:tc>
        <w:tc>
          <w:tcPr>
            <w:tcW w:w="1126" w:type="dxa"/>
            <w:tcBorders>
              <w:bottom w:val="single" w:sz="4" w:space="0" w:color="auto"/>
            </w:tcBorders>
            <w:shd w:val="clear" w:color="auto" w:fill="FFFFFF" w:themeFill="background1"/>
            <w:vAlign w:val="center"/>
          </w:tcPr>
          <w:p w14:paraId="366C90AF" w14:textId="7BACA167" w:rsidR="00D65989" w:rsidRPr="00C17E7D" w:rsidRDefault="00D65989" w:rsidP="00D65989">
            <w:pPr>
              <w:jc w:val="center"/>
              <w:rPr>
                <w:rFonts w:ascii="Arial" w:hAnsi="Arial" w:cs="Arial"/>
                <w:i/>
                <w:sz w:val="20"/>
                <w:szCs w:val="20"/>
              </w:rPr>
            </w:pPr>
            <w:r w:rsidRPr="00C17E7D">
              <w:rPr>
                <w:rFonts w:ascii="Arial" w:hAnsi="Arial" w:cs="Arial"/>
                <w:i/>
                <w:sz w:val="20"/>
                <w:szCs w:val="20"/>
              </w:rPr>
              <w:t>35%</w:t>
            </w:r>
          </w:p>
        </w:tc>
        <w:tc>
          <w:tcPr>
            <w:tcW w:w="1128" w:type="dxa"/>
            <w:tcBorders>
              <w:bottom w:val="single" w:sz="4" w:space="0" w:color="auto"/>
            </w:tcBorders>
            <w:shd w:val="clear" w:color="auto" w:fill="FFFFFF" w:themeFill="background1"/>
            <w:vAlign w:val="center"/>
          </w:tcPr>
          <w:p w14:paraId="7DF7539A" w14:textId="28B8D8B1" w:rsidR="00D65989" w:rsidRPr="00C17E7D" w:rsidRDefault="00D65989" w:rsidP="00D65989">
            <w:pPr>
              <w:jc w:val="center"/>
              <w:rPr>
                <w:rFonts w:ascii="Arial" w:hAnsi="Arial" w:cs="Arial"/>
                <w:i/>
                <w:sz w:val="20"/>
                <w:szCs w:val="20"/>
              </w:rPr>
            </w:pPr>
            <w:r w:rsidRPr="00C17E7D">
              <w:rPr>
                <w:rFonts w:ascii="Arial" w:hAnsi="Arial" w:cs="Arial"/>
                <w:i/>
                <w:sz w:val="20"/>
                <w:szCs w:val="20"/>
              </w:rPr>
              <w:t>35%</w:t>
            </w:r>
          </w:p>
        </w:tc>
        <w:tc>
          <w:tcPr>
            <w:tcW w:w="1126" w:type="dxa"/>
            <w:tcBorders>
              <w:bottom w:val="single" w:sz="4" w:space="0" w:color="auto"/>
            </w:tcBorders>
            <w:shd w:val="clear" w:color="auto" w:fill="FFFFFF" w:themeFill="background1"/>
            <w:vAlign w:val="center"/>
          </w:tcPr>
          <w:p w14:paraId="144F2678" w14:textId="565DC3E8" w:rsidR="00D65989" w:rsidRPr="00C17E7D" w:rsidRDefault="00D65989" w:rsidP="00D65989">
            <w:pPr>
              <w:jc w:val="center"/>
              <w:rPr>
                <w:rFonts w:ascii="Arial" w:hAnsi="Arial" w:cs="Arial"/>
                <w:i/>
                <w:sz w:val="20"/>
                <w:szCs w:val="20"/>
              </w:rPr>
            </w:pPr>
            <w:r w:rsidRPr="00C17E7D">
              <w:rPr>
                <w:rFonts w:ascii="Arial" w:hAnsi="Arial" w:cs="Arial"/>
                <w:i/>
                <w:sz w:val="20"/>
                <w:szCs w:val="20"/>
              </w:rPr>
              <w:t>35%</w:t>
            </w:r>
          </w:p>
        </w:tc>
        <w:tc>
          <w:tcPr>
            <w:tcW w:w="1141" w:type="dxa"/>
            <w:tcBorders>
              <w:bottom w:val="single" w:sz="4" w:space="0" w:color="auto"/>
            </w:tcBorders>
            <w:shd w:val="clear" w:color="auto" w:fill="FFFFFF" w:themeFill="background1"/>
            <w:vAlign w:val="center"/>
          </w:tcPr>
          <w:p w14:paraId="3B83963F" w14:textId="55A51A7C" w:rsidR="00D65989" w:rsidRPr="00C17E7D" w:rsidRDefault="00D65989" w:rsidP="00D65989">
            <w:pPr>
              <w:jc w:val="center"/>
              <w:rPr>
                <w:rFonts w:ascii="Arial" w:hAnsi="Arial" w:cs="Arial"/>
                <w:i/>
                <w:sz w:val="20"/>
                <w:szCs w:val="20"/>
              </w:rPr>
            </w:pPr>
          </w:p>
        </w:tc>
      </w:tr>
      <w:tr w:rsidR="00D65989" w14:paraId="15F84D93" w14:textId="77777777" w:rsidTr="001C7014">
        <w:trPr>
          <w:trHeight w:val="288"/>
        </w:trPr>
        <w:tc>
          <w:tcPr>
            <w:tcW w:w="3281" w:type="dxa"/>
            <w:vMerge w:val="restart"/>
          </w:tcPr>
          <w:p w14:paraId="0A410546" w14:textId="77777777" w:rsidR="00D65989" w:rsidRPr="002A6E87" w:rsidRDefault="00D65989" w:rsidP="00D65989">
            <w:pPr>
              <w:pStyle w:val="ListParagraph"/>
              <w:numPr>
                <w:ilvl w:val="0"/>
                <w:numId w:val="40"/>
              </w:numPr>
              <w:tabs>
                <w:tab w:val="left" w:pos="2985"/>
              </w:tabs>
              <w:ind w:left="270" w:hanging="270"/>
              <w:rPr>
                <w:rFonts w:ascii="Arial" w:hAnsi="Arial" w:cs="Arial"/>
                <w:sz w:val="20"/>
              </w:rPr>
            </w:pPr>
            <w:r w:rsidRPr="002A6E87">
              <w:rPr>
                <w:rFonts w:ascii="Arial" w:hAnsi="Arial" w:cs="Arial"/>
                <w:sz w:val="20"/>
                <w:szCs w:val="20"/>
              </w:rPr>
              <w:t>Reduce the number of known contaminated sites</w:t>
            </w:r>
          </w:p>
        </w:tc>
        <w:tc>
          <w:tcPr>
            <w:tcW w:w="1152" w:type="dxa"/>
            <w:shd w:val="pct12" w:color="auto" w:fill="FFFFFF" w:themeFill="background1"/>
            <w:vAlign w:val="center"/>
          </w:tcPr>
          <w:p w14:paraId="7B740114" w14:textId="77777777" w:rsidR="00D65989" w:rsidRPr="00C17E7D" w:rsidRDefault="00D65989" w:rsidP="00D65989">
            <w:pPr>
              <w:jc w:val="center"/>
              <w:rPr>
                <w:rFonts w:ascii="Arial" w:hAnsi="Arial" w:cs="Arial"/>
                <w:sz w:val="20"/>
                <w:szCs w:val="20"/>
              </w:rPr>
            </w:pPr>
            <w:r w:rsidRPr="00C17E7D">
              <w:rPr>
                <w:rFonts w:ascii="Arial" w:hAnsi="Arial" w:cs="Arial"/>
                <w:sz w:val="20"/>
                <w:szCs w:val="20"/>
              </w:rPr>
              <w:t>actual</w:t>
            </w:r>
          </w:p>
        </w:tc>
        <w:tc>
          <w:tcPr>
            <w:tcW w:w="1126" w:type="dxa"/>
            <w:shd w:val="pct12" w:color="auto" w:fill="FFFFFF" w:themeFill="background1"/>
            <w:vAlign w:val="center"/>
          </w:tcPr>
          <w:p w14:paraId="2C5A5461" w14:textId="663191AA" w:rsidR="00D65989" w:rsidRPr="00C17E7D" w:rsidRDefault="00D65989" w:rsidP="00D65989">
            <w:pPr>
              <w:jc w:val="center"/>
              <w:rPr>
                <w:rFonts w:ascii="Arial" w:hAnsi="Arial" w:cs="Arial"/>
                <w:sz w:val="20"/>
                <w:szCs w:val="20"/>
              </w:rPr>
            </w:pPr>
            <w:r w:rsidRPr="00C17E7D">
              <w:rPr>
                <w:rFonts w:ascii="Arial" w:hAnsi="Arial" w:cs="Arial"/>
                <w:sz w:val="20"/>
                <w:szCs w:val="20"/>
              </w:rPr>
              <w:t>237 sites</w:t>
            </w:r>
          </w:p>
        </w:tc>
        <w:tc>
          <w:tcPr>
            <w:tcW w:w="1126" w:type="dxa"/>
            <w:shd w:val="pct12" w:color="auto" w:fill="FFFFFF" w:themeFill="background1"/>
            <w:vAlign w:val="center"/>
          </w:tcPr>
          <w:p w14:paraId="2063C74F" w14:textId="16AE26AA" w:rsidR="00D65989" w:rsidRPr="00C17E7D" w:rsidRDefault="00D65989" w:rsidP="00D65989">
            <w:pPr>
              <w:jc w:val="center"/>
              <w:rPr>
                <w:rFonts w:ascii="Arial" w:hAnsi="Arial" w:cs="Arial"/>
                <w:sz w:val="20"/>
                <w:szCs w:val="20"/>
              </w:rPr>
            </w:pPr>
            <w:r w:rsidRPr="00C17E7D">
              <w:rPr>
                <w:rFonts w:ascii="Arial" w:hAnsi="Arial" w:cs="Arial"/>
                <w:sz w:val="20"/>
                <w:szCs w:val="20"/>
              </w:rPr>
              <w:t>234 sites</w:t>
            </w:r>
          </w:p>
        </w:tc>
        <w:tc>
          <w:tcPr>
            <w:tcW w:w="1128" w:type="dxa"/>
            <w:shd w:val="pct12" w:color="auto" w:fill="FFFFFF" w:themeFill="background1"/>
            <w:vAlign w:val="center"/>
          </w:tcPr>
          <w:p w14:paraId="2EE1F2C6" w14:textId="320DFD8F" w:rsidR="00D65989" w:rsidRPr="00C17E7D" w:rsidRDefault="00D65989" w:rsidP="00D65989">
            <w:pPr>
              <w:jc w:val="center"/>
              <w:rPr>
                <w:rFonts w:ascii="Arial" w:hAnsi="Arial" w:cs="Arial"/>
                <w:sz w:val="20"/>
                <w:szCs w:val="20"/>
              </w:rPr>
            </w:pPr>
            <w:r w:rsidRPr="00C17E7D">
              <w:rPr>
                <w:rFonts w:ascii="Arial" w:hAnsi="Arial" w:cs="Arial"/>
                <w:sz w:val="20"/>
                <w:szCs w:val="20"/>
              </w:rPr>
              <w:t>227</w:t>
            </w:r>
          </w:p>
        </w:tc>
        <w:tc>
          <w:tcPr>
            <w:tcW w:w="1126" w:type="dxa"/>
            <w:shd w:val="pct12" w:color="auto" w:fill="FFFFFF" w:themeFill="background1"/>
            <w:vAlign w:val="center"/>
          </w:tcPr>
          <w:p w14:paraId="2D2B5DF0" w14:textId="044CD4D4" w:rsidR="00D65989" w:rsidRPr="00C17E7D" w:rsidRDefault="00D65989" w:rsidP="00D65989">
            <w:pPr>
              <w:jc w:val="center"/>
              <w:rPr>
                <w:rFonts w:ascii="Arial" w:hAnsi="Arial" w:cs="Arial"/>
                <w:sz w:val="20"/>
                <w:szCs w:val="20"/>
              </w:rPr>
            </w:pPr>
          </w:p>
        </w:tc>
        <w:tc>
          <w:tcPr>
            <w:tcW w:w="1141" w:type="dxa"/>
            <w:shd w:val="pct12" w:color="auto" w:fill="FFFFFF" w:themeFill="background1"/>
            <w:vAlign w:val="center"/>
          </w:tcPr>
          <w:p w14:paraId="73BF8904" w14:textId="442A3330" w:rsidR="00D65989" w:rsidRPr="00C17E7D" w:rsidRDefault="00D65989" w:rsidP="00D65989">
            <w:pPr>
              <w:jc w:val="center"/>
              <w:rPr>
                <w:sz w:val="20"/>
                <w:szCs w:val="20"/>
              </w:rPr>
            </w:pPr>
          </w:p>
        </w:tc>
      </w:tr>
      <w:tr w:rsidR="00D65989" w14:paraId="3C15D5E9" w14:textId="77777777" w:rsidTr="001C7014">
        <w:trPr>
          <w:trHeight w:val="288"/>
        </w:trPr>
        <w:tc>
          <w:tcPr>
            <w:tcW w:w="3281" w:type="dxa"/>
            <w:vMerge/>
          </w:tcPr>
          <w:p w14:paraId="71C4C243" w14:textId="77777777" w:rsidR="00D65989" w:rsidRPr="00E249AE" w:rsidRDefault="00D65989" w:rsidP="00D65989">
            <w:pPr>
              <w:pStyle w:val="ListParagraph"/>
              <w:numPr>
                <w:ilvl w:val="0"/>
                <w:numId w:val="37"/>
              </w:numPr>
              <w:tabs>
                <w:tab w:val="left" w:pos="2985"/>
              </w:tabs>
              <w:ind w:left="342"/>
              <w:rPr>
                <w:rFonts w:ascii="Arial" w:hAnsi="Arial" w:cs="Arial"/>
                <w:sz w:val="20"/>
                <w:szCs w:val="20"/>
              </w:rPr>
            </w:pPr>
          </w:p>
        </w:tc>
        <w:tc>
          <w:tcPr>
            <w:tcW w:w="1152" w:type="dxa"/>
            <w:shd w:val="clear" w:color="auto" w:fill="FFFFFF" w:themeFill="background1"/>
            <w:vAlign w:val="center"/>
          </w:tcPr>
          <w:p w14:paraId="245D7795" w14:textId="77777777" w:rsidR="00D65989" w:rsidRPr="00C17E7D" w:rsidRDefault="00D65989" w:rsidP="00D65989">
            <w:pPr>
              <w:jc w:val="center"/>
              <w:rPr>
                <w:rFonts w:ascii="Arial" w:hAnsi="Arial" w:cs="Arial"/>
                <w:i/>
                <w:sz w:val="20"/>
                <w:szCs w:val="20"/>
              </w:rPr>
            </w:pPr>
            <w:r w:rsidRPr="00C17E7D">
              <w:rPr>
                <w:rFonts w:ascii="Arial" w:hAnsi="Arial" w:cs="Arial"/>
                <w:i/>
                <w:sz w:val="20"/>
                <w:szCs w:val="20"/>
              </w:rPr>
              <w:t>target</w:t>
            </w:r>
          </w:p>
        </w:tc>
        <w:tc>
          <w:tcPr>
            <w:tcW w:w="1126" w:type="dxa"/>
            <w:shd w:val="clear" w:color="auto" w:fill="FFFFFF" w:themeFill="background1"/>
            <w:vAlign w:val="center"/>
          </w:tcPr>
          <w:p w14:paraId="30C150B1" w14:textId="6D94ED97" w:rsidR="00D65989" w:rsidRPr="00C17E7D" w:rsidRDefault="00D65989" w:rsidP="00D65989">
            <w:pPr>
              <w:jc w:val="center"/>
              <w:rPr>
                <w:rFonts w:ascii="Arial" w:hAnsi="Arial" w:cs="Arial"/>
                <w:i/>
                <w:sz w:val="20"/>
                <w:szCs w:val="20"/>
              </w:rPr>
            </w:pPr>
            <w:r w:rsidRPr="00C17E7D">
              <w:rPr>
                <w:rFonts w:ascii="Arial" w:hAnsi="Arial" w:cs="Arial"/>
                <w:i/>
                <w:sz w:val="20"/>
                <w:szCs w:val="20"/>
              </w:rPr>
              <w:t>247 sites</w:t>
            </w:r>
          </w:p>
        </w:tc>
        <w:tc>
          <w:tcPr>
            <w:tcW w:w="1126" w:type="dxa"/>
            <w:shd w:val="clear" w:color="auto" w:fill="FFFFFF" w:themeFill="background1"/>
            <w:vAlign w:val="center"/>
          </w:tcPr>
          <w:p w14:paraId="03416DAC" w14:textId="056BBA10" w:rsidR="00D65989" w:rsidRPr="00C17E7D" w:rsidRDefault="00D65989" w:rsidP="00D65989">
            <w:pPr>
              <w:jc w:val="center"/>
              <w:rPr>
                <w:rFonts w:ascii="Arial" w:hAnsi="Arial" w:cs="Arial"/>
                <w:i/>
                <w:sz w:val="20"/>
                <w:szCs w:val="20"/>
              </w:rPr>
            </w:pPr>
            <w:r w:rsidRPr="00C17E7D">
              <w:rPr>
                <w:rFonts w:ascii="Arial" w:hAnsi="Arial" w:cs="Arial"/>
                <w:i/>
                <w:sz w:val="20"/>
                <w:szCs w:val="20"/>
              </w:rPr>
              <w:t>213 sites</w:t>
            </w:r>
          </w:p>
        </w:tc>
        <w:tc>
          <w:tcPr>
            <w:tcW w:w="1128" w:type="dxa"/>
            <w:shd w:val="clear" w:color="auto" w:fill="FFFFFF" w:themeFill="background1"/>
            <w:vAlign w:val="center"/>
          </w:tcPr>
          <w:p w14:paraId="00190B06" w14:textId="10CDA333" w:rsidR="00D65989" w:rsidRPr="00C17E7D" w:rsidRDefault="00D65989" w:rsidP="00D65989">
            <w:pPr>
              <w:jc w:val="center"/>
              <w:rPr>
                <w:rFonts w:ascii="Arial" w:hAnsi="Arial" w:cs="Arial"/>
                <w:i/>
                <w:sz w:val="20"/>
                <w:szCs w:val="20"/>
              </w:rPr>
            </w:pPr>
            <w:r w:rsidRPr="00C17E7D">
              <w:rPr>
                <w:rFonts w:ascii="Arial" w:hAnsi="Arial" w:cs="Arial"/>
                <w:i/>
                <w:sz w:val="20"/>
                <w:szCs w:val="20"/>
              </w:rPr>
              <w:t>211 sites</w:t>
            </w:r>
          </w:p>
        </w:tc>
        <w:tc>
          <w:tcPr>
            <w:tcW w:w="1126" w:type="dxa"/>
            <w:shd w:val="clear" w:color="auto" w:fill="FFFFFF" w:themeFill="background1"/>
            <w:vAlign w:val="center"/>
          </w:tcPr>
          <w:p w14:paraId="5BC886C0" w14:textId="3BFA9586" w:rsidR="00D65989" w:rsidRPr="00C17E7D" w:rsidRDefault="00D65989" w:rsidP="00D65989">
            <w:pPr>
              <w:jc w:val="center"/>
              <w:rPr>
                <w:rFonts w:ascii="Arial" w:hAnsi="Arial" w:cs="Arial"/>
                <w:i/>
                <w:sz w:val="20"/>
                <w:szCs w:val="20"/>
              </w:rPr>
            </w:pPr>
            <w:r w:rsidRPr="00C17E7D">
              <w:rPr>
                <w:rFonts w:ascii="Arial" w:hAnsi="Arial" w:cs="Arial"/>
                <w:i/>
                <w:sz w:val="20"/>
                <w:szCs w:val="20"/>
              </w:rPr>
              <w:t>204 sites</w:t>
            </w:r>
          </w:p>
        </w:tc>
        <w:tc>
          <w:tcPr>
            <w:tcW w:w="1141" w:type="dxa"/>
            <w:shd w:val="clear" w:color="auto" w:fill="FFFFFF" w:themeFill="background1"/>
            <w:vAlign w:val="center"/>
          </w:tcPr>
          <w:p w14:paraId="36E64C9C" w14:textId="685FD3CC" w:rsidR="00D65989" w:rsidRPr="00C17E7D" w:rsidRDefault="00D65989" w:rsidP="00D65989">
            <w:pPr>
              <w:jc w:val="center"/>
              <w:rPr>
                <w:rFonts w:ascii="Arial" w:hAnsi="Arial" w:cs="Arial"/>
                <w:i/>
                <w:sz w:val="20"/>
                <w:szCs w:val="20"/>
              </w:rPr>
            </w:pPr>
          </w:p>
        </w:tc>
      </w:tr>
      <w:tr w:rsidR="00D65989" w14:paraId="69C74289" w14:textId="77777777" w:rsidTr="001C7014">
        <w:trPr>
          <w:trHeight w:val="323"/>
        </w:trPr>
        <w:tc>
          <w:tcPr>
            <w:tcW w:w="10080" w:type="dxa"/>
            <w:gridSpan w:val="7"/>
            <w:shd w:val="clear" w:color="auto" w:fill="DBE5F1" w:themeFill="accent1" w:themeFillTint="33"/>
            <w:vAlign w:val="center"/>
          </w:tcPr>
          <w:p w14:paraId="2CBC324C" w14:textId="77777777" w:rsidR="00D65989" w:rsidRDefault="00D65989" w:rsidP="00D65989">
            <w:pPr>
              <w:jc w:val="center"/>
              <w:rPr>
                <w:rFonts w:ascii="Arial" w:hAnsi="Arial" w:cs="Arial"/>
                <w:b/>
                <w:sz w:val="20"/>
              </w:rPr>
            </w:pPr>
            <w:r>
              <w:rPr>
                <w:rFonts w:ascii="Arial" w:hAnsi="Arial" w:cs="Arial"/>
                <w:b/>
                <w:sz w:val="20"/>
              </w:rPr>
              <w:t>Goal 2</w:t>
            </w:r>
          </w:p>
          <w:p w14:paraId="4AE2619B" w14:textId="77777777" w:rsidR="00D65989" w:rsidRPr="000D19BE" w:rsidRDefault="00D65989" w:rsidP="00D65989">
            <w:pPr>
              <w:jc w:val="center"/>
              <w:rPr>
                <w:rFonts w:ascii="Arial" w:hAnsi="Arial" w:cs="Arial"/>
                <w:i/>
                <w:sz w:val="20"/>
                <w:szCs w:val="20"/>
              </w:rPr>
            </w:pPr>
            <w:r w:rsidRPr="000D19BE">
              <w:rPr>
                <w:rFonts w:ascii="Arial" w:hAnsi="Arial" w:cs="Arial"/>
                <w:i/>
                <w:sz w:val="20"/>
                <w:szCs w:val="20"/>
              </w:rPr>
              <w:t>Provide first-class customer service as a trusted source for environmental leadership</w:t>
            </w:r>
          </w:p>
        </w:tc>
      </w:tr>
      <w:tr w:rsidR="00D65989" w14:paraId="624FD2BF" w14:textId="77777777" w:rsidTr="001C7014">
        <w:trPr>
          <w:trHeight w:val="305"/>
        </w:trPr>
        <w:tc>
          <w:tcPr>
            <w:tcW w:w="3281" w:type="dxa"/>
            <w:vMerge w:val="restart"/>
          </w:tcPr>
          <w:p w14:paraId="1C5069B3" w14:textId="77777777" w:rsidR="00D65989" w:rsidRPr="002A6E87" w:rsidRDefault="00D65989" w:rsidP="00D65989">
            <w:pPr>
              <w:pStyle w:val="ListParagraph"/>
              <w:numPr>
                <w:ilvl w:val="0"/>
                <w:numId w:val="40"/>
              </w:numPr>
              <w:ind w:left="252" w:hanging="252"/>
              <w:rPr>
                <w:rFonts w:ascii="Arial" w:hAnsi="Arial" w:cs="Arial"/>
                <w:bCs/>
                <w:sz w:val="20"/>
                <w:szCs w:val="20"/>
              </w:rPr>
            </w:pPr>
            <w:r w:rsidRPr="002A6E87">
              <w:rPr>
                <w:rFonts w:ascii="Arial" w:hAnsi="Arial" w:cs="Arial"/>
                <w:sz w:val="20"/>
                <w:szCs w:val="20"/>
              </w:rPr>
              <w:t>Increase the percentage of complete permit applications and facility plan and specification submittal packages on initial submittal</w:t>
            </w:r>
          </w:p>
        </w:tc>
        <w:tc>
          <w:tcPr>
            <w:tcW w:w="1152" w:type="dxa"/>
            <w:shd w:val="clear" w:color="auto" w:fill="D9D9D9" w:themeFill="background1" w:themeFillShade="D9"/>
            <w:vAlign w:val="center"/>
          </w:tcPr>
          <w:p w14:paraId="53F3A908" w14:textId="77777777" w:rsidR="00D65989" w:rsidRPr="00C17E7D" w:rsidRDefault="00D65989" w:rsidP="00D65989">
            <w:pPr>
              <w:jc w:val="center"/>
              <w:rPr>
                <w:rFonts w:ascii="Arial" w:hAnsi="Arial" w:cs="Arial"/>
                <w:sz w:val="20"/>
                <w:szCs w:val="20"/>
              </w:rPr>
            </w:pPr>
            <w:r w:rsidRPr="00C17E7D">
              <w:rPr>
                <w:rFonts w:ascii="Arial" w:hAnsi="Arial" w:cs="Arial"/>
                <w:sz w:val="20"/>
                <w:szCs w:val="20"/>
              </w:rPr>
              <w:t>actual</w:t>
            </w:r>
          </w:p>
        </w:tc>
        <w:tc>
          <w:tcPr>
            <w:tcW w:w="1126" w:type="dxa"/>
            <w:shd w:val="clear" w:color="auto" w:fill="D9D9D9" w:themeFill="background1" w:themeFillShade="D9"/>
            <w:vAlign w:val="center"/>
          </w:tcPr>
          <w:p w14:paraId="45A869CE" w14:textId="21C836CD" w:rsidR="00D65989" w:rsidRPr="00C17E7D" w:rsidRDefault="00D65989" w:rsidP="00D65989">
            <w:pPr>
              <w:jc w:val="center"/>
              <w:rPr>
                <w:sz w:val="20"/>
                <w:szCs w:val="20"/>
              </w:rPr>
            </w:pPr>
            <w:r w:rsidRPr="00C17E7D">
              <w:rPr>
                <w:rFonts w:ascii="Arial" w:hAnsi="Arial" w:cs="Arial"/>
                <w:sz w:val="20"/>
                <w:szCs w:val="20"/>
              </w:rPr>
              <w:t>71%</w:t>
            </w:r>
          </w:p>
        </w:tc>
        <w:tc>
          <w:tcPr>
            <w:tcW w:w="1126" w:type="dxa"/>
            <w:shd w:val="clear" w:color="auto" w:fill="D9D9D9" w:themeFill="background1" w:themeFillShade="D9"/>
            <w:vAlign w:val="center"/>
          </w:tcPr>
          <w:p w14:paraId="68EFCBC4" w14:textId="18EB212E" w:rsidR="00D65989" w:rsidRPr="00C17E7D" w:rsidRDefault="00D65989" w:rsidP="00D65989">
            <w:pPr>
              <w:jc w:val="center"/>
              <w:rPr>
                <w:rFonts w:ascii="Arial" w:hAnsi="Arial" w:cs="Arial"/>
                <w:sz w:val="20"/>
                <w:szCs w:val="20"/>
              </w:rPr>
            </w:pPr>
            <w:r w:rsidRPr="00C17E7D">
              <w:rPr>
                <w:rFonts w:ascii="Arial" w:hAnsi="Arial" w:cs="Arial"/>
                <w:sz w:val="20"/>
                <w:szCs w:val="20"/>
              </w:rPr>
              <w:t>45%</w:t>
            </w:r>
          </w:p>
        </w:tc>
        <w:tc>
          <w:tcPr>
            <w:tcW w:w="1128" w:type="dxa"/>
            <w:shd w:val="clear" w:color="auto" w:fill="D9D9D9" w:themeFill="background1" w:themeFillShade="D9"/>
            <w:vAlign w:val="center"/>
          </w:tcPr>
          <w:p w14:paraId="5269066D" w14:textId="0F6498DD" w:rsidR="00D65989" w:rsidRPr="00C17E7D" w:rsidRDefault="00D65989" w:rsidP="00D65989">
            <w:pPr>
              <w:jc w:val="center"/>
              <w:rPr>
                <w:sz w:val="20"/>
                <w:szCs w:val="20"/>
              </w:rPr>
            </w:pPr>
            <w:r w:rsidRPr="00C17E7D">
              <w:rPr>
                <w:rFonts w:ascii="Arial" w:hAnsi="Arial" w:cs="Arial"/>
                <w:sz w:val="20"/>
                <w:szCs w:val="20"/>
              </w:rPr>
              <w:t>66%</w:t>
            </w:r>
          </w:p>
        </w:tc>
        <w:tc>
          <w:tcPr>
            <w:tcW w:w="1126" w:type="dxa"/>
            <w:shd w:val="clear" w:color="auto" w:fill="D9D9D9" w:themeFill="background1" w:themeFillShade="D9"/>
            <w:vAlign w:val="center"/>
          </w:tcPr>
          <w:p w14:paraId="222876D7" w14:textId="76A07246" w:rsidR="00D65989" w:rsidRPr="00C17E7D" w:rsidRDefault="00D65989" w:rsidP="00D65989">
            <w:pPr>
              <w:jc w:val="center"/>
              <w:rPr>
                <w:rFonts w:ascii="Arial" w:hAnsi="Arial" w:cs="Arial"/>
                <w:sz w:val="20"/>
                <w:szCs w:val="20"/>
              </w:rPr>
            </w:pPr>
          </w:p>
        </w:tc>
        <w:tc>
          <w:tcPr>
            <w:tcW w:w="1141" w:type="dxa"/>
            <w:shd w:val="clear" w:color="auto" w:fill="D9D9D9" w:themeFill="background1" w:themeFillShade="D9"/>
            <w:vAlign w:val="center"/>
          </w:tcPr>
          <w:p w14:paraId="0563D786" w14:textId="1DA24102" w:rsidR="00D65989" w:rsidRPr="00C17E7D" w:rsidRDefault="00D65989" w:rsidP="00D65989">
            <w:pPr>
              <w:jc w:val="center"/>
              <w:rPr>
                <w:sz w:val="20"/>
                <w:szCs w:val="20"/>
              </w:rPr>
            </w:pPr>
          </w:p>
        </w:tc>
      </w:tr>
      <w:tr w:rsidR="00D65989" w14:paraId="2D4EF26E" w14:textId="77777777" w:rsidTr="001C7014">
        <w:trPr>
          <w:trHeight w:val="818"/>
        </w:trPr>
        <w:tc>
          <w:tcPr>
            <w:tcW w:w="3281" w:type="dxa"/>
            <w:vMerge/>
          </w:tcPr>
          <w:p w14:paraId="2B54C387" w14:textId="77777777" w:rsidR="00D65989" w:rsidRPr="00646DA1" w:rsidRDefault="00D65989" w:rsidP="00D65989">
            <w:pPr>
              <w:pStyle w:val="ListParagraph"/>
              <w:numPr>
                <w:ilvl w:val="0"/>
                <w:numId w:val="37"/>
              </w:numPr>
              <w:tabs>
                <w:tab w:val="left" w:pos="2985"/>
              </w:tabs>
              <w:ind w:left="342"/>
              <w:rPr>
                <w:rFonts w:ascii="Arial" w:hAnsi="Arial" w:cs="Arial"/>
                <w:sz w:val="20"/>
              </w:rPr>
            </w:pPr>
          </w:p>
        </w:tc>
        <w:tc>
          <w:tcPr>
            <w:tcW w:w="1152" w:type="dxa"/>
            <w:shd w:val="clear" w:color="auto" w:fill="FFFFFF" w:themeFill="background1"/>
            <w:vAlign w:val="center"/>
          </w:tcPr>
          <w:p w14:paraId="6DDDD939" w14:textId="77777777" w:rsidR="00D65989" w:rsidRPr="00C17E7D" w:rsidRDefault="00D65989" w:rsidP="00D65989">
            <w:pPr>
              <w:jc w:val="center"/>
              <w:rPr>
                <w:rFonts w:ascii="Arial" w:hAnsi="Arial" w:cs="Arial"/>
                <w:i/>
                <w:sz w:val="20"/>
                <w:szCs w:val="20"/>
              </w:rPr>
            </w:pPr>
            <w:r w:rsidRPr="00C17E7D">
              <w:rPr>
                <w:rFonts w:ascii="Arial" w:hAnsi="Arial" w:cs="Arial"/>
                <w:i/>
                <w:sz w:val="20"/>
                <w:szCs w:val="20"/>
              </w:rPr>
              <w:t>target</w:t>
            </w:r>
          </w:p>
        </w:tc>
        <w:tc>
          <w:tcPr>
            <w:tcW w:w="1126" w:type="dxa"/>
            <w:shd w:val="clear" w:color="auto" w:fill="FFFFFF" w:themeFill="background1"/>
            <w:vAlign w:val="center"/>
          </w:tcPr>
          <w:p w14:paraId="72E34EF9" w14:textId="083C6435" w:rsidR="00D65989" w:rsidRPr="00C17E7D" w:rsidRDefault="00D65989" w:rsidP="00D65989">
            <w:pPr>
              <w:jc w:val="center"/>
              <w:rPr>
                <w:rFonts w:ascii="Arial" w:hAnsi="Arial" w:cs="Arial"/>
                <w:i/>
                <w:sz w:val="20"/>
                <w:szCs w:val="20"/>
              </w:rPr>
            </w:pPr>
            <w:r w:rsidRPr="00C17E7D">
              <w:rPr>
                <w:rFonts w:ascii="Arial" w:hAnsi="Arial" w:cs="Arial"/>
                <w:i/>
                <w:sz w:val="20"/>
                <w:szCs w:val="20"/>
              </w:rPr>
              <w:t>82%</w:t>
            </w:r>
          </w:p>
        </w:tc>
        <w:tc>
          <w:tcPr>
            <w:tcW w:w="1126" w:type="dxa"/>
            <w:shd w:val="clear" w:color="auto" w:fill="FFFFFF" w:themeFill="background1"/>
            <w:vAlign w:val="center"/>
          </w:tcPr>
          <w:p w14:paraId="15599C9F" w14:textId="0FDCFF7A" w:rsidR="00D65989" w:rsidRPr="00C17E7D" w:rsidRDefault="00D65989" w:rsidP="00D65989">
            <w:pPr>
              <w:jc w:val="center"/>
              <w:rPr>
                <w:rFonts w:ascii="Arial" w:hAnsi="Arial" w:cs="Arial"/>
                <w:i/>
                <w:sz w:val="20"/>
                <w:szCs w:val="20"/>
              </w:rPr>
            </w:pPr>
            <w:r w:rsidRPr="00C17E7D">
              <w:rPr>
                <w:rFonts w:ascii="Arial" w:hAnsi="Arial" w:cs="Arial"/>
                <w:i/>
                <w:sz w:val="20"/>
                <w:szCs w:val="20"/>
              </w:rPr>
              <w:t>82%</w:t>
            </w:r>
          </w:p>
        </w:tc>
        <w:tc>
          <w:tcPr>
            <w:tcW w:w="1128" w:type="dxa"/>
            <w:shd w:val="clear" w:color="auto" w:fill="FFFFFF" w:themeFill="background1"/>
            <w:vAlign w:val="center"/>
          </w:tcPr>
          <w:p w14:paraId="29DA4479" w14:textId="2C41A3F8" w:rsidR="00D65989" w:rsidRPr="00C17E7D" w:rsidRDefault="00D65989" w:rsidP="00D65989">
            <w:pPr>
              <w:jc w:val="center"/>
              <w:rPr>
                <w:rFonts w:ascii="Arial" w:hAnsi="Arial" w:cs="Arial"/>
                <w:i/>
                <w:sz w:val="20"/>
                <w:szCs w:val="20"/>
              </w:rPr>
            </w:pPr>
            <w:r w:rsidRPr="00C17E7D">
              <w:rPr>
                <w:rFonts w:ascii="Arial" w:hAnsi="Arial" w:cs="Arial"/>
                <w:i/>
                <w:sz w:val="20"/>
                <w:szCs w:val="20"/>
              </w:rPr>
              <w:t>82%</w:t>
            </w:r>
          </w:p>
        </w:tc>
        <w:tc>
          <w:tcPr>
            <w:tcW w:w="1126" w:type="dxa"/>
            <w:shd w:val="clear" w:color="auto" w:fill="FFFFFF" w:themeFill="background1"/>
            <w:vAlign w:val="center"/>
          </w:tcPr>
          <w:p w14:paraId="35819F17" w14:textId="6D3C20DB" w:rsidR="00D65989" w:rsidRPr="00C17E7D" w:rsidRDefault="00D65989" w:rsidP="00D65989">
            <w:pPr>
              <w:jc w:val="center"/>
              <w:rPr>
                <w:rFonts w:ascii="Arial" w:hAnsi="Arial" w:cs="Arial"/>
                <w:i/>
                <w:sz w:val="20"/>
                <w:szCs w:val="20"/>
              </w:rPr>
            </w:pPr>
            <w:r w:rsidRPr="00C17E7D">
              <w:rPr>
                <w:rFonts w:ascii="Arial" w:hAnsi="Arial" w:cs="Arial"/>
                <w:i/>
                <w:sz w:val="20"/>
                <w:szCs w:val="20"/>
              </w:rPr>
              <w:t>82%</w:t>
            </w:r>
          </w:p>
        </w:tc>
        <w:tc>
          <w:tcPr>
            <w:tcW w:w="1141" w:type="dxa"/>
            <w:shd w:val="clear" w:color="auto" w:fill="FFFFFF" w:themeFill="background1"/>
            <w:vAlign w:val="center"/>
          </w:tcPr>
          <w:p w14:paraId="48C0F39F" w14:textId="161901C9" w:rsidR="00D65989" w:rsidRPr="00C17E7D" w:rsidRDefault="00D65989" w:rsidP="00D65989">
            <w:pPr>
              <w:jc w:val="center"/>
              <w:rPr>
                <w:rFonts w:ascii="Arial" w:hAnsi="Arial" w:cs="Arial"/>
                <w:i/>
                <w:sz w:val="20"/>
                <w:szCs w:val="20"/>
              </w:rPr>
            </w:pPr>
          </w:p>
        </w:tc>
      </w:tr>
      <w:tr w:rsidR="00D65989" w14:paraId="6661CAE6" w14:textId="77777777" w:rsidTr="001C7014">
        <w:trPr>
          <w:trHeight w:val="288"/>
        </w:trPr>
        <w:tc>
          <w:tcPr>
            <w:tcW w:w="3281" w:type="dxa"/>
            <w:vMerge w:val="restart"/>
          </w:tcPr>
          <w:p w14:paraId="48B72D5E" w14:textId="77777777" w:rsidR="00D65989" w:rsidRPr="00646DA1" w:rsidRDefault="00D65989" w:rsidP="00D65989">
            <w:pPr>
              <w:pStyle w:val="ListParagraph"/>
              <w:numPr>
                <w:ilvl w:val="0"/>
                <w:numId w:val="40"/>
              </w:numPr>
              <w:ind w:left="270" w:hanging="270"/>
              <w:rPr>
                <w:rFonts w:ascii="Arial" w:hAnsi="Arial" w:cs="Arial"/>
                <w:bCs/>
                <w:sz w:val="20"/>
              </w:rPr>
            </w:pPr>
            <w:r>
              <w:rPr>
                <w:rFonts w:ascii="Arial" w:hAnsi="Arial" w:cs="Arial"/>
                <w:bCs/>
                <w:sz w:val="20"/>
              </w:rPr>
              <w:t>Increase the compliance rate of inspected facilities</w:t>
            </w:r>
          </w:p>
        </w:tc>
        <w:tc>
          <w:tcPr>
            <w:tcW w:w="1152" w:type="dxa"/>
            <w:shd w:val="clear" w:color="auto" w:fill="D9D9D9" w:themeFill="background1" w:themeFillShade="D9"/>
            <w:vAlign w:val="center"/>
          </w:tcPr>
          <w:p w14:paraId="36544CF6" w14:textId="77777777" w:rsidR="00D65989" w:rsidRPr="00C17E7D" w:rsidRDefault="00D65989" w:rsidP="00D65989">
            <w:pPr>
              <w:jc w:val="center"/>
              <w:rPr>
                <w:rFonts w:ascii="Arial" w:hAnsi="Arial" w:cs="Arial"/>
                <w:sz w:val="20"/>
                <w:szCs w:val="20"/>
              </w:rPr>
            </w:pPr>
            <w:r w:rsidRPr="00C17E7D">
              <w:rPr>
                <w:rFonts w:ascii="Arial" w:hAnsi="Arial" w:cs="Arial"/>
                <w:sz w:val="20"/>
                <w:szCs w:val="20"/>
              </w:rPr>
              <w:t>actual</w:t>
            </w:r>
          </w:p>
        </w:tc>
        <w:tc>
          <w:tcPr>
            <w:tcW w:w="1126" w:type="dxa"/>
            <w:shd w:val="clear" w:color="auto" w:fill="D9D9D9" w:themeFill="background1" w:themeFillShade="D9"/>
            <w:vAlign w:val="center"/>
          </w:tcPr>
          <w:p w14:paraId="5B193CBA" w14:textId="36C56181" w:rsidR="00D65989" w:rsidRPr="00C17E7D" w:rsidRDefault="00D65989" w:rsidP="00D65989">
            <w:pPr>
              <w:jc w:val="center"/>
              <w:rPr>
                <w:rFonts w:ascii="Arial" w:hAnsi="Arial" w:cs="Arial"/>
                <w:sz w:val="20"/>
                <w:szCs w:val="20"/>
              </w:rPr>
            </w:pPr>
            <w:r w:rsidRPr="00C17E7D">
              <w:rPr>
                <w:rFonts w:ascii="Arial" w:hAnsi="Arial" w:cs="Arial"/>
                <w:sz w:val="20"/>
                <w:szCs w:val="20"/>
              </w:rPr>
              <w:t>82%</w:t>
            </w:r>
            <w:r w:rsidRPr="00C17E7D">
              <w:rPr>
                <w:rFonts w:ascii="Arial" w:hAnsi="Arial" w:cs="Arial"/>
                <w:sz w:val="20"/>
                <w:szCs w:val="20"/>
                <w:vertAlign w:val="superscript"/>
              </w:rPr>
              <w:t>b</w:t>
            </w:r>
          </w:p>
        </w:tc>
        <w:tc>
          <w:tcPr>
            <w:tcW w:w="1126" w:type="dxa"/>
            <w:shd w:val="clear" w:color="auto" w:fill="D9D9D9" w:themeFill="background1" w:themeFillShade="D9"/>
            <w:vAlign w:val="center"/>
          </w:tcPr>
          <w:p w14:paraId="723B90B9" w14:textId="4D3A53BA" w:rsidR="00D65989" w:rsidRPr="00C17E7D" w:rsidRDefault="00D65989" w:rsidP="00D65989">
            <w:pPr>
              <w:jc w:val="center"/>
              <w:rPr>
                <w:rFonts w:ascii="Arial" w:hAnsi="Arial" w:cs="Arial"/>
                <w:sz w:val="20"/>
                <w:szCs w:val="20"/>
              </w:rPr>
            </w:pPr>
            <w:r w:rsidRPr="00C17E7D">
              <w:rPr>
                <w:rFonts w:ascii="Arial" w:hAnsi="Arial" w:cs="Arial"/>
                <w:sz w:val="20"/>
                <w:szCs w:val="20"/>
              </w:rPr>
              <w:t>80%</w:t>
            </w:r>
          </w:p>
        </w:tc>
        <w:tc>
          <w:tcPr>
            <w:tcW w:w="1128" w:type="dxa"/>
            <w:shd w:val="clear" w:color="auto" w:fill="D9D9D9" w:themeFill="background1" w:themeFillShade="D9"/>
            <w:vAlign w:val="center"/>
          </w:tcPr>
          <w:p w14:paraId="722BEB49" w14:textId="51AAD372" w:rsidR="00D65989" w:rsidRPr="00C17E7D" w:rsidRDefault="00D65989" w:rsidP="00D65989">
            <w:pPr>
              <w:jc w:val="center"/>
              <w:rPr>
                <w:rFonts w:ascii="Arial" w:hAnsi="Arial" w:cs="Arial"/>
                <w:sz w:val="20"/>
                <w:szCs w:val="20"/>
              </w:rPr>
            </w:pPr>
            <w:r w:rsidRPr="00C17E7D">
              <w:rPr>
                <w:rFonts w:ascii="Arial" w:hAnsi="Arial" w:cs="Arial"/>
                <w:sz w:val="20"/>
                <w:szCs w:val="20"/>
              </w:rPr>
              <w:t>74%</w:t>
            </w:r>
          </w:p>
        </w:tc>
        <w:tc>
          <w:tcPr>
            <w:tcW w:w="1126" w:type="dxa"/>
            <w:shd w:val="clear" w:color="auto" w:fill="D9D9D9" w:themeFill="background1" w:themeFillShade="D9"/>
            <w:vAlign w:val="center"/>
          </w:tcPr>
          <w:p w14:paraId="19EE46E2" w14:textId="5805EEA1" w:rsidR="00D65989" w:rsidRPr="00C17E7D" w:rsidRDefault="00D65989" w:rsidP="00D65989">
            <w:pPr>
              <w:jc w:val="center"/>
              <w:rPr>
                <w:rFonts w:ascii="Arial" w:hAnsi="Arial" w:cs="Arial"/>
                <w:sz w:val="20"/>
                <w:szCs w:val="20"/>
              </w:rPr>
            </w:pPr>
          </w:p>
        </w:tc>
        <w:tc>
          <w:tcPr>
            <w:tcW w:w="1141" w:type="dxa"/>
            <w:shd w:val="clear" w:color="auto" w:fill="D9D9D9" w:themeFill="background1" w:themeFillShade="D9"/>
            <w:vAlign w:val="center"/>
          </w:tcPr>
          <w:p w14:paraId="65220D36" w14:textId="3A26CC11" w:rsidR="00D65989" w:rsidRPr="00C17E7D" w:rsidRDefault="00D65989" w:rsidP="00D65989">
            <w:pPr>
              <w:jc w:val="center"/>
              <w:rPr>
                <w:sz w:val="20"/>
                <w:szCs w:val="20"/>
              </w:rPr>
            </w:pPr>
          </w:p>
        </w:tc>
      </w:tr>
      <w:tr w:rsidR="00D65989" w14:paraId="5C175E8A" w14:textId="77777777" w:rsidTr="001C7014">
        <w:trPr>
          <w:trHeight w:val="288"/>
        </w:trPr>
        <w:tc>
          <w:tcPr>
            <w:tcW w:w="3281" w:type="dxa"/>
            <w:vMerge/>
          </w:tcPr>
          <w:p w14:paraId="50B1C42D" w14:textId="77777777" w:rsidR="00D65989" w:rsidRPr="00646DA1" w:rsidRDefault="00D65989" w:rsidP="00D65989">
            <w:pPr>
              <w:pStyle w:val="ListParagraph"/>
              <w:numPr>
                <w:ilvl w:val="0"/>
                <w:numId w:val="37"/>
              </w:numPr>
              <w:tabs>
                <w:tab w:val="left" w:pos="2985"/>
              </w:tabs>
              <w:ind w:left="342"/>
              <w:rPr>
                <w:rFonts w:ascii="Arial" w:hAnsi="Arial" w:cs="Arial"/>
                <w:sz w:val="20"/>
              </w:rPr>
            </w:pPr>
          </w:p>
        </w:tc>
        <w:tc>
          <w:tcPr>
            <w:tcW w:w="1152" w:type="dxa"/>
            <w:shd w:val="clear" w:color="auto" w:fill="FFFFFF" w:themeFill="background1"/>
            <w:vAlign w:val="center"/>
          </w:tcPr>
          <w:p w14:paraId="4EBFDE65" w14:textId="77777777" w:rsidR="00D65989" w:rsidRPr="00C17E7D" w:rsidRDefault="00D65989" w:rsidP="00D65989">
            <w:pPr>
              <w:jc w:val="center"/>
              <w:rPr>
                <w:rFonts w:ascii="Arial" w:hAnsi="Arial" w:cs="Arial"/>
                <w:sz w:val="20"/>
                <w:szCs w:val="20"/>
              </w:rPr>
            </w:pPr>
            <w:r w:rsidRPr="00C17E7D">
              <w:rPr>
                <w:rFonts w:ascii="Arial" w:hAnsi="Arial" w:cs="Arial"/>
                <w:i/>
                <w:sz w:val="20"/>
                <w:szCs w:val="20"/>
              </w:rPr>
              <w:t>target</w:t>
            </w:r>
          </w:p>
        </w:tc>
        <w:tc>
          <w:tcPr>
            <w:tcW w:w="1126" w:type="dxa"/>
            <w:shd w:val="clear" w:color="auto" w:fill="FFFFFF" w:themeFill="background1"/>
            <w:vAlign w:val="center"/>
          </w:tcPr>
          <w:p w14:paraId="31C39FAF" w14:textId="126DB53C" w:rsidR="00D65989" w:rsidRPr="00C17E7D" w:rsidRDefault="00D65989" w:rsidP="00D65989">
            <w:pPr>
              <w:jc w:val="center"/>
              <w:rPr>
                <w:sz w:val="20"/>
                <w:szCs w:val="20"/>
              </w:rPr>
            </w:pPr>
            <w:r w:rsidRPr="00C17E7D">
              <w:rPr>
                <w:rFonts w:ascii="Arial" w:hAnsi="Arial" w:cs="Arial"/>
                <w:i/>
                <w:sz w:val="20"/>
                <w:szCs w:val="20"/>
              </w:rPr>
              <w:t>82%</w:t>
            </w:r>
          </w:p>
        </w:tc>
        <w:tc>
          <w:tcPr>
            <w:tcW w:w="1126" w:type="dxa"/>
            <w:shd w:val="clear" w:color="auto" w:fill="FFFFFF" w:themeFill="background1"/>
            <w:vAlign w:val="center"/>
          </w:tcPr>
          <w:p w14:paraId="38D1D1FE" w14:textId="15CE7293" w:rsidR="00D65989" w:rsidRPr="00C17E7D" w:rsidRDefault="00D65989" w:rsidP="00D65989">
            <w:pPr>
              <w:jc w:val="center"/>
              <w:rPr>
                <w:sz w:val="20"/>
                <w:szCs w:val="20"/>
              </w:rPr>
            </w:pPr>
            <w:r w:rsidRPr="00C17E7D">
              <w:rPr>
                <w:rFonts w:ascii="Arial" w:hAnsi="Arial" w:cs="Arial"/>
                <w:i/>
                <w:sz w:val="20"/>
                <w:szCs w:val="20"/>
              </w:rPr>
              <w:t>82%</w:t>
            </w:r>
          </w:p>
        </w:tc>
        <w:tc>
          <w:tcPr>
            <w:tcW w:w="1128" w:type="dxa"/>
            <w:shd w:val="clear" w:color="auto" w:fill="FFFFFF" w:themeFill="background1"/>
            <w:vAlign w:val="center"/>
          </w:tcPr>
          <w:p w14:paraId="6471D9CF" w14:textId="2C0E3896" w:rsidR="00D65989" w:rsidRPr="00C17E7D" w:rsidRDefault="00D65989" w:rsidP="00D65989">
            <w:pPr>
              <w:jc w:val="center"/>
              <w:rPr>
                <w:sz w:val="20"/>
                <w:szCs w:val="20"/>
              </w:rPr>
            </w:pPr>
            <w:r w:rsidRPr="00C17E7D">
              <w:rPr>
                <w:rFonts w:ascii="Arial" w:hAnsi="Arial" w:cs="Arial"/>
                <w:i/>
                <w:sz w:val="20"/>
                <w:szCs w:val="20"/>
              </w:rPr>
              <w:t>82%</w:t>
            </w:r>
          </w:p>
        </w:tc>
        <w:tc>
          <w:tcPr>
            <w:tcW w:w="1126" w:type="dxa"/>
            <w:shd w:val="clear" w:color="auto" w:fill="FFFFFF" w:themeFill="background1"/>
            <w:vAlign w:val="center"/>
          </w:tcPr>
          <w:p w14:paraId="7EBDC08C" w14:textId="389D9B66" w:rsidR="00D65989" w:rsidRPr="00C17E7D" w:rsidRDefault="00D65989" w:rsidP="00D65989">
            <w:pPr>
              <w:jc w:val="center"/>
              <w:rPr>
                <w:rFonts w:ascii="Arial" w:hAnsi="Arial" w:cs="Arial"/>
                <w:i/>
                <w:sz w:val="20"/>
                <w:szCs w:val="20"/>
              </w:rPr>
            </w:pPr>
            <w:r w:rsidRPr="00C17E7D">
              <w:rPr>
                <w:rFonts w:ascii="Arial" w:hAnsi="Arial" w:cs="Arial"/>
                <w:i/>
                <w:sz w:val="20"/>
                <w:szCs w:val="20"/>
              </w:rPr>
              <w:t>82%</w:t>
            </w:r>
          </w:p>
        </w:tc>
        <w:tc>
          <w:tcPr>
            <w:tcW w:w="1141" w:type="dxa"/>
            <w:shd w:val="clear" w:color="auto" w:fill="FFFFFF" w:themeFill="background1"/>
            <w:vAlign w:val="center"/>
          </w:tcPr>
          <w:p w14:paraId="5090BFB5" w14:textId="627B3743" w:rsidR="00D65989" w:rsidRPr="00C17E7D" w:rsidRDefault="00D65989" w:rsidP="00D65989">
            <w:pPr>
              <w:jc w:val="center"/>
              <w:rPr>
                <w:rFonts w:ascii="Arial" w:hAnsi="Arial" w:cs="Arial"/>
                <w:i/>
                <w:sz w:val="20"/>
                <w:szCs w:val="20"/>
              </w:rPr>
            </w:pPr>
          </w:p>
        </w:tc>
      </w:tr>
      <w:tr w:rsidR="00D65989" w14:paraId="2A00EFD8" w14:textId="77777777" w:rsidTr="001C7014">
        <w:trPr>
          <w:trHeight w:val="323"/>
        </w:trPr>
        <w:tc>
          <w:tcPr>
            <w:tcW w:w="10080" w:type="dxa"/>
            <w:gridSpan w:val="7"/>
            <w:shd w:val="clear" w:color="auto" w:fill="DBE5F1" w:themeFill="accent1" w:themeFillTint="33"/>
            <w:vAlign w:val="center"/>
          </w:tcPr>
          <w:p w14:paraId="0792C188" w14:textId="77777777" w:rsidR="00D65989" w:rsidRPr="00C17E7D" w:rsidRDefault="00D65989" w:rsidP="00D65989">
            <w:pPr>
              <w:jc w:val="center"/>
              <w:rPr>
                <w:rFonts w:ascii="Arial" w:hAnsi="Arial" w:cs="Arial"/>
                <w:b/>
                <w:sz w:val="20"/>
                <w:szCs w:val="20"/>
              </w:rPr>
            </w:pPr>
            <w:r w:rsidRPr="00C17E7D">
              <w:rPr>
                <w:rFonts w:ascii="Arial" w:hAnsi="Arial" w:cs="Arial"/>
                <w:b/>
                <w:sz w:val="20"/>
                <w:szCs w:val="20"/>
              </w:rPr>
              <w:t>Goal 3</w:t>
            </w:r>
          </w:p>
          <w:p w14:paraId="24173960" w14:textId="77777777" w:rsidR="00D65989" w:rsidRPr="00C17E7D" w:rsidRDefault="00D65989" w:rsidP="00D65989">
            <w:pPr>
              <w:jc w:val="center"/>
              <w:rPr>
                <w:rFonts w:ascii="Arial" w:hAnsi="Arial" w:cs="Arial"/>
                <w:i/>
                <w:sz w:val="20"/>
                <w:szCs w:val="20"/>
              </w:rPr>
            </w:pPr>
            <w:r w:rsidRPr="00C17E7D">
              <w:rPr>
                <w:rFonts w:ascii="Arial" w:hAnsi="Arial" w:cs="Arial"/>
                <w:i/>
                <w:sz w:val="20"/>
                <w:szCs w:val="20"/>
              </w:rPr>
              <w:t>Foster a culture of continuous improvement</w:t>
            </w:r>
          </w:p>
        </w:tc>
      </w:tr>
      <w:tr w:rsidR="00D65989" w14:paraId="2CECBA9C" w14:textId="77777777" w:rsidTr="001C7014">
        <w:trPr>
          <w:trHeight w:val="305"/>
        </w:trPr>
        <w:tc>
          <w:tcPr>
            <w:tcW w:w="3281" w:type="dxa"/>
            <w:vMerge w:val="restart"/>
          </w:tcPr>
          <w:p w14:paraId="00FDEE64" w14:textId="77777777" w:rsidR="00D65989" w:rsidRPr="001E3ACE" w:rsidRDefault="00D65989" w:rsidP="00D65989">
            <w:pPr>
              <w:pStyle w:val="ListParagraph"/>
              <w:numPr>
                <w:ilvl w:val="0"/>
                <w:numId w:val="40"/>
              </w:numPr>
              <w:ind w:left="270" w:hanging="270"/>
              <w:rPr>
                <w:rFonts w:ascii="Arial" w:hAnsi="Arial" w:cs="Arial"/>
                <w:bCs/>
                <w:sz w:val="20"/>
                <w:szCs w:val="20"/>
              </w:rPr>
            </w:pPr>
            <w:r w:rsidRPr="001E3ACE">
              <w:rPr>
                <w:rFonts w:ascii="Arial" w:hAnsi="Arial" w:cs="Arial"/>
                <w:sz w:val="20"/>
                <w:szCs w:val="20"/>
              </w:rPr>
              <w:t xml:space="preserve">Increase the percentage of permits issued before </w:t>
            </w:r>
            <w:r>
              <w:rPr>
                <w:rFonts w:ascii="Arial" w:hAnsi="Arial" w:cs="Arial"/>
                <w:sz w:val="20"/>
                <w:szCs w:val="20"/>
              </w:rPr>
              <w:t>deadline</w:t>
            </w:r>
          </w:p>
        </w:tc>
        <w:tc>
          <w:tcPr>
            <w:tcW w:w="1152" w:type="dxa"/>
            <w:shd w:val="clear" w:color="auto" w:fill="D9D9D9" w:themeFill="background1" w:themeFillShade="D9"/>
            <w:vAlign w:val="center"/>
          </w:tcPr>
          <w:p w14:paraId="28AF194B" w14:textId="77777777" w:rsidR="00D65989" w:rsidRPr="00C17E7D" w:rsidRDefault="00D65989" w:rsidP="00D65989">
            <w:pPr>
              <w:jc w:val="center"/>
              <w:rPr>
                <w:rFonts w:ascii="Arial" w:hAnsi="Arial" w:cs="Arial"/>
                <w:sz w:val="20"/>
                <w:szCs w:val="20"/>
              </w:rPr>
            </w:pPr>
            <w:r w:rsidRPr="00C17E7D">
              <w:rPr>
                <w:rFonts w:ascii="Arial" w:hAnsi="Arial" w:cs="Arial"/>
                <w:sz w:val="20"/>
                <w:szCs w:val="20"/>
              </w:rPr>
              <w:t>actual</w:t>
            </w:r>
          </w:p>
        </w:tc>
        <w:tc>
          <w:tcPr>
            <w:tcW w:w="1126" w:type="dxa"/>
            <w:shd w:val="clear" w:color="auto" w:fill="D9D9D9" w:themeFill="background1" w:themeFillShade="D9"/>
            <w:vAlign w:val="center"/>
          </w:tcPr>
          <w:p w14:paraId="606A171B" w14:textId="7D2328F1" w:rsidR="00D65989" w:rsidRPr="00C17E7D" w:rsidRDefault="00D65989" w:rsidP="00D65989">
            <w:pPr>
              <w:jc w:val="center"/>
              <w:rPr>
                <w:sz w:val="20"/>
                <w:szCs w:val="20"/>
              </w:rPr>
            </w:pPr>
            <w:r w:rsidRPr="00C17E7D">
              <w:rPr>
                <w:rFonts w:ascii="Arial" w:hAnsi="Arial" w:cs="Arial"/>
                <w:sz w:val="20"/>
                <w:szCs w:val="20"/>
              </w:rPr>
              <w:t>88%</w:t>
            </w:r>
          </w:p>
        </w:tc>
        <w:tc>
          <w:tcPr>
            <w:tcW w:w="1126" w:type="dxa"/>
            <w:shd w:val="clear" w:color="auto" w:fill="D9D9D9" w:themeFill="background1" w:themeFillShade="D9"/>
            <w:vAlign w:val="center"/>
          </w:tcPr>
          <w:p w14:paraId="61054960" w14:textId="48E68F80" w:rsidR="00D65989" w:rsidRPr="00C17E7D" w:rsidRDefault="00D65989" w:rsidP="00D65989">
            <w:pPr>
              <w:jc w:val="center"/>
              <w:rPr>
                <w:rFonts w:ascii="Arial" w:hAnsi="Arial" w:cs="Arial"/>
                <w:sz w:val="20"/>
                <w:szCs w:val="20"/>
              </w:rPr>
            </w:pPr>
            <w:r w:rsidRPr="00C17E7D">
              <w:rPr>
                <w:rFonts w:ascii="Arial" w:hAnsi="Arial" w:cs="Arial"/>
                <w:sz w:val="20"/>
                <w:szCs w:val="20"/>
              </w:rPr>
              <w:t>80%</w:t>
            </w:r>
          </w:p>
        </w:tc>
        <w:tc>
          <w:tcPr>
            <w:tcW w:w="1128" w:type="dxa"/>
            <w:shd w:val="clear" w:color="auto" w:fill="D9D9D9" w:themeFill="background1" w:themeFillShade="D9"/>
            <w:vAlign w:val="center"/>
          </w:tcPr>
          <w:p w14:paraId="22DCD2E0" w14:textId="501BF558" w:rsidR="00D65989" w:rsidRPr="00C17E7D" w:rsidRDefault="00D65989" w:rsidP="00D65989">
            <w:pPr>
              <w:jc w:val="center"/>
              <w:rPr>
                <w:rFonts w:ascii="Arial" w:hAnsi="Arial" w:cs="Arial"/>
                <w:sz w:val="20"/>
                <w:szCs w:val="20"/>
              </w:rPr>
            </w:pPr>
            <w:r w:rsidRPr="00C17E7D">
              <w:rPr>
                <w:rFonts w:ascii="Arial" w:hAnsi="Arial" w:cs="Arial"/>
                <w:sz w:val="20"/>
                <w:szCs w:val="20"/>
              </w:rPr>
              <w:t>61%</w:t>
            </w:r>
          </w:p>
        </w:tc>
        <w:tc>
          <w:tcPr>
            <w:tcW w:w="1126" w:type="dxa"/>
            <w:shd w:val="clear" w:color="auto" w:fill="D9D9D9" w:themeFill="background1" w:themeFillShade="D9"/>
            <w:vAlign w:val="center"/>
          </w:tcPr>
          <w:p w14:paraId="0C929D8A" w14:textId="2FFB5558" w:rsidR="00D65989" w:rsidRPr="00C17E7D" w:rsidRDefault="00D65989" w:rsidP="00D65989">
            <w:pPr>
              <w:jc w:val="center"/>
              <w:rPr>
                <w:rFonts w:ascii="Arial" w:hAnsi="Arial" w:cs="Arial"/>
                <w:sz w:val="20"/>
                <w:szCs w:val="20"/>
              </w:rPr>
            </w:pPr>
          </w:p>
        </w:tc>
        <w:tc>
          <w:tcPr>
            <w:tcW w:w="1141" w:type="dxa"/>
            <w:shd w:val="clear" w:color="auto" w:fill="D9D9D9" w:themeFill="background1" w:themeFillShade="D9"/>
            <w:vAlign w:val="center"/>
          </w:tcPr>
          <w:p w14:paraId="6FB27984" w14:textId="33E58116" w:rsidR="00D65989" w:rsidRPr="00C17E7D" w:rsidRDefault="00D65989" w:rsidP="00D65989">
            <w:pPr>
              <w:jc w:val="center"/>
              <w:rPr>
                <w:sz w:val="20"/>
                <w:szCs w:val="20"/>
              </w:rPr>
            </w:pPr>
          </w:p>
        </w:tc>
      </w:tr>
      <w:tr w:rsidR="00D65989" w14:paraId="1EC7029A" w14:textId="77777777" w:rsidTr="001C7014">
        <w:trPr>
          <w:trHeight w:val="288"/>
        </w:trPr>
        <w:tc>
          <w:tcPr>
            <w:tcW w:w="3281" w:type="dxa"/>
            <w:vMerge/>
          </w:tcPr>
          <w:p w14:paraId="10BFBDAE" w14:textId="77777777" w:rsidR="00D65989" w:rsidRPr="00646DA1" w:rsidRDefault="00D65989" w:rsidP="00D65989">
            <w:pPr>
              <w:pStyle w:val="ListParagraph"/>
              <w:numPr>
                <w:ilvl w:val="0"/>
                <w:numId w:val="37"/>
              </w:numPr>
              <w:tabs>
                <w:tab w:val="left" w:pos="2985"/>
              </w:tabs>
              <w:ind w:left="342"/>
              <w:rPr>
                <w:rFonts w:ascii="Arial" w:hAnsi="Arial" w:cs="Arial"/>
                <w:sz w:val="20"/>
              </w:rPr>
            </w:pPr>
          </w:p>
        </w:tc>
        <w:tc>
          <w:tcPr>
            <w:tcW w:w="1152" w:type="dxa"/>
            <w:shd w:val="clear" w:color="auto" w:fill="FFFFFF" w:themeFill="background1"/>
            <w:vAlign w:val="center"/>
          </w:tcPr>
          <w:p w14:paraId="26DC68DF" w14:textId="77777777" w:rsidR="00D65989" w:rsidRPr="00C17E7D" w:rsidRDefault="00D65989" w:rsidP="00D65989">
            <w:pPr>
              <w:jc w:val="center"/>
              <w:rPr>
                <w:rFonts w:ascii="Arial" w:hAnsi="Arial" w:cs="Arial"/>
                <w:i/>
                <w:sz w:val="20"/>
                <w:szCs w:val="20"/>
              </w:rPr>
            </w:pPr>
            <w:r w:rsidRPr="00C17E7D">
              <w:rPr>
                <w:rFonts w:ascii="Arial" w:hAnsi="Arial" w:cs="Arial"/>
                <w:i/>
                <w:sz w:val="20"/>
                <w:szCs w:val="20"/>
              </w:rPr>
              <w:t>target</w:t>
            </w:r>
          </w:p>
        </w:tc>
        <w:tc>
          <w:tcPr>
            <w:tcW w:w="1126" w:type="dxa"/>
            <w:shd w:val="clear" w:color="auto" w:fill="FFFFFF" w:themeFill="background1"/>
            <w:vAlign w:val="center"/>
          </w:tcPr>
          <w:p w14:paraId="70AFF060" w14:textId="274407EE" w:rsidR="00D65989" w:rsidRPr="00C17E7D" w:rsidRDefault="00D65989" w:rsidP="00D65989">
            <w:pPr>
              <w:jc w:val="center"/>
              <w:rPr>
                <w:rFonts w:ascii="Arial" w:hAnsi="Arial" w:cs="Arial"/>
                <w:i/>
                <w:sz w:val="20"/>
                <w:szCs w:val="20"/>
              </w:rPr>
            </w:pPr>
            <w:r w:rsidRPr="00C17E7D">
              <w:rPr>
                <w:rFonts w:ascii="Arial" w:hAnsi="Arial" w:cs="Arial"/>
                <w:i/>
                <w:sz w:val="20"/>
                <w:szCs w:val="20"/>
              </w:rPr>
              <w:t>81%</w:t>
            </w:r>
          </w:p>
        </w:tc>
        <w:tc>
          <w:tcPr>
            <w:tcW w:w="1126" w:type="dxa"/>
            <w:shd w:val="clear" w:color="auto" w:fill="FFFFFF" w:themeFill="background1"/>
            <w:vAlign w:val="center"/>
          </w:tcPr>
          <w:p w14:paraId="28A58A03" w14:textId="77F10C13" w:rsidR="00D65989" w:rsidRPr="00C17E7D" w:rsidRDefault="00D65989" w:rsidP="00D65989">
            <w:pPr>
              <w:jc w:val="center"/>
              <w:rPr>
                <w:rFonts w:ascii="Arial" w:hAnsi="Arial" w:cs="Arial"/>
                <w:i/>
                <w:sz w:val="20"/>
                <w:szCs w:val="20"/>
              </w:rPr>
            </w:pPr>
            <w:r w:rsidRPr="00C17E7D">
              <w:rPr>
                <w:rFonts w:ascii="Arial" w:hAnsi="Arial" w:cs="Arial"/>
                <w:i/>
                <w:sz w:val="20"/>
                <w:szCs w:val="20"/>
              </w:rPr>
              <w:t>81%</w:t>
            </w:r>
          </w:p>
        </w:tc>
        <w:tc>
          <w:tcPr>
            <w:tcW w:w="1128" w:type="dxa"/>
            <w:shd w:val="clear" w:color="auto" w:fill="FFFFFF" w:themeFill="background1"/>
            <w:vAlign w:val="center"/>
          </w:tcPr>
          <w:p w14:paraId="71AC67BC" w14:textId="75693434" w:rsidR="00D65989" w:rsidRPr="00C17E7D" w:rsidRDefault="00D65989" w:rsidP="00D65989">
            <w:pPr>
              <w:jc w:val="center"/>
              <w:rPr>
                <w:rFonts w:ascii="Arial" w:hAnsi="Arial" w:cs="Arial"/>
                <w:sz w:val="20"/>
                <w:szCs w:val="20"/>
              </w:rPr>
            </w:pPr>
            <w:r w:rsidRPr="00C17E7D">
              <w:rPr>
                <w:rFonts w:ascii="Arial" w:hAnsi="Arial" w:cs="Arial"/>
                <w:i/>
                <w:sz w:val="20"/>
                <w:szCs w:val="20"/>
              </w:rPr>
              <w:t>81%</w:t>
            </w:r>
          </w:p>
        </w:tc>
        <w:tc>
          <w:tcPr>
            <w:tcW w:w="1126" w:type="dxa"/>
            <w:shd w:val="clear" w:color="auto" w:fill="FFFFFF" w:themeFill="background1"/>
            <w:vAlign w:val="center"/>
          </w:tcPr>
          <w:p w14:paraId="7E147E8B" w14:textId="6004A01B" w:rsidR="00D65989" w:rsidRPr="00C17E7D" w:rsidRDefault="00D65989" w:rsidP="00D65989">
            <w:pPr>
              <w:jc w:val="center"/>
              <w:rPr>
                <w:rFonts w:ascii="Arial" w:hAnsi="Arial" w:cs="Arial"/>
                <w:sz w:val="20"/>
                <w:szCs w:val="20"/>
              </w:rPr>
            </w:pPr>
            <w:r w:rsidRPr="00C17E7D">
              <w:rPr>
                <w:rFonts w:ascii="Arial" w:hAnsi="Arial" w:cs="Arial"/>
                <w:i/>
                <w:sz w:val="20"/>
                <w:szCs w:val="20"/>
              </w:rPr>
              <w:t>81%</w:t>
            </w:r>
          </w:p>
        </w:tc>
        <w:tc>
          <w:tcPr>
            <w:tcW w:w="1141" w:type="dxa"/>
            <w:shd w:val="clear" w:color="auto" w:fill="FFFFFF" w:themeFill="background1"/>
            <w:vAlign w:val="center"/>
          </w:tcPr>
          <w:p w14:paraId="7347A662" w14:textId="17EF4BAE" w:rsidR="00D65989" w:rsidRPr="00C17E7D" w:rsidRDefault="00D65989" w:rsidP="00D65989">
            <w:pPr>
              <w:jc w:val="center"/>
              <w:rPr>
                <w:rFonts w:ascii="Arial" w:hAnsi="Arial" w:cs="Arial"/>
                <w:i/>
                <w:sz w:val="20"/>
                <w:szCs w:val="20"/>
              </w:rPr>
            </w:pPr>
          </w:p>
        </w:tc>
      </w:tr>
      <w:tr w:rsidR="00D65989" w14:paraId="04E24FF7" w14:textId="77777777" w:rsidTr="001C7014">
        <w:trPr>
          <w:trHeight w:val="288"/>
        </w:trPr>
        <w:tc>
          <w:tcPr>
            <w:tcW w:w="3281" w:type="dxa"/>
            <w:vMerge w:val="restart"/>
          </w:tcPr>
          <w:p w14:paraId="53BB914E" w14:textId="77777777" w:rsidR="00D65989" w:rsidRPr="00646DA1" w:rsidRDefault="00D65989" w:rsidP="00D65989">
            <w:pPr>
              <w:pStyle w:val="ListParagraph"/>
              <w:ind w:left="252" w:hanging="252"/>
              <w:rPr>
                <w:rFonts w:ascii="Arial" w:hAnsi="Arial" w:cs="Arial"/>
                <w:bCs/>
                <w:sz w:val="20"/>
              </w:rPr>
            </w:pPr>
            <w:r>
              <w:rPr>
                <w:rFonts w:ascii="Arial" w:hAnsi="Arial" w:cs="Arial"/>
                <w:bCs/>
                <w:sz w:val="20"/>
              </w:rPr>
              <w:t>7.</w:t>
            </w:r>
            <w:r>
              <w:rPr>
                <w:rFonts w:ascii="Arial" w:hAnsi="Arial" w:cs="Arial"/>
                <w:bCs/>
                <w:sz w:val="20"/>
              </w:rPr>
              <w:tab/>
            </w:r>
            <w:r w:rsidRPr="00660805">
              <w:rPr>
                <w:rFonts w:ascii="Arial" w:hAnsi="Arial" w:cs="Arial"/>
                <w:sz w:val="20"/>
                <w:szCs w:val="20"/>
              </w:rPr>
              <w:t xml:space="preserve">Conduct 50 </w:t>
            </w:r>
            <w:r>
              <w:rPr>
                <w:rFonts w:ascii="Arial" w:hAnsi="Arial" w:cs="Arial"/>
                <w:sz w:val="20"/>
                <w:szCs w:val="20"/>
              </w:rPr>
              <w:t>L</w:t>
            </w:r>
            <w:r w:rsidRPr="00660805">
              <w:rPr>
                <w:rFonts w:ascii="Arial" w:hAnsi="Arial" w:cs="Arial"/>
                <w:sz w:val="20"/>
                <w:szCs w:val="20"/>
              </w:rPr>
              <w:t>ean improvement projects per year</w:t>
            </w:r>
          </w:p>
        </w:tc>
        <w:tc>
          <w:tcPr>
            <w:tcW w:w="1152" w:type="dxa"/>
            <w:shd w:val="clear" w:color="auto" w:fill="D9D9D9" w:themeFill="background1" w:themeFillShade="D9"/>
            <w:vAlign w:val="center"/>
          </w:tcPr>
          <w:p w14:paraId="5DC2427D" w14:textId="77777777" w:rsidR="00D65989" w:rsidRPr="00C17E7D" w:rsidRDefault="00D65989" w:rsidP="00D65989">
            <w:pPr>
              <w:jc w:val="center"/>
              <w:rPr>
                <w:rFonts w:ascii="Arial" w:hAnsi="Arial" w:cs="Arial"/>
                <w:sz w:val="20"/>
                <w:szCs w:val="20"/>
              </w:rPr>
            </w:pPr>
            <w:r w:rsidRPr="00C17E7D">
              <w:rPr>
                <w:rFonts w:ascii="Arial" w:hAnsi="Arial" w:cs="Arial"/>
                <w:sz w:val="20"/>
                <w:szCs w:val="20"/>
              </w:rPr>
              <w:t>actual</w:t>
            </w:r>
          </w:p>
        </w:tc>
        <w:tc>
          <w:tcPr>
            <w:tcW w:w="1126" w:type="dxa"/>
            <w:shd w:val="clear" w:color="auto" w:fill="D9D9D9" w:themeFill="background1" w:themeFillShade="D9"/>
            <w:vAlign w:val="center"/>
          </w:tcPr>
          <w:p w14:paraId="007D977F" w14:textId="2C7F1755" w:rsidR="00D65989" w:rsidRPr="00C17E7D" w:rsidRDefault="00D65989" w:rsidP="00D65989">
            <w:pPr>
              <w:jc w:val="center"/>
              <w:rPr>
                <w:sz w:val="20"/>
                <w:szCs w:val="20"/>
              </w:rPr>
            </w:pPr>
            <w:r w:rsidRPr="00C17E7D">
              <w:rPr>
                <w:rFonts w:ascii="Arial" w:hAnsi="Arial" w:cs="Arial"/>
                <w:sz w:val="20"/>
                <w:szCs w:val="20"/>
              </w:rPr>
              <w:t>----------</w:t>
            </w:r>
          </w:p>
        </w:tc>
        <w:tc>
          <w:tcPr>
            <w:tcW w:w="1126" w:type="dxa"/>
            <w:shd w:val="clear" w:color="auto" w:fill="D9D9D9" w:themeFill="background1" w:themeFillShade="D9"/>
            <w:vAlign w:val="center"/>
          </w:tcPr>
          <w:p w14:paraId="6D298DB2" w14:textId="22AEE475" w:rsidR="00D65989" w:rsidRPr="00C17E7D" w:rsidRDefault="00D65989" w:rsidP="00D65989">
            <w:pPr>
              <w:jc w:val="center"/>
              <w:rPr>
                <w:sz w:val="20"/>
                <w:szCs w:val="20"/>
              </w:rPr>
            </w:pPr>
            <w:r w:rsidRPr="00C17E7D">
              <w:rPr>
                <w:rFonts w:ascii="Arial" w:hAnsi="Arial" w:cs="Arial"/>
                <w:sz w:val="20"/>
                <w:szCs w:val="20"/>
              </w:rPr>
              <w:t>12%</w:t>
            </w:r>
          </w:p>
        </w:tc>
        <w:tc>
          <w:tcPr>
            <w:tcW w:w="1128" w:type="dxa"/>
            <w:shd w:val="clear" w:color="auto" w:fill="D9D9D9" w:themeFill="background1" w:themeFillShade="D9"/>
            <w:vAlign w:val="center"/>
          </w:tcPr>
          <w:p w14:paraId="6E2DC618" w14:textId="2A7F2868" w:rsidR="00D65989" w:rsidRPr="00C17E7D" w:rsidRDefault="00D65989" w:rsidP="00D65989">
            <w:pPr>
              <w:jc w:val="center"/>
              <w:rPr>
                <w:rFonts w:ascii="Arial" w:hAnsi="Arial" w:cs="Arial"/>
                <w:sz w:val="20"/>
                <w:szCs w:val="20"/>
              </w:rPr>
            </w:pPr>
            <w:r w:rsidRPr="00C17E7D">
              <w:rPr>
                <w:rFonts w:ascii="Arial" w:hAnsi="Arial" w:cs="Arial"/>
                <w:sz w:val="20"/>
                <w:szCs w:val="20"/>
              </w:rPr>
              <w:t>42%</w:t>
            </w:r>
          </w:p>
        </w:tc>
        <w:tc>
          <w:tcPr>
            <w:tcW w:w="1126" w:type="dxa"/>
            <w:shd w:val="clear" w:color="auto" w:fill="D9D9D9" w:themeFill="background1" w:themeFillShade="D9"/>
            <w:vAlign w:val="center"/>
          </w:tcPr>
          <w:p w14:paraId="6D1589C4" w14:textId="117E1D02" w:rsidR="00D65989" w:rsidRPr="00C17E7D" w:rsidRDefault="00D65989" w:rsidP="00D65989">
            <w:pPr>
              <w:jc w:val="center"/>
              <w:rPr>
                <w:rFonts w:ascii="Arial" w:hAnsi="Arial" w:cs="Arial"/>
                <w:sz w:val="20"/>
                <w:szCs w:val="20"/>
                <w:vertAlign w:val="superscript"/>
              </w:rPr>
            </w:pPr>
          </w:p>
        </w:tc>
        <w:tc>
          <w:tcPr>
            <w:tcW w:w="1141" w:type="dxa"/>
            <w:shd w:val="clear" w:color="auto" w:fill="D9D9D9" w:themeFill="background1" w:themeFillShade="D9"/>
            <w:vAlign w:val="center"/>
          </w:tcPr>
          <w:p w14:paraId="6E531890" w14:textId="6AC7E02F" w:rsidR="00D65989" w:rsidRPr="00C17E7D" w:rsidRDefault="00D65989" w:rsidP="00D65989">
            <w:pPr>
              <w:jc w:val="center"/>
              <w:rPr>
                <w:sz w:val="20"/>
                <w:szCs w:val="20"/>
              </w:rPr>
            </w:pPr>
          </w:p>
        </w:tc>
      </w:tr>
      <w:tr w:rsidR="00D65989" w14:paraId="51C9B951" w14:textId="77777777" w:rsidTr="001C7014">
        <w:trPr>
          <w:trHeight w:val="494"/>
        </w:trPr>
        <w:tc>
          <w:tcPr>
            <w:tcW w:w="3281" w:type="dxa"/>
            <w:vMerge/>
          </w:tcPr>
          <w:p w14:paraId="79226FBF" w14:textId="77777777" w:rsidR="00D65989" w:rsidRPr="00646DA1" w:rsidRDefault="00D65989" w:rsidP="00D65989">
            <w:pPr>
              <w:pStyle w:val="ListParagraph"/>
              <w:numPr>
                <w:ilvl w:val="0"/>
                <w:numId w:val="37"/>
              </w:numPr>
              <w:tabs>
                <w:tab w:val="left" w:pos="2985"/>
              </w:tabs>
              <w:ind w:left="342"/>
              <w:rPr>
                <w:rFonts w:ascii="Arial" w:hAnsi="Arial" w:cs="Arial"/>
                <w:sz w:val="20"/>
              </w:rPr>
            </w:pPr>
          </w:p>
        </w:tc>
        <w:tc>
          <w:tcPr>
            <w:tcW w:w="1152" w:type="dxa"/>
            <w:shd w:val="clear" w:color="auto" w:fill="FFFFFF" w:themeFill="background1"/>
            <w:vAlign w:val="center"/>
          </w:tcPr>
          <w:p w14:paraId="3925FB5B" w14:textId="77777777" w:rsidR="00D65989" w:rsidRPr="00C17E7D" w:rsidRDefault="00D65989" w:rsidP="00D65989">
            <w:pPr>
              <w:jc w:val="center"/>
              <w:rPr>
                <w:rFonts w:ascii="Arial" w:hAnsi="Arial" w:cs="Arial"/>
                <w:sz w:val="20"/>
                <w:szCs w:val="20"/>
              </w:rPr>
            </w:pPr>
            <w:r w:rsidRPr="00C17E7D">
              <w:rPr>
                <w:rFonts w:ascii="Arial" w:hAnsi="Arial" w:cs="Arial"/>
                <w:i/>
                <w:sz w:val="20"/>
                <w:szCs w:val="20"/>
              </w:rPr>
              <w:t>target</w:t>
            </w:r>
          </w:p>
        </w:tc>
        <w:tc>
          <w:tcPr>
            <w:tcW w:w="1126" w:type="dxa"/>
            <w:shd w:val="clear" w:color="auto" w:fill="FFFFFF" w:themeFill="background1"/>
            <w:vAlign w:val="center"/>
          </w:tcPr>
          <w:p w14:paraId="0128AD66" w14:textId="4354404E" w:rsidR="00D65989" w:rsidRPr="00C17E7D" w:rsidRDefault="00D65989" w:rsidP="00D65989">
            <w:pPr>
              <w:jc w:val="center"/>
              <w:rPr>
                <w:rFonts w:ascii="Arial" w:hAnsi="Arial" w:cs="Arial"/>
                <w:i/>
                <w:sz w:val="20"/>
                <w:szCs w:val="20"/>
              </w:rPr>
            </w:pPr>
            <w:r w:rsidRPr="00C17E7D">
              <w:rPr>
                <w:rFonts w:ascii="Arial" w:hAnsi="Arial" w:cs="Arial"/>
                <w:i/>
                <w:sz w:val="20"/>
                <w:szCs w:val="20"/>
              </w:rPr>
              <w:t>n/a</w:t>
            </w:r>
          </w:p>
        </w:tc>
        <w:tc>
          <w:tcPr>
            <w:tcW w:w="1126" w:type="dxa"/>
            <w:shd w:val="clear" w:color="auto" w:fill="FFFFFF" w:themeFill="background1"/>
            <w:vAlign w:val="center"/>
          </w:tcPr>
          <w:p w14:paraId="1090E5A5" w14:textId="1233C5AF" w:rsidR="00D65989" w:rsidRPr="00C17E7D" w:rsidRDefault="00D65989" w:rsidP="00D65989">
            <w:pPr>
              <w:jc w:val="center"/>
              <w:rPr>
                <w:rFonts w:ascii="Arial" w:hAnsi="Arial" w:cs="Arial"/>
                <w:i/>
                <w:sz w:val="20"/>
                <w:szCs w:val="20"/>
              </w:rPr>
            </w:pPr>
            <w:r w:rsidRPr="00C17E7D">
              <w:rPr>
                <w:rFonts w:ascii="Arial" w:hAnsi="Arial" w:cs="Arial"/>
                <w:i/>
                <w:sz w:val="20"/>
                <w:szCs w:val="20"/>
              </w:rPr>
              <w:t>100%</w:t>
            </w:r>
          </w:p>
        </w:tc>
        <w:tc>
          <w:tcPr>
            <w:tcW w:w="1128" w:type="dxa"/>
            <w:shd w:val="clear" w:color="auto" w:fill="FFFFFF" w:themeFill="background1"/>
            <w:vAlign w:val="center"/>
          </w:tcPr>
          <w:p w14:paraId="21C69847" w14:textId="673379C7" w:rsidR="00D65989" w:rsidRPr="00C17E7D" w:rsidRDefault="00D65989" w:rsidP="00D65989">
            <w:pPr>
              <w:jc w:val="center"/>
              <w:rPr>
                <w:rFonts w:ascii="Arial" w:hAnsi="Arial" w:cs="Arial"/>
                <w:i/>
                <w:sz w:val="20"/>
                <w:szCs w:val="20"/>
              </w:rPr>
            </w:pPr>
            <w:r w:rsidRPr="00C17E7D">
              <w:rPr>
                <w:rFonts w:ascii="Arial" w:hAnsi="Arial" w:cs="Arial"/>
                <w:i/>
                <w:sz w:val="20"/>
                <w:szCs w:val="20"/>
              </w:rPr>
              <w:t>100%</w:t>
            </w:r>
          </w:p>
        </w:tc>
        <w:tc>
          <w:tcPr>
            <w:tcW w:w="1126" w:type="dxa"/>
            <w:shd w:val="clear" w:color="auto" w:fill="FFFFFF" w:themeFill="background1"/>
            <w:vAlign w:val="center"/>
          </w:tcPr>
          <w:p w14:paraId="5ACC96A6" w14:textId="3CD3B1C4" w:rsidR="00D65989" w:rsidRPr="00C17E7D" w:rsidRDefault="00D65989" w:rsidP="00D65989">
            <w:pPr>
              <w:jc w:val="center"/>
              <w:rPr>
                <w:rFonts w:ascii="Arial" w:hAnsi="Arial" w:cs="Arial"/>
                <w:i/>
                <w:sz w:val="20"/>
                <w:szCs w:val="20"/>
              </w:rPr>
            </w:pPr>
            <w:r w:rsidRPr="00C17E7D">
              <w:rPr>
                <w:rFonts w:ascii="Arial" w:hAnsi="Arial" w:cs="Arial"/>
                <w:i/>
                <w:sz w:val="20"/>
                <w:szCs w:val="20"/>
              </w:rPr>
              <w:t>100%</w:t>
            </w:r>
          </w:p>
        </w:tc>
        <w:tc>
          <w:tcPr>
            <w:tcW w:w="1141" w:type="dxa"/>
            <w:shd w:val="clear" w:color="auto" w:fill="FFFFFF" w:themeFill="background1"/>
            <w:vAlign w:val="center"/>
          </w:tcPr>
          <w:p w14:paraId="75BC3EFF" w14:textId="1E33BE11" w:rsidR="00D65989" w:rsidRPr="00C17E7D" w:rsidRDefault="00D65989" w:rsidP="00D65989">
            <w:pPr>
              <w:jc w:val="center"/>
              <w:rPr>
                <w:rFonts w:ascii="Arial" w:hAnsi="Arial" w:cs="Arial"/>
                <w:i/>
                <w:sz w:val="20"/>
                <w:szCs w:val="20"/>
              </w:rPr>
            </w:pPr>
          </w:p>
        </w:tc>
      </w:tr>
      <w:tr w:rsidR="00D65989" w14:paraId="4BF0BF24" w14:textId="77777777" w:rsidTr="001C7014">
        <w:trPr>
          <w:trHeight w:val="287"/>
        </w:trPr>
        <w:tc>
          <w:tcPr>
            <w:tcW w:w="3281" w:type="dxa"/>
            <w:vMerge w:val="restart"/>
          </w:tcPr>
          <w:p w14:paraId="42D73BDB" w14:textId="77777777" w:rsidR="00D65989" w:rsidRDefault="00D65989" w:rsidP="00D65989">
            <w:pPr>
              <w:pStyle w:val="ListParagraph"/>
              <w:tabs>
                <w:tab w:val="left" w:pos="2985"/>
              </w:tabs>
              <w:ind w:left="306" w:hanging="306"/>
              <w:rPr>
                <w:rFonts w:ascii="Arial" w:hAnsi="Arial" w:cs="Arial"/>
                <w:sz w:val="20"/>
              </w:rPr>
            </w:pPr>
            <w:r>
              <w:rPr>
                <w:rFonts w:ascii="Arial" w:hAnsi="Arial" w:cs="Arial"/>
                <w:sz w:val="20"/>
              </w:rPr>
              <w:t>8.</w:t>
            </w:r>
            <w:r>
              <w:rPr>
                <w:rFonts w:ascii="Arial" w:hAnsi="Arial" w:cs="Arial"/>
                <w:sz w:val="20"/>
              </w:rPr>
              <w:tab/>
            </w:r>
            <w:r w:rsidRPr="00DF220D">
              <w:rPr>
                <w:rFonts w:ascii="Arial" w:hAnsi="Arial" w:cs="Arial"/>
                <w:sz w:val="20"/>
              </w:rPr>
              <w:t>Reduce the amount of elective, non-retirement turnover in the agency by 20%.</w:t>
            </w:r>
          </w:p>
        </w:tc>
        <w:tc>
          <w:tcPr>
            <w:tcW w:w="1152" w:type="dxa"/>
            <w:shd w:val="clear" w:color="auto" w:fill="D9D9D9" w:themeFill="background1" w:themeFillShade="D9"/>
            <w:vAlign w:val="center"/>
          </w:tcPr>
          <w:p w14:paraId="56201BD2" w14:textId="77777777" w:rsidR="00D65989" w:rsidRPr="00C17E7D" w:rsidRDefault="00D65989" w:rsidP="00D65989">
            <w:pPr>
              <w:jc w:val="center"/>
              <w:rPr>
                <w:rFonts w:ascii="Arial" w:hAnsi="Arial" w:cs="Arial"/>
                <w:i/>
                <w:sz w:val="20"/>
                <w:szCs w:val="20"/>
              </w:rPr>
            </w:pPr>
            <w:r w:rsidRPr="00C17E7D">
              <w:rPr>
                <w:rFonts w:ascii="Arial" w:hAnsi="Arial" w:cs="Arial"/>
                <w:sz w:val="20"/>
                <w:szCs w:val="20"/>
              </w:rPr>
              <w:t>actual</w:t>
            </w:r>
          </w:p>
        </w:tc>
        <w:tc>
          <w:tcPr>
            <w:tcW w:w="1126" w:type="dxa"/>
            <w:shd w:val="clear" w:color="auto" w:fill="D9D9D9" w:themeFill="background1" w:themeFillShade="D9"/>
            <w:vAlign w:val="center"/>
          </w:tcPr>
          <w:p w14:paraId="28D82A45" w14:textId="20578A51" w:rsidR="00D65989" w:rsidRPr="00C17E7D" w:rsidRDefault="00D65989" w:rsidP="00D65989">
            <w:pPr>
              <w:jc w:val="center"/>
              <w:rPr>
                <w:rFonts w:ascii="Arial" w:hAnsi="Arial" w:cs="Arial"/>
                <w:i/>
                <w:sz w:val="20"/>
                <w:szCs w:val="20"/>
              </w:rPr>
            </w:pPr>
            <w:r w:rsidRPr="00C17E7D">
              <w:rPr>
                <w:rFonts w:ascii="Arial" w:hAnsi="Arial" w:cs="Arial"/>
                <w:sz w:val="20"/>
                <w:szCs w:val="20"/>
              </w:rPr>
              <w:t>----------</w:t>
            </w:r>
          </w:p>
        </w:tc>
        <w:tc>
          <w:tcPr>
            <w:tcW w:w="1126" w:type="dxa"/>
            <w:shd w:val="clear" w:color="auto" w:fill="D9D9D9" w:themeFill="background1" w:themeFillShade="D9"/>
            <w:vAlign w:val="center"/>
          </w:tcPr>
          <w:p w14:paraId="07DA70E3" w14:textId="5961FE4C" w:rsidR="00D65989" w:rsidRPr="00C17E7D" w:rsidRDefault="00D65989" w:rsidP="00D65989">
            <w:pPr>
              <w:jc w:val="center"/>
              <w:rPr>
                <w:rFonts w:ascii="Arial" w:hAnsi="Arial" w:cs="Arial"/>
                <w:i/>
                <w:sz w:val="20"/>
                <w:szCs w:val="20"/>
              </w:rPr>
            </w:pPr>
            <w:r w:rsidRPr="00C17E7D">
              <w:rPr>
                <w:rFonts w:ascii="Arial" w:hAnsi="Arial" w:cs="Arial"/>
                <w:sz w:val="20"/>
                <w:szCs w:val="20"/>
              </w:rPr>
              <w:t>----------</w:t>
            </w:r>
          </w:p>
        </w:tc>
        <w:tc>
          <w:tcPr>
            <w:tcW w:w="1128" w:type="dxa"/>
            <w:shd w:val="clear" w:color="auto" w:fill="D9D9D9" w:themeFill="background1" w:themeFillShade="D9"/>
            <w:vAlign w:val="center"/>
          </w:tcPr>
          <w:p w14:paraId="62296371" w14:textId="1F657E48" w:rsidR="00D65989" w:rsidRPr="00C17E7D" w:rsidRDefault="00D65989" w:rsidP="00D65989">
            <w:pPr>
              <w:jc w:val="center"/>
              <w:rPr>
                <w:rFonts w:ascii="Arial" w:hAnsi="Arial" w:cs="Arial"/>
                <w:i/>
                <w:sz w:val="20"/>
                <w:szCs w:val="20"/>
              </w:rPr>
            </w:pPr>
            <w:r w:rsidRPr="00C17E7D">
              <w:rPr>
                <w:rFonts w:ascii="Arial" w:hAnsi="Arial" w:cs="Arial"/>
                <w:sz w:val="20"/>
                <w:szCs w:val="20"/>
              </w:rPr>
              <w:t>----------</w:t>
            </w:r>
          </w:p>
        </w:tc>
        <w:tc>
          <w:tcPr>
            <w:tcW w:w="1126" w:type="dxa"/>
            <w:shd w:val="clear" w:color="auto" w:fill="D9D9D9" w:themeFill="background1" w:themeFillShade="D9"/>
            <w:vAlign w:val="center"/>
          </w:tcPr>
          <w:p w14:paraId="68D8E1FB" w14:textId="3605A455" w:rsidR="00D65989" w:rsidRPr="00C17E7D" w:rsidRDefault="00D65989" w:rsidP="00D65989">
            <w:pPr>
              <w:jc w:val="center"/>
              <w:rPr>
                <w:rFonts w:ascii="Arial" w:hAnsi="Arial" w:cs="Arial"/>
                <w:i/>
                <w:sz w:val="20"/>
                <w:szCs w:val="20"/>
              </w:rPr>
            </w:pPr>
          </w:p>
        </w:tc>
        <w:tc>
          <w:tcPr>
            <w:tcW w:w="1141" w:type="dxa"/>
            <w:shd w:val="clear" w:color="auto" w:fill="D9D9D9" w:themeFill="background1" w:themeFillShade="D9"/>
            <w:vAlign w:val="center"/>
          </w:tcPr>
          <w:p w14:paraId="636244A8" w14:textId="0CB3E359" w:rsidR="00D65989" w:rsidRPr="00C17E7D" w:rsidRDefault="00D65989" w:rsidP="00D65989">
            <w:pPr>
              <w:jc w:val="center"/>
              <w:rPr>
                <w:rFonts w:ascii="Arial" w:hAnsi="Arial" w:cs="Arial"/>
                <w:i/>
                <w:sz w:val="20"/>
                <w:szCs w:val="20"/>
              </w:rPr>
            </w:pPr>
          </w:p>
        </w:tc>
      </w:tr>
      <w:tr w:rsidR="00D65989" w14:paraId="441F22F6" w14:textId="77777777" w:rsidTr="001C7014">
        <w:trPr>
          <w:trHeight w:val="494"/>
        </w:trPr>
        <w:tc>
          <w:tcPr>
            <w:tcW w:w="3281" w:type="dxa"/>
            <w:vMerge/>
          </w:tcPr>
          <w:p w14:paraId="6DE1A74F" w14:textId="77777777" w:rsidR="00D65989" w:rsidRPr="00646DA1" w:rsidRDefault="00D65989" w:rsidP="00D65989">
            <w:pPr>
              <w:pStyle w:val="ListParagraph"/>
              <w:tabs>
                <w:tab w:val="left" w:pos="2985"/>
              </w:tabs>
              <w:ind w:left="306" w:hanging="306"/>
              <w:rPr>
                <w:rFonts w:ascii="Arial" w:hAnsi="Arial" w:cs="Arial"/>
                <w:sz w:val="20"/>
              </w:rPr>
            </w:pPr>
          </w:p>
        </w:tc>
        <w:tc>
          <w:tcPr>
            <w:tcW w:w="1152" w:type="dxa"/>
            <w:shd w:val="clear" w:color="auto" w:fill="FFFFFF" w:themeFill="background1"/>
            <w:vAlign w:val="center"/>
          </w:tcPr>
          <w:p w14:paraId="04DC7CBC" w14:textId="77777777" w:rsidR="00D65989" w:rsidRPr="00C17E7D" w:rsidRDefault="00D65989" w:rsidP="00D65989">
            <w:pPr>
              <w:jc w:val="center"/>
              <w:rPr>
                <w:rFonts w:ascii="Arial" w:hAnsi="Arial" w:cs="Arial"/>
                <w:i/>
                <w:sz w:val="20"/>
                <w:szCs w:val="20"/>
              </w:rPr>
            </w:pPr>
            <w:r w:rsidRPr="00C17E7D">
              <w:rPr>
                <w:rFonts w:ascii="Arial" w:hAnsi="Arial" w:cs="Arial"/>
                <w:i/>
                <w:sz w:val="20"/>
                <w:szCs w:val="20"/>
              </w:rPr>
              <w:t>target</w:t>
            </w:r>
          </w:p>
        </w:tc>
        <w:tc>
          <w:tcPr>
            <w:tcW w:w="1126" w:type="dxa"/>
            <w:shd w:val="clear" w:color="auto" w:fill="FFFFFF" w:themeFill="background1"/>
            <w:vAlign w:val="center"/>
          </w:tcPr>
          <w:p w14:paraId="19A9F5AA" w14:textId="07671EB7" w:rsidR="00D65989" w:rsidRPr="00C17E7D" w:rsidRDefault="00D65989" w:rsidP="00D65989">
            <w:pPr>
              <w:jc w:val="center"/>
              <w:rPr>
                <w:rFonts w:ascii="Arial" w:hAnsi="Arial" w:cs="Arial"/>
                <w:i/>
                <w:sz w:val="20"/>
                <w:szCs w:val="20"/>
              </w:rPr>
            </w:pPr>
            <w:r w:rsidRPr="00C17E7D">
              <w:rPr>
                <w:rFonts w:ascii="Arial" w:hAnsi="Arial" w:cs="Arial"/>
                <w:i/>
                <w:sz w:val="20"/>
                <w:szCs w:val="20"/>
              </w:rPr>
              <w:t>n/a</w:t>
            </w:r>
            <w:r w:rsidRPr="00C17E7D">
              <w:rPr>
                <w:rFonts w:ascii="Arial" w:hAnsi="Arial" w:cs="Arial"/>
                <w:i/>
                <w:sz w:val="20"/>
                <w:szCs w:val="20"/>
                <w:vertAlign w:val="superscript"/>
              </w:rPr>
              <w:t>c</w:t>
            </w:r>
          </w:p>
        </w:tc>
        <w:tc>
          <w:tcPr>
            <w:tcW w:w="1126" w:type="dxa"/>
            <w:shd w:val="clear" w:color="auto" w:fill="FFFFFF" w:themeFill="background1"/>
            <w:vAlign w:val="center"/>
          </w:tcPr>
          <w:p w14:paraId="28424B88" w14:textId="1A1206DC" w:rsidR="00D65989" w:rsidRPr="00C17E7D" w:rsidRDefault="00D65989" w:rsidP="00D65989">
            <w:pPr>
              <w:jc w:val="center"/>
              <w:rPr>
                <w:rFonts w:ascii="Arial" w:hAnsi="Arial" w:cs="Arial"/>
                <w:i/>
                <w:sz w:val="20"/>
                <w:szCs w:val="20"/>
              </w:rPr>
            </w:pPr>
            <w:r w:rsidRPr="00C17E7D">
              <w:rPr>
                <w:rFonts w:ascii="Arial" w:hAnsi="Arial" w:cs="Arial"/>
                <w:i/>
                <w:sz w:val="20"/>
                <w:szCs w:val="20"/>
              </w:rPr>
              <w:t>n/a</w:t>
            </w:r>
            <w:r w:rsidRPr="00C17E7D">
              <w:rPr>
                <w:rFonts w:ascii="Arial" w:hAnsi="Arial" w:cs="Arial"/>
                <w:i/>
                <w:sz w:val="20"/>
                <w:szCs w:val="20"/>
                <w:vertAlign w:val="superscript"/>
              </w:rPr>
              <w:t>c</w:t>
            </w:r>
          </w:p>
        </w:tc>
        <w:tc>
          <w:tcPr>
            <w:tcW w:w="1128" w:type="dxa"/>
            <w:shd w:val="clear" w:color="auto" w:fill="FFFFFF" w:themeFill="background1"/>
            <w:vAlign w:val="center"/>
          </w:tcPr>
          <w:p w14:paraId="125872E8" w14:textId="409DD820" w:rsidR="00D65989" w:rsidRPr="00C17E7D" w:rsidRDefault="00D65989" w:rsidP="00D65989">
            <w:pPr>
              <w:jc w:val="center"/>
              <w:rPr>
                <w:rFonts w:ascii="Arial" w:hAnsi="Arial" w:cs="Arial"/>
                <w:i/>
                <w:sz w:val="20"/>
                <w:szCs w:val="20"/>
              </w:rPr>
            </w:pPr>
            <w:r w:rsidRPr="00C17E7D">
              <w:rPr>
                <w:rFonts w:ascii="Arial" w:hAnsi="Arial" w:cs="Arial"/>
                <w:i/>
                <w:sz w:val="20"/>
                <w:szCs w:val="20"/>
              </w:rPr>
              <w:t>n/a</w:t>
            </w:r>
            <w:r w:rsidRPr="00C17E7D">
              <w:rPr>
                <w:rFonts w:ascii="Arial" w:hAnsi="Arial" w:cs="Arial"/>
                <w:i/>
                <w:sz w:val="20"/>
                <w:szCs w:val="20"/>
                <w:vertAlign w:val="superscript"/>
              </w:rPr>
              <w:t>c</w:t>
            </w:r>
          </w:p>
        </w:tc>
        <w:tc>
          <w:tcPr>
            <w:tcW w:w="1126" w:type="dxa"/>
            <w:shd w:val="clear" w:color="auto" w:fill="FFFFFF" w:themeFill="background1"/>
            <w:vAlign w:val="center"/>
          </w:tcPr>
          <w:p w14:paraId="663CE13B" w14:textId="027911EE" w:rsidR="00D65989" w:rsidRPr="00C17E7D" w:rsidRDefault="00D65989" w:rsidP="00D65989">
            <w:pPr>
              <w:jc w:val="center"/>
              <w:rPr>
                <w:rFonts w:ascii="Arial" w:hAnsi="Arial" w:cs="Arial"/>
                <w:i/>
                <w:sz w:val="20"/>
                <w:szCs w:val="20"/>
              </w:rPr>
            </w:pPr>
            <w:r w:rsidRPr="00C17E7D">
              <w:rPr>
                <w:rFonts w:ascii="Arial" w:hAnsi="Arial" w:cs="Arial"/>
                <w:i/>
                <w:sz w:val="20"/>
                <w:szCs w:val="20"/>
              </w:rPr>
              <w:t>13.5%</w:t>
            </w:r>
          </w:p>
        </w:tc>
        <w:tc>
          <w:tcPr>
            <w:tcW w:w="1141" w:type="dxa"/>
            <w:shd w:val="clear" w:color="auto" w:fill="FFFFFF" w:themeFill="background1"/>
            <w:vAlign w:val="center"/>
          </w:tcPr>
          <w:p w14:paraId="4899820E" w14:textId="5DE98298" w:rsidR="00D65989" w:rsidRPr="00C17E7D" w:rsidRDefault="00D65989" w:rsidP="00D65989">
            <w:pPr>
              <w:jc w:val="center"/>
              <w:rPr>
                <w:rFonts w:ascii="Arial" w:hAnsi="Arial" w:cs="Arial"/>
                <w:i/>
                <w:sz w:val="20"/>
                <w:szCs w:val="20"/>
              </w:rPr>
            </w:pPr>
          </w:p>
        </w:tc>
      </w:tr>
    </w:tbl>
    <w:p w14:paraId="798D02F7" w14:textId="77777777" w:rsidR="008A4E23" w:rsidRPr="00C17E7D" w:rsidRDefault="008A4E23" w:rsidP="000D42A0">
      <w:pPr>
        <w:ind w:left="90"/>
        <w:jc w:val="both"/>
        <w:rPr>
          <w:rFonts w:ascii="Arial" w:hAnsi="Arial" w:cs="Arial"/>
          <w:sz w:val="18"/>
          <w:szCs w:val="18"/>
        </w:rPr>
      </w:pPr>
      <w:r w:rsidRPr="00C17E7D">
        <w:rPr>
          <w:rFonts w:ascii="Arial" w:hAnsi="Arial" w:cs="Arial"/>
          <w:sz w:val="18"/>
          <w:szCs w:val="18"/>
        </w:rPr>
        <w:t>a. In 2018, DEQ developed all new goals and performance measures, and data are not available.</w:t>
      </w:r>
    </w:p>
    <w:p w14:paraId="31B7C880" w14:textId="77777777" w:rsidR="008E4569" w:rsidRPr="00C17E7D" w:rsidRDefault="008E4569" w:rsidP="000D42A0">
      <w:pPr>
        <w:ind w:left="90"/>
        <w:jc w:val="both"/>
        <w:rPr>
          <w:rFonts w:ascii="Arial" w:hAnsi="Arial" w:cs="Arial"/>
          <w:sz w:val="18"/>
          <w:szCs w:val="18"/>
        </w:rPr>
      </w:pPr>
      <w:r w:rsidRPr="00C17E7D">
        <w:rPr>
          <w:rFonts w:ascii="Arial" w:hAnsi="Arial" w:cs="Arial"/>
          <w:sz w:val="18"/>
          <w:szCs w:val="18"/>
        </w:rPr>
        <w:t>b. IPDES is exclude</w:t>
      </w:r>
      <w:r w:rsidR="00196F6E" w:rsidRPr="00C17E7D">
        <w:rPr>
          <w:rFonts w:ascii="Arial" w:hAnsi="Arial" w:cs="Arial"/>
          <w:sz w:val="18"/>
          <w:szCs w:val="18"/>
        </w:rPr>
        <w:t>d</w:t>
      </w:r>
      <w:r w:rsidRPr="00C17E7D">
        <w:rPr>
          <w:rFonts w:ascii="Arial" w:hAnsi="Arial" w:cs="Arial"/>
          <w:sz w:val="18"/>
          <w:szCs w:val="18"/>
        </w:rPr>
        <w:t xml:space="preserve"> this year because the program does not have a full year of data to report.</w:t>
      </w:r>
    </w:p>
    <w:p w14:paraId="72939942" w14:textId="77777777" w:rsidR="006826C8" w:rsidRPr="00C17E7D" w:rsidRDefault="006826C8" w:rsidP="006826C8">
      <w:pPr>
        <w:ind w:left="90"/>
        <w:jc w:val="both"/>
        <w:rPr>
          <w:rFonts w:ascii="Arial" w:hAnsi="Arial" w:cs="Arial"/>
          <w:sz w:val="18"/>
          <w:szCs w:val="18"/>
        </w:rPr>
      </w:pPr>
      <w:r w:rsidRPr="00C17E7D">
        <w:rPr>
          <w:rFonts w:ascii="Arial" w:hAnsi="Arial" w:cs="Arial"/>
          <w:sz w:val="18"/>
          <w:szCs w:val="18"/>
        </w:rPr>
        <w:t>c. In 2021, DEQ devel</w:t>
      </w:r>
      <w:r w:rsidR="006706EA" w:rsidRPr="00C17E7D">
        <w:rPr>
          <w:rFonts w:ascii="Arial" w:hAnsi="Arial" w:cs="Arial"/>
          <w:sz w:val="18"/>
          <w:szCs w:val="18"/>
        </w:rPr>
        <w:t>o</w:t>
      </w:r>
      <w:r w:rsidRPr="00C17E7D">
        <w:rPr>
          <w:rFonts w:ascii="Arial" w:hAnsi="Arial" w:cs="Arial"/>
          <w:sz w:val="18"/>
          <w:szCs w:val="18"/>
        </w:rPr>
        <w:t>ped a new performance measure and objectives under Goal 3</w:t>
      </w:r>
      <w:r w:rsidR="00224B6B" w:rsidRPr="00C17E7D">
        <w:rPr>
          <w:rFonts w:ascii="Arial" w:hAnsi="Arial" w:cs="Arial"/>
          <w:sz w:val="18"/>
          <w:szCs w:val="18"/>
        </w:rPr>
        <w:t>, and d</w:t>
      </w:r>
      <w:r w:rsidRPr="00C17E7D">
        <w:rPr>
          <w:rFonts w:ascii="Arial" w:hAnsi="Arial" w:cs="Arial"/>
          <w:sz w:val="18"/>
          <w:szCs w:val="18"/>
        </w:rPr>
        <w:t xml:space="preserve">ata are not available. </w:t>
      </w:r>
    </w:p>
    <w:p w14:paraId="236B731D" w14:textId="77777777" w:rsidR="00C95B82" w:rsidRDefault="00C95B82" w:rsidP="00A23A70">
      <w:pPr>
        <w:pStyle w:val="BodyText"/>
        <w:spacing w:after="0"/>
        <w:jc w:val="both"/>
        <w:rPr>
          <w:rFonts w:ascii="Arial" w:hAnsi="Arial" w:cs="Arial"/>
          <w:b/>
          <w:bCs/>
          <w:sz w:val="20"/>
          <w:szCs w:val="20"/>
        </w:rPr>
      </w:pPr>
    </w:p>
    <w:p w14:paraId="6C2BD601" w14:textId="77777777" w:rsidR="007D05ED" w:rsidRPr="00A23A70" w:rsidRDefault="007D05ED" w:rsidP="00A23A70">
      <w:pPr>
        <w:pStyle w:val="BodyText"/>
        <w:spacing w:after="0"/>
        <w:jc w:val="both"/>
        <w:rPr>
          <w:rFonts w:ascii="Arial" w:hAnsi="Arial" w:cs="Arial"/>
          <w:bCs/>
          <w:sz w:val="20"/>
          <w:szCs w:val="20"/>
        </w:rPr>
      </w:pPr>
      <w:r w:rsidRPr="00A23A70">
        <w:rPr>
          <w:rFonts w:ascii="Arial" w:hAnsi="Arial" w:cs="Arial"/>
          <w:b/>
          <w:bCs/>
          <w:sz w:val="20"/>
          <w:szCs w:val="20"/>
        </w:rPr>
        <w:t>Performance Analysis</w:t>
      </w:r>
      <w:r w:rsidRPr="00A23A70">
        <w:rPr>
          <w:rFonts w:ascii="Arial" w:hAnsi="Arial" w:cs="Arial"/>
          <w:sz w:val="20"/>
          <w:szCs w:val="20"/>
        </w:rPr>
        <w:t>—</w:t>
      </w:r>
      <w:r w:rsidRPr="00A23A70">
        <w:rPr>
          <w:rFonts w:ascii="Arial" w:hAnsi="Arial" w:cs="Arial"/>
          <w:bCs/>
          <w:sz w:val="20"/>
          <w:szCs w:val="20"/>
        </w:rPr>
        <w:t xml:space="preserve">Over past fiscal years, DEQ has met or exceeded a majority of its performance measurement targets. </w:t>
      </w:r>
      <w:r w:rsidRPr="00A23A70">
        <w:rPr>
          <w:rFonts w:ascii="Arial" w:hAnsi="Arial" w:cs="Arial"/>
          <w:sz w:val="20"/>
          <w:szCs w:val="20"/>
        </w:rPr>
        <w:t xml:space="preserve">In the coming year, DEQ will continue to make action-based progress with updated performance measures and objectives. Along with meeting new performance measures, </w:t>
      </w:r>
      <w:r w:rsidRPr="00A23A70">
        <w:rPr>
          <w:rFonts w:ascii="Arial" w:hAnsi="Arial" w:cs="Arial"/>
          <w:bCs/>
          <w:sz w:val="20"/>
          <w:szCs w:val="20"/>
        </w:rPr>
        <w:t>DEQ is faced with the additional challenges as described below:</w:t>
      </w:r>
    </w:p>
    <w:p w14:paraId="68BDE696" w14:textId="77777777" w:rsidR="007D05ED" w:rsidRPr="00A23A70" w:rsidRDefault="007D05ED" w:rsidP="00A23A70">
      <w:pPr>
        <w:jc w:val="both"/>
        <w:rPr>
          <w:rFonts w:ascii="Arial" w:hAnsi="Arial" w:cs="Arial"/>
          <w:bCs/>
          <w:sz w:val="20"/>
          <w:szCs w:val="20"/>
          <w:highlight w:val="cyan"/>
        </w:rPr>
      </w:pPr>
    </w:p>
    <w:p w14:paraId="5843FD01" w14:textId="77777777" w:rsidR="000B4AB9" w:rsidRDefault="007D05ED" w:rsidP="00A23A70">
      <w:pPr>
        <w:jc w:val="both"/>
        <w:rPr>
          <w:rFonts w:ascii="Arial" w:hAnsi="Arial" w:cs="Arial"/>
          <w:sz w:val="20"/>
          <w:szCs w:val="20"/>
        </w:rPr>
      </w:pPr>
      <w:r w:rsidRPr="00A23A70">
        <w:rPr>
          <w:rFonts w:ascii="Arial" w:hAnsi="Arial" w:cs="Arial"/>
          <w:b/>
          <w:i/>
          <w:sz w:val="20"/>
          <w:szCs w:val="20"/>
        </w:rPr>
        <w:t>Air Quality</w:t>
      </w:r>
      <w:r w:rsidR="00C33DF3">
        <w:rPr>
          <w:rFonts w:ascii="Arial" w:hAnsi="Arial" w:cs="Arial"/>
          <w:b/>
          <w:i/>
          <w:sz w:val="20"/>
          <w:szCs w:val="20"/>
        </w:rPr>
        <w:t xml:space="preserve"> Goal 1</w:t>
      </w:r>
      <w:r w:rsidR="0009688B">
        <w:rPr>
          <w:rFonts w:ascii="Arial" w:hAnsi="Arial" w:cs="Arial"/>
          <w:b/>
          <w:i/>
          <w:sz w:val="20"/>
          <w:szCs w:val="20"/>
        </w:rPr>
        <w:t xml:space="preserve"> (Performance Measure 1)</w:t>
      </w:r>
      <w:r w:rsidRPr="00A23A70">
        <w:rPr>
          <w:rFonts w:ascii="Arial" w:hAnsi="Arial" w:cs="Arial"/>
          <w:sz w:val="20"/>
          <w:szCs w:val="20"/>
        </w:rPr>
        <w:t>—</w:t>
      </w:r>
      <w:r w:rsidR="000B4AB9" w:rsidRPr="000B4AB9">
        <w:rPr>
          <w:rFonts w:ascii="Arial" w:hAnsi="Arial" w:cs="Arial"/>
          <w:sz w:val="20"/>
          <w:szCs w:val="20"/>
        </w:rPr>
        <w:t>When</w:t>
      </w:r>
      <w:r w:rsidR="000B4AB9">
        <w:rPr>
          <w:rFonts w:ascii="Arial" w:hAnsi="Arial" w:cs="Arial"/>
          <w:sz w:val="20"/>
          <w:szCs w:val="20"/>
        </w:rPr>
        <w:t xml:space="preserve"> DEQ developed</w:t>
      </w:r>
      <w:r w:rsidR="000B4AB9" w:rsidRPr="000B4AB9">
        <w:rPr>
          <w:rFonts w:ascii="Arial" w:hAnsi="Arial" w:cs="Arial"/>
          <w:sz w:val="20"/>
          <w:szCs w:val="20"/>
        </w:rPr>
        <w:t xml:space="preserve"> new performance measures</w:t>
      </w:r>
      <w:r w:rsidR="007815CB">
        <w:rPr>
          <w:rFonts w:ascii="Arial" w:hAnsi="Arial" w:cs="Arial"/>
          <w:sz w:val="20"/>
          <w:szCs w:val="20"/>
        </w:rPr>
        <w:t xml:space="preserve"> in 2017</w:t>
      </w:r>
      <w:r w:rsidR="000B4AB9">
        <w:rPr>
          <w:rFonts w:ascii="Arial" w:hAnsi="Arial" w:cs="Arial"/>
          <w:sz w:val="20"/>
          <w:szCs w:val="20"/>
        </w:rPr>
        <w:t xml:space="preserve">, </w:t>
      </w:r>
      <w:r w:rsidR="000B4AB9" w:rsidRPr="000B4AB9">
        <w:rPr>
          <w:rFonts w:ascii="Arial" w:hAnsi="Arial" w:cs="Arial"/>
          <w:sz w:val="20"/>
          <w:szCs w:val="20"/>
        </w:rPr>
        <w:t>the measure to reduce the number of unhealthy air quality days</w:t>
      </w:r>
      <w:r w:rsidR="000B4AB9">
        <w:rPr>
          <w:rFonts w:ascii="Arial" w:hAnsi="Arial" w:cs="Arial"/>
          <w:sz w:val="20"/>
          <w:szCs w:val="20"/>
        </w:rPr>
        <w:t xml:space="preserve"> was</w:t>
      </w:r>
      <w:r w:rsidR="000B4AB9" w:rsidRPr="000B4AB9">
        <w:rPr>
          <w:rFonts w:ascii="Arial" w:hAnsi="Arial" w:cs="Arial"/>
          <w:sz w:val="20"/>
          <w:szCs w:val="20"/>
        </w:rPr>
        <w:t xml:space="preserve"> based on the AQI scale </w:t>
      </w:r>
      <w:r w:rsidR="000B4AB9">
        <w:rPr>
          <w:rFonts w:ascii="Arial" w:hAnsi="Arial" w:cs="Arial"/>
          <w:sz w:val="20"/>
          <w:szCs w:val="20"/>
        </w:rPr>
        <w:t>during the calendar year. For</w:t>
      </w:r>
      <w:r w:rsidR="000B4AB9" w:rsidRPr="000B4AB9">
        <w:rPr>
          <w:rFonts w:ascii="Arial" w:hAnsi="Arial" w:cs="Arial"/>
          <w:sz w:val="20"/>
          <w:szCs w:val="20"/>
        </w:rPr>
        <w:t xml:space="preserve"> CY</w:t>
      </w:r>
      <w:r w:rsidR="000B4AB9">
        <w:rPr>
          <w:rFonts w:ascii="Arial" w:hAnsi="Arial" w:cs="Arial"/>
          <w:sz w:val="20"/>
          <w:szCs w:val="20"/>
        </w:rPr>
        <w:t xml:space="preserve"> </w:t>
      </w:r>
      <w:r w:rsidR="000B4AB9" w:rsidRPr="000B4AB9">
        <w:rPr>
          <w:rFonts w:ascii="Arial" w:hAnsi="Arial" w:cs="Arial"/>
          <w:sz w:val="20"/>
          <w:szCs w:val="20"/>
        </w:rPr>
        <w:t xml:space="preserve">2017 the number was 25 days. </w:t>
      </w:r>
      <w:r w:rsidR="000B4AB9">
        <w:rPr>
          <w:rFonts w:ascii="Arial" w:hAnsi="Arial" w:cs="Arial"/>
          <w:sz w:val="20"/>
          <w:szCs w:val="20"/>
        </w:rPr>
        <w:t>On</w:t>
      </w:r>
      <w:r w:rsidR="000B4AB9" w:rsidRPr="000B4AB9">
        <w:rPr>
          <w:rFonts w:ascii="Arial" w:hAnsi="Arial" w:cs="Arial"/>
          <w:sz w:val="20"/>
          <w:szCs w:val="20"/>
        </w:rPr>
        <w:t xml:space="preserve"> further review and to ensure consistency with other performance measures, DEQ changed this measure</w:t>
      </w:r>
      <w:r w:rsidR="000B4AB9">
        <w:rPr>
          <w:rFonts w:ascii="Arial" w:hAnsi="Arial" w:cs="Arial"/>
          <w:sz w:val="20"/>
          <w:szCs w:val="20"/>
        </w:rPr>
        <w:t xml:space="preserve"> from calendar year to state fiscal year and continues to report on </w:t>
      </w:r>
      <w:r w:rsidR="000B4AB9" w:rsidRPr="000B4AB9">
        <w:rPr>
          <w:rFonts w:ascii="Arial" w:hAnsi="Arial" w:cs="Arial"/>
          <w:sz w:val="20"/>
          <w:szCs w:val="20"/>
        </w:rPr>
        <w:t>a state fiscal year basis.</w:t>
      </w:r>
    </w:p>
    <w:p w14:paraId="434DFA83" w14:textId="77777777" w:rsidR="000B4AB9" w:rsidRDefault="000B4AB9" w:rsidP="00A23A70">
      <w:pPr>
        <w:jc w:val="both"/>
        <w:rPr>
          <w:rFonts w:ascii="Arial" w:hAnsi="Arial" w:cs="Arial"/>
          <w:sz w:val="20"/>
          <w:szCs w:val="20"/>
        </w:rPr>
      </w:pPr>
    </w:p>
    <w:p w14:paraId="219043B1" w14:textId="2335331A" w:rsidR="007D05ED" w:rsidRDefault="00667E78" w:rsidP="00A23A70">
      <w:pPr>
        <w:jc w:val="both"/>
        <w:rPr>
          <w:rFonts w:ascii="Arial" w:hAnsi="Arial" w:cs="Arial"/>
          <w:sz w:val="20"/>
          <w:szCs w:val="20"/>
        </w:rPr>
      </w:pPr>
      <w:r>
        <w:rPr>
          <w:rFonts w:ascii="Arial" w:hAnsi="Arial" w:cs="Arial"/>
          <w:sz w:val="20"/>
          <w:szCs w:val="20"/>
        </w:rPr>
        <w:t>Re</w:t>
      </w:r>
      <w:r w:rsidR="000B4AB9" w:rsidRPr="000B4AB9">
        <w:rPr>
          <w:rFonts w:ascii="Arial" w:hAnsi="Arial" w:cs="Arial"/>
          <w:sz w:val="20"/>
          <w:szCs w:val="20"/>
        </w:rPr>
        <w:t>duc</w:t>
      </w:r>
      <w:r>
        <w:rPr>
          <w:rFonts w:ascii="Arial" w:hAnsi="Arial" w:cs="Arial"/>
          <w:sz w:val="20"/>
          <w:szCs w:val="20"/>
        </w:rPr>
        <w:t>ing</w:t>
      </w:r>
      <w:r w:rsidR="000B4AB9" w:rsidRPr="000B4AB9">
        <w:rPr>
          <w:rFonts w:ascii="Arial" w:hAnsi="Arial" w:cs="Arial"/>
          <w:sz w:val="20"/>
          <w:szCs w:val="20"/>
        </w:rPr>
        <w:t xml:space="preserve"> the number of unhealthy air quality days</w:t>
      </w:r>
      <w:r w:rsidR="000B4AB9">
        <w:rPr>
          <w:rFonts w:ascii="Arial" w:hAnsi="Arial" w:cs="Arial"/>
          <w:sz w:val="20"/>
          <w:szCs w:val="20"/>
        </w:rPr>
        <w:t xml:space="preserve"> </w:t>
      </w:r>
      <w:r w:rsidR="000B4AB9" w:rsidRPr="000B4AB9">
        <w:rPr>
          <w:rFonts w:ascii="Arial" w:hAnsi="Arial" w:cs="Arial"/>
          <w:sz w:val="20"/>
          <w:szCs w:val="20"/>
        </w:rPr>
        <w:t>based on the AQI</w:t>
      </w:r>
      <w:r w:rsidR="000B4AB9">
        <w:rPr>
          <w:rFonts w:ascii="Arial" w:hAnsi="Arial" w:cs="Arial"/>
          <w:sz w:val="20"/>
          <w:szCs w:val="20"/>
        </w:rPr>
        <w:t xml:space="preserve"> is a</w:t>
      </w:r>
      <w:r w:rsidR="00B02696" w:rsidRPr="00B02696">
        <w:rPr>
          <w:rFonts w:ascii="Arial" w:hAnsi="Arial" w:cs="Arial"/>
          <w:sz w:val="20"/>
          <w:szCs w:val="20"/>
        </w:rPr>
        <w:t xml:space="preserve"> reasonable measure</w:t>
      </w:r>
      <w:r w:rsidR="000B4AB9">
        <w:rPr>
          <w:rFonts w:ascii="Arial" w:hAnsi="Arial" w:cs="Arial"/>
          <w:sz w:val="20"/>
          <w:szCs w:val="20"/>
        </w:rPr>
        <w:t xml:space="preserve"> to report; however</w:t>
      </w:r>
      <w:r w:rsidR="00B02696" w:rsidRPr="00B02696">
        <w:rPr>
          <w:rFonts w:ascii="Arial" w:hAnsi="Arial" w:cs="Arial"/>
          <w:sz w:val="20"/>
          <w:szCs w:val="20"/>
        </w:rPr>
        <w:t xml:space="preserve">, </w:t>
      </w:r>
      <w:r w:rsidR="00B02696">
        <w:rPr>
          <w:rFonts w:ascii="Arial" w:hAnsi="Arial" w:cs="Arial"/>
          <w:sz w:val="20"/>
          <w:szCs w:val="20"/>
        </w:rPr>
        <w:t xml:space="preserve">DEQ’s </w:t>
      </w:r>
      <w:r w:rsidR="00B02696" w:rsidRPr="00B02696">
        <w:rPr>
          <w:rFonts w:ascii="Arial" w:hAnsi="Arial" w:cs="Arial"/>
          <w:sz w:val="20"/>
          <w:szCs w:val="20"/>
        </w:rPr>
        <w:t>success</w:t>
      </w:r>
      <w:r w:rsidR="00B02696">
        <w:rPr>
          <w:rFonts w:ascii="Arial" w:hAnsi="Arial" w:cs="Arial"/>
          <w:sz w:val="20"/>
          <w:szCs w:val="20"/>
        </w:rPr>
        <w:t xml:space="preserve"> in meeting th</w:t>
      </w:r>
      <w:r>
        <w:rPr>
          <w:rFonts w:ascii="Arial" w:hAnsi="Arial" w:cs="Arial"/>
          <w:sz w:val="20"/>
          <w:szCs w:val="20"/>
        </w:rPr>
        <w:t>is</w:t>
      </w:r>
      <w:r w:rsidR="00B02696">
        <w:rPr>
          <w:rFonts w:ascii="Arial" w:hAnsi="Arial" w:cs="Arial"/>
          <w:sz w:val="20"/>
          <w:szCs w:val="20"/>
        </w:rPr>
        <w:t xml:space="preserve"> measure is subject to </w:t>
      </w:r>
      <w:r w:rsidR="007815CB">
        <w:rPr>
          <w:rFonts w:ascii="Arial" w:hAnsi="Arial" w:cs="Arial"/>
          <w:sz w:val="20"/>
          <w:szCs w:val="20"/>
        </w:rPr>
        <w:t xml:space="preserve">the whim of </w:t>
      </w:r>
      <w:r w:rsidR="00B02696" w:rsidRPr="00B02696">
        <w:rPr>
          <w:rFonts w:ascii="Arial" w:hAnsi="Arial" w:cs="Arial"/>
          <w:sz w:val="20"/>
          <w:szCs w:val="20"/>
        </w:rPr>
        <w:t>wildfires and</w:t>
      </w:r>
      <w:r w:rsidR="007815CB">
        <w:rPr>
          <w:rFonts w:ascii="Arial" w:hAnsi="Arial" w:cs="Arial"/>
          <w:sz w:val="20"/>
          <w:szCs w:val="20"/>
        </w:rPr>
        <w:t xml:space="preserve"> </w:t>
      </w:r>
      <w:r w:rsidR="00352270">
        <w:rPr>
          <w:rFonts w:ascii="Arial" w:hAnsi="Arial" w:cs="Arial"/>
          <w:sz w:val="20"/>
          <w:szCs w:val="20"/>
        </w:rPr>
        <w:t>weather</w:t>
      </w:r>
      <w:r w:rsidR="00B02696" w:rsidRPr="00B02696">
        <w:rPr>
          <w:rFonts w:ascii="Arial" w:hAnsi="Arial" w:cs="Arial"/>
          <w:sz w:val="20"/>
          <w:szCs w:val="20"/>
        </w:rPr>
        <w:t>. From spring through fall</w:t>
      </w:r>
      <w:r>
        <w:rPr>
          <w:rFonts w:ascii="Arial" w:hAnsi="Arial" w:cs="Arial"/>
          <w:sz w:val="20"/>
          <w:szCs w:val="20"/>
        </w:rPr>
        <w:t>,</w:t>
      </w:r>
      <w:r w:rsidR="00B02696" w:rsidRPr="00B02696">
        <w:rPr>
          <w:rFonts w:ascii="Arial" w:hAnsi="Arial" w:cs="Arial"/>
          <w:sz w:val="20"/>
          <w:szCs w:val="20"/>
        </w:rPr>
        <w:t xml:space="preserve"> wildfire smoke can have a significant impact on the AQI. </w:t>
      </w:r>
      <w:r w:rsidR="00FD0112" w:rsidRPr="00FD0112">
        <w:rPr>
          <w:rFonts w:ascii="Arial" w:hAnsi="Arial" w:cs="Arial"/>
          <w:sz w:val="20"/>
          <w:szCs w:val="20"/>
        </w:rPr>
        <w:t xml:space="preserve">In SFY </w:t>
      </w:r>
      <w:r w:rsidR="00FD0112" w:rsidRPr="00175C43">
        <w:rPr>
          <w:rFonts w:ascii="Arial" w:hAnsi="Arial" w:cs="Arial"/>
          <w:sz w:val="20"/>
          <w:szCs w:val="20"/>
        </w:rPr>
        <w:t>2021, DEQ reported 16 days in the unhealthy or worse AQI category</w:t>
      </w:r>
      <w:r w:rsidR="00175C43">
        <w:rPr>
          <w:rFonts w:ascii="Arial" w:hAnsi="Arial" w:cs="Arial"/>
          <w:sz w:val="20"/>
          <w:szCs w:val="20"/>
        </w:rPr>
        <w:t xml:space="preserve"> of </w:t>
      </w:r>
      <w:r w:rsidR="00FD0112" w:rsidRPr="00175C43">
        <w:rPr>
          <w:rFonts w:ascii="Arial" w:hAnsi="Arial" w:cs="Arial"/>
          <w:sz w:val="20"/>
          <w:szCs w:val="20"/>
        </w:rPr>
        <w:t xml:space="preserve">which one was not the result of wildfires or dust events. This event occurred on July 4, </w:t>
      </w:r>
      <w:r w:rsidR="00FD0112" w:rsidRPr="00175C43">
        <w:rPr>
          <w:rFonts w:ascii="Arial" w:hAnsi="Arial" w:cs="Arial"/>
          <w:sz w:val="20"/>
          <w:szCs w:val="20"/>
        </w:rPr>
        <w:lastRenderedPageBreak/>
        <w:t>2020, and was due to fireworks. Looking back, DEQ has observed a similar number of days with unhealthy AQI readings recorded. In SFY 2019, there were 11 days recorded, but 10 days were</w:t>
      </w:r>
      <w:r w:rsidR="00FD0112" w:rsidRPr="00175C43">
        <w:rPr>
          <w:rFonts w:ascii="Arial" w:hAnsi="Arial" w:cs="Arial"/>
          <w:spacing w:val="1"/>
          <w:sz w:val="20"/>
          <w:szCs w:val="20"/>
        </w:rPr>
        <w:t xml:space="preserve"> </w:t>
      </w:r>
      <w:r w:rsidR="00FD0112" w:rsidRPr="00175C43">
        <w:rPr>
          <w:rFonts w:ascii="Arial" w:hAnsi="Arial" w:cs="Arial"/>
          <w:sz w:val="20"/>
          <w:szCs w:val="20"/>
        </w:rPr>
        <w:t>attributed to wildfire smoke. In SFY 2018, there were 17 days recorded, and 16 days were also attributed to wildfire</w:t>
      </w:r>
      <w:r w:rsidR="00FD0112" w:rsidRPr="00175C43">
        <w:rPr>
          <w:rFonts w:ascii="Arial" w:hAnsi="Arial" w:cs="Arial"/>
          <w:spacing w:val="1"/>
          <w:sz w:val="20"/>
          <w:szCs w:val="20"/>
        </w:rPr>
        <w:t xml:space="preserve"> </w:t>
      </w:r>
      <w:r w:rsidR="00175C43">
        <w:rPr>
          <w:rFonts w:ascii="Arial" w:hAnsi="Arial" w:cs="Arial"/>
          <w:sz w:val="20"/>
          <w:szCs w:val="20"/>
        </w:rPr>
        <w:t>smoke.</w:t>
      </w:r>
    </w:p>
    <w:p w14:paraId="36819772" w14:textId="77777777" w:rsidR="00175C43" w:rsidRPr="00FD0112" w:rsidRDefault="00175C43" w:rsidP="00A23A70">
      <w:pPr>
        <w:jc w:val="both"/>
        <w:rPr>
          <w:rFonts w:ascii="Arial" w:hAnsi="Arial" w:cs="Arial"/>
          <w:sz w:val="20"/>
          <w:szCs w:val="20"/>
        </w:rPr>
      </w:pPr>
    </w:p>
    <w:p w14:paraId="249BC875" w14:textId="77777777" w:rsidR="006706EA" w:rsidRPr="009F7F4D" w:rsidRDefault="00E52ECF" w:rsidP="00967D0F">
      <w:pPr>
        <w:jc w:val="both"/>
        <w:rPr>
          <w:rFonts w:ascii="Arial" w:hAnsi="Arial" w:cs="Arial"/>
          <w:bCs/>
          <w:iCs/>
          <w:sz w:val="20"/>
          <w:szCs w:val="20"/>
        </w:rPr>
      </w:pPr>
      <w:r w:rsidRPr="00E52ECF">
        <w:rPr>
          <w:rFonts w:ascii="Arial" w:hAnsi="Arial" w:cs="Arial"/>
          <w:b/>
          <w:bCs/>
          <w:i/>
          <w:iCs/>
          <w:sz w:val="20"/>
          <w:szCs w:val="20"/>
        </w:rPr>
        <w:t>Water Quality</w:t>
      </w:r>
      <w:r w:rsidR="00C33DF3">
        <w:rPr>
          <w:rFonts w:ascii="Arial" w:hAnsi="Arial" w:cs="Arial"/>
          <w:b/>
          <w:bCs/>
          <w:i/>
          <w:iCs/>
          <w:sz w:val="20"/>
          <w:szCs w:val="20"/>
        </w:rPr>
        <w:t xml:space="preserve"> Goal 1</w:t>
      </w:r>
      <w:r w:rsidR="00967D0F">
        <w:rPr>
          <w:rFonts w:ascii="Arial" w:hAnsi="Arial" w:cs="Arial"/>
          <w:b/>
          <w:bCs/>
          <w:i/>
          <w:iCs/>
          <w:sz w:val="20"/>
          <w:szCs w:val="20"/>
        </w:rPr>
        <w:t xml:space="preserve"> </w:t>
      </w:r>
      <w:r w:rsidR="0009688B">
        <w:rPr>
          <w:rFonts w:ascii="Arial" w:hAnsi="Arial" w:cs="Arial"/>
          <w:b/>
          <w:bCs/>
          <w:i/>
          <w:iCs/>
          <w:sz w:val="20"/>
          <w:szCs w:val="20"/>
        </w:rPr>
        <w:t>(Performance Measure 2)</w:t>
      </w:r>
      <w:r w:rsidR="008324FF">
        <w:rPr>
          <w:rFonts w:ascii="Arial" w:hAnsi="Arial" w:cs="Arial"/>
          <w:b/>
          <w:bCs/>
          <w:i/>
          <w:iCs/>
          <w:sz w:val="20"/>
          <w:szCs w:val="20"/>
        </w:rPr>
        <w:t>—</w:t>
      </w:r>
      <w:r w:rsidR="009F7F4D" w:rsidRPr="009F7F4D">
        <w:rPr>
          <w:rFonts w:ascii="Arial" w:hAnsi="Arial" w:cs="Arial"/>
          <w:bCs/>
          <w:iCs/>
          <w:sz w:val="20"/>
          <w:szCs w:val="20"/>
        </w:rPr>
        <w:t xml:space="preserve">This represents the total </w:t>
      </w:r>
      <w:r w:rsidR="006969A9">
        <w:rPr>
          <w:rFonts w:ascii="Arial" w:hAnsi="Arial" w:cs="Arial"/>
          <w:bCs/>
          <w:iCs/>
          <w:sz w:val="20"/>
          <w:szCs w:val="20"/>
        </w:rPr>
        <w:t>percentage</w:t>
      </w:r>
      <w:r w:rsidR="009F7F4D" w:rsidRPr="009F7F4D">
        <w:rPr>
          <w:rFonts w:ascii="Arial" w:hAnsi="Arial" w:cs="Arial"/>
          <w:bCs/>
          <w:iCs/>
          <w:sz w:val="20"/>
          <w:szCs w:val="20"/>
        </w:rPr>
        <w:t xml:space="preserve"> of stream miles assessed as Category 1 or 2 in Idaho's 2018</w:t>
      </w:r>
      <w:r w:rsidR="006969A9">
        <w:rPr>
          <w:rFonts w:ascii="Arial" w:hAnsi="Arial" w:cs="Arial"/>
          <w:bCs/>
          <w:iCs/>
          <w:sz w:val="20"/>
          <w:szCs w:val="20"/>
        </w:rPr>
        <w:t>–</w:t>
      </w:r>
      <w:r w:rsidR="009F7F4D" w:rsidRPr="009F7F4D">
        <w:rPr>
          <w:rFonts w:ascii="Arial" w:hAnsi="Arial" w:cs="Arial"/>
          <w:bCs/>
          <w:iCs/>
          <w:sz w:val="20"/>
          <w:szCs w:val="20"/>
        </w:rPr>
        <w:t xml:space="preserve">2020 </w:t>
      </w:r>
      <w:r w:rsidR="006969A9">
        <w:rPr>
          <w:rFonts w:ascii="Arial" w:hAnsi="Arial" w:cs="Arial"/>
          <w:bCs/>
          <w:iCs/>
          <w:sz w:val="20"/>
          <w:szCs w:val="20"/>
        </w:rPr>
        <w:t>Integrated Report</w:t>
      </w:r>
      <w:r w:rsidR="009F7F4D" w:rsidRPr="009F7F4D">
        <w:rPr>
          <w:rFonts w:ascii="Arial" w:hAnsi="Arial" w:cs="Arial"/>
          <w:bCs/>
          <w:iCs/>
          <w:sz w:val="20"/>
          <w:szCs w:val="20"/>
        </w:rPr>
        <w:t xml:space="preserve"> approved on </w:t>
      </w:r>
      <w:r w:rsidR="006969A9">
        <w:rPr>
          <w:rFonts w:ascii="Arial" w:hAnsi="Arial" w:cs="Arial"/>
          <w:bCs/>
          <w:iCs/>
          <w:sz w:val="20"/>
          <w:szCs w:val="20"/>
        </w:rPr>
        <w:t xml:space="preserve">October </w:t>
      </w:r>
      <w:r w:rsidR="009F7F4D" w:rsidRPr="009F7F4D">
        <w:rPr>
          <w:rFonts w:ascii="Arial" w:hAnsi="Arial" w:cs="Arial"/>
          <w:bCs/>
          <w:iCs/>
          <w:sz w:val="20"/>
          <w:szCs w:val="20"/>
        </w:rPr>
        <w:t>1</w:t>
      </w:r>
      <w:r w:rsidR="006969A9">
        <w:rPr>
          <w:rFonts w:ascii="Arial" w:hAnsi="Arial" w:cs="Arial"/>
          <w:bCs/>
          <w:iCs/>
          <w:sz w:val="20"/>
          <w:szCs w:val="20"/>
        </w:rPr>
        <w:t xml:space="preserve">, </w:t>
      </w:r>
      <w:r w:rsidR="009F7F4D" w:rsidRPr="009F7F4D">
        <w:rPr>
          <w:rFonts w:ascii="Arial" w:hAnsi="Arial" w:cs="Arial"/>
          <w:bCs/>
          <w:iCs/>
          <w:sz w:val="20"/>
          <w:szCs w:val="20"/>
        </w:rPr>
        <w:t>2020. The next</w:t>
      </w:r>
      <w:r w:rsidR="006969A9">
        <w:rPr>
          <w:rFonts w:ascii="Arial" w:hAnsi="Arial" w:cs="Arial"/>
          <w:bCs/>
          <w:iCs/>
          <w:sz w:val="20"/>
          <w:szCs w:val="20"/>
        </w:rPr>
        <w:t xml:space="preserve"> Integrated Report </w:t>
      </w:r>
      <w:r w:rsidR="009F7F4D" w:rsidRPr="009F7F4D">
        <w:rPr>
          <w:rFonts w:ascii="Arial" w:hAnsi="Arial" w:cs="Arial"/>
          <w:bCs/>
          <w:iCs/>
          <w:sz w:val="20"/>
          <w:szCs w:val="20"/>
        </w:rPr>
        <w:t>will not be submitted for EPA approval until approximately April 1, 2022; this number will remain unchanged until then.</w:t>
      </w:r>
    </w:p>
    <w:p w14:paraId="0765F465" w14:textId="77777777" w:rsidR="00BE0A6E" w:rsidRPr="00A23A70" w:rsidRDefault="00BE0A6E" w:rsidP="00A23A70">
      <w:pPr>
        <w:jc w:val="both"/>
        <w:rPr>
          <w:rFonts w:ascii="Arial" w:hAnsi="Arial" w:cs="Arial"/>
          <w:sz w:val="20"/>
          <w:szCs w:val="20"/>
        </w:rPr>
      </w:pPr>
    </w:p>
    <w:p w14:paraId="6D5D6988" w14:textId="7D5AA0B5" w:rsidR="00612AB4" w:rsidRPr="00612AB4" w:rsidRDefault="007D05ED" w:rsidP="00F71A63">
      <w:pPr>
        <w:jc w:val="both"/>
        <w:rPr>
          <w:rFonts w:ascii="Arial" w:hAnsi="Arial" w:cs="Arial"/>
          <w:color w:val="000000" w:themeColor="text1"/>
          <w:sz w:val="20"/>
          <w:szCs w:val="20"/>
        </w:rPr>
      </w:pPr>
      <w:r w:rsidRPr="00A23A70">
        <w:rPr>
          <w:rFonts w:ascii="Arial" w:hAnsi="Arial" w:cs="Arial"/>
          <w:b/>
          <w:i/>
          <w:sz w:val="20"/>
          <w:szCs w:val="20"/>
        </w:rPr>
        <w:t>Waste Management and Remediation</w:t>
      </w:r>
      <w:r w:rsidR="00C33DF3">
        <w:rPr>
          <w:rFonts w:ascii="Arial" w:hAnsi="Arial" w:cs="Arial"/>
          <w:b/>
          <w:i/>
          <w:sz w:val="20"/>
          <w:szCs w:val="20"/>
        </w:rPr>
        <w:t xml:space="preserve"> Goal 1</w:t>
      </w:r>
      <w:r w:rsidR="0009688B">
        <w:rPr>
          <w:rFonts w:ascii="Arial" w:hAnsi="Arial" w:cs="Arial"/>
          <w:b/>
          <w:i/>
          <w:sz w:val="20"/>
          <w:szCs w:val="20"/>
        </w:rPr>
        <w:t xml:space="preserve"> (Performance Measure 3</w:t>
      </w:r>
      <w:r w:rsidR="0009688B" w:rsidRPr="00612AB4">
        <w:rPr>
          <w:rFonts w:ascii="Arial" w:hAnsi="Arial" w:cs="Arial"/>
          <w:b/>
          <w:i/>
          <w:color w:val="000000" w:themeColor="text1"/>
          <w:sz w:val="20"/>
          <w:szCs w:val="20"/>
        </w:rPr>
        <w:t>)</w:t>
      </w:r>
      <w:r w:rsidRPr="00612AB4">
        <w:rPr>
          <w:rFonts w:ascii="Arial" w:hAnsi="Arial" w:cs="Arial"/>
          <w:color w:val="000000" w:themeColor="text1"/>
          <w:sz w:val="20"/>
          <w:szCs w:val="20"/>
        </w:rPr>
        <w:t>—</w:t>
      </w:r>
      <w:r w:rsidR="00612AB4" w:rsidRPr="00612AB4">
        <w:rPr>
          <w:rFonts w:ascii="Arial" w:hAnsi="Arial" w:cs="Arial"/>
          <w:color w:val="000000" w:themeColor="text1"/>
          <w:sz w:val="20"/>
          <w:szCs w:val="20"/>
        </w:rPr>
        <w:t xml:space="preserve">The number of contaminated sites identified </w:t>
      </w:r>
      <w:r w:rsidR="00612AB4" w:rsidRPr="00CA5F5B">
        <w:rPr>
          <w:rFonts w:ascii="Arial" w:hAnsi="Arial" w:cs="Arial"/>
          <w:color w:val="000000" w:themeColor="text1"/>
          <w:sz w:val="20"/>
          <w:szCs w:val="20"/>
        </w:rPr>
        <w:t>under performance measure 3</w:t>
      </w:r>
      <w:r w:rsidR="00612AB4" w:rsidRPr="00612AB4">
        <w:rPr>
          <w:rFonts w:ascii="Arial" w:hAnsi="Arial" w:cs="Arial"/>
          <w:color w:val="000000" w:themeColor="text1"/>
          <w:sz w:val="20"/>
          <w:szCs w:val="20"/>
        </w:rPr>
        <w:t xml:space="preserve"> fluctuates. There continues to be a number of new contaminated sites identified each year, and this results in slower progress made in reducing the overall number of contaminated sites. For example, during FY 2021, there were 124 sites closed, but 144 new sites were identified, which is a net increase of 20 sites overall for the fiscal year. These contaminated sites are the result of petroleum and chemical releases that are not predictable. Therefore, for some years the number of contaminated sites may increase while in other years the number may decrease. In addition, some sites are not necessarily new (recent) releases, but are newly identified or previously unaccounted for sites that were not previously included in the contaminated sites inventory. Note that there was an adjustment to the total number of general remediation sites; the total number was decreased by 27 sites (there was an error in the tracking, some sites were double counted).</w:t>
      </w:r>
      <w:r w:rsidR="00FB0C02">
        <w:rPr>
          <w:rFonts w:ascii="Arial" w:hAnsi="Arial" w:cs="Arial"/>
          <w:color w:val="000000" w:themeColor="text1"/>
          <w:sz w:val="20"/>
          <w:szCs w:val="20"/>
        </w:rPr>
        <w:t xml:space="preserve"> Th</w:t>
      </w:r>
      <w:r w:rsidR="00341F88">
        <w:rPr>
          <w:rFonts w:ascii="Arial" w:hAnsi="Arial" w:cs="Arial"/>
          <w:color w:val="000000" w:themeColor="text1"/>
          <w:sz w:val="20"/>
          <w:szCs w:val="20"/>
        </w:rPr>
        <w:t xml:space="preserve">e net increase of 20 sites and the reduction of open sites </w:t>
      </w:r>
      <w:r w:rsidR="006D07C0">
        <w:rPr>
          <w:rFonts w:ascii="Arial" w:hAnsi="Arial" w:cs="Arial"/>
          <w:color w:val="000000" w:themeColor="text1"/>
          <w:sz w:val="20"/>
          <w:szCs w:val="20"/>
        </w:rPr>
        <w:t xml:space="preserve">is </w:t>
      </w:r>
      <w:r w:rsidR="00341F88">
        <w:rPr>
          <w:rFonts w:ascii="Arial" w:hAnsi="Arial" w:cs="Arial"/>
          <w:color w:val="000000" w:themeColor="text1"/>
          <w:sz w:val="20"/>
          <w:szCs w:val="20"/>
        </w:rPr>
        <w:t xml:space="preserve">due to the tracking error </w:t>
      </w:r>
      <w:r w:rsidR="00FB0C02">
        <w:rPr>
          <w:rFonts w:ascii="Arial" w:hAnsi="Arial" w:cs="Arial"/>
          <w:color w:val="000000" w:themeColor="text1"/>
          <w:sz w:val="20"/>
          <w:szCs w:val="20"/>
        </w:rPr>
        <w:t xml:space="preserve">resulted in a net decrease of 7 </w:t>
      </w:r>
      <w:r w:rsidR="004211F2">
        <w:rPr>
          <w:rFonts w:ascii="Arial" w:hAnsi="Arial" w:cs="Arial"/>
          <w:color w:val="000000" w:themeColor="text1"/>
          <w:sz w:val="20"/>
          <w:szCs w:val="20"/>
        </w:rPr>
        <w:t xml:space="preserve">open </w:t>
      </w:r>
      <w:r w:rsidR="00FB0C02">
        <w:rPr>
          <w:rFonts w:ascii="Arial" w:hAnsi="Arial" w:cs="Arial"/>
          <w:color w:val="000000" w:themeColor="text1"/>
          <w:sz w:val="20"/>
          <w:szCs w:val="20"/>
        </w:rPr>
        <w:t>sites</w:t>
      </w:r>
      <w:r w:rsidR="004211F2">
        <w:rPr>
          <w:rFonts w:ascii="Arial" w:hAnsi="Arial" w:cs="Arial"/>
          <w:color w:val="000000" w:themeColor="text1"/>
          <w:sz w:val="20"/>
          <w:szCs w:val="20"/>
        </w:rPr>
        <w:t xml:space="preserve"> under this performance measure</w:t>
      </w:r>
      <w:r w:rsidR="00FB0C02">
        <w:rPr>
          <w:rFonts w:ascii="Arial" w:hAnsi="Arial" w:cs="Arial"/>
          <w:color w:val="000000" w:themeColor="text1"/>
          <w:sz w:val="20"/>
          <w:szCs w:val="20"/>
        </w:rPr>
        <w:t>.</w:t>
      </w:r>
    </w:p>
    <w:p w14:paraId="33A67201" w14:textId="77777777" w:rsidR="009D19B4" w:rsidRDefault="009D19B4" w:rsidP="00A23A70">
      <w:pPr>
        <w:jc w:val="both"/>
        <w:rPr>
          <w:rFonts w:ascii="Arial" w:hAnsi="Arial" w:cs="Arial"/>
          <w:sz w:val="20"/>
          <w:szCs w:val="20"/>
        </w:rPr>
      </w:pPr>
    </w:p>
    <w:p w14:paraId="137063E9" w14:textId="77777777" w:rsidR="00E90C96" w:rsidRDefault="00905042" w:rsidP="00905042">
      <w:pPr>
        <w:jc w:val="both"/>
        <w:rPr>
          <w:rFonts w:ascii="Arial" w:hAnsi="Arial" w:cs="Arial"/>
          <w:sz w:val="20"/>
          <w:szCs w:val="20"/>
        </w:rPr>
      </w:pPr>
      <w:r w:rsidRPr="00905042">
        <w:rPr>
          <w:rFonts w:ascii="Arial" w:hAnsi="Arial" w:cs="Arial"/>
          <w:b/>
          <w:i/>
          <w:sz w:val="20"/>
          <w:szCs w:val="20"/>
        </w:rPr>
        <w:t>Agency</w:t>
      </w:r>
      <w:r w:rsidR="0041467E">
        <w:rPr>
          <w:rFonts w:ascii="Arial" w:hAnsi="Arial" w:cs="Arial"/>
          <w:b/>
          <w:i/>
          <w:sz w:val="20"/>
          <w:szCs w:val="20"/>
        </w:rPr>
        <w:t>w</w:t>
      </w:r>
      <w:r w:rsidRPr="00905042">
        <w:rPr>
          <w:rFonts w:ascii="Arial" w:hAnsi="Arial" w:cs="Arial"/>
          <w:b/>
          <w:i/>
          <w:sz w:val="20"/>
          <w:szCs w:val="20"/>
        </w:rPr>
        <w:t xml:space="preserve">ide </w:t>
      </w:r>
      <w:r>
        <w:rPr>
          <w:rFonts w:ascii="Arial" w:hAnsi="Arial" w:cs="Arial"/>
          <w:b/>
          <w:i/>
          <w:sz w:val="20"/>
          <w:szCs w:val="20"/>
        </w:rPr>
        <w:t>Goals</w:t>
      </w:r>
      <w:r w:rsidR="00C33DF3">
        <w:rPr>
          <w:rFonts w:ascii="Arial" w:hAnsi="Arial" w:cs="Arial"/>
          <w:b/>
          <w:i/>
          <w:sz w:val="20"/>
          <w:szCs w:val="20"/>
        </w:rPr>
        <w:t xml:space="preserve"> 2 and 3</w:t>
      </w:r>
      <w:r>
        <w:rPr>
          <w:rFonts w:ascii="Arial" w:hAnsi="Arial" w:cs="Arial"/>
          <w:b/>
          <w:i/>
          <w:sz w:val="20"/>
          <w:szCs w:val="20"/>
        </w:rPr>
        <w:t xml:space="preserve"> (Performance Measures 4, 5</w:t>
      </w:r>
      <w:r w:rsidR="00101296">
        <w:rPr>
          <w:rFonts w:ascii="Arial" w:hAnsi="Arial" w:cs="Arial"/>
          <w:b/>
          <w:i/>
          <w:sz w:val="20"/>
          <w:szCs w:val="20"/>
        </w:rPr>
        <w:t>,</w:t>
      </w:r>
      <w:r>
        <w:rPr>
          <w:rFonts w:ascii="Arial" w:hAnsi="Arial" w:cs="Arial"/>
          <w:b/>
          <w:i/>
          <w:sz w:val="20"/>
          <w:szCs w:val="20"/>
        </w:rPr>
        <w:t xml:space="preserve"> and 6)</w:t>
      </w:r>
      <w:r w:rsidRPr="00905042">
        <w:rPr>
          <w:rFonts w:ascii="Arial" w:hAnsi="Arial" w:cs="Arial"/>
          <w:sz w:val="20"/>
          <w:szCs w:val="20"/>
        </w:rPr>
        <w:t xml:space="preserve">—Beginning in mid-March 2020, DEQ temporarily halted certain routine inspections as regulated facilities and the state dealt with the COVID-19 pandemic and </w:t>
      </w:r>
      <w:r w:rsidR="008B7899">
        <w:rPr>
          <w:rFonts w:ascii="Arial" w:hAnsi="Arial" w:cs="Arial"/>
          <w:sz w:val="20"/>
          <w:szCs w:val="20"/>
        </w:rPr>
        <w:t>its</w:t>
      </w:r>
      <w:r w:rsidRPr="00905042">
        <w:rPr>
          <w:rFonts w:ascii="Arial" w:hAnsi="Arial" w:cs="Arial"/>
          <w:sz w:val="20"/>
          <w:szCs w:val="20"/>
        </w:rPr>
        <w:t xml:space="preserve"> impacts to facility operations and the availability of both DEQ inspector and facility staff to accommodate routine inspections. Routine inspections were resumed in early June 2020 accord</w:t>
      </w:r>
      <w:r w:rsidR="008B7899">
        <w:rPr>
          <w:rFonts w:ascii="Arial" w:hAnsi="Arial" w:cs="Arial"/>
          <w:sz w:val="20"/>
          <w:szCs w:val="20"/>
        </w:rPr>
        <w:t>ing to</w:t>
      </w:r>
      <w:r w:rsidRPr="00905042">
        <w:rPr>
          <w:rFonts w:ascii="Arial" w:hAnsi="Arial" w:cs="Arial"/>
          <w:sz w:val="20"/>
          <w:szCs w:val="20"/>
        </w:rPr>
        <w:t xml:space="preserve"> an internal standard operating procedure</w:t>
      </w:r>
      <w:r>
        <w:rPr>
          <w:rFonts w:ascii="Arial" w:hAnsi="Arial" w:cs="Arial"/>
          <w:sz w:val="20"/>
          <w:szCs w:val="20"/>
        </w:rPr>
        <w:t>,</w:t>
      </w:r>
      <w:r w:rsidRPr="00905042">
        <w:rPr>
          <w:rFonts w:ascii="Arial" w:hAnsi="Arial" w:cs="Arial"/>
          <w:sz w:val="20"/>
          <w:szCs w:val="20"/>
        </w:rPr>
        <w:t xml:space="preserve"> </w:t>
      </w:r>
      <w:r w:rsidRPr="00905042">
        <w:rPr>
          <w:rFonts w:ascii="Arial" w:hAnsi="Arial" w:cs="Arial"/>
          <w:i/>
          <w:sz w:val="20"/>
          <w:szCs w:val="20"/>
        </w:rPr>
        <w:t>Procedures for Routine Inspections During COVID-19</w:t>
      </w:r>
      <w:r w:rsidRPr="00905042">
        <w:rPr>
          <w:rFonts w:ascii="Arial" w:hAnsi="Arial" w:cs="Arial"/>
          <w:sz w:val="20"/>
          <w:szCs w:val="20"/>
        </w:rPr>
        <w:t>. Certain essential inspections, such as complaints, continued during the pandemic. In April 2020, an addendum to the DEQ Health and Safety Plan was created to address employee exposure to COVID-19 while traveling and performing essential fieldwork activities. Inspectors follow</w:t>
      </w:r>
      <w:r w:rsidR="00FB0C02">
        <w:rPr>
          <w:rFonts w:ascii="Arial" w:hAnsi="Arial" w:cs="Arial"/>
          <w:sz w:val="20"/>
          <w:szCs w:val="20"/>
        </w:rPr>
        <w:t>ed</w:t>
      </w:r>
      <w:r w:rsidRPr="00905042">
        <w:rPr>
          <w:rFonts w:ascii="Arial" w:hAnsi="Arial" w:cs="Arial"/>
          <w:sz w:val="20"/>
          <w:szCs w:val="20"/>
        </w:rPr>
        <w:t xml:space="preserve"> this addendum</w:t>
      </w:r>
      <w:r w:rsidR="00FB0C02">
        <w:rPr>
          <w:rFonts w:ascii="Arial" w:hAnsi="Arial" w:cs="Arial"/>
          <w:sz w:val="20"/>
          <w:szCs w:val="20"/>
        </w:rPr>
        <w:t>,</w:t>
      </w:r>
      <w:r w:rsidRPr="00905042">
        <w:rPr>
          <w:rFonts w:ascii="Arial" w:hAnsi="Arial" w:cs="Arial"/>
          <w:sz w:val="20"/>
          <w:szCs w:val="20"/>
        </w:rPr>
        <w:t xml:space="preserve"> other safety protocols</w:t>
      </w:r>
      <w:r w:rsidR="00FB0C02">
        <w:rPr>
          <w:rFonts w:ascii="Arial" w:hAnsi="Arial" w:cs="Arial"/>
          <w:sz w:val="20"/>
          <w:szCs w:val="20"/>
        </w:rPr>
        <w:t>, and the current version of the DEQ Return to Office Plan</w:t>
      </w:r>
      <w:r w:rsidRPr="00905042">
        <w:rPr>
          <w:rFonts w:ascii="Arial" w:hAnsi="Arial" w:cs="Arial"/>
          <w:sz w:val="20"/>
          <w:szCs w:val="20"/>
        </w:rPr>
        <w:t xml:space="preserve"> while conducting inspections.</w:t>
      </w:r>
      <w:r w:rsidR="00FB0C02">
        <w:rPr>
          <w:rFonts w:ascii="Arial" w:hAnsi="Arial" w:cs="Arial"/>
          <w:sz w:val="20"/>
          <w:szCs w:val="20"/>
        </w:rPr>
        <w:t xml:space="preserve"> These protocols were utilized through fiscal year 2021.</w:t>
      </w:r>
      <w:r w:rsidRPr="00905042">
        <w:rPr>
          <w:rFonts w:ascii="Arial" w:hAnsi="Arial" w:cs="Arial"/>
          <w:sz w:val="20"/>
          <w:szCs w:val="20"/>
        </w:rPr>
        <w:t xml:space="preserve"> </w:t>
      </w:r>
    </w:p>
    <w:p w14:paraId="59B5A96D" w14:textId="77777777" w:rsidR="00E90C96" w:rsidRDefault="00E90C96" w:rsidP="00905042">
      <w:pPr>
        <w:jc w:val="both"/>
        <w:rPr>
          <w:rFonts w:ascii="Arial" w:hAnsi="Arial" w:cs="Arial"/>
          <w:sz w:val="20"/>
          <w:szCs w:val="20"/>
        </w:rPr>
      </w:pPr>
    </w:p>
    <w:p w14:paraId="293194E3" w14:textId="77777777" w:rsidR="00905042" w:rsidRDefault="00905042" w:rsidP="00905042">
      <w:pPr>
        <w:jc w:val="both"/>
        <w:rPr>
          <w:rFonts w:ascii="Arial" w:hAnsi="Arial" w:cs="Arial"/>
          <w:sz w:val="20"/>
          <w:szCs w:val="20"/>
        </w:rPr>
      </w:pPr>
      <w:r w:rsidRPr="00905042">
        <w:rPr>
          <w:rFonts w:ascii="Arial" w:hAnsi="Arial" w:cs="Arial"/>
          <w:sz w:val="20"/>
          <w:szCs w:val="20"/>
        </w:rPr>
        <w:t xml:space="preserve">On April 8, 2020, DEQ issued </w:t>
      </w:r>
      <w:r w:rsidR="00612090">
        <w:rPr>
          <w:rFonts w:ascii="Arial" w:hAnsi="Arial" w:cs="Arial"/>
          <w:sz w:val="20"/>
          <w:szCs w:val="20"/>
        </w:rPr>
        <w:t>the guidance</w:t>
      </w:r>
      <w:r w:rsidR="002D1513">
        <w:rPr>
          <w:rFonts w:ascii="Arial" w:hAnsi="Arial" w:cs="Arial"/>
          <w:sz w:val="20"/>
          <w:szCs w:val="20"/>
        </w:rPr>
        <w:t>,</w:t>
      </w:r>
      <w:r w:rsidRPr="00905042">
        <w:rPr>
          <w:rFonts w:ascii="Arial" w:hAnsi="Arial" w:cs="Arial"/>
          <w:sz w:val="20"/>
          <w:szCs w:val="20"/>
        </w:rPr>
        <w:t xml:space="preserve"> </w:t>
      </w:r>
      <w:r w:rsidRPr="00612090">
        <w:rPr>
          <w:rFonts w:ascii="Arial" w:hAnsi="Arial" w:cs="Arial"/>
          <w:i/>
          <w:sz w:val="20"/>
          <w:szCs w:val="20"/>
        </w:rPr>
        <w:t>COVID-19 Regulatory Flexibility and Compliance Assistance</w:t>
      </w:r>
      <w:r w:rsidR="00612090">
        <w:rPr>
          <w:rFonts w:ascii="Arial" w:hAnsi="Arial" w:cs="Arial"/>
          <w:i/>
          <w:sz w:val="20"/>
          <w:szCs w:val="20"/>
        </w:rPr>
        <w:t>,</w:t>
      </w:r>
      <w:r w:rsidRPr="00905042">
        <w:rPr>
          <w:rFonts w:ascii="Arial" w:hAnsi="Arial" w:cs="Arial"/>
          <w:sz w:val="20"/>
          <w:szCs w:val="20"/>
        </w:rPr>
        <w:t xml:space="preserve"> outlin</w:t>
      </w:r>
      <w:r w:rsidR="00612090">
        <w:rPr>
          <w:rFonts w:ascii="Arial" w:hAnsi="Arial" w:cs="Arial"/>
          <w:sz w:val="20"/>
          <w:szCs w:val="20"/>
        </w:rPr>
        <w:t>ing</w:t>
      </w:r>
      <w:r w:rsidRPr="00905042">
        <w:rPr>
          <w:rFonts w:ascii="Arial" w:hAnsi="Arial" w:cs="Arial"/>
          <w:sz w:val="20"/>
          <w:szCs w:val="20"/>
        </w:rPr>
        <w:t xml:space="preserve"> DEQ’s approach to regulatory requirements and expectations of regulated facilities during the pandemic. Under this </w:t>
      </w:r>
      <w:r w:rsidR="00612090">
        <w:rPr>
          <w:rFonts w:ascii="Arial" w:hAnsi="Arial" w:cs="Arial"/>
          <w:sz w:val="20"/>
          <w:szCs w:val="20"/>
        </w:rPr>
        <w:t>guidance</w:t>
      </w:r>
      <w:r w:rsidRPr="00905042">
        <w:rPr>
          <w:rFonts w:ascii="Arial" w:hAnsi="Arial" w:cs="Arial"/>
          <w:sz w:val="20"/>
          <w:szCs w:val="20"/>
        </w:rPr>
        <w:t>, regulated facilities could request postponing certain activities and requirements due to impacts related to the pandemic, subject to DEQ approval</w:t>
      </w:r>
      <w:r w:rsidR="00113BE7">
        <w:rPr>
          <w:rFonts w:ascii="Arial" w:hAnsi="Arial" w:cs="Arial"/>
          <w:sz w:val="20"/>
          <w:szCs w:val="20"/>
        </w:rPr>
        <w:t>,</w:t>
      </w:r>
      <w:r w:rsidR="002D1513">
        <w:rPr>
          <w:rFonts w:ascii="Arial" w:hAnsi="Arial" w:cs="Arial"/>
          <w:sz w:val="20"/>
          <w:szCs w:val="20"/>
        </w:rPr>
        <w:t xml:space="preserve"> but</w:t>
      </w:r>
      <w:r w:rsidRPr="00905042">
        <w:rPr>
          <w:rFonts w:ascii="Arial" w:hAnsi="Arial" w:cs="Arial"/>
          <w:sz w:val="20"/>
          <w:szCs w:val="20"/>
        </w:rPr>
        <w:t xml:space="preserve"> were still required to ensure protection of human health and the environment. This regulatory flexibility</w:t>
      </w:r>
      <w:r w:rsidR="00612090">
        <w:rPr>
          <w:rFonts w:ascii="Arial" w:hAnsi="Arial" w:cs="Arial"/>
          <w:sz w:val="20"/>
          <w:szCs w:val="20"/>
        </w:rPr>
        <w:t xml:space="preserve"> allowed by the guidance</w:t>
      </w:r>
      <w:r w:rsidRPr="00905042">
        <w:rPr>
          <w:rFonts w:ascii="Arial" w:hAnsi="Arial" w:cs="Arial"/>
          <w:sz w:val="20"/>
          <w:szCs w:val="20"/>
        </w:rPr>
        <w:t xml:space="preserve"> </w:t>
      </w:r>
      <w:r w:rsidR="00861CE2">
        <w:rPr>
          <w:rFonts w:ascii="Arial" w:hAnsi="Arial" w:cs="Arial"/>
          <w:sz w:val="20"/>
          <w:szCs w:val="20"/>
        </w:rPr>
        <w:t>was retained through fiscal year 2021</w:t>
      </w:r>
      <w:r w:rsidRPr="00905042">
        <w:rPr>
          <w:rFonts w:ascii="Arial" w:hAnsi="Arial" w:cs="Arial"/>
          <w:sz w:val="20"/>
          <w:szCs w:val="20"/>
        </w:rPr>
        <w:t>.</w:t>
      </w:r>
    </w:p>
    <w:p w14:paraId="6E299D95" w14:textId="77777777" w:rsidR="00E90C96" w:rsidRDefault="00E90C96" w:rsidP="00905042">
      <w:pPr>
        <w:jc w:val="both"/>
        <w:rPr>
          <w:rFonts w:ascii="Arial" w:hAnsi="Arial" w:cs="Arial"/>
          <w:sz w:val="20"/>
          <w:szCs w:val="20"/>
        </w:rPr>
      </w:pPr>
    </w:p>
    <w:p w14:paraId="4D8F4428" w14:textId="5FD5042C" w:rsidR="00E136C2" w:rsidRDefault="00E136C2" w:rsidP="00E136C2">
      <w:pPr>
        <w:jc w:val="both"/>
        <w:rPr>
          <w:rFonts w:ascii="Arial" w:hAnsi="Arial" w:cs="Arial"/>
          <w:bCs/>
          <w:iCs/>
          <w:sz w:val="20"/>
          <w:szCs w:val="20"/>
        </w:rPr>
      </w:pPr>
      <w:r w:rsidRPr="00967D0F">
        <w:rPr>
          <w:rFonts w:ascii="Arial" w:hAnsi="Arial" w:cs="Arial"/>
          <w:bCs/>
          <w:iCs/>
          <w:sz w:val="20"/>
          <w:szCs w:val="20"/>
        </w:rPr>
        <w:t>In FY</w:t>
      </w:r>
      <w:r>
        <w:rPr>
          <w:rFonts w:ascii="Arial" w:hAnsi="Arial" w:cs="Arial"/>
          <w:bCs/>
          <w:iCs/>
          <w:sz w:val="20"/>
          <w:szCs w:val="20"/>
        </w:rPr>
        <w:t xml:space="preserve"> </w:t>
      </w:r>
      <w:r w:rsidRPr="00967D0F">
        <w:rPr>
          <w:rFonts w:ascii="Arial" w:hAnsi="Arial" w:cs="Arial"/>
          <w:bCs/>
          <w:iCs/>
          <w:sz w:val="20"/>
          <w:szCs w:val="20"/>
        </w:rPr>
        <w:t>202</w:t>
      </w:r>
      <w:r>
        <w:rPr>
          <w:rFonts w:ascii="Arial" w:hAnsi="Arial" w:cs="Arial"/>
          <w:bCs/>
          <w:iCs/>
          <w:sz w:val="20"/>
          <w:szCs w:val="20"/>
        </w:rPr>
        <w:t>1</w:t>
      </w:r>
      <w:r w:rsidRPr="00967D0F">
        <w:rPr>
          <w:rFonts w:ascii="Arial" w:hAnsi="Arial" w:cs="Arial"/>
          <w:bCs/>
          <w:iCs/>
          <w:sz w:val="20"/>
          <w:szCs w:val="20"/>
        </w:rPr>
        <w:t xml:space="preserve">, DEQ assumed delegated authority for </w:t>
      </w:r>
      <w:r>
        <w:rPr>
          <w:rFonts w:ascii="Arial" w:hAnsi="Arial" w:cs="Arial"/>
          <w:bCs/>
          <w:iCs/>
          <w:sz w:val="20"/>
          <w:szCs w:val="20"/>
        </w:rPr>
        <w:t>non-storm water, generally permitted</w:t>
      </w:r>
      <w:r w:rsidRPr="00967D0F">
        <w:rPr>
          <w:rFonts w:ascii="Arial" w:hAnsi="Arial" w:cs="Arial"/>
          <w:bCs/>
          <w:iCs/>
          <w:sz w:val="20"/>
          <w:szCs w:val="20"/>
        </w:rPr>
        <w:t xml:space="preserve"> </w:t>
      </w:r>
      <w:r>
        <w:rPr>
          <w:rFonts w:ascii="Arial" w:hAnsi="Arial" w:cs="Arial"/>
          <w:bCs/>
          <w:iCs/>
          <w:sz w:val="20"/>
          <w:szCs w:val="20"/>
        </w:rPr>
        <w:t xml:space="preserve">discharge </w:t>
      </w:r>
      <w:r w:rsidRPr="00967D0F">
        <w:rPr>
          <w:rFonts w:ascii="Arial" w:hAnsi="Arial" w:cs="Arial"/>
          <w:bCs/>
          <w:iCs/>
          <w:sz w:val="20"/>
          <w:szCs w:val="20"/>
        </w:rPr>
        <w:t xml:space="preserve">facilities, bringing the total number of permitted facilities under DEQ authority to </w:t>
      </w:r>
      <w:r>
        <w:rPr>
          <w:rFonts w:ascii="Arial" w:hAnsi="Arial" w:cs="Arial"/>
          <w:bCs/>
          <w:iCs/>
          <w:sz w:val="20"/>
          <w:szCs w:val="20"/>
        </w:rPr>
        <w:t>over 300</w:t>
      </w:r>
      <w:r w:rsidRPr="00967D0F">
        <w:rPr>
          <w:rFonts w:ascii="Arial" w:hAnsi="Arial" w:cs="Arial"/>
          <w:bCs/>
          <w:iCs/>
          <w:sz w:val="20"/>
          <w:szCs w:val="20"/>
        </w:rPr>
        <w:t>. DEQ continues to inherit administratively continued permits from EPA resulting in a lower amount of permits being issued before the deadline. DEQ strives to meet the performance goal of reissuing permits prior to their expiration.</w:t>
      </w:r>
    </w:p>
    <w:p w14:paraId="0C368315" w14:textId="77777777" w:rsidR="00E136C2" w:rsidRPr="00967D0F" w:rsidRDefault="00E136C2" w:rsidP="00E136C2">
      <w:pPr>
        <w:jc w:val="both"/>
        <w:rPr>
          <w:rFonts w:ascii="Arial" w:hAnsi="Arial" w:cs="Arial"/>
          <w:bCs/>
          <w:iCs/>
          <w:sz w:val="20"/>
          <w:szCs w:val="20"/>
        </w:rPr>
      </w:pPr>
    </w:p>
    <w:p w14:paraId="224F7A39" w14:textId="77777777" w:rsidR="00E136C2" w:rsidRDefault="00E136C2" w:rsidP="00E136C2">
      <w:pPr>
        <w:jc w:val="both"/>
        <w:rPr>
          <w:rFonts w:ascii="Arial" w:hAnsi="Arial" w:cs="Arial"/>
          <w:bCs/>
          <w:iCs/>
          <w:sz w:val="20"/>
          <w:szCs w:val="20"/>
        </w:rPr>
      </w:pPr>
      <w:r w:rsidRPr="00967D0F">
        <w:rPr>
          <w:rFonts w:ascii="Arial" w:hAnsi="Arial" w:cs="Arial"/>
          <w:bCs/>
          <w:iCs/>
          <w:sz w:val="20"/>
          <w:szCs w:val="20"/>
        </w:rPr>
        <w:t>DEQ has improved technical and compliance assistance to facilities permitted under IPDES and reuse permits by providing routine review of monitoring reports and the ability to respond quickly when a potential issue is identified. This results in fewer facilities having violations identified at the time of inspection or having violations compile over time without being addressed. Fewer violations means an improved rate of compliance.</w:t>
      </w:r>
    </w:p>
    <w:p w14:paraId="5E109C05" w14:textId="77777777" w:rsidR="00E136C2" w:rsidRPr="00967D0F" w:rsidRDefault="00E136C2" w:rsidP="00E136C2">
      <w:pPr>
        <w:jc w:val="both"/>
        <w:rPr>
          <w:rFonts w:ascii="Arial" w:hAnsi="Arial" w:cs="Arial"/>
          <w:bCs/>
          <w:iCs/>
          <w:sz w:val="20"/>
          <w:szCs w:val="20"/>
        </w:rPr>
      </w:pPr>
    </w:p>
    <w:p w14:paraId="3E3E5850" w14:textId="77777777" w:rsidR="00E269B6" w:rsidRDefault="00E269B6" w:rsidP="00905042">
      <w:pPr>
        <w:jc w:val="both"/>
        <w:rPr>
          <w:rFonts w:ascii="Arial" w:hAnsi="Arial" w:cs="Arial"/>
          <w:sz w:val="20"/>
          <w:szCs w:val="20"/>
        </w:rPr>
      </w:pPr>
      <w:r w:rsidRPr="00612AB4">
        <w:rPr>
          <w:rFonts w:ascii="Arial" w:hAnsi="Arial" w:cs="Arial"/>
          <w:color w:val="000000" w:themeColor="text1"/>
          <w:sz w:val="20"/>
          <w:szCs w:val="20"/>
        </w:rPr>
        <w:t>Some programs within the</w:t>
      </w:r>
      <w:r w:rsidR="00E136C2">
        <w:rPr>
          <w:rFonts w:ascii="Arial" w:hAnsi="Arial" w:cs="Arial"/>
          <w:color w:val="000000" w:themeColor="text1"/>
          <w:sz w:val="20"/>
          <w:szCs w:val="20"/>
        </w:rPr>
        <w:t xml:space="preserve"> Waste Management and Remediation</w:t>
      </w:r>
      <w:r w:rsidRPr="00612AB4">
        <w:rPr>
          <w:rFonts w:ascii="Arial" w:hAnsi="Arial" w:cs="Arial"/>
          <w:color w:val="000000" w:themeColor="text1"/>
          <w:sz w:val="20"/>
          <w:szCs w:val="20"/>
        </w:rPr>
        <w:t xml:space="preserve"> </w:t>
      </w:r>
      <w:r w:rsidR="00351372">
        <w:rPr>
          <w:rFonts w:ascii="Arial" w:hAnsi="Arial" w:cs="Arial"/>
          <w:color w:val="000000" w:themeColor="text1"/>
          <w:sz w:val="20"/>
          <w:szCs w:val="20"/>
        </w:rPr>
        <w:t>D</w:t>
      </w:r>
      <w:r w:rsidRPr="00612AB4">
        <w:rPr>
          <w:rFonts w:ascii="Arial" w:hAnsi="Arial" w:cs="Arial"/>
          <w:color w:val="000000" w:themeColor="text1"/>
          <w:sz w:val="20"/>
          <w:szCs w:val="20"/>
        </w:rPr>
        <w:t xml:space="preserve">ivision are challenged to develop timely outreach materials and to conduct outreach activities (e.g., workshops) that improve compliance rates of regulated facilities under the agencywide </w:t>
      </w:r>
      <w:r w:rsidRPr="00CA5F5B">
        <w:rPr>
          <w:rFonts w:ascii="Arial" w:hAnsi="Arial" w:cs="Arial"/>
          <w:color w:val="000000" w:themeColor="text1"/>
          <w:sz w:val="20"/>
          <w:szCs w:val="20"/>
        </w:rPr>
        <w:t>performance measure 5</w:t>
      </w:r>
      <w:r w:rsidRPr="00612AB4">
        <w:rPr>
          <w:rFonts w:ascii="Arial" w:hAnsi="Arial" w:cs="Arial"/>
          <w:color w:val="000000" w:themeColor="text1"/>
          <w:sz w:val="20"/>
          <w:szCs w:val="20"/>
        </w:rPr>
        <w:t xml:space="preserve">. In addition, over the last couple of years, as new regulations were implemented for the underground storage tank and hazardous waste programs, the annual compliance rates have decreased under </w:t>
      </w:r>
      <w:r w:rsidRPr="00CA5F5B">
        <w:rPr>
          <w:rFonts w:ascii="Arial" w:hAnsi="Arial" w:cs="Arial"/>
          <w:color w:val="000000" w:themeColor="text1"/>
          <w:sz w:val="20"/>
          <w:szCs w:val="20"/>
        </w:rPr>
        <w:t>performance measure 5</w:t>
      </w:r>
      <w:r w:rsidRPr="00612AB4">
        <w:rPr>
          <w:rFonts w:ascii="Arial" w:hAnsi="Arial" w:cs="Arial"/>
          <w:color w:val="000000" w:themeColor="text1"/>
          <w:sz w:val="20"/>
          <w:szCs w:val="20"/>
        </w:rPr>
        <w:t xml:space="preserve">. Identifying specific compliance issues and </w:t>
      </w:r>
      <w:r w:rsidRPr="00612AB4">
        <w:rPr>
          <w:rFonts w:ascii="Arial" w:hAnsi="Arial" w:cs="Arial"/>
          <w:color w:val="000000" w:themeColor="text1"/>
          <w:sz w:val="20"/>
          <w:szCs w:val="20"/>
        </w:rPr>
        <w:lastRenderedPageBreak/>
        <w:t xml:space="preserve">providing education and outreach to regulated facilities on those compliance issues, as well as conducting general outreach should help increase overall compliance as measured under </w:t>
      </w:r>
      <w:r w:rsidRPr="00351372">
        <w:rPr>
          <w:rFonts w:ascii="Arial" w:hAnsi="Arial" w:cs="Arial"/>
          <w:color w:val="000000" w:themeColor="text1"/>
          <w:sz w:val="20"/>
          <w:szCs w:val="20"/>
        </w:rPr>
        <w:t>performance measure 5</w:t>
      </w:r>
      <w:r w:rsidRPr="00612AB4">
        <w:rPr>
          <w:rFonts w:ascii="Arial" w:hAnsi="Arial" w:cs="Arial"/>
          <w:color w:val="000000" w:themeColor="text1"/>
          <w:sz w:val="20"/>
          <w:szCs w:val="20"/>
        </w:rPr>
        <w:t>.</w:t>
      </w:r>
    </w:p>
    <w:p w14:paraId="78CECF7F" w14:textId="77777777" w:rsidR="004C775F" w:rsidRDefault="004C775F" w:rsidP="00A23A70">
      <w:pPr>
        <w:jc w:val="both"/>
        <w:rPr>
          <w:rFonts w:ascii="Arial" w:hAnsi="Arial" w:cs="Arial"/>
          <w:sz w:val="20"/>
          <w:szCs w:val="20"/>
        </w:rPr>
      </w:pPr>
    </w:p>
    <w:p w14:paraId="30FB448E" w14:textId="77777777" w:rsidR="004C775F" w:rsidRDefault="004C775F" w:rsidP="00A23A70">
      <w:pPr>
        <w:jc w:val="both"/>
        <w:rPr>
          <w:rFonts w:ascii="Arial" w:hAnsi="Arial" w:cs="Arial"/>
          <w:sz w:val="20"/>
          <w:szCs w:val="20"/>
        </w:rPr>
      </w:pPr>
      <w:r w:rsidRPr="004C775F">
        <w:rPr>
          <w:rFonts w:ascii="Arial" w:hAnsi="Arial" w:cs="Arial"/>
          <w:b/>
          <w:bCs/>
          <w:i/>
          <w:iCs/>
          <w:sz w:val="20"/>
          <w:szCs w:val="20"/>
        </w:rPr>
        <w:t>Lean Improvement</w:t>
      </w:r>
      <w:r w:rsidR="00C33DF3">
        <w:rPr>
          <w:rFonts w:ascii="Arial" w:hAnsi="Arial" w:cs="Arial"/>
          <w:b/>
          <w:bCs/>
          <w:i/>
          <w:iCs/>
          <w:sz w:val="20"/>
          <w:szCs w:val="20"/>
        </w:rPr>
        <w:t xml:space="preserve"> Goal 3</w:t>
      </w:r>
      <w:r w:rsidR="00101296">
        <w:rPr>
          <w:rFonts w:ascii="Arial" w:hAnsi="Arial" w:cs="Arial"/>
          <w:b/>
          <w:bCs/>
          <w:i/>
          <w:iCs/>
          <w:sz w:val="20"/>
          <w:szCs w:val="20"/>
        </w:rPr>
        <w:t xml:space="preserve"> (Performance Measure 7)</w:t>
      </w:r>
      <w:r w:rsidR="00631F11">
        <w:rPr>
          <w:rFonts w:ascii="Arial" w:hAnsi="Arial" w:cs="Arial"/>
          <w:b/>
          <w:bCs/>
          <w:i/>
          <w:iCs/>
          <w:sz w:val="20"/>
          <w:szCs w:val="20"/>
        </w:rPr>
        <w:t>—</w:t>
      </w:r>
      <w:r w:rsidR="00631F11">
        <w:rPr>
          <w:rFonts w:ascii="Arial" w:hAnsi="Arial" w:cs="Arial"/>
          <w:sz w:val="20"/>
          <w:szCs w:val="20"/>
        </w:rPr>
        <w:t>Forty-</w:t>
      </w:r>
      <w:r w:rsidR="00656E86">
        <w:rPr>
          <w:rFonts w:ascii="Arial" w:hAnsi="Arial" w:cs="Arial"/>
          <w:sz w:val="20"/>
          <w:szCs w:val="20"/>
        </w:rPr>
        <w:t>one</w:t>
      </w:r>
      <w:r w:rsidR="00631F11">
        <w:rPr>
          <w:rFonts w:ascii="Arial" w:hAnsi="Arial" w:cs="Arial"/>
          <w:sz w:val="20"/>
          <w:szCs w:val="20"/>
        </w:rPr>
        <w:t xml:space="preserve"> lean improvement projects were scheduled this year, and </w:t>
      </w:r>
      <w:r w:rsidR="001C7014">
        <w:rPr>
          <w:rFonts w:ascii="Arial" w:hAnsi="Arial" w:cs="Arial"/>
          <w:sz w:val="20"/>
          <w:szCs w:val="20"/>
        </w:rPr>
        <w:t>21</w:t>
      </w:r>
      <w:r w:rsidR="00631F11">
        <w:rPr>
          <w:rFonts w:ascii="Arial" w:hAnsi="Arial" w:cs="Arial"/>
          <w:sz w:val="20"/>
          <w:szCs w:val="20"/>
        </w:rPr>
        <w:t xml:space="preserve"> projects were completed. Currently,</w:t>
      </w:r>
      <w:r w:rsidR="001C7014">
        <w:rPr>
          <w:rFonts w:ascii="Arial" w:hAnsi="Arial" w:cs="Arial"/>
          <w:sz w:val="20"/>
          <w:szCs w:val="20"/>
        </w:rPr>
        <w:t xml:space="preserve"> 23</w:t>
      </w:r>
      <w:r w:rsidR="00CF0F53">
        <w:rPr>
          <w:rFonts w:ascii="Arial" w:hAnsi="Arial" w:cs="Arial"/>
          <w:sz w:val="20"/>
          <w:szCs w:val="20"/>
        </w:rPr>
        <w:t xml:space="preserve"> </w:t>
      </w:r>
      <w:r w:rsidR="00631F11">
        <w:rPr>
          <w:rFonts w:ascii="Arial" w:hAnsi="Arial" w:cs="Arial"/>
          <w:sz w:val="20"/>
          <w:szCs w:val="20"/>
        </w:rPr>
        <w:t xml:space="preserve">projects are underway. </w:t>
      </w:r>
    </w:p>
    <w:p w14:paraId="3281DA85" w14:textId="77777777" w:rsidR="00904DF4" w:rsidRPr="004203BC" w:rsidRDefault="004203BC" w:rsidP="008324FF">
      <w:pPr>
        <w:numPr>
          <w:ilvl w:val="0"/>
          <w:numId w:val="43"/>
        </w:numPr>
        <w:spacing w:after="100" w:afterAutospacing="1"/>
        <w:jc w:val="both"/>
        <w:rPr>
          <w:rFonts w:ascii="Arial" w:hAnsi="Arial" w:cs="Arial"/>
          <w:color w:val="000000"/>
          <w:sz w:val="20"/>
          <w:szCs w:val="20"/>
        </w:rPr>
      </w:pPr>
      <w:r>
        <w:rPr>
          <w:rFonts w:ascii="Arial" w:hAnsi="Arial" w:cs="Arial"/>
          <w:color w:val="000000"/>
          <w:sz w:val="20"/>
          <w:szCs w:val="20"/>
        </w:rPr>
        <w:t>Measurement—</w:t>
      </w:r>
      <w:r w:rsidR="00656E86">
        <w:rPr>
          <w:rFonts w:ascii="Arial" w:hAnsi="Arial" w:cs="Arial"/>
          <w:color w:val="000000"/>
          <w:sz w:val="20"/>
          <w:szCs w:val="20"/>
        </w:rPr>
        <w:t xml:space="preserve">Senior management staff were asked to have their staff submit completed or ongoing project descriptions for inclusion toward the strategic plan goal. Projects were to include a basic description of the problem and the countermeasures implemented or proposed to solve the problem. This measurement is a modification from the prior year, which only counted projects </w:t>
      </w:r>
      <w:r w:rsidR="001C7014">
        <w:rPr>
          <w:rFonts w:ascii="Arial" w:hAnsi="Arial" w:cs="Arial"/>
          <w:color w:val="000000"/>
          <w:sz w:val="20"/>
          <w:szCs w:val="20"/>
        </w:rPr>
        <w:t xml:space="preserve">that </w:t>
      </w:r>
      <w:r w:rsidR="00656E86">
        <w:rPr>
          <w:rFonts w:ascii="Arial" w:hAnsi="Arial" w:cs="Arial"/>
          <w:color w:val="000000"/>
          <w:sz w:val="20"/>
          <w:szCs w:val="20"/>
        </w:rPr>
        <w:t>were specifically generated from staff following their participation in a Lean Practitioner training event. Th</w:t>
      </w:r>
      <w:r w:rsidR="001C7014">
        <w:rPr>
          <w:rFonts w:ascii="Arial" w:hAnsi="Arial" w:cs="Arial"/>
          <w:color w:val="000000"/>
          <w:sz w:val="20"/>
          <w:szCs w:val="20"/>
        </w:rPr>
        <w:t>e</w:t>
      </w:r>
      <w:r w:rsidR="00656E86">
        <w:rPr>
          <w:rFonts w:ascii="Arial" w:hAnsi="Arial" w:cs="Arial"/>
          <w:color w:val="000000"/>
          <w:sz w:val="20"/>
          <w:szCs w:val="20"/>
        </w:rPr>
        <w:t xml:space="preserve"> previous measurement method did not accurately represent the continuous improvement work being undertaken agencywide. Thus, the trajectory toward our target goal is positive, but</w:t>
      </w:r>
      <w:r w:rsidR="001C7014">
        <w:rPr>
          <w:rFonts w:ascii="Arial" w:hAnsi="Arial" w:cs="Arial"/>
          <w:color w:val="000000"/>
          <w:sz w:val="20"/>
          <w:szCs w:val="20"/>
        </w:rPr>
        <w:t xml:space="preserve"> it</w:t>
      </w:r>
      <w:r w:rsidR="00656E86">
        <w:rPr>
          <w:rFonts w:ascii="Arial" w:hAnsi="Arial" w:cs="Arial"/>
          <w:color w:val="000000"/>
          <w:sz w:val="20"/>
          <w:szCs w:val="20"/>
        </w:rPr>
        <w:t xml:space="preserve"> is significantly impacted by the change in measurement. We are still working to identify and implement predictive actions that will lead to higher rates of implementation of lean and continuous improvement projects. </w:t>
      </w:r>
    </w:p>
    <w:p w14:paraId="3AA8FF7A" w14:textId="77777777" w:rsidR="00904DF4" w:rsidRPr="004203BC" w:rsidRDefault="00904DF4" w:rsidP="008324FF">
      <w:pPr>
        <w:numPr>
          <w:ilvl w:val="0"/>
          <w:numId w:val="43"/>
        </w:numPr>
        <w:spacing w:before="100" w:beforeAutospacing="1" w:after="100" w:afterAutospacing="1"/>
        <w:jc w:val="both"/>
        <w:rPr>
          <w:rFonts w:ascii="Arial" w:hAnsi="Arial" w:cs="Arial"/>
          <w:color w:val="000000"/>
          <w:sz w:val="20"/>
          <w:szCs w:val="20"/>
        </w:rPr>
      </w:pPr>
      <w:r w:rsidRPr="004203BC">
        <w:rPr>
          <w:rFonts w:ascii="Arial" w:hAnsi="Arial" w:cs="Arial"/>
          <w:color w:val="000000"/>
          <w:sz w:val="20"/>
          <w:szCs w:val="20"/>
        </w:rPr>
        <w:t>COVID</w:t>
      </w:r>
      <w:r w:rsidR="002F66CE">
        <w:rPr>
          <w:rFonts w:ascii="Arial" w:hAnsi="Arial" w:cs="Arial"/>
          <w:color w:val="000000"/>
          <w:sz w:val="20"/>
          <w:szCs w:val="20"/>
        </w:rPr>
        <w:t>—</w:t>
      </w:r>
      <w:r w:rsidR="00FA2896">
        <w:rPr>
          <w:rFonts w:ascii="Arial" w:hAnsi="Arial" w:cs="Arial"/>
          <w:color w:val="000000"/>
          <w:sz w:val="20"/>
          <w:szCs w:val="20"/>
        </w:rPr>
        <w:t xml:space="preserve">We have successfully transitioned to virtual trainings since the start of the pandemic, holding our first virtual Lean Practitioner training in October, and following up with subsequent trainings approximately every </w:t>
      </w:r>
      <w:r w:rsidR="001C7014">
        <w:rPr>
          <w:rFonts w:ascii="Arial" w:hAnsi="Arial" w:cs="Arial"/>
          <w:color w:val="000000"/>
          <w:sz w:val="20"/>
          <w:szCs w:val="20"/>
        </w:rPr>
        <w:t>4</w:t>
      </w:r>
      <w:r w:rsidR="00FA2896">
        <w:rPr>
          <w:rFonts w:ascii="Arial" w:hAnsi="Arial" w:cs="Arial"/>
          <w:color w:val="000000"/>
          <w:sz w:val="20"/>
          <w:szCs w:val="20"/>
        </w:rPr>
        <w:t xml:space="preserve"> to</w:t>
      </w:r>
      <w:r w:rsidR="001C7014">
        <w:rPr>
          <w:rFonts w:ascii="Arial" w:hAnsi="Arial" w:cs="Arial"/>
          <w:color w:val="000000"/>
          <w:sz w:val="20"/>
          <w:szCs w:val="20"/>
        </w:rPr>
        <w:t xml:space="preserve"> 5 </w:t>
      </w:r>
      <w:r w:rsidR="00FA2896">
        <w:rPr>
          <w:rFonts w:ascii="Arial" w:hAnsi="Arial" w:cs="Arial"/>
          <w:color w:val="000000"/>
          <w:sz w:val="20"/>
          <w:szCs w:val="20"/>
        </w:rPr>
        <w:t>weeks. Virtual trainings have allowed for greater flexibility to include regional office staff an</w:t>
      </w:r>
      <w:r w:rsidR="00ED1738">
        <w:rPr>
          <w:rFonts w:ascii="Arial" w:hAnsi="Arial" w:cs="Arial"/>
          <w:color w:val="000000"/>
          <w:sz w:val="20"/>
          <w:szCs w:val="20"/>
        </w:rPr>
        <w:t>d new hires.</w:t>
      </w:r>
    </w:p>
    <w:p w14:paraId="005DB906" w14:textId="77777777" w:rsidR="00904DF4" w:rsidRDefault="00904DF4" w:rsidP="008324FF">
      <w:pPr>
        <w:numPr>
          <w:ilvl w:val="0"/>
          <w:numId w:val="43"/>
        </w:numPr>
        <w:spacing w:before="100" w:beforeAutospacing="1" w:after="100" w:afterAutospacing="1"/>
        <w:jc w:val="both"/>
        <w:rPr>
          <w:rFonts w:ascii="Arial" w:hAnsi="Arial" w:cs="Arial"/>
          <w:color w:val="000000"/>
          <w:sz w:val="20"/>
          <w:szCs w:val="20"/>
        </w:rPr>
      </w:pPr>
      <w:r w:rsidRPr="004203BC">
        <w:rPr>
          <w:rFonts w:ascii="Arial" w:hAnsi="Arial" w:cs="Arial"/>
          <w:color w:val="000000"/>
          <w:sz w:val="20"/>
          <w:szCs w:val="20"/>
        </w:rPr>
        <w:t>Miscellaneous barriers to project completion</w:t>
      </w:r>
      <w:r w:rsidR="002F66CE">
        <w:rPr>
          <w:rFonts w:ascii="Arial" w:hAnsi="Arial" w:cs="Arial"/>
          <w:color w:val="000000"/>
          <w:sz w:val="20"/>
          <w:szCs w:val="20"/>
        </w:rPr>
        <w:t>—</w:t>
      </w:r>
      <w:r w:rsidR="00ED1738">
        <w:rPr>
          <w:rFonts w:ascii="Arial" w:hAnsi="Arial" w:cs="Arial"/>
          <w:color w:val="000000"/>
          <w:sz w:val="20"/>
          <w:szCs w:val="20"/>
        </w:rPr>
        <w:t xml:space="preserve">Numerous barriers to project implementation continue to be described by staff surveyed after their completion of Lean Practitioner training. Time constraints are the most frequently cited cause, in addition to individual staff members not having control over a process that would require action and consensus on the part of multiple people in a group. Strong group facilitation and collaboration appear to be associated with higher rates of implementation. DEQ is currently working to encourage opportunities for group collaboration on continuous improvement projects with the hope of achieving higher completion rates. </w:t>
      </w:r>
    </w:p>
    <w:p w14:paraId="268FDC85" w14:textId="77777777" w:rsidR="00A23A70" w:rsidRDefault="005E2AEF" w:rsidP="0068600E">
      <w:pPr>
        <w:jc w:val="both"/>
        <w:rPr>
          <w:rFonts w:ascii="Arial" w:hAnsi="Arial" w:cs="Arial"/>
          <w:sz w:val="20"/>
          <w:szCs w:val="20"/>
        </w:rPr>
      </w:pPr>
      <w:r w:rsidRPr="005E2AEF">
        <w:rPr>
          <w:rFonts w:ascii="Arial" w:hAnsi="Arial" w:cs="Arial"/>
          <w:b/>
          <w:i/>
          <w:sz w:val="20"/>
          <w:szCs w:val="20"/>
        </w:rPr>
        <w:t>Employee Engagement</w:t>
      </w:r>
      <w:r w:rsidR="00C33DF3">
        <w:rPr>
          <w:rFonts w:ascii="Arial" w:hAnsi="Arial" w:cs="Arial"/>
          <w:b/>
          <w:i/>
          <w:sz w:val="20"/>
          <w:szCs w:val="20"/>
        </w:rPr>
        <w:t xml:space="preserve"> Goal 3</w:t>
      </w:r>
      <w:r>
        <w:rPr>
          <w:rFonts w:ascii="Arial" w:hAnsi="Arial" w:cs="Arial"/>
          <w:b/>
          <w:i/>
          <w:sz w:val="20"/>
          <w:szCs w:val="20"/>
        </w:rPr>
        <w:t xml:space="preserve"> (Performance Measure 8)</w:t>
      </w:r>
      <w:r>
        <w:rPr>
          <w:rFonts w:ascii="Arial" w:hAnsi="Arial" w:cs="Arial"/>
          <w:sz w:val="20"/>
          <w:szCs w:val="20"/>
        </w:rPr>
        <w:t>—</w:t>
      </w:r>
      <w:r w:rsidR="003207A8" w:rsidRPr="00A32AF6">
        <w:rPr>
          <w:rFonts w:ascii="Arial" w:hAnsi="Arial" w:cs="Arial"/>
          <w:sz w:val="20"/>
          <w:szCs w:val="20"/>
        </w:rPr>
        <w:t xml:space="preserve">This effort will measure employee engagement and retention over </w:t>
      </w:r>
      <w:r w:rsidR="000F6261">
        <w:rPr>
          <w:rFonts w:ascii="Arial" w:hAnsi="Arial" w:cs="Arial"/>
          <w:sz w:val="20"/>
          <w:szCs w:val="20"/>
        </w:rPr>
        <w:t>a 3</w:t>
      </w:r>
      <w:r w:rsidR="00152EDD">
        <w:rPr>
          <w:rFonts w:ascii="Arial" w:hAnsi="Arial" w:cs="Arial"/>
          <w:sz w:val="20"/>
          <w:szCs w:val="20"/>
        </w:rPr>
        <w:t>-</w:t>
      </w:r>
      <w:r w:rsidR="000F6261">
        <w:rPr>
          <w:rFonts w:ascii="Arial" w:hAnsi="Arial" w:cs="Arial"/>
          <w:sz w:val="20"/>
          <w:szCs w:val="20"/>
        </w:rPr>
        <w:t>year time frame. DEQ believes engaged employees will reduce the amount of elective, non-retirement turnover</w:t>
      </w:r>
      <w:r w:rsidR="00152EDD">
        <w:rPr>
          <w:rFonts w:ascii="Arial" w:hAnsi="Arial" w:cs="Arial"/>
          <w:sz w:val="20"/>
          <w:szCs w:val="20"/>
        </w:rPr>
        <w:t>,</w:t>
      </w:r>
      <w:r w:rsidR="00716DBD">
        <w:rPr>
          <w:rFonts w:ascii="Arial" w:hAnsi="Arial" w:cs="Arial"/>
          <w:sz w:val="20"/>
          <w:szCs w:val="20"/>
        </w:rPr>
        <w:t xml:space="preserve"> which is expensive for the agency</w:t>
      </w:r>
      <w:r w:rsidR="000F6261">
        <w:rPr>
          <w:rFonts w:ascii="Arial" w:hAnsi="Arial" w:cs="Arial"/>
          <w:sz w:val="20"/>
          <w:szCs w:val="20"/>
        </w:rPr>
        <w:t xml:space="preserve">. </w:t>
      </w:r>
      <w:r w:rsidR="00C555E2">
        <w:rPr>
          <w:rFonts w:ascii="Arial" w:hAnsi="Arial" w:cs="Arial"/>
          <w:sz w:val="20"/>
          <w:szCs w:val="20"/>
        </w:rPr>
        <w:t xml:space="preserve">In April 2020, </w:t>
      </w:r>
      <w:r w:rsidR="005D7D99">
        <w:rPr>
          <w:rFonts w:ascii="Arial" w:hAnsi="Arial" w:cs="Arial"/>
          <w:sz w:val="20"/>
          <w:szCs w:val="20"/>
        </w:rPr>
        <w:t>D</w:t>
      </w:r>
      <w:r w:rsidR="003207A8" w:rsidRPr="00A32AF6">
        <w:rPr>
          <w:rFonts w:ascii="Arial" w:hAnsi="Arial" w:cs="Arial"/>
          <w:sz w:val="20"/>
          <w:szCs w:val="20"/>
        </w:rPr>
        <w:t>EQ</w:t>
      </w:r>
      <w:r w:rsidR="005D7D99">
        <w:rPr>
          <w:rFonts w:ascii="Arial" w:hAnsi="Arial" w:cs="Arial"/>
          <w:sz w:val="20"/>
          <w:szCs w:val="20"/>
        </w:rPr>
        <w:t xml:space="preserve"> conducted an initial assessment using a Gallup</w:t>
      </w:r>
      <w:r w:rsidR="003207A8" w:rsidRPr="00A32AF6">
        <w:rPr>
          <w:rFonts w:ascii="Arial" w:hAnsi="Arial" w:cs="Arial"/>
          <w:sz w:val="20"/>
          <w:szCs w:val="20"/>
        </w:rPr>
        <w:t xml:space="preserve"> </w:t>
      </w:r>
      <w:r w:rsidR="005D7D99">
        <w:rPr>
          <w:rFonts w:ascii="Arial" w:hAnsi="Arial" w:cs="Arial"/>
          <w:sz w:val="20"/>
          <w:szCs w:val="20"/>
        </w:rPr>
        <w:t>survey in which 94% of the agency participated, and 42% of employees consider</w:t>
      </w:r>
      <w:r w:rsidR="00716DBD">
        <w:rPr>
          <w:rFonts w:ascii="Arial" w:hAnsi="Arial" w:cs="Arial"/>
          <w:sz w:val="20"/>
          <w:szCs w:val="20"/>
        </w:rPr>
        <w:t>ed</w:t>
      </w:r>
      <w:r w:rsidR="005D7D99">
        <w:rPr>
          <w:rFonts w:ascii="Arial" w:hAnsi="Arial" w:cs="Arial"/>
          <w:sz w:val="20"/>
          <w:szCs w:val="20"/>
        </w:rPr>
        <w:t xml:space="preserve"> themselves engaged. </w:t>
      </w:r>
      <w:r w:rsidR="00716DBD">
        <w:rPr>
          <w:rFonts w:ascii="Arial" w:hAnsi="Arial" w:cs="Arial"/>
          <w:sz w:val="20"/>
          <w:szCs w:val="20"/>
        </w:rPr>
        <w:t xml:space="preserve">Employee engagement will be measured every </w:t>
      </w:r>
      <w:r w:rsidR="00152EDD">
        <w:rPr>
          <w:rFonts w:ascii="Arial" w:hAnsi="Arial" w:cs="Arial"/>
          <w:sz w:val="20"/>
          <w:szCs w:val="20"/>
        </w:rPr>
        <w:t>6 </w:t>
      </w:r>
      <w:r w:rsidR="00716DBD">
        <w:rPr>
          <w:rFonts w:ascii="Arial" w:hAnsi="Arial" w:cs="Arial"/>
          <w:sz w:val="20"/>
          <w:szCs w:val="20"/>
        </w:rPr>
        <w:t>months over the next 3</w:t>
      </w:r>
      <w:r w:rsidR="00152EDD">
        <w:rPr>
          <w:rFonts w:ascii="Arial" w:hAnsi="Arial" w:cs="Arial"/>
          <w:sz w:val="20"/>
          <w:szCs w:val="20"/>
        </w:rPr>
        <w:t> </w:t>
      </w:r>
      <w:r w:rsidR="00716DBD">
        <w:rPr>
          <w:rFonts w:ascii="Arial" w:hAnsi="Arial" w:cs="Arial"/>
          <w:sz w:val="20"/>
          <w:szCs w:val="20"/>
        </w:rPr>
        <w:t xml:space="preserve">years. </w:t>
      </w:r>
      <w:r w:rsidR="00152EDD">
        <w:rPr>
          <w:rFonts w:ascii="Arial" w:hAnsi="Arial" w:cs="Arial"/>
          <w:sz w:val="20"/>
          <w:szCs w:val="20"/>
        </w:rPr>
        <w:t>B</w:t>
      </w:r>
      <w:r w:rsidR="00716DBD">
        <w:rPr>
          <w:rFonts w:ascii="Arial" w:hAnsi="Arial" w:cs="Arial"/>
          <w:sz w:val="20"/>
          <w:szCs w:val="20"/>
        </w:rPr>
        <w:t>etween assessments, managers are encouraged to use tools and training that has been made available to address areas where employees feel less connected. DEQ is also asking every employee to perform a personal strength assessment to provide information to team leaders so they can improve collaboration and problem</w:t>
      </w:r>
      <w:r w:rsidR="00152EDD">
        <w:rPr>
          <w:rFonts w:ascii="Arial" w:hAnsi="Arial" w:cs="Arial"/>
          <w:sz w:val="20"/>
          <w:szCs w:val="20"/>
        </w:rPr>
        <w:t>-</w:t>
      </w:r>
      <w:r w:rsidR="00716DBD">
        <w:rPr>
          <w:rFonts w:ascii="Arial" w:hAnsi="Arial" w:cs="Arial"/>
          <w:sz w:val="20"/>
          <w:szCs w:val="20"/>
        </w:rPr>
        <w:t>solving efforts by agency staff. Understanding personal strengths will help staff work together more effectively and provide better services to our customers.</w:t>
      </w:r>
    </w:p>
    <w:p w14:paraId="780B9CC7" w14:textId="77777777" w:rsidR="00BF4ADD" w:rsidRPr="00BF4ADD" w:rsidRDefault="00BF4ADD" w:rsidP="0068600E">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571E39" w:rsidRPr="00045A3A" w14:paraId="65E1587E" w14:textId="77777777" w:rsidTr="00F83CB4">
        <w:trPr>
          <w:trHeight w:val="2202"/>
          <w:jc w:val="center"/>
        </w:trPr>
        <w:tc>
          <w:tcPr>
            <w:tcW w:w="7680" w:type="dxa"/>
          </w:tcPr>
          <w:bookmarkEnd w:id="7"/>
          <w:bookmarkEnd w:id="8"/>
          <w:p w14:paraId="708A6AF0" w14:textId="77777777" w:rsidR="00571E39" w:rsidRPr="00045A3A" w:rsidRDefault="00571E39" w:rsidP="00AB3DA7">
            <w:pPr>
              <w:jc w:val="center"/>
              <w:rPr>
                <w:rFonts w:ascii="Arial" w:hAnsi="Arial" w:cs="Arial"/>
                <w:b/>
                <w:bCs/>
                <w:sz w:val="20"/>
                <w:szCs w:val="20"/>
              </w:rPr>
            </w:pPr>
            <w:r w:rsidRPr="00045A3A">
              <w:rPr>
                <w:rFonts w:ascii="Arial" w:hAnsi="Arial" w:cs="Arial"/>
                <w:b/>
                <w:bCs/>
                <w:sz w:val="20"/>
                <w:szCs w:val="20"/>
              </w:rPr>
              <w:t xml:space="preserve">For </w:t>
            </w:r>
            <w:r w:rsidR="00F066DD">
              <w:rPr>
                <w:rFonts w:ascii="Arial" w:hAnsi="Arial" w:cs="Arial"/>
                <w:b/>
                <w:bCs/>
                <w:sz w:val="20"/>
                <w:szCs w:val="20"/>
              </w:rPr>
              <w:t>m</w:t>
            </w:r>
            <w:r w:rsidRPr="00045A3A">
              <w:rPr>
                <w:rFonts w:ascii="Arial" w:hAnsi="Arial" w:cs="Arial"/>
                <w:b/>
                <w:bCs/>
                <w:sz w:val="20"/>
                <w:szCs w:val="20"/>
              </w:rPr>
              <w:t xml:space="preserve">ore </w:t>
            </w:r>
            <w:r w:rsidR="00F066DD">
              <w:rPr>
                <w:rFonts w:ascii="Arial" w:hAnsi="Arial" w:cs="Arial"/>
                <w:b/>
                <w:bCs/>
                <w:sz w:val="20"/>
                <w:szCs w:val="20"/>
              </w:rPr>
              <w:t>i</w:t>
            </w:r>
            <w:r w:rsidRPr="00045A3A">
              <w:rPr>
                <w:rFonts w:ascii="Arial" w:hAnsi="Arial" w:cs="Arial"/>
                <w:b/>
                <w:bCs/>
                <w:sz w:val="20"/>
                <w:szCs w:val="20"/>
              </w:rPr>
              <w:t xml:space="preserve">nformation </w:t>
            </w:r>
            <w:r w:rsidR="00F066DD">
              <w:rPr>
                <w:rFonts w:ascii="Arial" w:hAnsi="Arial" w:cs="Arial"/>
                <w:b/>
                <w:bCs/>
                <w:sz w:val="20"/>
                <w:szCs w:val="20"/>
              </w:rPr>
              <w:t>c</w:t>
            </w:r>
            <w:r w:rsidRPr="00045A3A">
              <w:rPr>
                <w:rFonts w:ascii="Arial" w:hAnsi="Arial" w:cs="Arial"/>
                <w:b/>
                <w:bCs/>
                <w:sz w:val="20"/>
                <w:szCs w:val="20"/>
              </w:rPr>
              <w:t>ontact</w:t>
            </w:r>
            <w:r w:rsidR="006D2598" w:rsidRPr="00045A3A">
              <w:rPr>
                <w:rFonts w:ascii="Arial" w:hAnsi="Arial" w:cs="Arial"/>
                <w:b/>
                <w:bCs/>
                <w:sz w:val="20"/>
                <w:szCs w:val="20"/>
              </w:rPr>
              <w:t>:</w:t>
            </w:r>
          </w:p>
          <w:p w14:paraId="093561B7" w14:textId="77777777" w:rsidR="00F85FE5" w:rsidRPr="00045A3A" w:rsidRDefault="00F85FE5" w:rsidP="00AB3DA7">
            <w:pPr>
              <w:jc w:val="center"/>
              <w:rPr>
                <w:rFonts w:ascii="Arial" w:hAnsi="Arial" w:cs="Arial"/>
                <w:sz w:val="20"/>
                <w:szCs w:val="20"/>
              </w:rPr>
            </w:pPr>
          </w:p>
          <w:p w14:paraId="5FF26BF1" w14:textId="77777777" w:rsidR="00AB1EA9" w:rsidRPr="00045A3A" w:rsidRDefault="00134F58" w:rsidP="00AB3DA7">
            <w:pPr>
              <w:ind w:left="252"/>
              <w:rPr>
                <w:rFonts w:ascii="Arial" w:hAnsi="Arial" w:cs="Arial"/>
                <w:noProof/>
                <w:sz w:val="20"/>
                <w:szCs w:val="20"/>
              </w:rPr>
            </w:pPr>
            <w:r>
              <w:rPr>
                <w:rFonts w:ascii="Arial" w:hAnsi="Arial" w:cs="Arial"/>
                <w:noProof/>
                <w:sz w:val="20"/>
                <w:szCs w:val="20"/>
              </w:rPr>
              <w:t>Jill White</w:t>
            </w:r>
          </w:p>
          <w:p w14:paraId="7223DACF" w14:textId="77777777" w:rsidR="00571E39" w:rsidRDefault="00DF095E" w:rsidP="00AB3DA7">
            <w:pPr>
              <w:ind w:left="252"/>
              <w:rPr>
                <w:rFonts w:ascii="Arial" w:hAnsi="Arial" w:cs="Arial"/>
                <w:noProof/>
                <w:sz w:val="20"/>
                <w:szCs w:val="20"/>
              </w:rPr>
            </w:pPr>
            <w:r>
              <w:rPr>
                <w:rFonts w:ascii="Arial" w:hAnsi="Arial" w:cs="Arial"/>
                <w:noProof/>
                <w:sz w:val="20"/>
                <w:szCs w:val="20"/>
              </w:rPr>
              <w:t xml:space="preserve">Idaho </w:t>
            </w:r>
            <w:r w:rsidR="00571E39" w:rsidRPr="00045A3A">
              <w:rPr>
                <w:rFonts w:ascii="Arial" w:hAnsi="Arial" w:cs="Arial"/>
                <w:noProof/>
                <w:sz w:val="20"/>
                <w:szCs w:val="20"/>
              </w:rPr>
              <w:t>Department of</w:t>
            </w:r>
            <w:r w:rsidR="00AB1EA9" w:rsidRPr="00045A3A">
              <w:rPr>
                <w:rFonts w:ascii="Arial" w:hAnsi="Arial" w:cs="Arial"/>
                <w:noProof/>
                <w:sz w:val="20"/>
                <w:szCs w:val="20"/>
              </w:rPr>
              <w:t xml:space="preserve"> Environmental Quality</w:t>
            </w:r>
          </w:p>
          <w:p w14:paraId="648E245E" w14:textId="77777777" w:rsidR="00365D5A" w:rsidRPr="00045A3A" w:rsidRDefault="00365D5A" w:rsidP="00AB3DA7">
            <w:pPr>
              <w:ind w:left="252"/>
              <w:rPr>
                <w:rFonts w:ascii="Arial" w:hAnsi="Arial" w:cs="Arial"/>
                <w:sz w:val="20"/>
                <w:szCs w:val="20"/>
              </w:rPr>
            </w:pPr>
            <w:r>
              <w:rPr>
                <w:rFonts w:ascii="Arial" w:hAnsi="Arial" w:cs="Arial"/>
                <w:noProof/>
                <w:sz w:val="20"/>
                <w:szCs w:val="20"/>
              </w:rPr>
              <w:t>Director’s Office</w:t>
            </w:r>
          </w:p>
          <w:p w14:paraId="3C161D04" w14:textId="77777777" w:rsidR="00571E39" w:rsidRPr="00365D5A" w:rsidRDefault="00571E39" w:rsidP="00AB3DA7">
            <w:pPr>
              <w:ind w:left="252"/>
              <w:rPr>
                <w:rFonts w:ascii="Arial" w:hAnsi="Arial" w:cs="Arial"/>
                <w:sz w:val="20"/>
                <w:szCs w:val="20"/>
              </w:rPr>
            </w:pPr>
            <w:r w:rsidRPr="00045A3A">
              <w:rPr>
                <w:rFonts w:ascii="Arial" w:hAnsi="Arial" w:cs="Arial"/>
                <w:noProof/>
                <w:sz w:val="20"/>
                <w:szCs w:val="20"/>
              </w:rPr>
              <w:t>1410 N</w:t>
            </w:r>
            <w:r w:rsidR="00EA23CB">
              <w:rPr>
                <w:rFonts w:ascii="Arial" w:hAnsi="Arial" w:cs="Arial"/>
                <w:noProof/>
                <w:sz w:val="20"/>
                <w:szCs w:val="20"/>
              </w:rPr>
              <w:t>.</w:t>
            </w:r>
            <w:r w:rsidRPr="00045A3A">
              <w:rPr>
                <w:rFonts w:ascii="Arial" w:hAnsi="Arial" w:cs="Arial"/>
                <w:noProof/>
                <w:sz w:val="20"/>
                <w:szCs w:val="20"/>
              </w:rPr>
              <w:t xml:space="preserve"> Hilton</w:t>
            </w:r>
            <w:r w:rsidR="00DF095E">
              <w:rPr>
                <w:rFonts w:ascii="Arial" w:hAnsi="Arial" w:cs="Arial"/>
                <w:noProof/>
                <w:sz w:val="20"/>
                <w:szCs w:val="20"/>
              </w:rPr>
              <w:t xml:space="preserve"> St.</w:t>
            </w:r>
          </w:p>
          <w:p w14:paraId="3763E763" w14:textId="77777777" w:rsidR="00571E39" w:rsidRPr="00045A3A" w:rsidRDefault="00571E39" w:rsidP="00AB3DA7">
            <w:pPr>
              <w:ind w:left="252"/>
              <w:rPr>
                <w:rFonts w:ascii="Arial" w:hAnsi="Arial" w:cs="Arial"/>
                <w:sz w:val="20"/>
                <w:szCs w:val="20"/>
                <w:lang w:val="fr-FR"/>
              </w:rPr>
            </w:pPr>
            <w:r w:rsidRPr="00045A3A">
              <w:rPr>
                <w:rFonts w:ascii="Arial" w:hAnsi="Arial" w:cs="Arial"/>
                <w:noProof/>
                <w:sz w:val="20"/>
                <w:szCs w:val="20"/>
                <w:lang w:val="fr-FR"/>
              </w:rPr>
              <w:t>Boise</w:t>
            </w:r>
            <w:r w:rsidRPr="00045A3A">
              <w:rPr>
                <w:rFonts w:ascii="Arial" w:hAnsi="Arial" w:cs="Arial"/>
                <w:sz w:val="20"/>
                <w:szCs w:val="20"/>
                <w:lang w:val="fr-FR"/>
              </w:rPr>
              <w:t xml:space="preserve">, </w:t>
            </w:r>
            <w:r w:rsidRPr="00045A3A">
              <w:rPr>
                <w:rFonts w:ascii="Arial" w:hAnsi="Arial" w:cs="Arial"/>
                <w:noProof/>
                <w:sz w:val="20"/>
                <w:szCs w:val="20"/>
                <w:lang w:val="fr-FR"/>
              </w:rPr>
              <w:t>ID</w:t>
            </w:r>
            <w:r w:rsidRPr="00045A3A">
              <w:rPr>
                <w:rFonts w:ascii="Arial" w:hAnsi="Arial" w:cs="Arial"/>
                <w:sz w:val="20"/>
                <w:szCs w:val="20"/>
                <w:lang w:val="fr-FR"/>
              </w:rPr>
              <w:t xml:space="preserve">  </w:t>
            </w:r>
            <w:r w:rsidR="00365D5A">
              <w:rPr>
                <w:rFonts w:ascii="Arial" w:hAnsi="Arial" w:cs="Arial"/>
                <w:noProof/>
                <w:sz w:val="20"/>
                <w:szCs w:val="20"/>
                <w:lang w:val="fr-FR"/>
              </w:rPr>
              <w:t>83706</w:t>
            </w:r>
          </w:p>
          <w:p w14:paraId="0EB09F01" w14:textId="77777777" w:rsidR="001F709C" w:rsidRPr="00045A3A" w:rsidRDefault="00571E39" w:rsidP="00AB3DA7">
            <w:pPr>
              <w:ind w:left="259"/>
              <w:rPr>
                <w:rFonts w:ascii="Arial" w:hAnsi="Arial" w:cs="Arial"/>
                <w:sz w:val="20"/>
                <w:szCs w:val="20"/>
                <w:lang w:val="fr-FR"/>
              </w:rPr>
            </w:pPr>
            <w:r w:rsidRPr="00045A3A">
              <w:rPr>
                <w:rFonts w:ascii="Arial" w:hAnsi="Arial" w:cs="Arial"/>
                <w:sz w:val="20"/>
                <w:szCs w:val="20"/>
                <w:lang w:val="fr-FR"/>
              </w:rPr>
              <w:t>Phone</w:t>
            </w:r>
            <w:r w:rsidR="00F75969" w:rsidRPr="00045A3A">
              <w:rPr>
                <w:rFonts w:ascii="Arial" w:hAnsi="Arial" w:cs="Arial"/>
                <w:sz w:val="20"/>
                <w:szCs w:val="20"/>
                <w:lang w:val="fr-FR"/>
              </w:rPr>
              <w:t>: (</w:t>
            </w:r>
            <w:r w:rsidRPr="00045A3A">
              <w:rPr>
                <w:rFonts w:ascii="Arial" w:hAnsi="Arial" w:cs="Arial"/>
                <w:sz w:val="20"/>
                <w:szCs w:val="20"/>
                <w:lang w:val="fr-FR"/>
              </w:rPr>
              <w:t>208)</w:t>
            </w:r>
            <w:r w:rsidR="00D50799">
              <w:rPr>
                <w:rFonts w:ascii="Arial" w:hAnsi="Arial" w:cs="Arial"/>
                <w:sz w:val="20"/>
                <w:szCs w:val="20"/>
                <w:lang w:val="fr-FR"/>
              </w:rPr>
              <w:t xml:space="preserve"> </w:t>
            </w:r>
            <w:r w:rsidRPr="00045A3A">
              <w:rPr>
                <w:rFonts w:ascii="Arial" w:hAnsi="Arial" w:cs="Arial"/>
                <w:sz w:val="20"/>
                <w:szCs w:val="20"/>
                <w:lang w:val="fr-FR"/>
              </w:rPr>
              <w:t>373</w:t>
            </w:r>
            <w:r w:rsidR="00364FF6">
              <w:rPr>
                <w:rFonts w:ascii="Arial" w:hAnsi="Arial" w:cs="Arial"/>
                <w:sz w:val="20"/>
                <w:szCs w:val="20"/>
                <w:lang w:val="fr-FR"/>
              </w:rPr>
              <w:t>-</w:t>
            </w:r>
            <w:r w:rsidR="00E0415A">
              <w:rPr>
                <w:rFonts w:ascii="Arial" w:hAnsi="Arial" w:cs="Arial"/>
                <w:sz w:val="20"/>
                <w:szCs w:val="20"/>
                <w:lang w:val="fr-FR"/>
              </w:rPr>
              <w:t>0233</w:t>
            </w:r>
          </w:p>
          <w:p w14:paraId="28D09B44" w14:textId="77777777" w:rsidR="00571E39" w:rsidRPr="00045A3A" w:rsidRDefault="00571E39" w:rsidP="00134F58">
            <w:pPr>
              <w:ind w:left="259"/>
              <w:rPr>
                <w:rFonts w:ascii="Arial" w:hAnsi="Arial" w:cs="Arial"/>
                <w:sz w:val="20"/>
                <w:szCs w:val="20"/>
                <w:lang w:val="fr-FR"/>
              </w:rPr>
            </w:pPr>
            <w:r w:rsidRPr="00045A3A">
              <w:rPr>
                <w:rFonts w:ascii="Arial" w:hAnsi="Arial" w:cs="Arial"/>
                <w:sz w:val="20"/>
                <w:szCs w:val="20"/>
                <w:lang w:val="fr-FR"/>
              </w:rPr>
              <w:t>Email</w:t>
            </w:r>
            <w:r w:rsidR="00F75969" w:rsidRPr="00045A3A">
              <w:rPr>
                <w:rFonts w:ascii="Arial" w:hAnsi="Arial" w:cs="Arial"/>
                <w:sz w:val="20"/>
                <w:szCs w:val="20"/>
                <w:lang w:val="fr-FR"/>
              </w:rPr>
              <w:t xml:space="preserve">: </w:t>
            </w:r>
            <w:hyperlink r:id="rId8" w:history="1">
              <w:r w:rsidR="00134F58" w:rsidRPr="00134F58">
                <w:rPr>
                  <w:rStyle w:val="Hyperlink"/>
                  <w:rFonts w:ascii="Arial" w:hAnsi="Arial" w:cs="Arial"/>
                  <w:sz w:val="20"/>
                  <w:szCs w:val="20"/>
                  <w:lang w:val="fr-FR"/>
                </w:rPr>
                <w:t>jill.white@deq.idaho.gov</w:t>
              </w:r>
            </w:hyperlink>
            <w:r w:rsidR="00A27EE6">
              <w:rPr>
                <w:rFonts w:ascii="Arial" w:hAnsi="Arial" w:cs="Arial"/>
                <w:sz w:val="20"/>
                <w:szCs w:val="20"/>
                <w:lang w:val="fr-FR"/>
              </w:rPr>
              <w:t xml:space="preserve"> </w:t>
            </w:r>
          </w:p>
        </w:tc>
      </w:tr>
    </w:tbl>
    <w:p w14:paraId="110CBCFB" w14:textId="77777777" w:rsidR="00544343" w:rsidRPr="00045A3A" w:rsidRDefault="00544343" w:rsidP="00AA1160">
      <w:pPr>
        <w:jc w:val="both"/>
        <w:rPr>
          <w:rFonts w:ascii="Arial" w:hAnsi="Arial" w:cs="Arial"/>
          <w:sz w:val="20"/>
          <w:szCs w:val="20"/>
          <w:lang w:val="fr-FR"/>
        </w:rPr>
      </w:pPr>
    </w:p>
    <w:sectPr w:rsidR="00544343" w:rsidRPr="00045A3A" w:rsidSect="009A7FF3">
      <w:headerReference w:type="default" r:id="rId9"/>
      <w:footerReference w:type="even" r:id="rId10"/>
      <w:footerReference w:type="default" r:id="rId11"/>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34A8" w14:textId="77777777" w:rsidR="0023066C" w:rsidRDefault="0023066C">
      <w:r>
        <w:separator/>
      </w:r>
    </w:p>
  </w:endnote>
  <w:endnote w:type="continuationSeparator" w:id="0">
    <w:p w14:paraId="458FCBAC" w14:textId="77777777" w:rsidR="0023066C" w:rsidRDefault="0023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0153" w14:textId="77777777" w:rsidR="00AA35B2" w:rsidRDefault="00AA35B2" w:rsidP="005467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DB4B5" w14:textId="77777777" w:rsidR="00AA35B2" w:rsidRDefault="00AA35B2" w:rsidP="001E7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66797"/>
      <w:docPartObj>
        <w:docPartGallery w:val="Page Numbers (Bottom of Page)"/>
        <w:docPartUnique/>
      </w:docPartObj>
    </w:sdtPr>
    <w:sdtEndPr>
      <w:rPr>
        <w:noProof/>
      </w:rPr>
    </w:sdtEndPr>
    <w:sdtContent>
      <w:p w14:paraId="17FDE24C" w14:textId="77777777" w:rsidR="00AA35B2" w:rsidRPr="004D30C9" w:rsidRDefault="00AA35B2" w:rsidP="00E818DC">
        <w:pPr>
          <w:pStyle w:val="Footer"/>
          <w:tabs>
            <w:tab w:val="clear" w:pos="4320"/>
            <w:tab w:val="clear" w:pos="8640"/>
            <w:tab w:val="center" w:pos="4680"/>
            <w:tab w:val="right" w:pos="10080"/>
          </w:tabs>
          <w:rPr>
            <w:rFonts w:ascii="Arial" w:hAnsi="Arial" w:cs="Arial"/>
            <w:sz w:val="20"/>
            <w:szCs w:val="20"/>
          </w:rPr>
        </w:pPr>
      </w:p>
      <w:p w14:paraId="01DF43AC" w14:textId="77777777" w:rsidR="00AA35B2" w:rsidRPr="00E818DC" w:rsidRDefault="00AA35B2" w:rsidP="00E818DC">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9B7686">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AF8B" w14:textId="77777777" w:rsidR="0023066C" w:rsidRDefault="0023066C">
      <w:r>
        <w:separator/>
      </w:r>
    </w:p>
  </w:footnote>
  <w:footnote w:type="continuationSeparator" w:id="0">
    <w:p w14:paraId="1A698F04" w14:textId="77777777" w:rsidR="0023066C" w:rsidRDefault="0023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44" w:type="dxa"/>
      <w:tblBorders>
        <w:insideH w:val="single" w:sz="4" w:space="0" w:color="auto"/>
        <w:insideV w:val="single" w:sz="4" w:space="0" w:color="auto"/>
      </w:tblBorders>
      <w:tblLook w:val="0000" w:firstRow="0" w:lastRow="0" w:firstColumn="0" w:lastColumn="0" w:noHBand="0" w:noVBand="0"/>
    </w:tblPr>
    <w:tblGrid>
      <w:gridCol w:w="10080"/>
    </w:tblGrid>
    <w:tr w:rsidR="00AA35B2" w14:paraId="6DA172FF" w14:textId="77777777" w:rsidTr="004A1E98">
      <w:tc>
        <w:tcPr>
          <w:tcW w:w="10080" w:type="dxa"/>
          <w:shd w:val="clear" w:color="auto" w:fill="000080"/>
        </w:tcPr>
        <w:p w14:paraId="70C917C2" w14:textId="77777777" w:rsidR="00AA35B2" w:rsidRDefault="00AA35B2" w:rsidP="004A1E98">
          <w:pPr>
            <w:tabs>
              <w:tab w:val="right" w:pos="9852"/>
            </w:tabs>
            <w:ind w:left="144"/>
            <w:rPr>
              <w:rFonts w:ascii="Arial" w:hAnsi="Arial" w:cs="Arial"/>
              <w:color w:val="FFFFFF"/>
            </w:rPr>
          </w:pPr>
          <w:r>
            <w:rPr>
              <w:rFonts w:ascii="Arial" w:hAnsi="Arial" w:cs="Arial"/>
              <w:b/>
              <w:bCs/>
              <w:noProof/>
              <w:color w:val="FFFFFF"/>
            </w:rPr>
            <w:t>Environmental Quality, Department of</w:t>
          </w:r>
          <w:r>
            <w:rPr>
              <w:rFonts w:ascii="Arial" w:hAnsi="Arial" w:cs="Arial"/>
              <w:b/>
              <w:bCs/>
              <w:color w:val="FFFFFF"/>
            </w:rPr>
            <w:tab/>
          </w:r>
          <w:r>
            <w:rPr>
              <w:rFonts w:ascii="Arial" w:hAnsi="Arial" w:cs="Arial"/>
              <w:color w:val="FFFFFF"/>
            </w:rPr>
            <w:t>Performance Report</w:t>
          </w:r>
        </w:p>
      </w:tc>
    </w:tr>
    <w:tr w:rsidR="00AA35B2" w14:paraId="67EC3E8B" w14:textId="77777777" w:rsidTr="004A1E98">
      <w:trPr>
        <w:trHeight w:hRule="exact" w:val="90"/>
      </w:trPr>
      <w:tc>
        <w:tcPr>
          <w:tcW w:w="10080" w:type="dxa"/>
          <w:tcBorders>
            <w:top w:val="nil"/>
            <w:bottom w:val="single" w:sz="4" w:space="0" w:color="auto"/>
          </w:tcBorders>
        </w:tcPr>
        <w:p w14:paraId="65C594D9" w14:textId="77777777" w:rsidR="00AA35B2" w:rsidRDefault="00AA35B2" w:rsidP="003B5804"/>
      </w:tc>
    </w:tr>
    <w:tr w:rsidR="00AA35B2" w14:paraId="3C7AA13F" w14:textId="77777777" w:rsidTr="004A1E98">
      <w:tc>
        <w:tcPr>
          <w:tcW w:w="10080" w:type="dxa"/>
          <w:tcBorders>
            <w:top w:val="single" w:sz="4" w:space="0" w:color="auto"/>
            <w:bottom w:val="nil"/>
          </w:tcBorders>
          <w:shd w:val="clear" w:color="auto" w:fill="000080"/>
        </w:tcPr>
        <w:p w14:paraId="6D28420B" w14:textId="77777777" w:rsidR="00AA35B2" w:rsidRPr="00D51965" w:rsidRDefault="00AA35B2" w:rsidP="003B5804">
          <w:pPr>
            <w:rPr>
              <w:rFonts w:ascii="Arial" w:hAnsi="Arial" w:cs="Arial"/>
            </w:rPr>
          </w:pPr>
        </w:p>
      </w:tc>
    </w:tr>
  </w:tbl>
  <w:p w14:paraId="4788D477" w14:textId="77777777" w:rsidR="00AA35B2" w:rsidRPr="00A52365" w:rsidRDefault="00AA35B2" w:rsidP="0057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44"/>
    <w:multiLevelType w:val="hybridMultilevel"/>
    <w:tmpl w:val="260C01B4"/>
    <w:lvl w:ilvl="0" w:tplc="7EBA1B2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018E9"/>
    <w:multiLevelType w:val="hybridMultilevel"/>
    <w:tmpl w:val="A3B8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B46D6"/>
    <w:multiLevelType w:val="multilevel"/>
    <w:tmpl w:val="1B8C5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B7C28"/>
    <w:multiLevelType w:val="hybridMultilevel"/>
    <w:tmpl w:val="BFD4B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264E3"/>
    <w:multiLevelType w:val="hybridMultilevel"/>
    <w:tmpl w:val="65028F64"/>
    <w:lvl w:ilvl="0" w:tplc="57109B56">
      <w:start w:val="1"/>
      <w:numFmt w:val="bullet"/>
      <w:lvlText w:val="■"/>
      <w:lvlJc w:val="left"/>
      <w:pPr>
        <w:tabs>
          <w:tab w:val="num" w:pos="720"/>
        </w:tabs>
        <w:ind w:left="720" w:hanging="360"/>
      </w:pPr>
      <w:rPr>
        <w:rFonts w:ascii="Arial" w:hAnsi="Arial" w:hint="default"/>
        <w:b w:val="0"/>
        <w:i w:val="0"/>
        <w:color w:val="000000"/>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92AB5"/>
    <w:multiLevelType w:val="hybridMultilevel"/>
    <w:tmpl w:val="FD66BC0A"/>
    <w:lvl w:ilvl="0" w:tplc="57109B56">
      <w:start w:val="1"/>
      <w:numFmt w:val="bullet"/>
      <w:lvlText w:val="■"/>
      <w:lvlJc w:val="left"/>
      <w:pPr>
        <w:tabs>
          <w:tab w:val="num" w:pos="720"/>
        </w:tabs>
        <w:ind w:left="720" w:hanging="360"/>
      </w:pPr>
      <w:rPr>
        <w:rFonts w:ascii="Arial" w:hAnsi="Arial" w:hint="default"/>
        <w:b w:val="0"/>
        <w:i w:val="0"/>
        <w:color w:val="000000"/>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D33A9"/>
    <w:multiLevelType w:val="multilevel"/>
    <w:tmpl w:val="15EC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D6624"/>
    <w:multiLevelType w:val="hybridMultilevel"/>
    <w:tmpl w:val="A496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F839EB"/>
    <w:multiLevelType w:val="hybridMultilevel"/>
    <w:tmpl w:val="CB76168E"/>
    <w:lvl w:ilvl="0" w:tplc="ED00B9FE">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1D2D070B"/>
    <w:multiLevelType w:val="hybridMultilevel"/>
    <w:tmpl w:val="F9166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C3A6F"/>
    <w:multiLevelType w:val="multilevel"/>
    <w:tmpl w:val="CE4E3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1D46DA"/>
    <w:multiLevelType w:val="hybridMultilevel"/>
    <w:tmpl w:val="B120C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2B47BF"/>
    <w:multiLevelType w:val="hybridMultilevel"/>
    <w:tmpl w:val="67B04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D5686"/>
    <w:multiLevelType w:val="multilevel"/>
    <w:tmpl w:val="332C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E1146"/>
    <w:multiLevelType w:val="hybridMultilevel"/>
    <w:tmpl w:val="889AE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B3207"/>
    <w:multiLevelType w:val="hybridMultilevel"/>
    <w:tmpl w:val="EDAA2852"/>
    <w:lvl w:ilvl="0" w:tplc="006A456E">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F3049CF"/>
    <w:multiLevelType w:val="multilevel"/>
    <w:tmpl w:val="FD66BC0A"/>
    <w:lvl w:ilvl="0">
      <w:start w:val="1"/>
      <w:numFmt w:val="bullet"/>
      <w:lvlText w:val="■"/>
      <w:lvlJc w:val="left"/>
      <w:pPr>
        <w:tabs>
          <w:tab w:val="num" w:pos="720"/>
        </w:tabs>
        <w:ind w:left="720" w:hanging="360"/>
      </w:pPr>
      <w:rPr>
        <w:rFonts w:ascii="Arial" w:hAnsi="Arial" w:hint="default"/>
        <w:b w:val="0"/>
        <w:i w:val="0"/>
        <w:color w:val="000000"/>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676AB"/>
    <w:multiLevelType w:val="hybridMultilevel"/>
    <w:tmpl w:val="9D2E8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15C1DA9"/>
    <w:multiLevelType w:val="hybridMultilevel"/>
    <w:tmpl w:val="5E1CE65A"/>
    <w:lvl w:ilvl="0" w:tplc="ED5C6B56">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41F47405"/>
    <w:multiLevelType w:val="hybridMultilevel"/>
    <w:tmpl w:val="82BCC55A"/>
    <w:lvl w:ilvl="0" w:tplc="3F506EC8">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44187F85"/>
    <w:multiLevelType w:val="multilevel"/>
    <w:tmpl w:val="E7009318"/>
    <w:lvl w:ilvl="0">
      <w:start w:val="1"/>
      <w:numFmt w:val="bullet"/>
      <w:lvlText w:val="■"/>
      <w:lvlJc w:val="left"/>
      <w:pPr>
        <w:tabs>
          <w:tab w:val="num" w:pos="840"/>
        </w:tabs>
        <w:ind w:left="840" w:hanging="360"/>
      </w:pPr>
      <w:rPr>
        <w:rFonts w:ascii="Arial" w:hAnsi="Arial" w:hint="default"/>
        <w:b w:val="0"/>
        <w:i w:val="0"/>
        <w:color w:val="000000"/>
        <w:sz w:val="16"/>
        <w:szCs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21" w15:restartNumberingAfterBreak="0">
    <w:nsid w:val="4533005F"/>
    <w:multiLevelType w:val="hybridMultilevel"/>
    <w:tmpl w:val="423EC4D6"/>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006EF"/>
    <w:multiLevelType w:val="multilevel"/>
    <w:tmpl w:val="4A482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7E67D13"/>
    <w:multiLevelType w:val="multilevel"/>
    <w:tmpl w:val="1B8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125A3"/>
    <w:multiLevelType w:val="hybridMultilevel"/>
    <w:tmpl w:val="4B22B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6122A7A"/>
    <w:multiLevelType w:val="hybridMultilevel"/>
    <w:tmpl w:val="8318BE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629284F"/>
    <w:multiLevelType w:val="multilevel"/>
    <w:tmpl w:val="E4AA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079D0"/>
    <w:multiLevelType w:val="multilevel"/>
    <w:tmpl w:val="D878089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105190"/>
    <w:multiLevelType w:val="hybridMultilevel"/>
    <w:tmpl w:val="7FE03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73702C"/>
    <w:multiLevelType w:val="hybridMultilevel"/>
    <w:tmpl w:val="ECE0D048"/>
    <w:lvl w:ilvl="0" w:tplc="F50C7D1E">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146B6B"/>
    <w:multiLevelType w:val="multilevel"/>
    <w:tmpl w:val="FD66BC0A"/>
    <w:lvl w:ilvl="0">
      <w:start w:val="1"/>
      <w:numFmt w:val="bullet"/>
      <w:lvlText w:val="■"/>
      <w:lvlJc w:val="left"/>
      <w:pPr>
        <w:tabs>
          <w:tab w:val="num" w:pos="720"/>
        </w:tabs>
        <w:ind w:left="720" w:hanging="360"/>
      </w:pPr>
      <w:rPr>
        <w:rFonts w:ascii="Arial" w:hAnsi="Arial" w:hint="default"/>
        <w:b w:val="0"/>
        <w:i w:val="0"/>
        <w:color w:val="000000"/>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2505D"/>
    <w:multiLevelType w:val="hybridMultilevel"/>
    <w:tmpl w:val="C714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83FB1"/>
    <w:multiLevelType w:val="hybridMultilevel"/>
    <w:tmpl w:val="4F3C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078C2"/>
    <w:multiLevelType w:val="hybridMultilevel"/>
    <w:tmpl w:val="8BF6F936"/>
    <w:lvl w:ilvl="0" w:tplc="11FA0178">
      <w:start w:val="1"/>
      <w:numFmt w:val="decimal"/>
      <w:lvlText w:val="%1."/>
      <w:lvlJc w:val="left"/>
      <w:pPr>
        <w:tabs>
          <w:tab w:val="num" w:pos="2160"/>
        </w:tabs>
        <w:ind w:left="2160" w:hanging="360"/>
      </w:pPr>
      <w:rPr>
        <w:rFonts w:hint="default"/>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70955C4B"/>
    <w:multiLevelType w:val="multilevel"/>
    <w:tmpl w:val="1B8C5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038E4"/>
    <w:multiLevelType w:val="multilevel"/>
    <w:tmpl w:val="A6D2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30725"/>
    <w:multiLevelType w:val="multilevel"/>
    <w:tmpl w:val="E4AAF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4231D"/>
    <w:multiLevelType w:val="multilevel"/>
    <w:tmpl w:val="7FE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A2525"/>
    <w:multiLevelType w:val="hybridMultilevel"/>
    <w:tmpl w:val="EFC884CA"/>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B3161"/>
    <w:multiLevelType w:val="multilevel"/>
    <w:tmpl w:val="36E66428"/>
    <w:lvl w:ilvl="0">
      <w:start w:val="1"/>
      <w:numFmt w:val="bullet"/>
      <w:lvlText w:val="■"/>
      <w:lvlJc w:val="left"/>
      <w:pPr>
        <w:tabs>
          <w:tab w:val="num" w:pos="720"/>
        </w:tabs>
        <w:ind w:left="720" w:hanging="360"/>
      </w:pPr>
      <w:rPr>
        <w:rFonts w:ascii="Arial" w:hAnsi="Arial" w:hint="default"/>
        <w:b w:val="0"/>
        <w:i w:val="0"/>
        <w:color w:val="000000"/>
        <w:sz w:val="16"/>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3A1296"/>
    <w:multiLevelType w:val="multilevel"/>
    <w:tmpl w:val="FD66BC0A"/>
    <w:lvl w:ilvl="0">
      <w:start w:val="1"/>
      <w:numFmt w:val="bullet"/>
      <w:lvlText w:val="■"/>
      <w:lvlJc w:val="left"/>
      <w:pPr>
        <w:tabs>
          <w:tab w:val="num" w:pos="720"/>
        </w:tabs>
        <w:ind w:left="720" w:hanging="360"/>
      </w:pPr>
      <w:rPr>
        <w:rFonts w:ascii="Arial" w:hAnsi="Arial" w:hint="default"/>
        <w:b w:val="0"/>
        <w:i w:val="0"/>
        <w:color w:val="000000"/>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43F31"/>
    <w:multiLevelType w:val="hybridMultilevel"/>
    <w:tmpl w:val="12D86C8E"/>
    <w:lvl w:ilvl="0" w:tplc="F4A0495A">
      <w:start w:val="1"/>
      <w:numFmt w:val="bullet"/>
      <w:lvlText w:val="•"/>
      <w:lvlJc w:val="left"/>
      <w:pPr>
        <w:tabs>
          <w:tab w:val="num" w:pos="720"/>
        </w:tabs>
        <w:ind w:left="720" w:hanging="360"/>
      </w:pPr>
      <w:rPr>
        <w:rFonts w:ascii="Times New Roman" w:hAnsi="Times New Roman" w:hint="default"/>
      </w:rPr>
    </w:lvl>
    <w:lvl w:ilvl="1" w:tplc="504CE838" w:tentative="1">
      <w:start w:val="1"/>
      <w:numFmt w:val="bullet"/>
      <w:lvlText w:val="•"/>
      <w:lvlJc w:val="left"/>
      <w:pPr>
        <w:tabs>
          <w:tab w:val="num" w:pos="1440"/>
        </w:tabs>
        <w:ind w:left="1440" w:hanging="360"/>
      </w:pPr>
      <w:rPr>
        <w:rFonts w:ascii="Times New Roman" w:hAnsi="Times New Roman" w:hint="default"/>
      </w:rPr>
    </w:lvl>
    <w:lvl w:ilvl="2" w:tplc="54640214" w:tentative="1">
      <w:start w:val="1"/>
      <w:numFmt w:val="bullet"/>
      <w:lvlText w:val="•"/>
      <w:lvlJc w:val="left"/>
      <w:pPr>
        <w:tabs>
          <w:tab w:val="num" w:pos="2160"/>
        </w:tabs>
        <w:ind w:left="2160" w:hanging="360"/>
      </w:pPr>
      <w:rPr>
        <w:rFonts w:ascii="Times New Roman" w:hAnsi="Times New Roman" w:hint="default"/>
      </w:rPr>
    </w:lvl>
    <w:lvl w:ilvl="3" w:tplc="F0E04570" w:tentative="1">
      <w:start w:val="1"/>
      <w:numFmt w:val="bullet"/>
      <w:lvlText w:val="•"/>
      <w:lvlJc w:val="left"/>
      <w:pPr>
        <w:tabs>
          <w:tab w:val="num" w:pos="2880"/>
        </w:tabs>
        <w:ind w:left="2880" w:hanging="360"/>
      </w:pPr>
      <w:rPr>
        <w:rFonts w:ascii="Times New Roman" w:hAnsi="Times New Roman" w:hint="default"/>
      </w:rPr>
    </w:lvl>
    <w:lvl w:ilvl="4" w:tplc="3F1EDBFC" w:tentative="1">
      <w:start w:val="1"/>
      <w:numFmt w:val="bullet"/>
      <w:lvlText w:val="•"/>
      <w:lvlJc w:val="left"/>
      <w:pPr>
        <w:tabs>
          <w:tab w:val="num" w:pos="3600"/>
        </w:tabs>
        <w:ind w:left="3600" w:hanging="360"/>
      </w:pPr>
      <w:rPr>
        <w:rFonts w:ascii="Times New Roman" w:hAnsi="Times New Roman" w:hint="default"/>
      </w:rPr>
    </w:lvl>
    <w:lvl w:ilvl="5" w:tplc="E8D4C686" w:tentative="1">
      <w:start w:val="1"/>
      <w:numFmt w:val="bullet"/>
      <w:lvlText w:val="•"/>
      <w:lvlJc w:val="left"/>
      <w:pPr>
        <w:tabs>
          <w:tab w:val="num" w:pos="4320"/>
        </w:tabs>
        <w:ind w:left="4320" w:hanging="360"/>
      </w:pPr>
      <w:rPr>
        <w:rFonts w:ascii="Times New Roman" w:hAnsi="Times New Roman" w:hint="default"/>
      </w:rPr>
    </w:lvl>
    <w:lvl w:ilvl="6" w:tplc="8006FDA6" w:tentative="1">
      <w:start w:val="1"/>
      <w:numFmt w:val="bullet"/>
      <w:lvlText w:val="•"/>
      <w:lvlJc w:val="left"/>
      <w:pPr>
        <w:tabs>
          <w:tab w:val="num" w:pos="5040"/>
        </w:tabs>
        <w:ind w:left="5040" w:hanging="360"/>
      </w:pPr>
      <w:rPr>
        <w:rFonts w:ascii="Times New Roman" w:hAnsi="Times New Roman" w:hint="default"/>
      </w:rPr>
    </w:lvl>
    <w:lvl w:ilvl="7" w:tplc="51943556" w:tentative="1">
      <w:start w:val="1"/>
      <w:numFmt w:val="bullet"/>
      <w:lvlText w:val="•"/>
      <w:lvlJc w:val="left"/>
      <w:pPr>
        <w:tabs>
          <w:tab w:val="num" w:pos="5760"/>
        </w:tabs>
        <w:ind w:left="5760" w:hanging="360"/>
      </w:pPr>
      <w:rPr>
        <w:rFonts w:ascii="Times New Roman" w:hAnsi="Times New Roman" w:hint="default"/>
      </w:rPr>
    </w:lvl>
    <w:lvl w:ilvl="8" w:tplc="AD8658DC" w:tentative="1">
      <w:start w:val="1"/>
      <w:numFmt w:val="bullet"/>
      <w:lvlText w:val="•"/>
      <w:lvlJc w:val="left"/>
      <w:pPr>
        <w:tabs>
          <w:tab w:val="num" w:pos="6480"/>
        </w:tabs>
        <w:ind w:left="6480" w:hanging="360"/>
      </w:pPr>
      <w:rPr>
        <w:rFonts w:ascii="Times New Roman" w:hAnsi="Times New Roman" w:hint="default"/>
      </w:rPr>
    </w:lvl>
  </w:abstractNum>
  <w:num w:numId="1" w16cid:durableId="2047486958">
    <w:abstractNumId w:val="27"/>
  </w:num>
  <w:num w:numId="2" w16cid:durableId="273945076">
    <w:abstractNumId w:val="13"/>
  </w:num>
  <w:num w:numId="3" w16cid:durableId="1188787448">
    <w:abstractNumId w:val="36"/>
  </w:num>
  <w:num w:numId="4" w16cid:durableId="1841000941">
    <w:abstractNumId w:val="23"/>
  </w:num>
  <w:num w:numId="5" w16cid:durableId="1188447817">
    <w:abstractNumId w:val="24"/>
  </w:num>
  <w:num w:numId="6" w16cid:durableId="86464716">
    <w:abstractNumId w:val="38"/>
  </w:num>
  <w:num w:numId="7" w16cid:durableId="547301937">
    <w:abstractNumId w:val="5"/>
  </w:num>
  <w:num w:numId="8" w16cid:durableId="463043735">
    <w:abstractNumId w:val="34"/>
  </w:num>
  <w:num w:numId="9" w16cid:durableId="432626674">
    <w:abstractNumId w:val="3"/>
  </w:num>
  <w:num w:numId="10" w16cid:durableId="1413118862">
    <w:abstractNumId w:val="31"/>
  </w:num>
  <w:num w:numId="11" w16cid:durableId="467356971">
    <w:abstractNumId w:val="4"/>
  </w:num>
  <w:num w:numId="12" w16cid:durableId="1733770562">
    <w:abstractNumId w:val="37"/>
  </w:num>
  <w:num w:numId="13" w16cid:durableId="1136678491">
    <w:abstractNumId w:val="20"/>
  </w:num>
  <w:num w:numId="14" w16cid:durableId="1280338518">
    <w:abstractNumId w:val="16"/>
  </w:num>
  <w:num w:numId="15" w16cid:durableId="1107044206">
    <w:abstractNumId w:val="41"/>
  </w:num>
  <w:num w:numId="16" w16cid:durableId="840966555">
    <w:abstractNumId w:val="2"/>
  </w:num>
  <w:num w:numId="17" w16cid:durableId="328221099">
    <w:abstractNumId w:val="35"/>
  </w:num>
  <w:num w:numId="18" w16cid:durableId="692995087">
    <w:abstractNumId w:val="40"/>
  </w:num>
  <w:num w:numId="19" w16cid:durableId="1963684112">
    <w:abstractNumId w:val="15"/>
  </w:num>
  <w:num w:numId="20" w16cid:durableId="1027292961">
    <w:abstractNumId w:val="11"/>
  </w:num>
  <w:num w:numId="21" w16cid:durableId="8254341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1745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5265860">
    <w:abstractNumId w:val="6"/>
  </w:num>
  <w:num w:numId="24" w16cid:durableId="2048678615">
    <w:abstractNumId w:val="18"/>
  </w:num>
  <w:num w:numId="25" w16cid:durableId="1045912853">
    <w:abstractNumId w:val="30"/>
  </w:num>
  <w:num w:numId="26" w16cid:durableId="306251945">
    <w:abstractNumId w:val="8"/>
  </w:num>
  <w:num w:numId="27" w16cid:durableId="1836147618">
    <w:abstractNumId w:val="19"/>
  </w:num>
  <w:num w:numId="28" w16cid:durableId="548616190">
    <w:abstractNumId w:val="0"/>
  </w:num>
  <w:num w:numId="29" w16cid:durableId="1767145320">
    <w:abstractNumId w:val="12"/>
  </w:num>
  <w:num w:numId="30" w16cid:durableId="1352031607">
    <w:abstractNumId w:val="21"/>
  </w:num>
  <w:num w:numId="31" w16cid:durableId="1751343315">
    <w:abstractNumId w:val="39"/>
  </w:num>
  <w:num w:numId="32" w16cid:durableId="1604336426">
    <w:abstractNumId w:val="9"/>
  </w:num>
  <w:num w:numId="33" w16cid:durableId="1797092929">
    <w:abstractNumId w:val="14"/>
  </w:num>
  <w:num w:numId="34" w16cid:durableId="1390303357">
    <w:abstractNumId w:val="7"/>
  </w:num>
  <w:num w:numId="35" w16cid:durableId="1968317790">
    <w:abstractNumId w:val="29"/>
  </w:num>
  <w:num w:numId="36" w16cid:durableId="31267200">
    <w:abstractNumId w:val="1"/>
  </w:num>
  <w:num w:numId="37" w16cid:durableId="1412698061">
    <w:abstractNumId w:val="25"/>
  </w:num>
  <w:num w:numId="38" w16cid:durableId="294994029">
    <w:abstractNumId w:val="33"/>
  </w:num>
  <w:num w:numId="39" w16cid:durableId="1097403068">
    <w:abstractNumId w:val="42"/>
  </w:num>
  <w:num w:numId="40" w16cid:durableId="1923375298">
    <w:abstractNumId w:val="32"/>
  </w:num>
  <w:num w:numId="41" w16cid:durableId="1587808760">
    <w:abstractNumId w:val="17"/>
  </w:num>
  <w:num w:numId="42" w16cid:durableId="2066877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55369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EE4"/>
    <w:rsid w:val="00000C79"/>
    <w:rsid w:val="00000FD1"/>
    <w:rsid w:val="000013C6"/>
    <w:rsid w:val="00003724"/>
    <w:rsid w:val="000048CD"/>
    <w:rsid w:val="000054E3"/>
    <w:rsid w:val="0000560E"/>
    <w:rsid w:val="00006A94"/>
    <w:rsid w:val="00006B3C"/>
    <w:rsid w:val="00007A0B"/>
    <w:rsid w:val="000104F2"/>
    <w:rsid w:val="00010828"/>
    <w:rsid w:val="00010CA2"/>
    <w:rsid w:val="00011D44"/>
    <w:rsid w:val="000122A7"/>
    <w:rsid w:val="000143A4"/>
    <w:rsid w:val="00014771"/>
    <w:rsid w:val="000159B6"/>
    <w:rsid w:val="00016A07"/>
    <w:rsid w:val="00016DB4"/>
    <w:rsid w:val="00016F6D"/>
    <w:rsid w:val="00017142"/>
    <w:rsid w:val="00017EE3"/>
    <w:rsid w:val="0002120D"/>
    <w:rsid w:val="00021B26"/>
    <w:rsid w:val="00022073"/>
    <w:rsid w:val="00022E94"/>
    <w:rsid w:val="0002360B"/>
    <w:rsid w:val="0002362A"/>
    <w:rsid w:val="00023A7E"/>
    <w:rsid w:val="00027B74"/>
    <w:rsid w:val="00031FC6"/>
    <w:rsid w:val="00033FFF"/>
    <w:rsid w:val="000346B0"/>
    <w:rsid w:val="000357AA"/>
    <w:rsid w:val="00036ECC"/>
    <w:rsid w:val="0003795A"/>
    <w:rsid w:val="000405E7"/>
    <w:rsid w:val="00040AF3"/>
    <w:rsid w:val="00041007"/>
    <w:rsid w:val="0004137A"/>
    <w:rsid w:val="000424C6"/>
    <w:rsid w:val="00043A47"/>
    <w:rsid w:val="00044276"/>
    <w:rsid w:val="00044404"/>
    <w:rsid w:val="00044B43"/>
    <w:rsid w:val="000451CC"/>
    <w:rsid w:val="00045A3A"/>
    <w:rsid w:val="00046079"/>
    <w:rsid w:val="00046EA8"/>
    <w:rsid w:val="00047122"/>
    <w:rsid w:val="00047DEB"/>
    <w:rsid w:val="00050C31"/>
    <w:rsid w:val="000514BA"/>
    <w:rsid w:val="000515CD"/>
    <w:rsid w:val="00052964"/>
    <w:rsid w:val="000542E3"/>
    <w:rsid w:val="00055627"/>
    <w:rsid w:val="00055F5F"/>
    <w:rsid w:val="00056892"/>
    <w:rsid w:val="00056F20"/>
    <w:rsid w:val="000608FD"/>
    <w:rsid w:val="000617B0"/>
    <w:rsid w:val="000618E7"/>
    <w:rsid w:val="0006237C"/>
    <w:rsid w:val="0006263A"/>
    <w:rsid w:val="00062743"/>
    <w:rsid w:val="00062FC8"/>
    <w:rsid w:val="00063BFF"/>
    <w:rsid w:val="00063F89"/>
    <w:rsid w:val="00064569"/>
    <w:rsid w:val="0006457F"/>
    <w:rsid w:val="00064AC8"/>
    <w:rsid w:val="0006575B"/>
    <w:rsid w:val="00067E31"/>
    <w:rsid w:val="00070419"/>
    <w:rsid w:val="00070443"/>
    <w:rsid w:val="00071A39"/>
    <w:rsid w:val="00071CD5"/>
    <w:rsid w:val="00073B21"/>
    <w:rsid w:val="00075201"/>
    <w:rsid w:val="00076289"/>
    <w:rsid w:val="00076328"/>
    <w:rsid w:val="00076B18"/>
    <w:rsid w:val="0008112F"/>
    <w:rsid w:val="00081D04"/>
    <w:rsid w:val="000832F3"/>
    <w:rsid w:val="000856BD"/>
    <w:rsid w:val="00085FDF"/>
    <w:rsid w:val="00090CE0"/>
    <w:rsid w:val="00091C2D"/>
    <w:rsid w:val="00093144"/>
    <w:rsid w:val="00093770"/>
    <w:rsid w:val="000937CF"/>
    <w:rsid w:val="000940AE"/>
    <w:rsid w:val="0009507F"/>
    <w:rsid w:val="000957A3"/>
    <w:rsid w:val="00095FDF"/>
    <w:rsid w:val="0009688B"/>
    <w:rsid w:val="00097160"/>
    <w:rsid w:val="000A0430"/>
    <w:rsid w:val="000A2906"/>
    <w:rsid w:val="000A4567"/>
    <w:rsid w:val="000A5580"/>
    <w:rsid w:val="000A579F"/>
    <w:rsid w:val="000A58AA"/>
    <w:rsid w:val="000A59C9"/>
    <w:rsid w:val="000A62C7"/>
    <w:rsid w:val="000A78CA"/>
    <w:rsid w:val="000A7CCD"/>
    <w:rsid w:val="000B015E"/>
    <w:rsid w:val="000B074D"/>
    <w:rsid w:val="000B2526"/>
    <w:rsid w:val="000B283E"/>
    <w:rsid w:val="000B44A7"/>
    <w:rsid w:val="000B4AB9"/>
    <w:rsid w:val="000B4DB9"/>
    <w:rsid w:val="000B5567"/>
    <w:rsid w:val="000B5EDF"/>
    <w:rsid w:val="000B6132"/>
    <w:rsid w:val="000B7AC0"/>
    <w:rsid w:val="000C001E"/>
    <w:rsid w:val="000C0BE2"/>
    <w:rsid w:val="000C0ECD"/>
    <w:rsid w:val="000C1953"/>
    <w:rsid w:val="000C1959"/>
    <w:rsid w:val="000C1BC9"/>
    <w:rsid w:val="000C25ED"/>
    <w:rsid w:val="000C29C5"/>
    <w:rsid w:val="000C3918"/>
    <w:rsid w:val="000C5EFB"/>
    <w:rsid w:val="000C6225"/>
    <w:rsid w:val="000C6FD4"/>
    <w:rsid w:val="000C77FF"/>
    <w:rsid w:val="000C7800"/>
    <w:rsid w:val="000C7D89"/>
    <w:rsid w:val="000D0ABC"/>
    <w:rsid w:val="000D0CE6"/>
    <w:rsid w:val="000D160C"/>
    <w:rsid w:val="000D1972"/>
    <w:rsid w:val="000D2995"/>
    <w:rsid w:val="000D42A0"/>
    <w:rsid w:val="000D4CE6"/>
    <w:rsid w:val="000D59F5"/>
    <w:rsid w:val="000D5A7B"/>
    <w:rsid w:val="000D6239"/>
    <w:rsid w:val="000D64EE"/>
    <w:rsid w:val="000D77DA"/>
    <w:rsid w:val="000D797A"/>
    <w:rsid w:val="000D7C11"/>
    <w:rsid w:val="000E12F5"/>
    <w:rsid w:val="000E19C0"/>
    <w:rsid w:val="000E2629"/>
    <w:rsid w:val="000E326E"/>
    <w:rsid w:val="000E374C"/>
    <w:rsid w:val="000E3A7C"/>
    <w:rsid w:val="000E4142"/>
    <w:rsid w:val="000E477A"/>
    <w:rsid w:val="000E672A"/>
    <w:rsid w:val="000E7A2D"/>
    <w:rsid w:val="000E7F9F"/>
    <w:rsid w:val="000F0073"/>
    <w:rsid w:val="000F07B7"/>
    <w:rsid w:val="000F091F"/>
    <w:rsid w:val="000F1811"/>
    <w:rsid w:val="000F1853"/>
    <w:rsid w:val="000F1DB9"/>
    <w:rsid w:val="000F313B"/>
    <w:rsid w:val="000F36FC"/>
    <w:rsid w:val="000F495B"/>
    <w:rsid w:val="000F5B6E"/>
    <w:rsid w:val="000F5C9B"/>
    <w:rsid w:val="000F6261"/>
    <w:rsid w:val="000F6848"/>
    <w:rsid w:val="001001F0"/>
    <w:rsid w:val="0010029D"/>
    <w:rsid w:val="0010061A"/>
    <w:rsid w:val="00101296"/>
    <w:rsid w:val="00101C6B"/>
    <w:rsid w:val="001024A1"/>
    <w:rsid w:val="00105516"/>
    <w:rsid w:val="00105E5B"/>
    <w:rsid w:val="0010627E"/>
    <w:rsid w:val="001067A1"/>
    <w:rsid w:val="00106A66"/>
    <w:rsid w:val="00106E2C"/>
    <w:rsid w:val="00106EAC"/>
    <w:rsid w:val="00110304"/>
    <w:rsid w:val="00110840"/>
    <w:rsid w:val="00111006"/>
    <w:rsid w:val="001117B2"/>
    <w:rsid w:val="00111974"/>
    <w:rsid w:val="00112708"/>
    <w:rsid w:val="00112F64"/>
    <w:rsid w:val="00113386"/>
    <w:rsid w:val="00113BE7"/>
    <w:rsid w:val="0011426D"/>
    <w:rsid w:val="001154E1"/>
    <w:rsid w:val="00115D2B"/>
    <w:rsid w:val="00115E02"/>
    <w:rsid w:val="001171C3"/>
    <w:rsid w:val="00117751"/>
    <w:rsid w:val="001201D1"/>
    <w:rsid w:val="00121862"/>
    <w:rsid w:val="00121A9C"/>
    <w:rsid w:val="00122176"/>
    <w:rsid w:val="0012252B"/>
    <w:rsid w:val="00123387"/>
    <w:rsid w:val="001235C9"/>
    <w:rsid w:val="00123B48"/>
    <w:rsid w:val="00124044"/>
    <w:rsid w:val="001243CA"/>
    <w:rsid w:val="001259D1"/>
    <w:rsid w:val="0012623E"/>
    <w:rsid w:val="001274DF"/>
    <w:rsid w:val="0012775D"/>
    <w:rsid w:val="00127760"/>
    <w:rsid w:val="00131820"/>
    <w:rsid w:val="00131AE7"/>
    <w:rsid w:val="00131C9C"/>
    <w:rsid w:val="00132B81"/>
    <w:rsid w:val="00134F58"/>
    <w:rsid w:val="001353BE"/>
    <w:rsid w:val="001366B0"/>
    <w:rsid w:val="00141D2F"/>
    <w:rsid w:val="00142D5E"/>
    <w:rsid w:val="001430C8"/>
    <w:rsid w:val="001433DC"/>
    <w:rsid w:val="00143F78"/>
    <w:rsid w:val="00144C9A"/>
    <w:rsid w:val="00145125"/>
    <w:rsid w:val="00145602"/>
    <w:rsid w:val="001457CE"/>
    <w:rsid w:val="00146686"/>
    <w:rsid w:val="00150DF3"/>
    <w:rsid w:val="00151662"/>
    <w:rsid w:val="00152D64"/>
    <w:rsid w:val="00152EDD"/>
    <w:rsid w:val="001535D7"/>
    <w:rsid w:val="00155052"/>
    <w:rsid w:val="00156B7B"/>
    <w:rsid w:val="00156BAF"/>
    <w:rsid w:val="00156D02"/>
    <w:rsid w:val="00157523"/>
    <w:rsid w:val="00161714"/>
    <w:rsid w:val="00162588"/>
    <w:rsid w:val="00162D25"/>
    <w:rsid w:val="001632D0"/>
    <w:rsid w:val="001645D1"/>
    <w:rsid w:val="001651FF"/>
    <w:rsid w:val="00165C8B"/>
    <w:rsid w:val="001660F8"/>
    <w:rsid w:val="00166D74"/>
    <w:rsid w:val="001700C2"/>
    <w:rsid w:val="0017010C"/>
    <w:rsid w:val="0017338F"/>
    <w:rsid w:val="00173504"/>
    <w:rsid w:val="001740B1"/>
    <w:rsid w:val="00174300"/>
    <w:rsid w:val="00175C43"/>
    <w:rsid w:val="00175C60"/>
    <w:rsid w:val="00175D5A"/>
    <w:rsid w:val="0017660B"/>
    <w:rsid w:val="00176933"/>
    <w:rsid w:val="001771D3"/>
    <w:rsid w:val="00177F1B"/>
    <w:rsid w:val="00180126"/>
    <w:rsid w:val="001802B3"/>
    <w:rsid w:val="00180B14"/>
    <w:rsid w:val="00181188"/>
    <w:rsid w:val="00183C43"/>
    <w:rsid w:val="0018429D"/>
    <w:rsid w:val="00184A0E"/>
    <w:rsid w:val="001855BF"/>
    <w:rsid w:val="00185A85"/>
    <w:rsid w:val="00186143"/>
    <w:rsid w:val="0018781E"/>
    <w:rsid w:val="00187B6E"/>
    <w:rsid w:val="00187E47"/>
    <w:rsid w:val="00190740"/>
    <w:rsid w:val="001909B9"/>
    <w:rsid w:val="00193E79"/>
    <w:rsid w:val="00195064"/>
    <w:rsid w:val="00195581"/>
    <w:rsid w:val="001969E6"/>
    <w:rsid w:val="00196F6E"/>
    <w:rsid w:val="001972DD"/>
    <w:rsid w:val="001A028B"/>
    <w:rsid w:val="001A02F5"/>
    <w:rsid w:val="001A2707"/>
    <w:rsid w:val="001A2977"/>
    <w:rsid w:val="001A529B"/>
    <w:rsid w:val="001A59EA"/>
    <w:rsid w:val="001A5F98"/>
    <w:rsid w:val="001B07F2"/>
    <w:rsid w:val="001B11E5"/>
    <w:rsid w:val="001B301E"/>
    <w:rsid w:val="001B3086"/>
    <w:rsid w:val="001B39B9"/>
    <w:rsid w:val="001B3A30"/>
    <w:rsid w:val="001B4B9C"/>
    <w:rsid w:val="001B5AAC"/>
    <w:rsid w:val="001B5E94"/>
    <w:rsid w:val="001B68F2"/>
    <w:rsid w:val="001B6D00"/>
    <w:rsid w:val="001B70C6"/>
    <w:rsid w:val="001C17AC"/>
    <w:rsid w:val="001C1ABC"/>
    <w:rsid w:val="001C3246"/>
    <w:rsid w:val="001C3A82"/>
    <w:rsid w:val="001C3D7A"/>
    <w:rsid w:val="001C4C77"/>
    <w:rsid w:val="001C542E"/>
    <w:rsid w:val="001C5829"/>
    <w:rsid w:val="001C6F5A"/>
    <w:rsid w:val="001C7014"/>
    <w:rsid w:val="001D02F7"/>
    <w:rsid w:val="001D0559"/>
    <w:rsid w:val="001D1F0B"/>
    <w:rsid w:val="001D2266"/>
    <w:rsid w:val="001D3008"/>
    <w:rsid w:val="001D30C6"/>
    <w:rsid w:val="001D3E65"/>
    <w:rsid w:val="001D5968"/>
    <w:rsid w:val="001D5D70"/>
    <w:rsid w:val="001D5D73"/>
    <w:rsid w:val="001D5FAC"/>
    <w:rsid w:val="001D6087"/>
    <w:rsid w:val="001D634F"/>
    <w:rsid w:val="001D75F4"/>
    <w:rsid w:val="001E0C6E"/>
    <w:rsid w:val="001E21A1"/>
    <w:rsid w:val="001E29FE"/>
    <w:rsid w:val="001E2D0A"/>
    <w:rsid w:val="001E2F31"/>
    <w:rsid w:val="001E346B"/>
    <w:rsid w:val="001E3AAF"/>
    <w:rsid w:val="001E4712"/>
    <w:rsid w:val="001E548E"/>
    <w:rsid w:val="001E70AB"/>
    <w:rsid w:val="001E78E5"/>
    <w:rsid w:val="001F11BB"/>
    <w:rsid w:val="001F2DC6"/>
    <w:rsid w:val="001F3008"/>
    <w:rsid w:val="001F3D72"/>
    <w:rsid w:val="001F450C"/>
    <w:rsid w:val="001F48E1"/>
    <w:rsid w:val="001F4C72"/>
    <w:rsid w:val="001F58A0"/>
    <w:rsid w:val="001F6077"/>
    <w:rsid w:val="001F6126"/>
    <w:rsid w:val="001F709C"/>
    <w:rsid w:val="001F7D47"/>
    <w:rsid w:val="002021F7"/>
    <w:rsid w:val="00203804"/>
    <w:rsid w:val="00203F6F"/>
    <w:rsid w:val="0020574E"/>
    <w:rsid w:val="002069D6"/>
    <w:rsid w:val="002073E6"/>
    <w:rsid w:val="00207CAC"/>
    <w:rsid w:val="0021033B"/>
    <w:rsid w:val="002116AC"/>
    <w:rsid w:val="00211892"/>
    <w:rsid w:val="00213401"/>
    <w:rsid w:val="00213891"/>
    <w:rsid w:val="0021460D"/>
    <w:rsid w:val="00214A39"/>
    <w:rsid w:val="00214A65"/>
    <w:rsid w:val="0021567C"/>
    <w:rsid w:val="0021617D"/>
    <w:rsid w:val="0021654A"/>
    <w:rsid w:val="00217D71"/>
    <w:rsid w:val="00220045"/>
    <w:rsid w:val="0022128F"/>
    <w:rsid w:val="00221472"/>
    <w:rsid w:val="00222920"/>
    <w:rsid w:val="002237D3"/>
    <w:rsid w:val="00223BCB"/>
    <w:rsid w:val="00224B6B"/>
    <w:rsid w:val="00224D46"/>
    <w:rsid w:val="00226F13"/>
    <w:rsid w:val="0022750E"/>
    <w:rsid w:val="0023066C"/>
    <w:rsid w:val="00230CFE"/>
    <w:rsid w:val="00231D39"/>
    <w:rsid w:val="00232983"/>
    <w:rsid w:val="00233602"/>
    <w:rsid w:val="00234452"/>
    <w:rsid w:val="00234CE0"/>
    <w:rsid w:val="0023542A"/>
    <w:rsid w:val="002369B0"/>
    <w:rsid w:val="00240853"/>
    <w:rsid w:val="00241888"/>
    <w:rsid w:val="00241D91"/>
    <w:rsid w:val="00241F1A"/>
    <w:rsid w:val="0024332C"/>
    <w:rsid w:val="0024437A"/>
    <w:rsid w:val="002450A3"/>
    <w:rsid w:val="002450B3"/>
    <w:rsid w:val="00245172"/>
    <w:rsid w:val="00245888"/>
    <w:rsid w:val="00245A80"/>
    <w:rsid w:val="00246DF1"/>
    <w:rsid w:val="002476D7"/>
    <w:rsid w:val="00250112"/>
    <w:rsid w:val="00251126"/>
    <w:rsid w:val="002516A2"/>
    <w:rsid w:val="002517D9"/>
    <w:rsid w:val="00251ECF"/>
    <w:rsid w:val="00252F1A"/>
    <w:rsid w:val="002533EA"/>
    <w:rsid w:val="002533FF"/>
    <w:rsid w:val="00253410"/>
    <w:rsid w:val="00253EED"/>
    <w:rsid w:val="002548FB"/>
    <w:rsid w:val="00254C50"/>
    <w:rsid w:val="0025596A"/>
    <w:rsid w:val="002622E5"/>
    <w:rsid w:val="002629F7"/>
    <w:rsid w:val="00264377"/>
    <w:rsid w:val="0026451A"/>
    <w:rsid w:val="00264729"/>
    <w:rsid w:val="00265204"/>
    <w:rsid w:val="00265CB0"/>
    <w:rsid w:val="002668F1"/>
    <w:rsid w:val="00266AA1"/>
    <w:rsid w:val="00266E63"/>
    <w:rsid w:val="00271C04"/>
    <w:rsid w:val="002724B7"/>
    <w:rsid w:val="00272E52"/>
    <w:rsid w:val="00275B62"/>
    <w:rsid w:val="00276A37"/>
    <w:rsid w:val="002779A9"/>
    <w:rsid w:val="00277AAD"/>
    <w:rsid w:val="00280944"/>
    <w:rsid w:val="00280D0A"/>
    <w:rsid w:val="00281D13"/>
    <w:rsid w:val="0028220A"/>
    <w:rsid w:val="00282919"/>
    <w:rsid w:val="00282F2F"/>
    <w:rsid w:val="00283B6C"/>
    <w:rsid w:val="002841E3"/>
    <w:rsid w:val="00284AD7"/>
    <w:rsid w:val="0028529F"/>
    <w:rsid w:val="002853DD"/>
    <w:rsid w:val="002856C8"/>
    <w:rsid w:val="00285C83"/>
    <w:rsid w:val="00290460"/>
    <w:rsid w:val="00290D8C"/>
    <w:rsid w:val="0029183B"/>
    <w:rsid w:val="002937E6"/>
    <w:rsid w:val="00293A4B"/>
    <w:rsid w:val="0029548A"/>
    <w:rsid w:val="0029557D"/>
    <w:rsid w:val="00295911"/>
    <w:rsid w:val="002962AD"/>
    <w:rsid w:val="00296520"/>
    <w:rsid w:val="00296593"/>
    <w:rsid w:val="00297213"/>
    <w:rsid w:val="002A16F1"/>
    <w:rsid w:val="002A1983"/>
    <w:rsid w:val="002A2668"/>
    <w:rsid w:val="002A417B"/>
    <w:rsid w:val="002A428D"/>
    <w:rsid w:val="002A50DD"/>
    <w:rsid w:val="002A5598"/>
    <w:rsid w:val="002A58D9"/>
    <w:rsid w:val="002A5944"/>
    <w:rsid w:val="002A5B55"/>
    <w:rsid w:val="002A6956"/>
    <w:rsid w:val="002A6C9E"/>
    <w:rsid w:val="002A7369"/>
    <w:rsid w:val="002A7A4D"/>
    <w:rsid w:val="002B1283"/>
    <w:rsid w:val="002B1451"/>
    <w:rsid w:val="002B2C4D"/>
    <w:rsid w:val="002B5981"/>
    <w:rsid w:val="002B67B8"/>
    <w:rsid w:val="002B68E2"/>
    <w:rsid w:val="002B6F90"/>
    <w:rsid w:val="002C2A14"/>
    <w:rsid w:val="002C2D8C"/>
    <w:rsid w:val="002C3F92"/>
    <w:rsid w:val="002C4489"/>
    <w:rsid w:val="002C5CC3"/>
    <w:rsid w:val="002C7378"/>
    <w:rsid w:val="002C7707"/>
    <w:rsid w:val="002D0C4F"/>
    <w:rsid w:val="002D1513"/>
    <w:rsid w:val="002D1900"/>
    <w:rsid w:val="002D2338"/>
    <w:rsid w:val="002D4BDC"/>
    <w:rsid w:val="002D5375"/>
    <w:rsid w:val="002D646C"/>
    <w:rsid w:val="002D7950"/>
    <w:rsid w:val="002E069C"/>
    <w:rsid w:val="002E07A8"/>
    <w:rsid w:val="002E0F29"/>
    <w:rsid w:val="002E1A5D"/>
    <w:rsid w:val="002E27C1"/>
    <w:rsid w:val="002E2DF5"/>
    <w:rsid w:val="002E2EC7"/>
    <w:rsid w:val="002E2FB8"/>
    <w:rsid w:val="002E320B"/>
    <w:rsid w:val="002E4DF1"/>
    <w:rsid w:val="002E51CF"/>
    <w:rsid w:val="002E5F06"/>
    <w:rsid w:val="002E5FF4"/>
    <w:rsid w:val="002E714C"/>
    <w:rsid w:val="002E7582"/>
    <w:rsid w:val="002F06D1"/>
    <w:rsid w:val="002F0B56"/>
    <w:rsid w:val="002F0B99"/>
    <w:rsid w:val="002F1533"/>
    <w:rsid w:val="002F29EF"/>
    <w:rsid w:val="002F4CD6"/>
    <w:rsid w:val="002F5273"/>
    <w:rsid w:val="002F5988"/>
    <w:rsid w:val="002F5C7B"/>
    <w:rsid w:val="002F605D"/>
    <w:rsid w:val="002F6329"/>
    <w:rsid w:val="002F650D"/>
    <w:rsid w:val="002F66CE"/>
    <w:rsid w:val="002F6B07"/>
    <w:rsid w:val="00300BB4"/>
    <w:rsid w:val="00303F1E"/>
    <w:rsid w:val="00304BBE"/>
    <w:rsid w:val="00305197"/>
    <w:rsid w:val="0030593C"/>
    <w:rsid w:val="00307E20"/>
    <w:rsid w:val="00310269"/>
    <w:rsid w:val="00310744"/>
    <w:rsid w:val="003123A2"/>
    <w:rsid w:val="0031248E"/>
    <w:rsid w:val="00313957"/>
    <w:rsid w:val="003139A5"/>
    <w:rsid w:val="00315858"/>
    <w:rsid w:val="00317325"/>
    <w:rsid w:val="0031744E"/>
    <w:rsid w:val="003207A8"/>
    <w:rsid w:val="00321BD9"/>
    <w:rsid w:val="00322B63"/>
    <w:rsid w:val="00322BFE"/>
    <w:rsid w:val="00324067"/>
    <w:rsid w:val="00324384"/>
    <w:rsid w:val="00324C5F"/>
    <w:rsid w:val="0032547D"/>
    <w:rsid w:val="003257FB"/>
    <w:rsid w:val="00325D29"/>
    <w:rsid w:val="0032629D"/>
    <w:rsid w:val="00326A2C"/>
    <w:rsid w:val="00327319"/>
    <w:rsid w:val="00327847"/>
    <w:rsid w:val="00330158"/>
    <w:rsid w:val="003311FF"/>
    <w:rsid w:val="003320BC"/>
    <w:rsid w:val="00333CE8"/>
    <w:rsid w:val="0033494A"/>
    <w:rsid w:val="003349B4"/>
    <w:rsid w:val="00335CCD"/>
    <w:rsid w:val="00335EE7"/>
    <w:rsid w:val="00336165"/>
    <w:rsid w:val="00336806"/>
    <w:rsid w:val="00337B75"/>
    <w:rsid w:val="00340D42"/>
    <w:rsid w:val="00340E0C"/>
    <w:rsid w:val="00340E59"/>
    <w:rsid w:val="00341412"/>
    <w:rsid w:val="00341BAB"/>
    <w:rsid w:val="00341F88"/>
    <w:rsid w:val="00344909"/>
    <w:rsid w:val="00344CB4"/>
    <w:rsid w:val="00344DDC"/>
    <w:rsid w:val="00345031"/>
    <w:rsid w:val="00350493"/>
    <w:rsid w:val="00350720"/>
    <w:rsid w:val="003511E8"/>
    <w:rsid w:val="00351372"/>
    <w:rsid w:val="00351902"/>
    <w:rsid w:val="00352270"/>
    <w:rsid w:val="00355926"/>
    <w:rsid w:val="00356137"/>
    <w:rsid w:val="00356397"/>
    <w:rsid w:val="003573D0"/>
    <w:rsid w:val="003574D7"/>
    <w:rsid w:val="00357CE8"/>
    <w:rsid w:val="0036017A"/>
    <w:rsid w:val="003602AE"/>
    <w:rsid w:val="003604BE"/>
    <w:rsid w:val="00360D7B"/>
    <w:rsid w:val="00361295"/>
    <w:rsid w:val="0036171E"/>
    <w:rsid w:val="00362BDE"/>
    <w:rsid w:val="003631ED"/>
    <w:rsid w:val="0036487A"/>
    <w:rsid w:val="00364FF6"/>
    <w:rsid w:val="0036563C"/>
    <w:rsid w:val="00365D5A"/>
    <w:rsid w:val="0036624F"/>
    <w:rsid w:val="00366DD3"/>
    <w:rsid w:val="00366F5B"/>
    <w:rsid w:val="0036719F"/>
    <w:rsid w:val="003671C9"/>
    <w:rsid w:val="003673EB"/>
    <w:rsid w:val="00367D44"/>
    <w:rsid w:val="0037009D"/>
    <w:rsid w:val="00372D69"/>
    <w:rsid w:val="00372F1A"/>
    <w:rsid w:val="00373466"/>
    <w:rsid w:val="00373848"/>
    <w:rsid w:val="00373A91"/>
    <w:rsid w:val="00374202"/>
    <w:rsid w:val="003753B3"/>
    <w:rsid w:val="003761D5"/>
    <w:rsid w:val="0037727B"/>
    <w:rsid w:val="00377465"/>
    <w:rsid w:val="0037799B"/>
    <w:rsid w:val="00380131"/>
    <w:rsid w:val="0038027B"/>
    <w:rsid w:val="00380286"/>
    <w:rsid w:val="00380851"/>
    <w:rsid w:val="0038090E"/>
    <w:rsid w:val="00382922"/>
    <w:rsid w:val="003842C9"/>
    <w:rsid w:val="00384CE5"/>
    <w:rsid w:val="00387C6C"/>
    <w:rsid w:val="00390DA2"/>
    <w:rsid w:val="00393C7C"/>
    <w:rsid w:val="0039407F"/>
    <w:rsid w:val="003951D7"/>
    <w:rsid w:val="003969A5"/>
    <w:rsid w:val="00397BDE"/>
    <w:rsid w:val="003A06FE"/>
    <w:rsid w:val="003A1F5B"/>
    <w:rsid w:val="003A2C17"/>
    <w:rsid w:val="003A35DB"/>
    <w:rsid w:val="003A36A7"/>
    <w:rsid w:val="003A45E3"/>
    <w:rsid w:val="003A46CB"/>
    <w:rsid w:val="003A4D4A"/>
    <w:rsid w:val="003A4F52"/>
    <w:rsid w:val="003A601B"/>
    <w:rsid w:val="003A7B80"/>
    <w:rsid w:val="003A7F6C"/>
    <w:rsid w:val="003B236C"/>
    <w:rsid w:val="003B26BB"/>
    <w:rsid w:val="003B3B9E"/>
    <w:rsid w:val="003B4F90"/>
    <w:rsid w:val="003B5804"/>
    <w:rsid w:val="003B5D0F"/>
    <w:rsid w:val="003B639F"/>
    <w:rsid w:val="003B64F8"/>
    <w:rsid w:val="003B68CF"/>
    <w:rsid w:val="003B710C"/>
    <w:rsid w:val="003B78C2"/>
    <w:rsid w:val="003B7AFA"/>
    <w:rsid w:val="003B7B40"/>
    <w:rsid w:val="003C0334"/>
    <w:rsid w:val="003C1D93"/>
    <w:rsid w:val="003C26D8"/>
    <w:rsid w:val="003C33F9"/>
    <w:rsid w:val="003C34F4"/>
    <w:rsid w:val="003C3F03"/>
    <w:rsid w:val="003C40F2"/>
    <w:rsid w:val="003C49D0"/>
    <w:rsid w:val="003C5097"/>
    <w:rsid w:val="003C543D"/>
    <w:rsid w:val="003C6A14"/>
    <w:rsid w:val="003C71E1"/>
    <w:rsid w:val="003D19A5"/>
    <w:rsid w:val="003D5354"/>
    <w:rsid w:val="003D535A"/>
    <w:rsid w:val="003D5694"/>
    <w:rsid w:val="003D6991"/>
    <w:rsid w:val="003E1008"/>
    <w:rsid w:val="003E1B35"/>
    <w:rsid w:val="003E1EB9"/>
    <w:rsid w:val="003E2411"/>
    <w:rsid w:val="003E3AAA"/>
    <w:rsid w:val="003E4D71"/>
    <w:rsid w:val="003E6652"/>
    <w:rsid w:val="003F0A1A"/>
    <w:rsid w:val="003F1E52"/>
    <w:rsid w:val="003F1FD3"/>
    <w:rsid w:val="003F54A5"/>
    <w:rsid w:val="003F5EFA"/>
    <w:rsid w:val="004001A4"/>
    <w:rsid w:val="0040067A"/>
    <w:rsid w:val="00400837"/>
    <w:rsid w:val="004010DE"/>
    <w:rsid w:val="004013BB"/>
    <w:rsid w:val="00402651"/>
    <w:rsid w:val="00402FA0"/>
    <w:rsid w:val="00403103"/>
    <w:rsid w:val="004040A0"/>
    <w:rsid w:val="00406016"/>
    <w:rsid w:val="00406060"/>
    <w:rsid w:val="004100A1"/>
    <w:rsid w:val="004106E7"/>
    <w:rsid w:val="004118C6"/>
    <w:rsid w:val="00413A77"/>
    <w:rsid w:val="00413F10"/>
    <w:rsid w:val="0041467E"/>
    <w:rsid w:val="00414D2C"/>
    <w:rsid w:val="00415336"/>
    <w:rsid w:val="004164B0"/>
    <w:rsid w:val="00417501"/>
    <w:rsid w:val="00417867"/>
    <w:rsid w:val="004203BC"/>
    <w:rsid w:val="004211B0"/>
    <w:rsid w:val="004211F2"/>
    <w:rsid w:val="00421E9E"/>
    <w:rsid w:val="00422BA0"/>
    <w:rsid w:val="00426845"/>
    <w:rsid w:val="0042786C"/>
    <w:rsid w:val="004279FC"/>
    <w:rsid w:val="00430C08"/>
    <w:rsid w:val="00431037"/>
    <w:rsid w:val="00431B5C"/>
    <w:rsid w:val="0043283E"/>
    <w:rsid w:val="00432930"/>
    <w:rsid w:val="00432A86"/>
    <w:rsid w:val="00433FBA"/>
    <w:rsid w:val="00436041"/>
    <w:rsid w:val="004364BE"/>
    <w:rsid w:val="0043708C"/>
    <w:rsid w:val="00437991"/>
    <w:rsid w:val="00437F06"/>
    <w:rsid w:val="00440239"/>
    <w:rsid w:val="0044052A"/>
    <w:rsid w:val="004408F2"/>
    <w:rsid w:val="004411F6"/>
    <w:rsid w:val="004416D0"/>
    <w:rsid w:val="00442722"/>
    <w:rsid w:val="00442A54"/>
    <w:rsid w:val="00443558"/>
    <w:rsid w:val="00443CEC"/>
    <w:rsid w:val="00445A51"/>
    <w:rsid w:val="00445EEE"/>
    <w:rsid w:val="004469E6"/>
    <w:rsid w:val="00447AAF"/>
    <w:rsid w:val="00451440"/>
    <w:rsid w:val="004516E8"/>
    <w:rsid w:val="00451711"/>
    <w:rsid w:val="00452004"/>
    <w:rsid w:val="00452AD5"/>
    <w:rsid w:val="00453A99"/>
    <w:rsid w:val="00454756"/>
    <w:rsid w:val="004551CF"/>
    <w:rsid w:val="00455BC4"/>
    <w:rsid w:val="00457556"/>
    <w:rsid w:val="004608C5"/>
    <w:rsid w:val="004609D6"/>
    <w:rsid w:val="00460D83"/>
    <w:rsid w:val="004626CE"/>
    <w:rsid w:val="00462D4A"/>
    <w:rsid w:val="0046317A"/>
    <w:rsid w:val="00465443"/>
    <w:rsid w:val="004670B8"/>
    <w:rsid w:val="00467366"/>
    <w:rsid w:val="00470448"/>
    <w:rsid w:val="00471C2E"/>
    <w:rsid w:val="00473D51"/>
    <w:rsid w:val="00473F96"/>
    <w:rsid w:val="004756AF"/>
    <w:rsid w:val="00476D74"/>
    <w:rsid w:val="0047725D"/>
    <w:rsid w:val="0048031C"/>
    <w:rsid w:val="004823AF"/>
    <w:rsid w:val="00482A12"/>
    <w:rsid w:val="00482FBF"/>
    <w:rsid w:val="00483815"/>
    <w:rsid w:val="00483F3A"/>
    <w:rsid w:val="00484C91"/>
    <w:rsid w:val="00484E0E"/>
    <w:rsid w:val="004861E6"/>
    <w:rsid w:val="0048756B"/>
    <w:rsid w:val="0048797C"/>
    <w:rsid w:val="00490636"/>
    <w:rsid w:val="004907C7"/>
    <w:rsid w:val="0049083E"/>
    <w:rsid w:val="004908CF"/>
    <w:rsid w:val="00490F0E"/>
    <w:rsid w:val="0049284A"/>
    <w:rsid w:val="00492B17"/>
    <w:rsid w:val="004936C2"/>
    <w:rsid w:val="004950AA"/>
    <w:rsid w:val="00497F29"/>
    <w:rsid w:val="004A1922"/>
    <w:rsid w:val="004A1E98"/>
    <w:rsid w:val="004A21E7"/>
    <w:rsid w:val="004A3890"/>
    <w:rsid w:val="004A582E"/>
    <w:rsid w:val="004A6A9C"/>
    <w:rsid w:val="004A792D"/>
    <w:rsid w:val="004A7FF6"/>
    <w:rsid w:val="004B12A3"/>
    <w:rsid w:val="004B171D"/>
    <w:rsid w:val="004B17ED"/>
    <w:rsid w:val="004B2860"/>
    <w:rsid w:val="004B2D8A"/>
    <w:rsid w:val="004B4B94"/>
    <w:rsid w:val="004B4B97"/>
    <w:rsid w:val="004B7486"/>
    <w:rsid w:val="004B7AB1"/>
    <w:rsid w:val="004C0ACD"/>
    <w:rsid w:val="004C0F5A"/>
    <w:rsid w:val="004C206D"/>
    <w:rsid w:val="004C2084"/>
    <w:rsid w:val="004C25D7"/>
    <w:rsid w:val="004C3051"/>
    <w:rsid w:val="004C3493"/>
    <w:rsid w:val="004C48B8"/>
    <w:rsid w:val="004C55F7"/>
    <w:rsid w:val="004C64A6"/>
    <w:rsid w:val="004C666F"/>
    <w:rsid w:val="004C775F"/>
    <w:rsid w:val="004C7BD1"/>
    <w:rsid w:val="004C7FAF"/>
    <w:rsid w:val="004D1622"/>
    <w:rsid w:val="004D1840"/>
    <w:rsid w:val="004D1AC2"/>
    <w:rsid w:val="004D2B8A"/>
    <w:rsid w:val="004D30C9"/>
    <w:rsid w:val="004D4856"/>
    <w:rsid w:val="004D5C1D"/>
    <w:rsid w:val="004D7AE4"/>
    <w:rsid w:val="004E0B50"/>
    <w:rsid w:val="004E1254"/>
    <w:rsid w:val="004E1B55"/>
    <w:rsid w:val="004E21DB"/>
    <w:rsid w:val="004E368C"/>
    <w:rsid w:val="004E5A60"/>
    <w:rsid w:val="004E7607"/>
    <w:rsid w:val="004F1DBB"/>
    <w:rsid w:val="004F1E05"/>
    <w:rsid w:val="004F225F"/>
    <w:rsid w:val="004F2D28"/>
    <w:rsid w:val="004F39BD"/>
    <w:rsid w:val="004F4764"/>
    <w:rsid w:val="004F5056"/>
    <w:rsid w:val="004F5714"/>
    <w:rsid w:val="004F6659"/>
    <w:rsid w:val="004F6956"/>
    <w:rsid w:val="004F75E4"/>
    <w:rsid w:val="00503430"/>
    <w:rsid w:val="0050425B"/>
    <w:rsid w:val="005044AC"/>
    <w:rsid w:val="00504A61"/>
    <w:rsid w:val="00504E80"/>
    <w:rsid w:val="00505B4E"/>
    <w:rsid w:val="00505C9D"/>
    <w:rsid w:val="00506D58"/>
    <w:rsid w:val="005071B0"/>
    <w:rsid w:val="0050757D"/>
    <w:rsid w:val="00507687"/>
    <w:rsid w:val="00507CD0"/>
    <w:rsid w:val="00510E8C"/>
    <w:rsid w:val="0051153D"/>
    <w:rsid w:val="0051207C"/>
    <w:rsid w:val="005120E2"/>
    <w:rsid w:val="00513164"/>
    <w:rsid w:val="0051375A"/>
    <w:rsid w:val="005145CA"/>
    <w:rsid w:val="00514BEA"/>
    <w:rsid w:val="005172B7"/>
    <w:rsid w:val="00517730"/>
    <w:rsid w:val="005177FC"/>
    <w:rsid w:val="005210C0"/>
    <w:rsid w:val="00521345"/>
    <w:rsid w:val="005217D1"/>
    <w:rsid w:val="005222AB"/>
    <w:rsid w:val="00523F5D"/>
    <w:rsid w:val="005244BA"/>
    <w:rsid w:val="00524767"/>
    <w:rsid w:val="00524776"/>
    <w:rsid w:val="0052479B"/>
    <w:rsid w:val="005249B0"/>
    <w:rsid w:val="00524AA1"/>
    <w:rsid w:val="00526CDA"/>
    <w:rsid w:val="00526F4B"/>
    <w:rsid w:val="00527F4E"/>
    <w:rsid w:val="00530871"/>
    <w:rsid w:val="00530A01"/>
    <w:rsid w:val="005320BA"/>
    <w:rsid w:val="00532B42"/>
    <w:rsid w:val="00535087"/>
    <w:rsid w:val="0053553D"/>
    <w:rsid w:val="00535883"/>
    <w:rsid w:val="00536726"/>
    <w:rsid w:val="00537037"/>
    <w:rsid w:val="0053760B"/>
    <w:rsid w:val="00537BC7"/>
    <w:rsid w:val="00541E42"/>
    <w:rsid w:val="0054283B"/>
    <w:rsid w:val="00542EE7"/>
    <w:rsid w:val="0054361A"/>
    <w:rsid w:val="00544343"/>
    <w:rsid w:val="0054639B"/>
    <w:rsid w:val="00546798"/>
    <w:rsid w:val="00547C4E"/>
    <w:rsid w:val="00547E4C"/>
    <w:rsid w:val="00550355"/>
    <w:rsid w:val="00552C2B"/>
    <w:rsid w:val="00553393"/>
    <w:rsid w:val="00553760"/>
    <w:rsid w:val="00553882"/>
    <w:rsid w:val="005538FC"/>
    <w:rsid w:val="00553BBC"/>
    <w:rsid w:val="00553CBF"/>
    <w:rsid w:val="00555195"/>
    <w:rsid w:val="00555278"/>
    <w:rsid w:val="00555ED7"/>
    <w:rsid w:val="00556C22"/>
    <w:rsid w:val="00557FBB"/>
    <w:rsid w:val="005604D3"/>
    <w:rsid w:val="00560876"/>
    <w:rsid w:val="00561176"/>
    <w:rsid w:val="00561CFE"/>
    <w:rsid w:val="00562191"/>
    <w:rsid w:val="00562723"/>
    <w:rsid w:val="0056298D"/>
    <w:rsid w:val="005639D1"/>
    <w:rsid w:val="00564599"/>
    <w:rsid w:val="00564698"/>
    <w:rsid w:val="00564C7C"/>
    <w:rsid w:val="00564EEB"/>
    <w:rsid w:val="005651AC"/>
    <w:rsid w:val="005652A4"/>
    <w:rsid w:val="00565AF4"/>
    <w:rsid w:val="00566B4A"/>
    <w:rsid w:val="00567045"/>
    <w:rsid w:val="00571247"/>
    <w:rsid w:val="005715AA"/>
    <w:rsid w:val="00571E39"/>
    <w:rsid w:val="0057212D"/>
    <w:rsid w:val="00572329"/>
    <w:rsid w:val="00572A1D"/>
    <w:rsid w:val="00572E79"/>
    <w:rsid w:val="00573372"/>
    <w:rsid w:val="005734A2"/>
    <w:rsid w:val="00573F00"/>
    <w:rsid w:val="00573F66"/>
    <w:rsid w:val="0057444B"/>
    <w:rsid w:val="00575366"/>
    <w:rsid w:val="00577FDF"/>
    <w:rsid w:val="00580003"/>
    <w:rsid w:val="005807A8"/>
    <w:rsid w:val="005808BD"/>
    <w:rsid w:val="00581251"/>
    <w:rsid w:val="0058188E"/>
    <w:rsid w:val="005829F6"/>
    <w:rsid w:val="005832EB"/>
    <w:rsid w:val="00584121"/>
    <w:rsid w:val="005862C7"/>
    <w:rsid w:val="0058648B"/>
    <w:rsid w:val="00586844"/>
    <w:rsid w:val="00590B0E"/>
    <w:rsid w:val="00590C0B"/>
    <w:rsid w:val="00590F6A"/>
    <w:rsid w:val="0059186F"/>
    <w:rsid w:val="00591B77"/>
    <w:rsid w:val="00592638"/>
    <w:rsid w:val="00592C8D"/>
    <w:rsid w:val="00592F63"/>
    <w:rsid w:val="00593046"/>
    <w:rsid w:val="00594133"/>
    <w:rsid w:val="005950B8"/>
    <w:rsid w:val="00595E42"/>
    <w:rsid w:val="0059693F"/>
    <w:rsid w:val="00596E53"/>
    <w:rsid w:val="005A01FA"/>
    <w:rsid w:val="005A0C48"/>
    <w:rsid w:val="005A26D6"/>
    <w:rsid w:val="005A2A6A"/>
    <w:rsid w:val="005A2CA1"/>
    <w:rsid w:val="005A2D44"/>
    <w:rsid w:val="005A3160"/>
    <w:rsid w:val="005A440D"/>
    <w:rsid w:val="005A4474"/>
    <w:rsid w:val="005A47D1"/>
    <w:rsid w:val="005A5EA9"/>
    <w:rsid w:val="005A639C"/>
    <w:rsid w:val="005B0397"/>
    <w:rsid w:val="005B04ED"/>
    <w:rsid w:val="005B08C9"/>
    <w:rsid w:val="005B2CE5"/>
    <w:rsid w:val="005B3CEC"/>
    <w:rsid w:val="005B4533"/>
    <w:rsid w:val="005B52C1"/>
    <w:rsid w:val="005B5848"/>
    <w:rsid w:val="005B6174"/>
    <w:rsid w:val="005B65FB"/>
    <w:rsid w:val="005B72AD"/>
    <w:rsid w:val="005C0370"/>
    <w:rsid w:val="005C158A"/>
    <w:rsid w:val="005C1B94"/>
    <w:rsid w:val="005C1FDB"/>
    <w:rsid w:val="005C3036"/>
    <w:rsid w:val="005C3304"/>
    <w:rsid w:val="005C33E5"/>
    <w:rsid w:val="005C632A"/>
    <w:rsid w:val="005C7AF1"/>
    <w:rsid w:val="005C7EF8"/>
    <w:rsid w:val="005D00F8"/>
    <w:rsid w:val="005D0B2D"/>
    <w:rsid w:val="005D1723"/>
    <w:rsid w:val="005D1ADA"/>
    <w:rsid w:val="005D1C84"/>
    <w:rsid w:val="005D27C4"/>
    <w:rsid w:val="005D2B3E"/>
    <w:rsid w:val="005D2B7F"/>
    <w:rsid w:val="005D2C94"/>
    <w:rsid w:val="005D3C5A"/>
    <w:rsid w:val="005D3F85"/>
    <w:rsid w:val="005D46D6"/>
    <w:rsid w:val="005D50F3"/>
    <w:rsid w:val="005D52DB"/>
    <w:rsid w:val="005D582B"/>
    <w:rsid w:val="005D5887"/>
    <w:rsid w:val="005D5C49"/>
    <w:rsid w:val="005D60EA"/>
    <w:rsid w:val="005D65F5"/>
    <w:rsid w:val="005D6898"/>
    <w:rsid w:val="005D77D1"/>
    <w:rsid w:val="005D7D99"/>
    <w:rsid w:val="005E21EC"/>
    <w:rsid w:val="005E2AA4"/>
    <w:rsid w:val="005E2AEF"/>
    <w:rsid w:val="005E2DDC"/>
    <w:rsid w:val="005E3386"/>
    <w:rsid w:val="005E3A55"/>
    <w:rsid w:val="005E41BA"/>
    <w:rsid w:val="005E61A1"/>
    <w:rsid w:val="005E7041"/>
    <w:rsid w:val="005F118B"/>
    <w:rsid w:val="005F1C0F"/>
    <w:rsid w:val="005F1FC9"/>
    <w:rsid w:val="005F263E"/>
    <w:rsid w:val="005F28B6"/>
    <w:rsid w:val="005F4438"/>
    <w:rsid w:val="005F4EA7"/>
    <w:rsid w:val="005F4F57"/>
    <w:rsid w:val="005F6B57"/>
    <w:rsid w:val="005F7B0B"/>
    <w:rsid w:val="005F7E4A"/>
    <w:rsid w:val="00600D48"/>
    <w:rsid w:val="0060166A"/>
    <w:rsid w:val="00601E48"/>
    <w:rsid w:val="00601F45"/>
    <w:rsid w:val="00604B21"/>
    <w:rsid w:val="00604D5B"/>
    <w:rsid w:val="006076B5"/>
    <w:rsid w:val="00612090"/>
    <w:rsid w:val="006120E4"/>
    <w:rsid w:val="0061269E"/>
    <w:rsid w:val="00612AB4"/>
    <w:rsid w:val="006130B9"/>
    <w:rsid w:val="00614786"/>
    <w:rsid w:val="00614912"/>
    <w:rsid w:val="00614B79"/>
    <w:rsid w:val="0061509E"/>
    <w:rsid w:val="00615277"/>
    <w:rsid w:val="00615747"/>
    <w:rsid w:val="00616CDA"/>
    <w:rsid w:val="00617241"/>
    <w:rsid w:val="00617C88"/>
    <w:rsid w:val="00620813"/>
    <w:rsid w:val="0062099C"/>
    <w:rsid w:val="006209BA"/>
    <w:rsid w:val="00621594"/>
    <w:rsid w:val="00624081"/>
    <w:rsid w:val="00625A54"/>
    <w:rsid w:val="00625C55"/>
    <w:rsid w:val="00626676"/>
    <w:rsid w:val="0062720F"/>
    <w:rsid w:val="006306C1"/>
    <w:rsid w:val="00630D3E"/>
    <w:rsid w:val="00630DBE"/>
    <w:rsid w:val="00631F11"/>
    <w:rsid w:val="0063260C"/>
    <w:rsid w:val="006328A0"/>
    <w:rsid w:val="00633127"/>
    <w:rsid w:val="00634E86"/>
    <w:rsid w:val="0063586B"/>
    <w:rsid w:val="006359CC"/>
    <w:rsid w:val="00635B0C"/>
    <w:rsid w:val="00635FED"/>
    <w:rsid w:val="00636A9B"/>
    <w:rsid w:val="00637221"/>
    <w:rsid w:val="00637F1A"/>
    <w:rsid w:val="006406F1"/>
    <w:rsid w:val="00641087"/>
    <w:rsid w:val="00642799"/>
    <w:rsid w:val="00642952"/>
    <w:rsid w:val="00642B10"/>
    <w:rsid w:val="006439FF"/>
    <w:rsid w:val="00643F4D"/>
    <w:rsid w:val="00644FB8"/>
    <w:rsid w:val="006454CF"/>
    <w:rsid w:val="00645587"/>
    <w:rsid w:val="00645FF5"/>
    <w:rsid w:val="0064669B"/>
    <w:rsid w:val="006467EC"/>
    <w:rsid w:val="00647823"/>
    <w:rsid w:val="00647837"/>
    <w:rsid w:val="00647AC3"/>
    <w:rsid w:val="00650437"/>
    <w:rsid w:val="00650C28"/>
    <w:rsid w:val="00652741"/>
    <w:rsid w:val="006541EE"/>
    <w:rsid w:val="00655B83"/>
    <w:rsid w:val="00655BBD"/>
    <w:rsid w:val="00655D05"/>
    <w:rsid w:val="00656E86"/>
    <w:rsid w:val="006603D8"/>
    <w:rsid w:val="0066045D"/>
    <w:rsid w:val="00660805"/>
    <w:rsid w:val="00660BF4"/>
    <w:rsid w:val="006616BE"/>
    <w:rsid w:val="00661C5B"/>
    <w:rsid w:val="00662503"/>
    <w:rsid w:val="006629F3"/>
    <w:rsid w:val="00662B5A"/>
    <w:rsid w:val="00663D17"/>
    <w:rsid w:val="0066415D"/>
    <w:rsid w:val="006642E1"/>
    <w:rsid w:val="00664AF9"/>
    <w:rsid w:val="00664FF8"/>
    <w:rsid w:val="00666B80"/>
    <w:rsid w:val="00667E78"/>
    <w:rsid w:val="006706EA"/>
    <w:rsid w:val="0067161C"/>
    <w:rsid w:val="00673E06"/>
    <w:rsid w:val="00673F18"/>
    <w:rsid w:val="006742E2"/>
    <w:rsid w:val="00674FB6"/>
    <w:rsid w:val="00680234"/>
    <w:rsid w:val="00681229"/>
    <w:rsid w:val="00681B29"/>
    <w:rsid w:val="00681F2F"/>
    <w:rsid w:val="00681F9D"/>
    <w:rsid w:val="006826C8"/>
    <w:rsid w:val="00682942"/>
    <w:rsid w:val="00684073"/>
    <w:rsid w:val="0068505D"/>
    <w:rsid w:val="006859F2"/>
    <w:rsid w:val="0068600E"/>
    <w:rsid w:val="00686756"/>
    <w:rsid w:val="00691B22"/>
    <w:rsid w:val="00692EF5"/>
    <w:rsid w:val="00693032"/>
    <w:rsid w:val="00694C63"/>
    <w:rsid w:val="0069569F"/>
    <w:rsid w:val="00696868"/>
    <w:rsid w:val="006969A9"/>
    <w:rsid w:val="00696CAA"/>
    <w:rsid w:val="0069704A"/>
    <w:rsid w:val="00697F9A"/>
    <w:rsid w:val="006A042D"/>
    <w:rsid w:val="006A055B"/>
    <w:rsid w:val="006A07B5"/>
    <w:rsid w:val="006A0ED9"/>
    <w:rsid w:val="006A1A7E"/>
    <w:rsid w:val="006A278F"/>
    <w:rsid w:val="006A3582"/>
    <w:rsid w:val="006A419C"/>
    <w:rsid w:val="006A42E6"/>
    <w:rsid w:val="006A5C5D"/>
    <w:rsid w:val="006A5C8C"/>
    <w:rsid w:val="006A6402"/>
    <w:rsid w:val="006A6CBF"/>
    <w:rsid w:val="006A7187"/>
    <w:rsid w:val="006A7CED"/>
    <w:rsid w:val="006B106F"/>
    <w:rsid w:val="006B18DF"/>
    <w:rsid w:val="006B1939"/>
    <w:rsid w:val="006B1A2B"/>
    <w:rsid w:val="006B1BFF"/>
    <w:rsid w:val="006B1F51"/>
    <w:rsid w:val="006B234F"/>
    <w:rsid w:val="006B2790"/>
    <w:rsid w:val="006B2E51"/>
    <w:rsid w:val="006B3FBB"/>
    <w:rsid w:val="006B523C"/>
    <w:rsid w:val="006B5550"/>
    <w:rsid w:val="006B55D9"/>
    <w:rsid w:val="006B5A17"/>
    <w:rsid w:val="006B5CC8"/>
    <w:rsid w:val="006B6365"/>
    <w:rsid w:val="006B6C12"/>
    <w:rsid w:val="006B713E"/>
    <w:rsid w:val="006B73EF"/>
    <w:rsid w:val="006C058F"/>
    <w:rsid w:val="006C06A3"/>
    <w:rsid w:val="006C2064"/>
    <w:rsid w:val="006C21B2"/>
    <w:rsid w:val="006C36C1"/>
    <w:rsid w:val="006C3B50"/>
    <w:rsid w:val="006C3E1C"/>
    <w:rsid w:val="006C4744"/>
    <w:rsid w:val="006C47B6"/>
    <w:rsid w:val="006C4FEF"/>
    <w:rsid w:val="006D07C0"/>
    <w:rsid w:val="006D0A17"/>
    <w:rsid w:val="006D0BDF"/>
    <w:rsid w:val="006D202D"/>
    <w:rsid w:val="006D2598"/>
    <w:rsid w:val="006D2DB1"/>
    <w:rsid w:val="006D366A"/>
    <w:rsid w:val="006D3837"/>
    <w:rsid w:val="006D4053"/>
    <w:rsid w:val="006D4263"/>
    <w:rsid w:val="006D5540"/>
    <w:rsid w:val="006D5B7F"/>
    <w:rsid w:val="006E0CF1"/>
    <w:rsid w:val="006E0E7A"/>
    <w:rsid w:val="006E12F5"/>
    <w:rsid w:val="006E142D"/>
    <w:rsid w:val="006E15AE"/>
    <w:rsid w:val="006E1913"/>
    <w:rsid w:val="006E1F31"/>
    <w:rsid w:val="006E27FA"/>
    <w:rsid w:val="006E2D98"/>
    <w:rsid w:val="006E428D"/>
    <w:rsid w:val="006E53AC"/>
    <w:rsid w:val="006E601B"/>
    <w:rsid w:val="006E65D5"/>
    <w:rsid w:val="006F09FE"/>
    <w:rsid w:val="006F1122"/>
    <w:rsid w:val="006F11B7"/>
    <w:rsid w:val="006F1811"/>
    <w:rsid w:val="006F2061"/>
    <w:rsid w:val="006F2FCD"/>
    <w:rsid w:val="006F3595"/>
    <w:rsid w:val="006F3D81"/>
    <w:rsid w:val="006F4F28"/>
    <w:rsid w:val="006F52D1"/>
    <w:rsid w:val="006F5414"/>
    <w:rsid w:val="006F5D9D"/>
    <w:rsid w:val="006F6921"/>
    <w:rsid w:val="006F695A"/>
    <w:rsid w:val="006F6F42"/>
    <w:rsid w:val="006F7622"/>
    <w:rsid w:val="00700A61"/>
    <w:rsid w:val="00700D82"/>
    <w:rsid w:val="007018E1"/>
    <w:rsid w:val="00702CD8"/>
    <w:rsid w:val="00702FA5"/>
    <w:rsid w:val="0070316D"/>
    <w:rsid w:val="00705892"/>
    <w:rsid w:val="00706067"/>
    <w:rsid w:val="00706449"/>
    <w:rsid w:val="007065DE"/>
    <w:rsid w:val="00706C17"/>
    <w:rsid w:val="00710E1C"/>
    <w:rsid w:val="00712005"/>
    <w:rsid w:val="0071369C"/>
    <w:rsid w:val="007136F8"/>
    <w:rsid w:val="007141C1"/>
    <w:rsid w:val="00715378"/>
    <w:rsid w:val="00715ADA"/>
    <w:rsid w:val="007161EB"/>
    <w:rsid w:val="00716562"/>
    <w:rsid w:val="0071684C"/>
    <w:rsid w:val="00716DBD"/>
    <w:rsid w:val="007178B9"/>
    <w:rsid w:val="0072067A"/>
    <w:rsid w:val="00720E20"/>
    <w:rsid w:val="00720ED7"/>
    <w:rsid w:val="00721D5C"/>
    <w:rsid w:val="00721F8D"/>
    <w:rsid w:val="0072297A"/>
    <w:rsid w:val="007232CA"/>
    <w:rsid w:val="007246F8"/>
    <w:rsid w:val="007255B2"/>
    <w:rsid w:val="007270A3"/>
    <w:rsid w:val="007302A5"/>
    <w:rsid w:val="007304E8"/>
    <w:rsid w:val="007317BA"/>
    <w:rsid w:val="007317DA"/>
    <w:rsid w:val="00732ABF"/>
    <w:rsid w:val="00733FCE"/>
    <w:rsid w:val="0073509E"/>
    <w:rsid w:val="00735605"/>
    <w:rsid w:val="00735C36"/>
    <w:rsid w:val="00735DE6"/>
    <w:rsid w:val="00736F5F"/>
    <w:rsid w:val="007401DB"/>
    <w:rsid w:val="0074040A"/>
    <w:rsid w:val="00740A0E"/>
    <w:rsid w:val="007414CA"/>
    <w:rsid w:val="00741FBB"/>
    <w:rsid w:val="007439E8"/>
    <w:rsid w:val="00744B4F"/>
    <w:rsid w:val="00745D58"/>
    <w:rsid w:val="007461A7"/>
    <w:rsid w:val="0075044E"/>
    <w:rsid w:val="007514CA"/>
    <w:rsid w:val="00751AB6"/>
    <w:rsid w:val="00751BEC"/>
    <w:rsid w:val="00752480"/>
    <w:rsid w:val="00754568"/>
    <w:rsid w:val="00754591"/>
    <w:rsid w:val="00754A4D"/>
    <w:rsid w:val="00755025"/>
    <w:rsid w:val="00755BFF"/>
    <w:rsid w:val="00756897"/>
    <w:rsid w:val="00757010"/>
    <w:rsid w:val="00757681"/>
    <w:rsid w:val="007615C2"/>
    <w:rsid w:val="00761629"/>
    <w:rsid w:val="00761C49"/>
    <w:rsid w:val="007623BB"/>
    <w:rsid w:val="00762FEB"/>
    <w:rsid w:val="0076390B"/>
    <w:rsid w:val="00764E79"/>
    <w:rsid w:val="007656BF"/>
    <w:rsid w:val="00766418"/>
    <w:rsid w:val="00767152"/>
    <w:rsid w:val="00770278"/>
    <w:rsid w:val="00770EF3"/>
    <w:rsid w:val="0077218F"/>
    <w:rsid w:val="00772C2F"/>
    <w:rsid w:val="00774FE7"/>
    <w:rsid w:val="007763E5"/>
    <w:rsid w:val="00776806"/>
    <w:rsid w:val="007773E8"/>
    <w:rsid w:val="007815CB"/>
    <w:rsid w:val="00781BD9"/>
    <w:rsid w:val="00782D9C"/>
    <w:rsid w:val="00782E6A"/>
    <w:rsid w:val="00782F63"/>
    <w:rsid w:val="0078546E"/>
    <w:rsid w:val="00791104"/>
    <w:rsid w:val="007913BF"/>
    <w:rsid w:val="00791CD6"/>
    <w:rsid w:val="00791D4C"/>
    <w:rsid w:val="00792B3B"/>
    <w:rsid w:val="00793007"/>
    <w:rsid w:val="007934BC"/>
    <w:rsid w:val="00794F45"/>
    <w:rsid w:val="007956DF"/>
    <w:rsid w:val="00795BFA"/>
    <w:rsid w:val="00796419"/>
    <w:rsid w:val="007965F7"/>
    <w:rsid w:val="00797762"/>
    <w:rsid w:val="007A0C62"/>
    <w:rsid w:val="007A0CC7"/>
    <w:rsid w:val="007A14BE"/>
    <w:rsid w:val="007A199C"/>
    <w:rsid w:val="007A1E91"/>
    <w:rsid w:val="007A2BEF"/>
    <w:rsid w:val="007A2C3E"/>
    <w:rsid w:val="007A2ECC"/>
    <w:rsid w:val="007A3AFD"/>
    <w:rsid w:val="007A3CED"/>
    <w:rsid w:val="007A3E72"/>
    <w:rsid w:val="007A4234"/>
    <w:rsid w:val="007A59A2"/>
    <w:rsid w:val="007A5CBB"/>
    <w:rsid w:val="007A632C"/>
    <w:rsid w:val="007A6541"/>
    <w:rsid w:val="007A6FDF"/>
    <w:rsid w:val="007A7E0A"/>
    <w:rsid w:val="007A7E3B"/>
    <w:rsid w:val="007B1119"/>
    <w:rsid w:val="007B14D6"/>
    <w:rsid w:val="007B16F3"/>
    <w:rsid w:val="007B19E1"/>
    <w:rsid w:val="007B28BB"/>
    <w:rsid w:val="007B29F3"/>
    <w:rsid w:val="007B3725"/>
    <w:rsid w:val="007B3BFD"/>
    <w:rsid w:val="007B4E30"/>
    <w:rsid w:val="007B5394"/>
    <w:rsid w:val="007B61C4"/>
    <w:rsid w:val="007B65FD"/>
    <w:rsid w:val="007B6CB9"/>
    <w:rsid w:val="007B7D9F"/>
    <w:rsid w:val="007B7EC2"/>
    <w:rsid w:val="007C15BF"/>
    <w:rsid w:val="007C27AC"/>
    <w:rsid w:val="007C317F"/>
    <w:rsid w:val="007C4540"/>
    <w:rsid w:val="007C4580"/>
    <w:rsid w:val="007C4ED0"/>
    <w:rsid w:val="007C5F3B"/>
    <w:rsid w:val="007C7758"/>
    <w:rsid w:val="007C7B6E"/>
    <w:rsid w:val="007C7D3E"/>
    <w:rsid w:val="007C7F36"/>
    <w:rsid w:val="007D05ED"/>
    <w:rsid w:val="007D0725"/>
    <w:rsid w:val="007D0D95"/>
    <w:rsid w:val="007D1386"/>
    <w:rsid w:val="007D1622"/>
    <w:rsid w:val="007D1A80"/>
    <w:rsid w:val="007D1B72"/>
    <w:rsid w:val="007D2240"/>
    <w:rsid w:val="007D3086"/>
    <w:rsid w:val="007D34F1"/>
    <w:rsid w:val="007D41B5"/>
    <w:rsid w:val="007D4A97"/>
    <w:rsid w:val="007D60EB"/>
    <w:rsid w:val="007D618E"/>
    <w:rsid w:val="007D72F2"/>
    <w:rsid w:val="007D74C8"/>
    <w:rsid w:val="007D78B2"/>
    <w:rsid w:val="007D7974"/>
    <w:rsid w:val="007D7E70"/>
    <w:rsid w:val="007E1641"/>
    <w:rsid w:val="007E1FE1"/>
    <w:rsid w:val="007E20C1"/>
    <w:rsid w:val="007E259F"/>
    <w:rsid w:val="007E2E21"/>
    <w:rsid w:val="007E3232"/>
    <w:rsid w:val="007E4334"/>
    <w:rsid w:val="007E4531"/>
    <w:rsid w:val="007E5148"/>
    <w:rsid w:val="007E5156"/>
    <w:rsid w:val="007E53AB"/>
    <w:rsid w:val="007E55E3"/>
    <w:rsid w:val="007E5DA7"/>
    <w:rsid w:val="007E6172"/>
    <w:rsid w:val="007E61B8"/>
    <w:rsid w:val="007E64A8"/>
    <w:rsid w:val="007E6B6A"/>
    <w:rsid w:val="007E7923"/>
    <w:rsid w:val="007E7F4A"/>
    <w:rsid w:val="007F0292"/>
    <w:rsid w:val="007F077C"/>
    <w:rsid w:val="007F0A4F"/>
    <w:rsid w:val="007F1718"/>
    <w:rsid w:val="007F3101"/>
    <w:rsid w:val="007F32DC"/>
    <w:rsid w:val="007F397E"/>
    <w:rsid w:val="007F48EE"/>
    <w:rsid w:val="007F4C23"/>
    <w:rsid w:val="007F53CC"/>
    <w:rsid w:val="007F6C17"/>
    <w:rsid w:val="007F79E1"/>
    <w:rsid w:val="008006D4"/>
    <w:rsid w:val="00800EFD"/>
    <w:rsid w:val="0080133A"/>
    <w:rsid w:val="008029A2"/>
    <w:rsid w:val="008029E1"/>
    <w:rsid w:val="0080366F"/>
    <w:rsid w:val="008038A9"/>
    <w:rsid w:val="00803C5F"/>
    <w:rsid w:val="00803CC6"/>
    <w:rsid w:val="008044D7"/>
    <w:rsid w:val="0080502F"/>
    <w:rsid w:val="008051D5"/>
    <w:rsid w:val="0080625F"/>
    <w:rsid w:val="00810A25"/>
    <w:rsid w:val="00811B64"/>
    <w:rsid w:val="00811B9B"/>
    <w:rsid w:val="00813029"/>
    <w:rsid w:val="0081424B"/>
    <w:rsid w:val="00814979"/>
    <w:rsid w:val="00814E67"/>
    <w:rsid w:val="00816AC9"/>
    <w:rsid w:val="0081715C"/>
    <w:rsid w:val="008202F1"/>
    <w:rsid w:val="00820DB9"/>
    <w:rsid w:val="0082301B"/>
    <w:rsid w:val="00823DD3"/>
    <w:rsid w:val="00824338"/>
    <w:rsid w:val="00825949"/>
    <w:rsid w:val="00825FF3"/>
    <w:rsid w:val="00826DD2"/>
    <w:rsid w:val="008277BF"/>
    <w:rsid w:val="008277F9"/>
    <w:rsid w:val="00830309"/>
    <w:rsid w:val="008324FF"/>
    <w:rsid w:val="00833E0F"/>
    <w:rsid w:val="0083479D"/>
    <w:rsid w:val="00834941"/>
    <w:rsid w:val="00835BC3"/>
    <w:rsid w:val="0084057B"/>
    <w:rsid w:val="008409BD"/>
    <w:rsid w:val="008414BF"/>
    <w:rsid w:val="00841F93"/>
    <w:rsid w:val="00843BA4"/>
    <w:rsid w:val="00843D13"/>
    <w:rsid w:val="00846336"/>
    <w:rsid w:val="00847058"/>
    <w:rsid w:val="008478F6"/>
    <w:rsid w:val="008502C0"/>
    <w:rsid w:val="0085075C"/>
    <w:rsid w:val="00852031"/>
    <w:rsid w:val="00853259"/>
    <w:rsid w:val="008546D2"/>
    <w:rsid w:val="008551EE"/>
    <w:rsid w:val="00855C25"/>
    <w:rsid w:val="00856098"/>
    <w:rsid w:val="00856AF4"/>
    <w:rsid w:val="00857198"/>
    <w:rsid w:val="00857668"/>
    <w:rsid w:val="00857727"/>
    <w:rsid w:val="00857892"/>
    <w:rsid w:val="00857ACA"/>
    <w:rsid w:val="0086107A"/>
    <w:rsid w:val="00861CE2"/>
    <w:rsid w:val="00862422"/>
    <w:rsid w:val="0086292A"/>
    <w:rsid w:val="00862C70"/>
    <w:rsid w:val="00862DFE"/>
    <w:rsid w:val="008639A9"/>
    <w:rsid w:val="00863D28"/>
    <w:rsid w:val="00866329"/>
    <w:rsid w:val="008667BB"/>
    <w:rsid w:val="00866E03"/>
    <w:rsid w:val="0087050D"/>
    <w:rsid w:val="00870FD3"/>
    <w:rsid w:val="00871771"/>
    <w:rsid w:val="00871EA6"/>
    <w:rsid w:val="00872CC9"/>
    <w:rsid w:val="0087338F"/>
    <w:rsid w:val="008756E7"/>
    <w:rsid w:val="008768DA"/>
    <w:rsid w:val="008777B7"/>
    <w:rsid w:val="00877966"/>
    <w:rsid w:val="00877AE7"/>
    <w:rsid w:val="00877E5D"/>
    <w:rsid w:val="0088092F"/>
    <w:rsid w:val="00880BA2"/>
    <w:rsid w:val="00881A59"/>
    <w:rsid w:val="00881EC5"/>
    <w:rsid w:val="008823FB"/>
    <w:rsid w:val="00883AC7"/>
    <w:rsid w:val="00884D4C"/>
    <w:rsid w:val="00885B3F"/>
    <w:rsid w:val="00885E4D"/>
    <w:rsid w:val="00886550"/>
    <w:rsid w:val="00887561"/>
    <w:rsid w:val="0089048F"/>
    <w:rsid w:val="00891107"/>
    <w:rsid w:val="00891848"/>
    <w:rsid w:val="00894CB3"/>
    <w:rsid w:val="00895ECC"/>
    <w:rsid w:val="00895FB6"/>
    <w:rsid w:val="008969FE"/>
    <w:rsid w:val="0089764C"/>
    <w:rsid w:val="00897E23"/>
    <w:rsid w:val="00897FCD"/>
    <w:rsid w:val="008A235B"/>
    <w:rsid w:val="008A2863"/>
    <w:rsid w:val="008A29CE"/>
    <w:rsid w:val="008A39EB"/>
    <w:rsid w:val="008A3A09"/>
    <w:rsid w:val="008A4C3B"/>
    <w:rsid w:val="008A4E23"/>
    <w:rsid w:val="008A5747"/>
    <w:rsid w:val="008A5AEA"/>
    <w:rsid w:val="008A5CAB"/>
    <w:rsid w:val="008A6455"/>
    <w:rsid w:val="008A72BB"/>
    <w:rsid w:val="008B0095"/>
    <w:rsid w:val="008B02AF"/>
    <w:rsid w:val="008B0437"/>
    <w:rsid w:val="008B0C83"/>
    <w:rsid w:val="008B0D37"/>
    <w:rsid w:val="008B160C"/>
    <w:rsid w:val="008B27F3"/>
    <w:rsid w:val="008B2DD1"/>
    <w:rsid w:val="008B3631"/>
    <w:rsid w:val="008B450A"/>
    <w:rsid w:val="008B4F83"/>
    <w:rsid w:val="008B52C9"/>
    <w:rsid w:val="008B58EF"/>
    <w:rsid w:val="008B5B0C"/>
    <w:rsid w:val="008B5E52"/>
    <w:rsid w:val="008B600F"/>
    <w:rsid w:val="008B6397"/>
    <w:rsid w:val="008B67A0"/>
    <w:rsid w:val="008B7899"/>
    <w:rsid w:val="008C0052"/>
    <w:rsid w:val="008C036E"/>
    <w:rsid w:val="008C12E4"/>
    <w:rsid w:val="008C1747"/>
    <w:rsid w:val="008C2356"/>
    <w:rsid w:val="008C3269"/>
    <w:rsid w:val="008C50F6"/>
    <w:rsid w:val="008C5358"/>
    <w:rsid w:val="008C55B8"/>
    <w:rsid w:val="008C5626"/>
    <w:rsid w:val="008C5863"/>
    <w:rsid w:val="008C596F"/>
    <w:rsid w:val="008C6628"/>
    <w:rsid w:val="008C6972"/>
    <w:rsid w:val="008C7130"/>
    <w:rsid w:val="008C7BE6"/>
    <w:rsid w:val="008D2A25"/>
    <w:rsid w:val="008D528C"/>
    <w:rsid w:val="008D602B"/>
    <w:rsid w:val="008D62F6"/>
    <w:rsid w:val="008D6906"/>
    <w:rsid w:val="008D741D"/>
    <w:rsid w:val="008D7CB5"/>
    <w:rsid w:val="008D7ED7"/>
    <w:rsid w:val="008E32CE"/>
    <w:rsid w:val="008E339F"/>
    <w:rsid w:val="008E3B42"/>
    <w:rsid w:val="008E4569"/>
    <w:rsid w:val="008E48D5"/>
    <w:rsid w:val="008E61D8"/>
    <w:rsid w:val="008E74FA"/>
    <w:rsid w:val="008F05EA"/>
    <w:rsid w:val="008F08B6"/>
    <w:rsid w:val="008F11DD"/>
    <w:rsid w:val="008F3761"/>
    <w:rsid w:val="008F4BE6"/>
    <w:rsid w:val="008F5269"/>
    <w:rsid w:val="008F57BF"/>
    <w:rsid w:val="008F71B9"/>
    <w:rsid w:val="008F7DE1"/>
    <w:rsid w:val="009021E0"/>
    <w:rsid w:val="0090287F"/>
    <w:rsid w:val="009028C3"/>
    <w:rsid w:val="00904DF4"/>
    <w:rsid w:val="00905042"/>
    <w:rsid w:val="00906BD9"/>
    <w:rsid w:val="00907304"/>
    <w:rsid w:val="00910FE4"/>
    <w:rsid w:val="00911279"/>
    <w:rsid w:val="009113B3"/>
    <w:rsid w:val="00912134"/>
    <w:rsid w:val="00912B5D"/>
    <w:rsid w:val="009152A4"/>
    <w:rsid w:val="00916687"/>
    <w:rsid w:val="00916ABD"/>
    <w:rsid w:val="00917B12"/>
    <w:rsid w:val="00921168"/>
    <w:rsid w:val="00921502"/>
    <w:rsid w:val="00921BD8"/>
    <w:rsid w:val="00923587"/>
    <w:rsid w:val="00923B56"/>
    <w:rsid w:val="00924A07"/>
    <w:rsid w:val="009252B8"/>
    <w:rsid w:val="00926490"/>
    <w:rsid w:val="0092731A"/>
    <w:rsid w:val="009278B6"/>
    <w:rsid w:val="00930C0B"/>
    <w:rsid w:val="0093119F"/>
    <w:rsid w:val="00933678"/>
    <w:rsid w:val="0093463E"/>
    <w:rsid w:val="00936EBC"/>
    <w:rsid w:val="00937AE4"/>
    <w:rsid w:val="009403E5"/>
    <w:rsid w:val="00941A88"/>
    <w:rsid w:val="00942F61"/>
    <w:rsid w:val="00943CB3"/>
    <w:rsid w:val="009440A9"/>
    <w:rsid w:val="00944CE9"/>
    <w:rsid w:val="00944D9E"/>
    <w:rsid w:val="0094732A"/>
    <w:rsid w:val="00950DF4"/>
    <w:rsid w:val="009514C3"/>
    <w:rsid w:val="009539D2"/>
    <w:rsid w:val="00954666"/>
    <w:rsid w:val="00955859"/>
    <w:rsid w:val="00956413"/>
    <w:rsid w:val="009566DF"/>
    <w:rsid w:val="00956CCB"/>
    <w:rsid w:val="00957D59"/>
    <w:rsid w:val="0096008A"/>
    <w:rsid w:val="0096031A"/>
    <w:rsid w:val="00962036"/>
    <w:rsid w:val="00962B79"/>
    <w:rsid w:val="009637D4"/>
    <w:rsid w:val="009641F7"/>
    <w:rsid w:val="00964580"/>
    <w:rsid w:val="00965999"/>
    <w:rsid w:val="00965E54"/>
    <w:rsid w:val="0096696C"/>
    <w:rsid w:val="009672B2"/>
    <w:rsid w:val="009679E2"/>
    <w:rsid w:val="00967D0F"/>
    <w:rsid w:val="00967E3B"/>
    <w:rsid w:val="00970C15"/>
    <w:rsid w:val="009711E4"/>
    <w:rsid w:val="009713EE"/>
    <w:rsid w:val="0097155C"/>
    <w:rsid w:val="00971E13"/>
    <w:rsid w:val="0097390B"/>
    <w:rsid w:val="00975AB3"/>
    <w:rsid w:val="00976038"/>
    <w:rsid w:val="009800DE"/>
    <w:rsid w:val="00980322"/>
    <w:rsid w:val="00980A0C"/>
    <w:rsid w:val="00981513"/>
    <w:rsid w:val="00982399"/>
    <w:rsid w:val="00982B0D"/>
    <w:rsid w:val="00983058"/>
    <w:rsid w:val="009847EF"/>
    <w:rsid w:val="00985130"/>
    <w:rsid w:val="00985E78"/>
    <w:rsid w:val="00986E3C"/>
    <w:rsid w:val="009879D5"/>
    <w:rsid w:val="0099080B"/>
    <w:rsid w:val="0099087B"/>
    <w:rsid w:val="009918D9"/>
    <w:rsid w:val="0099232B"/>
    <w:rsid w:val="00992F21"/>
    <w:rsid w:val="00993B08"/>
    <w:rsid w:val="0099559C"/>
    <w:rsid w:val="00995AF7"/>
    <w:rsid w:val="00995ED3"/>
    <w:rsid w:val="00996ACE"/>
    <w:rsid w:val="00997BD8"/>
    <w:rsid w:val="009A01DF"/>
    <w:rsid w:val="009A0584"/>
    <w:rsid w:val="009A0748"/>
    <w:rsid w:val="009A2F30"/>
    <w:rsid w:val="009A3282"/>
    <w:rsid w:val="009A366D"/>
    <w:rsid w:val="009A40AA"/>
    <w:rsid w:val="009A4377"/>
    <w:rsid w:val="009A597A"/>
    <w:rsid w:val="009A6D18"/>
    <w:rsid w:val="009A72F4"/>
    <w:rsid w:val="009A74D0"/>
    <w:rsid w:val="009A7C6C"/>
    <w:rsid w:val="009A7FF3"/>
    <w:rsid w:val="009B0AB7"/>
    <w:rsid w:val="009B0E2C"/>
    <w:rsid w:val="009B17B2"/>
    <w:rsid w:val="009B27F9"/>
    <w:rsid w:val="009B2F66"/>
    <w:rsid w:val="009B41B7"/>
    <w:rsid w:val="009B4C42"/>
    <w:rsid w:val="009B4D7E"/>
    <w:rsid w:val="009B66AD"/>
    <w:rsid w:val="009B6A92"/>
    <w:rsid w:val="009B74F6"/>
    <w:rsid w:val="009B7686"/>
    <w:rsid w:val="009C0F1C"/>
    <w:rsid w:val="009C2C2B"/>
    <w:rsid w:val="009C2EE9"/>
    <w:rsid w:val="009C377A"/>
    <w:rsid w:val="009C42F5"/>
    <w:rsid w:val="009C4332"/>
    <w:rsid w:val="009C4539"/>
    <w:rsid w:val="009C5272"/>
    <w:rsid w:val="009C6349"/>
    <w:rsid w:val="009C7793"/>
    <w:rsid w:val="009C7B02"/>
    <w:rsid w:val="009D019D"/>
    <w:rsid w:val="009D138E"/>
    <w:rsid w:val="009D19B4"/>
    <w:rsid w:val="009D27E8"/>
    <w:rsid w:val="009D2866"/>
    <w:rsid w:val="009D39D7"/>
    <w:rsid w:val="009D3C29"/>
    <w:rsid w:val="009D3CF8"/>
    <w:rsid w:val="009D3D72"/>
    <w:rsid w:val="009D3E50"/>
    <w:rsid w:val="009D5035"/>
    <w:rsid w:val="009D5190"/>
    <w:rsid w:val="009D54F0"/>
    <w:rsid w:val="009D555D"/>
    <w:rsid w:val="009D6623"/>
    <w:rsid w:val="009D6EA7"/>
    <w:rsid w:val="009D71E9"/>
    <w:rsid w:val="009E06B2"/>
    <w:rsid w:val="009E07A2"/>
    <w:rsid w:val="009E1531"/>
    <w:rsid w:val="009E19DB"/>
    <w:rsid w:val="009E2E41"/>
    <w:rsid w:val="009E32D8"/>
    <w:rsid w:val="009E3518"/>
    <w:rsid w:val="009E4B16"/>
    <w:rsid w:val="009E6588"/>
    <w:rsid w:val="009E7B01"/>
    <w:rsid w:val="009E7EF1"/>
    <w:rsid w:val="009F152B"/>
    <w:rsid w:val="009F19C7"/>
    <w:rsid w:val="009F1B0E"/>
    <w:rsid w:val="009F24CE"/>
    <w:rsid w:val="009F4321"/>
    <w:rsid w:val="009F6B2C"/>
    <w:rsid w:val="009F7D33"/>
    <w:rsid w:val="009F7F4D"/>
    <w:rsid w:val="00A00827"/>
    <w:rsid w:val="00A0093C"/>
    <w:rsid w:val="00A00C0A"/>
    <w:rsid w:val="00A012D2"/>
    <w:rsid w:val="00A01779"/>
    <w:rsid w:val="00A020D4"/>
    <w:rsid w:val="00A05A5E"/>
    <w:rsid w:val="00A07B1F"/>
    <w:rsid w:val="00A10171"/>
    <w:rsid w:val="00A1074B"/>
    <w:rsid w:val="00A1226D"/>
    <w:rsid w:val="00A15CB3"/>
    <w:rsid w:val="00A20CBB"/>
    <w:rsid w:val="00A21F14"/>
    <w:rsid w:val="00A22B5E"/>
    <w:rsid w:val="00A23687"/>
    <w:rsid w:val="00A23A70"/>
    <w:rsid w:val="00A23A7B"/>
    <w:rsid w:val="00A23DD0"/>
    <w:rsid w:val="00A24E98"/>
    <w:rsid w:val="00A250AF"/>
    <w:rsid w:val="00A257FC"/>
    <w:rsid w:val="00A25A70"/>
    <w:rsid w:val="00A264A5"/>
    <w:rsid w:val="00A27244"/>
    <w:rsid w:val="00A27CAB"/>
    <w:rsid w:val="00A27EE6"/>
    <w:rsid w:val="00A310D0"/>
    <w:rsid w:val="00A314EF"/>
    <w:rsid w:val="00A32397"/>
    <w:rsid w:val="00A324C6"/>
    <w:rsid w:val="00A324F7"/>
    <w:rsid w:val="00A3254C"/>
    <w:rsid w:val="00A32AF6"/>
    <w:rsid w:val="00A337D9"/>
    <w:rsid w:val="00A34B56"/>
    <w:rsid w:val="00A36647"/>
    <w:rsid w:val="00A378B8"/>
    <w:rsid w:val="00A4094B"/>
    <w:rsid w:val="00A42555"/>
    <w:rsid w:val="00A4256C"/>
    <w:rsid w:val="00A431EA"/>
    <w:rsid w:val="00A4349E"/>
    <w:rsid w:val="00A44278"/>
    <w:rsid w:val="00A449CF"/>
    <w:rsid w:val="00A52365"/>
    <w:rsid w:val="00A52371"/>
    <w:rsid w:val="00A52BF8"/>
    <w:rsid w:val="00A543C1"/>
    <w:rsid w:val="00A54963"/>
    <w:rsid w:val="00A5510D"/>
    <w:rsid w:val="00A57E5C"/>
    <w:rsid w:val="00A6024E"/>
    <w:rsid w:val="00A602D5"/>
    <w:rsid w:val="00A6055A"/>
    <w:rsid w:val="00A605E7"/>
    <w:rsid w:val="00A60BAA"/>
    <w:rsid w:val="00A6167E"/>
    <w:rsid w:val="00A62448"/>
    <w:rsid w:val="00A626E9"/>
    <w:rsid w:val="00A63447"/>
    <w:rsid w:val="00A643B0"/>
    <w:rsid w:val="00A6481D"/>
    <w:rsid w:val="00A64F5F"/>
    <w:rsid w:val="00A66121"/>
    <w:rsid w:val="00A6686C"/>
    <w:rsid w:val="00A67D4C"/>
    <w:rsid w:val="00A704FE"/>
    <w:rsid w:val="00A70DDF"/>
    <w:rsid w:val="00A7263D"/>
    <w:rsid w:val="00A73009"/>
    <w:rsid w:val="00A74392"/>
    <w:rsid w:val="00A75498"/>
    <w:rsid w:val="00A758AE"/>
    <w:rsid w:val="00A76C06"/>
    <w:rsid w:val="00A775D3"/>
    <w:rsid w:val="00A77ED5"/>
    <w:rsid w:val="00A808A2"/>
    <w:rsid w:val="00A8104E"/>
    <w:rsid w:val="00A810A1"/>
    <w:rsid w:val="00A83F71"/>
    <w:rsid w:val="00A84E4B"/>
    <w:rsid w:val="00A85920"/>
    <w:rsid w:val="00A86199"/>
    <w:rsid w:val="00A86BA1"/>
    <w:rsid w:val="00A87F43"/>
    <w:rsid w:val="00A904CB"/>
    <w:rsid w:val="00A9057D"/>
    <w:rsid w:val="00A90C54"/>
    <w:rsid w:val="00A91A01"/>
    <w:rsid w:val="00A92ADE"/>
    <w:rsid w:val="00A93796"/>
    <w:rsid w:val="00A93858"/>
    <w:rsid w:val="00A950D1"/>
    <w:rsid w:val="00A968B2"/>
    <w:rsid w:val="00A96A4F"/>
    <w:rsid w:val="00A97306"/>
    <w:rsid w:val="00A97CDE"/>
    <w:rsid w:val="00AA02F6"/>
    <w:rsid w:val="00AA0325"/>
    <w:rsid w:val="00AA0399"/>
    <w:rsid w:val="00AA1160"/>
    <w:rsid w:val="00AA1894"/>
    <w:rsid w:val="00AA1BF8"/>
    <w:rsid w:val="00AA2307"/>
    <w:rsid w:val="00AA29AE"/>
    <w:rsid w:val="00AA35B2"/>
    <w:rsid w:val="00AA39A8"/>
    <w:rsid w:val="00AA4E2D"/>
    <w:rsid w:val="00AA5A72"/>
    <w:rsid w:val="00AA6EC0"/>
    <w:rsid w:val="00AA7743"/>
    <w:rsid w:val="00AB07D6"/>
    <w:rsid w:val="00AB10D7"/>
    <w:rsid w:val="00AB1EA9"/>
    <w:rsid w:val="00AB233E"/>
    <w:rsid w:val="00AB31B2"/>
    <w:rsid w:val="00AB342E"/>
    <w:rsid w:val="00AB378A"/>
    <w:rsid w:val="00AB3DA7"/>
    <w:rsid w:val="00AB3EE4"/>
    <w:rsid w:val="00AB4D6F"/>
    <w:rsid w:val="00AB50B8"/>
    <w:rsid w:val="00AB610D"/>
    <w:rsid w:val="00AB6DF6"/>
    <w:rsid w:val="00AB73F6"/>
    <w:rsid w:val="00AC00FA"/>
    <w:rsid w:val="00AC09FA"/>
    <w:rsid w:val="00AC0C14"/>
    <w:rsid w:val="00AC1C28"/>
    <w:rsid w:val="00AC23BE"/>
    <w:rsid w:val="00AC359E"/>
    <w:rsid w:val="00AC3B5C"/>
    <w:rsid w:val="00AC4033"/>
    <w:rsid w:val="00AC4933"/>
    <w:rsid w:val="00AC5358"/>
    <w:rsid w:val="00AC55DF"/>
    <w:rsid w:val="00AC62C7"/>
    <w:rsid w:val="00AC6E09"/>
    <w:rsid w:val="00AC78A2"/>
    <w:rsid w:val="00AD0955"/>
    <w:rsid w:val="00AD107E"/>
    <w:rsid w:val="00AD178B"/>
    <w:rsid w:val="00AD226A"/>
    <w:rsid w:val="00AD2727"/>
    <w:rsid w:val="00AD32F1"/>
    <w:rsid w:val="00AD36CC"/>
    <w:rsid w:val="00AD3E80"/>
    <w:rsid w:val="00AD50D2"/>
    <w:rsid w:val="00AD5883"/>
    <w:rsid w:val="00AD6170"/>
    <w:rsid w:val="00AD7379"/>
    <w:rsid w:val="00AE03C0"/>
    <w:rsid w:val="00AE0927"/>
    <w:rsid w:val="00AE0DFA"/>
    <w:rsid w:val="00AE0E53"/>
    <w:rsid w:val="00AE0FBD"/>
    <w:rsid w:val="00AE1018"/>
    <w:rsid w:val="00AE1BDB"/>
    <w:rsid w:val="00AE1C54"/>
    <w:rsid w:val="00AE31E5"/>
    <w:rsid w:val="00AE46CA"/>
    <w:rsid w:val="00AE4F89"/>
    <w:rsid w:val="00AE525B"/>
    <w:rsid w:val="00AE7A91"/>
    <w:rsid w:val="00AF06CD"/>
    <w:rsid w:val="00AF2727"/>
    <w:rsid w:val="00AF2DC9"/>
    <w:rsid w:val="00AF37AC"/>
    <w:rsid w:val="00AF3F17"/>
    <w:rsid w:val="00AF411C"/>
    <w:rsid w:val="00AF4619"/>
    <w:rsid w:val="00AF4C9B"/>
    <w:rsid w:val="00AF6063"/>
    <w:rsid w:val="00AF62DF"/>
    <w:rsid w:val="00AF648F"/>
    <w:rsid w:val="00AF687D"/>
    <w:rsid w:val="00AF7C77"/>
    <w:rsid w:val="00B00854"/>
    <w:rsid w:val="00B015A5"/>
    <w:rsid w:val="00B02696"/>
    <w:rsid w:val="00B027B9"/>
    <w:rsid w:val="00B032BE"/>
    <w:rsid w:val="00B05E47"/>
    <w:rsid w:val="00B05E4D"/>
    <w:rsid w:val="00B06E7A"/>
    <w:rsid w:val="00B07409"/>
    <w:rsid w:val="00B07B95"/>
    <w:rsid w:val="00B11122"/>
    <w:rsid w:val="00B11D9B"/>
    <w:rsid w:val="00B120BA"/>
    <w:rsid w:val="00B13189"/>
    <w:rsid w:val="00B135A6"/>
    <w:rsid w:val="00B143EB"/>
    <w:rsid w:val="00B153A0"/>
    <w:rsid w:val="00B15A46"/>
    <w:rsid w:val="00B176EA"/>
    <w:rsid w:val="00B17926"/>
    <w:rsid w:val="00B2074F"/>
    <w:rsid w:val="00B21274"/>
    <w:rsid w:val="00B21BE3"/>
    <w:rsid w:val="00B2267F"/>
    <w:rsid w:val="00B231FE"/>
    <w:rsid w:val="00B23AC6"/>
    <w:rsid w:val="00B24120"/>
    <w:rsid w:val="00B24C2C"/>
    <w:rsid w:val="00B251FD"/>
    <w:rsid w:val="00B267B1"/>
    <w:rsid w:val="00B27CD1"/>
    <w:rsid w:val="00B3097E"/>
    <w:rsid w:val="00B31937"/>
    <w:rsid w:val="00B31E75"/>
    <w:rsid w:val="00B324AD"/>
    <w:rsid w:val="00B329D9"/>
    <w:rsid w:val="00B336AE"/>
    <w:rsid w:val="00B34776"/>
    <w:rsid w:val="00B35497"/>
    <w:rsid w:val="00B3555B"/>
    <w:rsid w:val="00B3629C"/>
    <w:rsid w:val="00B4054A"/>
    <w:rsid w:val="00B40FAC"/>
    <w:rsid w:val="00B410C0"/>
    <w:rsid w:val="00B41AD0"/>
    <w:rsid w:val="00B44219"/>
    <w:rsid w:val="00B449F5"/>
    <w:rsid w:val="00B44D0C"/>
    <w:rsid w:val="00B45040"/>
    <w:rsid w:val="00B45EB4"/>
    <w:rsid w:val="00B4634A"/>
    <w:rsid w:val="00B46442"/>
    <w:rsid w:val="00B46944"/>
    <w:rsid w:val="00B469E8"/>
    <w:rsid w:val="00B46C0F"/>
    <w:rsid w:val="00B471D6"/>
    <w:rsid w:val="00B47408"/>
    <w:rsid w:val="00B50146"/>
    <w:rsid w:val="00B5071A"/>
    <w:rsid w:val="00B523E5"/>
    <w:rsid w:val="00B53431"/>
    <w:rsid w:val="00B53602"/>
    <w:rsid w:val="00B541E7"/>
    <w:rsid w:val="00B54AE6"/>
    <w:rsid w:val="00B5645F"/>
    <w:rsid w:val="00B60100"/>
    <w:rsid w:val="00B617BB"/>
    <w:rsid w:val="00B61A6A"/>
    <w:rsid w:val="00B61EFA"/>
    <w:rsid w:val="00B620AC"/>
    <w:rsid w:val="00B64A70"/>
    <w:rsid w:val="00B65086"/>
    <w:rsid w:val="00B651E2"/>
    <w:rsid w:val="00B66F4D"/>
    <w:rsid w:val="00B67C26"/>
    <w:rsid w:val="00B706EF"/>
    <w:rsid w:val="00B70D60"/>
    <w:rsid w:val="00B71284"/>
    <w:rsid w:val="00B72693"/>
    <w:rsid w:val="00B72E1F"/>
    <w:rsid w:val="00B734AF"/>
    <w:rsid w:val="00B734F0"/>
    <w:rsid w:val="00B75EC7"/>
    <w:rsid w:val="00B765E8"/>
    <w:rsid w:val="00B80B3D"/>
    <w:rsid w:val="00B82FFC"/>
    <w:rsid w:val="00B87076"/>
    <w:rsid w:val="00B871D5"/>
    <w:rsid w:val="00B916D7"/>
    <w:rsid w:val="00B91A22"/>
    <w:rsid w:val="00B92CAA"/>
    <w:rsid w:val="00B930F7"/>
    <w:rsid w:val="00B938C8"/>
    <w:rsid w:val="00B93AB2"/>
    <w:rsid w:val="00B9654F"/>
    <w:rsid w:val="00B9715D"/>
    <w:rsid w:val="00BA020A"/>
    <w:rsid w:val="00BA1DDC"/>
    <w:rsid w:val="00BA270C"/>
    <w:rsid w:val="00BA27A1"/>
    <w:rsid w:val="00BA31A8"/>
    <w:rsid w:val="00BA32C3"/>
    <w:rsid w:val="00BA3CD1"/>
    <w:rsid w:val="00BA4615"/>
    <w:rsid w:val="00BA59DB"/>
    <w:rsid w:val="00BA6356"/>
    <w:rsid w:val="00BA76A9"/>
    <w:rsid w:val="00BB164A"/>
    <w:rsid w:val="00BB1A02"/>
    <w:rsid w:val="00BB3676"/>
    <w:rsid w:val="00BB38CF"/>
    <w:rsid w:val="00BB4780"/>
    <w:rsid w:val="00BB4F4A"/>
    <w:rsid w:val="00BB5C46"/>
    <w:rsid w:val="00BB6AC8"/>
    <w:rsid w:val="00BC0B76"/>
    <w:rsid w:val="00BC1039"/>
    <w:rsid w:val="00BC1207"/>
    <w:rsid w:val="00BC14DE"/>
    <w:rsid w:val="00BC1905"/>
    <w:rsid w:val="00BC2116"/>
    <w:rsid w:val="00BC2FAA"/>
    <w:rsid w:val="00BC3B62"/>
    <w:rsid w:val="00BC4290"/>
    <w:rsid w:val="00BC7BDF"/>
    <w:rsid w:val="00BD01FF"/>
    <w:rsid w:val="00BD0FB6"/>
    <w:rsid w:val="00BD1122"/>
    <w:rsid w:val="00BD1842"/>
    <w:rsid w:val="00BD20C6"/>
    <w:rsid w:val="00BD34C1"/>
    <w:rsid w:val="00BD4454"/>
    <w:rsid w:val="00BD4D04"/>
    <w:rsid w:val="00BD5460"/>
    <w:rsid w:val="00BD5579"/>
    <w:rsid w:val="00BD696F"/>
    <w:rsid w:val="00BE068F"/>
    <w:rsid w:val="00BE0A6E"/>
    <w:rsid w:val="00BE2881"/>
    <w:rsid w:val="00BE2E80"/>
    <w:rsid w:val="00BE3EF8"/>
    <w:rsid w:val="00BE4039"/>
    <w:rsid w:val="00BE48F3"/>
    <w:rsid w:val="00BE5601"/>
    <w:rsid w:val="00BE781D"/>
    <w:rsid w:val="00BE78CF"/>
    <w:rsid w:val="00BF17B6"/>
    <w:rsid w:val="00BF31C4"/>
    <w:rsid w:val="00BF46AA"/>
    <w:rsid w:val="00BF4ADD"/>
    <w:rsid w:val="00BF4CCB"/>
    <w:rsid w:val="00BF4F07"/>
    <w:rsid w:val="00BF4F13"/>
    <w:rsid w:val="00BF5F03"/>
    <w:rsid w:val="00BF7093"/>
    <w:rsid w:val="00C0028D"/>
    <w:rsid w:val="00C00397"/>
    <w:rsid w:val="00C00FCD"/>
    <w:rsid w:val="00C01997"/>
    <w:rsid w:val="00C02BD3"/>
    <w:rsid w:val="00C02C24"/>
    <w:rsid w:val="00C03DF4"/>
    <w:rsid w:val="00C04402"/>
    <w:rsid w:val="00C04A9D"/>
    <w:rsid w:val="00C05208"/>
    <w:rsid w:val="00C06215"/>
    <w:rsid w:val="00C06FA7"/>
    <w:rsid w:val="00C073C0"/>
    <w:rsid w:val="00C13250"/>
    <w:rsid w:val="00C134AC"/>
    <w:rsid w:val="00C15971"/>
    <w:rsid w:val="00C15C81"/>
    <w:rsid w:val="00C16659"/>
    <w:rsid w:val="00C1793C"/>
    <w:rsid w:val="00C1797C"/>
    <w:rsid w:val="00C17E7D"/>
    <w:rsid w:val="00C203BE"/>
    <w:rsid w:val="00C21CE0"/>
    <w:rsid w:val="00C226A7"/>
    <w:rsid w:val="00C22C3F"/>
    <w:rsid w:val="00C22D06"/>
    <w:rsid w:val="00C23596"/>
    <w:rsid w:val="00C23B6D"/>
    <w:rsid w:val="00C256DC"/>
    <w:rsid w:val="00C25F4C"/>
    <w:rsid w:val="00C26CAC"/>
    <w:rsid w:val="00C26CCB"/>
    <w:rsid w:val="00C26D02"/>
    <w:rsid w:val="00C27257"/>
    <w:rsid w:val="00C27723"/>
    <w:rsid w:val="00C27C89"/>
    <w:rsid w:val="00C27DFE"/>
    <w:rsid w:val="00C27F94"/>
    <w:rsid w:val="00C3004B"/>
    <w:rsid w:val="00C31244"/>
    <w:rsid w:val="00C3271F"/>
    <w:rsid w:val="00C33DF3"/>
    <w:rsid w:val="00C34D2D"/>
    <w:rsid w:val="00C35BDC"/>
    <w:rsid w:val="00C35E43"/>
    <w:rsid w:val="00C36977"/>
    <w:rsid w:val="00C37029"/>
    <w:rsid w:val="00C37985"/>
    <w:rsid w:val="00C37BFE"/>
    <w:rsid w:val="00C4189F"/>
    <w:rsid w:val="00C41B18"/>
    <w:rsid w:val="00C42234"/>
    <w:rsid w:val="00C42DE5"/>
    <w:rsid w:val="00C43091"/>
    <w:rsid w:val="00C43344"/>
    <w:rsid w:val="00C44301"/>
    <w:rsid w:val="00C448D5"/>
    <w:rsid w:val="00C44DE0"/>
    <w:rsid w:val="00C44DF4"/>
    <w:rsid w:val="00C45A6B"/>
    <w:rsid w:val="00C45F87"/>
    <w:rsid w:val="00C46D27"/>
    <w:rsid w:val="00C46EFF"/>
    <w:rsid w:val="00C50055"/>
    <w:rsid w:val="00C50852"/>
    <w:rsid w:val="00C529F3"/>
    <w:rsid w:val="00C53563"/>
    <w:rsid w:val="00C53F95"/>
    <w:rsid w:val="00C5434C"/>
    <w:rsid w:val="00C543CB"/>
    <w:rsid w:val="00C549F1"/>
    <w:rsid w:val="00C54D4E"/>
    <w:rsid w:val="00C55583"/>
    <w:rsid w:val="00C555E2"/>
    <w:rsid w:val="00C55EC3"/>
    <w:rsid w:val="00C56929"/>
    <w:rsid w:val="00C56B4D"/>
    <w:rsid w:val="00C614F8"/>
    <w:rsid w:val="00C63B82"/>
    <w:rsid w:val="00C643F6"/>
    <w:rsid w:val="00C651CF"/>
    <w:rsid w:val="00C65660"/>
    <w:rsid w:val="00C65A94"/>
    <w:rsid w:val="00C661E4"/>
    <w:rsid w:val="00C7090C"/>
    <w:rsid w:val="00C70C32"/>
    <w:rsid w:val="00C70F88"/>
    <w:rsid w:val="00C717A4"/>
    <w:rsid w:val="00C73108"/>
    <w:rsid w:val="00C73B4D"/>
    <w:rsid w:val="00C7496A"/>
    <w:rsid w:val="00C765FA"/>
    <w:rsid w:val="00C766A7"/>
    <w:rsid w:val="00C76DE8"/>
    <w:rsid w:val="00C76FC5"/>
    <w:rsid w:val="00C77D77"/>
    <w:rsid w:val="00C81490"/>
    <w:rsid w:val="00C822DF"/>
    <w:rsid w:val="00C828A1"/>
    <w:rsid w:val="00C82E04"/>
    <w:rsid w:val="00C84021"/>
    <w:rsid w:val="00C847F5"/>
    <w:rsid w:val="00C849C1"/>
    <w:rsid w:val="00C8588C"/>
    <w:rsid w:val="00C85B2E"/>
    <w:rsid w:val="00C85C37"/>
    <w:rsid w:val="00C860E8"/>
    <w:rsid w:val="00C87784"/>
    <w:rsid w:val="00C87E0A"/>
    <w:rsid w:val="00C9029C"/>
    <w:rsid w:val="00C90B2D"/>
    <w:rsid w:val="00C91413"/>
    <w:rsid w:val="00C91C41"/>
    <w:rsid w:val="00C91D5A"/>
    <w:rsid w:val="00C92CC8"/>
    <w:rsid w:val="00C93EFA"/>
    <w:rsid w:val="00C94CAC"/>
    <w:rsid w:val="00C95B82"/>
    <w:rsid w:val="00C96A39"/>
    <w:rsid w:val="00C96F9B"/>
    <w:rsid w:val="00C96FF3"/>
    <w:rsid w:val="00C97962"/>
    <w:rsid w:val="00C97F75"/>
    <w:rsid w:val="00CA100B"/>
    <w:rsid w:val="00CA1159"/>
    <w:rsid w:val="00CA1CC0"/>
    <w:rsid w:val="00CA1CCB"/>
    <w:rsid w:val="00CA2392"/>
    <w:rsid w:val="00CA2417"/>
    <w:rsid w:val="00CA2733"/>
    <w:rsid w:val="00CA2C54"/>
    <w:rsid w:val="00CA2EBB"/>
    <w:rsid w:val="00CA50F6"/>
    <w:rsid w:val="00CA5F5B"/>
    <w:rsid w:val="00CA70B7"/>
    <w:rsid w:val="00CB0071"/>
    <w:rsid w:val="00CB06A6"/>
    <w:rsid w:val="00CB0AA7"/>
    <w:rsid w:val="00CB152A"/>
    <w:rsid w:val="00CB2441"/>
    <w:rsid w:val="00CB2785"/>
    <w:rsid w:val="00CB3533"/>
    <w:rsid w:val="00CB47ED"/>
    <w:rsid w:val="00CB5DA5"/>
    <w:rsid w:val="00CB645B"/>
    <w:rsid w:val="00CB723F"/>
    <w:rsid w:val="00CC05FB"/>
    <w:rsid w:val="00CC0C8F"/>
    <w:rsid w:val="00CC2119"/>
    <w:rsid w:val="00CC22B8"/>
    <w:rsid w:val="00CC3BB8"/>
    <w:rsid w:val="00CC4B11"/>
    <w:rsid w:val="00CC5366"/>
    <w:rsid w:val="00CC53F9"/>
    <w:rsid w:val="00CC645A"/>
    <w:rsid w:val="00CD0C10"/>
    <w:rsid w:val="00CD1D0C"/>
    <w:rsid w:val="00CD1F36"/>
    <w:rsid w:val="00CD2203"/>
    <w:rsid w:val="00CD3407"/>
    <w:rsid w:val="00CD3A5C"/>
    <w:rsid w:val="00CD3F9E"/>
    <w:rsid w:val="00CD61EB"/>
    <w:rsid w:val="00CE04C5"/>
    <w:rsid w:val="00CE1A96"/>
    <w:rsid w:val="00CE3106"/>
    <w:rsid w:val="00CE312D"/>
    <w:rsid w:val="00CE377A"/>
    <w:rsid w:val="00CE4DD8"/>
    <w:rsid w:val="00CE5120"/>
    <w:rsid w:val="00CE5253"/>
    <w:rsid w:val="00CE6782"/>
    <w:rsid w:val="00CE6C34"/>
    <w:rsid w:val="00CE7BA3"/>
    <w:rsid w:val="00CE7D51"/>
    <w:rsid w:val="00CF0E44"/>
    <w:rsid w:val="00CF0F53"/>
    <w:rsid w:val="00CF16D0"/>
    <w:rsid w:val="00CF1758"/>
    <w:rsid w:val="00CF18A3"/>
    <w:rsid w:val="00CF1B81"/>
    <w:rsid w:val="00CF3D14"/>
    <w:rsid w:val="00CF4040"/>
    <w:rsid w:val="00CF5634"/>
    <w:rsid w:val="00CF62E1"/>
    <w:rsid w:val="00CF6B15"/>
    <w:rsid w:val="00CF6B7E"/>
    <w:rsid w:val="00CF718E"/>
    <w:rsid w:val="00CF73DF"/>
    <w:rsid w:val="00CF79A9"/>
    <w:rsid w:val="00CF7DEF"/>
    <w:rsid w:val="00D0068F"/>
    <w:rsid w:val="00D02D00"/>
    <w:rsid w:val="00D033F8"/>
    <w:rsid w:val="00D03427"/>
    <w:rsid w:val="00D04613"/>
    <w:rsid w:val="00D04CF4"/>
    <w:rsid w:val="00D0698D"/>
    <w:rsid w:val="00D06AF0"/>
    <w:rsid w:val="00D06D7F"/>
    <w:rsid w:val="00D0777D"/>
    <w:rsid w:val="00D0793D"/>
    <w:rsid w:val="00D1016D"/>
    <w:rsid w:val="00D1058A"/>
    <w:rsid w:val="00D106F2"/>
    <w:rsid w:val="00D120D8"/>
    <w:rsid w:val="00D122E3"/>
    <w:rsid w:val="00D13C77"/>
    <w:rsid w:val="00D14391"/>
    <w:rsid w:val="00D14C1A"/>
    <w:rsid w:val="00D16876"/>
    <w:rsid w:val="00D17A16"/>
    <w:rsid w:val="00D17B8D"/>
    <w:rsid w:val="00D20323"/>
    <w:rsid w:val="00D205B6"/>
    <w:rsid w:val="00D20F53"/>
    <w:rsid w:val="00D21998"/>
    <w:rsid w:val="00D21DC5"/>
    <w:rsid w:val="00D21E21"/>
    <w:rsid w:val="00D22A5A"/>
    <w:rsid w:val="00D23C2C"/>
    <w:rsid w:val="00D24A51"/>
    <w:rsid w:val="00D26052"/>
    <w:rsid w:val="00D26FC8"/>
    <w:rsid w:val="00D307FE"/>
    <w:rsid w:val="00D33B03"/>
    <w:rsid w:val="00D33C79"/>
    <w:rsid w:val="00D34506"/>
    <w:rsid w:val="00D34710"/>
    <w:rsid w:val="00D34740"/>
    <w:rsid w:val="00D34971"/>
    <w:rsid w:val="00D34A1E"/>
    <w:rsid w:val="00D36132"/>
    <w:rsid w:val="00D3754B"/>
    <w:rsid w:val="00D37ECA"/>
    <w:rsid w:val="00D401C9"/>
    <w:rsid w:val="00D402D1"/>
    <w:rsid w:val="00D407BB"/>
    <w:rsid w:val="00D42C08"/>
    <w:rsid w:val="00D440F6"/>
    <w:rsid w:val="00D44BFF"/>
    <w:rsid w:val="00D44DEF"/>
    <w:rsid w:val="00D453BA"/>
    <w:rsid w:val="00D45B11"/>
    <w:rsid w:val="00D45EF0"/>
    <w:rsid w:val="00D46410"/>
    <w:rsid w:val="00D4691B"/>
    <w:rsid w:val="00D47407"/>
    <w:rsid w:val="00D50799"/>
    <w:rsid w:val="00D51575"/>
    <w:rsid w:val="00D51965"/>
    <w:rsid w:val="00D51B37"/>
    <w:rsid w:val="00D51E98"/>
    <w:rsid w:val="00D52AED"/>
    <w:rsid w:val="00D55DA3"/>
    <w:rsid w:val="00D561C1"/>
    <w:rsid w:val="00D5633F"/>
    <w:rsid w:val="00D56675"/>
    <w:rsid w:val="00D56C4E"/>
    <w:rsid w:val="00D572EB"/>
    <w:rsid w:val="00D604DA"/>
    <w:rsid w:val="00D60C14"/>
    <w:rsid w:val="00D6137F"/>
    <w:rsid w:val="00D61DD9"/>
    <w:rsid w:val="00D6413A"/>
    <w:rsid w:val="00D648E2"/>
    <w:rsid w:val="00D65989"/>
    <w:rsid w:val="00D65B7B"/>
    <w:rsid w:val="00D6780F"/>
    <w:rsid w:val="00D6795E"/>
    <w:rsid w:val="00D67AEB"/>
    <w:rsid w:val="00D67B69"/>
    <w:rsid w:val="00D7144E"/>
    <w:rsid w:val="00D7184E"/>
    <w:rsid w:val="00D71CAB"/>
    <w:rsid w:val="00D72AEF"/>
    <w:rsid w:val="00D73D10"/>
    <w:rsid w:val="00D7436A"/>
    <w:rsid w:val="00D778F2"/>
    <w:rsid w:val="00D779CE"/>
    <w:rsid w:val="00D77B74"/>
    <w:rsid w:val="00D80E5F"/>
    <w:rsid w:val="00D81925"/>
    <w:rsid w:val="00D8225F"/>
    <w:rsid w:val="00D82886"/>
    <w:rsid w:val="00D83594"/>
    <w:rsid w:val="00D8420B"/>
    <w:rsid w:val="00D84A90"/>
    <w:rsid w:val="00D86FB3"/>
    <w:rsid w:val="00D87FD3"/>
    <w:rsid w:val="00D91FA5"/>
    <w:rsid w:val="00D928F0"/>
    <w:rsid w:val="00D92FCC"/>
    <w:rsid w:val="00D930BC"/>
    <w:rsid w:val="00D935E2"/>
    <w:rsid w:val="00D9376B"/>
    <w:rsid w:val="00D9393D"/>
    <w:rsid w:val="00D944A2"/>
    <w:rsid w:val="00D968A6"/>
    <w:rsid w:val="00DA0D35"/>
    <w:rsid w:val="00DA1E33"/>
    <w:rsid w:val="00DA25F5"/>
    <w:rsid w:val="00DA2F60"/>
    <w:rsid w:val="00DA4525"/>
    <w:rsid w:val="00DA4984"/>
    <w:rsid w:val="00DA4C26"/>
    <w:rsid w:val="00DA4D0B"/>
    <w:rsid w:val="00DA543C"/>
    <w:rsid w:val="00DA5D3B"/>
    <w:rsid w:val="00DA6045"/>
    <w:rsid w:val="00DA679D"/>
    <w:rsid w:val="00DA7945"/>
    <w:rsid w:val="00DB0212"/>
    <w:rsid w:val="00DB0A27"/>
    <w:rsid w:val="00DB0BED"/>
    <w:rsid w:val="00DB0FFE"/>
    <w:rsid w:val="00DB104F"/>
    <w:rsid w:val="00DB1CEE"/>
    <w:rsid w:val="00DB2B0B"/>
    <w:rsid w:val="00DB313A"/>
    <w:rsid w:val="00DB5B73"/>
    <w:rsid w:val="00DB6204"/>
    <w:rsid w:val="00DB67DE"/>
    <w:rsid w:val="00DB6AD5"/>
    <w:rsid w:val="00DB704F"/>
    <w:rsid w:val="00DC15A1"/>
    <w:rsid w:val="00DC3BA6"/>
    <w:rsid w:val="00DC427F"/>
    <w:rsid w:val="00DC564D"/>
    <w:rsid w:val="00DC660B"/>
    <w:rsid w:val="00DC76A6"/>
    <w:rsid w:val="00DD0C9A"/>
    <w:rsid w:val="00DD1831"/>
    <w:rsid w:val="00DD1E2D"/>
    <w:rsid w:val="00DD2013"/>
    <w:rsid w:val="00DD32D6"/>
    <w:rsid w:val="00DD34C4"/>
    <w:rsid w:val="00DD49B6"/>
    <w:rsid w:val="00DD5075"/>
    <w:rsid w:val="00DD5512"/>
    <w:rsid w:val="00DD6F68"/>
    <w:rsid w:val="00DD7486"/>
    <w:rsid w:val="00DD7793"/>
    <w:rsid w:val="00DD7942"/>
    <w:rsid w:val="00DE0352"/>
    <w:rsid w:val="00DE06ED"/>
    <w:rsid w:val="00DE11F0"/>
    <w:rsid w:val="00DE1587"/>
    <w:rsid w:val="00DE1819"/>
    <w:rsid w:val="00DE1C4B"/>
    <w:rsid w:val="00DE213A"/>
    <w:rsid w:val="00DE238F"/>
    <w:rsid w:val="00DE2F7A"/>
    <w:rsid w:val="00DE33AC"/>
    <w:rsid w:val="00DE35ED"/>
    <w:rsid w:val="00DE3863"/>
    <w:rsid w:val="00DE576B"/>
    <w:rsid w:val="00DE5E3E"/>
    <w:rsid w:val="00DE60C8"/>
    <w:rsid w:val="00DE643C"/>
    <w:rsid w:val="00DE71B8"/>
    <w:rsid w:val="00DE738A"/>
    <w:rsid w:val="00DE7516"/>
    <w:rsid w:val="00DE77F8"/>
    <w:rsid w:val="00DF095E"/>
    <w:rsid w:val="00DF220D"/>
    <w:rsid w:val="00DF29A3"/>
    <w:rsid w:val="00DF340D"/>
    <w:rsid w:val="00DF3689"/>
    <w:rsid w:val="00DF4954"/>
    <w:rsid w:val="00DF4C25"/>
    <w:rsid w:val="00DF4C3B"/>
    <w:rsid w:val="00DF5A5D"/>
    <w:rsid w:val="00DF6E2B"/>
    <w:rsid w:val="00DF74A8"/>
    <w:rsid w:val="00DF776B"/>
    <w:rsid w:val="00DF7D35"/>
    <w:rsid w:val="00E003C7"/>
    <w:rsid w:val="00E0051F"/>
    <w:rsid w:val="00E0103E"/>
    <w:rsid w:val="00E011D6"/>
    <w:rsid w:val="00E0128F"/>
    <w:rsid w:val="00E01334"/>
    <w:rsid w:val="00E02FAD"/>
    <w:rsid w:val="00E037B0"/>
    <w:rsid w:val="00E0415A"/>
    <w:rsid w:val="00E0444B"/>
    <w:rsid w:val="00E04F7F"/>
    <w:rsid w:val="00E05169"/>
    <w:rsid w:val="00E05EA1"/>
    <w:rsid w:val="00E073FE"/>
    <w:rsid w:val="00E07E8C"/>
    <w:rsid w:val="00E1042B"/>
    <w:rsid w:val="00E126BF"/>
    <w:rsid w:val="00E12830"/>
    <w:rsid w:val="00E136C2"/>
    <w:rsid w:val="00E13755"/>
    <w:rsid w:val="00E13F95"/>
    <w:rsid w:val="00E14081"/>
    <w:rsid w:val="00E151D3"/>
    <w:rsid w:val="00E1639B"/>
    <w:rsid w:val="00E163ED"/>
    <w:rsid w:val="00E17259"/>
    <w:rsid w:val="00E211AD"/>
    <w:rsid w:val="00E237ED"/>
    <w:rsid w:val="00E2391F"/>
    <w:rsid w:val="00E24D7B"/>
    <w:rsid w:val="00E2559A"/>
    <w:rsid w:val="00E26713"/>
    <w:rsid w:val="00E269B6"/>
    <w:rsid w:val="00E26DD6"/>
    <w:rsid w:val="00E26E96"/>
    <w:rsid w:val="00E274ED"/>
    <w:rsid w:val="00E307B4"/>
    <w:rsid w:val="00E311D3"/>
    <w:rsid w:val="00E31621"/>
    <w:rsid w:val="00E32387"/>
    <w:rsid w:val="00E3387D"/>
    <w:rsid w:val="00E33C71"/>
    <w:rsid w:val="00E33EB3"/>
    <w:rsid w:val="00E346D9"/>
    <w:rsid w:val="00E355EB"/>
    <w:rsid w:val="00E35819"/>
    <w:rsid w:val="00E36053"/>
    <w:rsid w:val="00E361C7"/>
    <w:rsid w:val="00E36762"/>
    <w:rsid w:val="00E368A5"/>
    <w:rsid w:val="00E40B5D"/>
    <w:rsid w:val="00E417DD"/>
    <w:rsid w:val="00E41B4D"/>
    <w:rsid w:val="00E42379"/>
    <w:rsid w:val="00E42921"/>
    <w:rsid w:val="00E435F7"/>
    <w:rsid w:val="00E43A95"/>
    <w:rsid w:val="00E43B3C"/>
    <w:rsid w:val="00E446FC"/>
    <w:rsid w:val="00E46AC1"/>
    <w:rsid w:val="00E475FB"/>
    <w:rsid w:val="00E4760E"/>
    <w:rsid w:val="00E50EB1"/>
    <w:rsid w:val="00E51659"/>
    <w:rsid w:val="00E52A32"/>
    <w:rsid w:val="00E52ECF"/>
    <w:rsid w:val="00E53CC5"/>
    <w:rsid w:val="00E53CED"/>
    <w:rsid w:val="00E55DB2"/>
    <w:rsid w:val="00E56951"/>
    <w:rsid w:val="00E57817"/>
    <w:rsid w:val="00E60F6D"/>
    <w:rsid w:val="00E61D34"/>
    <w:rsid w:val="00E61FAF"/>
    <w:rsid w:val="00E6351E"/>
    <w:rsid w:val="00E6426B"/>
    <w:rsid w:val="00E64AE3"/>
    <w:rsid w:val="00E665E6"/>
    <w:rsid w:val="00E66E0E"/>
    <w:rsid w:val="00E670E0"/>
    <w:rsid w:val="00E673E6"/>
    <w:rsid w:val="00E70C9E"/>
    <w:rsid w:val="00E7130B"/>
    <w:rsid w:val="00E71DBB"/>
    <w:rsid w:val="00E71FC9"/>
    <w:rsid w:val="00E726AE"/>
    <w:rsid w:val="00E73A72"/>
    <w:rsid w:val="00E7416F"/>
    <w:rsid w:val="00E74B50"/>
    <w:rsid w:val="00E74C28"/>
    <w:rsid w:val="00E75F7F"/>
    <w:rsid w:val="00E773E6"/>
    <w:rsid w:val="00E8013C"/>
    <w:rsid w:val="00E80703"/>
    <w:rsid w:val="00E818DC"/>
    <w:rsid w:val="00E8212A"/>
    <w:rsid w:val="00E828EB"/>
    <w:rsid w:val="00E85384"/>
    <w:rsid w:val="00E8597B"/>
    <w:rsid w:val="00E8619C"/>
    <w:rsid w:val="00E86691"/>
    <w:rsid w:val="00E86C42"/>
    <w:rsid w:val="00E87450"/>
    <w:rsid w:val="00E874A6"/>
    <w:rsid w:val="00E87815"/>
    <w:rsid w:val="00E90C96"/>
    <w:rsid w:val="00E91268"/>
    <w:rsid w:val="00E91FCC"/>
    <w:rsid w:val="00E934E2"/>
    <w:rsid w:val="00E94B18"/>
    <w:rsid w:val="00E95123"/>
    <w:rsid w:val="00E955BD"/>
    <w:rsid w:val="00E957C9"/>
    <w:rsid w:val="00E960AC"/>
    <w:rsid w:val="00E96B9E"/>
    <w:rsid w:val="00E96D95"/>
    <w:rsid w:val="00E97AA6"/>
    <w:rsid w:val="00EA0313"/>
    <w:rsid w:val="00EA05AD"/>
    <w:rsid w:val="00EA1056"/>
    <w:rsid w:val="00EA170C"/>
    <w:rsid w:val="00EA23CB"/>
    <w:rsid w:val="00EA26F1"/>
    <w:rsid w:val="00EA2DEB"/>
    <w:rsid w:val="00EA3365"/>
    <w:rsid w:val="00EA40C1"/>
    <w:rsid w:val="00EA4D6B"/>
    <w:rsid w:val="00EA4F51"/>
    <w:rsid w:val="00EA61E1"/>
    <w:rsid w:val="00EA6A4F"/>
    <w:rsid w:val="00EA6AC9"/>
    <w:rsid w:val="00EA6B55"/>
    <w:rsid w:val="00EA70DD"/>
    <w:rsid w:val="00EB09DC"/>
    <w:rsid w:val="00EB1EBD"/>
    <w:rsid w:val="00EB2848"/>
    <w:rsid w:val="00EB2D3A"/>
    <w:rsid w:val="00EB3CFF"/>
    <w:rsid w:val="00EB6128"/>
    <w:rsid w:val="00EB6BC8"/>
    <w:rsid w:val="00EB7673"/>
    <w:rsid w:val="00EB773E"/>
    <w:rsid w:val="00EB77C7"/>
    <w:rsid w:val="00EC1181"/>
    <w:rsid w:val="00EC17A2"/>
    <w:rsid w:val="00EC20FE"/>
    <w:rsid w:val="00EC39DF"/>
    <w:rsid w:val="00EC3ABA"/>
    <w:rsid w:val="00EC448C"/>
    <w:rsid w:val="00EC4740"/>
    <w:rsid w:val="00EC5B95"/>
    <w:rsid w:val="00EC6325"/>
    <w:rsid w:val="00EC7FA5"/>
    <w:rsid w:val="00ED1738"/>
    <w:rsid w:val="00ED1CD4"/>
    <w:rsid w:val="00ED23E9"/>
    <w:rsid w:val="00ED2EC3"/>
    <w:rsid w:val="00ED3A54"/>
    <w:rsid w:val="00ED4A4E"/>
    <w:rsid w:val="00ED6FA2"/>
    <w:rsid w:val="00ED734F"/>
    <w:rsid w:val="00ED7976"/>
    <w:rsid w:val="00ED7B52"/>
    <w:rsid w:val="00EE0355"/>
    <w:rsid w:val="00EE07A7"/>
    <w:rsid w:val="00EE0920"/>
    <w:rsid w:val="00EE0C36"/>
    <w:rsid w:val="00EE0F25"/>
    <w:rsid w:val="00EE1462"/>
    <w:rsid w:val="00EE26B7"/>
    <w:rsid w:val="00EE2EAF"/>
    <w:rsid w:val="00EE34E1"/>
    <w:rsid w:val="00EE39E5"/>
    <w:rsid w:val="00EE3B67"/>
    <w:rsid w:val="00EE49D5"/>
    <w:rsid w:val="00EE6017"/>
    <w:rsid w:val="00EE6CCD"/>
    <w:rsid w:val="00EE7688"/>
    <w:rsid w:val="00EF08BA"/>
    <w:rsid w:val="00EF0F56"/>
    <w:rsid w:val="00EF0F8C"/>
    <w:rsid w:val="00EF2527"/>
    <w:rsid w:val="00EF40B9"/>
    <w:rsid w:val="00EF4652"/>
    <w:rsid w:val="00EF4839"/>
    <w:rsid w:val="00EF54A1"/>
    <w:rsid w:val="00EF5D81"/>
    <w:rsid w:val="00EF70D8"/>
    <w:rsid w:val="00EF7738"/>
    <w:rsid w:val="00F00930"/>
    <w:rsid w:val="00F012E5"/>
    <w:rsid w:val="00F01BF9"/>
    <w:rsid w:val="00F0291F"/>
    <w:rsid w:val="00F031EE"/>
    <w:rsid w:val="00F04EE3"/>
    <w:rsid w:val="00F04F8F"/>
    <w:rsid w:val="00F051A5"/>
    <w:rsid w:val="00F057E9"/>
    <w:rsid w:val="00F05AEE"/>
    <w:rsid w:val="00F05BB9"/>
    <w:rsid w:val="00F060FA"/>
    <w:rsid w:val="00F066DD"/>
    <w:rsid w:val="00F07441"/>
    <w:rsid w:val="00F0797C"/>
    <w:rsid w:val="00F07E86"/>
    <w:rsid w:val="00F10CEB"/>
    <w:rsid w:val="00F10F20"/>
    <w:rsid w:val="00F12D11"/>
    <w:rsid w:val="00F12F9A"/>
    <w:rsid w:val="00F1373F"/>
    <w:rsid w:val="00F13FDD"/>
    <w:rsid w:val="00F142AB"/>
    <w:rsid w:val="00F1478B"/>
    <w:rsid w:val="00F14A45"/>
    <w:rsid w:val="00F16C36"/>
    <w:rsid w:val="00F175D9"/>
    <w:rsid w:val="00F21D7C"/>
    <w:rsid w:val="00F22586"/>
    <w:rsid w:val="00F249F9"/>
    <w:rsid w:val="00F24A4C"/>
    <w:rsid w:val="00F26071"/>
    <w:rsid w:val="00F2754B"/>
    <w:rsid w:val="00F27725"/>
    <w:rsid w:val="00F2798E"/>
    <w:rsid w:val="00F27F88"/>
    <w:rsid w:val="00F306A8"/>
    <w:rsid w:val="00F30DFA"/>
    <w:rsid w:val="00F315F1"/>
    <w:rsid w:val="00F32D11"/>
    <w:rsid w:val="00F350C3"/>
    <w:rsid w:val="00F353D3"/>
    <w:rsid w:val="00F35B27"/>
    <w:rsid w:val="00F35C21"/>
    <w:rsid w:val="00F35E6E"/>
    <w:rsid w:val="00F35F14"/>
    <w:rsid w:val="00F36454"/>
    <w:rsid w:val="00F36F27"/>
    <w:rsid w:val="00F3713B"/>
    <w:rsid w:val="00F42007"/>
    <w:rsid w:val="00F4216D"/>
    <w:rsid w:val="00F44AA3"/>
    <w:rsid w:val="00F4514E"/>
    <w:rsid w:val="00F45397"/>
    <w:rsid w:val="00F45810"/>
    <w:rsid w:val="00F45CED"/>
    <w:rsid w:val="00F4728A"/>
    <w:rsid w:val="00F47960"/>
    <w:rsid w:val="00F5117D"/>
    <w:rsid w:val="00F5222A"/>
    <w:rsid w:val="00F52BCE"/>
    <w:rsid w:val="00F53BC4"/>
    <w:rsid w:val="00F54A01"/>
    <w:rsid w:val="00F55722"/>
    <w:rsid w:val="00F56867"/>
    <w:rsid w:val="00F569E0"/>
    <w:rsid w:val="00F5793C"/>
    <w:rsid w:val="00F57F65"/>
    <w:rsid w:val="00F60548"/>
    <w:rsid w:val="00F609EF"/>
    <w:rsid w:val="00F60CD7"/>
    <w:rsid w:val="00F619D4"/>
    <w:rsid w:val="00F623EB"/>
    <w:rsid w:val="00F63AF4"/>
    <w:rsid w:val="00F63FC2"/>
    <w:rsid w:val="00F642A3"/>
    <w:rsid w:val="00F65E85"/>
    <w:rsid w:val="00F675CC"/>
    <w:rsid w:val="00F70D4C"/>
    <w:rsid w:val="00F71A63"/>
    <w:rsid w:val="00F72E1E"/>
    <w:rsid w:val="00F74581"/>
    <w:rsid w:val="00F75969"/>
    <w:rsid w:val="00F7697C"/>
    <w:rsid w:val="00F77C8B"/>
    <w:rsid w:val="00F803B4"/>
    <w:rsid w:val="00F80FF6"/>
    <w:rsid w:val="00F8101E"/>
    <w:rsid w:val="00F8225D"/>
    <w:rsid w:val="00F83039"/>
    <w:rsid w:val="00F83320"/>
    <w:rsid w:val="00F833EC"/>
    <w:rsid w:val="00F83A19"/>
    <w:rsid w:val="00F83CB4"/>
    <w:rsid w:val="00F83CC3"/>
    <w:rsid w:val="00F85FE5"/>
    <w:rsid w:val="00F908A7"/>
    <w:rsid w:val="00F90FAC"/>
    <w:rsid w:val="00F91824"/>
    <w:rsid w:val="00F93018"/>
    <w:rsid w:val="00F93265"/>
    <w:rsid w:val="00F951DE"/>
    <w:rsid w:val="00F95E3C"/>
    <w:rsid w:val="00F96185"/>
    <w:rsid w:val="00F96566"/>
    <w:rsid w:val="00F97A91"/>
    <w:rsid w:val="00F97AAC"/>
    <w:rsid w:val="00F97B2C"/>
    <w:rsid w:val="00F97B2D"/>
    <w:rsid w:val="00FA0B3D"/>
    <w:rsid w:val="00FA2855"/>
    <w:rsid w:val="00FA2896"/>
    <w:rsid w:val="00FA3D78"/>
    <w:rsid w:val="00FA4AE7"/>
    <w:rsid w:val="00FA4B82"/>
    <w:rsid w:val="00FA639C"/>
    <w:rsid w:val="00FA66C3"/>
    <w:rsid w:val="00FA69BC"/>
    <w:rsid w:val="00FA6EDD"/>
    <w:rsid w:val="00FA73FD"/>
    <w:rsid w:val="00FA7940"/>
    <w:rsid w:val="00FB0C02"/>
    <w:rsid w:val="00FB115C"/>
    <w:rsid w:val="00FB1953"/>
    <w:rsid w:val="00FB2E95"/>
    <w:rsid w:val="00FB4ACB"/>
    <w:rsid w:val="00FB559C"/>
    <w:rsid w:val="00FB5B2D"/>
    <w:rsid w:val="00FB6617"/>
    <w:rsid w:val="00FB70CA"/>
    <w:rsid w:val="00FB7969"/>
    <w:rsid w:val="00FC2292"/>
    <w:rsid w:val="00FC241E"/>
    <w:rsid w:val="00FC285C"/>
    <w:rsid w:val="00FC48CF"/>
    <w:rsid w:val="00FC7327"/>
    <w:rsid w:val="00FD0112"/>
    <w:rsid w:val="00FD030A"/>
    <w:rsid w:val="00FD0780"/>
    <w:rsid w:val="00FD0D19"/>
    <w:rsid w:val="00FD0E41"/>
    <w:rsid w:val="00FD109A"/>
    <w:rsid w:val="00FD2095"/>
    <w:rsid w:val="00FD3712"/>
    <w:rsid w:val="00FD434D"/>
    <w:rsid w:val="00FD482E"/>
    <w:rsid w:val="00FD6F6A"/>
    <w:rsid w:val="00FD728F"/>
    <w:rsid w:val="00FD7B02"/>
    <w:rsid w:val="00FE034A"/>
    <w:rsid w:val="00FE069A"/>
    <w:rsid w:val="00FE0CF7"/>
    <w:rsid w:val="00FE14B2"/>
    <w:rsid w:val="00FE1A93"/>
    <w:rsid w:val="00FE2E0E"/>
    <w:rsid w:val="00FE34E6"/>
    <w:rsid w:val="00FE424C"/>
    <w:rsid w:val="00FE4503"/>
    <w:rsid w:val="00FE45F8"/>
    <w:rsid w:val="00FE471F"/>
    <w:rsid w:val="00FE49DC"/>
    <w:rsid w:val="00FE4C19"/>
    <w:rsid w:val="00FE6D25"/>
    <w:rsid w:val="00FE72AC"/>
    <w:rsid w:val="00FF2541"/>
    <w:rsid w:val="00FF2725"/>
    <w:rsid w:val="00FF3080"/>
    <w:rsid w:val="00FF43A1"/>
    <w:rsid w:val="00FF4680"/>
    <w:rsid w:val="00FF526F"/>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4E578B"/>
  <w15:docId w15:val="{3A401DDB-C32F-4E3D-962D-04C78F01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C4B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cs="Arial"/>
      <w:cap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pPr>
      <w:spacing w:before="100" w:beforeAutospacing="1" w:after="100" w:afterAutospacing="1"/>
    </w:pPr>
  </w:style>
  <w:style w:type="paragraph" w:customStyle="1" w:styleId="content">
    <w:name w:val="content"/>
    <w:basedOn w:val="Normal"/>
    <w:pPr>
      <w:spacing w:before="100" w:beforeAutospacing="1" w:after="100" w:afterAutospacing="1"/>
    </w:pPr>
  </w:style>
  <w:style w:type="character" w:customStyle="1" w:styleId="content1">
    <w:name w:val="content1"/>
    <w:basedOn w:val="DefaultParagraphFont"/>
  </w:style>
  <w:style w:type="character" w:customStyle="1" w:styleId="style121">
    <w:name w:val="style121"/>
    <w:basedOn w:val="DefaultParagraphFont"/>
    <w:rPr>
      <w:color w:val="333333"/>
    </w:rPr>
  </w:style>
  <w:style w:type="character" w:styleId="Strong">
    <w:name w:val="Strong"/>
    <w:basedOn w:val="DefaultParagraphFont"/>
    <w:qFormat/>
    <w:rPr>
      <w:b/>
      <w:bCs/>
    </w:rPr>
  </w:style>
  <w:style w:type="paragraph" w:styleId="HTMLPreformatted">
    <w:name w:val="HTML Preformatted"/>
    <w:basedOn w:val="Normal"/>
    <w:rsid w:val="00B4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Bullet">
    <w:name w:val="List Bullet"/>
    <w:basedOn w:val="Normal"/>
    <w:autoRedefine/>
    <w:rsid w:val="00D73D10"/>
    <w:pPr>
      <w:numPr>
        <w:numId w:val="25"/>
      </w:numPr>
    </w:pPr>
    <w:rPr>
      <w:rFonts w:ascii="Arial" w:hAnsi="Arial" w:cs="Arial"/>
      <w:snapToGrid w:val="0"/>
      <w:color w:val="000000"/>
    </w:rPr>
  </w:style>
  <w:style w:type="paragraph" w:customStyle="1" w:styleId="style7">
    <w:name w:val="style7"/>
    <w:basedOn w:val="Normal"/>
    <w:rsid w:val="009D138E"/>
    <w:pPr>
      <w:spacing w:before="100" w:beforeAutospacing="1" w:after="100" w:afterAutospacing="1"/>
    </w:pPr>
    <w:rPr>
      <w:rFonts w:ascii="Trebuchet MS" w:hAnsi="Trebuchet MS"/>
      <w:sz w:val="20"/>
      <w:szCs w:val="20"/>
    </w:rPr>
  </w:style>
  <w:style w:type="character" w:styleId="Emphasis">
    <w:name w:val="Emphasis"/>
    <w:basedOn w:val="DefaultParagraphFont"/>
    <w:qFormat/>
    <w:rsid w:val="009D138E"/>
    <w:rPr>
      <w:i/>
      <w:iCs/>
    </w:rPr>
  </w:style>
  <w:style w:type="character" w:customStyle="1" w:styleId="style101">
    <w:name w:val="style101"/>
    <w:basedOn w:val="DefaultParagraphFont"/>
    <w:rsid w:val="009D138E"/>
    <w:rPr>
      <w:b/>
      <w:bCs/>
      <w:color w:val="666666"/>
    </w:rPr>
  </w:style>
  <w:style w:type="paragraph" w:customStyle="1" w:styleId="style12">
    <w:name w:val="style12"/>
    <w:basedOn w:val="Normal"/>
    <w:rsid w:val="009D138E"/>
    <w:pPr>
      <w:spacing w:before="100" w:beforeAutospacing="1" w:after="100" w:afterAutospacing="1"/>
    </w:pPr>
    <w:rPr>
      <w:sz w:val="20"/>
      <w:szCs w:val="20"/>
    </w:rPr>
  </w:style>
  <w:style w:type="paragraph" w:customStyle="1" w:styleId="NormalArial">
    <w:name w:val="Normal + Arial"/>
    <w:basedOn w:val="NormalWeb"/>
    <w:link w:val="NormalArialChar"/>
    <w:rsid w:val="00106EAC"/>
    <w:pPr>
      <w:spacing w:before="0" w:after="0"/>
      <w:jc w:val="both"/>
    </w:pPr>
    <w:rPr>
      <w:rFonts w:ascii="Arial" w:hAnsi="Arial"/>
      <w:sz w:val="20"/>
    </w:rPr>
  </w:style>
  <w:style w:type="character" w:customStyle="1" w:styleId="GuyABullock">
    <w:name w:val="Guy A. Bullock"/>
    <w:basedOn w:val="DefaultParagraphFont"/>
    <w:semiHidden/>
    <w:rsid w:val="0017338F"/>
    <w:rPr>
      <w:rFonts w:ascii="Arial" w:hAnsi="Arial" w:cs="Arial"/>
      <w:color w:val="auto"/>
      <w:sz w:val="20"/>
      <w:szCs w:val="20"/>
    </w:rPr>
  </w:style>
  <w:style w:type="character" w:styleId="Hyperlink">
    <w:name w:val="Hyperlink"/>
    <w:basedOn w:val="DefaultParagraphFont"/>
    <w:uiPriority w:val="99"/>
    <w:rsid w:val="0018781E"/>
    <w:rPr>
      <w:color w:val="0000FF"/>
      <w:u w:val="single"/>
    </w:rPr>
  </w:style>
  <w:style w:type="character" w:styleId="FollowedHyperlink">
    <w:name w:val="FollowedHyperlink"/>
    <w:basedOn w:val="DefaultParagraphFont"/>
    <w:rsid w:val="00F057E9"/>
    <w:rPr>
      <w:color w:val="800080"/>
      <w:u w:val="single"/>
    </w:rPr>
  </w:style>
  <w:style w:type="paragraph" w:styleId="BalloonText">
    <w:name w:val="Balloon Text"/>
    <w:basedOn w:val="Normal"/>
    <w:semiHidden/>
    <w:rsid w:val="004A21E7"/>
    <w:rPr>
      <w:rFonts w:ascii="Tahoma" w:hAnsi="Tahoma" w:cs="Tahoma"/>
      <w:sz w:val="16"/>
      <w:szCs w:val="16"/>
    </w:rPr>
  </w:style>
  <w:style w:type="paragraph" w:customStyle="1" w:styleId="contentstyle18">
    <w:name w:val="contentstyle18"/>
    <w:basedOn w:val="Normal"/>
    <w:rsid w:val="00E05169"/>
    <w:pPr>
      <w:spacing w:before="100" w:beforeAutospacing="1" w:after="100" w:afterAutospacing="1"/>
    </w:pPr>
  </w:style>
  <w:style w:type="character" w:customStyle="1" w:styleId="NormalWebChar">
    <w:name w:val="Normal (Web) Char"/>
    <w:basedOn w:val="DefaultParagraphFont"/>
    <w:link w:val="NormalWeb"/>
    <w:rsid w:val="006A6CBF"/>
    <w:rPr>
      <w:sz w:val="24"/>
      <w:szCs w:val="24"/>
      <w:lang w:val="en-US" w:eastAsia="en-US" w:bidi="ar-SA"/>
    </w:rPr>
  </w:style>
  <w:style w:type="character" w:customStyle="1" w:styleId="NormalArialChar">
    <w:name w:val="Normal + Arial Char"/>
    <w:basedOn w:val="NormalWebChar"/>
    <w:link w:val="NormalArial"/>
    <w:rsid w:val="006A6CBF"/>
    <w:rPr>
      <w:rFonts w:ascii="Arial" w:hAnsi="Arial"/>
      <w:sz w:val="24"/>
      <w:szCs w:val="24"/>
      <w:lang w:val="en-US" w:eastAsia="en-US" w:bidi="ar-SA"/>
    </w:rPr>
  </w:style>
  <w:style w:type="paragraph" w:styleId="Title">
    <w:name w:val="Title"/>
    <w:basedOn w:val="Normal"/>
    <w:next w:val="Normal"/>
    <w:qFormat/>
    <w:rsid w:val="00841F93"/>
    <w:pPr>
      <w:autoSpaceDE w:val="0"/>
      <w:autoSpaceDN w:val="0"/>
      <w:adjustRightInd w:val="0"/>
    </w:pPr>
  </w:style>
  <w:style w:type="character" w:customStyle="1" w:styleId="style11">
    <w:name w:val="style11"/>
    <w:basedOn w:val="DefaultParagraphFont"/>
    <w:rsid w:val="00841F93"/>
    <w:rPr>
      <w:sz w:val="23"/>
      <w:szCs w:val="23"/>
    </w:rPr>
  </w:style>
  <w:style w:type="paragraph" w:customStyle="1" w:styleId="style1">
    <w:name w:val="style1"/>
    <w:basedOn w:val="Normal"/>
    <w:rsid w:val="00841F93"/>
    <w:pPr>
      <w:spacing w:before="100" w:beforeAutospacing="1" w:after="100" w:afterAutospacing="1"/>
    </w:pPr>
    <w:rPr>
      <w:sz w:val="23"/>
      <w:szCs w:val="23"/>
    </w:rPr>
  </w:style>
  <w:style w:type="paragraph" w:customStyle="1" w:styleId="Default">
    <w:name w:val="Default"/>
    <w:rsid w:val="00841F93"/>
    <w:pPr>
      <w:autoSpaceDE w:val="0"/>
      <w:autoSpaceDN w:val="0"/>
      <w:adjustRightInd w:val="0"/>
    </w:pPr>
    <w:rPr>
      <w:color w:val="000000"/>
      <w:sz w:val="24"/>
      <w:szCs w:val="24"/>
    </w:rPr>
  </w:style>
  <w:style w:type="paragraph" w:styleId="BodyText">
    <w:name w:val="Body Text"/>
    <w:link w:val="BodyTextChar"/>
    <w:qFormat/>
    <w:rsid w:val="00E42921"/>
    <w:pPr>
      <w:spacing w:after="120"/>
    </w:pPr>
    <w:rPr>
      <w:sz w:val="24"/>
      <w:szCs w:val="24"/>
    </w:rPr>
  </w:style>
  <w:style w:type="character" w:customStyle="1" w:styleId="BodyTextChar">
    <w:name w:val="Body Text Char"/>
    <w:basedOn w:val="DefaultParagraphFont"/>
    <w:link w:val="BodyText"/>
    <w:rsid w:val="00E42921"/>
    <w:rPr>
      <w:sz w:val="24"/>
      <w:szCs w:val="24"/>
      <w:lang w:val="en-US" w:eastAsia="en-US" w:bidi="ar-SA"/>
    </w:rPr>
  </w:style>
  <w:style w:type="paragraph" w:customStyle="1" w:styleId="Figure">
    <w:name w:val="Figure"/>
    <w:next w:val="Caption"/>
    <w:link w:val="FigureChar"/>
    <w:rsid w:val="00E42921"/>
    <w:pPr>
      <w:spacing w:before="120" w:after="360"/>
      <w:jc w:val="center"/>
    </w:pPr>
    <w:rPr>
      <w:sz w:val="24"/>
      <w:szCs w:val="24"/>
    </w:rPr>
  </w:style>
  <w:style w:type="character" w:customStyle="1" w:styleId="FigureChar">
    <w:name w:val="Figure Char"/>
    <w:basedOn w:val="DefaultParagraphFont"/>
    <w:link w:val="Figure"/>
    <w:rsid w:val="00E42921"/>
    <w:rPr>
      <w:sz w:val="24"/>
      <w:szCs w:val="24"/>
      <w:lang w:val="en-US" w:eastAsia="en-US" w:bidi="ar-SA"/>
    </w:rPr>
  </w:style>
  <w:style w:type="paragraph" w:styleId="Caption">
    <w:name w:val="caption"/>
    <w:basedOn w:val="Normal"/>
    <w:next w:val="Normal"/>
    <w:qFormat/>
    <w:rsid w:val="00E42921"/>
    <w:rPr>
      <w:b/>
      <w:bCs/>
      <w:sz w:val="20"/>
      <w:szCs w:val="20"/>
    </w:rPr>
  </w:style>
  <w:style w:type="character" w:customStyle="1" w:styleId="style41">
    <w:name w:val="style41"/>
    <w:basedOn w:val="DefaultParagraphFont"/>
    <w:rsid w:val="00E673E6"/>
    <w:rPr>
      <w:color w:val="333333"/>
    </w:rPr>
  </w:style>
  <w:style w:type="paragraph" w:styleId="BodyText2">
    <w:name w:val="Body Text 2"/>
    <w:basedOn w:val="Normal"/>
    <w:rsid w:val="004F6956"/>
    <w:pPr>
      <w:spacing w:after="120" w:line="480" w:lineRule="auto"/>
    </w:pPr>
  </w:style>
  <w:style w:type="character" w:styleId="CommentReference">
    <w:name w:val="annotation reference"/>
    <w:basedOn w:val="DefaultParagraphFont"/>
    <w:uiPriority w:val="99"/>
    <w:semiHidden/>
    <w:rsid w:val="005A5EA9"/>
    <w:rPr>
      <w:sz w:val="16"/>
      <w:szCs w:val="16"/>
    </w:rPr>
  </w:style>
  <w:style w:type="paragraph" w:styleId="CommentText">
    <w:name w:val="annotation text"/>
    <w:basedOn w:val="Normal"/>
    <w:link w:val="CommentTextChar"/>
    <w:uiPriority w:val="99"/>
    <w:semiHidden/>
    <w:rsid w:val="005A5EA9"/>
    <w:rPr>
      <w:sz w:val="20"/>
      <w:szCs w:val="20"/>
    </w:rPr>
  </w:style>
  <w:style w:type="paragraph" w:styleId="CommentSubject">
    <w:name w:val="annotation subject"/>
    <w:basedOn w:val="CommentText"/>
    <w:next w:val="CommentText"/>
    <w:semiHidden/>
    <w:rsid w:val="005A5EA9"/>
    <w:rPr>
      <w:b/>
      <w:bCs/>
    </w:rPr>
  </w:style>
  <w:style w:type="paragraph" w:styleId="Revision">
    <w:name w:val="Revision"/>
    <w:hidden/>
    <w:uiPriority w:val="99"/>
    <w:semiHidden/>
    <w:rsid w:val="00752480"/>
    <w:rPr>
      <w:sz w:val="24"/>
      <w:szCs w:val="24"/>
    </w:rPr>
  </w:style>
  <w:style w:type="paragraph" w:styleId="ListParagraph">
    <w:name w:val="List Paragraph"/>
    <w:basedOn w:val="Normal"/>
    <w:link w:val="ListParagraphChar"/>
    <w:uiPriority w:val="34"/>
    <w:qFormat/>
    <w:rsid w:val="008A29CE"/>
    <w:pPr>
      <w:ind w:left="720"/>
      <w:contextualSpacing/>
    </w:pPr>
  </w:style>
  <w:style w:type="paragraph" w:styleId="NoSpacing">
    <w:name w:val="No Spacing"/>
    <w:uiPriority w:val="1"/>
    <w:qFormat/>
    <w:rsid w:val="00C203BE"/>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818DC"/>
    <w:rPr>
      <w:sz w:val="24"/>
      <w:szCs w:val="24"/>
    </w:rPr>
  </w:style>
  <w:style w:type="character" w:customStyle="1" w:styleId="Heading1Char">
    <w:name w:val="Heading 1 Char"/>
    <w:basedOn w:val="DefaultParagraphFont"/>
    <w:link w:val="Heading1"/>
    <w:rsid w:val="00CC4B11"/>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4516E8"/>
  </w:style>
  <w:style w:type="paragraph" w:customStyle="1" w:styleId="Listparaafterbullet">
    <w:name w:val="List para after bullet"/>
    <w:basedOn w:val="BodyText"/>
    <w:link w:val="ListparaafterbulletChar"/>
    <w:qFormat/>
    <w:rsid w:val="004516E8"/>
    <w:pPr>
      <w:spacing w:after="200"/>
      <w:ind w:left="360"/>
    </w:pPr>
    <w:rPr>
      <w:rFonts w:asciiTheme="minorHAnsi" w:hAnsiTheme="minorHAnsi"/>
      <w:color w:val="000000" w:themeColor="text1"/>
      <w:sz w:val="22"/>
    </w:rPr>
  </w:style>
  <w:style w:type="character" w:customStyle="1" w:styleId="ListparaafterbulletChar">
    <w:name w:val="List para after bullet Char"/>
    <w:basedOn w:val="BodyTextChar"/>
    <w:link w:val="Listparaafterbullet"/>
    <w:rsid w:val="004516E8"/>
    <w:rPr>
      <w:rFonts w:asciiTheme="minorHAnsi" w:hAnsiTheme="minorHAnsi"/>
      <w:color w:val="000000" w:themeColor="text1"/>
      <w:sz w:val="22"/>
      <w:szCs w:val="24"/>
      <w:lang w:val="en-US" w:eastAsia="en-US" w:bidi="ar-SA"/>
    </w:rPr>
  </w:style>
  <w:style w:type="character" w:customStyle="1" w:styleId="ListParagraphChar">
    <w:name w:val="List Paragraph Char"/>
    <w:basedOn w:val="DefaultParagraphFont"/>
    <w:link w:val="ListParagraph"/>
    <w:uiPriority w:val="34"/>
    <w:rsid w:val="00751B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50">
      <w:bodyDiv w:val="1"/>
      <w:marLeft w:val="0"/>
      <w:marRight w:val="0"/>
      <w:marTop w:val="0"/>
      <w:marBottom w:val="0"/>
      <w:divBdr>
        <w:top w:val="none" w:sz="0" w:space="0" w:color="auto"/>
        <w:left w:val="none" w:sz="0" w:space="0" w:color="auto"/>
        <w:bottom w:val="none" w:sz="0" w:space="0" w:color="auto"/>
        <w:right w:val="none" w:sz="0" w:space="0" w:color="auto"/>
      </w:divBdr>
    </w:div>
    <w:div w:id="12846475">
      <w:bodyDiv w:val="1"/>
      <w:marLeft w:val="0"/>
      <w:marRight w:val="0"/>
      <w:marTop w:val="0"/>
      <w:marBottom w:val="0"/>
      <w:divBdr>
        <w:top w:val="none" w:sz="0" w:space="0" w:color="auto"/>
        <w:left w:val="none" w:sz="0" w:space="0" w:color="auto"/>
        <w:bottom w:val="none" w:sz="0" w:space="0" w:color="auto"/>
        <w:right w:val="none" w:sz="0" w:space="0" w:color="auto"/>
      </w:divBdr>
      <w:divsChild>
        <w:div w:id="232474181">
          <w:marLeft w:val="0"/>
          <w:marRight w:val="0"/>
          <w:marTop w:val="0"/>
          <w:marBottom w:val="0"/>
          <w:divBdr>
            <w:top w:val="none" w:sz="0" w:space="0" w:color="auto"/>
            <w:left w:val="none" w:sz="0" w:space="0" w:color="auto"/>
            <w:bottom w:val="none" w:sz="0" w:space="0" w:color="auto"/>
            <w:right w:val="none" w:sz="0" w:space="0" w:color="auto"/>
          </w:divBdr>
        </w:div>
        <w:div w:id="1952518487">
          <w:marLeft w:val="0"/>
          <w:marRight w:val="0"/>
          <w:marTop w:val="0"/>
          <w:marBottom w:val="0"/>
          <w:divBdr>
            <w:top w:val="none" w:sz="0" w:space="0" w:color="auto"/>
            <w:left w:val="none" w:sz="0" w:space="0" w:color="auto"/>
            <w:bottom w:val="none" w:sz="0" w:space="0" w:color="auto"/>
            <w:right w:val="none" w:sz="0" w:space="0" w:color="auto"/>
          </w:divBdr>
        </w:div>
        <w:div w:id="1024745008">
          <w:marLeft w:val="0"/>
          <w:marRight w:val="0"/>
          <w:marTop w:val="0"/>
          <w:marBottom w:val="0"/>
          <w:divBdr>
            <w:top w:val="none" w:sz="0" w:space="0" w:color="auto"/>
            <w:left w:val="none" w:sz="0" w:space="0" w:color="auto"/>
            <w:bottom w:val="none" w:sz="0" w:space="0" w:color="auto"/>
            <w:right w:val="none" w:sz="0" w:space="0" w:color="auto"/>
          </w:divBdr>
        </w:div>
        <w:div w:id="61105668">
          <w:marLeft w:val="0"/>
          <w:marRight w:val="0"/>
          <w:marTop w:val="0"/>
          <w:marBottom w:val="0"/>
          <w:divBdr>
            <w:top w:val="none" w:sz="0" w:space="0" w:color="auto"/>
            <w:left w:val="none" w:sz="0" w:space="0" w:color="auto"/>
            <w:bottom w:val="none" w:sz="0" w:space="0" w:color="auto"/>
            <w:right w:val="none" w:sz="0" w:space="0" w:color="auto"/>
          </w:divBdr>
        </w:div>
        <w:div w:id="1476294644">
          <w:marLeft w:val="0"/>
          <w:marRight w:val="0"/>
          <w:marTop w:val="0"/>
          <w:marBottom w:val="0"/>
          <w:divBdr>
            <w:top w:val="none" w:sz="0" w:space="0" w:color="auto"/>
            <w:left w:val="none" w:sz="0" w:space="0" w:color="auto"/>
            <w:bottom w:val="none" w:sz="0" w:space="0" w:color="auto"/>
            <w:right w:val="none" w:sz="0" w:space="0" w:color="auto"/>
          </w:divBdr>
        </w:div>
      </w:divsChild>
    </w:div>
    <w:div w:id="27537525">
      <w:bodyDiv w:val="1"/>
      <w:marLeft w:val="0"/>
      <w:marRight w:val="0"/>
      <w:marTop w:val="0"/>
      <w:marBottom w:val="0"/>
      <w:divBdr>
        <w:top w:val="none" w:sz="0" w:space="0" w:color="auto"/>
        <w:left w:val="none" w:sz="0" w:space="0" w:color="auto"/>
        <w:bottom w:val="none" w:sz="0" w:space="0" w:color="auto"/>
        <w:right w:val="none" w:sz="0" w:space="0" w:color="auto"/>
      </w:divBdr>
      <w:divsChild>
        <w:div w:id="1076971973">
          <w:marLeft w:val="0"/>
          <w:marRight w:val="0"/>
          <w:marTop w:val="0"/>
          <w:marBottom w:val="0"/>
          <w:divBdr>
            <w:top w:val="none" w:sz="0" w:space="0" w:color="auto"/>
            <w:left w:val="none" w:sz="0" w:space="0" w:color="auto"/>
            <w:bottom w:val="none" w:sz="0" w:space="0" w:color="auto"/>
            <w:right w:val="none" w:sz="0" w:space="0" w:color="auto"/>
          </w:divBdr>
        </w:div>
        <w:div w:id="682974478">
          <w:marLeft w:val="0"/>
          <w:marRight w:val="0"/>
          <w:marTop w:val="0"/>
          <w:marBottom w:val="0"/>
          <w:divBdr>
            <w:top w:val="none" w:sz="0" w:space="0" w:color="auto"/>
            <w:left w:val="none" w:sz="0" w:space="0" w:color="auto"/>
            <w:bottom w:val="none" w:sz="0" w:space="0" w:color="auto"/>
            <w:right w:val="none" w:sz="0" w:space="0" w:color="auto"/>
          </w:divBdr>
        </w:div>
        <w:div w:id="2047635605">
          <w:marLeft w:val="0"/>
          <w:marRight w:val="0"/>
          <w:marTop w:val="0"/>
          <w:marBottom w:val="0"/>
          <w:divBdr>
            <w:top w:val="none" w:sz="0" w:space="0" w:color="auto"/>
            <w:left w:val="none" w:sz="0" w:space="0" w:color="auto"/>
            <w:bottom w:val="none" w:sz="0" w:space="0" w:color="auto"/>
            <w:right w:val="none" w:sz="0" w:space="0" w:color="auto"/>
          </w:divBdr>
        </w:div>
        <w:div w:id="454181280">
          <w:marLeft w:val="0"/>
          <w:marRight w:val="0"/>
          <w:marTop w:val="0"/>
          <w:marBottom w:val="0"/>
          <w:divBdr>
            <w:top w:val="none" w:sz="0" w:space="0" w:color="auto"/>
            <w:left w:val="none" w:sz="0" w:space="0" w:color="auto"/>
            <w:bottom w:val="none" w:sz="0" w:space="0" w:color="auto"/>
            <w:right w:val="none" w:sz="0" w:space="0" w:color="auto"/>
          </w:divBdr>
        </w:div>
        <w:div w:id="644891680">
          <w:marLeft w:val="0"/>
          <w:marRight w:val="0"/>
          <w:marTop w:val="0"/>
          <w:marBottom w:val="0"/>
          <w:divBdr>
            <w:top w:val="none" w:sz="0" w:space="0" w:color="auto"/>
            <w:left w:val="none" w:sz="0" w:space="0" w:color="auto"/>
            <w:bottom w:val="none" w:sz="0" w:space="0" w:color="auto"/>
            <w:right w:val="none" w:sz="0" w:space="0" w:color="auto"/>
          </w:divBdr>
        </w:div>
        <w:div w:id="786388658">
          <w:marLeft w:val="0"/>
          <w:marRight w:val="0"/>
          <w:marTop w:val="0"/>
          <w:marBottom w:val="0"/>
          <w:divBdr>
            <w:top w:val="none" w:sz="0" w:space="0" w:color="auto"/>
            <w:left w:val="none" w:sz="0" w:space="0" w:color="auto"/>
            <w:bottom w:val="none" w:sz="0" w:space="0" w:color="auto"/>
            <w:right w:val="none" w:sz="0" w:space="0" w:color="auto"/>
          </w:divBdr>
        </w:div>
      </w:divsChild>
    </w:div>
    <w:div w:id="36900203">
      <w:bodyDiv w:val="1"/>
      <w:marLeft w:val="0"/>
      <w:marRight w:val="0"/>
      <w:marTop w:val="0"/>
      <w:marBottom w:val="0"/>
      <w:divBdr>
        <w:top w:val="none" w:sz="0" w:space="0" w:color="auto"/>
        <w:left w:val="none" w:sz="0" w:space="0" w:color="auto"/>
        <w:bottom w:val="none" w:sz="0" w:space="0" w:color="auto"/>
        <w:right w:val="none" w:sz="0" w:space="0" w:color="auto"/>
      </w:divBdr>
    </w:div>
    <w:div w:id="40592174">
      <w:bodyDiv w:val="1"/>
      <w:marLeft w:val="150"/>
      <w:marRight w:val="0"/>
      <w:marTop w:val="375"/>
      <w:marBottom w:val="0"/>
      <w:divBdr>
        <w:top w:val="none" w:sz="0" w:space="0" w:color="auto"/>
        <w:left w:val="none" w:sz="0" w:space="0" w:color="auto"/>
        <w:bottom w:val="none" w:sz="0" w:space="0" w:color="auto"/>
        <w:right w:val="none" w:sz="0" w:space="0" w:color="auto"/>
      </w:divBdr>
    </w:div>
    <w:div w:id="61946317">
      <w:bodyDiv w:val="1"/>
      <w:marLeft w:val="0"/>
      <w:marRight w:val="0"/>
      <w:marTop w:val="0"/>
      <w:marBottom w:val="0"/>
      <w:divBdr>
        <w:top w:val="none" w:sz="0" w:space="0" w:color="auto"/>
        <w:left w:val="none" w:sz="0" w:space="0" w:color="auto"/>
        <w:bottom w:val="none" w:sz="0" w:space="0" w:color="auto"/>
        <w:right w:val="none" w:sz="0" w:space="0" w:color="auto"/>
      </w:divBdr>
    </w:div>
    <w:div w:id="63069257">
      <w:bodyDiv w:val="1"/>
      <w:marLeft w:val="0"/>
      <w:marRight w:val="0"/>
      <w:marTop w:val="0"/>
      <w:marBottom w:val="0"/>
      <w:divBdr>
        <w:top w:val="none" w:sz="0" w:space="0" w:color="auto"/>
        <w:left w:val="none" w:sz="0" w:space="0" w:color="auto"/>
        <w:bottom w:val="none" w:sz="0" w:space="0" w:color="auto"/>
        <w:right w:val="none" w:sz="0" w:space="0" w:color="auto"/>
      </w:divBdr>
    </w:div>
    <w:div w:id="66343186">
      <w:bodyDiv w:val="1"/>
      <w:marLeft w:val="0"/>
      <w:marRight w:val="0"/>
      <w:marTop w:val="0"/>
      <w:marBottom w:val="0"/>
      <w:divBdr>
        <w:top w:val="none" w:sz="0" w:space="0" w:color="auto"/>
        <w:left w:val="none" w:sz="0" w:space="0" w:color="auto"/>
        <w:bottom w:val="none" w:sz="0" w:space="0" w:color="auto"/>
        <w:right w:val="none" w:sz="0" w:space="0" w:color="auto"/>
      </w:divBdr>
    </w:div>
    <w:div w:id="101072858">
      <w:bodyDiv w:val="1"/>
      <w:marLeft w:val="0"/>
      <w:marRight w:val="0"/>
      <w:marTop w:val="0"/>
      <w:marBottom w:val="0"/>
      <w:divBdr>
        <w:top w:val="none" w:sz="0" w:space="0" w:color="auto"/>
        <w:left w:val="none" w:sz="0" w:space="0" w:color="auto"/>
        <w:bottom w:val="none" w:sz="0" w:space="0" w:color="auto"/>
        <w:right w:val="none" w:sz="0" w:space="0" w:color="auto"/>
      </w:divBdr>
      <w:divsChild>
        <w:div w:id="1681006564">
          <w:marLeft w:val="0"/>
          <w:marRight w:val="0"/>
          <w:marTop w:val="0"/>
          <w:marBottom w:val="0"/>
          <w:divBdr>
            <w:top w:val="none" w:sz="0" w:space="0" w:color="auto"/>
            <w:left w:val="none" w:sz="0" w:space="0" w:color="auto"/>
            <w:bottom w:val="none" w:sz="0" w:space="0" w:color="auto"/>
            <w:right w:val="none" w:sz="0" w:space="0" w:color="auto"/>
          </w:divBdr>
        </w:div>
        <w:div w:id="2005040799">
          <w:marLeft w:val="0"/>
          <w:marRight w:val="0"/>
          <w:marTop w:val="0"/>
          <w:marBottom w:val="0"/>
          <w:divBdr>
            <w:top w:val="none" w:sz="0" w:space="0" w:color="auto"/>
            <w:left w:val="none" w:sz="0" w:space="0" w:color="auto"/>
            <w:bottom w:val="none" w:sz="0" w:space="0" w:color="auto"/>
            <w:right w:val="none" w:sz="0" w:space="0" w:color="auto"/>
          </w:divBdr>
        </w:div>
        <w:div w:id="1094545990">
          <w:marLeft w:val="0"/>
          <w:marRight w:val="0"/>
          <w:marTop w:val="0"/>
          <w:marBottom w:val="0"/>
          <w:divBdr>
            <w:top w:val="none" w:sz="0" w:space="0" w:color="auto"/>
            <w:left w:val="none" w:sz="0" w:space="0" w:color="auto"/>
            <w:bottom w:val="none" w:sz="0" w:space="0" w:color="auto"/>
            <w:right w:val="none" w:sz="0" w:space="0" w:color="auto"/>
          </w:divBdr>
        </w:div>
        <w:div w:id="189296521">
          <w:marLeft w:val="0"/>
          <w:marRight w:val="0"/>
          <w:marTop w:val="0"/>
          <w:marBottom w:val="0"/>
          <w:divBdr>
            <w:top w:val="none" w:sz="0" w:space="0" w:color="auto"/>
            <w:left w:val="none" w:sz="0" w:space="0" w:color="auto"/>
            <w:bottom w:val="none" w:sz="0" w:space="0" w:color="auto"/>
            <w:right w:val="none" w:sz="0" w:space="0" w:color="auto"/>
          </w:divBdr>
        </w:div>
        <w:div w:id="190455970">
          <w:marLeft w:val="0"/>
          <w:marRight w:val="0"/>
          <w:marTop w:val="0"/>
          <w:marBottom w:val="0"/>
          <w:divBdr>
            <w:top w:val="none" w:sz="0" w:space="0" w:color="auto"/>
            <w:left w:val="none" w:sz="0" w:space="0" w:color="auto"/>
            <w:bottom w:val="none" w:sz="0" w:space="0" w:color="auto"/>
            <w:right w:val="none" w:sz="0" w:space="0" w:color="auto"/>
          </w:divBdr>
        </w:div>
      </w:divsChild>
    </w:div>
    <w:div w:id="210652597">
      <w:bodyDiv w:val="1"/>
      <w:marLeft w:val="0"/>
      <w:marRight w:val="0"/>
      <w:marTop w:val="0"/>
      <w:marBottom w:val="0"/>
      <w:divBdr>
        <w:top w:val="none" w:sz="0" w:space="0" w:color="auto"/>
        <w:left w:val="none" w:sz="0" w:space="0" w:color="auto"/>
        <w:bottom w:val="none" w:sz="0" w:space="0" w:color="auto"/>
        <w:right w:val="none" w:sz="0" w:space="0" w:color="auto"/>
      </w:divBdr>
    </w:div>
    <w:div w:id="230699673">
      <w:bodyDiv w:val="1"/>
      <w:marLeft w:val="0"/>
      <w:marRight w:val="0"/>
      <w:marTop w:val="0"/>
      <w:marBottom w:val="0"/>
      <w:divBdr>
        <w:top w:val="none" w:sz="0" w:space="0" w:color="auto"/>
        <w:left w:val="none" w:sz="0" w:space="0" w:color="auto"/>
        <w:bottom w:val="none" w:sz="0" w:space="0" w:color="auto"/>
        <w:right w:val="none" w:sz="0" w:space="0" w:color="auto"/>
      </w:divBdr>
    </w:div>
    <w:div w:id="245960050">
      <w:bodyDiv w:val="1"/>
      <w:marLeft w:val="0"/>
      <w:marRight w:val="0"/>
      <w:marTop w:val="0"/>
      <w:marBottom w:val="0"/>
      <w:divBdr>
        <w:top w:val="none" w:sz="0" w:space="0" w:color="auto"/>
        <w:left w:val="none" w:sz="0" w:space="0" w:color="auto"/>
        <w:bottom w:val="none" w:sz="0" w:space="0" w:color="auto"/>
        <w:right w:val="none" w:sz="0" w:space="0" w:color="auto"/>
      </w:divBdr>
      <w:divsChild>
        <w:div w:id="1915552210">
          <w:marLeft w:val="864"/>
          <w:marRight w:val="0"/>
          <w:marTop w:val="0"/>
          <w:marBottom w:val="0"/>
          <w:divBdr>
            <w:top w:val="none" w:sz="0" w:space="0" w:color="auto"/>
            <w:left w:val="none" w:sz="0" w:space="0" w:color="auto"/>
            <w:bottom w:val="none" w:sz="0" w:space="0" w:color="auto"/>
            <w:right w:val="none" w:sz="0" w:space="0" w:color="auto"/>
          </w:divBdr>
        </w:div>
        <w:div w:id="1312633953">
          <w:marLeft w:val="864"/>
          <w:marRight w:val="0"/>
          <w:marTop w:val="0"/>
          <w:marBottom w:val="0"/>
          <w:divBdr>
            <w:top w:val="none" w:sz="0" w:space="0" w:color="auto"/>
            <w:left w:val="none" w:sz="0" w:space="0" w:color="auto"/>
            <w:bottom w:val="none" w:sz="0" w:space="0" w:color="auto"/>
            <w:right w:val="none" w:sz="0" w:space="0" w:color="auto"/>
          </w:divBdr>
        </w:div>
      </w:divsChild>
    </w:div>
    <w:div w:id="256400769">
      <w:bodyDiv w:val="1"/>
      <w:marLeft w:val="0"/>
      <w:marRight w:val="0"/>
      <w:marTop w:val="0"/>
      <w:marBottom w:val="0"/>
      <w:divBdr>
        <w:top w:val="none" w:sz="0" w:space="0" w:color="auto"/>
        <w:left w:val="none" w:sz="0" w:space="0" w:color="auto"/>
        <w:bottom w:val="none" w:sz="0" w:space="0" w:color="auto"/>
        <w:right w:val="none" w:sz="0" w:space="0" w:color="auto"/>
      </w:divBdr>
      <w:divsChild>
        <w:div w:id="1553954653">
          <w:marLeft w:val="0"/>
          <w:marRight w:val="0"/>
          <w:marTop w:val="0"/>
          <w:marBottom w:val="0"/>
          <w:divBdr>
            <w:top w:val="none" w:sz="0" w:space="0" w:color="auto"/>
            <w:left w:val="none" w:sz="0" w:space="0" w:color="auto"/>
            <w:bottom w:val="none" w:sz="0" w:space="0" w:color="auto"/>
            <w:right w:val="none" w:sz="0" w:space="0" w:color="auto"/>
          </w:divBdr>
        </w:div>
        <w:div w:id="1705596014">
          <w:marLeft w:val="0"/>
          <w:marRight w:val="0"/>
          <w:marTop w:val="0"/>
          <w:marBottom w:val="0"/>
          <w:divBdr>
            <w:top w:val="none" w:sz="0" w:space="0" w:color="auto"/>
            <w:left w:val="none" w:sz="0" w:space="0" w:color="auto"/>
            <w:bottom w:val="none" w:sz="0" w:space="0" w:color="auto"/>
            <w:right w:val="none" w:sz="0" w:space="0" w:color="auto"/>
          </w:divBdr>
        </w:div>
        <w:div w:id="241335960">
          <w:marLeft w:val="0"/>
          <w:marRight w:val="0"/>
          <w:marTop w:val="0"/>
          <w:marBottom w:val="0"/>
          <w:divBdr>
            <w:top w:val="none" w:sz="0" w:space="0" w:color="auto"/>
            <w:left w:val="none" w:sz="0" w:space="0" w:color="auto"/>
            <w:bottom w:val="none" w:sz="0" w:space="0" w:color="auto"/>
            <w:right w:val="none" w:sz="0" w:space="0" w:color="auto"/>
          </w:divBdr>
        </w:div>
        <w:div w:id="697238305">
          <w:marLeft w:val="0"/>
          <w:marRight w:val="0"/>
          <w:marTop w:val="0"/>
          <w:marBottom w:val="0"/>
          <w:divBdr>
            <w:top w:val="none" w:sz="0" w:space="0" w:color="auto"/>
            <w:left w:val="none" w:sz="0" w:space="0" w:color="auto"/>
            <w:bottom w:val="none" w:sz="0" w:space="0" w:color="auto"/>
            <w:right w:val="none" w:sz="0" w:space="0" w:color="auto"/>
          </w:divBdr>
        </w:div>
      </w:divsChild>
    </w:div>
    <w:div w:id="275675371">
      <w:bodyDiv w:val="1"/>
      <w:marLeft w:val="0"/>
      <w:marRight w:val="0"/>
      <w:marTop w:val="0"/>
      <w:marBottom w:val="0"/>
      <w:divBdr>
        <w:top w:val="none" w:sz="0" w:space="0" w:color="auto"/>
        <w:left w:val="none" w:sz="0" w:space="0" w:color="auto"/>
        <w:bottom w:val="none" w:sz="0" w:space="0" w:color="auto"/>
        <w:right w:val="none" w:sz="0" w:space="0" w:color="auto"/>
      </w:divBdr>
    </w:div>
    <w:div w:id="318778219">
      <w:bodyDiv w:val="1"/>
      <w:marLeft w:val="0"/>
      <w:marRight w:val="0"/>
      <w:marTop w:val="0"/>
      <w:marBottom w:val="0"/>
      <w:divBdr>
        <w:top w:val="none" w:sz="0" w:space="0" w:color="auto"/>
        <w:left w:val="none" w:sz="0" w:space="0" w:color="auto"/>
        <w:bottom w:val="none" w:sz="0" w:space="0" w:color="auto"/>
        <w:right w:val="none" w:sz="0" w:space="0" w:color="auto"/>
      </w:divBdr>
    </w:div>
    <w:div w:id="357777616">
      <w:bodyDiv w:val="1"/>
      <w:marLeft w:val="0"/>
      <w:marRight w:val="0"/>
      <w:marTop w:val="0"/>
      <w:marBottom w:val="0"/>
      <w:divBdr>
        <w:top w:val="none" w:sz="0" w:space="0" w:color="auto"/>
        <w:left w:val="none" w:sz="0" w:space="0" w:color="auto"/>
        <w:bottom w:val="none" w:sz="0" w:space="0" w:color="auto"/>
        <w:right w:val="none" w:sz="0" w:space="0" w:color="auto"/>
      </w:divBdr>
    </w:div>
    <w:div w:id="387192744">
      <w:bodyDiv w:val="1"/>
      <w:marLeft w:val="0"/>
      <w:marRight w:val="0"/>
      <w:marTop w:val="0"/>
      <w:marBottom w:val="0"/>
      <w:divBdr>
        <w:top w:val="none" w:sz="0" w:space="0" w:color="auto"/>
        <w:left w:val="none" w:sz="0" w:space="0" w:color="auto"/>
        <w:bottom w:val="none" w:sz="0" w:space="0" w:color="auto"/>
        <w:right w:val="none" w:sz="0" w:space="0" w:color="auto"/>
      </w:divBdr>
    </w:div>
    <w:div w:id="437408726">
      <w:bodyDiv w:val="1"/>
      <w:marLeft w:val="0"/>
      <w:marRight w:val="0"/>
      <w:marTop w:val="0"/>
      <w:marBottom w:val="0"/>
      <w:divBdr>
        <w:top w:val="none" w:sz="0" w:space="0" w:color="auto"/>
        <w:left w:val="none" w:sz="0" w:space="0" w:color="auto"/>
        <w:bottom w:val="none" w:sz="0" w:space="0" w:color="auto"/>
        <w:right w:val="none" w:sz="0" w:space="0" w:color="auto"/>
      </w:divBdr>
    </w:div>
    <w:div w:id="444273810">
      <w:bodyDiv w:val="1"/>
      <w:marLeft w:val="0"/>
      <w:marRight w:val="0"/>
      <w:marTop w:val="0"/>
      <w:marBottom w:val="0"/>
      <w:divBdr>
        <w:top w:val="none" w:sz="0" w:space="0" w:color="auto"/>
        <w:left w:val="none" w:sz="0" w:space="0" w:color="auto"/>
        <w:bottom w:val="none" w:sz="0" w:space="0" w:color="auto"/>
        <w:right w:val="none" w:sz="0" w:space="0" w:color="auto"/>
      </w:divBdr>
      <w:divsChild>
        <w:div w:id="860900975">
          <w:marLeft w:val="0"/>
          <w:marRight w:val="0"/>
          <w:marTop w:val="0"/>
          <w:marBottom w:val="0"/>
          <w:divBdr>
            <w:top w:val="none" w:sz="0" w:space="0" w:color="auto"/>
            <w:left w:val="none" w:sz="0" w:space="0" w:color="auto"/>
            <w:bottom w:val="none" w:sz="0" w:space="0" w:color="auto"/>
            <w:right w:val="none" w:sz="0" w:space="0" w:color="auto"/>
          </w:divBdr>
        </w:div>
        <w:div w:id="373240143">
          <w:marLeft w:val="0"/>
          <w:marRight w:val="0"/>
          <w:marTop w:val="0"/>
          <w:marBottom w:val="0"/>
          <w:divBdr>
            <w:top w:val="none" w:sz="0" w:space="0" w:color="auto"/>
            <w:left w:val="none" w:sz="0" w:space="0" w:color="auto"/>
            <w:bottom w:val="none" w:sz="0" w:space="0" w:color="auto"/>
            <w:right w:val="none" w:sz="0" w:space="0" w:color="auto"/>
          </w:divBdr>
        </w:div>
        <w:div w:id="1123500955">
          <w:marLeft w:val="0"/>
          <w:marRight w:val="0"/>
          <w:marTop w:val="0"/>
          <w:marBottom w:val="0"/>
          <w:divBdr>
            <w:top w:val="none" w:sz="0" w:space="0" w:color="auto"/>
            <w:left w:val="none" w:sz="0" w:space="0" w:color="auto"/>
            <w:bottom w:val="none" w:sz="0" w:space="0" w:color="auto"/>
            <w:right w:val="none" w:sz="0" w:space="0" w:color="auto"/>
          </w:divBdr>
        </w:div>
        <w:div w:id="719934667">
          <w:marLeft w:val="0"/>
          <w:marRight w:val="0"/>
          <w:marTop w:val="0"/>
          <w:marBottom w:val="0"/>
          <w:divBdr>
            <w:top w:val="none" w:sz="0" w:space="0" w:color="auto"/>
            <w:left w:val="none" w:sz="0" w:space="0" w:color="auto"/>
            <w:bottom w:val="none" w:sz="0" w:space="0" w:color="auto"/>
            <w:right w:val="none" w:sz="0" w:space="0" w:color="auto"/>
          </w:divBdr>
        </w:div>
        <w:div w:id="15693610">
          <w:marLeft w:val="0"/>
          <w:marRight w:val="0"/>
          <w:marTop w:val="0"/>
          <w:marBottom w:val="0"/>
          <w:divBdr>
            <w:top w:val="none" w:sz="0" w:space="0" w:color="auto"/>
            <w:left w:val="none" w:sz="0" w:space="0" w:color="auto"/>
            <w:bottom w:val="none" w:sz="0" w:space="0" w:color="auto"/>
            <w:right w:val="none" w:sz="0" w:space="0" w:color="auto"/>
          </w:divBdr>
        </w:div>
        <w:div w:id="795684324">
          <w:marLeft w:val="0"/>
          <w:marRight w:val="0"/>
          <w:marTop w:val="0"/>
          <w:marBottom w:val="0"/>
          <w:divBdr>
            <w:top w:val="none" w:sz="0" w:space="0" w:color="auto"/>
            <w:left w:val="none" w:sz="0" w:space="0" w:color="auto"/>
            <w:bottom w:val="none" w:sz="0" w:space="0" w:color="auto"/>
            <w:right w:val="none" w:sz="0" w:space="0" w:color="auto"/>
          </w:divBdr>
        </w:div>
      </w:divsChild>
    </w:div>
    <w:div w:id="490826981">
      <w:bodyDiv w:val="1"/>
      <w:marLeft w:val="0"/>
      <w:marRight w:val="0"/>
      <w:marTop w:val="0"/>
      <w:marBottom w:val="0"/>
      <w:divBdr>
        <w:top w:val="none" w:sz="0" w:space="0" w:color="auto"/>
        <w:left w:val="none" w:sz="0" w:space="0" w:color="auto"/>
        <w:bottom w:val="none" w:sz="0" w:space="0" w:color="auto"/>
        <w:right w:val="none" w:sz="0" w:space="0" w:color="auto"/>
      </w:divBdr>
      <w:divsChild>
        <w:div w:id="845749691">
          <w:marLeft w:val="0"/>
          <w:marRight w:val="0"/>
          <w:marTop w:val="0"/>
          <w:marBottom w:val="0"/>
          <w:divBdr>
            <w:top w:val="none" w:sz="0" w:space="0" w:color="auto"/>
            <w:left w:val="none" w:sz="0" w:space="0" w:color="auto"/>
            <w:bottom w:val="none" w:sz="0" w:space="0" w:color="auto"/>
            <w:right w:val="none" w:sz="0" w:space="0" w:color="auto"/>
          </w:divBdr>
        </w:div>
        <w:div w:id="397482665">
          <w:marLeft w:val="0"/>
          <w:marRight w:val="0"/>
          <w:marTop w:val="0"/>
          <w:marBottom w:val="0"/>
          <w:divBdr>
            <w:top w:val="none" w:sz="0" w:space="0" w:color="auto"/>
            <w:left w:val="none" w:sz="0" w:space="0" w:color="auto"/>
            <w:bottom w:val="none" w:sz="0" w:space="0" w:color="auto"/>
            <w:right w:val="none" w:sz="0" w:space="0" w:color="auto"/>
          </w:divBdr>
        </w:div>
        <w:div w:id="1270774584">
          <w:marLeft w:val="0"/>
          <w:marRight w:val="0"/>
          <w:marTop w:val="0"/>
          <w:marBottom w:val="0"/>
          <w:divBdr>
            <w:top w:val="none" w:sz="0" w:space="0" w:color="auto"/>
            <w:left w:val="none" w:sz="0" w:space="0" w:color="auto"/>
            <w:bottom w:val="none" w:sz="0" w:space="0" w:color="auto"/>
            <w:right w:val="none" w:sz="0" w:space="0" w:color="auto"/>
          </w:divBdr>
        </w:div>
        <w:div w:id="1233269216">
          <w:marLeft w:val="0"/>
          <w:marRight w:val="0"/>
          <w:marTop w:val="0"/>
          <w:marBottom w:val="0"/>
          <w:divBdr>
            <w:top w:val="none" w:sz="0" w:space="0" w:color="auto"/>
            <w:left w:val="none" w:sz="0" w:space="0" w:color="auto"/>
            <w:bottom w:val="none" w:sz="0" w:space="0" w:color="auto"/>
            <w:right w:val="none" w:sz="0" w:space="0" w:color="auto"/>
          </w:divBdr>
        </w:div>
        <w:div w:id="107042799">
          <w:marLeft w:val="0"/>
          <w:marRight w:val="0"/>
          <w:marTop w:val="0"/>
          <w:marBottom w:val="0"/>
          <w:divBdr>
            <w:top w:val="none" w:sz="0" w:space="0" w:color="auto"/>
            <w:left w:val="none" w:sz="0" w:space="0" w:color="auto"/>
            <w:bottom w:val="none" w:sz="0" w:space="0" w:color="auto"/>
            <w:right w:val="none" w:sz="0" w:space="0" w:color="auto"/>
          </w:divBdr>
        </w:div>
      </w:divsChild>
    </w:div>
    <w:div w:id="495654322">
      <w:bodyDiv w:val="1"/>
      <w:marLeft w:val="150"/>
      <w:marRight w:val="0"/>
      <w:marTop w:val="375"/>
      <w:marBottom w:val="0"/>
      <w:divBdr>
        <w:top w:val="none" w:sz="0" w:space="0" w:color="auto"/>
        <w:left w:val="none" w:sz="0" w:space="0" w:color="auto"/>
        <w:bottom w:val="none" w:sz="0" w:space="0" w:color="auto"/>
        <w:right w:val="none" w:sz="0" w:space="0" w:color="auto"/>
      </w:divBdr>
    </w:div>
    <w:div w:id="498277465">
      <w:bodyDiv w:val="1"/>
      <w:marLeft w:val="0"/>
      <w:marRight w:val="0"/>
      <w:marTop w:val="0"/>
      <w:marBottom w:val="0"/>
      <w:divBdr>
        <w:top w:val="none" w:sz="0" w:space="0" w:color="auto"/>
        <w:left w:val="none" w:sz="0" w:space="0" w:color="auto"/>
        <w:bottom w:val="none" w:sz="0" w:space="0" w:color="auto"/>
        <w:right w:val="none" w:sz="0" w:space="0" w:color="auto"/>
      </w:divBdr>
    </w:div>
    <w:div w:id="499320473">
      <w:bodyDiv w:val="1"/>
      <w:marLeft w:val="0"/>
      <w:marRight w:val="0"/>
      <w:marTop w:val="0"/>
      <w:marBottom w:val="0"/>
      <w:divBdr>
        <w:top w:val="none" w:sz="0" w:space="0" w:color="auto"/>
        <w:left w:val="none" w:sz="0" w:space="0" w:color="auto"/>
        <w:bottom w:val="none" w:sz="0" w:space="0" w:color="auto"/>
        <w:right w:val="none" w:sz="0" w:space="0" w:color="auto"/>
      </w:divBdr>
    </w:div>
    <w:div w:id="532810028">
      <w:bodyDiv w:val="1"/>
      <w:marLeft w:val="0"/>
      <w:marRight w:val="0"/>
      <w:marTop w:val="0"/>
      <w:marBottom w:val="0"/>
      <w:divBdr>
        <w:top w:val="none" w:sz="0" w:space="0" w:color="auto"/>
        <w:left w:val="none" w:sz="0" w:space="0" w:color="auto"/>
        <w:bottom w:val="none" w:sz="0" w:space="0" w:color="auto"/>
        <w:right w:val="none" w:sz="0" w:space="0" w:color="auto"/>
      </w:divBdr>
    </w:div>
    <w:div w:id="533544386">
      <w:bodyDiv w:val="1"/>
      <w:marLeft w:val="0"/>
      <w:marRight w:val="0"/>
      <w:marTop w:val="0"/>
      <w:marBottom w:val="0"/>
      <w:divBdr>
        <w:top w:val="none" w:sz="0" w:space="0" w:color="auto"/>
        <w:left w:val="none" w:sz="0" w:space="0" w:color="auto"/>
        <w:bottom w:val="none" w:sz="0" w:space="0" w:color="auto"/>
        <w:right w:val="none" w:sz="0" w:space="0" w:color="auto"/>
      </w:divBdr>
    </w:div>
    <w:div w:id="541937734">
      <w:bodyDiv w:val="1"/>
      <w:marLeft w:val="0"/>
      <w:marRight w:val="0"/>
      <w:marTop w:val="0"/>
      <w:marBottom w:val="0"/>
      <w:divBdr>
        <w:top w:val="none" w:sz="0" w:space="0" w:color="auto"/>
        <w:left w:val="none" w:sz="0" w:space="0" w:color="auto"/>
        <w:bottom w:val="none" w:sz="0" w:space="0" w:color="auto"/>
        <w:right w:val="none" w:sz="0" w:space="0" w:color="auto"/>
      </w:divBdr>
    </w:div>
    <w:div w:id="557860030">
      <w:bodyDiv w:val="1"/>
      <w:marLeft w:val="0"/>
      <w:marRight w:val="0"/>
      <w:marTop w:val="0"/>
      <w:marBottom w:val="0"/>
      <w:divBdr>
        <w:top w:val="none" w:sz="0" w:space="0" w:color="auto"/>
        <w:left w:val="none" w:sz="0" w:space="0" w:color="auto"/>
        <w:bottom w:val="none" w:sz="0" w:space="0" w:color="auto"/>
        <w:right w:val="none" w:sz="0" w:space="0" w:color="auto"/>
      </w:divBdr>
    </w:div>
    <w:div w:id="612593140">
      <w:bodyDiv w:val="1"/>
      <w:marLeft w:val="0"/>
      <w:marRight w:val="0"/>
      <w:marTop w:val="0"/>
      <w:marBottom w:val="0"/>
      <w:divBdr>
        <w:top w:val="none" w:sz="0" w:space="0" w:color="auto"/>
        <w:left w:val="none" w:sz="0" w:space="0" w:color="auto"/>
        <w:bottom w:val="none" w:sz="0" w:space="0" w:color="auto"/>
        <w:right w:val="none" w:sz="0" w:space="0" w:color="auto"/>
      </w:divBdr>
    </w:div>
    <w:div w:id="649480897">
      <w:bodyDiv w:val="1"/>
      <w:marLeft w:val="0"/>
      <w:marRight w:val="0"/>
      <w:marTop w:val="0"/>
      <w:marBottom w:val="0"/>
      <w:divBdr>
        <w:top w:val="none" w:sz="0" w:space="0" w:color="auto"/>
        <w:left w:val="none" w:sz="0" w:space="0" w:color="auto"/>
        <w:bottom w:val="none" w:sz="0" w:space="0" w:color="auto"/>
        <w:right w:val="none" w:sz="0" w:space="0" w:color="auto"/>
      </w:divBdr>
    </w:div>
    <w:div w:id="654452248">
      <w:bodyDiv w:val="1"/>
      <w:marLeft w:val="0"/>
      <w:marRight w:val="0"/>
      <w:marTop w:val="0"/>
      <w:marBottom w:val="0"/>
      <w:divBdr>
        <w:top w:val="none" w:sz="0" w:space="0" w:color="auto"/>
        <w:left w:val="none" w:sz="0" w:space="0" w:color="auto"/>
        <w:bottom w:val="none" w:sz="0" w:space="0" w:color="auto"/>
        <w:right w:val="none" w:sz="0" w:space="0" w:color="auto"/>
      </w:divBdr>
      <w:divsChild>
        <w:div w:id="1935507010">
          <w:marLeft w:val="0"/>
          <w:marRight w:val="0"/>
          <w:marTop w:val="0"/>
          <w:marBottom w:val="0"/>
          <w:divBdr>
            <w:top w:val="none" w:sz="0" w:space="0" w:color="auto"/>
            <w:left w:val="none" w:sz="0" w:space="0" w:color="auto"/>
            <w:bottom w:val="none" w:sz="0" w:space="0" w:color="auto"/>
            <w:right w:val="none" w:sz="0" w:space="0" w:color="auto"/>
          </w:divBdr>
        </w:div>
        <w:div w:id="1189568740">
          <w:marLeft w:val="0"/>
          <w:marRight w:val="0"/>
          <w:marTop w:val="0"/>
          <w:marBottom w:val="0"/>
          <w:divBdr>
            <w:top w:val="none" w:sz="0" w:space="0" w:color="auto"/>
            <w:left w:val="none" w:sz="0" w:space="0" w:color="auto"/>
            <w:bottom w:val="none" w:sz="0" w:space="0" w:color="auto"/>
            <w:right w:val="none" w:sz="0" w:space="0" w:color="auto"/>
          </w:divBdr>
        </w:div>
      </w:divsChild>
    </w:div>
    <w:div w:id="701512795">
      <w:bodyDiv w:val="1"/>
      <w:marLeft w:val="0"/>
      <w:marRight w:val="0"/>
      <w:marTop w:val="0"/>
      <w:marBottom w:val="0"/>
      <w:divBdr>
        <w:top w:val="none" w:sz="0" w:space="0" w:color="auto"/>
        <w:left w:val="none" w:sz="0" w:space="0" w:color="auto"/>
        <w:bottom w:val="none" w:sz="0" w:space="0" w:color="auto"/>
        <w:right w:val="none" w:sz="0" w:space="0" w:color="auto"/>
      </w:divBdr>
    </w:div>
    <w:div w:id="815993214">
      <w:bodyDiv w:val="1"/>
      <w:marLeft w:val="0"/>
      <w:marRight w:val="0"/>
      <w:marTop w:val="0"/>
      <w:marBottom w:val="0"/>
      <w:divBdr>
        <w:top w:val="none" w:sz="0" w:space="0" w:color="auto"/>
        <w:left w:val="none" w:sz="0" w:space="0" w:color="auto"/>
        <w:bottom w:val="none" w:sz="0" w:space="0" w:color="auto"/>
        <w:right w:val="none" w:sz="0" w:space="0" w:color="auto"/>
      </w:divBdr>
    </w:div>
    <w:div w:id="871961792">
      <w:bodyDiv w:val="1"/>
      <w:marLeft w:val="0"/>
      <w:marRight w:val="0"/>
      <w:marTop w:val="0"/>
      <w:marBottom w:val="0"/>
      <w:divBdr>
        <w:top w:val="none" w:sz="0" w:space="0" w:color="auto"/>
        <w:left w:val="none" w:sz="0" w:space="0" w:color="auto"/>
        <w:bottom w:val="none" w:sz="0" w:space="0" w:color="auto"/>
        <w:right w:val="none" w:sz="0" w:space="0" w:color="auto"/>
      </w:divBdr>
    </w:div>
    <w:div w:id="903878963">
      <w:bodyDiv w:val="1"/>
      <w:marLeft w:val="0"/>
      <w:marRight w:val="0"/>
      <w:marTop w:val="0"/>
      <w:marBottom w:val="0"/>
      <w:divBdr>
        <w:top w:val="none" w:sz="0" w:space="0" w:color="auto"/>
        <w:left w:val="none" w:sz="0" w:space="0" w:color="auto"/>
        <w:bottom w:val="none" w:sz="0" w:space="0" w:color="auto"/>
        <w:right w:val="none" w:sz="0" w:space="0" w:color="auto"/>
      </w:divBdr>
    </w:div>
    <w:div w:id="920289004">
      <w:bodyDiv w:val="1"/>
      <w:marLeft w:val="0"/>
      <w:marRight w:val="0"/>
      <w:marTop w:val="0"/>
      <w:marBottom w:val="0"/>
      <w:divBdr>
        <w:top w:val="none" w:sz="0" w:space="0" w:color="auto"/>
        <w:left w:val="none" w:sz="0" w:space="0" w:color="auto"/>
        <w:bottom w:val="none" w:sz="0" w:space="0" w:color="auto"/>
        <w:right w:val="none" w:sz="0" w:space="0" w:color="auto"/>
      </w:divBdr>
    </w:div>
    <w:div w:id="938223596">
      <w:bodyDiv w:val="1"/>
      <w:marLeft w:val="0"/>
      <w:marRight w:val="0"/>
      <w:marTop w:val="0"/>
      <w:marBottom w:val="0"/>
      <w:divBdr>
        <w:top w:val="none" w:sz="0" w:space="0" w:color="auto"/>
        <w:left w:val="none" w:sz="0" w:space="0" w:color="auto"/>
        <w:bottom w:val="none" w:sz="0" w:space="0" w:color="auto"/>
        <w:right w:val="none" w:sz="0" w:space="0" w:color="auto"/>
      </w:divBdr>
    </w:div>
    <w:div w:id="1017389488">
      <w:bodyDiv w:val="1"/>
      <w:marLeft w:val="0"/>
      <w:marRight w:val="0"/>
      <w:marTop w:val="0"/>
      <w:marBottom w:val="0"/>
      <w:divBdr>
        <w:top w:val="none" w:sz="0" w:space="0" w:color="auto"/>
        <w:left w:val="none" w:sz="0" w:space="0" w:color="auto"/>
        <w:bottom w:val="none" w:sz="0" w:space="0" w:color="auto"/>
        <w:right w:val="none" w:sz="0" w:space="0" w:color="auto"/>
      </w:divBdr>
    </w:div>
    <w:div w:id="1024676600">
      <w:bodyDiv w:val="1"/>
      <w:marLeft w:val="0"/>
      <w:marRight w:val="0"/>
      <w:marTop w:val="0"/>
      <w:marBottom w:val="0"/>
      <w:divBdr>
        <w:top w:val="none" w:sz="0" w:space="0" w:color="auto"/>
        <w:left w:val="none" w:sz="0" w:space="0" w:color="auto"/>
        <w:bottom w:val="none" w:sz="0" w:space="0" w:color="auto"/>
        <w:right w:val="none" w:sz="0" w:space="0" w:color="auto"/>
      </w:divBdr>
    </w:div>
    <w:div w:id="1032221459">
      <w:bodyDiv w:val="1"/>
      <w:marLeft w:val="0"/>
      <w:marRight w:val="0"/>
      <w:marTop w:val="0"/>
      <w:marBottom w:val="0"/>
      <w:divBdr>
        <w:top w:val="none" w:sz="0" w:space="0" w:color="auto"/>
        <w:left w:val="none" w:sz="0" w:space="0" w:color="auto"/>
        <w:bottom w:val="none" w:sz="0" w:space="0" w:color="auto"/>
        <w:right w:val="none" w:sz="0" w:space="0" w:color="auto"/>
      </w:divBdr>
    </w:div>
    <w:div w:id="1047098576">
      <w:bodyDiv w:val="1"/>
      <w:marLeft w:val="0"/>
      <w:marRight w:val="0"/>
      <w:marTop w:val="0"/>
      <w:marBottom w:val="0"/>
      <w:divBdr>
        <w:top w:val="none" w:sz="0" w:space="0" w:color="auto"/>
        <w:left w:val="none" w:sz="0" w:space="0" w:color="auto"/>
        <w:bottom w:val="none" w:sz="0" w:space="0" w:color="auto"/>
        <w:right w:val="none" w:sz="0" w:space="0" w:color="auto"/>
      </w:divBdr>
    </w:div>
    <w:div w:id="1088621997">
      <w:bodyDiv w:val="1"/>
      <w:marLeft w:val="0"/>
      <w:marRight w:val="0"/>
      <w:marTop w:val="0"/>
      <w:marBottom w:val="0"/>
      <w:divBdr>
        <w:top w:val="none" w:sz="0" w:space="0" w:color="auto"/>
        <w:left w:val="none" w:sz="0" w:space="0" w:color="auto"/>
        <w:bottom w:val="none" w:sz="0" w:space="0" w:color="auto"/>
        <w:right w:val="none" w:sz="0" w:space="0" w:color="auto"/>
      </w:divBdr>
    </w:div>
    <w:div w:id="1113943804">
      <w:bodyDiv w:val="1"/>
      <w:marLeft w:val="0"/>
      <w:marRight w:val="0"/>
      <w:marTop w:val="0"/>
      <w:marBottom w:val="0"/>
      <w:divBdr>
        <w:top w:val="none" w:sz="0" w:space="0" w:color="auto"/>
        <w:left w:val="none" w:sz="0" w:space="0" w:color="auto"/>
        <w:bottom w:val="none" w:sz="0" w:space="0" w:color="auto"/>
        <w:right w:val="none" w:sz="0" w:space="0" w:color="auto"/>
      </w:divBdr>
    </w:div>
    <w:div w:id="1144741964">
      <w:bodyDiv w:val="1"/>
      <w:marLeft w:val="0"/>
      <w:marRight w:val="0"/>
      <w:marTop w:val="0"/>
      <w:marBottom w:val="0"/>
      <w:divBdr>
        <w:top w:val="none" w:sz="0" w:space="0" w:color="auto"/>
        <w:left w:val="none" w:sz="0" w:space="0" w:color="auto"/>
        <w:bottom w:val="none" w:sz="0" w:space="0" w:color="auto"/>
        <w:right w:val="none" w:sz="0" w:space="0" w:color="auto"/>
      </w:divBdr>
    </w:div>
    <w:div w:id="1206218389">
      <w:bodyDiv w:val="1"/>
      <w:marLeft w:val="0"/>
      <w:marRight w:val="0"/>
      <w:marTop w:val="0"/>
      <w:marBottom w:val="0"/>
      <w:divBdr>
        <w:top w:val="none" w:sz="0" w:space="0" w:color="auto"/>
        <w:left w:val="none" w:sz="0" w:space="0" w:color="auto"/>
        <w:bottom w:val="none" w:sz="0" w:space="0" w:color="auto"/>
        <w:right w:val="none" w:sz="0" w:space="0" w:color="auto"/>
      </w:divBdr>
    </w:div>
    <w:div w:id="1214274207">
      <w:bodyDiv w:val="1"/>
      <w:marLeft w:val="0"/>
      <w:marRight w:val="0"/>
      <w:marTop w:val="0"/>
      <w:marBottom w:val="0"/>
      <w:divBdr>
        <w:top w:val="none" w:sz="0" w:space="0" w:color="auto"/>
        <w:left w:val="none" w:sz="0" w:space="0" w:color="auto"/>
        <w:bottom w:val="none" w:sz="0" w:space="0" w:color="auto"/>
        <w:right w:val="none" w:sz="0" w:space="0" w:color="auto"/>
      </w:divBdr>
    </w:div>
    <w:div w:id="1249728121">
      <w:bodyDiv w:val="1"/>
      <w:marLeft w:val="0"/>
      <w:marRight w:val="0"/>
      <w:marTop w:val="0"/>
      <w:marBottom w:val="0"/>
      <w:divBdr>
        <w:top w:val="none" w:sz="0" w:space="0" w:color="auto"/>
        <w:left w:val="none" w:sz="0" w:space="0" w:color="auto"/>
        <w:bottom w:val="none" w:sz="0" w:space="0" w:color="auto"/>
        <w:right w:val="none" w:sz="0" w:space="0" w:color="auto"/>
      </w:divBdr>
    </w:div>
    <w:div w:id="1251429938">
      <w:bodyDiv w:val="1"/>
      <w:marLeft w:val="150"/>
      <w:marRight w:val="0"/>
      <w:marTop w:val="375"/>
      <w:marBottom w:val="0"/>
      <w:divBdr>
        <w:top w:val="none" w:sz="0" w:space="0" w:color="auto"/>
        <w:left w:val="none" w:sz="0" w:space="0" w:color="auto"/>
        <w:bottom w:val="none" w:sz="0" w:space="0" w:color="auto"/>
        <w:right w:val="none" w:sz="0" w:space="0" w:color="auto"/>
      </w:divBdr>
    </w:div>
    <w:div w:id="1322543028">
      <w:bodyDiv w:val="1"/>
      <w:marLeft w:val="0"/>
      <w:marRight w:val="0"/>
      <w:marTop w:val="0"/>
      <w:marBottom w:val="0"/>
      <w:divBdr>
        <w:top w:val="none" w:sz="0" w:space="0" w:color="auto"/>
        <w:left w:val="none" w:sz="0" w:space="0" w:color="auto"/>
        <w:bottom w:val="none" w:sz="0" w:space="0" w:color="auto"/>
        <w:right w:val="none" w:sz="0" w:space="0" w:color="auto"/>
      </w:divBdr>
    </w:div>
    <w:div w:id="1396050376">
      <w:bodyDiv w:val="1"/>
      <w:marLeft w:val="0"/>
      <w:marRight w:val="0"/>
      <w:marTop w:val="0"/>
      <w:marBottom w:val="0"/>
      <w:divBdr>
        <w:top w:val="none" w:sz="0" w:space="0" w:color="auto"/>
        <w:left w:val="none" w:sz="0" w:space="0" w:color="auto"/>
        <w:bottom w:val="none" w:sz="0" w:space="0" w:color="auto"/>
        <w:right w:val="none" w:sz="0" w:space="0" w:color="auto"/>
      </w:divBdr>
    </w:div>
    <w:div w:id="1419327515">
      <w:bodyDiv w:val="1"/>
      <w:marLeft w:val="0"/>
      <w:marRight w:val="0"/>
      <w:marTop w:val="0"/>
      <w:marBottom w:val="0"/>
      <w:divBdr>
        <w:top w:val="none" w:sz="0" w:space="0" w:color="auto"/>
        <w:left w:val="none" w:sz="0" w:space="0" w:color="auto"/>
        <w:bottom w:val="none" w:sz="0" w:space="0" w:color="auto"/>
        <w:right w:val="none" w:sz="0" w:space="0" w:color="auto"/>
      </w:divBdr>
      <w:divsChild>
        <w:div w:id="537817438">
          <w:marLeft w:val="0"/>
          <w:marRight w:val="0"/>
          <w:marTop w:val="0"/>
          <w:marBottom w:val="0"/>
          <w:divBdr>
            <w:top w:val="none" w:sz="0" w:space="0" w:color="auto"/>
            <w:left w:val="none" w:sz="0" w:space="0" w:color="auto"/>
            <w:bottom w:val="none" w:sz="0" w:space="0" w:color="auto"/>
            <w:right w:val="none" w:sz="0" w:space="0" w:color="auto"/>
          </w:divBdr>
        </w:div>
        <w:div w:id="1038626511">
          <w:marLeft w:val="0"/>
          <w:marRight w:val="0"/>
          <w:marTop w:val="0"/>
          <w:marBottom w:val="0"/>
          <w:divBdr>
            <w:top w:val="none" w:sz="0" w:space="0" w:color="auto"/>
            <w:left w:val="none" w:sz="0" w:space="0" w:color="auto"/>
            <w:bottom w:val="none" w:sz="0" w:space="0" w:color="auto"/>
            <w:right w:val="none" w:sz="0" w:space="0" w:color="auto"/>
          </w:divBdr>
        </w:div>
      </w:divsChild>
    </w:div>
    <w:div w:id="1428774752">
      <w:bodyDiv w:val="1"/>
      <w:marLeft w:val="150"/>
      <w:marRight w:val="0"/>
      <w:marTop w:val="375"/>
      <w:marBottom w:val="0"/>
      <w:divBdr>
        <w:top w:val="none" w:sz="0" w:space="0" w:color="auto"/>
        <w:left w:val="none" w:sz="0" w:space="0" w:color="auto"/>
        <w:bottom w:val="none" w:sz="0" w:space="0" w:color="auto"/>
        <w:right w:val="none" w:sz="0" w:space="0" w:color="auto"/>
      </w:divBdr>
    </w:div>
    <w:div w:id="1508210482">
      <w:bodyDiv w:val="1"/>
      <w:marLeft w:val="0"/>
      <w:marRight w:val="0"/>
      <w:marTop w:val="0"/>
      <w:marBottom w:val="0"/>
      <w:divBdr>
        <w:top w:val="none" w:sz="0" w:space="0" w:color="auto"/>
        <w:left w:val="none" w:sz="0" w:space="0" w:color="auto"/>
        <w:bottom w:val="none" w:sz="0" w:space="0" w:color="auto"/>
        <w:right w:val="none" w:sz="0" w:space="0" w:color="auto"/>
      </w:divBdr>
    </w:div>
    <w:div w:id="1509560195">
      <w:bodyDiv w:val="1"/>
      <w:marLeft w:val="0"/>
      <w:marRight w:val="0"/>
      <w:marTop w:val="0"/>
      <w:marBottom w:val="0"/>
      <w:divBdr>
        <w:top w:val="none" w:sz="0" w:space="0" w:color="auto"/>
        <w:left w:val="none" w:sz="0" w:space="0" w:color="auto"/>
        <w:bottom w:val="none" w:sz="0" w:space="0" w:color="auto"/>
        <w:right w:val="none" w:sz="0" w:space="0" w:color="auto"/>
      </w:divBdr>
    </w:div>
    <w:div w:id="1547181688">
      <w:bodyDiv w:val="1"/>
      <w:marLeft w:val="0"/>
      <w:marRight w:val="0"/>
      <w:marTop w:val="0"/>
      <w:marBottom w:val="0"/>
      <w:divBdr>
        <w:top w:val="none" w:sz="0" w:space="0" w:color="auto"/>
        <w:left w:val="none" w:sz="0" w:space="0" w:color="auto"/>
        <w:bottom w:val="none" w:sz="0" w:space="0" w:color="auto"/>
        <w:right w:val="none" w:sz="0" w:space="0" w:color="auto"/>
      </w:divBdr>
    </w:div>
    <w:div w:id="1559588852">
      <w:bodyDiv w:val="1"/>
      <w:marLeft w:val="0"/>
      <w:marRight w:val="0"/>
      <w:marTop w:val="0"/>
      <w:marBottom w:val="0"/>
      <w:divBdr>
        <w:top w:val="none" w:sz="0" w:space="0" w:color="auto"/>
        <w:left w:val="none" w:sz="0" w:space="0" w:color="auto"/>
        <w:bottom w:val="none" w:sz="0" w:space="0" w:color="auto"/>
        <w:right w:val="none" w:sz="0" w:space="0" w:color="auto"/>
      </w:divBdr>
    </w:div>
    <w:div w:id="1630816544">
      <w:bodyDiv w:val="1"/>
      <w:marLeft w:val="0"/>
      <w:marRight w:val="0"/>
      <w:marTop w:val="0"/>
      <w:marBottom w:val="0"/>
      <w:divBdr>
        <w:top w:val="none" w:sz="0" w:space="0" w:color="auto"/>
        <w:left w:val="none" w:sz="0" w:space="0" w:color="auto"/>
        <w:bottom w:val="none" w:sz="0" w:space="0" w:color="auto"/>
        <w:right w:val="none" w:sz="0" w:space="0" w:color="auto"/>
      </w:divBdr>
    </w:div>
    <w:div w:id="1650358833">
      <w:bodyDiv w:val="1"/>
      <w:marLeft w:val="0"/>
      <w:marRight w:val="0"/>
      <w:marTop w:val="0"/>
      <w:marBottom w:val="0"/>
      <w:divBdr>
        <w:top w:val="none" w:sz="0" w:space="0" w:color="auto"/>
        <w:left w:val="none" w:sz="0" w:space="0" w:color="auto"/>
        <w:bottom w:val="none" w:sz="0" w:space="0" w:color="auto"/>
        <w:right w:val="none" w:sz="0" w:space="0" w:color="auto"/>
      </w:divBdr>
    </w:div>
    <w:div w:id="1712799969">
      <w:bodyDiv w:val="1"/>
      <w:marLeft w:val="0"/>
      <w:marRight w:val="0"/>
      <w:marTop w:val="0"/>
      <w:marBottom w:val="0"/>
      <w:divBdr>
        <w:top w:val="none" w:sz="0" w:space="0" w:color="auto"/>
        <w:left w:val="none" w:sz="0" w:space="0" w:color="auto"/>
        <w:bottom w:val="none" w:sz="0" w:space="0" w:color="auto"/>
        <w:right w:val="none" w:sz="0" w:space="0" w:color="auto"/>
      </w:divBdr>
    </w:div>
    <w:div w:id="1726180238">
      <w:bodyDiv w:val="1"/>
      <w:marLeft w:val="0"/>
      <w:marRight w:val="0"/>
      <w:marTop w:val="0"/>
      <w:marBottom w:val="0"/>
      <w:divBdr>
        <w:top w:val="none" w:sz="0" w:space="0" w:color="auto"/>
        <w:left w:val="none" w:sz="0" w:space="0" w:color="auto"/>
        <w:bottom w:val="none" w:sz="0" w:space="0" w:color="auto"/>
        <w:right w:val="none" w:sz="0" w:space="0" w:color="auto"/>
      </w:divBdr>
      <w:divsChild>
        <w:div w:id="1575167095">
          <w:marLeft w:val="0"/>
          <w:marRight w:val="0"/>
          <w:marTop w:val="0"/>
          <w:marBottom w:val="0"/>
          <w:divBdr>
            <w:top w:val="none" w:sz="0" w:space="0" w:color="auto"/>
            <w:left w:val="none" w:sz="0" w:space="0" w:color="auto"/>
            <w:bottom w:val="none" w:sz="0" w:space="0" w:color="auto"/>
            <w:right w:val="none" w:sz="0" w:space="0" w:color="auto"/>
          </w:divBdr>
        </w:div>
        <w:div w:id="2060661885">
          <w:marLeft w:val="0"/>
          <w:marRight w:val="0"/>
          <w:marTop w:val="0"/>
          <w:marBottom w:val="0"/>
          <w:divBdr>
            <w:top w:val="none" w:sz="0" w:space="0" w:color="auto"/>
            <w:left w:val="none" w:sz="0" w:space="0" w:color="auto"/>
            <w:bottom w:val="none" w:sz="0" w:space="0" w:color="auto"/>
            <w:right w:val="none" w:sz="0" w:space="0" w:color="auto"/>
          </w:divBdr>
        </w:div>
        <w:div w:id="602735026">
          <w:marLeft w:val="0"/>
          <w:marRight w:val="0"/>
          <w:marTop w:val="0"/>
          <w:marBottom w:val="0"/>
          <w:divBdr>
            <w:top w:val="none" w:sz="0" w:space="0" w:color="auto"/>
            <w:left w:val="none" w:sz="0" w:space="0" w:color="auto"/>
            <w:bottom w:val="none" w:sz="0" w:space="0" w:color="auto"/>
            <w:right w:val="none" w:sz="0" w:space="0" w:color="auto"/>
          </w:divBdr>
        </w:div>
        <w:div w:id="243146737">
          <w:marLeft w:val="0"/>
          <w:marRight w:val="0"/>
          <w:marTop w:val="0"/>
          <w:marBottom w:val="0"/>
          <w:divBdr>
            <w:top w:val="none" w:sz="0" w:space="0" w:color="auto"/>
            <w:left w:val="none" w:sz="0" w:space="0" w:color="auto"/>
            <w:bottom w:val="none" w:sz="0" w:space="0" w:color="auto"/>
            <w:right w:val="none" w:sz="0" w:space="0" w:color="auto"/>
          </w:divBdr>
        </w:div>
      </w:divsChild>
    </w:div>
    <w:div w:id="1735660522">
      <w:bodyDiv w:val="1"/>
      <w:marLeft w:val="0"/>
      <w:marRight w:val="0"/>
      <w:marTop w:val="0"/>
      <w:marBottom w:val="0"/>
      <w:divBdr>
        <w:top w:val="none" w:sz="0" w:space="0" w:color="auto"/>
        <w:left w:val="none" w:sz="0" w:space="0" w:color="auto"/>
        <w:bottom w:val="none" w:sz="0" w:space="0" w:color="auto"/>
        <w:right w:val="none" w:sz="0" w:space="0" w:color="auto"/>
      </w:divBdr>
    </w:div>
    <w:div w:id="1822843145">
      <w:bodyDiv w:val="1"/>
      <w:marLeft w:val="0"/>
      <w:marRight w:val="0"/>
      <w:marTop w:val="0"/>
      <w:marBottom w:val="0"/>
      <w:divBdr>
        <w:top w:val="none" w:sz="0" w:space="0" w:color="auto"/>
        <w:left w:val="none" w:sz="0" w:space="0" w:color="auto"/>
        <w:bottom w:val="none" w:sz="0" w:space="0" w:color="auto"/>
        <w:right w:val="none" w:sz="0" w:space="0" w:color="auto"/>
      </w:divBdr>
    </w:div>
    <w:div w:id="1825127107">
      <w:bodyDiv w:val="1"/>
      <w:marLeft w:val="0"/>
      <w:marRight w:val="0"/>
      <w:marTop w:val="0"/>
      <w:marBottom w:val="0"/>
      <w:divBdr>
        <w:top w:val="none" w:sz="0" w:space="0" w:color="auto"/>
        <w:left w:val="none" w:sz="0" w:space="0" w:color="auto"/>
        <w:bottom w:val="none" w:sz="0" w:space="0" w:color="auto"/>
        <w:right w:val="none" w:sz="0" w:space="0" w:color="auto"/>
      </w:divBdr>
      <w:divsChild>
        <w:div w:id="557668306">
          <w:marLeft w:val="0"/>
          <w:marRight w:val="0"/>
          <w:marTop w:val="0"/>
          <w:marBottom w:val="0"/>
          <w:divBdr>
            <w:top w:val="none" w:sz="0" w:space="0" w:color="auto"/>
            <w:left w:val="none" w:sz="0" w:space="0" w:color="auto"/>
            <w:bottom w:val="none" w:sz="0" w:space="0" w:color="auto"/>
            <w:right w:val="none" w:sz="0" w:space="0" w:color="auto"/>
          </w:divBdr>
        </w:div>
        <w:div w:id="1104883949">
          <w:marLeft w:val="0"/>
          <w:marRight w:val="0"/>
          <w:marTop w:val="0"/>
          <w:marBottom w:val="0"/>
          <w:divBdr>
            <w:top w:val="none" w:sz="0" w:space="0" w:color="auto"/>
            <w:left w:val="none" w:sz="0" w:space="0" w:color="auto"/>
            <w:bottom w:val="none" w:sz="0" w:space="0" w:color="auto"/>
            <w:right w:val="none" w:sz="0" w:space="0" w:color="auto"/>
          </w:divBdr>
        </w:div>
        <w:div w:id="2093549101">
          <w:marLeft w:val="0"/>
          <w:marRight w:val="0"/>
          <w:marTop w:val="0"/>
          <w:marBottom w:val="0"/>
          <w:divBdr>
            <w:top w:val="none" w:sz="0" w:space="0" w:color="auto"/>
            <w:left w:val="none" w:sz="0" w:space="0" w:color="auto"/>
            <w:bottom w:val="none" w:sz="0" w:space="0" w:color="auto"/>
            <w:right w:val="none" w:sz="0" w:space="0" w:color="auto"/>
          </w:divBdr>
        </w:div>
        <w:div w:id="1713454736">
          <w:marLeft w:val="0"/>
          <w:marRight w:val="0"/>
          <w:marTop w:val="0"/>
          <w:marBottom w:val="0"/>
          <w:divBdr>
            <w:top w:val="none" w:sz="0" w:space="0" w:color="auto"/>
            <w:left w:val="none" w:sz="0" w:space="0" w:color="auto"/>
            <w:bottom w:val="none" w:sz="0" w:space="0" w:color="auto"/>
            <w:right w:val="none" w:sz="0" w:space="0" w:color="auto"/>
          </w:divBdr>
        </w:div>
        <w:div w:id="1099066478">
          <w:marLeft w:val="0"/>
          <w:marRight w:val="0"/>
          <w:marTop w:val="0"/>
          <w:marBottom w:val="0"/>
          <w:divBdr>
            <w:top w:val="none" w:sz="0" w:space="0" w:color="auto"/>
            <w:left w:val="none" w:sz="0" w:space="0" w:color="auto"/>
            <w:bottom w:val="none" w:sz="0" w:space="0" w:color="auto"/>
            <w:right w:val="none" w:sz="0" w:space="0" w:color="auto"/>
          </w:divBdr>
        </w:div>
      </w:divsChild>
    </w:div>
    <w:div w:id="1839154527">
      <w:bodyDiv w:val="1"/>
      <w:marLeft w:val="0"/>
      <w:marRight w:val="0"/>
      <w:marTop w:val="0"/>
      <w:marBottom w:val="0"/>
      <w:divBdr>
        <w:top w:val="none" w:sz="0" w:space="0" w:color="auto"/>
        <w:left w:val="none" w:sz="0" w:space="0" w:color="auto"/>
        <w:bottom w:val="none" w:sz="0" w:space="0" w:color="auto"/>
        <w:right w:val="none" w:sz="0" w:space="0" w:color="auto"/>
      </w:divBdr>
    </w:div>
    <w:div w:id="1887519538">
      <w:bodyDiv w:val="1"/>
      <w:marLeft w:val="0"/>
      <w:marRight w:val="0"/>
      <w:marTop w:val="0"/>
      <w:marBottom w:val="0"/>
      <w:divBdr>
        <w:top w:val="none" w:sz="0" w:space="0" w:color="auto"/>
        <w:left w:val="none" w:sz="0" w:space="0" w:color="auto"/>
        <w:bottom w:val="none" w:sz="0" w:space="0" w:color="auto"/>
        <w:right w:val="none" w:sz="0" w:space="0" w:color="auto"/>
      </w:divBdr>
    </w:div>
    <w:div w:id="1907181549">
      <w:bodyDiv w:val="1"/>
      <w:marLeft w:val="0"/>
      <w:marRight w:val="0"/>
      <w:marTop w:val="0"/>
      <w:marBottom w:val="0"/>
      <w:divBdr>
        <w:top w:val="none" w:sz="0" w:space="0" w:color="auto"/>
        <w:left w:val="none" w:sz="0" w:space="0" w:color="auto"/>
        <w:bottom w:val="none" w:sz="0" w:space="0" w:color="auto"/>
        <w:right w:val="none" w:sz="0" w:space="0" w:color="auto"/>
      </w:divBdr>
    </w:div>
    <w:div w:id="1978563812">
      <w:bodyDiv w:val="1"/>
      <w:marLeft w:val="0"/>
      <w:marRight w:val="0"/>
      <w:marTop w:val="0"/>
      <w:marBottom w:val="0"/>
      <w:divBdr>
        <w:top w:val="none" w:sz="0" w:space="0" w:color="auto"/>
        <w:left w:val="none" w:sz="0" w:space="0" w:color="auto"/>
        <w:bottom w:val="none" w:sz="0" w:space="0" w:color="auto"/>
        <w:right w:val="none" w:sz="0" w:space="0" w:color="auto"/>
      </w:divBdr>
    </w:div>
    <w:div w:id="1995839386">
      <w:bodyDiv w:val="1"/>
      <w:marLeft w:val="0"/>
      <w:marRight w:val="0"/>
      <w:marTop w:val="0"/>
      <w:marBottom w:val="0"/>
      <w:divBdr>
        <w:top w:val="none" w:sz="0" w:space="0" w:color="auto"/>
        <w:left w:val="none" w:sz="0" w:space="0" w:color="auto"/>
        <w:bottom w:val="none" w:sz="0" w:space="0" w:color="auto"/>
        <w:right w:val="none" w:sz="0" w:space="0" w:color="auto"/>
      </w:divBdr>
    </w:div>
    <w:div w:id="2012371485">
      <w:bodyDiv w:val="1"/>
      <w:marLeft w:val="0"/>
      <w:marRight w:val="0"/>
      <w:marTop w:val="0"/>
      <w:marBottom w:val="0"/>
      <w:divBdr>
        <w:top w:val="none" w:sz="0" w:space="0" w:color="auto"/>
        <w:left w:val="none" w:sz="0" w:space="0" w:color="auto"/>
        <w:bottom w:val="none" w:sz="0" w:space="0" w:color="auto"/>
        <w:right w:val="none" w:sz="0" w:space="0" w:color="auto"/>
      </w:divBdr>
    </w:div>
    <w:div w:id="2049334056">
      <w:bodyDiv w:val="1"/>
      <w:marLeft w:val="0"/>
      <w:marRight w:val="0"/>
      <w:marTop w:val="0"/>
      <w:marBottom w:val="0"/>
      <w:divBdr>
        <w:top w:val="none" w:sz="0" w:space="0" w:color="auto"/>
        <w:left w:val="none" w:sz="0" w:space="0" w:color="auto"/>
        <w:bottom w:val="none" w:sz="0" w:space="0" w:color="auto"/>
        <w:right w:val="none" w:sz="0" w:space="0" w:color="auto"/>
      </w:divBdr>
    </w:div>
    <w:div w:id="2057701062">
      <w:bodyDiv w:val="1"/>
      <w:marLeft w:val="0"/>
      <w:marRight w:val="0"/>
      <w:marTop w:val="0"/>
      <w:marBottom w:val="0"/>
      <w:divBdr>
        <w:top w:val="none" w:sz="0" w:space="0" w:color="auto"/>
        <w:left w:val="none" w:sz="0" w:space="0" w:color="auto"/>
        <w:bottom w:val="none" w:sz="0" w:space="0" w:color="auto"/>
        <w:right w:val="none" w:sz="0" w:space="0" w:color="auto"/>
      </w:divBdr>
    </w:div>
    <w:div w:id="2119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white@deq.idaho.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4D22-5BDB-4919-87D4-E7F978A2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29665</CharactersWithSpaces>
  <SharedDoc>false</SharedDoc>
  <HLinks>
    <vt:vector size="12" baseType="variant">
      <vt:variant>
        <vt:i4>6684740</vt:i4>
      </vt:variant>
      <vt:variant>
        <vt:i4>3</vt:i4>
      </vt:variant>
      <vt:variant>
        <vt:i4>0</vt:i4>
      </vt:variant>
      <vt:variant>
        <vt:i4>5</vt:i4>
      </vt:variant>
      <vt:variant>
        <vt:lpwstr>../Local Settings/Temporary Internet Files/OLK52/jess.byrne@deq.idaho.gov</vt:lpwstr>
      </vt:variant>
      <vt:variant>
        <vt:lpwstr/>
      </vt:variant>
      <vt:variant>
        <vt:i4>6</vt:i4>
      </vt:variant>
      <vt:variant>
        <vt:i4>0</vt:i4>
      </vt:variant>
      <vt:variant>
        <vt:i4>0</vt:i4>
      </vt:variant>
      <vt:variant>
        <vt:i4>5</vt:i4>
      </vt:variant>
      <vt:variant>
        <vt:lpwstr>http://www.deq.idaho.gov/crop_residue_burning.cfm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30</cp:revision>
  <cp:lastPrinted>2021-07-19T20:15:00Z</cp:lastPrinted>
  <dcterms:created xsi:type="dcterms:W3CDTF">2021-08-05T16:26:00Z</dcterms:created>
  <dcterms:modified xsi:type="dcterms:W3CDTF">2022-06-01T22:55:00Z</dcterms:modified>
</cp:coreProperties>
</file>