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9AD06" w14:textId="77777777" w:rsidR="008062A9" w:rsidRPr="00487FCD" w:rsidRDefault="008062A9" w:rsidP="008062A9">
      <w:pPr>
        <w:pStyle w:val="Heading1"/>
        <w:spacing w:before="0" w:after="60"/>
        <w:rPr>
          <w:rFonts w:ascii="Arial" w:hAnsi="Arial" w:cs="Arial"/>
          <w:i/>
          <w:color w:val="000080"/>
          <w:szCs w:val="24"/>
        </w:rPr>
      </w:pPr>
      <w:r w:rsidRPr="00487FCD">
        <w:rPr>
          <w:rFonts w:ascii="Arial" w:hAnsi="Arial" w:cs="Arial"/>
          <w:i/>
          <w:color w:val="000080"/>
          <w:szCs w:val="24"/>
        </w:rPr>
        <w:t>Part I – Agency Profile</w:t>
      </w:r>
    </w:p>
    <w:p w14:paraId="5F2F8ADB" w14:textId="77777777" w:rsidR="00457DB2" w:rsidRDefault="00457DB2" w:rsidP="005D2CAB">
      <w:pPr>
        <w:rPr>
          <w:rFonts w:ascii="Arial" w:hAnsi="Arial" w:cs="Arial"/>
          <w:b/>
          <w:bCs/>
        </w:rPr>
      </w:pPr>
    </w:p>
    <w:p w14:paraId="3DEEDEEE" w14:textId="77777777" w:rsidR="00446B1D" w:rsidRPr="00301088" w:rsidRDefault="00446B1D" w:rsidP="005D2CAB">
      <w:pPr>
        <w:rPr>
          <w:rFonts w:ascii="Arial" w:hAnsi="Arial" w:cs="Arial"/>
        </w:rPr>
      </w:pPr>
      <w:r w:rsidRPr="00301088">
        <w:rPr>
          <w:rFonts w:ascii="Arial" w:hAnsi="Arial" w:cs="Arial"/>
          <w:b/>
          <w:bCs/>
        </w:rPr>
        <w:t>Agency Overview</w:t>
      </w:r>
    </w:p>
    <w:p w14:paraId="0FEB3578" w14:textId="70D9263F" w:rsidR="005D097C" w:rsidRPr="00301088" w:rsidRDefault="005D097C" w:rsidP="00272B74">
      <w:pPr>
        <w:jc w:val="both"/>
        <w:rPr>
          <w:rFonts w:ascii="Arial" w:hAnsi="Arial" w:cs="Arial"/>
          <w:sz w:val="20"/>
          <w:szCs w:val="20"/>
        </w:rPr>
      </w:pPr>
      <w:r w:rsidRPr="00301088">
        <w:rPr>
          <w:rFonts w:ascii="Arial" w:hAnsi="Arial" w:cs="Arial"/>
          <w:sz w:val="20"/>
          <w:szCs w:val="20"/>
        </w:rPr>
        <w:t>Founded in 1901, Idaho State University (ISU) is a Carnegie classified Doctoral Universit</w:t>
      </w:r>
      <w:r w:rsidR="006769AB">
        <w:rPr>
          <w:rFonts w:ascii="Arial" w:hAnsi="Arial" w:cs="Arial"/>
          <w:sz w:val="20"/>
          <w:szCs w:val="20"/>
        </w:rPr>
        <w:t>y</w:t>
      </w:r>
      <w:r w:rsidRPr="00301088">
        <w:rPr>
          <w:rFonts w:ascii="Arial" w:hAnsi="Arial" w:cs="Arial"/>
          <w:sz w:val="20"/>
          <w:szCs w:val="20"/>
        </w:rPr>
        <w:t xml:space="preserve">: </w:t>
      </w:r>
      <w:r w:rsidR="00CA7534">
        <w:rPr>
          <w:rFonts w:ascii="Arial" w:hAnsi="Arial" w:cs="Arial"/>
          <w:sz w:val="20"/>
          <w:szCs w:val="20"/>
        </w:rPr>
        <w:t>High</w:t>
      </w:r>
      <w:r w:rsidRPr="00301088">
        <w:rPr>
          <w:rFonts w:ascii="Arial" w:hAnsi="Arial" w:cs="Arial"/>
          <w:sz w:val="20"/>
          <w:szCs w:val="20"/>
        </w:rPr>
        <w:t xml:space="preserve"> Research Activity.  </w:t>
      </w:r>
      <w:r w:rsidR="006769AB">
        <w:rPr>
          <w:rFonts w:ascii="Arial" w:hAnsi="Arial" w:cs="Arial"/>
          <w:sz w:val="20"/>
          <w:szCs w:val="20"/>
        </w:rPr>
        <w:t>Idaho State</w:t>
      </w:r>
      <w:r w:rsidRPr="00301088">
        <w:rPr>
          <w:rFonts w:ascii="Arial" w:hAnsi="Arial" w:cs="Arial"/>
          <w:sz w:val="20"/>
          <w:szCs w:val="20"/>
        </w:rPr>
        <w:t xml:space="preserve"> has evolved through distinct phases—the last occurring in 1963 with the change from Idaho State College to Idaho State University—reflecting a steady trajec</w:t>
      </w:r>
      <w:r w:rsidR="006769AB">
        <w:rPr>
          <w:rFonts w:ascii="Arial" w:hAnsi="Arial" w:cs="Arial"/>
          <w:sz w:val="20"/>
          <w:szCs w:val="20"/>
        </w:rPr>
        <w:t>tory of growth and development.</w:t>
      </w:r>
      <w:r w:rsidRPr="00301088">
        <w:rPr>
          <w:rFonts w:ascii="Arial" w:hAnsi="Arial" w:cs="Arial"/>
          <w:sz w:val="20"/>
          <w:szCs w:val="20"/>
        </w:rPr>
        <w:t xml:space="preserve"> Today, </w:t>
      </w:r>
      <w:r w:rsidR="006769AB">
        <w:rPr>
          <w:rFonts w:ascii="Arial" w:hAnsi="Arial" w:cs="Arial"/>
          <w:sz w:val="20"/>
          <w:szCs w:val="20"/>
        </w:rPr>
        <w:t>Idaho State</w:t>
      </w:r>
      <w:r w:rsidRPr="00301088">
        <w:rPr>
          <w:rFonts w:ascii="Arial" w:hAnsi="Arial" w:cs="Arial"/>
          <w:sz w:val="20"/>
          <w:szCs w:val="20"/>
        </w:rPr>
        <w:t xml:space="preserve"> serves a</w:t>
      </w:r>
      <w:r w:rsidR="00CE10AF">
        <w:rPr>
          <w:rFonts w:ascii="Arial" w:hAnsi="Arial" w:cs="Arial"/>
          <w:sz w:val="20"/>
          <w:szCs w:val="20"/>
        </w:rPr>
        <w:t xml:space="preserve"> student population of 1</w:t>
      </w:r>
      <w:r w:rsidR="008E7F80">
        <w:rPr>
          <w:rFonts w:ascii="Arial" w:hAnsi="Arial" w:cs="Arial"/>
          <w:sz w:val="20"/>
          <w:szCs w:val="20"/>
        </w:rPr>
        <w:t>2,339</w:t>
      </w:r>
      <w:r w:rsidR="00303290">
        <w:rPr>
          <w:rFonts w:ascii="Arial" w:hAnsi="Arial" w:cs="Arial"/>
          <w:sz w:val="20"/>
          <w:szCs w:val="20"/>
        </w:rPr>
        <w:t xml:space="preserve"> </w:t>
      </w:r>
      <w:r w:rsidR="00CE10AF">
        <w:rPr>
          <w:rFonts w:ascii="Arial" w:hAnsi="Arial" w:cs="Arial"/>
          <w:sz w:val="20"/>
          <w:szCs w:val="20"/>
        </w:rPr>
        <w:t>(Fa</w:t>
      </w:r>
      <w:r w:rsidR="008E7F80">
        <w:rPr>
          <w:rFonts w:ascii="Arial" w:hAnsi="Arial" w:cs="Arial"/>
          <w:sz w:val="20"/>
          <w:szCs w:val="20"/>
        </w:rPr>
        <w:t>ll 2020-end of term), and 14,241</w:t>
      </w:r>
      <w:r w:rsidR="00183103">
        <w:rPr>
          <w:rFonts w:ascii="Arial" w:hAnsi="Arial" w:cs="Arial"/>
          <w:sz w:val="20"/>
          <w:szCs w:val="20"/>
        </w:rPr>
        <w:t xml:space="preserve"> </w:t>
      </w:r>
      <w:r w:rsidRPr="00301088">
        <w:rPr>
          <w:rFonts w:ascii="Arial" w:hAnsi="Arial" w:cs="Arial"/>
          <w:sz w:val="20"/>
          <w:szCs w:val="20"/>
        </w:rPr>
        <w:t xml:space="preserve">unduplicated annual </w:t>
      </w:r>
      <w:r w:rsidRPr="00D65105">
        <w:rPr>
          <w:rFonts w:ascii="Arial" w:hAnsi="Arial" w:cs="Arial"/>
          <w:noProof/>
          <w:sz w:val="20"/>
          <w:szCs w:val="20"/>
        </w:rPr>
        <w:t>headcount</w:t>
      </w:r>
      <w:r w:rsidR="000877C2">
        <w:rPr>
          <w:rFonts w:ascii="Arial" w:hAnsi="Arial" w:cs="Arial"/>
          <w:sz w:val="20"/>
          <w:szCs w:val="20"/>
        </w:rPr>
        <w:t xml:space="preserve"> (F</w:t>
      </w:r>
      <w:r w:rsidR="007B3132">
        <w:rPr>
          <w:rFonts w:ascii="Arial" w:hAnsi="Arial" w:cs="Arial"/>
          <w:sz w:val="20"/>
          <w:szCs w:val="20"/>
        </w:rPr>
        <w:t xml:space="preserve">iscal </w:t>
      </w:r>
      <w:r w:rsidR="000877C2">
        <w:rPr>
          <w:rFonts w:ascii="Arial" w:hAnsi="Arial" w:cs="Arial"/>
          <w:sz w:val="20"/>
          <w:szCs w:val="20"/>
        </w:rPr>
        <w:t>Y</w:t>
      </w:r>
      <w:r w:rsidR="00CE7153">
        <w:rPr>
          <w:rFonts w:ascii="Arial" w:hAnsi="Arial" w:cs="Arial"/>
          <w:sz w:val="20"/>
          <w:szCs w:val="20"/>
        </w:rPr>
        <w:t xml:space="preserve">ear </w:t>
      </w:r>
      <w:r w:rsidR="008E7F80">
        <w:rPr>
          <w:rFonts w:ascii="Arial" w:hAnsi="Arial" w:cs="Arial"/>
          <w:sz w:val="20"/>
          <w:szCs w:val="20"/>
        </w:rPr>
        <w:t>2021</w:t>
      </w:r>
      <w:r w:rsidR="00C13E82">
        <w:rPr>
          <w:rFonts w:ascii="Arial" w:hAnsi="Arial" w:cs="Arial"/>
          <w:sz w:val="20"/>
          <w:szCs w:val="20"/>
        </w:rPr>
        <w:t>), representing 45 states and 54</w:t>
      </w:r>
      <w:r w:rsidRPr="00301088">
        <w:rPr>
          <w:rFonts w:ascii="Arial" w:hAnsi="Arial" w:cs="Arial"/>
          <w:sz w:val="20"/>
          <w:szCs w:val="20"/>
        </w:rPr>
        <w:t xml:space="preserve"> countries. </w:t>
      </w:r>
      <w:r w:rsidR="00873255">
        <w:rPr>
          <w:rFonts w:ascii="Arial" w:hAnsi="Arial" w:cs="Arial"/>
          <w:sz w:val="20"/>
          <w:szCs w:val="20"/>
        </w:rPr>
        <w:t>In addition</w:t>
      </w:r>
      <w:r w:rsidR="00036555">
        <w:rPr>
          <w:rFonts w:ascii="Arial" w:hAnsi="Arial" w:cs="Arial"/>
          <w:sz w:val="20"/>
          <w:szCs w:val="20"/>
        </w:rPr>
        <w:t>, I</w:t>
      </w:r>
      <w:r w:rsidR="006769AB">
        <w:rPr>
          <w:rFonts w:ascii="Arial" w:hAnsi="Arial" w:cs="Arial"/>
          <w:sz w:val="20"/>
          <w:szCs w:val="20"/>
        </w:rPr>
        <w:t>daho State</w:t>
      </w:r>
      <w:r w:rsidR="00036555">
        <w:rPr>
          <w:rFonts w:ascii="Arial" w:hAnsi="Arial" w:cs="Arial"/>
          <w:sz w:val="20"/>
          <w:szCs w:val="20"/>
        </w:rPr>
        <w:t xml:space="preserve"> taugh</w:t>
      </w:r>
      <w:r w:rsidR="000877C2">
        <w:rPr>
          <w:rFonts w:ascii="Arial" w:hAnsi="Arial" w:cs="Arial"/>
          <w:sz w:val="20"/>
          <w:szCs w:val="20"/>
        </w:rPr>
        <w:t xml:space="preserve">t over </w:t>
      </w:r>
      <w:r w:rsidR="000253F0">
        <w:rPr>
          <w:rFonts w:ascii="Arial" w:hAnsi="Arial" w:cs="Arial"/>
          <w:sz w:val="20"/>
          <w:szCs w:val="20"/>
        </w:rPr>
        <w:t>16,0</w:t>
      </w:r>
      <w:r w:rsidR="000877C2">
        <w:rPr>
          <w:rFonts w:ascii="Arial" w:hAnsi="Arial" w:cs="Arial"/>
          <w:sz w:val="20"/>
          <w:szCs w:val="20"/>
        </w:rPr>
        <w:t xml:space="preserve">00 students </w:t>
      </w:r>
      <w:r w:rsidR="006769AB">
        <w:rPr>
          <w:rFonts w:ascii="Arial" w:hAnsi="Arial" w:cs="Arial"/>
          <w:sz w:val="20"/>
          <w:szCs w:val="20"/>
        </w:rPr>
        <w:t>(</w:t>
      </w:r>
      <w:r w:rsidR="008E7F80">
        <w:rPr>
          <w:rFonts w:ascii="Arial" w:hAnsi="Arial" w:cs="Arial"/>
          <w:sz w:val="20"/>
          <w:szCs w:val="20"/>
        </w:rPr>
        <w:t>FY 2021</w:t>
      </w:r>
      <w:r w:rsidR="006769AB">
        <w:rPr>
          <w:rFonts w:ascii="Arial" w:hAnsi="Arial" w:cs="Arial"/>
          <w:sz w:val="20"/>
          <w:szCs w:val="20"/>
        </w:rPr>
        <w:t>)</w:t>
      </w:r>
      <w:r w:rsidR="00873255">
        <w:rPr>
          <w:rFonts w:ascii="Arial" w:hAnsi="Arial" w:cs="Arial"/>
          <w:sz w:val="20"/>
          <w:szCs w:val="20"/>
        </w:rPr>
        <w:t xml:space="preserve"> in professional </w:t>
      </w:r>
      <w:r w:rsidR="00036555">
        <w:rPr>
          <w:rFonts w:ascii="Arial" w:hAnsi="Arial" w:cs="Arial"/>
          <w:sz w:val="20"/>
          <w:szCs w:val="20"/>
        </w:rPr>
        <w:t>development</w:t>
      </w:r>
      <w:r w:rsidR="006769AB">
        <w:rPr>
          <w:rFonts w:ascii="Arial" w:hAnsi="Arial" w:cs="Arial"/>
          <w:sz w:val="20"/>
          <w:szCs w:val="20"/>
        </w:rPr>
        <w:t>, Workf</w:t>
      </w:r>
      <w:r w:rsidR="007B77A5">
        <w:rPr>
          <w:rFonts w:ascii="Arial" w:hAnsi="Arial" w:cs="Arial"/>
          <w:sz w:val="20"/>
          <w:szCs w:val="20"/>
        </w:rPr>
        <w:t>orce Training</w:t>
      </w:r>
      <w:r w:rsidR="00873255">
        <w:rPr>
          <w:rFonts w:ascii="Arial" w:hAnsi="Arial" w:cs="Arial"/>
          <w:sz w:val="20"/>
          <w:szCs w:val="20"/>
        </w:rPr>
        <w:t xml:space="preserve">, </w:t>
      </w:r>
      <w:r w:rsidR="004C6BB1">
        <w:rPr>
          <w:rFonts w:ascii="Arial" w:hAnsi="Arial" w:cs="Arial"/>
          <w:sz w:val="20"/>
          <w:szCs w:val="20"/>
        </w:rPr>
        <w:t xml:space="preserve">and </w:t>
      </w:r>
      <w:r w:rsidR="00036555">
        <w:rPr>
          <w:rFonts w:ascii="Arial" w:hAnsi="Arial" w:cs="Arial"/>
          <w:sz w:val="20"/>
          <w:szCs w:val="20"/>
        </w:rPr>
        <w:t>Continuing Education courses</w:t>
      </w:r>
      <w:r w:rsidR="00873255">
        <w:rPr>
          <w:rFonts w:ascii="Arial" w:hAnsi="Arial" w:cs="Arial"/>
          <w:sz w:val="20"/>
          <w:szCs w:val="20"/>
        </w:rPr>
        <w:t>.</w:t>
      </w:r>
      <w:r w:rsidR="00D35C31">
        <w:rPr>
          <w:rFonts w:ascii="Arial" w:hAnsi="Arial" w:cs="Arial"/>
          <w:sz w:val="20"/>
          <w:szCs w:val="20"/>
        </w:rPr>
        <w:t xml:space="preserve"> </w:t>
      </w:r>
      <w:r w:rsidR="006769AB">
        <w:rPr>
          <w:rFonts w:ascii="Arial" w:hAnsi="Arial" w:cs="Arial"/>
          <w:sz w:val="20"/>
          <w:szCs w:val="20"/>
        </w:rPr>
        <w:t>Idaho State</w:t>
      </w:r>
      <w:r w:rsidRPr="00301088">
        <w:rPr>
          <w:rFonts w:ascii="Arial" w:hAnsi="Arial" w:cs="Arial"/>
          <w:sz w:val="20"/>
          <w:szCs w:val="20"/>
        </w:rPr>
        <w:t xml:space="preserve">’s mission and Idaho State Board of </w:t>
      </w:r>
      <w:r w:rsidRPr="00301088">
        <w:rPr>
          <w:rFonts w:ascii="Arial" w:hAnsi="Arial" w:cs="Arial"/>
          <w:noProof/>
          <w:sz w:val="20"/>
          <w:szCs w:val="20"/>
        </w:rPr>
        <w:t>Education</w:t>
      </w:r>
      <w:r w:rsidR="006769AB">
        <w:rPr>
          <w:rFonts w:ascii="Arial" w:hAnsi="Arial" w:cs="Arial"/>
          <w:noProof/>
          <w:sz w:val="20"/>
          <w:szCs w:val="20"/>
        </w:rPr>
        <w:t xml:space="preserve"> (the Board) </w:t>
      </w:r>
      <w:r w:rsidRPr="00301088">
        <w:rPr>
          <w:rFonts w:ascii="Arial" w:hAnsi="Arial" w:cs="Arial"/>
          <w:noProof/>
          <w:sz w:val="20"/>
          <w:szCs w:val="20"/>
        </w:rPr>
        <w:t>mandated</w:t>
      </w:r>
      <w:r w:rsidRPr="00301088">
        <w:rPr>
          <w:rFonts w:ascii="Arial" w:hAnsi="Arial" w:cs="Arial"/>
          <w:sz w:val="20"/>
          <w:szCs w:val="20"/>
        </w:rPr>
        <w:t xml:space="preserve"> service region </w:t>
      </w:r>
      <w:r w:rsidRPr="00D65105">
        <w:rPr>
          <w:rFonts w:ascii="Arial" w:hAnsi="Arial" w:cs="Arial"/>
          <w:noProof/>
          <w:sz w:val="20"/>
          <w:szCs w:val="20"/>
        </w:rPr>
        <w:t>is</w:t>
      </w:r>
      <w:r w:rsidRPr="00301088">
        <w:rPr>
          <w:rFonts w:ascii="Arial" w:hAnsi="Arial" w:cs="Arial"/>
          <w:sz w:val="20"/>
          <w:szCs w:val="20"/>
        </w:rPr>
        <w:t xml:space="preserve"> the result of the institution’s </w:t>
      </w:r>
      <w:r w:rsidRPr="00301088">
        <w:rPr>
          <w:rFonts w:ascii="Arial" w:hAnsi="Arial" w:cs="Arial"/>
          <w:noProof/>
          <w:sz w:val="20"/>
          <w:szCs w:val="20"/>
        </w:rPr>
        <w:t>history</w:t>
      </w:r>
      <w:r w:rsidRPr="00301088">
        <w:rPr>
          <w:rFonts w:ascii="Arial" w:hAnsi="Arial" w:cs="Arial"/>
          <w:sz w:val="20"/>
          <w:szCs w:val="20"/>
        </w:rPr>
        <w:t xml:space="preserve"> and Idaho’s unique geography.  </w:t>
      </w:r>
    </w:p>
    <w:p w14:paraId="4D6EEA60" w14:textId="77777777" w:rsidR="005D097C" w:rsidRPr="00301088" w:rsidRDefault="005D097C" w:rsidP="00272B74">
      <w:pPr>
        <w:jc w:val="both"/>
        <w:rPr>
          <w:rFonts w:ascii="Arial" w:hAnsi="Arial" w:cs="Arial"/>
          <w:sz w:val="20"/>
          <w:szCs w:val="20"/>
        </w:rPr>
      </w:pPr>
    </w:p>
    <w:p w14:paraId="33223E0A" w14:textId="71AFE573" w:rsidR="005D097C" w:rsidRPr="00301088" w:rsidRDefault="005D097C" w:rsidP="00272B74">
      <w:pPr>
        <w:jc w:val="both"/>
        <w:rPr>
          <w:rFonts w:ascii="Arial" w:hAnsi="Arial" w:cs="Arial"/>
          <w:sz w:val="20"/>
          <w:szCs w:val="20"/>
        </w:rPr>
      </w:pPr>
      <w:r w:rsidRPr="00301088">
        <w:rPr>
          <w:rFonts w:ascii="Arial" w:hAnsi="Arial" w:cs="Arial"/>
          <w:sz w:val="20"/>
          <w:szCs w:val="20"/>
        </w:rPr>
        <w:t xml:space="preserve">Idaho State’s geographic service region extends </w:t>
      </w:r>
      <w:r w:rsidR="00311CA0">
        <w:rPr>
          <w:rFonts w:ascii="Arial" w:hAnsi="Arial" w:cs="Arial"/>
          <w:sz w:val="20"/>
          <w:szCs w:val="20"/>
        </w:rPr>
        <w:t>from</w:t>
      </w:r>
      <w:r w:rsidRPr="00301088">
        <w:rPr>
          <w:rFonts w:ascii="Arial" w:hAnsi="Arial" w:cs="Arial"/>
          <w:sz w:val="20"/>
          <w:szCs w:val="20"/>
        </w:rPr>
        <w:t xml:space="preserve"> the upper-Snake River region on the east side of the state, to the Magic Valley/Twin Falls towards the west, </w:t>
      </w:r>
      <w:r w:rsidR="00311CA0">
        <w:rPr>
          <w:rFonts w:ascii="Arial" w:hAnsi="Arial" w:cs="Arial"/>
          <w:sz w:val="20"/>
          <w:szCs w:val="20"/>
        </w:rPr>
        <w:t xml:space="preserve">and </w:t>
      </w:r>
      <w:r w:rsidRPr="00301088">
        <w:rPr>
          <w:rFonts w:ascii="Arial" w:hAnsi="Arial" w:cs="Arial"/>
          <w:sz w:val="20"/>
          <w:szCs w:val="20"/>
        </w:rPr>
        <w:t xml:space="preserve">the rural communities of the </w:t>
      </w:r>
      <w:r w:rsidR="006769AB">
        <w:rPr>
          <w:rFonts w:ascii="Arial" w:hAnsi="Arial" w:cs="Arial"/>
          <w:sz w:val="20"/>
          <w:szCs w:val="20"/>
        </w:rPr>
        <w:t>central mountains on the north.</w:t>
      </w:r>
      <w:r w:rsidRPr="00301088">
        <w:rPr>
          <w:rFonts w:ascii="Arial" w:hAnsi="Arial" w:cs="Arial"/>
          <w:sz w:val="20"/>
          <w:szCs w:val="20"/>
        </w:rPr>
        <w:t xml:space="preserve"> The University has campuses in four locations: Pocatello, Meridian, Idaho Falls, and Twin Falls.  Idaho State offers more than </w:t>
      </w:r>
      <w:r w:rsidR="00A46B6B" w:rsidRPr="00301088">
        <w:rPr>
          <w:rFonts w:ascii="Arial" w:hAnsi="Arial" w:cs="Arial"/>
          <w:sz w:val="20"/>
          <w:szCs w:val="20"/>
        </w:rPr>
        <w:t>2</w:t>
      </w:r>
      <w:r w:rsidR="00F625F2">
        <w:rPr>
          <w:rFonts w:ascii="Arial" w:hAnsi="Arial" w:cs="Arial"/>
          <w:sz w:val="20"/>
          <w:szCs w:val="20"/>
        </w:rPr>
        <w:t>5</w:t>
      </w:r>
      <w:r w:rsidR="00A46B6B" w:rsidRPr="00301088">
        <w:rPr>
          <w:rFonts w:ascii="Arial" w:hAnsi="Arial" w:cs="Arial"/>
          <w:sz w:val="20"/>
          <w:szCs w:val="20"/>
        </w:rPr>
        <w:t>0-degree</w:t>
      </w:r>
      <w:r w:rsidR="006769AB">
        <w:rPr>
          <w:rFonts w:ascii="Arial" w:hAnsi="Arial" w:cs="Arial"/>
          <w:sz w:val="20"/>
          <w:szCs w:val="20"/>
        </w:rPr>
        <w:t xml:space="preserve"> </w:t>
      </w:r>
      <w:r w:rsidRPr="00301088">
        <w:rPr>
          <w:rFonts w:ascii="Arial" w:hAnsi="Arial" w:cs="Arial"/>
          <w:sz w:val="20"/>
          <w:szCs w:val="20"/>
        </w:rPr>
        <w:t>pr</w:t>
      </w:r>
      <w:r w:rsidR="00E73742">
        <w:rPr>
          <w:rFonts w:ascii="Arial" w:hAnsi="Arial" w:cs="Arial"/>
          <w:sz w:val="20"/>
          <w:szCs w:val="20"/>
        </w:rPr>
        <w:t>ograms ranging from career technical</w:t>
      </w:r>
      <w:r w:rsidRPr="00301088">
        <w:rPr>
          <w:rFonts w:ascii="Arial" w:hAnsi="Arial" w:cs="Arial"/>
          <w:sz w:val="20"/>
          <w:szCs w:val="20"/>
        </w:rPr>
        <w:t xml:space="preserve"> </w:t>
      </w:r>
      <w:r w:rsidR="006769AB">
        <w:rPr>
          <w:rFonts w:ascii="Arial" w:hAnsi="Arial" w:cs="Arial"/>
          <w:sz w:val="20"/>
          <w:szCs w:val="20"/>
        </w:rPr>
        <w:t xml:space="preserve">education certificates to </w:t>
      </w:r>
      <w:r w:rsidR="007B3132">
        <w:rPr>
          <w:rFonts w:ascii="Arial" w:hAnsi="Arial" w:cs="Arial"/>
          <w:sz w:val="20"/>
          <w:szCs w:val="20"/>
        </w:rPr>
        <w:t>postgraduate doctoral degrees (</w:t>
      </w:r>
      <w:r w:rsidR="006769AB">
        <w:rPr>
          <w:rFonts w:ascii="Arial" w:hAnsi="Arial" w:cs="Arial"/>
          <w:sz w:val="20"/>
          <w:szCs w:val="20"/>
        </w:rPr>
        <w:t>Ph</w:t>
      </w:r>
      <w:r w:rsidRPr="00301088">
        <w:rPr>
          <w:rFonts w:ascii="Arial" w:hAnsi="Arial" w:cs="Arial"/>
          <w:sz w:val="20"/>
          <w:szCs w:val="20"/>
        </w:rPr>
        <w:t>Ds</w:t>
      </w:r>
      <w:r w:rsidR="007B3132">
        <w:rPr>
          <w:rFonts w:ascii="Arial" w:hAnsi="Arial" w:cs="Arial"/>
          <w:sz w:val="20"/>
          <w:szCs w:val="20"/>
        </w:rPr>
        <w:t>)</w:t>
      </w:r>
      <w:r w:rsidRPr="00301088">
        <w:rPr>
          <w:rFonts w:ascii="Arial" w:hAnsi="Arial" w:cs="Arial"/>
          <w:sz w:val="20"/>
          <w:szCs w:val="20"/>
        </w:rPr>
        <w:t xml:space="preserve">. </w:t>
      </w:r>
      <w:r w:rsidR="006769AB">
        <w:rPr>
          <w:rFonts w:ascii="Arial" w:hAnsi="Arial" w:cs="Arial"/>
          <w:sz w:val="20"/>
          <w:szCs w:val="20"/>
        </w:rPr>
        <w:t>Idaho State</w:t>
      </w:r>
      <w:r w:rsidRPr="00301088">
        <w:rPr>
          <w:rFonts w:ascii="Arial" w:hAnsi="Arial" w:cs="Arial"/>
          <w:sz w:val="20"/>
          <w:szCs w:val="20"/>
        </w:rPr>
        <w:t xml:space="preserve">’s disciplinary breadth, combined with its unique degree mix, offers opportunity and access commensurate with the Board’s mandate to serve </w:t>
      </w:r>
      <w:r w:rsidRPr="00D65105">
        <w:rPr>
          <w:rFonts w:ascii="Arial" w:hAnsi="Arial" w:cs="Arial"/>
          <w:noProof/>
          <w:sz w:val="20"/>
          <w:szCs w:val="20"/>
        </w:rPr>
        <w:t>its</w:t>
      </w:r>
      <w:r w:rsidRPr="00301088">
        <w:rPr>
          <w:rFonts w:ascii="Arial" w:hAnsi="Arial" w:cs="Arial"/>
          <w:sz w:val="20"/>
          <w:szCs w:val="20"/>
        </w:rPr>
        <w:t xml:space="preserve"> diverse, largely rural region, and to provide healthcare programming for the state. </w:t>
      </w:r>
      <w:r w:rsidR="006769AB">
        <w:rPr>
          <w:rFonts w:ascii="Arial" w:hAnsi="Arial" w:cs="Arial"/>
          <w:sz w:val="20"/>
          <w:szCs w:val="20"/>
        </w:rPr>
        <w:t xml:space="preserve">Idaho State </w:t>
      </w:r>
      <w:r w:rsidR="006932B5">
        <w:rPr>
          <w:rFonts w:ascii="Arial" w:hAnsi="Arial" w:cs="Arial"/>
          <w:sz w:val="20"/>
          <w:szCs w:val="20"/>
        </w:rPr>
        <w:t>hosts 13</w:t>
      </w:r>
      <w:r w:rsidRPr="00301088">
        <w:rPr>
          <w:rFonts w:ascii="Arial" w:hAnsi="Arial" w:cs="Arial"/>
          <w:sz w:val="20"/>
          <w:szCs w:val="20"/>
        </w:rPr>
        <w:t xml:space="preserve"> men’s and women’s </w:t>
      </w:r>
      <w:r w:rsidR="007B3132">
        <w:rPr>
          <w:rFonts w:ascii="Arial" w:hAnsi="Arial" w:cs="Arial"/>
          <w:sz w:val="20"/>
          <w:szCs w:val="20"/>
        </w:rPr>
        <w:t>National Collegiate Athletic Association (</w:t>
      </w:r>
      <w:r w:rsidRPr="00301088">
        <w:rPr>
          <w:rFonts w:ascii="Arial" w:hAnsi="Arial" w:cs="Arial"/>
          <w:sz w:val="20"/>
          <w:szCs w:val="20"/>
        </w:rPr>
        <w:t>NCAA</w:t>
      </w:r>
      <w:r w:rsidR="007B3132">
        <w:rPr>
          <w:rFonts w:ascii="Arial" w:hAnsi="Arial" w:cs="Arial"/>
          <w:sz w:val="20"/>
          <w:szCs w:val="20"/>
        </w:rPr>
        <w:t>)</w:t>
      </w:r>
      <w:r w:rsidRPr="00301088">
        <w:rPr>
          <w:rFonts w:ascii="Arial" w:hAnsi="Arial" w:cs="Arial"/>
          <w:sz w:val="20"/>
          <w:szCs w:val="20"/>
        </w:rPr>
        <w:t xml:space="preserve"> athlet</w:t>
      </w:r>
      <w:r w:rsidR="00C53D25">
        <w:rPr>
          <w:rFonts w:ascii="Arial" w:hAnsi="Arial" w:cs="Arial"/>
          <w:sz w:val="20"/>
          <w:szCs w:val="20"/>
        </w:rPr>
        <w:t>ic teams and offers 1</w:t>
      </w:r>
      <w:r w:rsidR="00A02916">
        <w:rPr>
          <w:rFonts w:ascii="Arial" w:hAnsi="Arial" w:cs="Arial"/>
          <w:sz w:val="20"/>
          <w:szCs w:val="20"/>
        </w:rPr>
        <w:t xml:space="preserve">12 </w:t>
      </w:r>
      <w:r w:rsidRPr="00301088">
        <w:rPr>
          <w:rFonts w:ascii="Arial" w:hAnsi="Arial" w:cs="Arial"/>
          <w:sz w:val="20"/>
          <w:szCs w:val="20"/>
        </w:rPr>
        <w:t>student clubs and organizations for student participation.</w:t>
      </w:r>
    </w:p>
    <w:p w14:paraId="43B2E551" w14:textId="77777777" w:rsidR="005D097C" w:rsidRPr="00301088" w:rsidRDefault="005D097C" w:rsidP="00272B74">
      <w:pPr>
        <w:jc w:val="both"/>
        <w:rPr>
          <w:rFonts w:ascii="Arial" w:hAnsi="Arial" w:cs="Arial"/>
          <w:sz w:val="20"/>
          <w:szCs w:val="20"/>
        </w:rPr>
      </w:pPr>
    </w:p>
    <w:p w14:paraId="41142C8B" w14:textId="168F108A" w:rsidR="005D097C" w:rsidRPr="00301088" w:rsidRDefault="005D097C" w:rsidP="00272B74">
      <w:pPr>
        <w:jc w:val="both"/>
        <w:rPr>
          <w:rFonts w:ascii="Arial" w:hAnsi="Arial" w:cs="Arial"/>
          <w:sz w:val="20"/>
          <w:szCs w:val="20"/>
        </w:rPr>
      </w:pPr>
      <w:r w:rsidRPr="00301088">
        <w:rPr>
          <w:rFonts w:ascii="Arial" w:hAnsi="Arial" w:cs="Arial"/>
          <w:sz w:val="20"/>
          <w:szCs w:val="20"/>
        </w:rPr>
        <w:t>Idaho State</w:t>
      </w:r>
      <w:r w:rsidR="006769AB">
        <w:rPr>
          <w:rFonts w:ascii="Arial" w:hAnsi="Arial" w:cs="Arial"/>
          <w:sz w:val="20"/>
          <w:szCs w:val="20"/>
        </w:rPr>
        <w:t xml:space="preserve"> is </w:t>
      </w:r>
      <w:r w:rsidRPr="00D65105">
        <w:rPr>
          <w:rFonts w:ascii="Arial" w:hAnsi="Arial" w:cs="Arial"/>
          <w:noProof/>
          <w:sz w:val="20"/>
          <w:szCs w:val="20"/>
        </w:rPr>
        <w:t>organized</w:t>
      </w:r>
      <w:r w:rsidRPr="00301088">
        <w:rPr>
          <w:rFonts w:ascii="Arial" w:hAnsi="Arial" w:cs="Arial"/>
          <w:sz w:val="20"/>
          <w:szCs w:val="20"/>
        </w:rPr>
        <w:t xml:space="preserve"> into </w:t>
      </w:r>
      <w:r w:rsidR="00572581">
        <w:rPr>
          <w:rFonts w:ascii="Arial" w:hAnsi="Arial" w:cs="Arial"/>
          <w:sz w:val="20"/>
          <w:szCs w:val="20"/>
        </w:rPr>
        <w:t>seven</w:t>
      </w:r>
      <w:r w:rsidRPr="00301088">
        <w:rPr>
          <w:rFonts w:ascii="Arial" w:hAnsi="Arial" w:cs="Arial"/>
          <w:sz w:val="20"/>
          <w:szCs w:val="20"/>
        </w:rPr>
        <w:t xml:space="preserve"> colleges.</w:t>
      </w:r>
      <w:r w:rsidR="006769AB">
        <w:rPr>
          <w:rFonts w:ascii="Arial" w:hAnsi="Arial" w:cs="Arial"/>
          <w:sz w:val="20"/>
          <w:szCs w:val="20"/>
        </w:rPr>
        <w:t xml:space="preserve"> </w:t>
      </w:r>
      <w:r w:rsidRPr="00301088">
        <w:rPr>
          <w:rFonts w:ascii="Arial" w:hAnsi="Arial" w:cs="Arial"/>
          <w:sz w:val="20"/>
          <w:szCs w:val="20"/>
        </w:rPr>
        <w:t>The colleges include the colleges of Arts and Letters, Business, Education, Science and Engineering, Technology</w:t>
      </w:r>
      <w:r w:rsidR="006769AB">
        <w:rPr>
          <w:rFonts w:ascii="Arial" w:hAnsi="Arial" w:cs="Arial"/>
          <w:sz w:val="20"/>
          <w:szCs w:val="20"/>
        </w:rPr>
        <w:t>,</w:t>
      </w:r>
      <w:r w:rsidR="001A412C">
        <w:rPr>
          <w:rFonts w:ascii="Arial" w:hAnsi="Arial" w:cs="Arial"/>
          <w:sz w:val="20"/>
          <w:szCs w:val="20"/>
        </w:rPr>
        <w:t xml:space="preserve"> Pharmacy, </w:t>
      </w:r>
      <w:r w:rsidR="00572581">
        <w:rPr>
          <w:rFonts w:ascii="Arial" w:hAnsi="Arial" w:cs="Arial"/>
          <w:sz w:val="20"/>
          <w:szCs w:val="20"/>
        </w:rPr>
        <w:t xml:space="preserve">and </w:t>
      </w:r>
      <w:r w:rsidR="003B0672">
        <w:rPr>
          <w:rFonts w:ascii="Arial" w:hAnsi="Arial" w:cs="Arial"/>
          <w:sz w:val="20"/>
          <w:szCs w:val="20"/>
        </w:rPr>
        <w:t>Health</w:t>
      </w:r>
      <w:r w:rsidR="006769AB">
        <w:rPr>
          <w:rFonts w:ascii="Arial" w:hAnsi="Arial" w:cs="Arial"/>
          <w:sz w:val="20"/>
          <w:szCs w:val="20"/>
        </w:rPr>
        <w:t xml:space="preserve">. </w:t>
      </w:r>
      <w:r w:rsidRPr="00D65105">
        <w:rPr>
          <w:rFonts w:ascii="Arial" w:hAnsi="Arial" w:cs="Arial"/>
          <w:noProof/>
          <w:sz w:val="20"/>
          <w:szCs w:val="20"/>
        </w:rPr>
        <w:t>In addition</w:t>
      </w:r>
      <w:r w:rsidRPr="00301088">
        <w:rPr>
          <w:rFonts w:ascii="Arial" w:hAnsi="Arial" w:cs="Arial"/>
          <w:sz w:val="20"/>
          <w:szCs w:val="20"/>
        </w:rPr>
        <w:t>, I</w:t>
      </w:r>
      <w:r w:rsidR="006769AB">
        <w:rPr>
          <w:rFonts w:ascii="Arial" w:hAnsi="Arial" w:cs="Arial"/>
          <w:sz w:val="20"/>
          <w:szCs w:val="20"/>
        </w:rPr>
        <w:t>daho State</w:t>
      </w:r>
      <w:r w:rsidRPr="00301088">
        <w:rPr>
          <w:rFonts w:ascii="Arial" w:hAnsi="Arial" w:cs="Arial"/>
          <w:sz w:val="20"/>
          <w:szCs w:val="20"/>
        </w:rPr>
        <w:t xml:space="preserve"> houses a Graduate School overseen by a graduate dean advised by graduate faculty.</w:t>
      </w:r>
    </w:p>
    <w:p w14:paraId="3DFD9B5A" w14:textId="77777777" w:rsidR="005D097C" w:rsidRPr="00301088" w:rsidRDefault="005D097C" w:rsidP="00272B74">
      <w:pPr>
        <w:jc w:val="both"/>
        <w:rPr>
          <w:rFonts w:ascii="Arial" w:hAnsi="Arial" w:cs="Arial"/>
          <w:sz w:val="20"/>
          <w:szCs w:val="20"/>
        </w:rPr>
      </w:pPr>
    </w:p>
    <w:p w14:paraId="453D90C7" w14:textId="36322E3E" w:rsidR="00DD5771" w:rsidRDefault="005D097C" w:rsidP="00272B74">
      <w:pPr>
        <w:jc w:val="both"/>
        <w:rPr>
          <w:rFonts w:ascii="Arial" w:hAnsi="Arial" w:cs="Arial"/>
          <w:sz w:val="20"/>
          <w:szCs w:val="20"/>
        </w:rPr>
      </w:pPr>
      <w:r w:rsidRPr="00301088">
        <w:rPr>
          <w:rFonts w:ascii="Arial" w:hAnsi="Arial" w:cs="Arial"/>
          <w:sz w:val="20"/>
          <w:szCs w:val="20"/>
        </w:rPr>
        <w:t>Idaho State boasts many incredible facilities, including the Center for Advanced Energy Studies (CAES)</w:t>
      </w:r>
      <w:r w:rsidR="006769AB">
        <w:rPr>
          <w:rFonts w:ascii="Arial" w:hAnsi="Arial" w:cs="Arial"/>
          <w:sz w:val="20"/>
          <w:szCs w:val="20"/>
        </w:rPr>
        <w:t>,</w:t>
      </w:r>
      <w:r w:rsidRPr="00301088">
        <w:rPr>
          <w:rFonts w:ascii="Arial" w:hAnsi="Arial" w:cs="Arial"/>
          <w:sz w:val="20"/>
          <w:szCs w:val="20"/>
        </w:rPr>
        <w:t xml:space="preserve"> the </w:t>
      </w:r>
      <w:r w:rsidR="001A412C">
        <w:rPr>
          <w:rFonts w:ascii="Arial" w:hAnsi="Arial" w:cs="Arial"/>
          <w:sz w:val="20"/>
          <w:szCs w:val="20"/>
        </w:rPr>
        <w:t>Idaho Accelerator Center</w:t>
      </w:r>
      <w:r w:rsidR="006769AB">
        <w:rPr>
          <w:rFonts w:ascii="Arial" w:hAnsi="Arial" w:cs="Arial"/>
          <w:sz w:val="20"/>
          <w:szCs w:val="20"/>
        </w:rPr>
        <w:t xml:space="preserve">, and the </w:t>
      </w:r>
      <w:r w:rsidR="006769AB" w:rsidRPr="00301088">
        <w:rPr>
          <w:rFonts w:ascii="Arial" w:hAnsi="Arial" w:cs="Arial"/>
          <w:sz w:val="20"/>
          <w:szCs w:val="20"/>
        </w:rPr>
        <w:t>state-of-the-art Stephens Performing Arts Center</w:t>
      </w:r>
      <w:r w:rsidR="0024648E">
        <w:rPr>
          <w:rFonts w:ascii="Arial" w:hAnsi="Arial" w:cs="Arial"/>
          <w:sz w:val="20"/>
          <w:szCs w:val="20"/>
        </w:rPr>
        <w:t>,</w:t>
      </w:r>
      <w:r w:rsidR="006769AB" w:rsidRPr="00301088">
        <w:rPr>
          <w:rFonts w:ascii="Arial" w:hAnsi="Arial" w:cs="Arial"/>
          <w:sz w:val="20"/>
          <w:szCs w:val="20"/>
        </w:rPr>
        <w:t xml:space="preserve"> </w:t>
      </w:r>
      <w:r w:rsidR="006769AB">
        <w:rPr>
          <w:rFonts w:ascii="Arial" w:hAnsi="Arial" w:cs="Arial"/>
          <w:sz w:val="20"/>
          <w:szCs w:val="20"/>
        </w:rPr>
        <w:t xml:space="preserve">which brings music, theatre, and cultural performances to southeastern Idaho. </w:t>
      </w:r>
      <w:r w:rsidRPr="00301088">
        <w:rPr>
          <w:rFonts w:ascii="Arial" w:hAnsi="Arial" w:cs="Arial"/>
          <w:sz w:val="20"/>
          <w:szCs w:val="20"/>
        </w:rPr>
        <w:t>The Idaho Museum of Natural History, located on the Pocatello campus</w:t>
      </w:r>
      <w:r w:rsidR="009A292C">
        <w:rPr>
          <w:rFonts w:ascii="Arial" w:hAnsi="Arial" w:cs="Arial"/>
          <w:sz w:val="20"/>
          <w:szCs w:val="20"/>
        </w:rPr>
        <w:t xml:space="preserve">, provides children, families, and adults an in-depth exploration of the natural history of Idaho.  </w:t>
      </w:r>
    </w:p>
    <w:p w14:paraId="65E80E43" w14:textId="77777777" w:rsidR="00C53D25" w:rsidRPr="00301088" w:rsidRDefault="00C53D25" w:rsidP="00272B74">
      <w:pPr>
        <w:jc w:val="both"/>
        <w:rPr>
          <w:rFonts w:ascii="Arial" w:hAnsi="Arial" w:cs="Arial"/>
          <w:szCs w:val="20"/>
        </w:rPr>
      </w:pPr>
    </w:p>
    <w:p w14:paraId="127816BB" w14:textId="77777777" w:rsidR="00446B1D" w:rsidRPr="00301088" w:rsidRDefault="00446B1D" w:rsidP="00272B74">
      <w:pPr>
        <w:jc w:val="both"/>
        <w:rPr>
          <w:rFonts w:ascii="Arial" w:hAnsi="Arial" w:cs="Arial"/>
        </w:rPr>
      </w:pPr>
      <w:r w:rsidRPr="00301088">
        <w:rPr>
          <w:rFonts w:ascii="Arial" w:hAnsi="Arial" w:cs="Arial"/>
          <w:b/>
          <w:bCs/>
        </w:rPr>
        <w:t>Core Functions/Idaho Code</w:t>
      </w:r>
    </w:p>
    <w:p w14:paraId="240CB71D" w14:textId="77777777" w:rsidR="005D097C" w:rsidRPr="0045323D" w:rsidRDefault="005D097C" w:rsidP="00272B74">
      <w:pPr>
        <w:jc w:val="both"/>
        <w:rPr>
          <w:rFonts w:ascii="Arial" w:hAnsi="Arial" w:cs="Arial"/>
          <w:sz w:val="20"/>
          <w:szCs w:val="20"/>
        </w:rPr>
      </w:pPr>
      <w:r w:rsidRPr="0045323D">
        <w:rPr>
          <w:rFonts w:ascii="Arial" w:hAnsi="Arial" w:cs="Arial"/>
          <w:sz w:val="20"/>
          <w:szCs w:val="20"/>
        </w:rPr>
        <w:t xml:space="preserve">Idaho State University is a </w:t>
      </w:r>
      <w:r w:rsidR="00BB5CE1" w:rsidRPr="0045323D">
        <w:rPr>
          <w:rFonts w:ascii="Arial" w:hAnsi="Arial" w:cs="Arial"/>
          <w:sz w:val="20"/>
          <w:szCs w:val="20"/>
        </w:rPr>
        <w:t>publicly supported</w:t>
      </w:r>
      <w:r w:rsidRPr="0045323D">
        <w:rPr>
          <w:rFonts w:ascii="Arial" w:hAnsi="Arial" w:cs="Arial"/>
          <w:sz w:val="20"/>
          <w:szCs w:val="20"/>
        </w:rPr>
        <w:t xml:space="preserve"> institution of higher education as created under the laws of the State of Idaho, Idaho Statute Title 33, </w:t>
      </w:r>
      <w:r w:rsidRPr="0045323D">
        <w:rPr>
          <w:rFonts w:ascii="Arial" w:hAnsi="Arial" w:cs="Arial"/>
          <w:noProof/>
          <w:sz w:val="20"/>
          <w:szCs w:val="20"/>
        </w:rPr>
        <w:t>Chapter</w:t>
      </w:r>
      <w:r w:rsidRPr="0045323D">
        <w:rPr>
          <w:rFonts w:ascii="Arial" w:hAnsi="Arial" w:cs="Arial"/>
          <w:sz w:val="20"/>
          <w:szCs w:val="20"/>
        </w:rPr>
        <w:t xml:space="preserve"> 30 and </w:t>
      </w:r>
      <w:r w:rsidRPr="0045323D">
        <w:rPr>
          <w:rFonts w:ascii="Arial" w:hAnsi="Arial" w:cs="Arial"/>
          <w:noProof/>
          <w:sz w:val="20"/>
          <w:szCs w:val="20"/>
        </w:rPr>
        <w:t>is governed</w:t>
      </w:r>
      <w:r w:rsidRPr="0045323D">
        <w:rPr>
          <w:rFonts w:ascii="Arial" w:hAnsi="Arial" w:cs="Arial"/>
          <w:sz w:val="20"/>
          <w:szCs w:val="20"/>
        </w:rPr>
        <w:t xml:space="preserve"> by the </w:t>
      </w:r>
      <w:r w:rsidR="007B3132">
        <w:rPr>
          <w:rFonts w:ascii="Arial" w:hAnsi="Arial" w:cs="Arial"/>
          <w:sz w:val="20"/>
          <w:szCs w:val="20"/>
        </w:rPr>
        <w:t>Board</w:t>
      </w:r>
      <w:r w:rsidRPr="0045323D">
        <w:rPr>
          <w:rFonts w:ascii="Arial" w:hAnsi="Arial" w:cs="Arial"/>
          <w:sz w:val="20"/>
          <w:szCs w:val="20"/>
        </w:rPr>
        <w:t xml:space="preserve">. </w:t>
      </w:r>
    </w:p>
    <w:p w14:paraId="16D98956" w14:textId="77777777" w:rsidR="005D097C" w:rsidRPr="0045323D" w:rsidRDefault="005D097C" w:rsidP="00272B74">
      <w:pPr>
        <w:jc w:val="both"/>
        <w:rPr>
          <w:rFonts w:ascii="Arial" w:hAnsi="Arial" w:cs="Arial"/>
          <w:sz w:val="20"/>
          <w:szCs w:val="20"/>
        </w:rPr>
      </w:pPr>
    </w:p>
    <w:p w14:paraId="32766BC1" w14:textId="77777777" w:rsidR="005D097C" w:rsidRPr="0045323D" w:rsidRDefault="005D097C" w:rsidP="00272B74">
      <w:pPr>
        <w:pStyle w:val="Default"/>
        <w:jc w:val="both"/>
        <w:rPr>
          <w:b/>
          <w:sz w:val="20"/>
          <w:szCs w:val="20"/>
        </w:rPr>
      </w:pPr>
      <w:r w:rsidRPr="0045323D">
        <w:rPr>
          <w:b/>
          <w:sz w:val="20"/>
          <w:szCs w:val="20"/>
        </w:rPr>
        <w:t xml:space="preserve">ISU’s Mission: </w:t>
      </w:r>
    </w:p>
    <w:p w14:paraId="041097D8" w14:textId="77777777" w:rsidR="005D097C" w:rsidRPr="0045323D" w:rsidRDefault="003878C4" w:rsidP="003878C4">
      <w:pPr>
        <w:jc w:val="both"/>
        <w:rPr>
          <w:rFonts w:ascii="Arial" w:hAnsi="Arial" w:cs="Arial"/>
          <w:sz w:val="20"/>
          <w:szCs w:val="20"/>
        </w:rPr>
      </w:pPr>
      <w:r w:rsidRPr="0045323D">
        <w:rPr>
          <w:rFonts w:ascii="Arial" w:hAnsi="Arial" w:cs="Arial"/>
          <w:sz w:val="20"/>
          <w:szCs w:val="20"/>
        </w:rPr>
        <w:t xml:space="preserve">Idaho State University is a public research-based institution that advances scholarly and creative endeavors through academic instruction, and the creation of new knowledge, research, and artistic works. Idaho State University provides leadership in the health professions, biomedical, and pharmaceutical sciences, as well as serving the region and the nation through its environmental science and energy programs. The University provides access to its regional and rural communities through </w:t>
      </w:r>
      <w:r w:rsidR="00111ECA">
        <w:rPr>
          <w:rFonts w:ascii="Arial" w:hAnsi="Arial" w:cs="Arial"/>
          <w:sz w:val="20"/>
          <w:szCs w:val="20"/>
        </w:rPr>
        <w:t xml:space="preserve">the </w:t>
      </w:r>
      <w:r w:rsidRPr="0045323D">
        <w:rPr>
          <w:rFonts w:ascii="Arial" w:hAnsi="Arial" w:cs="Arial"/>
          <w:sz w:val="20"/>
          <w:szCs w:val="20"/>
        </w:rPr>
        <w:t xml:space="preserve">delivery of preeminent technical, undergraduate, graduate, professional, and interdisciplinary education. The University fosters a culture of </w:t>
      </w:r>
      <w:proofErr w:type="gramStart"/>
      <w:r w:rsidRPr="0045323D">
        <w:rPr>
          <w:rFonts w:ascii="Arial" w:hAnsi="Arial" w:cs="Arial"/>
          <w:sz w:val="20"/>
          <w:szCs w:val="20"/>
        </w:rPr>
        <w:t>diversity, and</w:t>
      </w:r>
      <w:proofErr w:type="gramEnd"/>
      <w:r w:rsidRPr="0045323D">
        <w:rPr>
          <w:rFonts w:ascii="Arial" w:hAnsi="Arial" w:cs="Arial"/>
          <w:sz w:val="20"/>
          <w:szCs w:val="20"/>
        </w:rPr>
        <w:t xml:space="preserve"> engages and impacts its communities through partnerships and services.</w:t>
      </w:r>
    </w:p>
    <w:p w14:paraId="0B9DECF3" w14:textId="77777777" w:rsidR="003878C4" w:rsidRPr="0045323D" w:rsidRDefault="003878C4" w:rsidP="003878C4">
      <w:pPr>
        <w:jc w:val="both"/>
        <w:rPr>
          <w:rFonts w:ascii="Arial" w:hAnsi="Arial" w:cs="Arial"/>
          <w:sz w:val="20"/>
          <w:szCs w:val="20"/>
        </w:rPr>
      </w:pPr>
    </w:p>
    <w:p w14:paraId="4497D196" w14:textId="6EAFB035" w:rsidR="005D097C" w:rsidRPr="00301088" w:rsidRDefault="005D097C" w:rsidP="00272B74">
      <w:pPr>
        <w:jc w:val="both"/>
        <w:rPr>
          <w:rFonts w:ascii="Arial" w:hAnsi="Arial" w:cs="Arial"/>
          <w:sz w:val="20"/>
          <w:szCs w:val="20"/>
        </w:rPr>
      </w:pPr>
      <w:r w:rsidRPr="0045323D">
        <w:rPr>
          <w:rFonts w:ascii="Arial" w:hAnsi="Arial" w:cs="Arial"/>
          <w:sz w:val="20"/>
          <w:szCs w:val="20"/>
        </w:rPr>
        <w:t xml:space="preserve">Central to its mission is the emphasis </w:t>
      </w:r>
      <w:r w:rsidR="00111ECA">
        <w:rPr>
          <w:rFonts w:ascii="Arial" w:hAnsi="Arial" w:cs="Arial"/>
          <w:sz w:val="20"/>
          <w:szCs w:val="20"/>
        </w:rPr>
        <w:t>o</w:t>
      </w:r>
      <w:r w:rsidRPr="0045323D">
        <w:rPr>
          <w:rFonts w:ascii="Arial" w:hAnsi="Arial" w:cs="Arial"/>
          <w:sz w:val="20"/>
          <w:szCs w:val="20"/>
        </w:rPr>
        <w:t xml:space="preserve">n </w:t>
      </w:r>
      <w:r w:rsidRPr="0045323D">
        <w:rPr>
          <w:rFonts w:ascii="Arial" w:hAnsi="Arial" w:cs="Arial"/>
          <w:noProof/>
          <w:sz w:val="20"/>
          <w:szCs w:val="20"/>
        </w:rPr>
        <w:t>health sciences</w:t>
      </w:r>
      <w:r w:rsidR="00250320">
        <w:rPr>
          <w:rFonts w:ascii="Arial" w:hAnsi="Arial" w:cs="Arial"/>
          <w:sz w:val="20"/>
          <w:szCs w:val="20"/>
        </w:rPr>
        <w:t xml:space="preserve"> education. </w:t>
      </w:r>
      <w:r w:rsidRPr="0045323D">
        <w:rPr>
          <w:rFonts w:ascii="Arial" w:hAnsi="Arial" w:cs="Arial"/>
          <w:sz w:val="20"/>
          <w:szCs w:val="20"/>
        </w:rPr>
        <w:t>I</w:t>
      </w:r>
      <w:r w:rsidR="00250320">
        <w:rPr>
          <w:rFonts w:ascii="Arial" w:hAnsi="Arial" w:cs="Arial"/>
          <w:sz w:val="20"/>
          <w:szCs w:val="20"/>
        </w:rPr>
        <w:t>daho State</w:t>
      </w:r>
      <w:r w:rsidRPr="0045323D">
        <w:rPr>
          <w:rFonts w:ascii="Arial" w:hAnsi="Arial" w:cs="Arial"/>
          <w:sz w:val="20"/>
          <w:szCs w:val="20"/>
        </w:rPr>
        <w:t xml:space="preserve"> offers high-quality degree programs in nearly </w:t>
      </w:r>
      <w:proofErr w:type="gramStart"/>
      <w:r w:rsidRPr="0045323D">
        <w:rPr>
          <w:rFonts w:ascii="Arial" w:hAnsi="Arial" w:cs="Arial"/>
          <w:sz w:val="20"/>
          <w:szCs w:val="20"/>
        </w:rPr>
        <w:t>all of</w:t>
      </w:r>
      <w:proofErr w:type="gramEnd"/>
      <w:r w:rsidRPr="0045323D">
        <w:rPr>
          <w:rFonts w:ascii="Arial" w:hAnsi="Arial" w:cs="Arial"/>
          <w:sz w:val="20"/>
          <w:szCs w:val="20"/>
        </w:rPr>
        <w:t xml:space="preserve"> the health professions, as well as postgraduate residency training in family medi</w:t>
      </w:r>
      <w:r w:rsidR="00250320">
        <w:rPr>
          <w:rFonts w:ascii="Arial" w:hAnsi="Arial" w:cs="Arial"/>
          <w:sz w:val="20"/>
          <w:szCs w:val="20"/>
        </w:rPr>
        <w:t xml:space="preserve">cine, dentistry, and pharmacy. Idaho State </w:t>
      </w:r>
      <w:r w:rsidRPr="0045323D">
        <w:rPr>
          <w:rFonts w:ascii="Arial" w:hAnsi="Arial" w:cs="Arial"/>
          <w:sz w:val="20"/>
          <w:szCs w:val="20"/>
        </w:rPr>
        <w:t>also serves southern Idaho by providing full-service, cost-effectiv</w:t>
      </w:r>
      <w:r w:rsidR="00A94954">
        <w:rPr>
          <w:rFonts w:ascii="Arial" w:hAnsi="Arial" w:cs="Arial"/>
          <w:sz w:val="20"/>
          <w:szCs w:val="20"/>
        </w:rPr>
        <w:t>e medical care options at its 20</w:t>
      </w:r>
      <w:r w:rsidR="00250320">
        <w:rPr>
          <w:rFonts w:ascii="Arial" w:hAnsi="Arial" w:cs="Arial"/>
          <w:sz w:val="20"/>
          <w:szCs w:val="20"/>
        </w:rPr>
        <w:t xml:space="preserve"> health clinics. Idaho State </w:t>
      </w:r>
      <w:r w:rsidRPr="0045323D">
        <w:rPr>
          <w:rFonts w:ascii="Arial" w:hAnsi="Arial" w:cs="Arial"/>
          <w:sz w:val="20"/>
          <w:szCs w:val="20"/>
        </w:rPr>
        <w:t xml:space="preserve">faculty and staff provided </w:t>
      </w:r>
      <w:r w:rsidR="00A94954">
        <w:rPr>
          <w:rFonts w:ascii="Arial" w:hAnsi="Arial" w:cs="Arial"/>
          <w:sz w:val="20"/>
          <w:szCs w:val="20"/>
        </w:rPr>
        <w:t>health services for more than 44</w:t>
      </w:r>
      <w:r w:rsidRPr="0045323D">
        <w:rPr>
          <w:rFonts w:ascii="Arial" w:hAnsi="Arial" w:cs="Arial"/>
          <w:sz w:val="20"/>
          <w:szCs w:val="20"/>
        </w:rPr>
        <w:t xml:space="preserve">,000 patient visits </w:t>
      </w:r>
      <w:r w:rsidR="00A94954">
        <w:rPr>
          <w:rFonts w:ascii="Arial" w:hAnsi="Arial" w:cs="Arial"/>
          <w:sz w:val="20"/>
          <w:szCs w:val="20"/>
        </w:rPr>
        <w:t>and over 65</w:t>
      </w:r>
      <w:r w:rsidR="00243AAE" w:rsidRPr="0045323D">
        <w:rPr>
          <w:rFonts w:ascii="Arial" w:hAnsi="Arial" w:cs="Arial"/>
          <w:sz w:val="20"/>
          <w:szCs w:val="20"/>
        </w:rPr>
        <w:t xml:space="preserve">,000 prescriptions </w:t>
      </w:r>
      <w:r w:rsidRPr="0045323D">
        <w:rPr>
          <w:rFonts w:ascii="Arial" w:hAnsi="Arial" w:cs="Arial"/>
          <w:sz w:val="20"/>
          <w:szCs w:val="20"/>
        </w:rPr>
        <w:t xml:space="preserve">during the </w:t>
      </w:r>
      <w:r w:rsidR="00A94954">
        <w:rPr>
          <w:rFonts w:ascii="Arial" w:hAnsi="Arial" w:cs="Arial"/>
          <w:sz w:val="20"/>
          <w:szCs w:val="20"/>
        </w:rPr>
        <w:t>2021</w:t>
      </w:r>
      <w:r w:rsidR="00243AAE" w:rsidRPr="0045323D">
        <w:rPr>
          <w:rFonts w:ascii="Arial" w:hAnsi="Arial" w:cs="Arial"/>
          <w:sz w:val="20"/>
          <w:szCs w:val="20"/>
        </w:rPr>
        <w:t xml:space="preserve"> fiscal</w:t>
      </w:r>
      <w:r w:rsidRPr="0045323D">
        <w:rPr>
          <w:rFonts w:ascii="Arial" w:hAnsi="Arial" w:cs="Arial"/>
          <w:sz w:val="20"/>
          <w:szCs w:val="20"/>
        </w:rPr>
        <w:t xml:space="preserve"> year. The ISU Bengal Pharmacy serves as an onsite classroom lab for students in the College of Pharmacy while providing pharmacy service options to the regi</w:t>
      </w:r>
      <w:r w:rsidR="00243AAE" w:rsidRPr="0045323D">
        <w:rPr>
          <w:rFonts w:ascii="Arial" w:hAnsi="Arial" w:cs="Arial"/>
          <w:sz w:val="20"/>
          <w:szCs w:val="20"/>
        </w:rPr>
        <w:t>on</w:t>
      </w:r>
      <w:r w:rsidR="00F85794">
        <w:rPr>
          <w:rFonts w:ascii="Arial" w:hAnsi="Arial" w:cs="Arial"/>
          <w:sz w:val="20"/>
          <w:szCs w:val="20"/>
        </w:rPr>
        <w:t xml:space="preserve">. </w:t>
      </w:r>
      <w:r w:rsidR="00D9686B">
        <w:rPr>
          <w:rFonts w:ascii="Arial" w:hAnsi="Arial" w:cs="Arial"/>
          <w:sz w:val="20"/>
          <w:szCs w:val="20"/>
        </w:rPr>
        <w:t xml:space="preserve">The </w:t>
      </w:r>
      <w:r w:rsidR="000503E6">
        <w:rPr>
          <w:rFonts w:ascii="Arial" w:hAnsi="Arial" w:cs="Arial"/>
          <w:color w:val="222222"/>
          <w:sz w:val="20"/>
          <w:szCs w:val="20"/>
        </w:rPr>
        <w:t>Bengal Pharmacy/</w:t>
      </w:r>
      <w:proofErr w:type="spellStart"/>
      <w:r w:rsidR="000503E6">
        <w:rPr>
          <w:rFonts w:ascii="Arial" w:hAnsi="Arial" w:cs="Arial"/>
          <w:color w:val="222222"/>
          <w:sz w:val="20"/>
          <w:szCs w:val="20"/>
        </w:rPr>
        <w:t>Telepharmacy</w:t>
      </w:r>
      <w:proofErr w:type="spellEnd"/>
      <w:r w:rsidR="000503E6">
        <w:rPr>
          <w:rFonts w:ascii="Arial" w:hAnsi="Arial" w:cs="Arial"/>
          <w:color w:val="222222"/>
          <w:sz w:val="20"/>
          <w:szCs w:val="20"/>
        </w:rPr>
        <w:t xml:space="preserve"> Operation</w:t>
      </w:r>
      <w:r w:rsidR="00F85794">
        <w:rPr>
          <w:rFonts w:ascii="Arial" w:hAnsi="Arial" w:cs="Arial"/>
          <w:sz w:val="20"/>
          <w:szCs w:val="20"/>
        </w:rPr>
        <w:t xml:space="preserve"> has four</w:t>
      </w:r>
      <w:r w:rsidRPr="0045323D">
        <w:rPr>
          <w:rFonts w:ascii="Arial" w:hAnsi="Arial" w:cs="Arial"/>
          <w:sz w:val="20"/>
          <w:szCs w:val="20"/>
        </w:rPr>
        <w:t xml:space="preserve"> telehealth pharmacies in rura</w:t>
      </w:r>
      <w:r w:rsidR="00D65105" w:rsidRPr="0045323D">
        <w:rPr>
          <w:rFonts w:ascii="Arial" w:hAnsi="Arial" w:cs="Arial"/>
          <w:sz w:val="20"/>
          <w:szCs w:val="20"/>
        </w:rPr>
        <w:t>l southern</w:t>
      </w:r>
      <w:r w:rsidR="00243AAE" w:rsidRPr="0045323D">
        <w:rPr>
          <w:rFonts w:ascii="Arial" w:hAnsi="Arial" w:cs="Arial"/>
          <w:sz w:val="20"/>
          <w:szCs w:val="20"/>
        </w:rPr>
        <w:t xml:space="preserve"> Idaho: Arco, </w:t>
      </w:r>
      <w:r w:rsidR="007A0222" w:rsidRPr="0045323D">
        <w:rPr>
          <w:rFonts w:ascii="Arial" w:hAnsi="Arial" w:cs="Arial"/>
          <w:sz w:val="20"/>
          <w:szCs w:val="20"/>
        </w:rPr>
        <w:t>Challis, Council</w:t>
      </w:r>
      <w:r w:rsidR="00BD656F" w:rsidRPr="0045323D">
        <w:rPr>
          <w:rFonts w:ascii="Arial" w:hAnsi="Arial" w:cs="Arial"/>
          <w:sz w:val="20"/>
          <w:szCs w:val="20"/>
        </w:rPr>
        <w:t>,</w:t>
      </w:r>
      <w:r w:rsidR="00243AAE" w:rsidRPr="0045323D">
        <w:rPr>
          <w:rFonts w:ascii="Arial" w:hAnsi="Arial" w:cs="Arial"/>
          <w:sz w:val="20"/>
          <w:szCs w:val="20"/>
        </w:rPr>
        <w:t xml:space="preserve"> and</w:t>
      </w:r>
      <w:r w:rsidR="001D7202">
        <w:rPr>
          <w:rFonts w:ascii="Arial" w:hAnsi="Arial" w:cs="Arial"/>
          <w:sz w:val="20"/>
          <w:szCs w:val="20"/>
        </w:rPr>
        <w:t xml:space="preserve"> Kendrick</w:t>
      </w:r>
      <w:r w:rsidR="00D9686B">
        <w:rPr>
          <w:rFonts w:ascii="Arial" w:hAnsi="Arial" w:cs="Arial"/>
          <w:sz w:val="20"/>
          <w:szCs w:val="20"/>
        </w:rPr>
        <w:t>, plus the “home base” pharmacy in Pocatello</w:t>
      </w:r>
      <w:r w:rsidRPr="00301088">
        <w:rPr>
          <w:rFonts w:ascii="Arial" w:hAnsi="Arial" w:cs="Arial"/>
          <w:sz w:val="20"/>
          <w:szCs w:val="20"/>
        </w:rPr>
        <w:t xml:space="preserve">. </w:t>
      </w:r>
      <w:r w:rsidR="00250320">
        <w:rPr>
          <w:rFonts w:ascii="Arial" w:hAnsi="Arial" w:cs="Arial"/>
          <w:sz w:val="20"/>
          <w:szCs w:val="20"/>
        </w:rPr>
        <w:t>These partnerships were requested by c</w:t>
      </w:r>
      <w:r w:rsidRPr="00301088">
        <w:rPr>
          <w:rFonts w:ascii="Arial" w:hAnsi="Arial" w:cs="Arial"/>
          <w:sz w:val="20"/>
          <w:szCs w:val="20"/>
        </w:rPr>
        <w:t>ity officials concerned that pharmacy services would no longer be available in their tow</w:t>
      </w:r>
      <w:r w:rsidR="00250320">
        <w:rPr>
          <w:rFonts w:ascii="Arial" w:hAnsi="Arial" w:cs="Arial"/>
          <w:sz w:val="20"/>
          <w:szCs w:val="20"/>
        </w:rPr>
        <w:t xml:space="preserve">ns. </w:t>
      </w:r>
    </w:p>
    <w:p w14:paraId="0F5040E3" w14:textId="77777777" w:rsidR="005D097C" w:rsidRPr="00301088" w:rsidRDefault="005D097C" w:rsidP="00272B74">
      <w:pPr>
        <w:jc w:val="both"/>
        <w:rPr>
          <w:rFonts w:ascii="Arial" w:hAnsi="Arial" w:cs="Arial"/>
          <w:sz w:val="20"/>
          <w:szCs w:val="20"/>
        </w:rPr>
      </w:pPr>
    </w:p>
    <w:p w14:paraId="14D5EC54" w14:textId="77777777" w:rsidR="005D097C" w:rsidRPr="00301088" w:rsidRDefault="005D097C" w:rsidP="00272B74">
      <w:pPr>
        <w:jc w:val="both"/>
        <w:rPr>
          <w:rFonts w:ascii="Arial" w:hAnsi="Arial" w:cs="Arial"/>
          <w:sz w:val="20"/>
          <w:szCs w:val="20"/>
        </w:rPr>
      </w:pPr>
      <w:r w:rsidRPr="00301088">
        <w:rPr>
          <w:rFonts w:ascii="Arial" w:hAnsi="Arial" w:cs="Arial"/>
          <w:sz w:val="20"/>
          <w:szCs w:val="20"/>
        </w:rPr>
        <w:t xml:space="preserve">Idaho State’s commitment to access to university-level learning and discovery extends into the K-12 system in Idaho. </w:t>
      </w:r>
      <w:r w:rsidR="00AB41B5">
        <w:rPr>
          <w:rFonts w:ascii="Arial" w:hAnsi="Arial" w:cs="Arial"/>
          <w:sz w:val="20"/>
          <w:szCs w:val="20"/>
        </w:rPr>
        <w:t>Idaho State</w:t>
      </w:r>
      <w:r w:rsidRPr="00301088">
        <w:rPr>
          <w:rFonts w:ascii="Arial" w:hAnsi="Arial" w:cs="Arial"/>
          <w:sz w:val="20"/>
          <w:szCs w:val="20"/>
        </w:rPr>
        <w:t xml:space="preserve">’s Early College program, which provides dual enrollment opportunities for Idaho high school </w:t>
      </w:r>
      <w:r w:rsidRPr="00301088">
        <w:rPr>
          <w:rFonts w:ascii="Arial" w:hAnsi="Arial" w:cs="Arial"/>
          <w:sz w:val="20"/>
          <w:szCs w:val="20"/>
        </w:rPr>
        <w:lastRenderedPageBreak/>
        <w:t xml:space="preserve">students at reduced tuition rates, continues to grow, enabling high school students to take college-level courses preparing them for their future college careers.  </w:t>
      </w:r>
    </w:p>
    <w:p w14:paraId="6DD81E44" w14:textId="77777777" w:rsidR="005D097C" w:rsidRPr="00301088" w:rsidRDefault="005D097C" w:rsidP="00272B74">
      <w:pPr>
        <w:jc w:val="both"/>
        <w:rPr>
          <w:rFonts w:ascii="Arial" w:hAnsi="Arial" w:cs="Arial"/>
          <w:sz w:val="20"/>
          <w:szCs w:val="20"/>
        </w:rPr>
      </w:pPr>
    </w:p>
    <w:p w14:paraId="170E090C" w14:textId="55B09814" w:rsidR="005D097C" w:rsidRPr="00301088" w:rsidRDefault="005D097C" w:rsidP="00272B74">
      <w:pPr>
        <w:jc w:val="both"/>
        <w:rPr>
          <w:rFonts w:ascii="Arial" w:hAnsi="Arial" w:cs="Arial"/>
          <w:color w:val="000000" w:themeColor="text1"/>
          <w:sz w:val="20"/>
          <w:szCs w:val="20"/>
        </w:rPr>
      </w:pPr>
      <w:r w:rsidRPr="00D65105">
        <w:rPr>
          <w:rFonts w:ascii="Arial" w:hAnsi="Arial" w:cs="Arial"/>
          <w:noProof/>
          <w:sz w:val="20"/>
          <w:szCs w:val="20"/>
        </w:rPr>
        <w:t xml:space="preserve">Idaho State </w:t>
      </w:r>
      <w:r w:rsidRPr="00D65105">
        <w:rPr>
          <w:rFonts w:ascii="Arial" w:hAnsi="Arial" w:cs="Arial"/>
          <w:noProof/>
          <w:color w:val="000000" w:themeColor="text1"/>
          <w:sz w:val="20"/>
          <w:szCs w:val="20"/>
        </w:rPr>
        <w:t>is accredited by the Northwest Commission</w:t>
      </w:r>
      <w:r w:rsidRPr="00301088">
        <w:rPr>
          <w:rFonts w:ascii="Arial" w:hAnsi="Arial" w:cs="Arial"/>
          <w:color w:val="000000" w:themeColor="text1"/>
          <w:sz w:val="20"/>
          <w:szCs w:val="20"/>
        </w:rPr>
        <w:t xml:space="preserve"> on Colleges and Universities (NWCCU)</w:t>
      </w:r>
      <w:r w:rsidR="003B0672">
        <w:rPr>
          <w:rFonts w:ascii="Arial" w:hAnsi="Arial" w:cs="Arial"/>
          <w:color w:val="000000" w:themeColor="text1"/>
          <w:sz w:val="20"/>
          <w:szCs w:val="20"/>
        </w:rPr>
        <w:t>. The NWCCU required</w:t>
      </w:r>
      <w:r w:rsidRPr="00301088">
        <w:rPr>
          <w:rFonts w:ascii="Arial" w:hAnsi="Arial" w:cs="Arial"/>
          <w:color w:val="000000" w:themeColor="text1"/>
          <w:sz w:val="20"/>
          <w:szCs w:val="20"/>
        </w:rPr>
        <w:t xml:space="preserve"> that the institution </w:t>
      </w:r>
      <w:r w:rsidRPr="00301088">
        <w:rPr>
          <w:rFonts w:ascii="Arial" w:hAnsi="Arial" w:cs="Arial"/>
          <w:noProof/>
          <w:color w:val="000000" w:themeColor="text1"/>
          <w:sz w:val="20"/>
          <w:szCs w:val="20"/>
        </w:rPr>
        <w:t>identify</w:t>
      </w:r>
      <w:r w:rsidRPr="00301088">
        <w:rPr>
          <w:rFonts w:ascii="Arial" w:hAnsi="Arial" w:cs="Arial"/>
          <w:color w:val="000000" w:themeColor="text1"/>
          <w:sz w:val="20"/>
          <w:szCs w:val="20"/>
        </w:rPr>
        <w:t xml:space="preserve"> core themes that individually manifest elements of its mission and collectively encompass its mission.</w:t>
      </w:r>
      <w:r w:rsidR="00311CA0">
        <w:rPr>
          <w:rFonts w:ascii="Arial" w:hAnsi="Arial" w:cs="Arial"/>
          <w:color w:val="000000" w:themeColor="text1"/>
          <w:sz w:val="20"/>
          <w:szCs w:val="20"/>
        </w:rPr>
        <w:t xml:space="preserve"> Idaho State University’s Core Themes were chosen through an inclusive process that included faculty, students</w:t>
      </w:r>
      <w:r w:rsidR="0024648E">
        <w:rPr>
          <w:rFonts w:ascii="Arial" w:hAnsi="Arial" w:cs="Arial"/>
          <w:color w:val="000000" w:themeColor="text1"/>
          <w:sz w:val="20"/>
          <w:szCs w:val="20"/>
        </w:rPr>
        <w:t>,</w:t>
      </w:r>
      <w:r w:rsidR="00311CA0">
        <w:rPr>
          <w:rFonts w:ascii="Arial" w:hAnsi="Arial" w:cs="Arial"/>
          <w:color w:val="000000" w:themeColor="text1"/>
          <w:sz w:val="20"/>
          <w:szCs w:val="20"/>
        </w:rPr>
        <w:t xml:space="preserve"> and staff.</w:t>
      </w:r>
      <w:r w:rsidRPr="00301088">
        <w:rPr>
          <w:rFonts w:ascii="Arial" w:hAnsi="Arial" w:cs="Arial"/>
          <w:color w:val="000000" w:themeColor="text1"/>
          <w:sz w:val="20"/>
          <w:szCs w:val="20"/>
        </w:rPr>
        <w:t xml:space="preserve">  </w:t>
      </w:r>
    </w:p>
    <w:p w14:paraId="107DCC08" w14:textId="77777777" w:rsidR="005D097C" w:rsidRPr="00301088" w:rsidRDefault="005D097C" w:rsidP="005D097C">
      <w:pPr>
        <w:jc w:val="both"/>
        <w:rPr>
          <w:rFonts w:ascii="Arial" w:hAnsi="Arial" w:cs="Arial"/>
          <w:b/>
          <w:sz w:val="20"/>
          <w:szCs w:val="20"/>
        </w:rPr>
      </w:pPr>
    </w:p>
    <w:p w14:paraId="45090B00" w14:textId="77777777" w:rsidR="005D097C" w:rsidRPr="00301088" w:rsidRDefault="005D097C" w:rsidP="005D097C">
      <w:pPr>
        <w:jc w:val="both"/>
        <w:rPr>
          <w:rFonts w:ascii="Arial" w:hAnsi="Arial" w:cs="Arial"/>
          <w:b/>
          <w:sz w:val="20"/>
          <w:szCs w:val="20"/>
        </w:rPr>
      </w:pPr>
      <w:r w:rsidRPr="00301088">
        <w:rPr>
          <w:rFonts w:ascii="Arial" w:hAnsi="Arial" w:cs="Arial"/>
          <w:b/>
          <w:sz w:val="20"/>
          <w:szCs w:val="20"/>
        </w:rPr>
        <w:t>ISU’s core themes:</w:t>
      </w:r>
    </w:p>
    <w:p w14:paraId="06F7CC68" w14:textId="77777777" w:rsidR="005D097C" w:rsidRPr="00301088" w:rsidRDefault="005D097C" w:rsidP="005D097C">
      <w:pPr>
        <w:jc w:val="both"/>
        <w:rPr>
          <w:rFonts w:ascii="Arial" w:hAnsi="Arial" w:cs="Arial"/>
          <w:color w:val="000000" w:themeColor="text1"/>
          <w:sz w:val="20"/>
          <w:szCs w:val="20"/>
        </w:rPr>
      </w:pPr>
    </w:p>
    <w:p w14:paraId="6B69573E" w14:textId="77777777" w:rsidR="005D097C" w:rsidRPr="00301088" w:rsidRDefault="005D097C" w:rsidP="005D097C">
      <w:pPr>
        <w:ind w:left="2970"/>
        <w:rPr>
          <w:rFonts w:ascii="Arial" w:hAnsi="Arial" w:cs="Arial"/>
          <w:b/>
          <w:sz w:val="20"/>
          <w:szCs w:val="20"/>
        </w:rPr>
      </w:pPr>
      <w:r w:rsidRPr="00301088">
        <w:rPr>
          <w:rFonts w:ascii="Arial" w:hAnsi="Arial" w:cs="Arial"/>
          <w:b/>
          <w:noProof/>
          <w:color w:val="000000" w:themeColor="text1"/>
          <w:sz w:val="20"/>
          <w:szCs w:val="20"/>
        </w:rPr>
        <w:drawing>
          <wp:anchor distT="0" distB="0" distL="114300" distR="114300" simplePos="0" relativeHeight="251659264" behindDoc="0" locked="0" layoutInCell="1" allowOverlap="1" wp14:anchorId="1A08B74B" wp14:editId="5B6C7503">
            <wp:simplePos x="0" y="0"/>
            <wp:positionH relativeFrom="margin">
              <wp:align>left</wp:align>
            </wp:positionH>
            <wp:positionV relativeFrom="paragraph">
              <wp:posOffset>7620</wp:posOffset>
            </wp:positionV>
            <wp:extent cx="1595120" cy="638175"/>
            <wp:effectExtent l="0" t="0" r="508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rnDis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5120" cy="638175"/>
                    </a:xfrm>
                    <a:prstGeom prst="rect">
                      <a:avLst/>
                    </a:prstGeom>
                  </pic:spPr>
                </pic:pic>
              </a:graphicData>
            </a:graphic>
            <wp14:sizeRelH relativeFrom="margin">
              <wp14:pctWidth>0</wp14:pctWidth>
            </wp14:sizeRelH>
            <wp14:sizeRelV relativeFrom="margin">
              <wp14:pctHeight>0</wp14:pctHeight>
            </wp14:sizeRelV>
          </wp:anchor>
        </w:drawing>
      </w:r>
      <w:r w:rsidRPr="00301088">
        <w:rPr>
          <w:rFonts w:ascii="Arial" w:hAnsi="Arial" w:cs="Arial"/>
          <w:b/>
          <w:sz w:val="20"/>
          <w:szCs w:val="20"/>
        </w:rPr>
        <w:t>Core Theme One:</w:t>
      </w:r>
    </w:p>
    <w:p w14:paraId="4344DED5" w14:textId="77777777" w:rsidR="005D097C" w:rsidRPr="00301088" w:rsidRDefault="005D097C" w:rsidP="00272B74">
      <w:pPr>
        <w:pStyle w:val="Default"/>
        <w:ind w:left="2970"/>
        <w:jc w:val="both"/>
        <w:rPr>
          <w:sz w:val="20"/>
          <w:szCs w:val="20"/>
        </w:rPr>
      </w:pPr>
      <w:r w:rsidRPr="00301088">
        <w:rPr>
          <w:sz w:val="20"/>
          <w:szCs w:val="20"/>
        </w:rPr>
        <w:t xml:space="preserve">Learning and Discovery. Idaho State University fosters student learning and discovery through teaching, research, and creative activity. ISU delivers </w:t>
      </w:r>
      <w:r w:rsidRPr="00301088">
        <w:rPr>
          <w:noProof/>
          <w:sz w:val="20"/>
          <w:szCs w:val="20"/>
        </w:rPr>
        <w:t>high-quality</w:t>
      </w:r>
      <w:r w:rsidRPr="00301088">
        <w:rPr>
          <w:sz w:val="20"/>
          <w:szCs w:val="20"/>
        </w:rPr>
        <w:t xml:space="preserve"> academic programs at all levels: technical certificates; undergraduate, graduate, and professional degrees; and postgraduate professional training.</w:t>
      </w:r>
    </w:p>
    <w:p w14:paraId="44256E37" w14:textId="77777777" w:rsidR="005D097C" w:rsidRPr="00301088" w:rsidRDefault="005D097C" w:rsidP="00272B74">
      <w:pPr>
        <w:pStyle w:val="Default"/>
        <w:ind w:left="2880"/>
        <w:jc w:val="both"/>
        <w:rPr>
          <w:sz w:val="20"/>
          <w:szCs w:val="20"/>
        </w:rPr>
      </w:pPr>
    </w:p>
    <w:p w14:paraId="6B020FD7" w14:textId="77777777" w:rsidR="005D097C" w:rsidRPr="00301088" w:rsidRDefault="005D097C" w:rsidP="00272B74">
      <w:pPr>
        <w:pStyle w:val="Default"/>
        <w:ind w:left="2970"/>
        <w:jc w:val="both"/>
      </w:pPr>
      <w:r w:rsidRPr="00301088">
        <w:rPr>
          <w:b/>
          <w:noProof/>
          <w:color w:val="000000" w:themeColor="text1"/>
          <w:sz w:val="20"/>
          <w:szCs w:val="20"/>
        </w:rPr>
        <w:drawing>
          <wp:anchor distT="0" distB="0" distL="114300" distR="114300" simplePos="0" relativeHeight="251660288" behindDoc="0" locked="0" layoutInCell="1" allowOverlap="1" wp14:anchorId="6AD1D9D7" wp14:editId="0F9F0093">
            <wp:simplePos x="0" y="0"/>
            <wp:positionH relativeFrom="margin">
              <wp:align>left</wp:align>
            </wp:positionH>
            <wp:positionV relativeFrom="paragraph">
              <wp:posOffset>6985</wp:posOffset>
            </wp:positionV>
            <wp:extent cx="1708785" cy="62865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essOpportunit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785" cy="628650"/>
                    </a:xfrm>
                    <a:prstGeom prst="rect">
                      <a:avLst/>
                    </a:prstGeom>
                  </pic:spPr>
                </pic:pic>
              </a:graphicData>
            </a:graphic>
            <wp14:sizeRelH relativeFrom="margin">
              <wp14:pctWidth>0</wp14:pctWidth>
            </wp14:sizeRelH>
            <wp14:sizeRelV relativeFrom="margin">
              <wp14:pctHeight>0</wp14:pctHeight>
            </wp14:sizeRelV>
          </wp:anchor>
        </w:drawing>
      </w:r>
      <w:r w:rsidRPr="00301088">
        <w:rPr>
          <w:b/>
          <w:sz w:val="20"/>
          <w:szCs w:val="20"/>
        </w:rPr>
        <w:t>Core Theme Two:</w:t>
      </w:r>
    </w:p>
    <w:p w14:paraId="49269F78" w14:textId="77777777" w:rsidR="005D097C" w:rsidRPr="00301088" w:rsidRDefault="005D097C" w:rsidP="00272B74">
      <w:pPr>
        <w:pStyle w:val="Default"/>
        <w:ind w:left="2970"/>
        <w:jc w:val="both"/>
        <w:rPr>
          <w:sz w:val="20"/>
          <w:szCs w:val="20"/>
        </w:rPr>
      </w:pPr>
      <w:r w:rsidRPr="00301088">
        <w:rPr>
          <w:sz w:val="20"/>
          <w:szCs w:val="20"/>
        </w:rPr>
        <w:t>Access and Opportunity. Idaho State University provides diverse pathways to retention and graduation through educational preparation, academic and co-curricular opportunities, and extensive student support services.</w:t>
      </w:r>
    </w:p>
    <w:p w14:paraId="69C09BE1" w14:textId="77777777" w:rsidR="005D097C" w:rsidRPr="00301088" w:rsidRDefault="005D097C" w:rsidP="00272B74">
      <w:pPr>
        <w:jc w:val="both"/>
        <w:rPr>
          <w:rFonts w:ascii="Arial" w:hAnsi="Arial" w:cs="Arial"/>
          <w:b/>
          <w:sz w:val="20"/>
          <w:szCs w:val="20"/>
        </w:rPr>
      </w:pPr>
    </w:p>
    <w:p w14:paraId="1D28E60D" w14:textId="77777777" w:rsidR="005D097C" w:rsidRPr="00301088" w:rsidRDefault="005D097C" w:rsidP="00272B74">
      <w:pPr>
        <w:tabs>
          <w:tab w:val="left" w:pos="0"/>
        </w:tabs>
        <w:jc w:val="both"/>
        <w:rPr>
          <w:rFonts w:ascii="Arial" w:hAnsi="Arial" w:cs="Arial"/>
          <w:b/>
          <w:sz w:val="20"/>
          <w:szCs w:val="20"/>
        </w:rPr>
      </w:pPr>
      <w:r w:rsidRPr="00301088">
        <w:rPr>
          <w:rFonts w:ascii="Arial" w:hAnsi="Arial" w:cs="Arial"/>
          <w:b/>
          <w:noProof/>
          <w:sz w:val="20"/>
          <w:szCs w:val="20"/>
        </w:rPr>
        <w:drawing>
          <wp:anchor distT="0" distB="0" distL="114300" distR="114300" simplePos="0" relativeHeight="251661312" behindDoc="1" locked="0" layoutInCell="1" allowOverlap="1" wp14:anchorId="61E5B76E" wp14:editId="44BAE15C">
            <wp:simplePos x="0" y="0"/>
            <wp:positionH relativeFrom="margin">
              <wp:align>left</wp:align>
            </wp:positionH>
            <wp:positionV relativeFrom="paragraph">
              <wp:posOffset>8890</wp:posOffset>
            </wp:positionV>
            <wp:extent cx="1767840" cy="55245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adershipHealt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7840" cy="552450"/>
                    </a:xfrm>
                    <a:prstGeom prst="rect">
                      <a:avLst/>
                    </a:prstGeom>
                  </pic:spPr>
                </pic:pic>
              </a:graphicData>
            </a:graphic>
            <wp14:sizeRelH relativeFrom="margin">
              <wp14:pctWidth>0</wp14:pctWidth>
            </wp14:sizeRelH>
            <wp14:sizeRelV relativeFrom="margin">
              <wp14:pctHeight>0</wp14:pctHeight>
            </wp14:sizeRelV>
          </wp:anchor>
        </w:drawing>
      </w:r>
      <w:r w:rsidRPr="00301088">
        <w:rPr>
          <w:rFonts w:ascii="Arial" w:hAnsi="Arial" w:cs="Arial"/>
          <w:b/>
          <w:sz w:val="20"/>
          <w:szCs w:val="20"/>
        </w:rPr>
        <w:t>Core Theme Three:</w:t>
      </w:r>
    </w:p>
    <w:p w14:paraId="450E35FF" w14:textId="77777777" w:rsidR="005D097C" w:rsidRPr="00301088" w:rsidRDefault="005D097C" w:rsidP="00272B74">
      <w:pPr>
        <w:pStyle w:val="Default"/>
        <w:tabs>
          <w:tab w:val="left" w:pos="0"/>
        </w:tabs>
        <w:ind w:left="2970"/>
        <w:jc w:val="both"/>
        <w:rPr>
          <w:sz w:val="20"/>
          <w:szCs w:val="20"/>
        </w:rPr>
      </w:pPr>
      <w:r w:rsidRPr="00D65105">
        <w:rPr>
          <w:noProof/>
          <w:sz w:val="20"/>
          <w:szCs w:val="20"/>
        </w:rPr>
        <w:t>Leadership</w:t>
      </w:r>
      <w:r w:rsidRPr="00301088">
        <w:rPr>
          <w:sz w:val="20"/>
          <w:szCs w:val="20"/>
        </w:rPr>
        <w:t xml:space="preserve"> in the Health Sciences.  Idaho State University provides statewide leadership in the health sciences. With the academic support of its colleges and the </w:t>
      </w:r>
      <w:r w:rsidRPr="00301088">
        <w:rPr>
          <w:noProof/>
          <w:sz w:val="20"/>
          <w:szCs w:val="20"/>
        </w:rPr>
        <w:t>division</w:t>
      </w:r>
      <w:r w:rsidRPr="00301088">
        <w:rPr>
          <w:sz w:val="20"/>
          <w:szCs w:val="20"/>
        </w:rPr>
        <w:t xml:space="preserve">, the University offers a broad spectrum of degree levels and provides residency training in the health professions. New knowledge </w:t>
      </w:r>
      <w:r w:rsidRPr="00D65105">
        <w:rPr>
          <w:noProof/>
          <w:sz w:val="20"/>
          <w:szCs w:val="20"/>
        </w:rPr>
        <w:t>is created</w:t>
      </w:r>
      <w:r w:rsidRPr="00301088">
        <w:rPr>
          <w:sz w:val="20"/>
          <w:szCs w:val="20"/>
        </w:rPr>
        <w:t xml:space="preserve"> through biomedical, translational, clinical, rural, and health services research. Teaching, research, practice, and community partnerships provide interprofessional education and excellence in patient care. University clinics provide an environment for learning, inquiry and comprehensive health care service to the community.</w:t>
      </w:r>
    </w:p>
    <w:p w14:paraId="4D3A5718" w14:textId="77777777" w:rsidR="005D097C" w:rsidRPr="00301088" w:rsidRDefault="00AA6680" w:rsidP="00272B74">
      <w:pPr>
        <w:pStyle w:val="Default"/>
        <w:tabs>
          <w:tab w:val="left" w:pos="0"/>
        </w:tabs>
        <w:ind w:left="2970"/>
        <w:jc w:val="both"/>
        <w:rPr>
          <w:sz w:val="20"/>
          <w:szCs w:val="20"/>
        </w:rPr>
      </w:pPr>
      <w:r>
        <w:rPr>
          <w:noProof/>
          <w:sz w:val="20"/>
          <w:szCs w:val="20"/>
        </w:rPr>
        <w:drawing>
          <wp:anchor distT="0" distB="0" distL="114300" distR="114300" simplePos="0" relativeHeight="251662336" behindDoc="0" locked="0" layoutInCell="1" allowOverlap="1" wp14:anchorId="50645D90" wp14:editId="356640AB">
            <wp:simplePos x="0" y="0"/>
            <wp:positionH relativeFrom="column">
              <wp:posOffset>-66675</wp:posOffset>
            </wp:positionH>
            <wp:positionV relativeFrom="page">
              <wp:posOffset>5734050</wp:posOffset>
            </wp:positionV>
            <wp:extent cx="1833880" cy="81407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alIcons-EngageImpact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3880" cy="814070"/>
                    </a:xfrm>
                    <a:prstGeom prst="rect">
                      <a:avLst/>
                    </a:prstGeom>
                  </pic:spPr>
                </pic:pic>
              </a:graphicData>
            </a:graphic>
            <wp14:sizeRelH relativeFrom="margin">
              <wp14:pctWidth>0</wp14:pctWidth>
            </wp14:sizeRelH>
            <wp14:sizeRelV relativeFrom="margin">
              <wp14:pctHeight>0</wp14:pctHeight>
            </wp14:sizeRelV>
          </wp:anchor>
        </w:drawing>
      </w:r>
    </w:p>
    <w:p w14:paraId="522C1D4B" w14:textId="77777777" w:rsidR="005D097C" w:rsidRPr="00301088" w:rsidRDefault="005D097C" w:rsidP="00272B74">
      <w:pPr>
        <w:pStyle w:val="Default"/>
        <w:tabs>
          <w:tab w:val="left" w:pos="0"/>
        </w:tabs>
        <w:ind w:left="2970"/>
        <w:jc w:val="both"/>
        <w:rPr>
          <w:sz w:val="20"/>
          <w:szCs w:val="20"/>
        </w:rPr>
      </w:pPr>
      <w:r w:rsidRPr="00301088">
        <w:rPr>
          <w:b/>
          <w:sz w:val="20"/>
          <w:szCs w:val="20"/>
        </w:rPr>
        <w:t>Core Theme Four:</w:t>
      </w:r>
    </w:p>
    <w:p w14:paraId="016C9D77" w14:textId="77777777" w:rsidR="00AC5DD3" w:rsidRDefault="005D097C" w:rsidP="00272B74">
      <w:pPr>
        <w:pStyle w:val="Default"/>
        <w:tabs>
          <w:tab w:val="left" w:pos="0"/>
        </w:tabs>
        <w:ind w:left="2970"/>
        <w:jc w:val="both"/>
        <w:rPr>
          <w:sz w:val="20"/>
          <w:szCs w:val="20"/>
        </w:rPr>
      </w:pPr>
      <w:r w:rsidRPr="00301088">
        <w:rPr>
          <w:sz w:val="20"/>
          <w:szCs w:val="20"/>
        </w:rPr>
        <w:t>Community Engagement and Impact. As an integral component of the community, Idaho State University develops partnerships and affiliations through the exchange of knowledge, resources, research, and expertise. Through a diverse university staff, faculty, and student body, ISU provides cultural, social, economic, and other opportunities to enrich the lives of citizens.</w:t>
      </w:r>
    </w:p>
    <w:p w14:paraId="3EE1A231" w14:textId="77777777" w:rsidR="005D097C" w:rsidRPr="00EF2E3B" w:rsidRDefault="00AC5DD3" w:rsidP="00EF2E3B">
      <w:pPr>
        <w:rPr>
          <w:rFonts w:ascii="Arial" w:hAnsi="Arial" w:cs="Arial"/>
          <w:color w:val="000000"/>
          <w:sz w:val="20"/>
          <w:szCs w:val="20"/>
        </w:rPr>
      </w:pPr>
      <w:r>
        <w:rPr>
          <w:sz w:val="20"/>
          <w:szCs w:val="20"/>
        </w:rPr>
        <w:br w:type="page"/>
      </w:r>
    </w:p>
    <w:p w14:paraId="711801F9" w14:textId="77777777" w:rsidR="009C1CC4" w:rsidRDefault="006B7969" w:rsidP="00EF2E3B">
      <w:pPr>
        <w:jc w:val="both"/>
        <w:rPr>
          <w:rFonts w:ascii="Arial" w:hAnsi="Arial" w:cs="Arial"/>
          <w:b/>
        </w:rPr>
      </w:pPr>
      <w:r>
        <w:rPr>
          <w:rFonts w:ascii="Arial" w:hAnsi="Arial" w:cs="Arial"/>
          <w:b/>
        </w:rPr>
        <w:lastRenderedPageBreak/>
        <w:t>Revenue and Expenditures</w:t>
      </w:r>
    </w:p>
    <w:tbl>
      <w:tblPr>
        <w:tblpPr w:leftFromText="180" w:rightFromText="180" w:vertAnchor="text" w:tblpXSpec="right" w:tblpY="1"/>
        <w:tblOverlap w:val="never"/>
        <w:tblW w:w="0" w:type="auto"/>
        <w:tblBorders>
          <w:top w:val="double" w:sz="4" w:space="0" w:color="000080"/>
          <w:left w:val="double" w:sz="4" w:space="0" w:color="000080"/>
          <w:bottom w:val="double" w:sz="4" w:space="0" w:color="000080"/>
          <w:right w:val="double" w:sz="4" w:space="0" w:color="000080"/>
          <w:insideH w:val="single" w:sz="6" w:space="0" w:color="000080"/>
          <w:insideV w:val="single" w:sz="6" w:space="0" w:color="000080"/>
        </w:tblBorders>
        <w:tblLayout w:type="fixed"/>
        <w:tblLook w:val="0000" w:firstRow="0" w:lastRow="0" w:firstColumn="0" w:lastColumn="0" w:noHBand="0" w:noVBand="0"/>
      </w:tblPr>
      <w:tblGrid>
        <w:gridCol w:w="4045"/>
        <w:gridCol w:w="1530"/>
        <w:gridCol w:w="1530"/>
        <w:gridCol w:w="1530"/>
        <w:gridCol w:w="1435"/>
      </w:tblGrid>
      <w:tr w:rsidR="00865FA1" w:rsidRPr="00301088" w14:paraId="49C042C2" w14:textId="044D34AC" w:rsidTr="00A850F7">
        <w:trPr>
          <w:trHeight w:val="212"/>
        </w:trPr>
        <w:tc>
          <w:tcPr>
            <w:tcW w:w="4045" w:type="dxa"/>
            <w:tcBorders>
              <w:top w:val="single" w:sz="4" w:space="0" w:color="auto"/>
              <w:left w:val="single" w:sz="4" w:space="0" w:color="auto"/>
              <w:bottom w:val="single" w:sz="4" w:space="0" w:color="auto"/>
              <w:right w:val="single" w:sz="4" w:space="0" w:color="auto"/>
            </w:tcBorders>
            <w:shd w:val="clear" w:color="auto" w:fill="000080"/>
            <w:vAlign w:val="center"/>
          </w:tcPr>
          <w:p w14:paraId="4110A066" w14:textId="77777777" w:rsidR="004D663F" w:rsidRPr="00301088" w:rsidRDefault="004D663F" w:rsidP="00865FA1">
            <w:pPr>
              <w:rPr>
                <w:rFonts w:ascii="Arial" w:hAnsi="Arial" w:cs="Arial"/>
                <w:b/>
                <w:bCs/>
                <w:color w:val="FFFFFF"/>
                <w:sz w:val="20"/>
              </w:rPr>
            </w:pPr>
            <w:r>
              <w:rPr>
                <w:rFonts w:ascii="Arial" w:hAnsi="Arial" w:cs="Arial"/>
                <w:b/>
                <w:bCs/>
                <w:color w:val="FFFFFF"/>
                <w:sz w:val="20"/>
              </w:rPr>
              <w:t>Revenue</w:t>
            </w:r>
          </w:p>
        </w:tc>
        <w:tc>
          <w:tcPr>
            <w:tcW w:w="1530" w:type="dxa"/>
            <w:tcBorders>
              <w:top w:val="single" w:sz="4" w:space="0" w:color="auto"/>
              <w:left w:val="single" w:sz="4" w:space="0" w:color="auto"/>
              <w:bottom w:val="single" w:sz="4" w:space="0" w:color="auto"/>
              <w:right w:val="single" w:sz="4" w:space="0" w:color="auto"/>
            </w:tcBorders>
            <w:shd w:val="clear" w:color="auto" w:fill="000080"/>
            <w:vAlign w:val="center"/>
          </w:tcPr>
          <w:p w14:paraId="5B9034A8" w14:textId="65D5D863" w:rsidR="004D663F" w:rsidRPr="00301088" w:rsidRDefault="004D663F" w:rsidP="00865FA1">
            <w:pPr>
              <w:jc w:val="center"/>
              <w:rPr>
                <w:rFonts w:ascii="Arial" w:hAnsi="Arial" w:cs="Arial"/>
                <w:b/>
                <w:bCs/>
                <w:color w:val="FFFFFF"/>
                <w:sz w:val="20"/>
              </w:rPr>
            </w:pPr>
            <w:r>
              <w:rPr>
                <w:rFonts w:ascii="Arial" w:hAnsi="Arial" w:cs="Arial"/>
                <w:b/>
                <w:bCs/>
                <w:color w:val="FFFFFF"/>
                <w:sz w:val="20"/>
              </w:rPr>
              <w:t xml:space="preserve">FY </w:t>
            </w:r>
            <w:r w:rsidR="006E2526">
              <w:rPr>
                <w:rFonts w:ascii="Arial" w:hAnsi="Arial" w:cs="Arial"/>
                <w:b/>
                <w:bCs/>
                <w:color w:val="FFFFFF"/>
                <w:sz w:val="20"/>
              </w:rPr>
              <w:t>2019</w:t>
            </w:r>
          </w:p>
        </w:tc>
        <w:tc>
          <w:tcPr>
            <w:tcW w:w="1530" w:type="dxa"/>
            <w:tcBorders>
              <w:top w:val="single" w:sz="4" w:space="0" w:color="auto"/>
              <w:left w:val="single" w:sz="4" w:space="0" w:color="auto"/>
              <w:bottom w:val="single" w:sz="4" w:space="0" w:color="auto"/>
              <w:right w:val="single" w:sz="4" w:space="0" w:color="auto"/>
            </w:tcBorders>
            <w:shd w:val="clear" w:color="auto" w:fill="000080"/>
            <w:vAlign w:val="center"/>
          </w:tcPr>
          <w:p w14:paraId="464107CB" w14:textId="559D30C7" w:rsidR="004D663F" w:rsidRPr="00301088" w:rsidRDefault="00B36D91" w:rsidP="00865FA1">
            <w:pPr>
              <w:jc w:val="center"/>
              <w:rPr>
                <w:rFonts w:ascii="Arial" w:hAnsi="Arial" w:cs="Arial"/>
                <w:b/>
                <w:bCs/>
                <w:color w:val="FFFFFF"/>
                <w:sz w:val="20"/>
              </w:rPr>
            </w:pPr>
            <w:r>
              <w:rPr>
                <w:rFonts w:ascii="Arial" w:hAnsi="Arial" w:cs="Arial"/>
                <w:b/>
                <w:bCs/>
                <w:color w:val="FFFFFF"/>
                <w:sz w:val="20"/>
              </w:rPr>
              <w:t>FY 2020</w:t>
            </w:r>
          </w:p>
        </w:tc>
        <w:tc>
          <w:tcPr>
            <w:tcW w:w="1530" w:type="dxa"/>
            <w:tcBorders>
              <w:top w:val="single" w:sz="4" w:space="0" w:color="auto"/>
              <w:left w:val="single" w:sz="4" w:space="0" w:color="auto"/>
              <w:bottom w:val="single" w:sz="4" w:space="0" w:color="auto"/>
              <w:right w:val="single" w:sz="4" w:space="0" w:color="auto"/>
            </w:tcBorders>
            <w:shd w:val="clear" w:color="auto" w:fill="000080"/>
          </w:tcPr>
          <w:p w14:paraId="47D4CCC3" w14:textId="201F4EDA" w:rsidR="004D663F" w:rsidRDefault="00B36D91" w:rsidP="00865FA1">
            <w:pPr>
              <w:jc w:val="center"/>
              <w:rPr>
                <w:rFonts w:ascii="Arial" w:hAnsi="Arial" w:cs="Arial"/>
                <w:b/>
                <w:bCs/>
                <w:color w:val="FFFFFF"/>
                <w:sz w:val="20"/>
              </w:rPr>
            </w:pPr>
            <w:r>
              <w:rPr>
                <w:rFonts w:ascii="Arial" w:hAnsi="Arial" w:cs="Arial"/>
                <w:b/>
                <w:bCs/>
                <w:color w:val="FFFFFF"/>
                <w:sz w:val="20"/>
              </w:rPr>
              <w:t>FY 2021</w:t>
            </w:r>
          </w:p>
        </w:tc>
        <w:tc>
          <w:tcPr>
            <w:tcW w:w="1435" w:type="dxa"/>
            <w:tcBorders>
              <w:top w:val="single" w:sz="4" w:space="0" w:color="auto"/>
              <w:left w:val="single" w:sz="4" w:space="0" w:color="auto"/>
              <w:bottom w:val="single" w:sz="4" w:space="0" w:color="auto"/>
              <w:right w:val="single" w:sz="4" w:space="0" w:color="auto"/>
            </w:tcBorders>
            <w:shd w:val="clear" w:color="auto" w:fill="000080"/>
          </w:tcPr>
          <w:p w14:paraId="20EA62C2" w14:textId="7BB6F9F8" w:rsidR="004D663F" w:rsidRDefault="00B36D91" w:rsidP="00865FA1">
            <w:pPr>
              <w:jc w:val="center"/>
              <w:rPr>
                <w:rFonts w:ascii="Arial" w:hAnsi="Arial" w:cs="Arial"/>
                <w:b/>
                <w:bCs/>
                <w:color w:val="FFFFFF"/>
                <w:sz w:val="20"/>
              </w:rPr>
            </w:pPr>
            <w:r>
              <w:rPr>
                <w:rFonts w:ascii="Arial" w:hAnsi="Arial" w:cs="Arial"/>
                <w:b/>
                <w:bCs/>
                <w:color w:val="FFFFFF"/>
                <w:sz w:val="20"/>
              </w:rPr>
              <w:t>FY 2022</w:t>
            </w:r>
          </w:p>
        </w:tc>
      </w:tr>
      <w:tr w:rsidR="004D663F" w:rsidRPr="00301088" w14:paraId="4AF07C56" w14:textId="5ADB6FC3"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9"/>
        </w:trPr>
        <w:tc>
          <w:tcPr>
            <w:tcW w:w="4045" w:type="dxa"/>
            <w:tcBorders>
              <w:top w:val="single" w:sz="4" w:space="0" w:color="auto"/>
              <w:left w:val="single" w:sz="4" w:space="0" w:color="auto"/>
            </w:tcBorders>
            <w:shd w:val="clear" w:color="auto" w:fill="auto"/>
            <w:noWrap/>
            <w:vAlign w:val="center"/>
            <w:hideMark/>
          </w:tcPr>
          <w:p w14:paraId="6FCDF839" w14:textId="77777777" w:rsidR="004D663F" w:rsidRPr="00176862" w:rsidRDefault="004D663F" w:rsidP="00865FA1">
            <w:pPr>
              <w:rPr>
                <w:rFonts w:ascii="Arial" w:hAnsi="Arial" w:cs="Arial"/>
                <w:color w:val="000000"/>
                <w:sz w:val="20"/>
                <w:szCs w:val="20"/>
              </w:rPr>
            </w:pPr>
            <w:r w:rsidRPr="00176862">
              <w:rPr>
                <w:rFonts w:ascii="Arial" w:hAnsi="Arial" w:cs="Arial"/>
                <w:color w:val="000000"/>
                <w:sz w:val="20"/>
                <w:szCs w:val="20"/>
              </w:rPr>
              <w:t>Operating revenues</w:t>
            </w:r>
          </w:p>
        </w:tc>
        <w:tc>
          <w:tcPr>
            <w:tcW w:w="1530" w:type="dxa"/>
            <w:tcBorders>
              <w:top w:val="single" w:sz="4" w:space="0" w:color="auto"/>
            </w:tcBorders>
            <w:vAlign w:val="center"/>
          </w:tcPr>
          <w:p w14:paraId="00B40B6B" w14:textId="77777777" w:rsidR="004D663F" w:rsidRPr="00176862" w:rsidRDefault="004D663F" w:rsidP="00865FA1">
            <w:pPr>
              <w:jc w:val="center"/>
              <w:rPr>
                <w:rFonts w:ascii="Arial" w:hAnsi="Arial" w:cs="Arial"/>
                <w:color w:val="000000"/>
                <w:sz w:val="20"/>
                <w:szCs w:val="20"/>
              </w:rPr>
            </w:pPr>
          </w:p>
        </w:tc>
        <w:tc>
          <w:tcPr>
            <w:tcW w:w="1530" w:type="dxa"/>
            <w:tcBorders>
              <w:top w:val="single" w:sz="4" w:space="0" w:color="auto"/>
            </w:tcBorders>
            <w:vAlign w:val="center"/>
          </w:tcPr>
          <w:p w14:paraId="1626C384" w14:textId="77777777" w:rsidR="004D663F" w:rsidRPr="00176862" w:rsidRDefault="004D663F" w:rsidP="00865FA1">
            <w:pPr>
              <w:jc w:val="center"/>
              <w:rPr>
                <w:rFonts w:ascii="Arial" w:hAnsi="Arial" w:cs="Arial"/>
                <w:color w:val="000000"/>
                <w:sz w:val="20"/>
                <w:szCs w:val="20"/>
              </w:rPr>
            </w:pPr>
          </w:p>
        </w:tc>
        <w:tc>
          <w:tcPr>
            <w:tcW w:w="1530" w:type="dxa"/>
            <w:tcBorders>
              <w:top w:val="single" w:sz="4" w:space="0" w:color="auto"/>
            </w:tcBorders>
          </w:tcPr>
          <w:p w14:paraId="682768E8" w14:textId="7810185A" w:rsidR="004D663F" w:rsidRPr="00176862" w:rsidRDefault="004D663F" w:rsidP="00865FA1">
            <w:pPr>
              <w:jc w:val="center"/>
              <w:rPr>
                <w:rFonts w:ascii="Arial" w:hAnsi="Arial" w:cs="Arial"/>
                <w:color w:val="000000"/>
                <w:sz w:val="20"/>
                <w:szCs w:val="20"/>
              </w:rPr>
            </w:pPr>
          </w:p>
        </w:tc>
        <w:tc>
          <w:tcPr>
            <w:tcW w:w="1435" w:type="dxa"/>
            <w:tcBorders>
              <w:top w:val="single" w:sz="4" w:space="0" w:color="auto"/>
              <w:right w:val="single" w:sz="4" w:space="0" w:color="auto"/>
            </w:tcBorders>
          </w:tcPr>
          <w:p w14:paraId="2F5B6A07" w14:textId="77777777" w:rsidR="004D663F" w:rsidRPr="00176862" w:rsidRDefault="004D663F" w:rsidP="00865FA1">
            <w:pPr>
              <w:jc w:val="center"/>
              <w:rPr>
                <w:rFonts w:ascii="Arial" w:hAnsi="Arial" w:cs="Arial"/>
                <w:color w:val="000000"/>
                <w:sz w:val="20"/>
                <w:szCs w:val="20"/>
              </w:rPr>
            </w:pPr>
          </w:p>
        </w:tc>
      </w:tr>
      <w:tr w:rsidR="00D64593" w:rsidRPr="00301088" w14:paraId="7BB69D9D" w14:textId="60FF4E61"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nil"/>
            </w:tcBorders>
            <w:shd w:val="clear" w:color="auto" w:fill="auto"/>
            <w:vAlign w:val="center"/>
            <w:hideMark/>
          </w:tcPr>
          <w:p w14:paraId="06DECE8E"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Student tuition and fees (Gross)</w:t>
            </w:r>
          </w:p>
        </w:tc>
        <w:tc>
          <w:tcPr>
            <w:tcW w:w="1530" w:type="dxa"/>
            <w:tcBorders>
              <w:top w:val="nil"/>
              <w:bottom w:val="nil"/>
            </w:tcBorders>
            <w:vAlign w:val="center"/>
          </w:tcPr>
          <w:p w14:paraId="16F42162" w14:textId="14F9CB73"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104,794,000</w:t>
            </w:r>
          </w:p>
        </w:tc>
        <w:tc>
          <w:tcPr>
            <w:tcW w:w="1530" w:type="dxa"/>
            <w:tcBorders>
              <w:top w:val="nil"/>
              <w:bottom w:val="nil"/>
            </w:tcBorders>
            <w:vAlign w:val="center"/>
          </w:tcPr>
          <w:p w14:paraId="2EB16FD0" w14:textId="4DFEA8C8"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104,240,000</w:t>
            </w:r>
          </w:p>
        </w:tc>
        <w:tc>
          <w:tcPr>
            <w:tcW w:w="1530" w:type="dxa"/>
            <w:tcBorders>
              <w:top w:val="nil"/>
              <w:bottom w:val="nil"/>
            </w:tcBorders>
          </w:tcPr>
          <w:p w14:paraId="681B55C7" w14:textId="3D9DEEBA"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107,388,000</w:t>
            </w:r>
          </w:p>
        </w:tc>
        <w:tc>
          <w:tcPr>
            <w:tcW w:w="1435" w:type="dxa"/>
            <w:tcBorders>
              <w:top w:val="nil"/>
              <w:bottom w:val="nil"/>
              <w:right w:val="single" w:sz="4" w:space="0" w:color="auto"/>
            </w:tcBorders>
          </w:tcPr>
          <w:p w14:paraId="3D6ED626" w14:textId="68E9A2A4" w:rsidR="00D64593" w:rsidRPr="00176862" w:rsidRDefault="00D64593" w:rsidP="00865FA1">
            <w:pPr>
              <w:jc w:val="right"/>
              <w:rPr>
                <w:rFonts w:ascii="Arial" w:hAnsi="Arial" w:cs="Arial"/>
                <w:color w:val="000000"/>
                <w:sz w:val="20"/>
                <w:szCs w:val="20"/>
              </w:rPr>
            </w:pPr>
          </w:p>
        </w:tc>
      </w:tr>
      <w:tr w:rsidR="00D64593" w:rsidRPr="00301088" w14:paraId="2DA01511" w14:textId="601A53C2"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nil"/>
            </w:tcBorders>
            <w:shd w:val="clear" w:color="auto" w:fill="auto"/>
            <w:vAlign w:val="center"/>
            <w:hideMark/>
          </w:tcPr>
          <w:p w14:paraId="27C98693" w14:textId="77777777" w:rsidR="00D64593" w:rsidRPr="00176862" w:rsidRDefault="00D64593" w:rsidP="00865FA1">
            <w:pPr>
              <w:ind w:left="-90" w:right="-194" w:firstLineChars="100" w:firstLine="200"/>
              <w:rPr>
                <w:rFonts w:ascii="Arial" w:hAnsi="Arial" w:cs="Arial"/>
                <w:color w:val="000000"/>
                <w:sz w:val="20"/>
                <w:szCs w:val="20"/>
              </w:rPr>
            </w:pPr>
            <w:r w:rsidRPr="00176862">
              <w:rPr>
                <w:rFonts w:ascii="Arial" w:hAnsi="Arial" w:cs="Arial"/>
                <w:color w:val="000000"/>
                <w:sz w:val="20"/>
                <w:szCs w:val="20"/>
              </w:rPr>
              <w:t xml:space="preserve">  Scholarship discounts and allowances</w:t>
            </w:r>
          </w:p>
        </w:tc>
        <w:tc>
          <w:tcPr>
            <w:tcW w:w="1530" w:type="dxa"/>
            <w:tcBorders>
              <w:top w:val="nil"/>
              <w:bottom w:val="nil"/>
            </w:tcBorders>
            <w:vAlign w:val="center"/>
          </w:tcPr>
          <w:p w14:paraId="1FA1399E" w14:textId="6EDC28E3"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(30,516,000)</w:t>
            </w:r>
          </w:p>
        </w:tc>
        <w:tc>
          <w:tcPr>
            <w:tcW w:w="1530" w:type="dxa"/>
            <w:tcBorders>
              <w:top w:val="nil"/>
              <w:bottom w:val="nil"/>
            </w:tcBorders>
            <w:vAlign w:val="center"/>
          </w:tcPr>
          <w:p w14:paraId="072C1E92" w14:textId="0F198C12"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(31,449,000)</w:t>
            </w:r>
          </w:p>
        </w:tc>
        <w:tc>
          <w:tcPr>
            <w:tcW w:w="1530" w:type="dxa"/>
            <w:tcBorders>
              <w:top w:val="nil"/>
              <w:bottom w:val="nil"/>
            </w:tcBorders>
          </w:tcPr>
          <w:p w14:paraId="429D750C" w14:textId="621F4EE7"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(27,984,000)</w:t>
            </w:r>
          </w:p>
        </w:tc>
        <w:tc>
          <w:tcPr>
            <w:tcW w:w="1435" w:type="dxa"/>
            <w:tcBorders>
              <w:top w:val="nil"/>
              <w:bottom w:val="nil"/>
              <w:right w:val="single" w:sz="4" w:space="0" w:color="auto"/>
            </w:tcBorders>
          </w:tcPr>
          <w:p w14:paraId="6D0C1F27" w14:textId="2DDA6A6B" w:rsidR="00D64593" w:rsidRPr="00176862" w:rsidRDefault="00D64593" w:rsidP="00865FA1">
            <w:pPr>
              <w:jc w:val="right"/>
              <w:rPr>
                <w:rFonts w:ascii="Arial" w:hAnsi="Arial" w:cs="Arial"/>
                <w:color w:val="000000"/>
                <w:sz w:val="20"/>
                <w:szCs w:val="20"/>
              </w:rPr>
            </w:pPr>
          </w:p>
        </w:tc>
      </w:tr>
      <w:tr w:rsidR="00D64593" w:rsidRPr="00301088" w14:paraId="6B83B6CA" w14:textId="051407AB"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nil"/>
            </w:tcBorders>
            <w:shd w:val="clear" w:color="auto" w:fill="auto"/>
            <w:noWrap/>
            <w:vAlign w:val="center"/>
            <w:hideMark/>
          </w:tcPr>
          <w:p w14:paraId="7155007E" w14:textId="77777777" w:rsidR="00D64593" w:rsidRPr="00176862" w:rsidRDefault="00D64593" w:rsidP="00865FA1">
            <w:pPr>
              <w:ind w:firstLineChars="100" w:firstLine="200"/>
              <w:rPr>
                <w:rFonts w:ascii="Arial" w:hAnsi="Arial" w:cs="Arial"/>
                <w:color w:val="000000"/>
                <w:sz w:val="20"/>
                <w:szCs w:val="20"/>
              </w:rPr>
            </w:pPr>
            <w:r w:rsidRPr="00176862">
              <w:rPr>
                <w:rFonts w:ascii="Arial" w:hAnsi="Arial" w:cs="Arial"/>
                <w:color w:val="000000"/>
                <w:sz w:val="20"/>
                <w:szCs w:val="20"/>
              </w:rPr>
              <w:t xml:space="preserve">  Federal grants and contracts</w:t>
            </w:r>
          </w:p>
        </w:tc>
        <w:tc>
          <w:tcPr>
            <w:tcW w:w="1530" w:type="dxa"/>
            <w:tcBorders>
              <w:top w:val="nil"/>
              <w:bottom w:val="nil"/>
            </w:tcBorders>
            <w:vAlign w:val="center"/>
          </w:tcPr>
          <w:p w14:paraId="6DD30699" w14:textId="6622CEE1"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8,832,000</w:t>
            </w:r>
          </w:p>
        </w:tc>
        <w:tc>
          <w:tcPr>
            <w:tcW w:w="1530" w:type="dxa"/>
            <w:tcBorders>
              <w:top w:val="nil"/>
              <w:bottom w:val="nil"/>
            </w:tcBorders>
            <w:vAlign w:val="center"/>
          </w:tcPr>
          <w:p w14:paraId="53B11CE8" w14:textId="60677B35"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8,018,000</w:t>
            </w:r>
          </w:p>
        </w:tc>
        <w:tc>
          <w:tcPr>
            <w:tcW w:w="1530" w:type="dxa"/>
            <w:tcBorders>
              <w:top w:val="nil"/>
              <w:bottom w:val="nil"/>
            </w:tcBorders>
          </w:tcPr>
          <w:p w14:paraId="4CAEDDE7" w14:textId="7CEE888D"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8,401,000</w:t>
            </w:r>
          </w:p>
        </w:tc>
        <w:tc>
          <w:tcPr>
            <w:tcW w:w="1435" w:type="dxa"/>
            <w:tcBorders>
              <w:top w:val="nil"/>
              <w:bottom w:val="nil"/>
              <w:right w:val="single" w:sz="4" w:space="0" w:color="auto"/>
            </w:tcBorders>
          </w:tcPr>
          <w:p w14:paraId="6C76DF32" w14:textId="734CBA4C" w:rsidR="00D64593" w:rsidRPr="00176862" w:rsidRDefault="00D64593" w:rsidP="00865FA1">
            <w:pPr>
              <w:jc w:val="right"/>
              <w:rPr>
                <w:rFonts w:ascii="Arial" w:hAnsi="Arial" w:cs="Arial"/>
                <w:color w:val="000000"/>
                <w:sz w:val="20"/>
                <w:szCs w:val="20"/>
              </w:rPr>
            </w:pPr>
          </w:p>
        </w:tc>
      </w:tr>
      <w:tr w:rsidR="00D64593" w:rsidRPr="00301088" w14:paraId="09F17E05" w14:textId="275D6439"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nil"/>
            </w:tcBorders>
            <w:shd w:val="clear" w:color="auto" w:fill="auto"/>
            <w:noWrap/>
            <w:vAlign w:val="center"/>
            <w:hideMark/>
          </w:tcPr>
          <w:p w14:paraId="3708555A" w14:textId="77777777" w:rsidR="00D64593" w:rsidRPr="00176862" w:rsidRDefault="00D64593" w:rsidP="00865FA1">
            <w:pPr>
              <w:ind w:firstLineChars="100" w:firstLine="200"/>
              <w:rPr>
                <w:rFonts w:ascii="Arial" w:hAnsi="Arial" w:cs="Arial"/>
                <w:color w:val="000000"/>
                <w:sz w:val="20"/>
                <w:szCs w:val="20"/>
              </w:rPr>
            </w:pPr>
            <w:r w:rsidRPr="00176862">
              <w:rPr>
                <w:rFonts w:ascii="Arial" w:hAnsi="Arial" w:cs="Arial"/>
                <w:color w:val="000000"/>
                <w:sz w:val="20"/>
                <w:szCs w:val="20"/>
              </w:rPr>
              <w:t xml:space="preserve">  State and local grants and contracts</w:t>
            </w:r>
          </w:p>
        </w:tc>
        <w:tc>
          <w:tcPr>
            <w:tcW w:w="1530" w:type="dxa"/>
            <w:tcBorders>
              <w:top w:val="nil"/>
              <w:bottom w:val="nil"/>
            </w:tcBorders>
            <w:vAlign w:val="center"/>
          </w:tcPr>
          <w:p w14:paraId="1F9AC44B" w14:textId="65F9836E"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8,764,000</w:t>
            </w:r>
          </w:p>
        </w:tc>
        <w:tc>
          <w:tcPr>
            <w:tcW w:w="1530" w:type="dxa"/>
            <w:tcBorders>
              <w:top w:val="nil"/>
              <w:bottom w:val="nil"/>
            </w:tcBorders>
            <w:vAlign w:val="center"/>
          </w:tcPr>
          <w:p w14:paraId="0F6940E6" w14:textId="3033F6B1"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9,891,000</w:t>
            </w:r>
          </w:p>
        </w:tc>
        <w:tc>
          <w:tcPr>
            <w:tcW w:w="1530" w:type="dxa"/>
            <w:tcBorders>
              <w:top w:val="nil"/>
              <w:bottom w:val="nil"/>
            </w:tcBorders>
          </w:tcPr>
          <w:p w14:paraId="53EB6E40" w14:textId="548BB513"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10,894,000</w:t>
            </w:r>
          </w:p>
        </w:tc>
        <w:tc>
          <w:tcPr>
            <w:tcW w:w="1435" w:type="dxa"/>
            <w:tcBorders>
              <w:top w:val="nil"/>
              <w:bottom w:val="nil"/>
              <w:right w:val="single" w:sz="4" w:space="0" w:color="auto"/>
            </w:tcBorders>
          </w:tcPr>
          <w:p w14:paraId="44DA9747" w14:textId="6E9D3689" w:rsidR="00D64593" w:rsidRPr="00176862" w:rsidRDefault="00D64593" w:rsidP="00865FA1">
            <w:pPr>
              <w:jc w:val="right"/>
              <w:rPr>
                <w:rFonts w:ascii="Arial" w:hAnsi="Arial" w:cs="Arial"/>
                <w:color w:val="000000"/>
                <w:sz w:val="20"/>
                <w:szCs w:val="20"/>
              </w:rPr>
            </w:pPr>
          </w:p>
        </w:tc>
      </w:tr>
      <w:tr w:rsidR="00D64593" w:rsidRPr="00301088" w14:paraId="49E978C1" w14:textId="10EA5DF5"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nil"/>
            </w:tcBorders>
            <w:shd w:val="clear" w:color="auto" w:fill="auto"/>
            <w:noWrap/>
            <w:vAlign w:val="center"/>
            <w:hideMark/>
          </w:tcPr>
          <w:p w14:paraId="107C4775" w14:textId="77777777" w:rsidR="00D64593" w:rsidRPr="00176862" w:rsidRDefault="00D64593" w:rsidP="00865FA1">
            <w:pPr>
              <w:ind w:firstLineChars="100" w:firstLine="200"/>
              <w:rPr>
                <w:rFonts w:ascii="Arial" w:hAnsi="Arial" w:cs="Arial"/>
                <w:color w:val="000000"/>
                <w:sz w:val="20"/>
                <w:szCs w:val="20"/>
              </w:rPr>
            </w:pPr>
            <w:r w:rsidRPr="00176862">
              <w:rPr>
                <w:rFonts w:ascii="Arial" w:hAnsi="Arial" w:cs="Arial"/>
                <w:color w:val="000000"/>
                <w:sz w:val="20"/>
                <w:szCs w:val="20"/>
              </w:rPr>
              <w:t xml:space="preserve">  Private grants and contracts</w:t>
            </w:r>
          </w:p>
        </w:tc>
        <w:tc>
          <w:tcPr>
            <w:tcW w:w="1530" w:type="dxa"/>
            <w:tcBorders>
              <w:top w:val="nil"/>
              <w:bottom w:val="nil"/>
            </w:tcBorders>
            <w:vAlign w:val="center"/>
          </w:tcPr>
          <w:p w14:paraId="1D9B1519" w14:textId="0EAE6C67"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5,791,000</w:t>
            </w:r>
          </w:p>
        </w:tc>
        <w:tc>
          <w:tcPr>
            <w:tcW w:w="1530" w:type="dxa"/>
            <w:tcBorders>
              <w:top w:val="nil"/>
              <w:bottom w:val="nil"/>
            </w:tcBorders>
            <w:vAlign w:val="center"/>
          </w:tcPr>
          <w:p w14:paraId="61852863" w14:textId="54815E5E"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5,865,000</w:t>
            </w:r>
          </w:p>
        </w:tc>
        <w:tc>
          <w:tcPr>
            <w:tcW w:w="1530" w:type="dxa"/>
            <w:tcBorders>
              <w:top w:val="nil"/>
              <w:bottom w:val="nil"/>
            </w:tcBorders>
          </w:tcPr>
          <w:p w14:paraId="4C6B42AB" w14:textId="020E29C6"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5,776,000</w:t>
            </w:r>
          </w:p>
        </w:tc>
        <w:tc>
          <w:tcPr>
            <w:tcW w:w="1435" w:type="dxa"/>
            <w:tcBorders>
              <w:top w:val="nil"/>
              <w:bottom w:val="nil"/>
              <w:right w:val="single" w:sz="4" w:space="0" w:color="auto"/>
            </w:tcBorders>
          </w:tcPr>
          <w:p w14:paraId="0A232758" w14:textId="77513543" w:rsidR="00D64593" w:rsidRPr="00176862" w:rsidRDefault="00D64593" w:rsidP="00865FA1">
            <w:pPr>
              <w:jc w:val="right"/>
              <w:rPr>
                <w:rFonts w:ascii="Arial" w:hAnsi="Arial" w:cs="Arial"/>
                <w:color w:val="000000"/>
                <w:sz w:val="20"/>
                <w:szCs w:val="20"/>
              </w:rPr>
            </w:pPr>
          </w:p>
        </w:tc>
      </w:tr>
      <w:tr w:rsidR="00D64593" w:rsidRPr="00301088" w14:paraId="1DD54528" w14:textId="01A91C4F"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nil"/>
            </w:tcBorders>
            <w:shd w:val="clear" w:color="auto" w:fill="auto"/>
            <w:noWrap/>
            <w:vAlign w:val="center"/>
            <w:hideMark/>
          </w:tcPr>
          <w:p w14:paraId="1CCA6DC4" w14:textId="77777777" w:rsidR="00D64593" w:rsidRPr="00176862" w:rsidRDefault="00D64593" w:rsidP="00865FA1">
            <w:pPr>
              <w:tabs>
                <w:tab w:val="left" w:pos="3420"/>
              </w:tabs>
              <w:ind w:firstLineChars="100" w:firstLine="200"/>
              <w:rPr>
                <w:rFonts w:ascii="Arial" w:hAnsi="Arial" w:cs="Arial"/>
                <w:color w:val="000000"/>
                <w:sz w:val="20"/>
                <w:szCs w:val="20"/>
              </w:rPr>
            </w:pPr>
            <w:r w:rsidRPr="00176862">
              <w:rPr>
                <w:rFonts w:ascii="Arial" w:hAnsi="Arial" w:cs="Arial"/>
                <w:color w:val="000000"/>
                <w:sz w:val="20"/>
                <w:szCs w:val="20"/>
              </w:rPr>
              <w:t xml:space="preserve">  Sales and services of education activities</w:t>
            </w:r>
          </w:p>
        </w:tc>
        <w:tc>
          <w:tcPr>
            <w:tcW w:w="1530" w:type="dxa"/>
            <w:tcBorders>
              <w:top w:val="nil"/>
              <w:bottom w:val="nil"/>
            </w:tcBorders>
            <w:vAlign w:val="center"/>
          </w:tcPr>
          <w:p w14:paraId="192ABC62" w14:textId="74653A70"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6,030,000</w:t>
            </w:r>
          </w:p>
        </w:tc>
        <w:tc>
          <w:tcPr>
            <w:tcW w:w="1530" w:type="dxa"/>
            <w:tcBorders>
              <w:top w:val="nil"/>
              <w:bottom w:val="nil"/>
            </w:tcBorders>
            <w:vAlign w:val="center"/>
          </w:tcPr>
          <w:p w14:paraId="1789CC27" w14:textId="6A7FCCA7"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5,395,000</w:t>
            </w:r>
          </w:p>
        </w:tc>
        <w:tc>
          <w:tcPr>
            <w:tcW w:w="1530" w:type="dxa"/>
            <w:tcBorders>
              <w:top w:val="nil"/>
              <w:bottom w:val="nil"/>
            </w:tcBorders>
          </w:tcPr>
          <w:p w14:paraId="1C69B1C3" w14:textId="43DB1E13"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6,805,000</w:t>
            </w:r>
          </w:p>
        </w:tc>
        <w:tc>
          <w:tcPr>
            <w:tcW w:w="1435" w:type="dxa"/>
            <w:tcBorders>
              <w:top w:val="nil"/>
              <w:bottom w:val="nil"/>
              <w:right w:val="single" w:sz="4" w:space="0" w:color="auto"/>
            </w:tcBorders>
          </w:tcPr>
          <w:p w14:paraId="4FAFC529" w14:textId="41994DFF" w:rsidR="00D64593" w:rsidRPr="00176862" w:rsidRDefault="00D64593" w:rsidP="00865FA1">
            <w:pPr>
              <w:jc w:val="right"/>
              <w:rPr>
                <w:rFonts w:ascii="Arial" w:hAnsi="Arial" w:cs="Arial"/>
                <w:color w:val="000000"/>
                <w:sz w:val="20"/>
                <w:szCs w:val="20"/>
              </w:rPr>
            </w:pPr>
          </w:p>
        </w:tc>
      </w:tr>
      <w:tr w:rsidR="00D64593" w:rsidRPr="00301088" w14:paraId="1E1B0990" w14:textId="252B9428"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tcBorders>
            <w:shd w:val="clear" w:color="auto" w:fill="auto"/>
            <w:noWrap/>
            <w:vAlign w:val="center"/>
            <w:hideMark/>
          </w:tcPr>
          <w:p w14:paraId="19CAD5AB" w14:textId="77777777" w:rsidR="00D64593" w:rsidRPr="00176862" w:rsidRDefault="00D64593" w:rsidP="00865FA1">
            <w:pPr>
              <w:ind w:firstLineChars="100" w:firstLine="200"/>
              <w:rPr>
                <w:rFonts w:ascii="Arial" w:hAnsi="Arial" w:cs="Arial"/>
                <w:color w:val="000000"/>
                <w:sz w:val="20"/>
                <w:szCs w:val="20"/>
              </w:rPr>
            </w:pPr>
            <w:r w:rsidRPr="00176862">
              <w:rPr>
                <w:rFonts w:ascii="Arial" w:hAnsi="Arial" w:cs="Arial"/>
                <w:color w:val="000000"/>
                <w:sz w:val="20"/>
                <w:szCs w:val="20"/>
              </w:rPr>
              <w:t xml:space="preserve">  Sales and services of auxiliary enterprises</w:t>
            </w:r>
          </w:p>
        </w:tc>
        <w:tc>
          <w:tcPr>
            <w:tcW w:w="1530" w:type="dxa"/>
            <w:tcBorders>
              <w:top w:val="nil"/>
              <w:bottom w:val="nil"/>
            </w:tcBorders>
            <w:vAlign w:val="center"/>
          </w:tcPr>
          <w:p w14:paraId="12FB2239" w14:textId="481D9EF6"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14,679,000</w:t>
            </w:r>
          </w:p>
        </w:tc>
        <w:tc>
          <w:tcPr>
            <w:tcW w:w="1530" w:type="dxa"/>
            <w:tcBorders>
              <w:top w:val="nil"/>
              <w:bottom w:val="nil"/>
            </w:tcBorders>
            <w:vAlign w:val="center"/>
          </w:tcPr>
          <w:p w14:paraId="475C9D21" w14:textId="336817F6"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12,827,000</w:t>
            </w:r>
          </w:p>
        </w:tc>
        <w:tc>
          <w:tcPr>
            <w:tcW w:w="1530" w:type="dxa"/>
            <w:tcBorders>
              <w:top w:val="nil"/>
              <w:bottom w:val="nil"/>
            </w:tcBorders>
          </w:tcPr>
          <w:p w14:paraId="4704CC36" w14:textId="3B6C14FB"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10,394,000</w:t>
            </w:r>
          </w:p>
        </w:tc>
        <w:tc>
          <w:tcPr>
            <w:tcW w:w="1435" w:type="dxa"/>
            <w:tcBorders>
              <w:top w:val="nil"/>
              <w:bottom w:val="nil"/>
              <w:right w:val="single" w:sz="4" w:space="0" w:color="auto"/>
            </w:tcBorders>
          </w:tcPr>
          <w:p w14:paraId="13DF94CE" w14:textId="67203366" w:rsidR="00D64593" w:rsidRPr="00176862" w:rsidRDefault="00D64593" w:rsidP="00865FA1">
            <w:pPr>
              <w:jc w:val="right"/>
              <w:rPr>
                <w:rFonts w:ascii="Arial" w:hAnsi="Arial" w:cs="Arial"/>
                <w:color w:val="000000"/>
                <w:sz w:val="20"/>
                <w:szCs w:val="20"/>
              </w:rPr>
            </w:pPr>
          </w:p>
        </w:tc>
      </w:tr>
      <w:tr w:rsidR="00D64593" w:rsidRPr="00301088" w14:paraId="50FB4082" w14:textId="035C6740"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tcBorders>
            <w:shd w:val="clear" w:color="auto" w:fill="auto"/>
            <w:noWrap/>
            <w:vAlign w:val="center"/>
            <w:hideMark/>
          </w:tcPr>
          <w:p w14:paraId="0E4A99E7" w14:textId="77777777" w:rsidR="00D64593" w:rsidRPr="00176862" w:rsidRDefault="00D64593" w:rsidP="00865FA1">
            <w:pPr>
              <w:ind w:firstLineChars="100" w:firstLine="200"/>
              <w:rPr>
                <w:rFonts w:ascii="Arial" w:hAnsi="Arial" w:cs="Arial"/>
                <w:color w:val="000000"/>
                <w:sz w:val="20"/>
                <w:szCs w:val="20"/>
              </w:rPr>
            </w:pPr>
            <w:r w:rsidRPr="00176862">
              <w:rPr>
                <w:rFonts w:ascii="Arial" w:hAnsi="Arial" w:cs="Arial"/>
                <w:color w:val="000000"/>
                <w:sz w:val="20"/>
                <w:szCs w:val="20"/>
              </w:rPr>
              <w:t xml:space="preserve">  Other</w:t>
            </w:r>
          </w:p>
        </w:tc>
        <w:tc>
          <w:tcPr>
            <w:tcW w:w="1530" w:type="dxa"/>
            <w:tcBorders>
              <w:top w:val="nil"/>
            </w:tcBorders>
            <w:vAlign w:val="center"/>
          </w:tcPr>
          <w:p w14:paraId="77269C57" w14:textId="3C6DA824" w:rsidR="00D64593" w:rsidRPr="00176862" w:rsidRDefault="00D64593" w:rsidP="00865FA1">
            <w:pPr>
              <w:jc w:val="right"/>
              <w:rPr>
                <w:rFonts w:ascii="Arial" w:hAnsi="Arial" w:cs="Arial"/>
                <w:color w:val="000000"/>
                <w:sz w:val="20"/>
                <w:szCs w:val="20"/>
                <w:u w:val="single"/>
              </w:rPr>
            </w:pPr>
            <w:r w:rsidRPr="00176862">
              <w:rPr>
                <w:rFonts w:ascii="Arial" w:hAnsi="Arial" w:cs="Arial"/>
                <w:color w:val="000000"/>
                <w:sz w:val="20"/>
                <w:szCs w:val="20"/>
                <w:u w:val="single"/>
              </w:rPr>
              <w:t>4,713,000</w:t>
            </w:r>
          </w:p>
        </w:tc>
        <w:tc>
          <w:tcPr>
            <w:tcW w:w="1530" w:type="dxa"/>
            <w:tcBorders>
              <w:top w:val="nil"/>
            </w:tcBorders>
            <w:vAlign w:val="center"/>
          </w:tcPr>
          <w:p w14:paraId="1F489F08" w14:textId="55D84771" w:rsidR="00D64593" w:rsidRPr="00176862" w:rsidRDefault="00D64593" w:rsidP="00865FA1">
            <w:pPr>
              <w:jc w:val="right"/>
              <w:rPr>
                <w:rFonts w:ascii="Arial" w:hAnsi="Arial" w:cs="Arial"/>
                <w:color w:val="000000"/>
                <w:sz w:val="20"/>
                <w:szCs w:val="20"/>
                <w:u w:val="single"/>
              </w:rPr>
            </w:pPr>
            <w:r w:rsidRPr="00176862">
              <w:rPr>
                <w:rFonts w:ascii="Arial" w:hAnsi="Arial" w:cs="Arial"/>
                <w:color w:val="000000"/>
                <w:sz w:val="20"/>
                <w:szCs w:val="20"/>
                <w:u w:val="single"/>
              </w:rPr>
              <w:t>3,514,000</w:t>
            </w:r>
          </w:p>
        </w:tc>
        <w:tc>
          <w:tcPr>
            <w:tcW w:w="1530" w:type="dxa"/>
            <w:tcBorders>
              <w:top w:val="nil"/>
            </w:tcBorders>
          </w:tcPr>
          <w:p w14:paraId="4009BF43" w14:textId="65399623" w:rsidR="00D64593" w:rsidRPr="00176862" w:rsidRDefault="00D64593" w:rsidP="00865FA1">
            <w:pPr>
              <w:jc w:val="right"/>
              <w:rPr>
                <w:rFonts w:ascii="Arial" w:hAnsi="Arial" w:cs="Arial"/>
                <w:color w:val="000000"/>
                <w:sz w:val="20"/>
                <w:szCs w:val="20"/>
                <w:u w:val="single"/>
              </w:rPr>
            </w:pPr>
            <w:r w:rsidRPr="00176862">
              <w:rPr>
                <w:rFonts w:ascii="Arial" w:hAnsi="Arial" w:cs="Arial"/>
                <w:color w:val="000000"/>
                <w:sz w:val="20"/>
                <w:szCs w:val="20"/>
                <w:u w:val="single"/>
              </w:rPr>
              <w:t>3,895,000</w:t>
            </w:r>
          </w:p>
        </w:tc>
        <w:tc>
          <w:tcPr>
            <w:tcW w:w="1435" w:type="dxa"/>
            <w:tcBorders>
              <w:top w:val="nil"/>
              <w:right w:val="single" w:sz="4" w:space="0" w:color="auto"/>
            </w:tcBorders>
          </w:tcPr>
          <w:p w14:paraId="0AF1AF83" w14:textId="6F58B4AA" w:rsidR="00D64593" w:rsidRPr="00176862" w:rsidRDefault="00D64593" w:rsidP="00865FA1">
            <w:pPr>
              <w:jc w:val="right"/>
              <w:rPr>
                <w:rFonts w:ascii="Arial" w:hAnsi="Arial" w:cs="Arial"/>
                <w:color w:val="000000"/>
                <w:sz w:val="20"/>
                <w:szCs w:val="20"/>
              </w:rPr>
            </w:pPr>
          </w:p>
        </w:tc>
      </w:tr>
      <w:tr w:rsidR="00D64593" w:rsidRPr="00301088" w14:paraId="16E18DFE" w14:textId="74E6DCF9"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left w:val="single" w:sz="4" w:space="0" w:color="auto"/>
              <w:bottom w:val="single" w:sz="4" w:space="0" w:color="auto"/>
            </w:tcBorders>
            <w:shd w:val="clear" w:color="auto" w:fill="auto"/>
            <w:noWrap/>
            <w:vAlign w:val="center"/>
            <w:hideMark/>
          </w:tcPr>
          <w:p w14:paraId="51E6ACE4" w14:textId="77777777" w:rsidR="00D64593" w:rsidRPr="00176862" w:rsidRDefault="00D64593" w:rsidP="00865FA1">
            <w:pPr>
              <w:rPr>
                <w:rFonts w:ascii="Arial" w:hAnsi="Arial" w:cs="Arial"/>
                <w:b/>
                <w:bCs/>
                <w:color w:val="000000"/>
                <w:sz w:val="20"/>
                <w:szCs w:val="20"/>
              </w:rPr>
            </w:pPr>
            <w:r w:rsidRPr="00176862">
              <w:rPr>
                <w:rFonts w:ascii="Arial" w:hAnsi="Arial" w:cs="Arial"/>
                <w:b/>
                <w:bCs/>
                <w:color w:val="000000"/>
                <w:sz w:val="20"/>
                <w:szCs w:val="20"/>
              </w:rPr>
              <w:t xml:space="preserve">           Total operating revenues</w:t>
            </w:r>
          </w:p>
        </w:tc>
        <w:tc>
          <w:tcPr>
            <w:tcW w:w="1530" w:type="dxa"/>
            <w:tcBorders>
              <w:bottom w:val="single" w:sz="4" w:space="0" w:color="auto"/>
            </w:tcBorders>
            <w:vAlign w:val="center"/>
          </w:tcPr>
          <w:p w14:paraId="6813AD73" w14:textId="6D419F9E" w:rsidR="00D64593" w:rsidRPr="00176862" w:rsidRDefault="00D64593" w:rsidP="00865FA1">
            <w:pPr>
              <w:jc w:val="right"/>
              <w:rPr>
                <w:rFonts w:ascii="Arial" w:hAnsi="Arial" w:cs="Arial"/>
                <w:b/>
                <w:bCs/>
                <w:color w:val="000000"/>
                <w:sz w:val="20"/>
                <w:szCs w:val="20"/>
              </w:rPr>
            </w:pPr>
            <w:r w:rsidRPr="00176862">
              <w:rPr>
                <w:rFonts w:ascii="Arial" w:hAnsi="Arial" w:cs="Arial"/>
                <w:b/>
                <w:bCs/>
                <w:color w:val="000000"/>
                <w:sz w:val="20"/>
                <w:szCs w:val="20"/>
              </w:rPr>
              <w:t>123,087,000</w:t>
            </w:r>
          </w:p>
        </w:tc>
        <w:tc>
          <w:tcPr>
            <w:tcW w:w="1530" w:type="dxa"/>
            <w:tcBorders>
              <w:bottom w:val="single" w:sz="4" w:space="0" w:color="auto"/>
            </w:tcBorders>
            <w:vAlign w:val="center"/>
          </w:tcPr>
          <w:p w14:paraId="55F20D69" w14:textId="0995679D" w:rsidR="00D64593" w:rsidRPr="00176862" w:rsidRDefault="00D64593" w:rsidP="00865FA1">
            <w:pPr>
              <w:jc w:val="right"/>
              <w:rPr>
                <w:rFonts w:ascii="Arial" w:hAnsi="Arial" w:cs="Arial"/>
                <w:b/>
                <w:bCs/>
                <w:color w:val="000000"/>
                <w:sz w:val="20"/>
                <w:szCs w:val="20"/>
              </w:rPr>
            </w:pPr>
            <w:r w:rsidRPr="00176862">
              <w:rPr>
                <w:rFonts w:ascii="Arial" w:hAnsi="Arial" w:cs="Arial"/>
                <w:b/>
                <w:bCs/>
                <w:color w:val="000000"/>
                <w:sz w:val="20"/>
                <w:szCs w:val="20"/>
              </w:rPr>
              <w:t>119,301,000</w:t>
            </w:r>
          </w:p>
        </w:tc>
        <w:tc>
          <w:tcPr>
            <w:tcW w:w="1530" w:type="dxa"/>
            <w:tcBorders>
              <w:bottom w:val="single" w:sz="4" w:space="0" w:color="auto"/>
            </w:tcBorders>
          </w:tcPr>
          <w:p w14:paraId="41F95FEB" w14:textId="43B4A536" w:rsidR="00D64593" w:rsidRPr="00176862" w:rsidRDefault="00D64593" w:rsidP="00865FA1">
            <w:pPr>
              <w:jc w:val="right"/>
              <w:rPr>
                <w:rFonts w:ascii="Arial" w:hAnsi="Arial" w:cs="Arial"/>
                <w:b/>
                <w:bCs/>
                <w:color w:val="000000"/>
                <w:sz w:val="20"/>
                <w:szCs w:val="20"/>
              </w:rPr>
            </w:pPr>
            <w:r w:rsidRPr="00176862">
              <w:rPr>
                <w:rFonts w:ascii="Arial" w:hAnsi="Arial" w:cs="Arial"/>
                <w:b/>
                <w:bCs/>
                <w:color w:val="000000"/>
                <w:sz w:val="20"/>
                <w:szCs w:val="20"/>
              </w:rPr>
              <w:t>125,569,000</w:t>
            </w:r>
          </w:p>
        </w:tc>
        <w:tc>
          <w:tcPr>
            <w:tcW w:w="1435" w:type="dxa"/>
            <w:tcBorders>
              <w:bottom w:val="single" w:sz="4" w:space="0" w:color="auto"/>
              <w:right w:val="single" w:sz="4" w:space="0" w:color="auto"/>
            </w:tcBorders>
          </w:tcPr>
          <w:p w14:paraId="57B838FD" w14:textId="78601DC1" w:rsidR="00D64593" w:rsidRPr="00176862" w:rsidRDefault="00D64593" w:rsidP="00865FA1">
            <w:pPr>
              <w:jc w:val="right"/>
              <w:rPr>
                <w:rFonts w:ascii="Arial" w:hAnsi="Arial" w:cs="Arial"/>
                <w:b/>
                <w:bCs/>
                <w:color w:val="000000"/>
                <w:sz w:val="20"/>
                <w:szCs w:val="20"/>
              </w:rPr>
            </w:pPr>
          </w:p>
        </w:tc>
      </w:tr>
      <w:tr w:rsidR="00865FA1" w:rsidRPr="00301088" w14:paraId="509A14B3" w14:textId="516F178D" w:rsidTr="00A850F7">
        <w:trPr>
          <w:trHeight w:val="212"/>
        </w:trPr>
        <w:tc>
          <w:tcPr>
            <w:tcW w:w="4045" w:type="dxa"/>
            <w:tcBorders>
              <w:top w:val="single" w:sz="4" w:space="0" w:color="auto"/>
              <w:left w:val="nil"/>
              <w:bottom w:val="single" w:sz="4" w:space="0" w:color="auto"/>
              <w:right w:val="nil"/>
            </w:tcBorders>
            <w:shd w:val="clear" w:color="auto" w:fill="000080"/>
            <w:vAlign w:val="center"/>
          </w:tcPr>
          <w:p w14:paraId="66111805" w14:textId="77777777" w:rsidR="00D64593" w:rsidRPr="00301088" w:rsidRDefault="00D64593" w:rsidP="00865FA1">
            <w:pPr>
              <w:rPr>
                <w:rFonts w:ascii="Arial" w:hAnsi="Arial" w:cs="Arial"/>
                <w:b/>
                <w:bCs/>
                <w:color w:val="FFFFFF"/>
                <w:sz w:val="20"/>
              </w:rPr>
            </w:pPr>
            <w:r>
              <w:rPr>
                <w:rFonts w:ascii="Arial" w:hAnsi="Arial" w:cs="Arial"/>
                <w:b/>
                <w:bCs/>
                <w:color w:val="FFFFFF"/>
                <w:sz w:val="20"/>
              </w:rPr>
              <w:t>Expenditure</w:t>
            </w:r>
          </w:p>
        </w:tc>
        <w:tc>
          <w:tcPr>
            <w:tcW w:w="1530" w:type="dxa"/>
            <w:tcBorders>
              <w:top w:val="single" w:sz="4" w:space="0" w:color="auto"/>
              <w:left w:val="nil"/>
              <w:bottom w:val="single" w:sz="4" w:space="0" w:color="auto"/>
              <w:right w:val="nil"/>
            </w:tcBorders>
            <w:shd w:val="clear" w:color="auto" w:fill="000080"/>
            <w:vAlign w:val="center"/>
          </w:tcPr>
          <w:p w14:paraId="23234FD4" w14:textId="2C836D6C" w:rsidR="00D64593" w:rsidRPr="00301088" w:rsidRDefault="00D64593" w:rsidP="00865FA1">
            <w:pPr>
              <w:jc w:val="right"/>
              <w:rPr>
                <w:rFonts w:ascii="Arial" w:hAnsi="Arial" w:cs="Arial"/>
                <w:b/>
                <w:bCs/>
                <w:color w:val="FFFFFF"/>
                <w:sz w:val="20"/>
              </w:rPr>
            </w:pPr>
            <w:r>
              <w:rPr>
                <w:rFonts w:ascii="Arial" w:hAnsi="Arial" w:cs="Arial"/>
                <w:b/>
                <w:bCs/>
                <w:color w:val="FFFFFF"/>
                <w:sz w:val="20"/>
              </w:rPr>
              <w:t>FY 2019</w:t>
            </w:r>
          </w:p>
        </w:tc>
        <w:tc>
          <w:tcPr>
            <w:tcW w:w="1530" w:type="dxa"/>
            <w:tcBorders>
              <w:top w:val="single" w:sz="4" w:space="0" w:color="auto"/>
              <w:left w:val="nil"/>
              <w:bottom w:val="single" w:sz="4" w:space="0" w:color="auto"/>
              <w:right w:val="nil"/>
            </w:tcBorders>
            <w:shd w:val="clear" w:color="auto" w:fill="000080"/>
            <w:vAlign w:val="center"/>
          </w:tcPr>
          <w:p w14:paraId="1CBA3529" w14:textId="345EBBA1" w:rsidR="00D64593" w:rsidRPr="00301088" w:rsidRDefault="00D64593" w:rsidP="00865FA1">
            <w:pPr>
              <w:jc w:val="right"/>
              <w:rPr>
                <w:rFonts w:ascii="Arial" w:hAnsi="Arial" w:cs="Arial"/>
                <w:b/>
                <w:bCs/>
                <w:color w:val="FFFFFF"/>
                <w:sz w:val="20"/>
              </w:rPr>
            </w:pPr>
            <w:r>
              <w:rPr>
                <w:rFonts w:ascii="Arial" w:hAnsi="Arial" w:cs="Arial"/>
                <w:b/>
                <w:bCs/>
                <w:color w:val="FFFFFF"/>
                <w:sz w:val="20"/>
              </w:rPr>
              <w:t>FY 2020</w:t>
            </w:r>
          </w:p>
        </w:tc>
        <w:tc>
          <w:tcPr>
            <w:tcW w:w="1530" w:type="dxa"/>
            <w:tcBorders>
              <w:top w:val="single" w:sz="4" w:space="0" w:color="auto"/>
              <w:left w:val="nil"/>
              <w:bottom w:val="single" w:sz="4" w:space="0" w:color="auto"/>
              <w:right w:val="nil"/>
            </w:tcBorders>
            <w:shd w:val="clear" w:color="auto" w:fill="000080"/>
            <w:vAlign w:val="center"/>
          </w:tcPr>
          <w:p w14:paraId="2E9621C3" w14:textId="56AB2611" w:rsidR="00D64593" w:rsidRPr="00301088" w:rsidRDefault="00D64593" w:rsidP="00865FA1">
            <w:pPr>
              <w:jc w:val="right"/>
              <w:rPr>
                <w:rFonts w:ascii="Arial" w:hAnsi="Arial" w:cs="Arial"/>
                <w:b/>
                <w:bCs/>
                <w:color w:val="FFFFFF"/>
                <w:sz w:val="20"/>
              </w:rPr>
            </w:pPr>
            <w:r>
              <w:rPr>
                <w:rFonts w:ascii="Arial" w:hAnsi="Arial" w:cs="Arial"/>
                <w:b/>
                <w:bCs/>
                <w:color w:val="FFFFFF"/>
                <w:sz w:val="20"/>
              </w:rPr>
              <w:t>FY 2021</w:t>
            </w:r>
          </w:p>
        </w:tc>
        <w:tc>
          <w:tcPr>
            <w:tcW w:w="1435" w:type="dxa"/>
            <w:tcBorders>
              <w:top w:val="single" w:sz="4" w:space="0" w:color="auto"/>
              <w:left w:val="nil"/>
              <w:bottom w:val="single" w:sz="4" w:space="0" w:color="auto"/>
              <w:right w:val="nil"/>
            </w:tcBorders>
            <w:shd w:val="clear" w:color="auto" w:fill="000080"/>
          </w:tcPr>
          <w:p w14:paraId="2DE76DAA" w14:textId="51F811DF" w:rsidR="00D64593" w:rsidRDefault="00D64593" w:rsidP="00865FA1">
            <w:pPr>
              <w:jc w:val="right"/>
              <w:rPr>
                <w:rFonts w:ascii="Arial" w:hAnsi="Arial" w:cs="Arial"/>
                <w:b/>
                <w:bCs/>
                <w:color w:val="FFFFFF"/>
                <w:sz w:val="20"/>
              </w:rPr>
            </w:pPr>
            <w:r>
              <w:rPr>
                <w:rFonts w:ascii="Arial" w:hAnsi="Arial" w:cs="Arial"/>
                <w:b/>
                <w:bCs/>
                <w:color w:val="FFFFFF"/>
                <w:sz w:val="20"/>
              </w:rPr>
              <w:t>FY2022</w:t>
            </w:r>
          </w:p>
        </w:tc>
      </w:tr>
      <w:tr w:rsidR="00D64593" w:rsidRPr="00301088" w14:paraId="3B703A96" w14:textId="2266ECC0"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single" w:sz="4" w:space="0" w:color="auto"/>
              <w:left w:val="single" w:sz="4" w:space="0" w:color="auto"/>
            </w:tcBorders>
            <w:shd w:val="clear" w:color="auto" w:fill="auto"/>
            <w:noWrap/>
            <w:vAlign w:val="center"/>
            <w:hideMark/>
          </w:tcPr>
          <w:p w14:paraId="4218EF38"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Operating expenses</w:t>
            </w:r>
          </w:p>
        </w:tc>
        <w:tc>
          <w:tcPr>
            <w:tcW w:w="1530" w:type="dxa"/>
            <w:tcBorders>
              <w:top w:val="single" w:sz="4" w:space="0" w:color="auto"/>
            </w:tcBorders>
            <w:vAlign w:val="center"/>
          </w:tcPr>
          <w:p w14:paraId="36D27796" w14:textId="74397C54"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252,645,000</w:t>
            </w:r>
          </w:p>
        </w:tc>
        <w:tc>
          <w:tcPr>
            <w:tcW w:w="1530" w:type="dxa"/>
            <w:tcBorders>
              <w:top w:val="single" w:sz="4" w:space="0" w:color="auto"/>
            </w:tcBorders>
            <w:vAlign w:val="center"/>
          </w:tcPr>
          <w:p w14:paraId="43427B7A" w14:textId="5C638E56"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253,036,000</w:t>
            </w:r>
          </w:p>
        </w:tc>
        <w:tc>
          <w:tcPr>
            <w:tcW w:w="1530" w:type="dxa"/>
            <w:tcBorders>
              <w:top w:val="single" w:sz="4" w:space="0" w:color="auto"/>
            </w:tcBorders>
          </w:tcPr>
          <w:p w14:paraId="6887C3D2" w14:textId="725861C4"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252,592,000</w:t>
            </w:r>
          </w:p>
        </w:tc>
        <w:tc>
          <w:tcPr>
            <w:tcW w:w="1435" w:type="dxa"/>
            <w:tcBorders>
              <w:top w:val="single" w:sz="4" w:space="0" w:color="auto"/>
              <w:right w:val="single" w:sz="4" w:space="0" w:color="auto"/>
            </w:tcBorders>
          </w:tcPr>
          <w:p w14:paraId="61953AFE" w14:textId="671D501E" w:rsidR="00D64593" w:rsidRPr="00176862" w:rsidRDefault="00D64593" w:rsidP="00865FA1">
            <w:pPr>
              <w:jc w:val="right"/>
              <w:rPr>
                <w:rFonts w:ascii="Arial" w:hAnsi="Arial" w:cs="Arial"/>
                <w:color w:val="000000"/>
                <w:sz w:val="20"/>
                <w:szCs w:val="20"/>
              </w:rPr>
            </w:pPr>
          </w:p>
        </w:tc>
      </w:tr>
      <w:tr w:rsidR="00D64593" w:rsidRPr="00301088" w14:paraId="4EAC38C1" w14:textId="350519C9"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left w:val="single" w:sz="4" w:space="0" w:color="auto"/>
              <w:bottom w:val="nil"/>
            </w:tcBorders>
            <w:shd w:val="clear" w:color="auto" w:fill="auto"/>
            <w:noWrap/>
            <w:vAlign w:val="center"/>
            <w:hideMark/>
          </w:tcPr>
          <w:p w14:paraId="5B846A87"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 xml:space="preserve">       Instruction</w:t>
            </w:r>
          </w:p>
        </w:tc>
        <w:tc>
          <w:tcPr>
            <w:tcW w:w="1530" w:type="dxa"/>
            <w:tcBorders>
              <w:bottom w:val="nil"/>
            </w:tcBorders>
            <w:vAlign w:val="center"/>
          </w:tcPr>
          <w:p w14:paraId="1227D07E" w14:textId="43AB84F4"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105,022,000</w:t>
            </w:r>
          </w:p>
        </w:tc>
        <w:tc>
          <w:tcPr>
            <w:tcW w:w="1530" w:type="dxa"/>
            <w:tcBorders>
              <w:bottom w:val="nil"/>
            </w:tcBorders>
            <w:vAlign w:val="center"/>
          </w:tcPr>
          <w:p w14:paraId="1C762E9F" w14:textId="26185C15"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103,887,000</w:t>
            </w:r>
          </w:p>
        </w:tc>
        <w:tc>
          <w:tcPr>
            <w:tcW w:w="1530" w:type="dxa"/>
            <w:tcBorders>
              <w:bottom w:val="nil"/>
            </w:tcBorders>
          </w:tcPr>
          <w:p w14:paraId="7CE740C1" w14:textId="0F916A7F"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101,192,000</w:t>
            </w:r>
          </w:p>
        </w:tc>
        <w:tc>
          <w:tcPr>
            <w:tcW w:w="1435" w:type="dxa"/>
            <w:tcBorders>
              <w:bottom w:val="nil"/>
              <w:right w:val="single" w:sz="4" w:space="0" w:color="auto"/>
            </w:tcBorders>
          </w:tcPr>
          <w:p w14:paraId="1FBB02FF" w14:textId="0B3AB77B" w:rsidR="00D64593" w:rsidRPr="00176862" w:rsidRDefault="00D64593" w:rsidP="00865FA1">
            <w:pPr>
              <w:jc w:val="right"/>
              <w:rPr>
                <w:rFonts w:ascii="Arial" w:hAnsi="Arial" w:cs="Arial"/>
                <w:color w:val="000000"/>
                <w:sz w:val="20"/>
                <w:szCs w:val="20"/>
              </w:rPr>
            </w:pPr>
          </w:p>
        </w:tc>
      </w:tr>
      <w:tr w:rsidR="00D64593" w:rsidRPr="00301088" w14:paraId="689508B3" w14:textId="646EB558"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nil"/>
            </w:tcBorders>
            <w:shd w:val="clear" w:color="auto" w:fill="auto"/>
            <w:noWrap/>
            <w:vAlign w:val="center"/>
            <w:hideMark/>
          </w:tcPr>
          <w:p w14:paraId="400A1BB4"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 xml:space="preserve">       Research</w:t>
            </w:r>
          </w:p>
        </w:tc>
        <w:tc>
          <w:tcPr>
            <w:tcW w:w="1530" w:type="dxa"/>
            <w:tcBorders>
              <w:top w:val="nil"/>
              <w:bottom w:val="nil"/>
            </w:tcBorders>
            <w:vAlign w:val="center"/>
          </w:tcPr>
          <w:p w14:paraId="46AECCBB" w14:textId="58AF4DF2"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14,878,000</w:t>
            </w:r>
          </w:p>
        </w:tc>
        <w:tc>
          <w:tcPr>
            <w:tcW w:w="1530" w:type="dxa"/>
            <w:tcBorders>
              <w:top w:val="nil"/>
              <w:bottom w:val="nil"/>
            </w:tcBorders>
            <w:vAlign w:val="center"/>
          </w:tcPr>
          <w:p w14:paraId="3AF10B49" w14:textId="584E2583"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13,173,000</w:t>
            </w:r>
          </w:p>
        </w:tc>
        <w:tc>
          <w:tcPr>
            <w:tcW w:w="1530" w:type="dxa"/>
            <w:tcBorders>
              <w:top w:val="nil"/>
              <w:bottom w:val="nil"/>
            </w:tcBorders>
          </w:tcPr>
          <w:p w14:paraId="4C4AB1D5" w14:textId="4902024F"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13,682,000</w:t>
            </w:r>
          </w:p>
        </w:tc>
        <w:tc>
          <w:tcPr>
            <w:tcW w:w="1435" w:type="dxa"/>
            <w:tcBorders>
              <w:top w:val="nil"/>
              <w:bottom w:val="nil"/>
              <w:right w:val="single" w:sz="4" w:space="0" w:color="auto"/>
            </w:tcBorders>
          </w:tcPr>
          <w:p w14:paraId="062FE077" w14:textId="00A54C09" w:rsidR="00D64593" w:rsidRPr="00176862" w:rsidRDefault="00D64593" w:rsidP="00865FA1">
            <w:pPr>
              <w:jc w:val="right"/>
              <w:rPr>
                <w:rFonts w:ascii="Arial" w:hAnsi="Arial" w:cs="Arial"/>
                <w:color w:val="000000"/>
                <w:sz w:val="20"/>
                <w:szCs w:val="20"/>
              </w:rPr>
            </w:pPr>
          </w:p>
        </w:tc>
      </w:tr>
      <w:tr w:rsidR="00D64593" w:rsidRPr="00301088" w14:paraId="774265FC" w14:textId="75C2F37E"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nil"/>
            </w:tcBorders>
            <w:shd w:val="clear" w:color="auto" w:fill="auto"/>
            <w:noWrap/>
            <w:vAlign w:val="center"/>
            <w:hideMark/>
          </w:tcPr>
          <w:p w14:paraId="387BB071"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 xml:space="preserve">       Public Services</w:t>
            </w:r>
          </w:p>
        </w:tc>
        <w:tc>
          <w:tcPr>
            <w:tcW w:w="1530" w:type="dxa"/>
            <w:tcBorders>
              <w:top w:val="nil"/>
              <w:bottom w:val="nil"/>
            </w:tcBorders>
            <w:vAlign w:val="center"/>
          </w:tcPr>
          <w:p w14:paraId="589E8CF1" w14:textId="6D1F63DE"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3,812,000</w:t>
            </w:r>
          </w:p>
        </w:tc>
        <w:tc>
          <w:tcPr>
            <w:tcW w:w="1530" w:type="dxa"/>
            <w:tcBorders>
              <w:top w:val="nil"/>
              <w:bottom w:val="nil"/>
            </w:tcBorders>
            <w:vAlign w:val="center"/>
          </w:tcPr>
          <w:p w14:paraId="5591DEA1" w14:textId="68472D50"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3,910,000</w:t>
            </w:r>
          </w:p>
        </w:tc>
        <w:tc>
          <w:tcPr>
            <w:tcW w:w="1530" w:type="dxa"/>
            <w:tcBorders>
              <w:top w:val="nil"/>
              <w:bottom w:val="nil"/>
            </w:tcBorders>
          </w:tcPr>
          <w:p w14:paraId="5816A19A" w14:textId="0DA24509"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5,094,000</w:t>
            </w:r>
          </w:p>
        </w:tc>
        <w:tc>
          <w:tcPr>
            <w:tcW w:w="1435" w:type="dxa"/>
            <w:tcBorders>
              <w:top w:val="nil"/>
              <w:bottom w:val="nil"/>
              <w:right w:val="single" w:sz="4" w:space="0" w:color="auto"/>
            </w:tcBorders>
          </w:tcPr>
          <w:p w14:paraId="530426CD" w14:textId="26CD2D19" w:rsidR="00D64593" w:rsidRPr="00176862" w:rsidRDefault="00D64593" w:rsidP="00865FA1">
            <w:pPr>
              <w:jc w:val="right"/>
              <w:rPr>
                <w:rFonts w:ascii="Arial" w:hAnsi="Arial" w:cs="Arial"/>
                <w:color w:val="000000"/>
                <w:sz w:val="20"/>
                <w:szCs w:val="20"/>
              </w:rPr>
            </w:pPr>
          </w:p>
        </w:tc>
      </w:tr>
      <w:tr w:rsidR="00D64593" w:rsidRPr="00301088" w14:paraId="36916ABB" w14:textId="61517464"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nil"/>
            </w:tcBorders>
            <w:shd w:val="clear" w:color="auto" w:fill="auto"/>
            <w:noWrap/>
            <w:vAlign w:val="center"/>
            <w:hideMark/>
          </w:tcPr>
          <w:p w14:paraId="494F7AF8"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 xml:space="preserve">       Academic Support</w:t>
            </w:r>
          </w:p>
        </w:tc>
        <w:tc>
          <w:tcPr>
            <w:tcW w:w="1530" w:type="dxa"/>
            <w:tcBorders>
              <w:top w:val="nil"/>
              <w:bottom w:val="nil"/>
            </w:tcBorders>
            <w:vAlign w:val="center"/>
          </w:tcPr>
          <w:p w14:paraId="2A830C4B" w14:textId="253F1E1F"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18,224,000</w:t>
            </w:r>
          </w:p>
        </w:tc>
        <w:tc>
          <w:tcPr>
            <w:tcW w:w="1530" w:type="dxa"/>
            <w:tcBorders>
              <w:top w:val="nil"/>
              <w:bottom w:val="nil"/>
            </w:tcBorders>
            <w:vAlign w:val="center"/>
          </w:tcPr>
          <w:p w14:paraId="007B57F7" w14:textId="0173596B"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18,285,000</w:t>
            </w:r>
          </w:p>
        </w:tc>
        <w:tc>
          <w:tcPr>
            <w:tcW w:w="1530" w:type="dxa"/>
            <w:tcBorders>
              <w:top w:val="nil"/>
              <w:bottom w:val="nil"/>
            </w:tcBorders>
          </w:tcPr>
          <w:p w14:paraId="16EA537C" w14:textId="4139FC4B"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17,011,000</w:t>
            </w:r>
          </w:p>
        </w:tc>
        <w:tc>
          <w:tcPr>
            <w:tcW w:w="1435" w:type="dxa"/>
            <w:tcBorders>
              <w:top w:val="nil"/>
              <w:bottom w:val="nil"/>
              <w:right w:val="single" w:sz="4" w:space="0" w:color="auto"/>
            </w:tcBorders>
          </w:tcPr>
          <w:p w14:paraId="0CEB0C14" w14:textId="38E086D0" w:rsidR="00D64593" w:rsidRPr="00176862" w:rsidRDefault="00D64593" w:rsidP="00865FA1">
            <w:pPr>
              <w:jc w:val="right"/>
              <w:rPr>
                <w:rFonts w:ascii="Arial" w:hAnsi="Arial" w:cs="Arial"/>
                <w:color w:val="000000"/>
                <w:sz w:val="20"/>
                <w:szCs w:val="20"/>
              </w:rPr>
            </w:pPr>
          </w:p>
        </w:tc>
      </w:tr>
      <w:tr w:rsidR="00D64593" w:rsidRPr="00301088" w14:paraId="041274E8" w14:textId="303B1663"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nil"/>
            </w:tcBorders>
            <w:shd w:val="clear" w:color="auto" w:fill="auto"/>
            <w:noWrap/>
            <w:vAlign w:val="center"/>
            <w:hideMark/>
          </w:tcPr>
          <w:p w14:paraId="03B84D22"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 xml:space="preserve">       Libraries</w:t>
            </w:r>
          </w:p>
        </w:tc>
        <w:tc>
          <w:tcPr>
            <w:tcW w:w="1530" w:type="dxa"/>
            <w:tcBorders>
              <w:top w:val="nil"/>
              <w:bottom w:val="nil"/>
            </w:tcBorders>
            <w:vAlign w:val="center"/>
          </w:tcPr>
          <w:p w14:paraId="05BA1A87" w14:textId="68909958"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3,776,000</w:t>
            </w:r>
          </w:p>
        </w:tc>
        <w:tc>
          <w:tcPr>
            <w:tcW w:w="1530" w:type="dxa"/>
            <w:tcBorders>
              <w:top w:val="nil"/>
              <w:bottom w:val="nil"/>
            </w:tcBorders>
            <w:vAlign w:val="center"/>
          </w:tcPr>
          <w:p w14:paraId="4F984FA9" w14:textId="0E57B0F2"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3,812,000</w:t>
            </w:r>
          </w:p>
        </w:tc>
        <w:tc>
          <w:tcPr>
            <w:tcW w:w="1530" w:type="dxa"/>
            <w:tcBorders>
              <w:top w:val="nil"/>
              <w:bottom w:val="nil"/>
            </w:tcBorders>
          </w:tcPr>
          <w:p w14:paraId="2134DD17" w14:textId="552BDD93"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3,492,000</w:t>
            </w:r>
          </w:p>
        </w:tc>
        <w:tc>
          <w:tcPr>
            <w:tcW w:w="1435" w:type="dxa"/>
            <w:tcBorders>
              <w:top w:val="nil"/>
              <w:bottom w:val="nil"/>
              <w:right w:val="single" w:sz="4" w:space="0" w:color="auto"/>
            </w:tcBorders>
          </w:tcPr>
          <w:p w14:paraId="65D69381" w14:textId="769724AC" w:rsidR="00D64593" w:rsidRPr="00176862" w:rsidRDefault="00D64593" w:rsidP="00865FA1">
            <w:pPr>
              <w:jc w:val="right"/>
              <w:rPr>
                <w:rFonts w:ascii="Arial" w:hAnsi="Arial" w:cs="Arial"/>
                <w:color w:val="000000"/>
                <w:sz w:val="20"/>
                <w:szCs w:val="20"/>
              </w:rPr>
            </w:pPr>
          </w:p>
        </w:tc>
      </w:tr>
      <w:tr w:rsidR="00D64593" w:rsidRPr="00301088" w14:paraId="4DE6B78F" w14:textId="73E596E6"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nil"/>
            </w:tcBorders>
            <w:shd w:val="clear" w:color="auto" w:fill="auto"/>
            <w:noWrap/>
            <w:vAlign w:val="center"/>
            <w:hideMark/>
          </w:tcPr>
          <w:p w14:paraId="531B8893"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 xml:space="preserve">       Student Services</w:t>
            </w:r>
          </w:p>
        </w:tc>
        <w:tc>
          <w:tcPr>
            <w:tcW w:w="1530" w:type="dxa"/>
            <w:tcBorders>
              <w:top w:val="nil"/>
              <w:bottom w:val="nil"/>
            </w:tcBorders>
            <w:vAlign w:val="center"/>
          </w:tcPr>
          <w:p w14:paraId="31D42E30" w14:textId="0EE029F2"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10,490,000</w:t>
            </w:r>
          </w:p>
        </w:tc>
        <w:tc>
          <w:tcPr>
            <w:tcW w:w="1530" w:type="dxa"/>
            <w:tcBorders>
              <w:top w:val="nil"/>
              <w:bottom w:val="nil"/>
            </w:tcBorders>
            <w:vAlign w:val="center"/>
          </w:tcPr>
          <w:p w14:paraId="33FCA27B" w14:textId="48B5DEB6"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11,001,000</w:t>
            </w:r>
          </w:p>
        </w:tc>
        <w:tc>
          <w:tcPr>
            <w:tcW w:w="1530" w:type="dxa"/>
            <w:tcBorders>
              <w:top w:val="nil"/>
              <w:bottom w:val="nil"/>
            </w:tcBorders>
          </w:tcPr>
          <w:p w14:paraId="7DF2279D" w14:textId="042DD5FF"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11,289,000</w:t>
            </w:r>
          </w:p>
        </w:tc>
        <w:tc>
          <w:tcPr>
            <w:tcW w:w="1435" w:type="dxa"/>
            <w:tcBorders>
              <w:top w:val="nil"/>
              <w:bottom w:val="nil"/>
              <w:right w:val="single" w:sz="4" w:space="0" w:color="auto"/>
            </w:tcBorders>
          </w:tcPr>
          <w:p w14:paraId="49DAE9FE" w14:textId="49D018B1" w:rsidR="00D64593" w:rsidRPr="00176862" w:rsidRDefault="00D64593" w:rsidP="00865FA1">
            <w:pPr>
              <w:jc w:val="right"/>
              <w:rPr>
                <w:rFonts w:ascii="Arial" w:hAnsi="Arial" w:cs="Arial"/>
                <w:color w:val="000000"/>
                <w:sz w:val="20"/>
                <w:szCs w:val="20"/>
              </w:rPr>
            </w:pPr>
          </w:p>
        </w:tc>
      </w:tr>
      <w:tr w:rsidR="00D64593" w:rsidRPr="00301088" w14:paraId="216AD0FC" w14:textId="6E4F999A"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nil"/>
            </w:tcBorders>
            <w:shd w:val="clear" w:color="auto" w:fill="auto"/>
            <w:noWrap/>
            <w:vAlign w:val="center"/>
            <w:hideMark/>
          </w:tcPr>
          <w:p w14:paraId="271CB6CD"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 xml:space="preserve">       Institutional Support</w:t>
            </w:r>
          </w:p>
        </w:tc>
        <w:tc>
          <w:tcPr>
            <w:tcW w:w="1530" w:type="dxa"/>
            <w:tcBorders>
              <w:top w:val="nil"/>
              <w:bottom w:val="nil"/>
            </w:tcBorders>
            <w:vAlign w:val="center"/>
          </w:tcPr>
          <w:p w14:paraId="21EC70F9" w14:textId="6D773DFF"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25,874,000</w:t>
            </w:r>
          </w:p>
        </w:tc>
        <w:tc>
          <w:tcPr>
            <w:tcW w:w="1530" w:type="dxa"/>
            <w:tcBorders>
              <w:top w:val="nil"/>
              <w:bottom w:val="nil"/>
            </w:tcBorders>
            <w:vAlign w:val="center"/>
          </w:tcPr>
          <w:p w14:paraId="06B6B91B" w14:textId="12925FD8"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30,662,000</w:t>
            </w:r>
          </w:p>
        </w:tc>
        <w:tc>
          <w:tcPr>
            <w:tcW w:w="1530" w:type="dxa"/>
            <w:tcBorders>
              <w:top w:val="nil"/>
              <w:bottom w:val="nil"/>
            </w:tcBorders>
          </w:tcPr>
          <w:p w14:paraId="2AE80093" w14:textId="14738CDB"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32,573,000</w:t>
            </w:r>
          </w:p>
        </w:tc>
        <w:tc>
          <w:tcPr>
            <w:tcW w:w="1435" w:type="dxa"/>
            <w:tcBorders>
              <w:top w:val="nil"/>
              <w:bottom w:val="nil"/>
              <w:right w:val="single" w:sz="4" w:space="0" w:color="auto"/>
            </w:tcBorders>
          </w:tcPr>
          <w:p w14:paraId="7EC48B19" w14:textId="278CD64C" w:rsidR="00D64593" w:rsidRPr="00176862" w:rsidRDefault="00D64593" w:rsidP="00865FA1">
            <w:pPr>
              <w:jc w:val="right"/>
              <w:rPr>
                <w:rFonts w:ascii="Arial" w:hAnsi="Arial" w:cs="Arial"/>
                <w:color w:val="000000"/>
                <w:sz w:val="20"/>
                <w:szCs w:val="20"/>
              </w:rPr>
            </w:pPr>
          </w:p>
        </w:tc>
      </w:tr>
      <w:tr w:rsidR="00D64593" w:rsidRPr="00301088" w14:paraId="5EE485C8" w14:textId="55193C7C"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nil"/>
            </w:tcBorders>
            <w:shd w:val="clear" w:color="auto" w:fill="auto"/>
            <w:noWrap/>
            <w:vAlign w:val="center"/>
            <w:hideMark/>
          </w:tcPr>
          <w:p w14:paraId="19E01543"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 xml:space="preserve">       Maintenance &amp; Operations</w:t>
            </w:r>
          </w:p>
        </w:tc>
        <w:tc>
          <w:tcPr>
            <w:tcW w:w="1530" w:type="dxa"/>
            <w:tcBorders>
              <w:top w:val="nil"/>
              <w:bottom w:val="nil"/>
            </w:tcBorders>
            <w:vAlign w:val="center"/>
          </w:tcPr>
          <w:p w14:paraId="3FA615D0" w14:textId="2FEF678E"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18,666,000</w:t>
            </w:r>
          </w:p>
        </w:tc>
        <w:tc>
          <w:tcPr>
            <w:tcW w:w="1530" w:type="dxa"/>
            <w:tcBorders>
              <w:top w:val="nil"/>
              <w:bottom w:val="nil"/>
            </w:tcBorders>
            <w:vAlign w:val="center"/>
          </w:tcPr>
          <w:p w14:paraId="619F953E" w14:textId="0E647CB2"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17,473,000</w:t>
            </w:r>
          </w:p>
        </w:tc>
        <w:tc>
          <w:tcPr>
            <w:tcW w:w="1530" w:type="dxa"/>
            <w:tcBorders>
              <w:top w:val="nil"/>
              <w:bottom w:val="nil"/>
            </w:tcBorders>
          </w:tcPr>
          <w:p w14:paraId="422D4CB5" w14:textId="40105E6E"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15,291,000</w:t>
            </w:r>
          </w:p>
        </w:tc>
        <w:tc>
          <w:tcPr>
            <w:tcW w:w="1435" w:type="dxa"/>
            <w:tcBorders>
              <w:top w:val="nil"/>
              <w:bottom w:val="nil"/>
              <w:right w:val="single" w:sz="4" w:space="0" w:color="auto"/>
            </w:tcBorders>
          </w:tcPr>
          <w:p w14:paraId="44324B5F" w14:textId="031789E7" w:rsidR="00D64593" w:rsidRPr="00176862" w:rsidRDefault="00D64593" w:rsidP="00865FA1">
            <w:pPr>
              <w:jc w:val="right"/>
              <w:rPr>
                <w:rFonts w:ascii="Arial" w:hAnsi="Arial" w:cs="Arial"/>
                <w:color w:val="000000"/>
                <w:sz w:val="20"/>
                <w:szCs w:val="20"/>
              </w:rPr>
            </w:pPr>
          </w:p>
        </w:tc>
      </w:tr>
      <w:tr w:rsidR="00D64593" w:rsidRPr="00301088" w14:paraId="162D23A6" w14:textId="58824BAF"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nil"/>
            </w:tcBorders>
            <w:shd w:val="clear" w:color="auto" w:fill="auto"/>
            <w:noWrap/>
            <w:vAlign w:val="center"/>
            <w:hideMark/>
          </w:tcPr>
          <w:p w14:paraId="7FED352D"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 xml:space="preserve">       Auxiliary Enterprises</w:t>
            </w:r>
          </w:p>
        </w:tc>
        <w:tc>
          <w:tcPr>
            <w:tcW w:w="1530" w:type="dxa"/>
            <w:tcBorders>
              <w:top w:val="nil"/>
              <w:bottom w:val="nil"/>
            </w:tcBorders>
            <w:vAlign w:val="center"/>
          </w:tcPr>
          <w:p w14:paraId="79E4CCEF" w14:textId="4F036A6A"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25,243,000</w:t>
            </w:r>
          </w:p>
        </w:tc>
        <w:tc>
          <w:tcPr>
            <w:tcW w:w="1530" w:type="dxa"/>
            <w:tcBorders>
              <w:top w:val="nil"/>
              <w:bottom w:val="nil"/>
            </w:tcBorders>
            <w:vAlign w:val="center"/>
          </w:tcPr>
          <w:p w14:paraId="5996D4AC" w14:textId="51165726"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22,599,000</w:t>
            </w:r>
          </w:p>
        </w:tc>
        <w:tc>
          <w:tcPr>
            <w:tcW w:w="1530" w:type="dxa"/>
            <w:tcBorders>
              <w:top w:val="nil"/>
              <w:bottom w:val="nil"/>
            </w:tcBorders>
          </w:tcPr>
          <w:p w14:paraId="0A69C166" w14:textId="611A2332"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19,505,000</w:t>
            </w:r>
          </w:p>
        </w:tc>
        <w:tc>
          <w:tcPr>
            <w:tcW w:w="1435" w:type="dxa"/>
            <w:tcBorders>
              <w:top w:val="nil"/>
              <w:bottom w:val="nil"/>
              <w:right w:val="single" w:sz="4" w:space="0" w:color="auto"/>
            </w:tcBorders>
          </w:tcPr>
          <w:p w14:paraId="199E600E" w14:textId="1DBBC0D0" w:rsidR="00D64593" w:rsidRPr="00176862" w:rsidRDefault="00D64593" w:rsidP="00865FA1">
            <w:pPr>
              <w:jc w:val="right"/>
              <w:rPr>
                <w:rFonts w:ascii="Arial" w:hAnsi="Arial" w:cs="Arial"/>
                <w:color w:val="000000"/>
                <w:sz w:val="20"/>
                <w:szCs w:val="20"/>
              </w:rPr>
            </w:pPr>
          </w:p>
        </w:tc>
      </w:tr>
      <w:tr w:rsidR="00D64593" w:rsidRPr="00301088" w14:paraId="06925B62" w14:textId="6BD7A6A4"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tcBorders>
            <w:shd w:val="clear" w:color="auto" w:fill="auto"/>
            <w:noWrap/>
            <w:vAlign w:val="center"/>
            <w:hideMark/>
          </w:tcPr>
          <w:p w14:paraId="5CBD569E"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Scholarships and Fellowships</w:t>
            </w:r>
          </w:p>
        </w:tc>
        <w:tc>
          <w:tcPr>
            <w:tcW w:w="1530" w:type="dxa"/>
            <w:tcBorders>
              <w:top w:val="nil"/>
              <w:bottom w:val="nil"/>
            </w:tcBorders>
            <w:vAlign w:val="center"/>
          </w:tcPr>
          <w:p w14:paraId="295746A2" w14:textId="42C51F90"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13,993,000</w:t>
            </w:r>
          </w:p>
        </w:tc>
        <w:tc>
          <w:tcPr>
            <w:tcW w:w="1530" w:type="dxa"/>
            <w:tcBorders>
              <w:top w:val="nil"/>
              <w:bottom w:val="nil"/>
            </w:tcBorders>
            <w:vAlign w:val="center"/>
          </w:tcPr>
          <w:p w14:paraId="143D718C" w14:textId="1F58AE75"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15,855,000</w:t>
            </w:r>
          </w:p>
        </w:tc>
        <w:tc>
          <w:tcPr>
            <w:tcW w:w="1530" w:type="dxa"/>
            <w:tcBorders>
              <w:top w:val="nil"/>
              <w:bottom w:val="nil"/>
            </w:tcBorders>
          </w:tcPr>
          <w:p w14:paraId="1439C049" w14:textId="28297B7F"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21,277,000</w:t>
            </w:r>
          </w:p>
        </w:tc>
        <w:tc>
          <w:tcPr>
            <w:tcW w:w="1435" w:type="dxa"/>
            <w:tcBorders>
              <w:top w:val="nil"/>
              <w:bottom w:val="nil"/>
              <w:right w:val="single" w:sz="4" w:space="0" w:color="auto"/>
            </w:tcBorders>
          </w:tcPr>
          <w:p w14:paraId="4B20CC33" w14:textId="6A63AD0D" w:rsidR="00D64593" w:rsidRPr="00176862" w:rsidRDefault="00D64593" w:rsidP="00865FA1">
            <w:pPr>
              <w:jc w:val="right"/>
              <w:rPr>
                <w:rFonts w:ascii="Arial" w:hAnsi="Arial" w:cs="Arial"/>
                <w:color w:val="000000"/>
                <w:sz w:val="20"/>
                <w:szCs w:val="20"/>
              </w:rPr>
            </w:pPr>
          </w:p>
        </w:tc>
      </w:tr>
      <w:tr w:rsidR="00D64593" w:rsidRPr="00301088" w14:paraId="1E86AA63" w14:textId="4446ACA6"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tcBorders>
            <w:shd w:val="clear" w:color="auto" w:fill="auto"/>
            <w:noWrap/>
            <w:vAlign w:val="center"/>
            <w:hideMark/>
          </w:tcPr>
          <w:p w14:paraId="37C86E2F"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 xml:space="preserve">        Depreciation</w:t>
            </w:r>
          </w:p>
        </w:tc>
        <w:tc>
          <w:tcPr>
            <w:tcW w:w="1530" w:type="dxa"/>
            <w:tcBorders>
              <w:top w:val="nil"/>
            </w:tcBorders>
            <w:vAlign w:val="center"/>
          </w:tcPr>
          <w:p w14:paraId="390D6043" w14:textId="5A738B6E"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12,667,000</w:t>
            </w:r>
          </w:p>
        </w:tc>
        <w:tc>
          <w:tcPr>
            <w:tcW w:w="1530" w:type="dxa"/>
            <w:tcBorders>
              <w:top w:val="nil"/>
            </w:tcBorders>
            <w:vAlign w:val="center"/>
          </w:tcPr>
          <w:p w14:paraId="5132CB72" w14:textId="1DB8E211"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12,379,000</w:t>
            </w:r>
          </w:p>
        </w:tc>
        <w:tc>
          <w:tcPr>
            <w:tcW w:w="1530" w:type="dxa"/>
            <w:tcBorders>
              <w:top w:val="nil"/>
            </w:tcBorders>
          </w:tcPr>
          <w:p w14:paraId="24B3BDD7" w14:textId="58C55741"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12,186,000</w:t>
            </w:r>
          </w:p>
        </w:tc>
        <w:tc>
          <w:tcPr>
            <w:tcW w:w="1435" w:type="dxa"/>
            <w:tcBorders>
              <w:top w:val="nil"/>
              <w:right w:val="single" w:sz="4" w:space="0" w:color="auto"/>
            </w:tcBorders>
          </w:tcPr>
          <w:p w14:paraId="665A3A43" w14:textId="477FC275" w:rsidR="00D64593" w:rsidRPr="00176862" w:rsidRDefault="00D64593" w:rsidP="00865FA1">
            <w:pPr>
              <w:jc w:val="right"/>
              <w:rPr>
                <w:rFonts w:ascii="Arial" w:hAnsi="Arial" w:cs="Arial"/>
                <w:color w:val="000000"/>
                <w:sz w:val="20"/>
                <w:szCs w:val="20"/>
              </w:rPr>
            </w:pPr>
          </w:p>
        </w:tc>
      </w:tr>
      <w:tr w:rsidR="00D64593" w:rsidRPr="00301088" w14:paraId="55B007BE" w14:textId="2E7A1400"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left w:val="single" w:sz="4" w:space="0" w:color="auto"/>
            </w:tcBorders>
            <w:shd w:val="clear" w:color="auto" w:fill="auto"/>
            <w:noWrap/>
            <w:vAlign w:val="center"/>
            <w:hideMark/>
          </w:tcPr>
          <w:p w14:paraId="2F43642B"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 xml:space="preserve">        Operating income/(loss)</w:t>
            </w:r>
          </w:p>
        </w:tc>
        <w:tc>
          <w:tcPr>
            <w:tcW w:w="1530" w:type="dxa"/>
            <w:vAlign w:val="center"/>
          </w:tcPr>
          <w:p w14:paraId="4570B584" w14:textId="25B1317B"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(129,558,000)</w:t>
            </w:r>
          </w:p>
        </w:tc>
        <w:tc>
          <w:tcPr>
            <w:tcW w:w="1530" w:type="dxa"/>
            <w:vAlign w:val="center"/>
          </w:tcPr>
          <w:p w14:paraId="0FF05FB9" w14:textId="19C3FF7F"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(134,735,000)</w:t>
            </w:r>
          </w:p>
        </w:tc>
        <w:tc>
          <w:tcPr>
            <w:tcW w:w="1530" w:type="dxa"/>
          </w:tcPr>
          <w:p w14:paraId="1394FCB9" w14:textId="0F2D6D60"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(127,023,000)</w:t>
            </w:r>
          </w:p>
        </w:tc>
        <w:tc>
          <w:tcPr>
            <w:tcW w:w="1435" w:type="dxa"/>
            <w:tcBorders>
              <w:right w:val="single" w:sz="4" w:space="0" w:color="auto"/>
            </w:tcBorders>
          </w:tcPr>
          <w:p w14:paraId="1C5E20EA" w14:textId="6EF72681" w:rsidR="00D64593" w:rsidRPr="00176862" w:rsidRDefault="00D64593" w:rsidP="00865FA1">
            <w:pPr>
              <w:jc w:val="right"/>
              <w:rPr>
                <w:rFonts w:ascii="Arial" w:hAnsi="Arial" w:cs="Arial"/>
                <w:color w:val="000000"/>
                <w:sz w:val="20"/>
                <w:szCs w:val="20"/>
              </w:rPr>
            </w:pPr>
          </w:p>
        </w:tc>
      </w:tr>
      <w:tr w:rsidR="00D64593" w:rsidRPr="00301088" w14:paraId="4E466075" w14:textId="62216D79"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6"/>
        </w:trPr>
        <w:tc>
          <w:tcPr>
            <w:tcW w:w="4045" w:type="dxa"/>
            <w:tcBorders>
              <w:left w:val="single" w:sz="4" w:space="0" w:color="auto"/>
            </w:tcBorders>
            <w:shd w:val="clear" w:color="auto" w:fill="auto"/>
            <w:noWrap/>
            <w:vAlign w:val="center"/>
            <w:hideMark/>
          </w:tcPr>
          <w:p w14:paraId="5D25E940"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Nonoperating revenues/(expenses)</w:t>
            </w:r>
          </w:p>
        </w:tc>
        <w:tc>
          <w:tcPr>
            <w:tcW w:w="1530" w:type="dxa"/>
            <w:tcBorders>
              <w:bottom w:val="nil"/>
            </w:tcBorders>
            <w:vAlign w:val="center"/>
          </w:tcPr>
          <w:p w14:paraId="400DC7C6" w14:textId="77777777" w:rsidR="00D64593" w:rsidRPr="00176862" w:rsidRDefault="00D64593" w:rsidP="00865FA1">
            <w:pPr>
              <w:jc w:val="right"/>
              <w:rPr>
                <w:rFonts w:ascii="Arial" w:hAnsi="Arial" w:cs="Arial"/>
                <w:color w:val="000000"/>
                <w:sz w:val="20"/>
                <w:szCs w:val="20"/>
              </w:rPr>
            </w:pPr>
          </w:p>
        </w:tc>
        <w:tc>
          <w:tcPr>
            <w:tcW w:w="1530" w:type="dxa"/>
            <w:tcBorders>
              <w:bottom w:val="nil"/>
            </w:tcBorders>
            <w:vAlign w:val="center"/>
          </w:tcPr>
          <w:p w14:paraId="6BB5D7BC" w14:textId="77777777" w:rsidR="00D64593" w:rsidRPr="00176862" w:rsidRDefault="00D64593" w:rsidP="00865FA1">
            <w:pPr>
              <w:jc w:val="right"/>
              <w:rPr>
                <w:rFonts w:ascii="Arial" w:hAnsi="Arial" w:cs="Arial"/>
                <w:color w:val="000000"/>
                <w:sz w:val="20"/>
                <w:szCs w:val="20"/>
              </w:rPr>
            </w:pPr>
          </w:p>
        </w:tc>
        <w:tc>
          <w:tcPr>
            <w:tcW w:w="1530" w:type="dxa"/>
            <w:tcBorders>
              <w:bottom w:val="nil"/>
            </w:tcBorders>
          </w:tcPr>
          <w:p w14:paraId="3A223B36" w14:textId="77777777" w:rsidR="00D64593" w:rsidRPr="00176862" w:rsidRDefault="00D64593" w:rsidP="00865FA1">
            <w:pPr>
              <w:jc w:val="right"/>
              <w:rPr>
                <w:rFonts w:ascii="Arial" w:hAnsi="Arial" w:cs="Arial"/>
                <w:color w:val="000000"/>
                <w:sz w:val="20"/>
                <w:szCs w:val="20"/>
              </w:rPr>
            </w:pPr>
          </w:p>
        </w:tc>
        <w:tc>
          <w:tcPr>
            <w:tcW w:w="1435" w:type="dxa"/>
            <w:tcBorders>
              <w:bottom w:val="nil"/>
              <w:right w:val="single" w:sz="4" w:space="0" w:color="auto"/>
            </w:tcBorders>
          </w:tcPr>
          <w:p w14:paraId="3771AB33" w14:textId="77777777" w:rsidR="00D64593" w:rsidRPr="00176862" w:rsidRDefault="00D64593" w:rsidP="00865FA1">
            <w:pPr>
              <w:jc w:val="right"/>
              <w:rPr>
                <w:rFonts w:ascii="Arial" w:hAnsi="Arial" w:cs="Arial"/>
                <w:color w:val="000000"/>
                <w:sz w:val="20"/>
                <w:szCs w:val="20"/>
              </w:rPr>
            </w:pPr>
          </w:p>
        </w:tc>
      </w:tr>
      <w:tr w:rsidR="00D64593" w:rsidRPr="00301088" w14:paraId="5CDEA016" w14:textId="1EC1A11D"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tcBorders>
            <w:shd w:val="clear" w:color="auto" w:fill="auto"/>
            <w:noWrap/>
            <w:vAlign w:val="center"/>
            <w:hideMark/>
          </w:tcPr>
          <w:p w14:paraId="7CEF3A2C"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 xml:space="preserve">     State appropriations:</w:t>
            </w:r>
          </w:p>
        </w:tc>
        <w:tc>
          <w:tcPr>
            <w:tcW w:w="1530" w:type="dxa"/>
            <w:tcBorders>
              <w:top w:val="nil"/>
            </w:tcBorders>
            <w:vAlign w:val="center"/>
          </w:tcPr>
          <w:p w14:paraId="555785F6" w14:textId="5CC9C53A"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100,023,000</w:t>
            </w:r>
          </w:p>
        </w:tc>
        <w:tc>
          <w:tcPr>
            <w:tcW w:w="1530" w:type="dxa"/>
            <w:tcBorders>
              <w:top w:val="nil"/>
            </w:tcBorders>
            <w:vAlign w:val="center"/>
          </w:tcPr>
          <w:p w14:paraId="19BB0118" w14:textId="43A03B9B"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102,269,000</w:t>
            </w:r>
          </w:p>
        </w:tc>
        <w:tc>
          <w:tcPr>
            <w:tcW w:w="1530" w:type="dxa"/>
            <w:tcBorders>
              <w:top w:val="nil"/>
            </w:tcBorders>
          </w:tcPr>
          <w:p w14:paraId="3625A2AD" w14:textId="751B749C"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96,766,000</w:t>
            </w:r>
          </w:p>
        </w:tc>
        <w:tc>
          <w:tcPr>
            <w:tcW w:w="1435" w:type="dxa"/>
            <w:tcBorders>
              <w:top w:val="nil"/>
              <w:right w:val="single" w:sz="4" w:space="0" w:color="auto"/>
            </w:tcBorders>
          </w:tcPr>
          <w:p w14:paraId="054EAA5C" w14:textId="62BFD78F" w:rsidR="00D64593" w:rsidRPr="00176862" w:rsidRDefault="00D64593" w:rsidP="00865FA1">
            <w:pPr>
              <w:jc w:val="right"/>
              <w:rPr>
                <w:rFonts w:ascii="Arial" w:hAnsi="Arial" w:cs="Arial"/>
                <w:color w:val="000000"/>
                <w:sz w:val="20"/>
                <w:szCs w:val="20"/>
              </w:rPr>
            </w:pPr>
          </w:p>
        </w:tc>
      </w:tr>
      <w:tr w:rsidR="00D64593" w:rsidRPr="00301088" w14:paraId="02E9B834" w14:textId="35EA3036"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left w:val="single" w:sz="4" w:space="0" w:color="auto"/>
              <w:bottom w:val="nil"/>
            </w:tcBorders>
            <w:shd w:val="clear" w:color="auto" w:fill="auto"/>
            <w:noWrap/>
            <w:vAlign w:val="center"/>
            <w:hideMark/>
          </w:tcPr>
          <w:p w14:paraId="63B052A4"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 xml:space="preserve">         State General Account</w:t>
            </w:r>
          </w:p>
        </w:tc>
        <w:tc>
          <w:tcPr>
            <w:tcW w:w="1530" w:type="dxa"/>
            <w:tcBorders>
              <w:bottom w:val="nil"/>
            </w:tcBorders>
            <w:vAlign w:val="center"/>
          </w:tcPr>
          <w:p w14:paraId="2ABD5D6B" w14:textId="39557391"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80,244,000</w:t>
            </w:r>
          </w:p>
        </w:tc>
        <w:tc>
          <w:tcPr>
            <w:tcW w:w="1530" w:type="dxa"/>
            <w:tcBorders>
              <w:bottom w:val="nil"/>
            </w:tcBorders>
            <w:vAlign w:val="center"/>
          </w:tcPr>
          <w:p w14:paraId="3DB5936F" w14:textId="1E3F54EC"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81,437,000</w:t>
            </w:r>
          </w:p>
        </w:tc>
        <w:tc>
          <w:tcPr>
            <w:tcW w:w="1530" w:type="dxa"/>
            <w:tcBorders>
              <w:bottom w:val="nil"/>
            </w:tcBorders>
          </w:tcPr>
          <w:p w14:paraId="79E5E0B0" w14:textId="7EA9B401"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77,968,000</w:t>
            </w:r>
          </w:p>
        </w:tc>
        <w:tc>
          <w:tcPr>
            <w:tcW w:w="1435" w:type="dxa"/>
            <w:tcBorders>
              <w:bottom w:val="nil"/>
              <w:right w:val="single" w:sz="4" w:space="0" w:color="auto"/>
            </w:tcBorders>
          </w:tcPr>
          <w:p w14:paraId="74486892" w14:textId="10240E86" w:rsidR="00D64593" w:rsidRPr="00176862" w:rsidRDefault="00D64593" w:rsidP="00865FA1">
            <w:pPr>
              <w:jc w:val="right"/>
              <w:rPr>
                <w:rFonts w:ascii="Arial" w:hAnsi="Arial" w:cs="Arial"/>
                <w:color w:val="000000"/>
                <w:sz w:val="20"/>
                <w:szCs w:val="20"/>
              </w:rPr>
            </w:pPr>
          </w:p>
        </w:tc>
      </w:tr>
      <w:tr w:rsidR="00D64593" w:rsidRPr="00301088" w14:paraId="29CAEC8C" w14:textId="18E0AAE4"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nil"/>
            </w:tcBorders>
            <w:shd w:val="clear" w:color="auto" w:fill="auto"/>
            <w:noWrap/>
            <w:vAlign w:val="center"/>
            <w:hideMark/>
          </w:tcPr>
          <w:p w14:paraId="5B4C4488"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 xml:space="preserve">         Endowment Income</w:t>
            </w:r>
          </w:p>
        </w:tc>
        <w:tc>
          <w:tcPr>
            <w:tcW w:w="1530" w:type="dxa"/>
            <w:tcBorders>
              <w:top w:val="nil"/>
              <w:bottom w:val="nil"/>
            </w:tcBorders>
            <w:vAlign w:val="center"/>
          </w:tcPr>
          <w:p w14:paraId="213367B5" w14:textId="4F6B7523"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3,739,000</w:t>
            </w:r>
          </w:p>
        </w:tc>
        <w:tc>
          <w:tcPr>
            <w:tcW w:w="1530" w:type="dxa"/>
            <w:tcBorders>
              <w:top w:val="nil"/>
              <w:bottom w:val="nil"/>
            </w:tcBorders>
            <w:vAlign w:val="center"/>
          </w:tcPr>
          <w:p w14:paraId="4C1E4379" w14:textId="68799368"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4,008,000</w:t>
            </w:r>
          </w:p>
        </w:tc>
        <w:tc>
          <w:tcPr>
            <w:tcW w:w="1530" w:type="dxa"/>
            <w:tcBorders>
              <w:top w:val="nil"/>
              <w:bottom w:val="nil"/>
            </w:tcBorders>
          </w:tcPr>
          <w:p w14:paraId="400F660E" w14:textId="1B18F8DD"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4,265,000</w:t>
            </w:r>
          </w:p>
        </w:tc>
        <w:tc>
          <w:tcPr>
            <w:tcW w:w="1435" w:type="dxa"/>
            <w:tcBorders>
              <w:top w:val="nil"/>
              <w:bottom w:val="nil"/>
              <w:right w:val="single" w:sz="4" w:space="0" w:color="auto"/>
            </w:tcBorders>
          </w:tcPr>
          <w:p w14:paraId="7E08BE6C" w14:textId="0B8D1865" w:rsidR="00D64593" w:rsidRPr="00176862" w:rsidRDefault="00D64593" w:rsidP="00865FA1">
            <w:pPr>
              <w:jc w:val="right"/>
              <w:rPr>
                <w:rFonts w:ascii="Arial" w:hAnsi="Arial" w:cs="Arial"/>
                <w:color w:val="000000"/>
                <w:sz w:val="20"/>
                <w:szCs w:val="20"/>
              </w:rPr>
            </w:pPr>
          </w:p>
        </w:tc>
      </w:tr>
      <w:tr w:rsidR="00D64593" w:rsidRPr="00301088" w14:paraId="427B8561" w14:textId="307E2E05"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nil"/>
            </w:tcBorders>
            <w:shd w:val="clear" w:color="auto" w:fill="auto"/>
            <w:noWrap/>
            <w:vAlign w:val="center"/>
            <w:hideMark/>
          </w:tcPr>
          <w:p w14:paraId="68E178F2"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 xml:space="preserve">         Other State Appropriations</w:t>
            </w:r>
          </w:p>
        </w:tc>
        <w:tc>
          <w:tcPr>
            <w:tcW w:w="1530" w:type="dxa"/>
            <w:tcBorders>
              <w:top w:val="nil"/>
              <w:bottom w:val="nil"/>
            </w:tcBorders>
            <w:vAlign w:val="center"/>
          </w:tcPr>
          <w:p w14:paraId="1E1F3114" w14:textId="28100855"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3,704,000</w:t>
            </w:r>
          </w:p>
        </w:tc>
        <w:tc>
          <w:tcPr>
            <w:tcW w:w="1530" w:type="dxa"/>
            <w:tcBorders>
              <w:top w:val="nil"/>
              <w:bottom w:val="nil"/>
            </w:tcBorders>
            <w:vAlign w:val="center"/>
          </w:tcPr>
          <w:p w14:paraId="2DAA96D2" w14:textId="0A1C7AC0"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4,303,000</w:t>
            </w:r>
          </w:p>
        </w:tc>
        <w:tc>
          <w:tcPr>
            <w:tcW w:w="1530" w:type="dxa"/>
            <w:tcBorders>
              <w:top w:val="nil"/>
              <w:bottom w:val="nil"/>
            </w:tcBorders>
          </w:tcPr>
          <w:p w14:paraId="0468C5DE" w14:textId="019DD160"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2,781,000</w:t>
            </w:r>
          </w:p>
        </w:tc>
        <w:tc>
          <w:tcPr>
            <w:tcW w:w="1435" w:type="dxa"/>
            <w:tcBorders>
              <w:top w:val="nil"/>
              <w:bottom w:val="nil"/>
              <w:right w:val="single" w:sz="4" w:space="0" w:color="auto"/>
            </w:tcBorders>
          </w:tcPr>
          <w:p w14:paraId="73B84829" w14:textId="1D61BD22" w:rsidR="00D64593" w:rsidRPr="00176862" w:rsidRDefault="00D64593" w:rsidP="00865FA1">
            <w:pPr>
              <w:jc w:val="right"/>
              <w:rPr>
                <w:rFonts w:ascii="Arial" w:hAnsi="Arial" w:cs="Arial"/>
                <w:color w:val="000000"/>
                <w:sz w:val="20"/>
                <w:szCs w:val="20"/>
              </w:rPr>
            </w:pPr>
          </w:p>
        </w:tc>
      </w:tr>
      <w:tr w:rsidR="00D64593" w:rsidRPr="00301088" w14:paraId="3CDFE4A6" w14:textId="7FB53EA2"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nil"/>
            </w:tcBorders>
            <w:shd w:val="clear" w:color="auto" w:fill="auto"/>
            <w:noWrap/>
            <w:vAlign w:val="center"/>
            <w:hideMark/>
          </w:tcPr>
          <w:p w14:paraId="17B8A8C4"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 xml:space="preserve">         Professional Technical Education</w:t>
            </w:r>
          </w:p>
        </w:tc>
        <w:tc>
          <w:tcPr>
            <w:tcW w:w="1530" w:type="dxa"/>
            <w:tcBorders>
              <w:top w:val="nil"/>
              <w:bottom w:val="nil"/>
            </w:tcBorders>
            <w:vAlign w:val="center"/>
          </w:tcPr>
          <w:p w14:paraId="06303F17" w14:textId="1E75F724"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12,336,000</w:t>
            </w:r>
          </w:p>
        </w:tc>
        <w:tc>
          <w:tcPr>
            <w:tcW w:w="1530" w:type="dxa"/>
            <w:tcBorders>
              <w:top w:val="nil"/>
              <w:bottom w:val="nil"/>
            </w:tcBorders>
            <w:vAlign w:val="center"/>
          </w:tcPr>
          <w:p w14:paraId="03F11161" w14:textId="2E96DA73"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12,521,000</w:t>
            </w:r>
          </w:p>
        </w:tc>
        <w:tc>
          <w:tcPr>
            <w:tcW w:w="1530" w:type="dxa"/>
            <w:tcBorders>
              <w:top w:val="nil"/>
              <w:bottom w:val="nil"/>
            </w:tcBorders>
          </w:tcPr>
          <w:p w14:paraId="5234564F" w14:textId="6C473FDC"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11,752,000</w:t>
            </w:r>
          </w:p>
        </w:tc>
        <w:tc>
          <w:tcPr>
            <w:tcW w:w="1435" w:type="dxa"/>
            <w:tcBorders>
              <w:top w:val="nil"/>
              <w:bottom w:val="nil"/>
              <w:right w:val="single" w:sz="4" w:space="0" w:color="auto"/>
            </w:tcBorders>
          </w:tcPr>
          <w:p w14:paraId="6730C2DD" w14:textId="600055C8" w:rsidR="00D64593" w:rsidRPr="00176862" w:rsidRDefault="00D64593" w:rsidP="00865FA1">
            <w:pPr>
              <w:jc w:val="right"/>
              <w:rPr>
                <w:rFonts w:ascii="Arial" w:hAnsi="Arial" w:cs="Arial"/>
                <w:color w:val="000000"/>
                <w:sz w:val="20"/>
                <w:szCs w:val="20"/>
              </w:rPr>
            </w:pPr>
          </w:p>
        </w:tc>
      </w:tr>
      <w:tr w:rsidR="00D64593" w:rsidRPr="00301088" w14:paraId="01CCAF8A" w14:textId="54B0756C"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nil"/>
            </w:tcBorders>
            <w:shd w:val="clear" w:color="auto" w:fill="auto"/>
            <w:noWrap/>
            <w:vAlign w:val="center"/>
            <w:hideMark/>
          </w:tcPr>
          <w:p w14:paraId="745386DF"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State Department of Public Works</w:t>
            </w:r>
          </w:p>
        </w:tc>
        <w:tc>
          <w:tcPr>
            <w:tcW w:w="1530" w:type="dxa"/>
            <w:tcBorders>
              <w:top w:val="nil"/>
              <w:bottom w:val="nil"/>
            </w:tcBorders>
            <w:vAlign w:val="center"/>
          </w:tcPr>
          <w:p w14:paraId="594D599B" w14:textId="0469C776"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153,000</w:t>
            </w:r>
          </w:p>
        </w:tc>
        <w:tc>
          <w:tcPr>
            <w:tcW w:w="1530" w:type="dxa"/>
            <w:tcBorders>
              <w:top w:val="nil"/>
              <w:bottom w:val="nil"/>
            </w:tcBorders>
            <w:vAlign w:val="center"/>
          </w:tcPr>
          <w:p w14:paraId="07736687" w14:textId="69159E5B"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(104,000)</w:t>
            </w:r>
          </w:p>
        </w:tc>
        <w:tc>
          <w:tcPr>
            <w:tcW w:w="1530" w:type="dxa"/>
            <w:tcBorders>
              <w:top w:val="nil"/>
              <w:bottom w:val="nil"/>
            </w:tcBorders>
          </w:tcPr>
          <w:p w14:paraId="71310D00" w14:textId="7D68F481"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(198,000)</w:t>
            </w:r>
          </w:p>
        </w:tc>
        <w:tc>
          <w:tcPr>
            <w:tcW w:w="1435" w:type="dxa"/>
            <w:tcBorders>
              <w:top w:val="nil"/>
              <w:bottom w:val="nil"/>
              <w:right w:val="single" w:sz="4" w:space="0" w:color="auto"/>
            </w:tcBorders>
          </w:tcPr>
          <w:p w14:paraId="1095819C" w14:textId="5948D5D0" w:rsidR="00D64593" w:rsidRPr="00176862" w:rsidRDefault="00D64593" w:rsidP="00865FA1">
            <w:pPr>
              <w:jc w:val="right"/>
              <w:rPr>
                <w:rFonts w:ascii="Arial" w:hAnsi="Arial" w:cs="Arial"/>
                <w:color w:val="000000"/>
                <w:sz w:val="20"/>
                <w:szCs w:val="20"/>
              </w:rPr>
            </w:pPr>
          </w:p>
        </w:tc>
      </w:tr>
      <w:tr w:rsidR="00D64593" w:rsidRPr="00301088" w14:paraId="572B3E76" w14:textId="5299FB30"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nil"/>
            </w:tcBorders>
            <w:shd w:val="clear" w:color="auto" w:fill="auto"/>
            <w:noWrap/>
            <w:vAlign w:val="center"/>
            <w:hideMark/>
          </w:tcPr>
          <w:p w14:paraId="24770266"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Title IV grants</w:t>
            </w:r>
          </w:p>
        </w:tc>
        <w:tc>
          <w:tcPr>
            <w:tcW w:w="1530" w:type="dxa"/>
            <w:tcBorders>
              <w:top w:val="nil"/>
              <w:bottom w:val="nil"/>
            </w:tcBorders>
            <w:vAlign w:val="center"/>
          </w:tcPr>
          <w:p w14:paraId="18D1FA3F" w14:textId="3E78E4D6"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16,221,000</w:t>
            </w:r>
          </w:p>
        </w:tc>
        <w:tc>
          <w:tcPr>
            <w:tcW w:w="1530" w:type="dxa"/>
            <w:tcBorders>
              <w:top w:val="nil"/>
              <w:bottom w:val="nil"/>
            </w:tcBorders>
            <w:vAlign w:val="center"/>
          </w:tcPr>
          <w:p w14:paraId="4A7A0041" w14:textId="3EEFB5D7"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15,495,000</w:t>
            </w:r>
          </w:p>
        </w:tc>
        <w:tc>
          <w:tcPr>
            <w:tcW w:w="1530" w:type="dxa"/>
            <w:tcBorders>
              <w:top w:val="nil"/>
              <w:bottom w:val="nil"/>
            </w:tcBorders>
          </w:tcPr>
          <w:p w14:paraId="45688E63" w14:textId="0D1FD99E"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14,144,000</w:t>
            </w:r>
          </w:p>
        </w:tc>
        <w:tc>
          <w:tcPr>
            <w:tcW w:w="1435" w:type="dxa"/>
            <w:tcBorders>
              <w:top w:val="nil"/>
              <w:bottom w:val="nil"/>
              <w:right w:val="single" w:sz="4" w:space="0" w:color="auto"/>
            </w:tcBorders>
          </w:tcPr>
          <w:p w14:paraId="78463F25" w14:textId="51E60DCD" w:rsidR="00D64593" w:rsidRPr="00176862" w:rsidRDefault="00D64593" w:rsidP="00865FA1">
            <w:pPr>
              <w:jc w:val="right"/>
              <w:rPr>
                <w:rFonts w:ascii="Arial" w:hAnsi="Arial" w:cs="Arial"/>
                <w:color w:val="000000"/>
                <w:sz w:val="20"/>
                <w:szCs w:val="20"/>
              </w:rPr>
            </w:pPr>
          </w:p>
        </w:tc>
      </w:tr>
      <w:tr w:rsidR="00D64593" w:rsidRPr="00301088" w14:paraId="747338BA" w14:textId="39F15F0F"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nil"/>
            </w:tcBorders>
            <w:shd w:val="clear" w:color="auto" w:fill="auto"/>
            <w:noWrap/>
            <w:vAlign w:val="center"/>
          </w:tcPr>
          <w:p w14:paraId="223D0A1A" w14:textId="43C86D3F"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Other Federal grants</w:t>
            </w:r>
          </w:p>
        </w:tc>
        <w:tc>
          <w:tcPr>
            <w:tcW w:w="1530" w:type="dxa"/>
            <w:tcBorders>
              <w:top w:val="nil"/>
              <w:bottom w:val="nil"/>
            </w:tcBorders>
            <w:vAlign w:val="center"/>
          </w:tcPr>
          <w:p w14:paraId="4EE283BC" w14:textId="19EC3414"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0</w:t>
            </w:r>
          </w:p>
        </w:tc>
        <w:tc>
          <w:tcPr>
            <w:tcW w:w="1530" w:type="dxa"/>
            <w:tcBorders>
              <w:top w:val="nil"/>
              <w:bottom w:val="nil"/>
            </w:tcBorders>
            <w:vAlign w:val="center"/>
          </w:tcPr>
          <w:p w14:paraId="62E49A23" w14:textId="1596A727"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3,083,000</w:t>
            </w:r>
          </w:p>
        </w:tc>
        <w:tc>
          <w:tcPr>
            <w:tcW w:w="1530" w:type="dxa"/>
            <w:tcBorders>
              <w:top w:val="nil"/>
              <w:bottom w:val="nil"/>
            </w:tcBorders>
          </w:tcPr>
          <w:p w14:paraId="76FA1E8F" w14:textId="4F974C5F"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19,420,000</w:t>
            </w:r>
          </w:p>
        </w:tc>
        <w:tc>
          <w:tcPr>
            <w:tcW w:w="1435" w:type="dxa"/>
            <w:tcBorders>
              <w:top w:val="nil"/>
              <w:bottom w:val="nil"/>
              <w:right w:val="single" w:sz="4" w:space="0" w:color="auto"/>
            </w:tcBorders>
          </w:tcPr>
          <w:p w14:paraId="7BD89C96" w14:textId="434F5CE3" w:rsidR="00D64593" w:rsidRPr="00176862" w:rsidRDefault="00D64593" w:rsidP="00865FA1">
            <w:pPr>
              <w:jc w:val="right"/>
              <w:rPr>
                <w:rFonts w:ascii="Arial" w:hAnsi="Arial" w:cs="Arial"/>
                <w:color w:val="000000"/>
                <w:sz w:val="20"/>
                <w:szCs w:val="20"/>
              </w:rPr>
            </w:pPr>
          </w:p>
        </w:tc>
      </w:tr>
      <w:tr w:rsidR="00D64593" w:rsidRPr="00301088" w14:paraId="25D8AA3A" w14:textId="3FFC140A"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nil"/>
            </w:tcBorders>
            <w:shd w:val="clear" w:color="auto" w:fill="auto"/>
            <w:noWrap/>
            <w:vAlign w:val="center"/>
            <w:hideMark/>
          </w:tcPr>
          <w:p w14:paraId="31080E2F"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Gifts</w:t>
            </w:r>
          </w:p>
        </w:tc>
        <w:tc>
          <w:tcPr>
            <w:tcW w:w="1530" w:type="dxa"/>
            <w:tcBorders>
              <w:top w:val="nil"/>
              <w:bottom w:val="nil"/>
            </w:tcBorders>
            <w:vAlign w:val="center"/>
          </w:tcPr>
          <w:p w14:paraId="4621D4C1" w14:textId="7A59C41B"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10,618,000</w:t>
            </w:r>
          </w:p>
        </w:tc>
        <w:tc>
          <w:tcPr>
            <w:tcW w:w="1530" w:type="dxa"/>
            <w:tcBorders>
              <w:top w:val="nil"/>
              <w:bottom w:val="nil"/>
            </w:tcBorders>
            <w:vAlign w:val="center"/>
          </w:tcPr>
          <w:p w14:paraId="1AEBBBB8" w14:textId="60C539B7"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7,390,000</w:t>
            </w:r>
          </w:p>
        </w:tc>
        <w:tc>
          <w:tcPr>
            <w:tcW w:w="1530" w:type="dxa"/>
            <w:tcBorders>
              <w:top w:val="nil"/>
              <w:bottom w:val="nil"/>
            </w:tcBorders>
          </w:tcPr>
          <w:p w14:paraId="608D3FE2" w14:textId="09440FB4"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9,216,000</w:t>
            </w:r>
          </w:p>
        </w:tc>
        <w:tc>
          <w:tcPr>
            <w:tcW w:w="1435" w:type="dxa"/>
            <w:tcBorders>
              <w:top w:val="nil"/>
              <w:bottom w:val="nil"/>
              <w:right w:val="single" w:sz="4" w:space="0" w:color="auto"/>
            </w:tcBorders>
          </w:tcPr>
          <w:p w14:paraId="44998CB0" w14:textId="6E43186B" w:rsidR="00D64593" w:rsidRPr="00176862" w:rsidRDefault="00D64593" w:rsidP="00865FA1">
            <w:pPr>
              <w:jc w:val="right"/>
              <w:rPr>
                <w:rFonts w:ascii="Arial" w:hAnsi="Arial" w:cs="Arial"/>
                <w:color w:val="000000"/>
                <w:sz w:val="20"/>
                <w:szCs w:val="20"/>
              </w:rPr>
            </w:pPr>
          </w:p>
        </w:tc>
      </w:tr>
      <w:tr w:rsidR="00D64593" w:rsidRPr="00301088" w14:paraId="7B9EF928" w14:textId="51B71999"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nil"/>
            </w:tcBorders>
            <w:shd w:val="clear" w:color="auto" w:fill="auto"/>
            <w:noWrap/>
            <w:vAlign w:val="center"/>
            <w:hideMark/>
          </w:tcPr>
          <w:p w14:paraId="040746D8"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Net investment income</w:t>
            </w:r>
          </w:p>
        </w:tc>
        <w:tc>
          <w:tcPr>
            <w:tcW w:w="1530" w:type="dxa"/>
            <w:tcBorders>
              <w:top w:val="nil"/>
              <w:bottom w:val="nil"/>
            </w:tcBorders>
            <w:vAlign w:val="center"/>
          </w:tcPr>
          <w:p w14:paraId="6DE773AB" w14:textId="131B274A"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908,000</w:t>
            </w:r>
          </w:p>
        </w:tc>
        <w:tc>
          <w:tcPr>
            <w:tcW w:w="1530" w:type="dxa"/>
            <w:tcBorders>
              <w:top w:val="nil"/>
              <w:bottom w:val="nil"/>
            </w:tcBorders>
            <w:vAlign w:val="center"/>
          </w:tcPr>
          <w:p w14:paraId="634D63BA" w14:textId="13BEEC85"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1,005,000</w:t>
            </w:r>
          </w:p>
        </w:tc>
        <w:tc>
          <w:tcPr>
            <w:tcW w:w="1530" w:type="dxa"/>
            <w:tcBorders>
              <w:top w:val="nil"/>
              <w:bottom w:val="nil"/>
            </w:tcBorders>
          </w:tcPr>
          <w:p w14:paraId="2AF7B31C" w14:textId="1E846B5B"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144,000</w:t>
            </w:r>
          </w:p>
        </w:tc>
        <w:tc>
          <w:tcPr>
            <w:tcW w:w="1435" w:type="dxa"/>
            <w:tcBorders>
              <w:top w:val="nil"/>
              <w:bottom w:val="nil"/>
              <w:right w:val="single" w:sz="4" w:space="0" w:color="auto"/>
            </w:tcBorders>
          </w:tcPr>
          <w:p w14:paraId="785DDE5E" w14:textId="057D0E79" w:rsidR="00D64593" w:rsidRPr="00176862" w:rsidRDefault="00D64593" w:rsidP="00865FA1">
            <w:pPr>
              <w:jc w:val="right"/>
              <w:rPr>
                <w:rFonts w:ascii="Arial" w:hAnsi="Arial" w:cs="Arial"/>
                <w:color w:val="000000"/>
                <w:sz w:val="20"/>
                <w:szCs w:val="20"/>
              </w:rPr>
            </w:pPr>
          </w:p>
        </w:tc>
      </w:tr>
      <w:tr w:rsidR="00D64593" w:rsidRPr="00301088" w14:paraId="6A07359E" w14:textId="4428A98B"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nil"/>
            </w:tcBorders>
            <w:shd w:val="clear" w:color="auto" w:fill="auto"/>
            <w:noWrap/>
            <w:vAlign w:val="center"/>
            <w:hideMark/>
          </w:tcPr>
          <w:p w14:paraId="1CC97862" w14:textId="77777777"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Amortization of bond financing costs</w:t>
            </w:r>
          </w:p>
        </w:tc>
        <w:tc>
          <w:tcPr>
            <w:tcW w:w="1530" w:type="dxa"/>
            <w:tcBorders>
              <w:top w:val="nil"/>
              <w:bottom w:val="nil"/>
            </w:tcBorders>
            <w:vAlign w:val="center"/>
          </w:tcPr>
          <w:p w14:paraId="64C6BC93" w14:textId="59174F02"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(2,000)</w:t>
            </w:r>
          </w:p>
        </w:tc>
        <w:tc>
          <w:tcPr>
            <w:tcW w:w="1530" w:type="dxa"/>
            <w:tcBorders>
              <w:top w:val="nil"/>
              <w:bottom w:val="nil"/>
            </w:tcBorders>
            <w:vAlign w:val="center"/>
          </w:tcPr>
          <w:p w14:paraId="373D34BC" w14:textId="6E3EEE78"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(9,000)</w:t>
            </w:r>
          </w:p>
        </w:tc>
        <w:tc>
          <w:tcPr>
            <w:tcW w:w="1530" w:type="dxa"/>
            <w:tcBorders>
              <w:top w:val="nil"/>
              <w:bottom w:val="nil"/>
            </w:tcBorders>
          </w:tcPr>
          <w:p w14:paraId="421CE843" w14:textId="7F4F5D43"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(663,000)</w:t>
            </w:r>
          </w:p>
        </w:tc>
        <w:tc>
          <w:tcPr>
            <w:tcW w:w="1435" w:type="dxa"/>
            <w:tcBorders>
              <w:top w:val="nil"/>
              <w:bottom w:val="nil"/>
              <w:right w:val="single" w:sz="4" w:space="0" w:color="auto"/>
            </w:tcBorders>
          </w:tcPr>
          <w:p w14:paraId="66FD1AD3" w14:textId="4D104E5F" w:rsidR="00D64593" w:rsidRPr="00176862" w:rsidRDefault="00D64593" w:rsidP="00865FA1">
            <w:pPr>
              <w:jc w:val="right"/>
              <w:rPr>
                <w:rFonts w:ascii="Arial" w:hAnsi="Arial" w:cs="Arial"/>
                <w:color w:val="000000"/>
                <w:sz w:val="20"/>
                <w:szCs w:val="20"/>
              </w:rPr>
            </w:pPr>
          </w:p>
        </w:tc>
      </w:tr>
      <w:tr w:rsidR="00D64593" w:rsidRPr="00301088" w14:paraId="65AF39FF" w14:textId="51EB208E"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tcBorders>
            <w:shd w:val="clear" w:color="auto" w:fill="auto"/>
            <w:noWrap/>
            <w:vAlign w:val="center"/>
          </w:tcPr>
          <w:p w14:paraId="7DF39FAF" w14:textId="14520595"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 xml:space="preserve">Interest on capital </w:t>
            </w:r>
            <w:r w:rsidRPr="00176862">
              <w:rPr>
                <w:rFonts w:ascii="Arial" w:hAnsi="Arial" w:cs="Arial"/>
                <w:noProof/>
                <w:color w:val="000000"/>
                <w:sz w:val="20"/>
                <w:szCs w:val="20"/>
              </w:rPr>
              <w:t>asset-related</w:t>
            </w:r>
            <w:r w:rsidRPr="00176862">
              <w:rPr>
                <w:rFonts w:ascii="Arial" w:hAnsi="Arial" w:cs="Arial"/>
                <w:color w:val="000000"/>
                <w:sz w:val="20"/>
                <w:szCs w:val="20"/>
              </w:rPr>
              <w:t xml:space="preserve"> debt</w:t>
            </w:r>
          </w:p>
        </w:tc>
        <w:tc>
          <w:tcPr>
            <w:tcW w:w="1530" w:type="dxa"/>
            <w:tcBorders>
              <w:top w:val="nil"/>
              <w:bottom w:val="nil"/>
            </w:tcBorders>
            <w:vAlign w:val="center"/>
          </w:tcPr>
          <w:p w14:paraId="297D5338" w14:textId="22B9D44B"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(1,115,000)</w:t>
            </w:r>
          </w:p>
        </w:tc>
        <w:tc>
          <w:tcPr>
            <w:tcW w:w="1530" w:type="dxa"/>
            <w:tcBorders>
              <w:top w:val="nil"/>
              <w:bottom w:val="nil"/>
            </w:tcBorders>
            <w:vAlign w:val="center"/>
          </w:tcPr>
          <w:p w14:paraId="47EE4DBB" w14:textId="4E120BF3"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(1,421,000)</w:t>
            </w:r>
          </w:p>
        </w:tc>
        <w:tc>
          <w:tcPr>
            <w:tcW w:w="1530" w:type="dxa"/>
            <w:tcBorders>
              <w:top w:val="nil"/>
              <w:bottom w:val="nil"/>
            </w:tcBorders>
          </w:tcPr>
          <w:p w14:paraId="1C28D63A" w14:textId="256146CA" w:rsidR="00D64593" w:rsidRPr="00176862" w:rsidRDefault="00D64593" w:rsidP="00865FA1">
            <w:pPr>
              <w:jc w:val="right"/>
              <w:rPr>
                <w:rFonts w:ascii="Arial" w:hAnsi="Arial" w:cs="Arial"/>
                <w:color w:val="000000"/>
                <w:sz w:val="20"/>
                <w:szCs w:val="20"/>
              </w:rPr>
            </w:pPr>
            <w:r w:rsidRPr="00176862">
              <w:rPr>
                <w:rFonts w:ascii="Arial" w:hAnsi="Arial" w:cs="Arial"/>
                <w:color w:val="000000"/>
                <w:sz w:val="20"/>
                <w:szCs w:val="20"/>
              </w:rPr>
              <w:t>(1,556,000)</w:t>
            </w:r>
          </w:p>
        </w:tc>
        <w:tc>
          <w:tcPr>
            <w:tcW w:w="1435" w:type="dxa"/>
            <w:tcBorders>
              <w:top w:val="nil"/>
              <w:bottom w:val="nil"/>
              <w:right w:val="single" w:sz="4" w:space="0" w:color="auto"/>
            </w:tcBorders>
          </w:tcPr>
          <w:p w14:paraId="444CD2CF" w14:textId="14A3BA38" w:rsidR="00D64593" w:rsidRPr="00176862" w:rsidRDefault="00D64593" w:rsidP="00865FA1">
            <w:pPr>
              <w:jc w:val="right"/>
              <w:rPr>
                <w:rFonts w:ascii="Arial" w:hAnsi="Arial" w:cs="Arial"/>
                <w:color w:val="000000"/>
                <w:sz w:val="20"/>
                <w:szCs w:val="20"/>
              </w:rPr>
            </w:pPr>
          </w:p>
        </w:tc>
      </w:tr>
      <w:tr w:rsidR="00D64593" w:rsidRPr="00301088" w14:paraId="3D1351A0" w14:textId="52402644"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tcBorders>
            <w:shd w:val="clear" w:color="auto" w:fill="auto"/>
            <w:noWrap/>
            <w:vAlign w:val="center"/>
            <w:hideMark/>
          </w:tcPr>
          <w:p w14:paraId="29E01B7E" w14:textId="7B02F424" w:rsidR="00D64593" w:rsidRPr="00176862" w:rsidRDefault="00D64593" w:rsidP="00865FA1">
            <w:pPr>
              <w:rPr>
                <w:rFonts w:ascii="Arial" w:hAnsi="Arial" w:cs="Arial"/>
                <w:color w:val="000000"/>
                <w:sz w:val="20"/>
                <w:szCs w:val="20"/>
              </w:rPr>
            </w:pPr>
            <w:r w:rsidRPr="00176862">
              <w:rPr>
                <w:rFonts w:ascii="Arial" w:hAnsi="Arial" w:cs="Arial"/>
                <w:color w:val="000000"/>
                <w:sz w:val="20"/>
                <w:szCs w:val="20"/>
              </w:rPr>
              <w:t>Gain or (loss) on disposal of fixed assets</w:t>
            </w:r>
          </w:p>
        </w:tc>
        <w:tc>
          <w:tcPr>
            <w:tcW w:w="1530" w:type="dxa"/>
            <w:tcBorders>
              <w:top w:val="nil"/>
            </w:tcBorders>
            <w:vAlign w:val="center"/>
          </w:tcPr>
          <w:p w14:paraId="2282DB0A" w14:textId="1FE5813C" w:rsidR="00D64593" w:rsidRPr="00176862" w:rsidRDefault="00D64593" w:rsidP="00865FA1">
            <w:pPr>
              <w:jc w:val="right"/>
              <w:rPr>
                <w:rFonts w:ascii="Arial" w:hAnsi="Arial" w:cs="Arial"/>
                <w:color w:val="000000"/>
                <w:sz w:val="20"/>
                <w:szCs w:val="20"/>
                <w:u w:val="single"/>
              </w:rPr>
            </w:pPr>
            <w:r w:rsidRPr="00176862">
              <w:rPr>
                <w:rFonts w:ascii="Arial" w:hAnsi="Arial" w:cs="Arial"/>
                <w:color w:val="000000"/>
                <w:sz w:val="20"/>
                <w:szCs w:val="20"/>
                <w:u w:val="single"/>
              </w:rPr>
              <w:t>(149,000)</w:t>
            </w:r>
          </w:p>
        </w:tc>
        <w:tc>
          <w:tcPr>
            <w:tcW w:w="1530" w:type="dxa"/>
            <w:tcBorders>
              <w:top w:val="nil"/>
            </w:tcBorders>
            <w:vAlign w:val="center"/>
          </w:tcPr>
          <w:p w14:paraId="1119E27B" w14:textId="429BAA12" w:rsidR="00D64593" w:rsidRPr="00176862" w:rsidRDefault="00D64593" w:rsidP="00865FA1">
            <w:pPr>
              <w:jc w:val="right"/>
              <w:rPr>
                <w:rFonts w:ascii="Arial" w:hAnsi="Arial" w:cs="Arial"/>
                <w:color w:val="000000"/>
                <w:sz w:val="20"/>
                <w:szCs w:val="20"/>
                <w:u w:val="single"/>
              </w:rPr>
            </w:pPr>
            <w:r w:rsidRPr="00176862">
              <w:rPr>
                <w:rFonts w:ascii="Arial" w:hAnsi="Arial" w:cs="Arial"/>
                <w:color w:val="000000"/>
                <w:sz w:val="20"/>
                <w:szCs w:val="20"/>
                <w:u w:val="single"/>
              </w:rPr>
              <w:t>(84,000)</w:t>
            </w:r>
          </w:p>
        </w:tc>
        <w:tc>
          <w:tcPr>
            <w:tcW w:w="1530" w:type="dxa"/>
            <w:tcBorders>
              <w:top w:val="nil"/>
            </w:tcBorders>
          </w:tcPr>
          <w:p w14:paraId="291245FA" w14:textId="68D8551F" w:rsidR="00D64593" w:rsidRPr="00176862" w:rsidRDefault="00D64593" w:rsidP="00865FA1">
            <w:pPr>
              <w:jc w:val="right"/>
              <w:rPr>
                <w:rFonts w:ascii="Arial" w:hAnsi="Arial" w:cs="Arial"/>
                <w:color w:val="000000"/>
                <w:sz w:val="20"/>
                <w:szCs w:val="20"/>
                <w:u w:val="single"/>
              </w:rPr>
            </w:pPr>
            <w:r w:rsidRPr="00176862">
              <w:rPr>
                <w:rFonts w:ascii="Arial" w:hAnsi="Arial" w:cs="Arial"/>
                <w:color w:val="000000"/>
                <w:sz w:val="20"/>
                <w:szCs w:val="20"/>
                <w:u w:val="single"/>
              </w:rPr>
              <w:t>(2,000)</w:t>
            </w:r>
          </w:p>
        </w:tc>
        <w:tc>
          <w:tcPr>
            <w:tcW w:w="1435" w:type="dxa"/>
            <w:tcBorders>
              <w:top w:val="nil"/>
              <w:right w:val="single" w:sz="4" w:space="0" w:color="auto"/>
            </w:tcBorders>
          </w:tcPr>
          <w:p w14:paraId="0208DB18" w14:textId="56E25314" w:rsidR="00D64593" w:rsidRPr="00176862" w:rsidRDefault="00D64593" w:rsidP="00865FA1">
            <w:pPr>
              <w:jc w:val="right"/>
              <w:rPr>
                <w:rFonts w:ascii="Arial" w:hAnsi="Arial" w:cs="Arial"/>
                <w:color w:val="000000"/>
                <w:sz w:val="20"/>
                <w:szCs w:val="20"/>
              </w:rPr>
            </w:pPr>
          </w:p>
        </w:tc>
      </w:tr>
      <w:tr w:rsidR="00D64593" w:rsidRPr="00176862" w14:paraId="678540B2" w14:textId="28C9D9C6"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6"/>
        </w:trPr>
        <w:tc>
          <w:tcPr>
            <w:tcW w:w="4045" w:type="dxa"/>
            <w:tcBorders>
              <w:left w:val="single" w:sz="4" w:space="0" w:color="auto"/>
              <w:bottom w:val="single" w:sz="4" w:space="0" w:color="auto"/>
            </w:tcBorders>
            <w:shd w:val="clear" w:color="auto" w:fill="auto"/>
            <w:noWrap/>
            <w:vAlign w:val="center"/>
          </w:tcPr>
          <w:p w14:paraId="292F3DBE" w14:textId="77777777" w:rsidR="00D64593" w:rsidRPr="00176862" w:rsidRDefault="00D64593" w:rsidP="00865FA1">
            <w:pPr>
              <w:rPr>
                <w:rFonts w:ascii="Arial" w:hAnsi="Arial" w:cs="Arial"/>
                <w:b/>
                <w:bCs/>
                <w:color w:val="000000"/>
                <w:sz w:val="20"/>
                <w:szCs w:val="20"/>
              </w:rPr>
            </w:pPr>
            <w:r w:rsidRPr="00176862">
              <w:rPr>
                <w:rFonts w:ascii="Arial" w:hAnsi="Arial" w:cs="Arial"/>
                <w:b/>
                <w:bCs/>
                <w:color w:val="000000"/>
                <w:sz w:val="20"/>
                <w:szCs w:val="20"/>
              </w:rPr>
              <w:t>Net nonoperating revenues/(expenses)</w:t>
            </w:r>
          </w:p>
        </w:tc>
        <w:tc>
          <w:tcPr>
            <w:tcW w:w="1530" w:type="dxa"/>
            <w:tcBorders>
              <w:bottom w:val="single" w:sz="4" w:space="0" w:color="auto"/>
            </w:tcBorders>
            <w:vAlign w:val="center"/>
          </w:tcPr>
          <w:p w14:paraId="545A2082" w14:textId="4E466545" w:rsidR="00D64593" w:rsidRPr="00176862" w:rsidRDefault="00D64593" w:rsidP="00865FA1">
            <w:pPr>
              <w:jc w:val="right"/>
              <w:rPr>
                <w:rFonts w:ascii="Arial" w:hAnsi="Arial" w:cs="Arial"/>
                <w:b/>
                <w:bCs/>
                <w:color w:val="000000"/>
                <w:sz w:val="20"/>
                <w:szCs w:val="20"/>
              </w:rPr>
            </w:pPr>
            <w:r w:rsidRPr="00176862">
              <w:rPr>
                <w:rFonts w:ascii="Arial" w:hAnsi="Arial" w:cs="Arial"/>
                <w:b/>
                <w:bCs/>
                <w:color w:val="000000"/>
                <w:sz w:val="20"/>
                <w:szCs w:val="20"/>
              </w:rPr>
              <w:t>126,657,000</w:t>
            </w:r>
          </w:p>
        </w:tc>
        <w:tc>
          <w:tcPr>
            <w:tcW w:w="1530" w:type="dxa"/>
            <w:tcBorders>
              <w:bottom w:val="single" w:sz="4" w:space="0" w:color="auto"/>
            </w:tcBorders>
            <w:vAlign w:val="center"/>
          </w:tcPr>
          <w:p w14:paraId="209DFFB5" w14:textId="7DA7EE31" w:rsidR="00D64593" w:rsidRPr="00176862" w:rsidRDefault="00D64593" w:rsidP="00865FA1">
            <w:pPr>
              <w:jc w:val="right"/>
              <w:rPr>
                <w:rFonts w:ascii="Arial" w:hAnsi="Arial" w:cs="Arial"/>
                <w:b/>
                <w:bCs/>
                <w:color w:val="000000"/>
                <w:sz w:val="20"/>
                <w:szCs w:val="20"/>
              </w:rPr>
            </w:pPr>
            <w:r w:rsidRPr="00176862">
              <w:rPr>
                <w:rFonts w:ascii="Arial" w:hAnsi="Arial" w:cs="Arial"/>
                <w:b/>
                <w:bCs/>
                <w:color w:val="000000"/>
                <w:sz w:val="20"/>
                <w:szCs w:val="20"/>
              </w:rPr>
              <w:t>127,624,000</w:t>
            </w:r>
          </w:p>
        </w:tc>
        <w:tc>
          <w:tcPr>
            <w:tcW w:w="1530" w:type="dxa"/>
            <w:tcBorders>
              <w:bottom w:val="single" w:sz="4" w:space="0" w:color="auto"/>
            </w:tcBorders>
            <w:vAlign w:val="center"/>
          </w:tcPr>
          <w:p w14:paraId="68678C7B" w14:textId="2E69BDBF" w:rsidR="00D64593" w:rsidRPr="00176862" w:rsidRDefault="00D64593" w:rsidP="00865FA1">
            <w:pPr>
              <w:jc w:val="right"/>
              <w:rPr>
                <w:rFonts w:ascii="Arial" w:hAnsi="Arial" w:cs="Arial"/>
                <w:b/>
                <w:bCs/>
                <w:color w:val="000000"/>
                <w:sz w:val="20"/>
                <w:szCs w:val="20"/>
              </w:rPr>
            </w:pPr>
            <w:r w:rsidRPr="00176862">
              <w:rPr>
                <w:rFonts w:ascii="Arial" w:hAnsi="Arial" w:cs="Arial"/>
                <w:b/>
                <w:bCs/>
                <w:color w:val="000000"/>
                <w:sz w:val="20"/>
                <w:szCs w:val="20"/>
              </w:rPr>
              <w:t>137,271,000</w:t>
            </w:r>
          </w:p>
        </w:tc>
        <w:tc>
          <w:tcPr>
            <w:tcW w:w="1435" w:type="dxa"/>
            <w:tcBorders>
              <w:bottom w:val="single" w:sz="4" w:space="0" w:color="auto"/>
              <w:right w:val="single" w:sz="4" w:space="0" w:color="auto"/>
            </w:tcBorders>
            <w:vAlign w:val="center"/>
          </w:tcPr>
          <w:p w14:paraId="62B4414B" w14:textId="26894D7F" w:rsidR="00D64593" w:rsidRPr="00176862" w:rsidRDefault="00D64593" w:rsidP="00865FA1">
            <w:pPr>
              <w:jc w:val="right"/>
              <w:rPr>
                <w:rFonts w:ascii="Arial" w:hAnsi="Arial" w:cs="Arial"/>
                <w:b/>
                <w:bCs/>
                <w:color w:val="000000"/>
                <w:sz w:val="20"/>
                <w:szCs w:val="20"/>
              </w:rPr>
            </w:pPr>
          </w:p>
        </w:tc>
      </w:tr>
      <w:tr w:rsidR="00865FA1" w:rsidRPr="00301088" w14:paraId="00E5039D" w14:textId="3839CC36" w:rsidTr="00A850F7">
        <w:trPr>
          <w:trHeight w:val="212"/>
        </w:trPr>
        <w:tc>
          <w:tcPr>
            <w:tcW w:w="4045" w:type="dxa"/>
            <w:tcBorders>
              <w:top w:val="single" w:sz="4" w:space="0" w:color="auto"/>
              <w:left w:val="nil"/>
              <w:bottom w:val="single" w:sz="4" w:space="0" w:color="auto"/>
              <w:right w:val="nil"/>
            </w:tcBorders>
            <w:shd w:val="clear" w:color="auto" w:fill="000080"/>
            <w:vAlign w:val="center"/>
          </w:tcPr>
          <w:p w14:paraId="7E0FC9B9" w14:textId="77777777" w:rsidR="00D64593" w:rsidRPr="00301088" w:rsidRDefault="00D64593" w:rsidP="00865FA1">
            <w:pPr>
              <w:rPr>
                <w:rFonts w:ascii="Arial" w:hAnsi="Arial" w:cs="Arial"/>
                <w:b/>
                <w:bCs/>
                <w:color w:val="FFFFFF"/>
                <w:sz w:val="20"/>
              </w:rPr>
            </w:pPr>
            <w:r>
              <w:rPr>
                <w:rFonts w:ascii="Arial" w:hAnsi="Arial" w:cs="Arial"/>
                <w:b/>
                <w:bCs/>
                <w:color w:val="FFFFFF"/>
                <w:sz w:val="20"/>
              </w:rPr>
              <w:t>Other Revenue and Expenses</w:t>
            </w:r>
          </w:p>
        </w:tc>
        <w:tc>
          <w:tcPr>
            <w:tcW w:w="1530" w:type="dxa"/>
            <w:tcBorders>
              <w:top w:val="single" w:sz="4" w:space="0" w:color="auto"/>
              <w:left w:val="nil"/>
              <w:bottom w:val="single" w:sz="4" w:space="0" w:color="auto"/>
              <w:right w:val="nil"/>
            </w:tcBorders>
            <w:shd w:val="clear" w:color="auto" w:fill="000080"/>
            <w:vAlign w:val="center"/>
          </w:tcPr>
          <w:p w14:paraId="1AD76E89" w14:textId="7521CEAD" w:rsidR="00D64593" w:rsidRPr="00301088" w:rsidRDefault="00D64593" w:rsidP="00865FA1">
            <w:pPr>
              <w:jc w:val="right"/>
              <w:rPr>
                <w:rFonts w:ascii="Arial" w:hAnsi="Arial" w:cs="Arial"/>
                <w:b/>
                <w:bCs/>
                <w:color w:val="FFFFFF"/>
                <w:sz w:val="20"/>
              </w:rPr>
            </w:pPr>
            <w:r>
              <w:rPr>
                <w:rFonts w:ascii="Arial" w:hAnsi="Arial" w:cs="Arial"/>
                <w:b/>
                <w:bCs/>
                <w:color w:val="FFFFFF"/>
                <w:sz w:val="20"/>
              </w:rPr>
              <w:t>FY 2019</w:t>
            </w:r>
          </w:p>
        </w:tc>
        <w:tc>
          <w:tcPr>
            <w:tcW w:w="1530" w:type="dxa"/>
            <w:tcBorders>
              <w:top w:val="single" w:sz="4" w:space="0" w:color="auto"/>
              <w:left w:val="nil"/>
              <w:bottom w:val="single" w:sz="4" w:space="0" w:color="auto"/>
              <w:right w:val="nil"/>
            </w:tcBorders>
            <w:shd w:val="clear" w:color="auto" w:fill="000080"/>
            <w:vAlign w:val="center"/>
          </w:tcPr>
          <w:p w14:paraId="55B83CB5" w14:textId="7DF562F9" w:rsidR="00D64593" w:rsidRPr="00301088" w:rsidRDefault="00D64593" w:rsidP="00865FA1">
            <w:pPr>
              <w:jc w:val="right"/>
              <w:rPr>
                <w:rFonts w:ascii="Arial" w:hAnsi="Arial" w:cs="Arial"/>
                <w:b/>
                <w:bCs/>
                <w:color w:val="FFFFFF"/>
                <w:sz w:val="20"/>
              </w:rPr>
            </w:pPr>
            <w:r>
              <w:rPr>
                <w:rFonts w:ascii="Arial" w:hAnsi="Arial" w:cs="Arial"/>
                <w:b/>
                <w:bCs/>
                <w:color w:val="FFFFFF"/>
                <w:sz w:val="20"/>
              </w:rPr>
              <w:t>FY 2020</w:t>
            </w:r>
          </w:p>
        </w:tc>
        <w:tc>
          <w:tcPr>
            <w:tcW w:w="1530" w:type="dxa"/>
            <w:tcBorders>
              <w:top w:val="single" w:sz="4" w:space="0" w:color="auto"/>
              <w:left w:val="nil"/>
              <w:bottom w:val="single" w:sz="4" w:space="0" w:color="auto"/>
              <w:right w:val="nil"/>
            </w:tcBorders>
            <w:shd w:val="clear" w:color="auto" w:fill="000080"/>
            <w:vAlign w:val="center"/>
          </w:tcPr>
          <w:p w14:paraId="17FDDBC6" w14:textId="5F9A8CEF" w:rsidR="00D64593" w:rsidRPr="00301088" w:rsidRDefault="00D64593" w:rsidP="00865FA1">
            <w:pPr>
              <w:jc w:val="right"/>
              <w:rPr>
                <w:rFonts w:ascii="Arial" w:hAnsi="Arial" w:cs="Arial"/>
                <w:b/>
                <w:bCs/>
                <w:color w:val="FFFFFF"/>
                <w:sz w:val="20"/>
              </w:rPr>
            </w:pPr>
            <w:r>
              <w:rPr>
                <w:rFonts w:ascii="Arial" w:hAnsi="Arial" w:cs="Arial"/>
                <w:b/>
                <w:bCs/>
                <w:color w:val="FFFFFF"/>
                <w:sz w:val="20"/>
              </w:rPr>
              <w:t>FY 2021</w:t>
            </w:r>
          </w:p>
        </w:tc>
        <w:tc>
          <w:tcPr>
            <w:tcW w:w="1435" w:type="dxa"/>
            <w:tcBorders>
              <w:top w:val="single" w:sz="4" w:space="0" w:color="auto"/>
              <w:left w:val="nil"/>
              <w:bottom w:val="single" w:sz="4" w:space="0" w:color="auto"/>
              <w:right w:val="nil"/>
            </w:tcBorders>
            <w:shd w:val="clear" w:color="auto" w:fill="000080"/>
          </w:tcPr>
          <w:p w14:paraId="1C5C1806" w14:textId="41454D67" w:rsidR="00D64593" w:rsidRDefault="00D64593" w:rsidP="00865FA1">
            <w:pPr>
              <w:jc w:val="right"/>
              <w:rPr>
                <w:rFonts w:ascii="Arial" w:hAnsi="Arial" w:cs="Arial"/>
                <w:b/>
                <w:bCs/>
                <w:color w:val="FFFFFF"/>
                <w:sz w:val="20"/>
              </w:rPr>
            </w:pPr>
            <w:r>
              <w:rPr>
                <w:rFonts w:ascii="Arial" w:hAnsi="Arial" w:cs="Arial"/>
                <w:b/>
                <w:bCs/>
                <w:color w:val="FFFFFF"/>
                <w:sz w:val="20"/>
              </w:rPr>
              <w:t>FY2022</w:t>
            </w:r>
          </w:p>
        </w:tc>
      </w:tr>
      <w:tr w:rsidR="00D64593" w:rsidRPr="00301088" w14:paraId="0BC37B58" w14:textId="141260F2"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single" w:sz="4" w:space="0" w:color="auto"/>
              <w:left w:val="single" w:sz="4" w:space="0" w:color="auto"/>
            </w:tcBorders>
            <w:shd w:val="clear" w:color="auto" w:fill="auto"/>
            <w:noWrap/>
            <w:vAlign w:val="center"/>
            <w:hideMark/>
          </w:tcPr>
          <w:p w14:paraId="6CC858DA" w14:textId="77777777" w:rsidR="00D64593" w:rsidRPr="00FD4285" w:rsidRDefault="00D64593" w:rsidP="00865FA1">
            <w:pPr>
              <w:rPr>
                <w:rFonts w:ascii="Arial" w:hAnsi="Arial" w:cs="Arial"/>
                <w:color w:val="000000"/>
                <w:sz w:val="20"/>
                <w:szCs w:val="20"/>
              </w:rPr>
            </w:pPr>
            <w:bookmarkStart w:id="0" w:name="_Hlk104991495"/>
            <w:r w:rsidRPr="00FD4285">
              <w:rPr>
                <w:rFonts w:ascii="Arial" w:hAnsi="Arial" w:cs="Arial"/>
                <w:color w:val="000000"/>
                <w:sz w:val="20"/>
                <w:szCs w:val="20"/>
              </w:rPr>
              <w:t>Capital gifts and grants</w:t>
            </w:r>
          </w:p>
        </w:tc>
        <w:tc>
          <w:tcPr>
            <w:tcW w:w="1530" w:type="dxa"/>
            <w:tcBorders>
              <w:top w:val="single" w:sz="4" w:space="0" w:color="auto"/>
            </w:tcBorders>
            <w:vAlign w:val="center"/>
          </w:tcPr>
          <w:p w14:paraId="39FBD88E" w14:textId="6650B2C1" w:rsidR="00D64593" w:rsidRPr="00FD4285" w:rsidRDefault="00D64593" w:rsidP="00865FA1">
            <w:pPr>
              <w:jc w:val="right"/>
              <w:rPr>
                <w:rFonts w:ascii="Arial" w:hAnsi="Arial" w:cs="Arial"/>
                <w:color w:val="000000"/>
                <w:sz w:val="20"/>
                <w:szCs w:val="20"/>
              </w:rPr>
            </w:pPr>
            <w:r w:rsidRPr="00FD4285">
              <w:rPr>
                <w:rFonts w:ascii="Arial" w:hAnsi="Arial" w:cs="Arial"/>
                <w:color w:val="000000"/>
                <w:sz w:val="20"/>
                <w:szCs w:val="20"/>
              </w:rPr>
              <w:t>6,820,000</w:t>
            </w:r>
          </w:p>
        </w:tc>
        <w:tc>
          <w:tcPr>
            <w:tcW w:w="1530" w:type="dxa"/>
            <w:tcBorders>
              <w:top w:val="single" w:sz="4" w:space="0" w:color="auto"/>
            </w:tcBorders>
            <w:shd w:val="clear" w:color="auto" w:fill="auto"/>
            <w:noWrap/>
            <w:vAlign w:val="center"/>
          </w:tcPr>
          <w:p w14:paraId="0DAF8B1E" w14:textId="40E6865B" w:rsidR="00D64593" w:rsidRPr="00FD4285" w:rsidRDefault="00D64593" w:rsidP="00865FA1">
            <w:pPr>
              <w:jc w:val="right"/>
              <w:rPr>
                <w:rFonts w:ascii="Arial" w:hAnsi="Arial" w:cs="Arial"/>
                <w:color w:val="000000"/>
                <w:sz w:val="20"/>
                <w:szCs w:val="20"/>
              </w:rPr>
            </w:pPr>
            <w:r w:rsidRPr="00FD4285">
              <w:rPr>
                <w:rFonts w:ascii="Arial" w:hAnsi="Arial" w:cs="Arial"/>
                <w:color w:val="000000"/>
                <w:sz w:val="20"/>
                <w:szCs w:val="20"/>
              </w:rPr>
              <w:t>13,360,000</w:t>
            </w:r>
          </w:p>
        </w:tc>
        <w:tc>
          <w:tcPr>
            <w:tcW w:w="1530" w:type="dxa"/>
            <w:tcBorders>
              <w:top w:val="single" w:sz="4" w:space="0" w:color="auto"/>
            </w:tcBorders>
            <w:vAlign w:val="center"/>
          </w:tcPr>
          <w:p w14:paraId="2278B4F9" w14:textId="66BD2EA4" w:rsidR="00D64593" w:rsidRPr="00FD4285" w:rsidRDefault="00D64593" w:rsidP="00865FA1">
            <w:pPr>
              <w:jc w:val="right"/>
              <w:rPr>
                <w:rFonts w:ascii="Arial" w:hAnsi="Arial" w:cs="Arial"/>
                <w:color w:val="000000"/>
                <w:sz w:val="20"/>
                <w:szCs w:val="20"/>
              </w:rPr>
            </w:pPr>
            <w:r w:rsidRPr="00FD4285">
              <w:rPr>
                <w:rFonts w:ascii="Arial" w:hAnsi="Arial" w:cs="Arial"/>
                <w:color w:val="000000"/>
                <w:sz w:val="20"/>
                <w:szCs w:val="20"/>
              </w:rPr>
              <w:t>4,541,000</w:t>
            </w:r>
          </w:p>
        </w:tc>
        <w:tc>
          <w:tcPr>
            <w:tcW w:w="1435" w:type="dxa"/>
            <w:tcBorders>
              <w:top w:val="single" w:sz="4" w:space="0" w:color="auto"/>
              <w:right w:val="single" w:sz="4" w:space="0" w:color="auto"/>
            </w:tcBorders>
            <w:vAlign w:val="center"/>
          </w:tcPr>
          <w:p w14:paraId="201DD153" w14:textId="5649345A" w:rsidR="00D64593" w:rsidRPr="00FD4285" w:rsidRDefault="00D64593" w:rsidP="00865FA1">
            <w:pPr>
              <w:jc w:val="right"/>
              <w:rPr>
                <w:rFonts w:ascii="Arial" w:hAnsi="Arial" w:cs="Arial"/>
                <w:color w:val="000000"/>
                <w:sz w:val="20"/>
                <w:szCs w:val="20"/>
              </w:rPr>
            </w:pPr>
          </w:p>
        </w:tc>
      </w:tr>
      <w:bookmarkEnd w:id="0"/>
      <w:tr w:rsidR="00865FA1" w:rsidRPr="00301088" w14:paraId="0F898669" w14:textId="32F4137A"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6"/>
        </w:trPr>
        <w:tc>
          <w:tcPr>
            <w:tcW w:w="4045" w:type="dxa"/>
            <w:tcBorders>
              <w:top w:val="nil"/>
              <w:left w:val="single" w:sz="4" w:space="0" w:color="auto"/>
            </w:tcBorders>
            <w:shd w:val="clear" w:color="auto" w:fill="auto"/>
            <w:noWrap/>
            <w:vAlign w:val="center"/>
            <w:hideMark/>
          </w:tcPr>
          <w:p w14:paraId="655F8C00" w14:textId="755532BE" w:rsidR="00865FA1" w:rsidRPr="00FD4285" w:rsidRDefault="00865FA1" w:rsidP="00865FA1">
            <w:pPr>
              <w:rPr>
                <w:rFonts w:ascii="Arial" w:hAnsi="Arial" w:cs="Arial"/>
                <w:color w:val="000000"/>
                <w:sz w:val="20"/>
                <w:szCs w:val="20"/>
              </w:rPr>
            </w:pPr>
            <w:r w:rsidRPr="00FD4285">
              <w:rPr>
                <w:rFonts w:ascii="Arial" w:hAnsi="Arial" w:cs="Arial"/>
                <w:color w:val="000000"/>
                <w:sz w:val="20"/>
                <w:szCs w:val="20"/>
              </w:rPr>
              <w:t>Other Expenses</w:t>
            </w:r>
          </w:p>
        </w:tc>
        <w:tc>
          <w:tcPr>
            <w:tcW w:w="1530" w:type="dxa"/>
            <w:tcBorders>
              <w:top w:val="nil"/>
            </w:tcBorders>
            <w:vAlign w:val="center"/>
          </w:tcPr>
          <w:p w14:paraId="6E631FC8" w14:textId="0B21B0C4" w:rsidR="00865FA1" w:rsidRPr="00FD4285" w:rsidRDefault="00865FA1" w:rsidP="00865FA1">
            <w:pPr>
              <w:jc w:val="right"/>
              <w:rPr>
                <w:rFonts w:ascii="Arial" w:hAnsi="Arial" w:cs="Arial"/>
                <w:color w:val="000000"/>
                <w:sz w:val="20"/>
                <w:szCs w:val="20"/>
              </w:rPr>
            </w:pPr>
            <w:r w:rsidRPr="00FD4285">
              <w:rPr>
                <w:rFonts w:ascii="Arial" w:hAnsi="Arial" w:cs="Arial"/>
                <w:color w:val="000000"/>
                <w:sz w:val="20"/>
                <w:szCs w:val="20"/>
              </w:rPr>
              <w:t>0</w:t>
            </w:r>
          </w:p>
        </w:tc>
        <w:tc>
          <w:tcPr>
            <w:tcW w:w="1530" w:type="dxa"/>
            <w:tcBorders>
              <w:top w:val="nil"/>
            </w:tcBorders>
            <w:shd w:val="clear" w:color="auto" w:fill="auto"/>
            <w:noWrap/>
            <w:vAlign w:val="center"/>
          </w:tcPr>
          <w:p w14:paraId="6BC73663" w14:textId="15B8409B" w:rsidR="00865FA1" w:rsidRPr="00FD4285" w:rsidRDefault="00865FA1" w:rsidP="00865FA1">
            <w:pPr>
              <w:rPr>
                <w:rFonts w:ascii="Arial" w:hAnsi="Arial" w:cs="Arial"/>
                <w:color w:val="000000"/>
                <w:sz w:val="20"/>
                <w:szCs w:val="20"/>
              </w:rPr>
            </w:pPr>
            <w:r>
              <w:rPr>
                <w:rFonts w:ascii="Arial" w:hAnsi="Arial" w:cs="Arial"/>
                <w:color w:val="000000"/>
                <w:sz w:val="20"/>
                <w:szCs w:val="20"/>
              </w:rPr>
              <w:t xml:space="preserve">     </w:t>
            </w:r>
            <w:r w:rsidRPr="00FD4285">
              <w:rPr>
                <w:rFonts w:ascii="Arial" w:hAnsi="Arial" w:cs="Arial"/>
                <w:color w:val="000000"/>
                <w:sz w:val="20"/>
                <w:szCs w:val="20"/>
              </w:rPr>
              <w:t>(1,356,000)</w:t>
            </w:r>
          </w:p>
        </w:tc>
        <w:tc>
          <w:tcPr>
            <w:tcW w:w="1530" w:type="dxa"/>
            <w:tcBorders>
              <w:top w:val="nil"/>
              <w:bottom w:val="nil"/>
            </w:tcBorders>
            <w:vAlign w:val="center"/>
          </w:tcPr>
          <w:p w14:paraId="547E622F" w14:textId="73590C24" w:rsidR="00865FA1" w:rsidRPr="00FD4285" w:rsidRDefault="00865FA1" w:rsidP="00865FA1">
            <w:pPr>
              <w:rPr>
                <w:rFonts w:ascii="Arial" w:hAnsi="Arial" w:cs="Arial"/>
                <w:color w:val="000000"/>
                <w:sz w:val="20"/>
                <w:szCs w:val="20"/>
              </w:rPr>
            </w:pPr>
            <w:r>
              <w:rPr>
                <w:rFonts w:ascii="Arial" w:hAnsi="Arial" w:cs="Arial"/>
                <w:color w:val="000000"/>
                <w:sz w:val="20"/>
                <w:szCs w:val="20"/>
              </w:rPr>
              <w:t xml:space="preserve">                     0</w:t>
            </w:r>
          </w:p>
        </w:tc>
        <w:tc>
          <w:tcPr>
            <w:tcW w:w="1435" w:type="dxa"/>
            <w:tcBorders>
              <w:top w:val="nil"/>
              <w:right w:val="single" w:sz="4" w:space="0" w:color="auto"/>
            </w:tcBorders>
            <w:vAlign w:val="center"/>
          </w:tcPr>
          <w:p w14:paraId="589BFD3F" w14:textId="007385A8" w:rsidR="00865FA1" w:rsidRPr="00FD4285" w:rsidRDefault="00865FA1" w:rsidP="00865FA1">
            <w:pPr>
              <w:rPr>
                <w:rFonts w:ascii="Arial" w:hAnsi="Arial" w:cs="Arial"/>
                <w:color w:val="000000"/>
                <w:sz w:val="20"/>
                <w:szCs w:val="20"/>
              </w:rPr>
            </w:pPr>
          </w:p>
        </w:tc>
      </w:tr>
      <w:tr w:rsidR="00FD4285" w:rsidRPr="00301088" w14:paraId="2496C880" w14:textId="77777777"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tcBorders>
            <w:shd w:val="clear" w:color="auto" w:fill="auto"/>
            <w:noWrap/>
            <w:vAlign w:val="center"/>
          </w:tcPr>
          <w:p w14:paraId="5FCB9777" w14:textId="3B5226C4" w:rsidR="00FD4285" w:rsidRPr="00FD4285" w:rsidRDefault="00FD4285" w:rsidP="00865FA1">
            <w:pPr>
              <w:rPr>
                <w:rFonts w:ascii="Arial" w:hAnsi="Arial" w:cs="Arial"/>
                <w:color w:val="000000"/>
                <w:sz w:val="20"/>
                <w:szCs w:val="20"/>
              </w:rPr>
            </w:pPr>
            <w:r w:rsidRPr="00FD4285">
              <w:rPr>
                <w:rFonts w:ascii="Arial" w:hAnsi="Arial" w:cs="Arial"/>
                <w:color w:val="000000"/>
                <w:sz w:val="20"/>
                <w:szCs w:val="20"/>
              </w:rPr>
              <w:t>Special Items - Transfer of Operations</w:t>
            </w:r>
          </w:p>
        </w:tc>
        <w:tc>
          <w:tcPr>
            <w:tcW w:w="1530" w:type="dxa"/>
            <w:tcBorders>
              <w:top w:val="nil"/>
            </w:tcBorders>
            <w:vAlign w:val="center"/>
          </w:tcPr>
          <w:p w14:paraId="207E9E9A" w14:textId="77777777" w:rsidR="00FD4285" w:rsidRPr="00FD4285" w:rsidRDefault="00FD4285" w:rsidP="00865FA1">
            <w:pPr>
              <w:jc w:val="right"/>
              <w:rPr>
                <w:rFonts w:ascii="Arial" w:hAnsi="Arial" w:cs="Arial"/>
                <w:color w:val="000000"/>
                <w:sz w:val="20"/>
                <w:szCs w:val="20"/>
              </w:rPr>
            </w:pPr>
          </w:p>
        </w:tc>
        <w:tc>
          <w:tcPr>
            <w:tcW w:w="1530" w:type="dxa"/>
            <w:tcBorders>
              <w:top w:val="nil"/>
            </w:tcBorders>
            <w:shd w:val="clear" w:color="auto" w:fill="auto"/>
            <w:noWrap/>
            <w:vAlign w:val="center"/>
          </w:tcPr>
          <w:p w14:paraId="349742C7" w14:textId="77777777" w:rsidR="00FD4285" w:rsidRPr="00FD4285" w:rsidRDefault="00FD4285" w:rsidP="00865FA1">
            <w:pPr>
              <w:jc w:val="right"/>
              <w:rPr>
                <w:rFonts w:ascii="Arial" w:hAnsi="Arial" w:cs="Arial"/>
                <w:color w:val="000000"/>
                <w:sz w:val="20"/>
                <w:szCs w:val="20"/>
              </w:rPr>
            </w:pPr>
          </w:p>
        </w:tc>
        <w:tc>
          <w:tcPr>
            <w:tcW w:w="1530" w:type="dxa"/>
            <w:tcBorders>
              <w:top w:val="nil"/>
            </w:tcBorders>
            <w:vAlign w:val="center"/>
          </w:tcPr>
          <w:p w14:paraId="29E9950D" w14:textId="1BA0C35C" w:rsidR="00FD4285" w:rsidRPr="00FD4285" w:rsidRDefault="00FD4285" w:rsidP="00865FA1">
            <w:pPr>
              <w:jc w:val="right"/>
              <w:rPr>
                <w:rFonts w:ascii="Arial" w:hAnsi="Arial" w:cs="Arial"/>
                <w:color w:val="000000"/>
                <w:sz w:val="20"/>
                <w:szCs w:val="20"/>
              </w:rPr>
            </w:pPr>
            <w:r w:rsidRPr="00FD4285">
              <w:rPr>
                <w:rFonts w:ascii="Arial" w:hAnsi="Arial" w:cs="Arial"/>
                <w:color w:val="000000"/>
                <w:sz w:val="20"/>
                <w:szCs w:val="20"/>
              </w:rPr>
              <w:t>663,000</w:t>
            </w:r>
          </w:p>
        </w:tc>
        <w:tc>
          <w:tcPr>
            <w:tcW w:w="1435" w:type="dxa"/>
            <w:tcBorders>
              <w:top w:val="nil"/>
              <w:right w:val="single" w:sz="4" w:space="0" w:color="auto"/>
            </w:tcBorders>
            <w:vAlign w:val="center"/>
          </w:tcPr>
          <w:p w14:paraId="0107D584" w14:textId="77777777" w:rsidR="00FD4285" w:rsidRPr="00FD4285" w:rsidRDefault="00FD4285" w:rsidP="00865FA1">
            <w:pPr>
              <w:jc w:val="right"/>
              <w:rPr>
                <w:rFonts w:ascii="Arial" w:hAnsi="Arial" w:cs="Arial"/>
                <w:color w:val="000000"/>
                <w:sz w:val="20"/>
                <w:szCs w:val="20"/>
              </w:rPr>
            </w:pPr>
          </w:p>
        </w:tc>
      </w:tr>
      <w:tr w:rsidR="00D64593" w:rsidRPr="00301088" w14:paraId="630E7C7D" w14:textId="734F3020"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left w:val="single" w:sz="4" w:space="0" w:color="auto"/>
            </w:tcBorders>
            <w:shd w:val="clear" w:color="auto" w:fill="auto"/>
            <w:noWrap/>
            <w:vAlign w:val="center"/>
            <w:hideMark/>
          </w:tcPr>
          <w:p w14:paraId="29F61BC0" w14:textId="77777777" w:rsidR="00D64593" w:rsidRPr="00FD4285" w:rsidRDefault="00D64593" w:rsidP="00865FA1">
            <w:pPr>
              <w:rPr>
                <w:rFonts w:ascii="Arial" w:hAnsi="Arial" w:cs="Arial"/>
                <w:color w:val="000000"/>
                <w:sz w:val="20"/>
                <w:szCs w:val="20"/>
              </w:rPr>
            </w:pPr>
            <w:r w:rsidRPr="00FD4285">
              <w:rPr>
                <w:rFonts w:ascii="Arial" w:hAnsi="Arial" w:cs="Arial"/>
                <w:color w:val="000000"/>
                <w:sz w:val="20"/>
                <w:szCs w:val="20"/>
              </w:rPr>
              <w:t>Net other revenues and expenses</w:t>
            </w:r>
          </w:p>
        </w:tc>
        <w:tc>
          <w:tcPr>
            <w:tcW w:w="1530" w:type="dxa"/>
            <w:vAlign w:val="center"/>
          </w:tcPr>
          <w:p w14:paraId="6BB0DA72" w14:textId="1FF5FC13" w:rsidR="00D64593" w:rsidRPr="00FD4285" w:rsidRDefault="00D64593" w:rsidP="00865FA1">
            <w:pPr>
              <w:jc w:val="right"/>
              <w:rPr>
                <w:rFonts w:ascii="Arial" w:hAnsi="Arial" w:cs="Arial"/>
                <w:color w:val="000000"/>
                <w:sz w:val="20"/>
                <w:szCs w:val="20"/>
              </w:rPr>
            </w:pPr>
            <w:r w:rsidRPr="00FD4285">
              <w:rPr>
                <w:rFonts w:ascii="Arial" w:hAnsi="Arial" w:cs="Arial"/>
                <w:color w:val="000000"/>
                <w:sz w:val="20"/>
                <w:szCs w:val="20"/>
              </w:rPr>
              <w:t>6,820,000</w:t>
            </w:r>
          </w:p>
        </w:tc>
        <w:tc>
          <w:tcPr>
            <w:tcW w:w="1530" w:type="dxa"/>
            <w:shd w:val="clear" w:color="auto" w:fill="auto"/>
            <w:noWrap/>
            <w:vAlign w:val="center"/>
          </w:tcPr>
          <w:p w14:paraId="7AB932A2" w14:textId="307F553E" w:rsidR="00D64593" w:rsidRPr="00FD4285" w:rsidRDefault="00D64593" w:rsidP="00865FA1">
            <w:pPr>
              <w:jc w:val="right"/>
              <w:rPr>
                <w:rFonts w:ascii="Arial" w:hAnsi="Arial" w:cs="Arial"/>
                <w:color w:val="000000"/>
                <w:sz w:val="20"/>
                <w:szCs w:val="20"/>
              </w:rPr>
            </w:pPr>
            <w:r w:rsidRPr="00FD4285">
              <w:rPr>
                <w:rFonts w:ascii="Arial" w:hAnsi="Arial" w:cs="Arial"/>
                <w:color w:val="000000"/>
                <w:sz w:val="20"/>
                <w:szCs w:val="20"/>
              </w:rPr>
              <w:t>12,004,000</w:t>
            </w:r>
          </w:p>
        </w:tc>
        <w:tc>
          <w:tcPr>
            <w:tcW w:w="1530" w:type="dxa"/>
            <w:vAlign w:val="center"/>
          </w:tcPr>
          <w:p w14:paraId="2DD86E5C" w14:textId="0E45A0AE" w:rsidR="00D64593" w:rsidRPr="00FD4285" w:rsidRDefault="00D64593" w:rsidP="00865FA1">
            <w:pPr>
              <w:jc w:val="right"/>
              <w:rPr>
                <w:rFonts w:ascii="Arial" w:hAnsi="Arial" w:cs="Arial"/>
                <w:color w:val="000000"/>
                <w:sz w:val="20"/>
                <w:szCs w:val="20"/>
              </w:rPr>
            </w:pPr>
            <w:r w:rsidRPr="00FD4285">
              <w:rPr>
                <w:rFonts w:ascii="Arial" w:hAnsi="Arial" w:cs="Arial"/>
                <w:color w:val="000000"/>
                <w:sz w:val="20"/>
                <w:szCs w:val="20"/>
              </w:rPr>
              <w:t>5,204,000</w:t>
            </w:r>
          </w:p>
        </w:tc>
        <w:tc>
          <w:tcPr>
            <w:tcW w:w="1435" w:type="dxa"/>
            <w:tcBorders>
              <w:right w:val="single" w:sz="4" w:space="0" w:color="auto"/>
            </w:tcBorders>
            <w:vAlign w:val="center"/>
          </w:tcPr>
          <w:p w14:paraId="3FF63E73" w14:textId="6ADB1D20" w:rsidR="00D64593" w:rsidRPr="00FD4285" w:rsidRDefault="00D64593" w:rsidP="00865FA1">
            <w:pPr>
              <w:jc w:val="right"/>
              <w:rPr>
                <w:rFonts w:ascii="Arial" w:hAnsi="Arial" w:cs="Arial"/>
                <w:color w:val="000000"/>
                <w:sz w:val="20"/>
                <w:szCs w:val="20"/>
              </w:rPr>
            </w:pPr>
          </w:p>
        </w:tc>
      </w:tr>
      <w:tr w:rsidR="00D64593" w:rsidRPr="00301088" w14:paraId="197534A1" w14:textId="64C6A14F"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single" w:sz="4" w:space="0" w:color="auto"/>
            </w:tcBorders>
            <w:shd w:val="clear" w:color="auto" w:fill="auto"/>
            <w:noWrap/>
            <w:vAlign w:val="center"/>
            <w:hideMark/>
          </w:tcPr>
          <w:p w14:paraId="3DCAA2AC" w14:textId="0438852B" w:rsidR="00D64593" w:rsidRPr="00FD4285" w:rsidRDefault="00D64593" w:rsidP="00865FA1">
            <w:pPr>
              <w:rPr>
                <w:rFonts w:ascii="Arial" w:hAnsi="Arial" w:cs="Arial"/>
                <w:color w:val="000000"/>
                <w:sz w:val="20"/>
                <w:szCs w:val="20"/>
              </w:rPr>
            </w:pPr>
            <w:r w:rsidRPr="00FD4285">
              <w:rPr>
                <w:rFonts w:ascii="Arial" w:hAnsi="Arial" w:cs="Arial"/>
                <w:color w:val="000000"/>
                <w:sz w:val="20"/>
                <w:szCs w:val="20"/>
              </w:rPr>
              <w:lastRenderedPageBreak/>
              <w:t>Increase in net assets</w:t>
            </w:r>
          </w:p>
        </w:tc>
        <w:tc>
          <w:tcPr>
            <w:tcW w:w="1530" w:type="dxa"/>
            <w:tcBorders>
              <w:top w:val="nil"/>
              <w:bottom w:val="single" w:sz="4" w:space="0" w:color="auto"/>
            </w:tcBorders>
            <w:vAlign w:val="center"/>
          </w:tcPr>
          <w:p w14:paraId="30F3440C" w14:textId="2031F740" w:rsidR="00D64593" w:rsidRPr="00FD4285" w:rsidRDefault="00D64593" w:rsidP="00865FA1">
            <w:pPr>
              <w:jc w:val="right"/>
              <w:rPr>
                <w:rFonts w:ascii="Arial" w:hAnsi="Arial" w:cs="Arial"/>
                <w:color w:val="000000"/>
                <w:sz w:val="20"/>
                <w:szCs w:val="20"/>
              </w:rPr>
            </w:pPr>
            <w:r w:rsidRPr="00FD4285">
              <w:rPr>
                <w:rFonts w:ascii="Arial" w:hAnsi="Arial" w:cs="Arial"/>
                <w:color w:val="000000"/>
                <w:sz w:val="20"/>
                <w:szCs w:val="20"/>
              </w:rPr>
              <w:t>3,919,000</w:t>
            </w:r>
          </w:p>
        </w:tc>
        <w:tc>
          <w:tcPr>
            <w:tcW w:w="1530" w:type="dxa"/>
            <w:tcBorders>
              <w:bottom w:val="single" w:sz="4" w:space="0" w:color="auto"/>
            </w:tcBorders>
            <w:shd w:val="clear" w:color="auto" w:fill="auto"/>
            <w:noWrap/>
            <w:vAlign w:val="center"/>
          </w:tcPr>
          <w:p w14:paraId="7F8655B3" w14:textId="37E70307" w:rsidR="00D64593" w:rsidRPr="00FD4285" w:rsidRDefault="00D64593" w:rsidP="00865FA1">
            <w:pPr>
              <w:jc w:val="right"/>
              <w:rPr>
                <w:rFonts w:ascii="Arial" w:hAnsi="Arial" w:cs="Arial"/>
                <w:color w:val="000000"/>
                <w:sz w:val="20"/>
                <w:szCs w:val="20"/>
              </w:rPr>
            </w:pPr>
            <w:r w:rsidRPr="00FD4285">
              <w:rPr>
                <w:rFonts w:ascii="Arial" w:hAnsi="Arial" w:cs="Arial"/>
                <w:color w:val="000000"/>
                <w:sz w:val="20"/>
                <w:szCs w:val="20"/>
              </w:rPr>
              <w:t>4,893,000</w:t>
            </w:r>
          </w:p>
        </w:tc>
        <w:tc>
          <w:tcPr>
            <w:tcW w:w="1530" w:type="dxa"/>
            <w:tcBorders>
              <w:bottom w:val="single" w:sz="4" w:space="0" w:color="auto"/>
            </w:tcBorders>
          </w:tcPr>
          <w:p w14:paraId="5F92AFF5" w14:textId="346C06E6" w:rsidR="00D64593" w:rsidRPr="00FD4285" w:rsidRDefault="00D64593" w:rsidP="00865FA1">
            <w:pPr>
              <w:jc w:val="right"/>
              <w:rPr>
                <w:rFonts w:ascii="Arial" w:hAnsi="Arial" w:cs="Arial"/>
                <w:color w:val="000000"/>
                <w:sz w:val="20"/>
                <w:szCs w:val="20"/>
              </w:rPr>
            </w:pPr>
            <w:r w:rsidRPr="00FD4285">
              <w:rPr>
                <w:rFonts w:ascii="Arial" w:hAnsi="Arial" w:cs="Arial"/>
                <w:color w:val="000000"/>
                <w:sz w:val="20"/>
                <w:szCs w:val="20"/>
              </w:rPr>
              <w:t>15,452,000</w:t>
            </w:r>
          </w:p>
        </w:tc>
        <w:tc>
          <w:tcPr>
            <w:tcW w:w="1435" w:type="dxa"/>
            <w:tcBorders>
              <w:bottom w:val="single" w:sz="4" w:space="0" w:color="auto"/>
              <w:right w:val="single" w:sz="4" w:space="0" w:color="auto"/>
            </w:tcBorders>
          </w:tcPr>
          <w:p w14:paraId="3327443E" w14:textId="72F93D13" w:rsidR="00D64593" w:rsidRPr="00FD4285" w:rsidRDefault="00D64593" w:rsidP="00865FA1">
            <w:pPr>
              <w:jc w:val="right"/>
              <w:rPr>
                <w:rFonts w:ascii="Arial" w:hAnsi="Arial" w:cs="Arial"/>
                <w:color w:val="000000"/>
                <w:sz w:val="20"/>
                <w:szCs w:val="20"/>
              </w:rPr>
            </w:pPr>
          </w:p>
        </w:tc>
      </w:tr>
      <w:tr w:rsidR="00865FA1" w:rsidRPr="00301088" w14:paraId="2520AD5A" w14:textId="5995DCBC" w:rsidTr="00A850F7">
        <w:trPr>
          <w:trHeight w:val="212"/>
        </w:trPr>
        <w:tc>
          <w:tcPr>
            <w:tcW w:w="4045" w:type="dxa"/>
            <w:tcBorders>
              <w:top w:val="nil"/>
              <w:left w:val="nil"/>
              <w:bottom w:val="single" w:sz="4" w:space="0" w:color="auto"/>
              <w:right w:val="nil"/>
            </w:tcBorders>
            <w:shd w:val="clear" w:color="auto" w:fill="000080"/>
            <w:vAlign w:val="center"/>
          </w:tcPr>
          <w:p w14:paraId="294FD8D2" w14:textId="77777777" w:rsidR="00D64593" w:rsidRPr="00301088" w:rsidRDefault="00D64593" w:rsidP="00865FA1">
            <w:pPr>
              <w:rPr>
                <w:rFonts w:ascii="Arial" w:hAnsi="Arial" w:cs="Arial"/>
                <w:b/>
                <w:bCs/>
                <w:color w:val="FFFFFF"/>
                <w:sz w:val="20"/>
              </w:rPr>
            </w:pPr>
            <w:r>
              <w:rPr>
                <w:rFonts w:ascii="Arial" w:hAnsi="Arial" w:cs="Arial"/>
                <w:b/>
                <w:bCs/>
                <w:color w:val="FFFFFF"/>
                <w:sz w:val="20"/>
              </w:rPr>
              <w:t>Other Revenue and Expenses</w:t>
            </w:r>
          </w:p>
        </w:tc>
        <w:tc>
          <w:tcPr>
            <w:tcW w:w="1530" w:type="dxa"/>
            <w:tcBorders>
              <w:top w:val="nil"/>
              <w:left w:val="nil"/>
              <w:bottom w:val="single" w:sz="4" w:space="0" w:color="auto"/>
              <w:right w:val="nil"/>
            </w:tcBorders>
            <w:shd w:val="clear" w:color="auto" w:fill="000080"/>
            <w:vAlign w:val="center"/>
          </w:tcPr>
          <w:p w14:paraId="13E59AB0" w14:textId="59D0811A" w:rsidR="00D64593" w:rsidRPr="00301088" w:rsidRDefault="00D64593" w:rsidP="00865FA1">
            <w:pPr>
              <w:jc w:val="center"/>
              <w:rPr>
                <w:rFonts w:ascii="Arial" w:hAnsi="Arial" w:cs="Arial"/>
                <w:b/>
                <w:bCs/>
                <w:color w:val="FFFFFF"/>
                <w:sz w:val="20"/>
              </w:rPr>
            </w:pPr>
            <w:r>
              <w:rPr>
                <w:rFonts w:ascii="Arial" w:hAnsi="Arial" w:cs="Arial"/>
                <w:b/>
                <w:bCs/>
                <w:color w:val="FFFFFF"/>
                <w:sz w:val="20"/>
              </w:rPr>
              <w:t>FY 2019</w:t>
            </w:r>
          </w:p>
        </w:tc>
        <w:tc>
          <w:tcPr>
            <w:tcW w:w="1530" w:type="dxa"/>
            <w:tcBorders>
              <w:top w:val="nil"/>
              <w:left w:val="nil"/>
              <w:bottom w:val="single" w:sz="4" w:space="0" w:color="auto"/>
              <w:right w:val="nil"/>
            </w:tcBorders>
            <w:shd w:val="clear" w:color="auto" w:fill="000080"/>
            <w:vAlign w:val="center"/>
          </w:tcPr>
          <w:p w14:paraId="6A6C069C" w14:textId="0794A4A5" w:rsidR="00D64593" w:rsidRPr="00301088" w:rsidRDefault="00D64593" w:rsidP="00865FA1">
            <w:pPr>
              <w:jc w:val="center"/>
              <w:rPr>
                <w:rFonts w:ascii="Arial" w:hAnsi="Arial" w:cs="Arial"/>
                <w:b/>
                <w:bCs/>
                <w:color w:val="FFFFFF"/>
                <w:sz w:val="20"/>
              </w:rPr>
            </w:pPr>
            <w:r>
              <w:rPr>
                <w:rFonts w:ascii="Arial" w:hAnsi="Arial" w:cs="Arial"/>
                <w:b/>
                <w:bCs/>
                <w:color w:val="FFFFFF"/>
                <w:sz w:val="20"/>
              </w:rPr>
              <w:t>FY 2020</w:t>
            </w:r>
          </w:p>
        </w:tc>
        <w:tc>
          <w:tcPr>
            <w:tcW w:w="1530" w:type="dxa"/>
            <w:tcBorders>
              <w:top w:val="nil"/>
              <w:left w:val="nil"/>
              <w:bottom w:val="single" w:sz="4" w:space="0" w:color="auto"/>
              <w:right w:val="nil"/>
            </w:tcBorders>
            <w:shd w:val="clear" w:color="auto" w:fill="000080"/>
            <w:vAlign w:val="center"/>
          </w:tcPr>
          <w:p w14:paraId="4D46831C" w14:textId="01CA68FE" w:rsidR="00D64593" w:rsidRPr="00301088" w:rsidRDefault="00D64593" w:rsidP="00865FA1">
            <w:pPr>
              <w:jc w:val="center"/>
              <w:rPr>
                <w:rFonts w:ascii="Arial" w:hAnsi="Arial" w:cs="Arial"/>
                <w:b/>
                <w:bCs/>
                <w:color w:val="FFFFFF"/>
                <w:sz w:val="20"/>
              </w:rPr>
            </w:pPr>
            <w:r>
              <w:rPr>
                <w:rFonts w:ascii="Arial" w:hAnsi="Arial" w:cs="Arial"/>
                <w:b/>
                <w:bCs/>
                <w:color w:val="FFFFFF"/>
                <w:sz w:val="20"/>
              </w:rPr>
              <w:t>FY 2021</w:t>
            </w:r>
          </w:p>
        </w:tc>
        <w:tc>
          <w:tcPr>
            <w:tcW w:w="1435" w:type="dxa"/>
            <w:tcBorders>
              <w:top w:val="nil"/>
              <w:left w:val="nil"/>
              <w:bottom w:val="single" w:sz="4" w:space="0" w:color="auto"/>
              <w:right w:val="nil"/>
            </w:tcBorders>
            <w:shd w:val="clear" w:color="auto" w:fill="000080"/>
          </w:tcPr>
          <w:p w14:paraId="6541EB2A" w14:textId="7768F3A0" w:rsidR="00D64593" w:rsidRDefault="00D64593" w:rsidP="00865FA1">
            <w:pPr>
              <w:jc w:val="center"/>
              <w:rPr>
                <w:rFonts w:ascii="Arial" w:hAnsi="Arial" w:cs="Arial"/>
                <w:b/>
                <w:bCs/>
                <w:color w:val="FFFFFF"/>
                <w:sz w:val="20"/>
              </w:rPr>
            </w:pPr>
            <w:r>
              <w:rPr>
                <w:rFonts w:ascii="Arial" w:hAnsi="Arial" w:cs="Arial"/>
                <w:b/>
                <w:bCs/>
                <w:color w:val="FFFFFF"/>
                <w:sz w:val="20"/>
              </w:rPr>
              <w:t>FY 2022</w:t>
            </w:r>
          </w:p>
        </w:tc>
      </w:tr>
      <w:tr w:rsidR="00D64593" w:rsidRPr="00301088" w14:paraId="46C32B16" w14:textId="2CE7A66A"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single" w:sz="4" w:space="0" w:color="auto"/>
              <w:left w:val="single" w:sz="4" w:space="0" w:color="auto"/>
              <w:bottom w:val="nil"/>
            </w:tcBorders>
            <w:shd w:val="clear" w:color="auto" w:fill="auto"/>
            <w:noWrap/>
            <w:vAlign w:val="center"/>
            <w:hideMark/>
          </w:tcPr>
          <w:p w14:paraId="4070CA2C" w14:textId="77777777" w:rsidR="00D64593" w:rsidRPr="00FD4285" w:rsidRDefault="00D64593" w:rsidP="00865FA1">
            <w:pPr>
              <w:rPr>
                <w:rFonts w:ascii="Arial" w:hAnsi="Arial" w:cs="Arial"/>
                <w:color w:val="000000"/>
                <w:sz w:val="20"/>
                <w:szCs w:val="20"/>
              </w:rPr>
            </w:pPr>
            <w:r w:rsidRPr="00FD4285">
              <w:rPr>
                <w:rFonts w:ascii="Arial" w:hAnsi="Arial" w:cs="Arial"/>
                <w:color w:val="000000"/>
                <w:sz w:val="20"/>
                <w:szCs w:val="20"/>
              </w:rPr>
              <w:t>Net assets - beginning of year (*-restated)</w:t>
            </w:r>
          </w:p>
        </w:tc>
        <w:tc>
          <w:tcPr>
            <w:tcW w:w="1530" w:type="dxa"/>
            <w:tcBorders>
              <w:top w:val="single" w:sz="4" w:space="0" w:color="auto"/>
              <w:bottom w:val="nil"/>
            </w:tcBorders>
            <w:vAlign w:val="center"/>
          </w:tcPr>
          <w:p w14:paraId="6745DC3D" w14:textId="2D375ABC" w:rsidR="00D64593" w:rsidRPr="00FD4285" w:rsidRDefault="00D64593" w:rsidP="00865FA1">
            <w:pPr>
              <w:jc w:val="right"/>
              <w:rPr>
                <w:rFonts w:ascii="Arial" w:hAnsi="Arial" w:cs="Arial"/>
                <w:color w:val="000000"/>
                <w:sz w:val="20"/>
                <w:szCs w:val="20"/>
              </w:rPr>
            </w:pPr>
            <w:r w:rsidRPr="00FD4285">
              <w:rPr>
                <w:rFonts w:ascii="Arial" w:hAnsi="Arial" w:cs="Arial"/>
                <w:color w:val="000000"/>
                <w:sz w:val="20"/>
                <w:szCs w:val="20"/>
              </w:rPr>
              <w:t>248,179,000</w:t>
            </w:r>
          </w:p>
        </w:tc>
        <w:tc>
          <w:tcPr>
            <w:tcW w:w="1530" w:type="dxa"/>
            <w:tcBorders>
              <w:top w:val="single" w:sz="4" w:space="0" w:color="auto"/>
              <w:bottom w:val="nil"/>
            </w:tcBorders>
            <w:shd w:val="clear" w:color="auto" w:fill="auto"/>
            <w:noWrap/>
            <w:vAlign w:val="center"/>
          </w:tcPr>
          <w:p w14:paraId="7E1EECB1" w14:textId="3FA0AD1F" w:rsidR="00D64593" w:rsidRPr="00FD4285" w:rsidRDefault="00D64593" w:rsidP="00865FA1">
            <w:pPr>
              <w:jc w:val="right"/>
              <w:rPr>
                <w:rFonts w:ascii="Arial" w:hAnsi="Arial" w:cs="Arial"/>
                <w:color w:val="000000"/>
                <w:sz w:val="20"/>
                <w:szCs w:val="20"/>
              </w:rPr>
            </w:pPr>
            <w:r w:rsidRPr="00FD4285">
              <w:rPr>
                <w:rFonts w:ascii="Arial" w:hAnsi="Arial" w:cs="Arial"/>
                <w:color w:val="000000"/>
                <w:sz w:val="20"/>
                <w:szCs w:val="20"/>
              </w:rPr>
              <w:t>252,098,000</w:t>
            </w:r>
          </w:p>
        </w:tc>
        <w:tc>
          <w:tcPr>
            <w:tcW w:w="1530" w:type="dxa"/>
            <w:tcBorders>
              <w:top w:val="single" w:sz="4" w:space="0" w:color="auto"/>
              <w:bottom w:val="nil"/>
            </w:tcBorders>
          </w:tcPr>
          <w:p w14:paraId="036B4F05" w14:textId="121E5B67" w:rsidR="00D64593" w:rsidRPr="00FD4285" w:rsidRDefault="00D64593" w:rsidP="00865FA1">
            <w:pPr>
              <w:jc w:val="right"/>
              <w:rPr>
                <w:rFonts w:ascii="Arial" w:hAnsi="Arial" w:cs="Arial"/>
                <w:color w:val="000000"/>
                <w:sz w:val="20"/>
                <w:szCs w:val="20"/>
              </w:rPr>
            </w:pPr>
            <w:r w:rsidRPr="00FD4285">
              <w:rPr>
                <w:rFonts w:ascii="Arial" w:hAnsi="Arial" w:cs="Arial"/>
                <w:color w:val="000000"/>
                <w:sz w:val="20"/>
                <w:szCs w:val="20"/>
              </w:rPr>
              <w:t>256,991,000</w:t>
            </w:r>
          </w:p>
        </w:tc>
        <w:tc>
          <w:tcPr>
            <w:tcW w:w="1435" w:type="dxa"/>
            <w:tcBorders>
              <w:top w:val="single" w:sz="4" w:space="0" w:color="auto"/>
              <w:bottom w:val="nil"/>
              <w:right w:val="single" w:sz="4" w:space="0" w:color="auto"/>
            </w:tcBorders>
          </w:tcPr>
          <w:p w14:paraId="4DE80986" w14:textId="0977685F" w:rsidR="00D64593" w:rsidRPr="00FD4285" w:rsidRDefault="00D64593" w:rsidP="00865FA1">
            <w:pPr>
              <w:jc w:val="right"/>
              <w:rPr>
                <w:rFonts w:ascii="Arial" w:hAnsi="Arial" w:cs="Arial"/>
                <w:color w:val="000000"/>
                <w:sz w:val="20"/>
                <w:szCs w:val="20"/>
              </w:rPr>
            </w:pPr>
          </w:p>
        </w:tc>
      </w:tr>
      <w:tr w:rsidR="00D64593" w:rsidRPr="00301088" w14:paraId="1225BF75" w14:textId="59C22B6D" w:rsidTr="00A85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045" w:type="dxa"/>
            <w:tcBorders>
              <w:top w:val="nil"/>
              <w:left w:val="single" w:sz="4" w:space="0" w:color="auto"/>
              <w:bottom w:val="single" w:sz="4" w:space="0" w:color="auto"/>
            </w:tcBorders>
            <w:shd w:val="clear" w:color="auto" w:fill="auto"/>
            <w:noWrap/>
            <w:vAlign w:val="center"/>
          </w:tcPr>
          <w:p w14:paraId="4858D4A4" w14:textId="77777777" w:rsidR="00D64593" w:rsidRPr="00FD4285" w:rsidRDefault="00D64593" w:rsidP="00865FA1">
            <w:pPr>
              <w:rPr>
                <w:rFonts w:ascii="Arial" w:hAnsi="Arial" w:cs="Arial"/>
                <w:color w:val="000000"/>
                <w:sz w:val="20"/>
                <w:szCs w:val="20"/>
              </w:rPr>
            </w:pPr>
            <w:r w:rsidRPr="00FD4285">
              <w:rPr>
                <w:rFonts w:ascii="Arial" w:hAnsi="Arial" w:cs="Arial"/>
                <w:color w:val="000000"/>
                <w:sz w:val="20"/>
                <w:szCs w:val="20"/>
              </w:rPr>
              <w:t>Net assets – end of year (*-restated)</w:t>
            </w:r>
          </w:p>
        </w:tc>
        <w:tc>
          <w:tcPr>
            <w:tcW w:w="1530" w:type="dxa"/>
            <w:tcBorders>
              <w:top w:val="nil"/>
              <w:bottom w:val="single" w:sz="4" w:space="0" w:color="auto"/>
            </w:tcBorders>
            <w:vAlign w:val="center"/>
          </w:tcPr>
          <w:p w14:paraId="14CCA00C" w14:textId="31A5296E" w:rsidR="00D64593" w:rsidRPr="00FD4285" w:rsidRDefault="00D64593" w:rsidP="00865FA1">
            <w:pPr>
              <w:jc w:val="right"/>
              <w:rPr>
                <w:rFonts w:ascii="Arial" w:hAnsi="Arial" w:cs="Arial"/>
                <w:color w:val="000000"/>
                <w:sz w:val="20"/>
                <w:szCs w:val="20"/>
              </w:rPr>
            </w:pPr>
            <w:r w:rsidRPr="00FD4285">
              <w:rPr>
                <w:rFonts w:ascii="Arial" w:hAnsi="Arial" w:cs="Arial"/>
                <w:color w:val="000000"/>
                <w:sz w:val="20"/>
                <w:szCs w:val="20"/>
              </w:rPr>
              <w:t>252,098,000</w:t>
            </w:r>
          </w:p>
        </w:tc>
        <w:tc>
          <w:tcPr>
            <w:tcW w:w="1530" w:type="dxa"/>
            <w:tcBorders>
              <w:top w:val="nil"/>
              <w:bottom w:val="single" w:sz="4" w:space="0" w:color="auto"/>
            </w:tcBorders>
            <w:shd w:val="clear" w:color="auto" w:fill="auto"/>
            <w:noWrap/>
            <w:vAlign w:val="center"/>
          </w:tcPr>
          <w:p w14:paraId="0924968C" w14:textId="28331E7B" w:rsidR="00D64593" w:rsidRPr="00FD4285" w:rsidRDefault="00D64593" w:rsidP="00865FA1">
            <w:pPr>
              <w:jc w:val="right"/>
              <w:rPr>
                <w:rFonts w:ascii="Arial" w:hAnsi="Arial" w:cs="Arial"/>
                <w:color w:val="000000"/>
                <w:sz w:val="20"/>
                <w:szCs w:val="20"/>
              </w:rPr>
            </w:pPr>
            <w:r w:rsidRPr="00FD4285">
              <w:rPr>
                <w:rFonts w:ascii="Arial" w:hAnsi="Arial" w:cs="Arial"/>
                <w:color w:val="000000"/>
                <w:sz w:val="20"/>
                <w:szCs w:val="20"/>
              </w:rPr>
              <w:t>256,991,000</w:t>
            </w:r>
          </w:p>
        </w:tc>
        <w:tc>
          <w:tcPr>
            <w:tcW w:w="1530" w:type="dxa"/>
            <w:tcBorders>
              <w:top w:val="nil"/>
              <w:bottom w:val="single" w:sz="4" w:space="0" w:color="auto"/>
            </w:tcBorders>
          </w:tcPr>
          <w:p w14:paraId="5BB03673" w14:textId="4C250D07" w:rsidR="00D64593" w:rsidRPr="00FD4285" w:rsidRDefault="00D64593" w:rsidP="00865FA1">
            <w:pPr>
              <w:jc w:val="right"/>
              <w:rPr>
                <w:rFonts w:ascii="Arial" w:hAnsi="Arial" w:cs="Arial"/>
                <w:color w:val="000000"/>
                <w:sz w:val="20"/>
                <w:szCs w:val="20"/>
              </w:rPr>
            </w:pPr>
            <w:r w:rsidRPr="00FD4285">
              <w:rPr>
                <w:rFonts w:ascii="Arial" w:hAnsi="Arial" w:cs="Arial"/>
                <w:color w:val="000000"/>
                <w:sz w:val="20"/>
                <w:szCs w:val="20"/>
              </w:rPr>
              <w:t>272,443,000</w:t>
            </w:r>
          </w:p>
        </w:tc>
        <w:tc>
          <w:tcPr>
            <w:tcW w:w="1435" w:type="dxa"/>
            <w:tcBorders>
              <w:top w:val="nil"/>
              <w:bottom w:val="single" w:sz="4" w:space="0" w:color="auto"/>
              <w:right w:val="single" w:sz="4" w:space="0" w:color="auto"/>
            </w:tcBorders>
          </w:tcPr>
          <w:p w14:paraId="0908D4F6" w14:textId="6FAC7697" w:rsidR="00D64593" w:rsidRPr="00FD4285" w:rsidRDefault="00D64593" w:rsidP="00865FA1">
            <w:pPr>
              <w:jc w:val="right"/>
              <w:rPr>
                <w:rFonts w:ascii="Arial" w:hAnsi="Arial" w:cs="Arial"/>
                <w:color w:val="000000"/>
                <w:sz w:val="20"/>
                <w:szCs w:val="20"/>
              </w:rPr>
            </w:pPr>
          </w:p>
        </w:tc>
      </w:tr>
    </w:tbl>
    <w:p w14:paraId="01C1D627" w14:textId="77777777" w:rsidR="002E0B19" w:rsidRDefault="002E0B19" w:rsidP="005D2CAB">
      <w:pPr>
        <w:rPr>
          <w:rFonts w:ascii="Arial" w:hAnsi="Arial" w:cs="Arial"/>
          <w:b/>
          <w:bCs/>
        </w:rPr>
      </w:pPr>
    </w:p>
    <w:p w14:paraId="4D2EB1A3" w14:textId="634C50BA" w:rsidR="00446B1D" w:rsidRPr="00301088" w:rsidRDefault="00446B1D" w:rsidP="005D2CAB">
      <w:pPr>
        <w:rPr>
          <w:rFonts w:ascii="Arial" w:hAnsi="Arial" w:cs="Arial"/>
          <w:sz w:val="20"/>
        </w:rPr>
      </w:pPr>
      <w:r w:rsidRPr="00301088">
        <w:rPr>
          <w:rFonts w:ascii="Arial" w:hAnsi="Arial" w:cs="Arial"/>
          <w:b/>
          <w:bCs/>
        </w:rPr>
        <w:t xml:space="preserve">Profile of Cases Managed </w:t>
      </w:r>
      <w:r w:rsidRPr="00D65105">
        <w:rPr>
          <w:rFonts w:ascii="Arial" w:hAnsi="Arial" w:cs="Arial"/>
          <w:b/>
          <w:bCs/>
          <w:noProof/>
        </w:rPr>
        <w:t>and/or</w:t>
      </w:r>
      <w:r w:rsidRPr="00301088">
        <w:rPr>
          <w:rFonts w:ascii="Arial" w:hAnsi="Arial" w:cs="Arial"/>
          <w:b/>
          <w:bCs/>
        </w:rPr>
        <w:t xml:space="preserve"> Key Services Provided</w:t>
      </w:r>
    </w:p>
    <w:tbl>
      <w:tblPr>
        <w:tblW w:w="5000" w:type="pct"/>
        <w:tblBorders>
          <w:top w:val="double" w:sz="4" w:space="0" w:color="000080"/>
          <w:left w:val="double" w:sz="4" w:space="0" w:color="000080"/>
          <w:bottom w:val="double" w:sz="4" w:space="0" w:color="000080"/>
          <w:right w:val="double" w:sz="4" w:space="0" w:color="000080"/>
          <w:insideH w:val="single" w:sz="6" w:space="0" w:color="000080"/>
          <w:insideV w:val="single" w:sz="6" w:space="0" w:color="000080"/>
        </w:tblBorders>
        <w:tblLayout w:type="fixed"/>
        <w:tblLook w:val="0000" w:firstRow="0" w:lastRow="0" w:firstColumn="0" w:lastColumn="0" w:noHBand="0" w:noVBand="0"/>
      </w:tblPr>
      <w:tblGrid>
        <w:gridCol w:w="4045"/>
        <w:gridCol w:w="1530"/>
        <w:gridCol w:w="1530"/>
        <w:gridCol w:w="1530"/>
        <w:gridCol w:w="1435"/>
      </w:tblGrid>
      <w:tr w:rsidR="001072AD" w:rsidRPr="00301088" w14:paraId="6A226537" w14:textId="17458DB7" w:rsidTr="00A850F7">
        <w:trPr>
          <w:tblHeader/>
        </w:trPr>
        <w:tc>
          <w:tcPr>
            <w:tcW w:w="4045" w:type="dxa"/>
            <w:tcBorders>
              <w:top w:val="single" w:sz="4" w:space="0" w:color="auto"/>
              <w:left w:val="single" w:sz="4" w:space="0" w:color="auto"/>
              <w:bottom w:val="single" w:sz="4" w:space="0" w:color="auto"/>
              <w:right w:val="single" w:sz="4" w:space="0" w:color="auto"/>
            </w:tcBorders>
            <w:shd w:val="clear" w:color="auto" w:fill="000080"/>
            <w:vAlign w:val="center"/>
          </w:tcPr>
          <w:p w14:paraId="136194A8" w14:textId="77777777" w:rsidR="001072AD" w:rsidRPr="00301088" w:rsidRDefault="001072AD" w:rsidP="00160496">
            <w:pPr>
              <w:jc w:val="center"/>
              <w:rPr>
                <w:rFonts w:ascii="Arial" w:hAnsi="Arial" w:cs="Arial"/>
                <w:b/>
                <w:bCs/>
                <w:color w:val="FFFFFF"/>
                <w:sz w:val="20"/>
              </w:rPr>
            </w:pPr>
            <w:r w:rsidRPr="00301088">
              <w:rPr>
                <w:rFonts w:ascii="Arial" w:hAnsi="Arial" w:cs="Arial"/>
                <w:b/>
                <w:bCs/>
                <w:color w:val="FFFFFF"/>
                <w:sz w:val="20"/>
              </w:rPr>
              <w:t xml:space="preserve">Cases Managed </w:t>
            </w:r>
            <w:r w:rsidRPr="00D65105">
              <w:rPr>
                <w:rFonts w:ascii="Arial" w:hAnsi="Arial" w:cs="Arial"/>
                <w:b/>
                <w:bCs/>
                <w:noProof/>
                <w:color w:val="FFFFFF"/>
                <w:sz w:val="20"/>
              </w:rPr>
              <w:t>and/or</w:t>
            </w:r>
            <w:r w:rsidRPr="00301088">
              <w:rPr>
                <w:rFonts w:ascii="Arial" w:hAnsi="Arial" w:cs="Arial"/>
                <w:b/>
                <w:bCs/>
                <w:color w:val="FFFFFF"/>
                <w:sz w:val="20"/>
              </w:rPr>
              <w:t xml:space="preserve"> Key Services Provided</w:t>
            </w:r>
          </w:p>
        </w:tc>
        <w:tc>
          <w:tcPr>
            <w:tcW w:w="1530" w:type="dxa"/>
            <w:tcBorders>
              <w:top w:val="single" w:sz="4" w:space="0" w:color="auto"/>
              <w:left w:val="single" w:sz="4" w:space="0" w:color="auto"/>
              <w:bottom w:val="single" w:sz="4" w:space="0" w:color="auto"/>
              <w:right w:val="single" w:sz="4" w:space="0" w:color="auto"/>
            </w:tcBorders>
            <w:shd w:val="clear" w:color="auto" w:fill="000080"/>
          </w:tcPr>
          <w:p w14:paraId="466570FE" w14:textId="36C18B0F" w:rsidR="001072AD" w:rsidRPr="00301088" w:rsidRDefault="001072AD" w:rsidP="00160496">
            <w:pPr>
              <w:jc w:val="center"/>
              <w:rPr>
                <w:rFonts w:ascii="Arial" w:hAnsi="Arial" w:cs="Arial"/>
                <w:b/>
                <w:bCs/>
                <w:color w:val="FFFFFF"/>
                <w:sz w:val="20"/>
              </w:rPr>
            </w:pPr>
            <w:r>
              <w:rPr>
                <w:rFonts w:ascii="Arial" w:hAnsi="Arial" w:cs="Arial"/>
                <w:b/>
                <w:bCs/>
                <w:color w:val="FFFFFF"/>
                <w:sz w:val="20"/>
              </w:rPr>
              <w:t>FY 201</w:t>
            </w:r>
            <w:r w:rsidR="006E2526">
              <w:rPr>
                <w:rFonts w:ascii="Arial" w:hAnsi="Arial" w:cs="Arial"/>
                <w:b/>
                <w:bCs/>
                <w:color w:val="FFFFFF"/>
                <w:sz w:val="20"/>
              </w:rPr>
              <w:t>9</w:t>
            </w:r>
          </w:p>
        </w:tc>
        <w:tc>
          <w:tcPr>
            <w:tcW w:w="1530" w:type="dxa"/>
            <w:tcBorders>
              <w:top w:val="single" w:sz="4" w:space="0" w:color="auto"/>
              <w:left w:val="single" w:sz="4" w:space="0" w:color="auto"/>
              <w:bottom w:val="single" w:sz="4" w:space="0" w:color="auto"/>
              <w:right w:val="single" w:sz="4" w:space="0" w:color="auto"/>
            </w:tcBorders>
            <w:shd w:val="clear" w:color="auto" w:fill="000080"/>
          </w:tcPr>
          <w:p w14:paraId="3CAC917F" w14:textId="063A357F" w:rsidR="001072AD" w:rsidRPr="00301088" w:rsidRDefault="00B36D91" w:rsidP="00160496">
            <w:pPr>
              <w:jc w:val="center"/>
              <w:rPr>
                <w:rFonts w:ascii="Arial" w:hAnsi="Arial" w:cs="Arial"/>
                <w:b/>
                <w:bCs/>
                <w:color w:val="FFFFFF"/>
                <w:sz w:val="20"/>
              </w:rPr>
            </w:pPr>
            <w:r>
              <w:rPr>
                <w:rFonts w:ascii="Arial" w:hAnsi="Arial" w:cs="Arial"/>
                <w:b/>
                <w:bCs/>
                <w:color w:val="FFFFFF"/>
                <w:sz w:val="20"/>
              </w:rPr>
              <w:t>FY 2020</w:t>
            </w:r>
          </w:p>
        </w:tc>
        <w:tc>
          <w:tcPr>
            <w:tcW w:w="1530" w:type="dxa"/>
            <w:tcBorders>
              <w:top w:val="single" w:sz="4" w:space="0" w:color="auto"/>
              <w:left w:val="single" w:sz="4" w:space="0" w:color="auto"/>
              <w:bottom w:val="single" w:sz="4" w:space="0" w:color="auto"/>
              <w:right w:val="single" w:sz="4" w:space="0" w:color="auto"/>
            </w:tcBorders>
            <w:shd w:val="clear" w:color="auto" w:fill="000080"/>
          </w:tcPr>
          <w:p w14:paraId="43568B14" w14:textId="0415B69E" w:rsidR="001072AD" w:rsidRDefault="00B36D91" w:rsidP="00160496">
            <w:pPr>
              <w:jc w:val="center"/>
              <w:rPr>
                <w:rFonts w:ascii="Arial" w:hAnsi="Arial" w:cs="Arial"/>
                <w:b/>
                <w:bCs/>
                <w:color w:val="FFFFFF"/>
                <w:sz w:val="20"/>
              </w:rPr>
            </w:pPr>
            <w:r>
              <w:rPr>
                <w:rFonts w:ascii="Arial" w:hAnsi="Arial" w:cs="Arial"/>
                <w:b/>
                <w:bCs/>
                <w:color w:val="FFFFFF"/>
                <w:sz w:val="20"/>
              </w:rPr>
              <w:t>FY 2021</w:t>
            </w:r>
          </w:p>
        </w:tc>
        <w:tc>
          <w:tcPr>
            <w:tcW w:w="1435" w:type="dxa"/>
            <w:tcBorders>
              <w:top w:val="single" w:sz="4" w:space="0" w:color="auto"/>
              <w:left w:val="single" w:sz="4" w:space="0" w:color="auto"/>
              <w:bottom w:val="single" w:sz="4" w:space="0" w:color="auto"/>
              <w:right w:val="single" w:sz="4" w:space="0" w:color="auto"/>
            </w:tcBorders>
            <w:shd w:val="clear" w:color="auto" w:fill="000080"/>
          </w:tcPr>
          <w:p w14:paraId="625A7594" w14:textId="4E278F8A" w:rsidR="001072AD" w:rsidRDefault="00B36D91" w:rsidP="00160496">
            <w:pPr>
              <w:jc w:val="center"/>
              <w:rPr>
                <w:rFonts w:ascii="Arial" w:hAnsi="Arial" w:cs="Arial"/>
                <w:b/>
                <w:bCs/>
                <w:color w:val="FFFFFF"/>
                <w:sz w:val="20"/>
              </w:rPr>
            </w:pPr>
            <w:r>
              <w:rPr>
                <w:rFonts w:ascii="Arial" w:hAnsi="Arial" w:cs="Arial"/>
                <w:b/>
                <w:bCs/>
                <w:color w:val="FFFFFF"/>
                <w:sz w:val="20"/>
              </w:rPr>
              <w:t>FY 2022</w:t>
            </w:r>
          </w:p>
        </w:tc>
      </w:tr>
      <w:tr w:rsidR="00D64593" w:rsidRPr="00301088" w14:paraId="306DE1E1" w14:textId="435D8F46" w:rsidTr="00A850F7">
        <w:trPr>
          <w:trHeight w:val="1241"/>
        </w:trPr>
        <w:tc>
          <w:tcPr>
            <w:tcW w:w="4045" w:type="dxa"/>
            <w:tcBorders>
              <w:top w:val="single" w:sz="4" w:space="0" w:color="auto"/>
              <w:left w:val="single" w:sz="4" w:space="0" w:color="auto"/>
              <w:bottom w:val="single" w:sz="4" w:space="0" w:color="auto"/>
              <w:right w:val="single" w:sz="4" w:space="0" w:color="auto"/>
            </w:tcBorders>
          </w:tcPr>
          <w:p w14:paraId="4491DED9" w14:textId="77777777" w:rsidR="00D64593" w:rsidRPr="00B94017" w:rsidRDefault="00D64593" w:rsidP="00D64593">
            <w:pPr>
              <w:rPr>
                <w:rFonts w:ascii="Arial" w:hAnsi="Arial" w:cs="Arial"/>
                <w:sz w:val="20"/>
                <w:szCs w:val="20"/>
              </w:rPr>
            </w:pPr>
          </w:p>
          <w:p w14:paraId="2B1F0BF1" w14:textId="5C04321D" w:rsidR="00D64593" w:rsidRPr="00B94017" w:rsidRDefault="00D64593" w:rsidP="00D64593">
            <w:pPr>
              <w:rPr>
                <w:rFonts w:ascii="Arial" w:hAnsi="Arial" w:cs="Arial"/>
                <w:sz w:val="20"/>
                <w:szCs w:val="20"/>
              </w:rPr>
            </w:pPr>
            <w:r w:rsidRPr="00B94017">
              <w:rPr>
                <w:rFonts w:ascii="Arial" w:hAnsi="Arial" w:cs="Arial"/>
                <w:sz w:val="20"/>
                <w:szCs w:val="20"/>
              </w:rPr>
              <w:t>Grand Total Number of Students</w:t>
            </w:r>
            <w:r w:rsidRPr="00B94017">
              <w:rPr>
                <w:rFonts w:ascii="Arial" w:hAnsi="Arial" w:cs="Arial"/>
                <w:b/>
                <w:sz w:val="20"/>
                <w:szCs w:val="20"/>
                <w:vertAlign w:val="superscript"/>
              </w:rPr>
              <w:t>1</w:t>
            </w:r>
          </w:p>
          <w:p w14:paraId="6119DF9C" w14:textId="77777777" w:rsidR="00D64593" w:rsidRPr="00B94017" w:rsidRDefault="00D64593" w:rsidP="00D64593">
            <w:pPr>
              <w:rPr>
                <w:rFonts w:ascii="Arial" w:hAnsi="Arial" w:cs="Arial"/>
                <w:sz w:val="20"/>
                <w:szCs w:val="20"/>
              </w:rPr>
            </w:pPr>
          </w:p>
          <w:p w14:paraId="38A45351" w14:textId="77777777" w:rsidR="00D64593" w:rsidRPr="00B94017" w:rsidRDefault="00D64593" w:rsidP="00D64593">
            <w:pPr>
              <w:rPr>
                <w:rFonts w:ascii="Arial" w:hAnsi="Arial" w:cs="Arial"/>
                <w:sz w:val="20"/>
                <w:szCs w:val="20"/>
              </w:rPr>
            </w:pPr>
            <w:r w:rsidRPr="00B94017">
              <w:rPr>
                <w:rFonts w:ascii="Arial" w:hAnsi="Arial" w:cs="Arial"/>
                <w:sz w:val="20"/>
                <w:szCs w:val="20"/>
              </w:rPr>
              <w:t xml:space="preserve">Total number of enrolled ISU students in a fiscal year </w:t>
            </w:r>
          </w:p>
          <w:p w14:paraId="131D16A2" w14:textId="77777777" w:rsidR="00D64593" w:rsidRPr="00B94017" w:rsidRDefault="00D64593" w:rsidP="00D64593">
            <w:pPr>
              <w:rPr>
                <w:rFonts w:ascii="Arial" w:hAnsi="Arial" w:cs="Arial"/>
                <w:sz w:val="20"/>
                <w:szCs w:val="20"/>
              </w:rPr>
            </w:pPr>
          </w:p>
          <w:p w14:paraId="5DF9EDE9" w14:textId="18FFE38C" w:rsidR="00D64593" w:rsidRPr="00B94017" w:rsidRDefault="00D64593" w:rsidP="00D64593">
            <w:pPr>
              <w:rPr>
                <w:rFonts w:ascii="Arial" w:hAnsi="Arial" w:cs="Arial"/>
                <w:sz w:val="20"/>
                <w:szCs w:val="20"/>
              </w:rPr>
            </w:pPr>
            <w:r w:rsidRPr="00B94017">
              <w:rPr>
                <w:rFonts w:ascii="Arial" w:hAnsi="Arial" w:cs="Arial"/>
                <w:sz w:val="20"/>
                <w:szCs w:val="20"/>
              </w:rPr>
              <w:t xml:space="preserve">Total number of College of Education K-12 professional development students in a fiscal year </w:t>
            </w:r>
            <w:r>
              <w:rPr>
                <w:rFonts w:ascii="Arial" w:hAnsi="Arial" w:cs="Arial"/>
                <w:sz w:val="20"/>
                <w:szCs w:val="20"/>
              </w:rPr>
              <w:t xml:space="preserve">(see note </w:t>
            </w:r>
            <w:r w:rsidRPr="00B94017">
              <w:rPr>
                <w:rFonts w:ascii="Arial" w:hAnsi="Arial" w:cs="Arial"/>
                <w:b/>
                <w:sz w:val="20"/>
                <w:szCs w:val="20"/>
                <w:vertAlign w:val="superscript"/>
              </w:rPr>
              <w:t>1</w:t>
            </w:r>
            <w:r>
              <w:rPr>
                <w:rFonts w:ascii="Arial" w:hAnsi="Arial" w:cs="Arial"/>
                <w:b/>
                <w:sz w:val="20"/>
                <w:szCs w:val="20"/>
                <w:vertAlign w:val="superscript"/>
              </w:rPr>
              <w:t>)</w:t>
            </w:r>
          </w:p>
          <w:p w14:paraId="5828F22A" w14:textId="77777777" w:rsidR="00D64593" w:rsidRPr="00B94017" w:rsidRDefault="00D64593" w:rsidP="00D64593">
            <w:pPr>
              <w:rPr>
                <w:rFonts w:ascii="Arial" w:hAnsi="Arial" w:cs="Arial"/>
                <w:sz w:val="20"/>
                <w:szCs w:val="20"/>
              </w:rPr>
            </w:pPr>
          </w:p>
          <w:p w14:paraId="35DF0C07" w14:textId="77777777" w:rsidR="00D64593" w:rsidRPr="00B94017" w:rsidRDefault="00D64593" w:rsidP="00D64593">
            <w:pPr>
              <w:rPr>
                <w:rFonts w:ascii="Arial" w:hAnsi="Arial" w:cs="Arial"/>
                <w:sz w:val="20"/>
                <w:szCs w:val="20"/>
              </w:rPr>
            </w:pPr>
            <w:r w:rsidRPr="00B94017">
              <w:rPr>
                <w:rFonts w:ascii="Arial" w:hAnsi="Arial" w:cs="Arial"/>
                <w:sz w:val="20"/>
                <w:szCs w:val="20"/>
              </w:rPr>
              <w:t>Total number of Workforce Training / Continuing Education students in a fiscal year</w:t>
            </w:r>
          </w:p>
          <w:p w14:paraId="48DD290E" w14:textId="77777777" w:rsidR="00D64593" w:rsidRPr="00B94017" w:rsidRDefault="00D64593" w:rsidP="00D64593">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14:paraId="15BE51B9" w14:textId="77777777" w:rsidR="00D64593" w:rsidRPr="00B94017" w:rsidRDefault="00D64593" w:rsidP="00D64593">
            <w:pPr>
              <w:jc w:val="center"/>
              <w:rPr>
                <w:rFonts w:ascii="Arial" w:hAnsi="Arial" w:cs="Arial"/>
                <w:sz w:val="20"/>
                <w:szCs w:val="20"/>
              </w:rPr>
            </w:pPr>
          </w:p>
          <w:p w14:paraId="4151E0BA" w14:textId="77777777" w:rsidR="00D64593" w:rsidRPr="00B94017" w:rsidRDefault="00D64593" w:rsidP="00D64593">
            <w:pPr>
              <w:jc w:val="center"/>
              <w:rPr>
                <w:rFonts w:ascii="Arial" w:hAnsi="Arial" w:cs="Arial"/>
                <w:b/>
                <w:sz w:val="20"/>
                <w:szCs w:val="20"/>
              </w:rPr>
            </w:pPr>
            <w:r w:rsidRPr="00B94017">
              <w:rPr>
                <w:rFonts w:ascii="Arial" w:hAnsi="Arial" w:cs="Arial"/>
                <w:b/>
                <w:sz w:val="20"/>
                <w:szCs w:val="20"/>
              </w:rPr>
              <w:t>23,210</w:t>
            </w:r>
          </w:p>
          <w:p w14:paraId="7D271416" w14:textId="77777777" w:rsidR="00D64593" w:rsidRPr="00B94017" w:rsidRDefault="00D64593" w:rsidP="00D64593">
            <w:pPr>
              <w:jc w:val="center"/>
              <w:rPr>
                <w:rFonts w:ascii="Arial" w:hAnsi="Arial" w:cs="Arial"/>
                <w:sz w:val="20"/>
                <w:szCs w:val="20"/>
              </w:rPr>
            </w:pPr>
          </w:p>
          <w:p w14:paraId="5F3A8BFF" w14:textId="77777777" w:rsidR="00D64593" w:rsidRPr="00B94017" w:rsidRDefault="00D64593" w:rsidP="00D64593">
            <w:pPr>
              <w:jc w:val="center"/>
              <w:rPr>
                <w:rFonts w:ascii="Arial" w:hAnsi="Arial" w:cs="Arial"/>
                <w:sz w:val="20"/>
                <w:szCs w:val="20"/>
              </w:rPr>
            </w:pPr>
            <w:r w:rsidRPr="00B94017">
              <w:rPr>
                <w:rFonts w:ascii="Arial" w:hAnsi="Arial" w:cs="Arial"/>
                <w:sz w:val="20"/>
                <w:szCs w:val="20"/>
              </w:rPr>
              <w:t>14,976</w:t>
            </w:r>
          </w:p>
          <w:p w14:paraId="6419A727" w14:textId="77777777" w:rsidR="00D64593" w:rsidRPr="00B94017" w:rsidRDefault="00D64593" w:rsidP="00D64593">
            <w:pPr>
              <w:jc w:val="center"/>
              <w:rPr>
                <w:rFonts w:ascii="Arial" w:hAnsi="Arial" w:cs="Arial"/>
                <w:sz w:val="20"/>
                <w:szCs w:val="20"/>
              </w:rPr>
            </w:pPr>
          </w:p>
          <w:p w14:paraId="472E6420" w14:textId="77777777" w:rsidR="00D64593" w:rsidRPr="00B94017" w:rsidRDefault="00D64593" w:rsidP="00D64593">
            <w:pPr>
              <w:jc w:val="center"/>
              <w:rPr>
                <w:rFonts w:ascii="Arial" w:hAnsi="Arial" w:cs="Arial"/>
                <w:sz w:val="20"/>
                <w:szCs w:val="20"/>
              </w:rPr>
            </w:pPr>
          </w:p>
          <w:p w14:paraId="59C3FB1C" w14:textId="77777777" w:rsidR="00D64593" w:rsidRPr="00B94017" w:rsidRDefault="00D64593" w:rsidP="00D64593">
            <w:pPr>
              <w:jc w:val="center"/>
              <w:rPr>
                <w:rFonts w:ascii="Arial" w:hAnsi="Arial" w:cs="Arial"/>
                <w:sz w:val="20"/>
                <w:szCs w:val="20"/>
              </w:rPr>
            </w:pPr>
            <w:r w:rsidRPr="00B94017">
              <w:rPr>
                <w:rFonts w:ascii="Arial" w:hAnsi="Arial" w:cs="Arial"/>
                <w:sz w:val="20"/>
                <w:szCs w:val="20"/>
              </w:rPr>
              <w:t>2,005</w:t>
            </w:r>
          </w:p>
          <w:p w14:paraId="4E85590E" w14:textId="77777777" w:rsidR="00D64593" w:rsidRPr="00B94017" w:rsidRDefault="00D64593" w:rsidP="00D64593">
            <w:pPr>
              <w:jc w:val="center"/>
              <w:rPr>
                <w:rFonts w:ascii="Arial" w:hAnsi="Arial" w:cs="Arial"/>
                <w:sz w:val="20"/>
                <w:szCs w:val="20"/>
              </w:rPr>
            </w:pPr>
          </w:p>
          <w:p w14:paraId="6CB65FE6" w14:textId="77777777" w:rsidR="00D64593" w:rsidRPr="00B94017" w:rsidRDefault="00D64593" w:rsidP="00D64593">
            <w:pPr>
              <w:jc w:val="center"/>
              <w:rPr>
                <w:rFonts w:ascii="Arial" w:hAnsi="Arial" w:cs="Arial"/>
                <w:sz w:val="20"/>
                <w:szCs w:val="20"/>
              </w:rPr>
            </w:pPr>
          </w:p>
          <w:p w14:paraId="2B89F763" w14:textId="77777777" w:rsidR="00D64593" w:rsidRDefault="00D64593" w:rsidP="00D64593">
            <w:pPr>
              <w:jc w:val="center"/>
              <w:rPr>
                <w:rFonts w:ascii="Arial" w:hAnsi="Arial" w:cs="Arial"/>
                <w:sz w:val="20"/>
                <w:szCs w:val="20"/>
              </w:rPr>
            </w:pPr>
          </w:p>
          <w:p w14:paraId="66E45C1E" w14:textId="77777777" w:rsidR="00D64593" w:rsidRDefault="00D64593" w:rsidP="00D64593">
            <w:pPr>
              <w:jc w:val="center"/>
              <w:rPr>
                <w:rFonts w:ascii="Arial" w:hAnsi="Arial" w:cs="Arial"/>
                <w:sz w:val="20"/>
                <w:szCs w:val="20"/>
              </w:rPr>
            </w:pPr>
          </w:p>
          <w:p w14:paraId="5B4E98D8" w14:textId="61AECBDB" w:rsidR="00D64593" w:rsidRPr="00B94017" w:rsidRDefault="00D64593" w:rsidP="00D64593">
            <w:pPr>
              <w:jc w:val="center"/>
              <w:rPr>
                <w:rFonts w:ascii="Arial" w:hAnsi="Arial" w:cs="Arial"/>
                <w:sz w:val="20"/>
                <w:szCs w:val="20"/>
              </w:rPr>
            </w:pPr>
            <w:r w:rsidRPr="00B94017">
              <w:rPr>
                <w:rFonts w:ascii="Arial" w:hAnsi="Arial" w:cs="Arial"/>
                <w:sz w:val="20"/>
                <w:szCs w:val="20"/>
              </w:rPr>
              <w:t>6,229</w:t>
            </w:r>
          </w:p>
        </w:tc>
        <w:tc>
          <w:tcPr>
            <w:tcW w:w="1530" w:type="dxa"/>
            <w:tcBorders>
              <w:top w:val="single" w:sz="4" w:space="0" w:color="auto"/>
              <w:left w:val="single" w:sz="4" w:space="0" w:color="auto"/>
              <w:bottom w:val="single" w:sz="4" w:space="0" w:color="auto"/>
              <w:right w:val="single" w:sz="4" w:space="0" w:color="auto"/>
            </w:tcBorders>
          </w:tcPr>
          <w:p w14:paraId="09CF6C0D" w14:textId="77777777" w:rsidR="00D64593" w:rsidRDefault="00D64593" w:rsidP="00D64593">
            <w:pPr>
              <w:jc w:val="center"/>
              <w:rPr>
                <w:rFonts w:ascii="Arial" w:hAnsi="Arial" w:cs="Arial"/>
                <w:sz w:val="20"/>
                <w:szCs w:val="20"/>
              </w:rPr>
            </w:pPr>
          </w:p>
          <w:p w14:paraId="7570D9E1" w14:textId="77777777" w:rsidR="00D64593" w:rsidRPr="00560B27" w:rsidRDefault="00D64593" w:rsidP="00D64593">
            <w:pPr>
              <w:jc w:val="center"/>
              <w:rPr>
                <w:rFonts w:ascii="Arial" w:hAnsi="Arial" w:cs="Arial"/>
                <w:b/>
                <w:sz w:val="20"/>
                <w:szCs w:val="20"/>
              </w:rPr>
            </w:pPr>
            <w:r>
              <w:rPr>
                <w:rFonts w:ascii="Arial" w:hAnsi="Arial" w:cs="Arial"/>
                <w:b/>
                <w:sz w:val="20"/>
                <w:szCs w:val="20"/>
              </w:rPr>
              <w:t>23,197</w:t>
            </w:r>
          </w:p>
          <w:p w14:paraId="05637E8F" w14:textId="77777777" w:rsidR="00D64593" w:rsidRDefault="00D64593" w:rsidP="00D64593">
            <w:pPr>
              <w:jc w:val="center"/>
              <w:rPr>
                <w:rFonts w:ascii="Arial" w:hAnsi="Arial" w:cs="Arial"/>
                <w:sz w:val="20"/>
                <w:szCs w:val="20"/>
              </w:rPr>
            </w:pPr>
          </w:p>
          <w:p w14:paraId="54FAE421" w14:textId="77777777" w:rsidR="00D64593" w:rsidRDefault="00D64593" w:rsidP="00D64593">
            <w:pPr>
              <w:jc w:val="center"/>
              <w:rPr>
                <w:rFonts w:ascii="Arial" w:hAnsi="Arial" w:cs="Arial"/>
                <w:sz w:val="20"/>
                <w:szCs w:val="20"/>
              </w:rPr>
            </w:pPr>
            <w:r>
              <w:rPr>
                <w:rFonts w:ascii="Arial" w:hAnsi="Arial" w:cs="Arial"/>
                <w:sz w:val="20"/>
                <w:szCs w:val="20"/>
              </w:rPr>
              <w:t>14,870</w:t>
            </w:r>
          </w:p>
          <w:p w14:paraId="380E97F6" w14:textId="77777777" w:rsidR="00D64593" w:rsidRDefault="00D64593" w:rsidP="00D64593">
            <w:pPr>
              <w:jc w:val="center"/>
              <w:rPr>
                <w:rFonts w:ascii="Arial" w:hAnsi="Arial" w:cs="Arial"/>
                <w:sz w:val="20"/>
                <w:szCs w:val="20"/>
              </w:rPr>
            </w:pPr>
          </w:p>
          <w:p w14:paraId="22E88745" w14:textId="77777777" w:rsidR="00D64593" w:rsidRDefault="00D64593" w:rsidP="00D64593">
            <w:pPr>
              <w:jc w:val="center"/>
              <w:rPr>
                <w:rFonts w:ascii="Arial" w:hAnsi="Arial" w:cs="Arial"/>
                <w:sz w:val="20"/>
                <w:szCs w:val="20"/>
              </w:rPr>
            </w:pPr>
          </w:p>
          <w:p w14:paraId="4D9A1FCF" w14:textId="77777777" w:rsidR="00D64593" w:rsidRDefault="00D64593" w:rsidP="00D64593">
            <w:pPr>
              <w:jc w:val="center"/>
              <w:rPr>
                <w:rFonts w:ascii="Arial" w:hAnsi="Arial" w:cs="Arial"/>
                <w:sz w:val="20"/>
                <w:szCs w:val="20"/>
              </w:rPr>
            </w:pPr>
            <w:r>
              <w:rPr>
                <w:rFonts w:ascii="Arial" w:hAnsi="Arial" w:cs="Arial"/>
                <w:sz w:val="20"/>
                <w:szCs w:val="20"/>
              </w:rPr>
              <w:t>2,703</w:t>
            </w:r>
          </w:p>
          <w:p w14:paraId="2CC31574" w14:textId="77777777" w:rsidR="00D64593" w:rsidRDefault="00D64593" w:rsidP="00D64593">
            <w:pPr>
              <w:jc w:val="center"/>
              <w:rPr>
                <w:rFonts w:ascii="Arial" w:hAnsi="Arial" w:cs="Arial"/>
                <w:sz w:val="20"/>
                <w:szCs w:val="20"/>
              </w:rPr>
            </w:pPr>
          </w:p>
          <w:p w14:paraId="531AC108" w14:textId="77777777" w:rsidR="00D64593" w:rsidRDefault="00D64593" w:rsidP="00D64593">
            <w:pPr>
              <w:jc w:val="center"/>
              <w:rPr>
                <w:rFonts w:ascii="Arial" w:hAnsi="Arial" w:cs="Arial"/>
                <w:sz w:val="20"/>
                <w:szCs w:val="20"/>
              </w:rPr>
            </w:pPr>
          </w:p>
          <w:p w14:paraId="446C2B18" w14:textId="77777777" w:rsidR="00D64593" w:rsidRDefault="00D64593" w:rsidP="00D64593">
            <w:pPr>
              <w:jc w:val="center"/>
              <w:rPr>
                <w:rFonts w:ascii="Arial" w:hAnsi="Arial" w:cs="Arial"/>
                <w:sz w:val="20"/>
                <w:szCs w:val="20"/>
              </w:rPr>
            </w:pPr>
          </w:p>
          <w:p w14:paraId="04BE13BC" w14:textId="77777777" w:rsidR="00D64593" w:rsidRDefault="00D64593" w:rsidP="00D64593">
            <w:pPr>
              <w:jc w:val="center"/>
              <w:rPr>
                <w:rFonts w:ascii="Arial" w:hAnsi="Arial" w:cs="Arial"/>
                <w:sz w:val="20"/>
                <w:szCs w:val="20"/>
              </w:rPr>
            </w:pPr>
          </w:p>
          <w:p w14:paraId="6160C1C0" w14:textId="0B07C8E0" w:rsidR="00D64593" w:rsidRPr="00B94017" w:rsidRDefault="00D64593" w:rsidP="00D64593">
            <w:pPr>
              <w:jc w:val="center"/>
              <w:rPr>
                <w:rFonts w:ascii="Arial" w:hAnsi="Arial" w:cs="Arial"/>
                <w:sz w:val="20"/>
                <w:szCs w:val="20"/>
              </w:rPr>
            </w:pPr>
            <w:r>
              <w:rPr>
                <w:rFonts w:ascii="Arial" w:hAnsi="Arial" w:cs="Arial"/>
                <w:sz w:val="20"/>
                <w:szCs w:val="20"/>
              </w:rPr>
              <w:t>5,624</w:t>
            </w:r>
          </w:p>
        </w:tc>
        <w:tc>
          <w:tcPr>
            <w:tcW w:w="1530" w:type="dxa"/>
            <w:tcBorders>
              <w:top w:val="single" w:sz="4" w:space="0" w:color="auto"/>
              <w:left w:val="single" w:sz="4" w:space="0" w:color="auto"/>
              <w:bottom w:val="single" w:sz="4" w:space="0" w:color="auto"/>
              <w:right w:val="single" w:sz="4" w:space="0" w:color="auto"/>
            </w:tcBorders>
          </w:tcPr>
          <w:p w14:paraId="44B1E7FB" w14:textId="77777777" w:rsidR="00D64593" w:rsidRDefault="00D64593" w:rsidP="00D64593">
            <w:pPr>
              <w:jc w:val="center"/>
              <w:rPr>
                <w:rFonts w:ascii="Arial" w:hAnsi="Arial" w:cs="Arial"/>
                <w:sz w:val="20"/>
                <w:szCs w:val="20"/>
              </w:rPr>
            </w:pPr>
          </w:p>
          <w:p w14:paraId="781D6145" w14:textId="77777777" w:rsidR="00D64593" w:rsidRPr="00522098" w:rsidRDefault="00D64593" w:rsidP="00D64593">
            <w:pPr>
              <w:jc w:val="center"/>
              <w:rPr>
                <w:rFonts w:ascii="Arial" w:hAnsi="Arial" w:cs="Arial"/>
                <w:b/>
                <w:sz w:val="20"/>
                <w:szCs w:val="20"/>
              </w:rPr>
            </w:pPr>
            <w:r w:rsidRPr="00522098">
              <w:rPr>
                <w:rFonts w:ascii="Arial" w:hAnsi="Arial" w:cs="Arial"/>
                <w:b/>
                <w:sz w:val="20"/>
                <w:szCs w:val="20"/>
              </w:rPr>
              <w:t>30,558</w:t>
            </w:r>
          </w:p>
          <w:p w14:paraId="1A299326" w14:textId="77777777" w:rsidR="00D64593" w:rsidRDefault="00D64593" w:rsidP="00D64593">
            <w:pPr>
              <w:jc w:val="center"/>
              <w:rPr>
                <w:rFonts w:ascii="Arial" w:hAnsi="Arial" w:cs="Arial"/>
                <w:sz w:val="20"/>
                <w:szCs w:val="20"/>
              </w:rPr>
            </w:pPr>
          </w:p>
          <w:p w14:paraId="47FECEAE" w14:textId="77777777" w:rsidR="00D64593" w:rsidRDefault="00D64593" w:rsidP="00D64593">
            <w:pPr>
              <w:jc w:val="center"/>
              <w:rPr>
                <w:rFonts w:ascii="Arial" w:hAnsi="Arial" w:cs="Arial"/>
                <w:sz w:val="20"/>
                <w:szCs w:val="20"/>
              </w:rPr>
            </w:pPr>
            <w:r>
              <w:rPr>
                <w:rFonts w:ascii="Arial" w:hAnsi="Arial" w:cs="Arial"/>
                <w:sz w:val="20"/>
                <w:szCs w:val="20"/>
              </w:rPr>
              <w:t>14,241</w:t>
            </w:r>
          </w:p>
          <w:p w14:paraId="154BB3B1" w14:textId="77777777" w:rsidR="00D64593" w:rsidRDefault="00D64593" w:rsidP="00D64593">
            <w:pPr>
              <w:jc w:val="center"/>
              <w:rPr>
                <w:rFonts w:ascii="Arial" w:hAnsi="Arial" w:cs="Arial"/>
                <w:sz w:val="20"/>
                <w:szCs w:val="20"/>
              </w:rPr>
            </w:pPr>
          </w:p>
          <w:p w14:paraId="143955E9" w14:textId="77777777" w:rsidR="00D64593" w:rsidRDefault="00D64593" w:rsidP="00D64593">
            <w:pPr>
              <w:jc w:val="center"/>
              <w:rPr>
                <w:rFonts w:ascii="Arial" w:hAnsi="Arial" w:cs="Arial"/>
                <w:sz w:val="20"/>
                <w:szCs w:val="20"/>
              </w:rPr>
            </w:pPr>
          </w:p>
          <w:p w14:paraId="76A17F7E" w14:textId="77777777" w:rsidR="00D64593" w:rsidRDefault="00D64593" w:rsidP="00D64593">
            <w:pPr>
              <w:jc w:val="center"/>
              <w:rPr>
                <w:rFonts w:ascii="Arial" w:hAnsi="Arial" w:cs="Arial"/>
                <w:sz w:val="20"/>
                <w:szCs w:val="20"/>
              </w:rPr>
            </w:pPr>
            <w:r>
              <w:rPr>
                <w:rFonts w:ascii="Arial" w:hAnsi="Arial" w:cs="Arial"/>
                <w:sz w:val="20"/>
                <w:szCs w:val="20"/>
              </w:rPr>
              <w:t>11,484</w:t>
            </w:r>
          </w:p>
          <w:p w14:paraId="2CA4F94A" w14:textId="77777777" w:rsidR="00D64593" w:rsidRDefault="00D64593" w:rsidP="00D64593">
            <w:pPr>
              <w:jc w:val="center"/>
              <w:rPr>
                <w:rFonts w:ascii="Arial" w:hAnsi="Arial" w:cs="Arial"/>
                <w:sz w:val="20"/>
                <w:szCs w:val="20"/>
              </w:rPr>
            </w:pPr>
          </w:p>
          <w:p w14:paraId="4FFC50BE" w14:textId="77777777" w:rsidR="00D64593" w:rsidRDefault="00D64593" w:rsidP="00D64593">
            <w:pPr>
              <w:jc w:val="center"/>
              <w:rPr>
                <w:rFonts w:ascii="Arial" w:hAnsi="Arial" w:cs="Arial"/>
                <w:sz w:val="20"/>
                <w:szCs w:val="20"/>
              </w:rPr>
            </w:pPr>
          </w:p>
          <w:p w14:paraId="1DB26018" w14:textId="77777777" w:rsidR="00D64593" w:rsidRDefault="00D64593" w:rsidP="00D64593">
            <w:pPr>
              <w:jc w:val="center"/>
              <w:rPr>
                <w:rFonts w:ascii="Arial" w:hAnsi="Arial" w:cs="Arial"/>
                <w:sz w:val="20"/>
                <w:szCs w:val="20"/>
              </w:rPr>
            </w:pPr>
          </w:p>
          <w:p w14:paraId="5F1D2EBE" w14:textId="77777777" w:rsidR="00D64593" w:rsidRDefault="00D64593" w:rsidP="00D64593">
            <w:pPr>
              <w:jc w:val="center"/>
              <w:rPr>
                <w:rFonts w:ascii="Arial" w:hAnsi="Arial" w:cs="Arial"/>
                <w:sz w:val="20"/>
                <w:szCs w:val="20"/>
              </w:rPr>
            </w:pPr>
          </w:p>
          <w:p w14:paraId="40D1170B" w14:textId="7D97076F" w:rsidR="00D64593" w:rsidRPr="00B94017" w:rsidRDefault="00D64593" w:rsidP="00D64593">
            <w:pPr>
              <w:jc w:val="center"/>
              <w:rPr>
                <w:rFonts w:ascii="Arial" w:hAnsi="Arial" w:cs="Arial"/>
                <w:sz w:val="20"/>
                <w:szCs w:val="20"/>
              </w:rPr>
            </w:pPr>
            <w:r>
              <w:rPr>
                <w:rFonts w:ascii="Arial" w:hAnsi="Arial" w:cs="Arial"/>
                <w:sz w:val="20"/>
                <w:szCs w:val="20"/>
              </w:rPr>
              <w:t>4,833</w:t>
            </w:r>
          </w:p>
        </w:tc>
        <w:tc>
          <w:tcPr>
            <w:tcW w:w="1435" w:type="dxa"/>
            <w:tcBorders>
              <w:top w:val="single" w:sz="4" w:space="0" w:color="auto"/>
              <w:left w:val="single" w:sz="4" w:space="0" w:color="auto"/>
              <w:bottom w:val="single" w:sz="4" w:space="0" w:color="auto"/>
              <w:right w:val="single" w:sz="4" w:space="0" w:color="auto"/>
            </w:tcBorders>
          </w:tcPr>
          <w:p w14:paraId="774E4878" w14:textId="04237A7A" w:rsidR="00D64593" w:rsidRDefault="00D64593" w:rsidP="00D64593">
            <w:pPr>
              <w:jc w:val="center"/>
              <w:rPr>
                <w:rFonts w:ascii="Arial" w:hAnsi="Arial" w:cs="Arial"/>
                <w:sz w:val="20"/>
                <w:szCs w:val="20"/>
              </w:rPr>
            </w:pPr>
          </w:p>
        </w:tc>
      </w:tr>
      <w:tr w:rsidR="00D64593" w:rsidRPr="0044068C" w14:paraId="2A32E161" w14:textId="113F0DD8" w:rsidTr="00A850F7">
        <w:trPr>
          <w:trHeight w:val="1241"/>
        </w:trPr>
        <w:tc>
          <w:tcPr>
            <w:tcW w:w="4045" w:type="dxa"/>
            <w:tcBorders>
              <w:top w:val="single" w:sz="4" w:space="0" w:color="auto"/>
              <w:left w:val="single" w:sz="4" w:space="0" w:color="auto"/>
              <w:bottom w:val="single" w:sz="4" w:space="0" w:color="auto"/>
              <w:right w:val="single" w:sz="4" w:space="0" w:color="auto"/>
            </w:tcBorders>
          </w:tcPr>
          <w:p w14:paraId="027F4943" w14:textId="77777777" w:rsidR="00D64593" w:rsidRDefault="00D64593" w:rsidP="00D64593">
            <w:pPr>
              <w:rPr>
                <w:rFonts w:ascii="Arial" w:hAnsi="Arial" w:cs="Arial"/>
                <w:sz w:val="20"/>
              </w:rPr>
            </w:pPr>
            <w:r>
              <w:rPr>
                <w:rFonts w:ascii="Arial" w:hAnsi="Arial" w:cs="Arial"/>
                <w:sz w:val="20"/>
              </w:rPr>
              <w:t>Percentage of undergraduates (based on fall term)</w:t>
            </w:r>
          </w:p>
          <w:p w14:paraId="682A3E9E" w14:textId="77777777" w:rsidR="00D64593" w:rsidRDefault="00D64593" w:rsidP="00D64593">
            <w:pPr>
              <w:rPr>
                <w:rFonts w:ascii="Arial" w:hAnsi="Arial" w:cs="Arial"/>
                <w:sz w:val="20"/>
              </w:rPr>
            </w:pPr>
          </w:p>
          <w:p w14:paraId="37B124D8" w14:textId="77777777" w:rsidR="00D64593" w:rsidRPr="00301088" w:rsidRDefault="00D64593" w:rsidP="00D64593">
            <w:pPr>
              <w:numPr>
                <w:ilvl w:val="0"/>
                <w:numId w:val="1"/>
              </w:numPr>
              <w:rPr>
                <w:rFonts w:ascii="Arial" w:hAnsi="Arial" w:cs="Arial"/>
                <w:sz w:val="20"/>
              </w:rPr>
            </w:pPr>
            <w:r>
              <w:rPr>
                <w:rFonts w:ascii="Arial" w:hAnsi="Arial" w:cs="Arial"/>
                <w:sz w:val="20"/>
              </w:rPr>
              <w:t>Full-time</w:t>
            </w:r>
          </w:p>
          <w:p w14:paraId="21DF3D19" w14:textId="77777777" w:rsidR="00D64593" w:rsidRPr="00301088" w:rsidRDefault="00D64593" w:rsidP="00D64593">
            <w:pPr>
              <w:numPr>
                <w:ilvl w:val="0"/>
                <w:numId w:val="1"/>
              </w:numPr>
              <w:rPr>
                <w:rFonts w:ascii="Arial" w:hAnsi="Arial" w:cs="Arial"/>
                <w:sz w:val="20"/>
              </w:rPr>
            </w:pPr>
            <w:r>
              <w:rPr>
                <w:rFonts w:ascii="Arial" w:hAnsi="Arial" w:cs="Arial"/>
                <w:sz w:val="20"/>
              </w:rPr>
              <w:t>Part-time</w:t>
            </w:r>
          </w:p>
          <w:p w14:paraId="0C37BEA1" w14:textId="77777777" w:rsidR="00D64593" w:rsidRPr="00301088" w:rsidRDefault="00D64593" w:rsidP="00D64593">
            <w:pPr>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tcPr>
          <w:p w14:paraId="00DCD327" w14:textId="77777777" w:rsidR="00D64593" w:rsidRDefault="00D64593" w:rsidP="00D64593">
            <w:pPr>
              <w:jc w:val="center"/>
              <w:rPr>
                <w:rFonts w:ascii="Arial" w:hAnsi="Arial" w:cs="Arial"/>
                <w:sz w:val="20"/>
              </w:rPr>
            </w:pPr>
          </w:p>
          <w:p w14:paraId="329D3F4F" w14:textId="77777777" w:rsidR="00D64593" w:rsidRDefault="00D64593" w:rsidP="00D64593">
            <w:pPr>
              <w:jc w:val="center"/>
              <w:rPr>
                <w:rFonts w:ascii="Arial" w:hAnsi="Arial" w:cs="Arial"/>
                <w:sz w:val="20"/>
              </w:rPr>
            </w:pPr>
          </w:p>
          <w:p w14:paraId="55927FC2" w14:textId="77777777" w:rsidR="00D64593" w:rsidRDefault="00D64593" w:rsidP="00D64593">
            <w:pPr>
              <w:jc w:val="center"/>
              <w:rPr>
                <w:rFonts w:ascii="Arial" w:hAnsi="Arial" w:cs="Arial"/>
                <w:sz w:val="20"/>
              </w:rPr>
            </w:pPr>
          </w:p>
          <w:p w14:paraId="703C1472" w14:textId="77777777" w:rsidR="00D64593" w:rsidRDefault="00D64593" w:rsidP="00D64593">
            <w:pPr>
              <w:jc w:val="center"/>
              <w:rPr>
                <w:rFonts w:ascii="Arial" w:hAnsi="Arial" w:cs="Arial"/>
                <w:sz w:val="20"/>
              </w:rPr>
            </w:pPr>
            <w:r>
              <w:rPr>
                <w:rFonts w:ascii="Arial" w:hAnsi="Arial" w:cs="Arial"/>
                <w:sz w:val="20"/>
              </w:rPr>
              <w:t>57%</w:t>
            </w:r>
          </w:p>
          <w:p w14:paraId="3047CF59" w14:textId="4BE94F33" w:rsidR="00D64593" w:rsidRPr="0044068C" w:rsidRDefault="00D64593" w:rsidP="00D64593">
            <w:pPr>
              <w:jc w:val="center"/>
              <w:rPr>
                <w:rFonts w:ascii="Arial" w:hAnsi="Arial" w:cs="Arial"/>
                <w:sz w:val="20"/>
              </w:rPr>
            </w:pPr>
            <w:r>
              <w:rPr>
                <w:rFonts w:ascii="Arial" w:hAnsi="Arial" w:cs="Arial"/>
                <w:sz w:val="20"/>
              </w:rPr>
              <w:t>43%</w:t>
            </w:r>
          </w:p>
        </w:tc>
        <w:tc>
          <w:tcPr>
            <w:tcW w:w="1530" w:type="dxa"/>
            <w:tcBorders>
              <w:top w:val="single" w:sz="4" w:space="0" w:color="auto"/>
              <w:left w:val="single" w:sz="4" w:space="0" w:color="auto"/>
              <w:bottom w:val="single" w:sz="4" w:space="0" w:color="auto"/>
              <w:right w:val="single" w:sz="4" w:space="0" w:color="auto"/>
            </w:tcBorders>
          </w:tcPr>
          <w:p w14:paraId="5090460C" w14:textId="77777777" w:rsidR="00D64593" w:rsidRDefault="00D64593" w:rsidP="00D64593">
            <w:pPr>
              <w:jc w:val="center"/>
              <w:rPr>
                <w:rFonts w:ascii="Arial" w:hAnsi="Arial" w:cs="Arial"/>
                <w:sz w:val="20"/>
              </w:rPr>
            </w:pPr>
          </w:p>
          <w:p w14:paraId="49DC1120" w14:textId="77777777" w:rsidR="00D64593" w:rsidRDefault="00D64593" w:rsidP="00D64593">
            <w:pPr>
              <w:jc w:val="center"/>
              <w:rPr>
                <w:rFonts w:ascii="Arial" w:hAnsi="Arial" w:cs="Arial"/>
                <w:sz w:val="20"/>
              </w:rPr>
            </w:pPr>
          </w:p>
          <w:p w14:paraId="1A89DF81" w14:textId="77777777" w:rsidR="00D64593" w:rsidRDefault="00D64593" w:rsidP="00D64593">
            <w:pPr>
              <w:jc w:val="center"/>
              <w:rPr>
                <w:rFonts w:ascii="Arial" w:hAnsi="Arial" w:cs="Arial"/>
                <w:sz w:val="20"/>
              </w:rPr>
            </w:pPr>
          </w:p>
          <w:p w14:paraId="36501A67" w14:textId="77777777" w:rsidR="00D64593" w:rsidRDefault="00D64593" w:rsidP="00D64593">
            <w:pPr>
              <w:jc w:val="center"/>
              <w:rPr>
                <w:rFonts w:ascii="Arial" w:hAnsi="Arial" w:cs="Arial"/>
                <w:sz w:val="20"/>
              </w:rPr>
            </w:pPr>
            <w:r>
              <w:rPr>
                <w:rFonts w:ascii="Arial" w:hAnsi="Arial" w:cs="Arial"/>
                <w:sz w:val="20"/>
              </w:rPr>
              <w:t>56%</w:t>
            </w:r>
          </w:p>
          <w:p w14:paraId="15BEBB13" w14:textId="3A11A049" w:rsidR="00D64593" w:rsidRPr="0044068C" w:rsidRDefault="00D64593" w:rsidP="00D64593">
            <w:pPr>
              <w:jc w:val="center"/>
              <w:rPr>
                <w:rFonts w:ascii="Arial" w:hAnsi="Arial" w:cs="Arial"/>
                <w:sz w:val="20"/>
              </w:rPr>
            </w:pPr>
            <w:r>
              <w:rPr>
                <w:rFonts w:ascii="Arial" w:hAnsi="Arial" w:cs="Arial"/>
                <w:sz w:val="20"/>
              </w:rPr>
              <w:t>44%</w:t>
            </w:r>
          </w:p>
        </w:tc>
        <w:tc>
          <w:tcPr>
            <w:tcW w:w="1530" w:type="dxa"/>
            <w:tcBorders>
              <w:top w:val="single" w:sz="4" w:space="0" w:color="auto"/>
              <w:left w:val="single" w:sz="4" w:space="0" w:color="auto"/>
              <w:bottom w:val="single" w:sz="4" w:space="0" w:color="auto"/>
              <w:right w:val="single" w:sz="4" w:space="0" w:color="auto"/>
            </w:tcBorders>
          </w:tcPr>
          <w:p w14:paraId="513ED334" w14:textId="77777777" w:rsidR="00D64593" w:rsidRDefault="00D64593" w:rsidP="00D64593">
            <w:pPr>
              <w:jc w:val="center"/>
              <w:rPr>
                <w:rFonts w:ascii="Arial" w:hAnsi="Arial" w:cs="Arial"/>
                <w:sz w:val="20"/>
              </w:rPr>
            </w:pPr>
          </w:p>
          <w:p w14:paraId="7239650D" w14:textId="77777777" w:rsidR="00D64593" w:rsidRDefault="00D64593" w:rsidP="00D64593">
            <w:pPr>
              <w:jc w:val="center"/>
              <w:rPr>
                <w:rFonts w:ascii="Arial" w:hAnsi="Arial" w:cs="Arial"/>
                <w:sz w:val="20"/>
              </w:rPr>
            </w:pPr>
          </w:p>
          <w:p w14:paraId="1EE6AAE5" w14:textId="77777777" w:rsidR="00D64593" w:rsidRDefault="00D64593" w:rsidP="00D64593">
            <w:pPr>
              <w:jc w:val="center"/>
              <w:rPr>
                <w:rFonts w:ascii="Arial" w:hAnsi="Arial" w:cs="Arial"/>
                <w:sz w:val="20"/>
              </w:rPr>
            </w:pPr>
          </w:p>
          <w:p w14:paraId="1236E0BF" w14:textId="77777777" w:rsidR="00D64593" w:rsidRDefault="00D64593" w:rsidP="00D64593">
            <w:pPr>
              <w:jc w:val="center"/>
              <w:rPr>
                <w:rFonts w:ascii="Arial" w:hAnsi="Arial" w:cs="Arial"/>
                <w:sz w:val="20"/>
              </w:rPr>
            </w:pPr>
            <w:r>
              <w:rPr>
                <w:rFonts w:ascii="Arial" w:hAnsi="Arial" w:cs="Arial"/>
                <w:sz w:val="20"/>
              </w:rPr>
              <w:t>57%</w:t>
            </w:r>
          </w:p>
          <w:p w14:paraId="2E08FF32" w14:textId="5E58B2C9" w:rsidR="00D64593" w:rsidRDefault="00D64593" w:rsidP="00D64593">
            <w:pPr>
              <w:jc w:val="center"/>
              <w:rPr>
                <w:rFonts w:ascii="Arial" w:hAnsi="Arial" w:cs="Arial"/>
                <w:sz w:val="20"/>
              </w:rPr>
            </w:pPr>
            <w:r>
              <w:rPr>
                <w:rFonts w:ascii="Arial" w:hAnsi="Arial" w:cs="Arial"/>
                <w:sz w:val="20"/>
              </w:rPr>
              <w:t>43%</w:t>
            </w:r>
          </w:p>
        </w:tc>
        <w:tc>
          <w:tcPr>
            <w:tcW w:w="1435" w:type="dxa"/>
            <w:tcBorders>
              <w:top w:val="single" w:sz="4" w:space="0" w:color="auto"/>
              <w:left w:val="single" w:sz="4" w:space="0" w:color="auto"/>
              <w:bottom w:val="single" w:sz="4" w:space="0" w:color="auto"/>
              <w:right w:val="single" w:sz="4" w:space="0" w:color="auto"/>
            </w:tcBorders>
          </w:tcPr>
          <w:p w14:paraId="3B02E0D3" w14:textId="4D6227D3" w:rsidR="00D64593" w:rsidRDefault="00D64593" w:rsidP="00D64593">
            <w:pPr>
              <w:jc w:val="center"/>
              <w:rPr>
                <w:rFonts w:ascii="Arial" w:hAnsi="Arial" w:cs="Arial"/>
                <w:sz w:val="20"/>
              </w:rPr>
            </w:pPr>
          </w:p>
        </w:tc>
      </w:tr>
      <w:tr w:rsidR="00D64593" w:rsidRPr="00301088" w14:paraId="22ABD0A7" w14:textId="7877D1D2" w:rsidTr="00A850F7">
        <w:trPr>
          <w:trHeight w:val="1241"/>
        </w:trPr>
        <w:tc>
          <w:tcPr>
            <w:tcW w:w="4045" w:type="dxa"/>
            <w:tcBorders>
              <w:top w:val="single" w:sz="4" w:space="0" w:color="auto"/>
              <w:left w:val="single" w:sz="4" w:space="0" w:color="auto"/>
              <w:bottom w:val="single" w:sz="4" w:space="0" w:color="auto"/>
              <w:right w:val="single" w:sz="4" w:space="0" w:color="auto"/>
            </w:tcBorders>
          </w:tcPr>
          <w:p w14:paraId="7CFD1343" w14:textId="77777777" w:rsidR="00D64593" w:rsidRPr="00B94017" w:rsidRDefault="00D64593" w:rsidP="00D64593">
            <w:pPr>
              <w:rPr>
                <w:rFonts w:ascii="Arial" w:hAnsi="Arial" w:cs="Arial"/>
                <w:sz w:val="20"/>
                <w:szCs w:val="20"/>
              </w:rPr>
            </w:pPr>
            <w:r w:rsidRPr="00B94017">
              <w:rPr>
                <w:rFonts w:ascii="Arial" w:hAnsi="Arial" w:cs="Arial"/>
                <w:sz w:val="20"/>
                <w:szCs w:val="20"/>
              </w:rPr>
              <w:t xml:space="preserve">Total annual full-time equivalency (FTE) enrollment </w:t>
            </w:r>
            <w:r w:rsidRPr="00B94017">
              <w:rPr>
                <w:rFonts w:ascii="Arial" w:hAnsi="Arial" w:cs="Arial"/>
                <w:b/>
                <w:sz w:val="20"/>
                <w:szCs w:val="20"/>
                <w:vertAlign w:val="superscript"/>
              </w:rPr>
              <w:t>2</w:t>
            </w:r>
          </w:p>
          <w:p w14:paraId="13D8E70E" w14:textId="77777777" w:rsidR="00D64593" w:rsidRPr="00B94017" w:rsidRDefault="00D64593" w:rsidP="00D64593">
            <w:pPr>
              <w:numPr>
                <w:ilvl w:val="0"/>
                <w:numId w:val="1"/>
              </w:numPr>
              <w:rPr>
                <w:rFonts w:ascii="Arial" w:hAnsi="Arial" w:cs="Arial"/>
                <w:sz w:val="20"/>
                <w:szCs w:val="20"/>
              </w:rPr>
            </w:pPr>
            <w:r w:rsidRPr="00B94017">
              <w:rPr>
                <w:rFonts w:ascii="Arial" w:hAnsi="Arial" w:cs="Arial"/>
                <w:sz w:val="20"/>
                <w:szCs w:val="20"/>
              </w:rPr>
              <w:t>Career Technical</w:t>
            </w:r>
          </w:p>
          <w:p w14:paraId="0324C55A" w14:textId="77777777" w:rsidR="00D64593" w:rsidRPr="00B94017" w:rsidRDefault="00D64593" w:rsidP="00D64593">
            <w:pPr>
              <w:numPr>
                <w:ilvl w:val="0"/>
                <w:numId w:val="1"/>
              </w:numPr>
              <w:rPr>
                <w:rFonts w:ascii="Arial" w:hAnsi="Arial" w:cs="Arial"/>
                <w:sz w:val="20"/>
                <w:szCs w:val="20"/>
              </w:rPr>
            </w:pPr>
            <w:r w:rsidRPr="00B94017">
              <w:rPr>
                <w:rFonts w:ascii="Arial" w:hAnsi="Arial" w:cs="Arial"/>
                <w:sz w:val="20"/>
                <w:szCs w:val="20"/>
              </w:rPr>
              <w:t>Undergraduate</w:t>
            </w:r>
          </w:p>
          <w:p w14:paraId="34B3C930" w14:textId="77777777" w:rsidR="00D64593" w:rsidRPr="00B94017" w:rsidRDefault="00D64593" w:rsidP="00D64593">
            <w:pPr>
              <w:numPr>
                <w:ilvl w:val="0"/>
                <w:numId w:val="1"/>
              </w:numPr>
              <w:rPr>
                <w:rFonts w:ascii="Arial" w:hAnsi="Arial" w:cs="Arial"/>
                <w:sz w:val="20"/>
                <w:szCs w:val="20"/>
              </w:rPr>
            </w:pPr>
            <w:r w:rsidRPr="00B94017">
              <w:rPr>
                <w:rFonts w:ascii="Arial" w:hAnsi="Arial" w:cs="Arial"/>
                <w:sz w:val="20"/>
                <w:szCs w:val="20"/>
              </w:rPr>
              <w:t>Graduate</w:t>
            </w:r>
          </w:p>
        </w:tc>
        <w:tc>
          <w:tcPr>
            <w:tcW w:w="1530" w:type="dxa"/>
            <w:tcBorders>
              <w:top w:val="single" w:sz="4" w:space="0" w:color="auto"/>
              <w:left w:val="single" w:sz="4" w:space="0" w:color="auto"/>
              <w:bottom w:val="single" w:sz="4" w:space="0" w:color="auto"/>
              <w:right w:val="single" w:sz="4" w:space="0" w:color="auto"/>
            </w:tcBorders>
          </w:tcPr>
          <w:p w14:paraId="4A373B5B" w14:textId="77777777" w:rsidR="00D64593" w:rsidRPr="00B94017" w:rsidRDefault="00D64593" w:rsidP="00D64593">
            <w:pPr>
              <w:jc w:val="center"/>
              <w:rPr>
                <w:rFonts w:ascii="Arial" w:hAnsi="Arial" w:cs="Arial"/>
                <w:b/>
                <w:sz w:val="20"/>
                <w:szCs w:val="20"/>
              </w:rPr>
            </w:pPr>
            <w:r w:rsidRPr="00B94017">
              <w:rPr>
                <w:rFonts w:ascii="Arial" w:hAnsi="Arial" w:cs="Arial"/>
                <w:b/>
                <w:sz w:val="20"/>
                <w:szCs w:val="20"/>
              </w:rPr>
              <w:t>9,775</w:t>
            </w:r>
          </w:p>
          <w:p w14:paraId="43ECF9E9" w14:textId="77777777" w:rsidR="00D64593" w:rsidRPr="00B94017" w:rsidRDefault="00D64593" w:rsidP="00D64593">
            <w:pPr>
              <w:jc w:val="center"/>
              <w:rPr>
                <w:rFonts w:ascii="Arial" w:hAnsi="Arial" w:cs="Arial"/>
                <w:sz w:val="20"/>
                <w:szCs w:val="20"/>
              </w:rPr>
            </w:pPr>
          </w:p>
          <w:p w14:paraId="753C300A" w14:textId="77777777" w:rsidR="00D64593" w:rsidRPr="00B94017" w:rsidRDefault="00D64593" w:rsidP="00D64593">
            <w:pPr>
              <w:jc w:val="center"/>
              <w:rPr>
                <w:rFonts w:ascii="Arial" w:hAnsi="Arial" w:cs="Arial"/>
                <w:sz w:val="20"/>
                <w:szCs w:val="20"/>
              </w:rPr>
            </w:pPr>
            <w:r w:rsidRPr="00B94017">
              <w:rPr>
                <w:rFonts w:ascii="Arial" w:hAnsi="Arial" w:cs="Arial"/>
                <w:sz w:val="20"/>
                <w:szCs w:val="20"/>
              </w:rPr>
              <w:t>828</w:t>
            </w:r>
          </w:p>
          <w:p w14:paraId="210BEC04" w14:textId="77777777" w:rsidR="00D64593" w:rsidRPr="00B94017" w:rsidRDefault="00D64593" w:rsidP="00D64593">
            <w:pPr>
              <w:jc w:val="center"/>
              <w:rPr>
                <w:rFonts w:ascii="Arial" w:hAnsi="Arial" w:cs="Arial"/>
                <w:sz w:val="20"/>
                <w:szCs w:val="20"/>
              </w:rPr>
            </w:pPr>
            <w:r w:rsidRPr="00B94017">
              <w:rPr>
                <w:rFonts w:ascii="Arial" w:hAnsi="Arial" w:cs="Arial"/>
                <w:sz w:val="20"/>
                <w:szCs w:val="20"/>
              </w:rPr>
              <w:t>6,864</w:t>
            </w:r>
          </w:p>
          <w:p w14:paraId="4104887C" w14:textId="616A1D02" w:rsidR="00D64593" w:rsidRPr="00B94017" w:rsidRDefault="00D64593" w:rsidP="00D64593">
            <w:pPr>
              <w:jc w:val="center"/>
              <w:rPr>
                <w:rFonts w:ascii="Arial" w:hAnsi="Arial" w:cs="Arial"/>
                <w:b/>
                <w:sz w:val="20"/>
                <w:szCs w:val="20"/>
              </w:rPr>
            </w:pPr>
            <w:r w:rsidRPr="00B94017">
              <w:rPr>
                <w:rFonts w:ascii="Arial" w:hAnsi="Arial" w:cs="Arial"/>
                <w:sz w:val="20"/>
                <w:szCs w:val="20"/>
              </w:rPr>
              <w:t>2,083</w:t>
            </w:r>
          </w:p>
        </w:tc>
        <w:tc>
          <w:tcPr>
            <w:tcW w:w="1530" w:type="dxa"/>
            <w:tcBorders>
              <w:top w:val="single" w:sz="4" w:space="0" w:color="auto"/>
              <w:left w:val="single" w:sz="4" w:space="0" w:color="auto"/>
              <w:bottom w:val="single" w:sz="4" w:space="0" w:color="auto"/>
              <w:right w:val="single" w:sz="4" w:space="0" w:color="auto"/>
            </w:tcBorders>
          </w:tcPr>
          <w:p w14:paraId="3EE7C179" w14:textId="77777777" w:rsidR="00D64593" w:rsidRDefault="00D64593" w:rsidP="00D64593">
            <w:pPr>
              <w:jc w:val="center"/>
              <w:rPr>
                <w:rFonts w:ascii="Arial" w:hAnsi="Arial" w:cs="Arial"/>
                <w:b/>
                <w:sz w:val="20"/>
                <w:szCs w:val="20"/>
              </w:rPr>
            </w:pPr>
            <w:r>
              <w:rPr>
                <w:rFonts w:ascii="Arial" w:hAnsi="Arial" w:cs="Arial"/>
                <w:b/>
                <w:sz w:val="20"/>
                <w:szCs w:val="20"/>
              </w:rPr>
              <w:t>9,589</w:t>
            </w:r>
          </w:p>
          <w:p w14:paraId="5BF62070" w14:textId="77777777" w:rsidR="00D64593" w:rsidRDefault="00D64593" w:rsidP="00D64593">
            <w:pPr>
              <w:jc w:val="center"/>
              <w:rPr>
                <w:rFonts w:ascii="Arial" w:hAnsi="Arial" w:cs="Arial"/>
                <w:b/>
                <w:sz w:val="20"/>
                <w:szCs w:val="20"/>
              </w:rPr>
            </w:pPr>
          </w:p>
          <w:p w14:paraId="0C474E98" w14:textId="77777777" w:rsidR="00D64593" w:rsidRDefault="00D64593" w:rsidP="00D64593">
            <w:pPr>
              <w:jc w:val="center"/>
              <w:rPr>
                <w:rFonts w:ascii="Arial" w:hAnsi="Arial" w:cs="Arial"/>
                <w:sz w:val="20"/>
                <w:szCs w:val="20"/>
              </w:rPr>
            </w:pPr>
            <w:r w:rsidRPr="002E08A5">
              <w:rPr>
                <w:rFonts w:ascii="Arial" w:hAnsi="Arial" w:cs="Arial"/>
                <w:sz w:val="20"/>
                <w:szCs w:val="20"/>
              </w:rPr>
              <w:t>819</w:t>
            </w:r>
          </w:p>
          <w:p w14:paraId="269ED1E5" w14:textId="77777777" w:rsidR="00D64593" w:rsidRDefault="00D64593" w:rsidP="00D64593">
            <w:pPr>
              <w:jc w:val="center"/>
              <w:rPr>
                <w:rFonts w:ascii="Arial" w:hAnsi="Arial" w:cs="Arial"/>
                <w:sz w:val="20"/>
                <w:szCs w:val="20"/>
              </w:rPr>
            </w:pPr>
            <w:r>
              <w:rPr>
                <w:rFonts w:ascii="Arial" w:hAnsi="Arial" w:cs="Arial"/>
                <w:sz w:val="20"/>
                <w:szCs w:val="20"/>
              </w:rPr>
              <w:t>6,587</w:t>
            </w:r>
          </w:p>
          <w:p w14:paraId="429C1BCD" w14:textId="35E70C45" w:rsidR="00D64593" w:rsidRPr="00B94017" w:rsidRDefault="00D64593" w:rsidP="00D64593">
            <w:pPr>
              <w:jc w:val="center"/>
              <w:rPr>
                <w:rFonts w:ascii="Arial" w:hAnsi="Arial" w:cs="Arial"/>
                <w:sz w:val="20"/>
                <w:szCs w:val="20"/>
              </w:rPr>
            </w:pPr>
            <w:r>
              <w:rPr>
                <w:rFonts w:ascii="Arial" w:hAnsi="Arial" w:cs="Arial"/>
                <w:sz w:val="20"/>
                <w:szCs w:val="20"/>
              </w:rPr>
              <w:t>2,183</w:t>
            </w:r>
          </w:p>
        </w:tc>
        <w:tc>
          <w:tcPr>
            <w:tcW w:w="1530" w:type="dxa"/>
            <w:tcBorders>
              <w:top w:val="single" w:sz="4" w:space="0" w:color="auto"/>
              <w:left w:val="single" w:sz="4" w:space="0" w:color="auto"/>
              <w:bottom w:val="single" w:sz="4" w:space="0" w:color="auto"/>
              <w:right w:val="single" w:sz="4" w:space="0" w:color="auto"/>
            </w:tcBorders>
          </w:tcPr>
          <w:p w14:paraId="7BCE70E1" w14:textId="77777777" w:rsidR="00D64593" w:rsidRDefault="00D64593" w:rsidP="00D64593">
            <w:pPr>
              <w:jc w:val="center"/>
              <w:rPr>
                <w:rFonts w:ascii="Arial" w:hAnsi="Arial" w:cs="Arial"/>
                <w:b/>
                <w:sz w:val="20"/>
                <w:szCs w:val="20"/>
              </w:rPr>
            </w:pPr>
            <w:r>
              <w:rPr>
                <w:rFonts w:ascii="Arial" w:hAnsi="Arial" w:cs="Arial"/>
                <w:b/>
                <w:sz w:val="20"/>
                <w:szCs w:val="20"/>
              </w:rPr>
              <w:t>9,322</w:t>
            </w:r>
          </w:p>
          <w:p w14:paraId="39CD6252" w14:textId="77777777" w:rsidR="00D64593" w:rsidRDefault="00D64593" w:rsidP="00D64593">
            <w:pPr>
              <w:jc w:val="center"/>
              <w:rPr>
                <w:rFonts w:ascii="Arial" w:hAnsi="Arial" w:cs="Arial"/>
                <w:b/>
                <w:sz w:val="20"/>
                <w:szCs w:val="20"/>
              </w:rPr>
            </w:pPr>
          </w:p>
          <w:p w14:paraId="1741C3ED" w14:textId="77777777" w:rsidR="00D64593" w:rsidRDefault="00D64593" w:rsidP="00D64593">
            <w:pPr>
              <w:jc w:val="center"/>
              <w:rPr>
                <w:rFonts w:ascii="Arial" w:hAnsi="Arial" w:cs="Arial"/>
                <w:sz w:val="20"/>
                <w:szCs w:val="20"/>
              </w:rPr>
            </w:pPr>
            <w:r w:rsidRPr="00483D5C">
              <w:rPr>
                <w:rFonts w:ascii="Arial" w:hAnsi="Arial" w:cs="Arial"/>
                <w:sz w:val="20"/>
                <w:szCs w:val="20"/>
              </w:rPr>
              <w:t>749</w:t>
            </w:r>
          </w:p>
          <w:p w14:paraId="5106104C" w14:textId="77777777" w:rsidR="00D64593" w:rsidRDefault="00D64593" w:rsidP="00D64593">
            <w:pPr>
              <w:jc w:val="center"/>
              <w:rPr>
                <w:rFonts w:ascii="Arial" w:hAnsi="Arial" w:cs="Arial"/>
                <w:sz w:val="20"/>
                <w:szCs w:val="20"/>
              </w:rPr>
            </w:pPr>
            <w:r>
              <w:rPr>
                <w:rFonts w:ascii="Arial" w:hAnsi="Arial" w:cs="Arial"/>
                <w:sz w:val="20"/>
                <w:szCs w:val="20"/>
              </w:rPr>
              <w:t>6,246</w:t>
            </w:r>
          </w:p>
          <w:p w14:paraId="79E35E76" w14:textId="70AC0C19" w:rsidR="00D64593" w:rsidRPr="002E08A5" w:rsidRDefault="00D64593" w:rsidP="00D64593">
            <w:pPr>
              <w:jc w:val="center"/>
              <w:rPr>
                <w:rFonts w:ascii="Arial" w:hAnsi="Arial" w:cs="Arial"/>
                <w:sz w:val="20"/>
                <w:szCs w:val="20"/>
              </w:rPr>
            </w:pPr>
            <w:r>
              <w:rPr>
                <w:rFonts w:ascii="Arial" w:hAnsi="Arial" w:cs="Arial"/>
                <w:sz w:val="20"/>
                <w:szCs w:val="20"/>
              </w:rPr>
              <w:t>2,327</w:t>
            </w:r>
          </w:p>
        </w:tc>
        <w:tc>
          <w:tcPr>
            <w:tcW w:w="1435" w:type="dxa"/>
            <w:tcBorders>
              <w:top w:val="single" w:sz="4" w:space="0" w:color="auto"/>
              <w:left w:val="single" w:sz="4" w:space="0" w:color="auto"/>
              <w:bottom w:val="single" w:sz="4" w:space="0" w:color="auto"/>
              <w:right w:val="single" w:sz="4" w:space="0" w:color="auto"/>
            </w:tcBorders>
          </w:tcPr>
          <w:p w14:paraId="27B956F5" w14:textId="73EA0F3B" w:rsidR="00D64593" w:rsidRPr="00483D5C" w:rsidRDefault="00D64593" w:rsidP="00D64593">
            <w:pPr>
              <w:jc w:val="center"/>
              <w:rPr>
                <w:rFonts w:ascii="Arial" w:hAnsi="Arial" w:cs="Arial"/>
                <w:sz w:val="20"/>
                <w:szCs w:val="20"/>
              </w:rPr>
            </w:pPr>
          </w:p>
        </w:tc>
      </w:tr>
      <w:tr w:rsidR="00D64593" w:rsidRPr="00301088" w14:paraId="6B36EB35" w14:textId="0C49BD9D" w:rsidTr="00A850F7">
        <w:trPr>
          <w:trHeight w:val="1250"/>
        </w:trPr>
        <w:tc>
          <w:tcPr>
            <w:tcW w:w="4045" w:type="dxa"/>
            <w:tcBorders>
              <w:top w:val="single" w:sz="4" w:space="0" w:color="auto"/>
              <w:left w:val="single" w:sz="4" w:space="0" w:color="auto"/>
              <w:bottom w:val="single" w:sz="4" w:space="0" w:color="auto"/>
              <w:right w:val="single" w:sz="4" w:space="0" w:color="auto"/>
            </w:tcBorders>
          </w:tcPr>
          <w:p w14:paraId="34704CD8" w14:textId="77777777" w:rsidR="00D64593" w:rsidRPr="00B94017" w:rsidRDefault="00D64593" w:rsidP="00D64593">
            <w:pPr>
              <w:rPr>
                <w:rFonts w:ascii="Arial" w:hAnsi="Arial" w:cs="Arial"/>
                <w:sz w:val="20"/>
                <w:szCs w:val="20"/>
              </w:rPr>
            </w:pPr>
            <w:r w:rsidRPr="00B94017">
              <w:rPr>
                <w:rFonts w:ascii="Arial" w:hAnsi="Arial" w:cs="Arial"/>
                <w:sz w:val="20"/>
                <w:szCs w:val="20"/>
              </w:rPr>
              <w:t>Total credit hours taught:</w:t>
            </w:r>
            <w:r w:rsidRPr="00B94017">
              <w:rPr>
                <w:rFonts w:ascii="Arial" w:hAnsi="Arial" w:cs="Arial"/>
                <w:b/>
                <w:sz w:val="20"/>
                <w:szCs w:val="20"/>
                <w:vertAlign w:val="superscript"/>
              </w:rPr>
              <w:t xml:space="preserve">  3</w:t>
            </w:r>
          </w:p>
          <w:p w14:paraId="5340BA75" w14:textId="77777777" w:rsidR="00D64593" w:rsidRPr="00B94017" w:rsidRDefault="00D64593" w:rsidP="00D64593">
            <w:pPr>
              <w:pStyle w:val="ListParagraph"/>
              <w:numPr>
                <w:ilvl w:val="0"/>
                <w:numId w:val="3"/>
              </w:numPr>
              <w:ind w:left="340" w:hanging="340"/>
              <w:rPr>
                <w:rFonts w:ascii="Arial" w:hAnsi="Arial" w:cs="Arial"/>
                <w:sz w:val="20"/>
                <w:szCs w:val="20"/>
              </w:rPr>
            </w:pPr>
            <w:r w:rsidRPr="00B94017">
              <w:rPr>
                <w:rFonts w:ascii="Arial" w:hAnsi="Arial" w:cs="Arial"/>
                <w:sz w:val="20"/>
                <w:szCs w:val="20"/>
              </w:rPr>
              <w:t>Career Technical credit hours</w:t>
            </w:r>
          </w:p>
          <w:p w14:paraId="753DF8FC" w14:textId="77777777" w:rsidR="00D64593" w:rsidRPr="00B94017" w:rsidRDefault="00D64593" w:rsidP="00D64593">
            <w:pPr>
              <w:numPr>
                <w:ilvl w:val="0"/>
                <w:numId w:val="2"/>
              </w:numPr>
              <w:ind w:left="360"/>
              <w:rPr>
                <w:rFonts w:ascii="Arial" w:hAnsi="Arial" w:cs="Arial"/>
                <w:sz w:val="20"/>
                <w:szCs w:val="20"/>
              </w:rPr>
            </w:pPr>
            <w:r w:rsidRPr="00B94017">
              <w:rPr>
                <w:rFonts w:ascii="Arial" w:hAnsi="Arial" w:cs="Arial"/>
                <w:sz w:val="20"/>
                <w:szCs w:val="20"/>
              </w:rPr>
              <w:t>Academic credit hours</w:t>
            </w:r>
          </w:p>
          <w:p w14:paraId="6585DD9F" w14:textId="77777777" w:rsidR="00D64593" w:rsidRPr="00B94017" w:rsidRDefault="00D64593" w:rsidP="00D64593">
            <w:pPr>
              <w:numPr>
                <w:ilvl w:val="1"/>
                <w:numId w:val="2"/>
              </w:numPr>
              <w:ind w:left="700"/>
              <w:rPr>
                <w:rFonts w:ascii="Arial" w:hAnsi="Arial" w:cs="Arial"/>
                <w:sz w:val="20"/>
                <w:szCs w:val="20"/>
              </w:rPr>
            </w:pPr>
            <w:r w:rsidRPr="00B94017">
              <w:rPr>
                <w:rFonts w:ascii="Arial" w:hAnsi="Arial" w:cs="Arial"/>
                <w:sz w:val="20"/>
                <w:szCs w:val="20"/>
              </w:rPr>
              <w:t>Undergraduate credit hours</w:t>
            </w:r>
          </w:p>
          <w:p w14:paraId="5B940330" w14:textId="77777777" w:rsidR="00D64593" w:rsidRPr="00B94017" w:rsidRDefault="00D64593" w:rsidP="00D64593">
            <w:pPr>
              <w:numPr>
                <w:ilvl w:val="1"/>
                <w:numId w:val="2"/>
              </w:numPr>
              <w:ind w:left="700"/>
              <w:rPr>
                <w:rFonts w:ascii="Arial" w:hAnsi="Arial" w:cs="Arial"/>
                <w:sz w:val="20"/>
                <w:szCs w:val="20"/>
              </w:rPr>
            </w:pPr>
            <w:r w:rsidRPr="00B94017">
              <w:rPr>
                <w:rFonts w:ascii="Arial" w:hAnsi="Arial" w:cs="Arial"/>
                <w:sz w:val="20"/>
                <w:szCs w:val="20"/>
              </w:rPr>
              <w:t>Graduate credit hours</w:t>
            </w:r>
          </w:p>
        </w:tc>
        <w:tc>
          <w:tcPr>
            <w:tcW w:w="1530" w:type="dxa"/>
            <w:tcBorders>
              <w:top w:val="single" w:sz="4" w:space="0" w:color="auto"/>
              <w:left w:val="single" w:sz="4" w:space="0" w:color="auto"/>
              <w:bottom w:val="single" w:sz="4" w:space="0" w:color="auto"/>
              <w:right w:val="single" w:sz="4" w:space="0" w:color="auto"/>
            </w:tcBorders>
          </w:tcPr>
          <w:p w14:paraId="479801FA" w14:textId="77777777" w:rsidR="00D64593" w:rsidRPr="00B94017" w:rsidRDefault="00D64593" w:rsidP="00D64593">
            <w:pPr>
              <w:jc w:val="center"/>
              <w:rPr>
                <w:rFonts w:ascii="Arial" w:hAnsi="Arial" w:cs="Arial"/>
                <w:b/>
                <w:sz w:val="20"/>
                <w:szCs w:val="20"/>
              </w:rPr>
            </w:pPr>
            <w:r w:rsidRPr="00B94017">
              <w:rPr>
                <w:rFonts w:ascii="Arial" w:hAnsi="Arial" w:cs="Arial"/>
                <w:b/>
                <w:sz w:val="20"/>
                <w:szCs w:val="20"/>
              </w:rPr>
              <w:t>280,770</w:t>
            </w:r>
          </w:p>
          <w:p w14:paraId="2D90BC6C" w14:textId="77777777" w:rsidR="00D64593" w:rsidRPr="00B94017" w:rsidRDefault="00D64593" w:rsidP="00D64593">
            <w:pPr>
              <w:jc w:val="center"/>
              <w:rPr>
                <w:rFonts w:ascii="Arial" w:hAnsi="Arial" w:cs="Arial"/>
                <w:sz w:val="20"/>
                <w:szCs w:val="20"/>
              </w:rPr>
            </w:pPr>
            <w:r w:rsidRPr="00B94017">
              <w:rPr>
                <w:rFonts w:ascii="Arial" w:hAnsi="Arial" w:cs="Arial"/>
                <w:sz w:val="20"/>
                <w:szCs w:val="20"/>
              </w:rPr>
              <w:t>24,852</w:t>
            </w:r>
          </w:p>
          <w:p w14:paraId="24994497" w14:textId="77777777" w:rsidR="00D64593" w:rsidRPr="00B94017" w:rsidRDefault="00D64593" w:rsidP="00D64593">
            <w:pPr>
              <w:jc w:val="center"/>
              <w:rPr>
                <w:rFonts w:ascii="Arial" w:hAnsi="Arial" w:cs="Arial"/>
                <w:sz w:val="20"/>
                <w:szCs w:val="20"/>
              </w:rPr>
            </w:pPr>
            <w:r w:rsidRPr="00B94017">
              <w:rPr>
                <w:rFonts w:ascii="Arial" w:hAnsi="Arial" w:cs="Arial"/>
                <w:sz w:val="20"/>
                <w:szCs w:val="20"/>
              </w:rPr>
              <w:t>255,918</w:t>
            </w:r>
          </w:p>
          <w:p w14:paraId="26E92807" w14:textId="77777777" w:rsidR="00D64593" w:rsidRPr="00B94017" w:rsidRDefault="00D64593" w:rsidP="00D64593">
            <w:pPr>
              <w:jc w:val="center"/>
              <w:rPr>
                <w:rFonts w:ascii="Arial" w:hAnsi="Arial" w:cs="Arial"/>
                <w:sz w:val="20"/>
                <w:szCs w:val="20"/>
              </w:rPr>
            </w:pPr>
            <w:r w:rsidRPr="00B94017">
              <w:rPr>
                <w:rFonts w:ascii="Arial" w:hAnsi="Arial" w:cs="Arial"/>
                <w:sz w:val="20"/>
                <w:szCs w:val="20"/>
              </w:rPr>
              <w:t>205,928</w:t>
            </w:r>
          </w:p>
          <w:p w14:paraId="1A8A0709" w14:textId="59B15FD8" w:rsidR="00D64593" w:rsidRPr="00B94017" w:rsidRDefault="00D64593" w:rsidP="00D64593">
            <w:pPr>
              <w:jc w:val="center"/>
              <w:rPr>
                <w:rFonts w:ascii="Arial" w:hAnsi="Arial" w:cs="Arial"/>
                <w:sz w:val="20"/>
                <w:szCs w:val="20"/>
              </w:rPr>
            </w:pPr>
            <w:r w:rsidRPr="00B94017">
              <w:rPr>
                <w:rFonts w:ascii="Arial" w:hAnsi="Arial" w:cs="Arial"/>
                <w:sz w:val="20"/>
                <w:szCs w:val="20"/>
              </w:rPr>
              <w:t>49,990</w:t>
            </w:r>
          </w:p>
        </w:tc>
        <w:tc>
          <w:tcPr>
            <w:tcW w:w="1530" w:type="dxa"/>
            <w:tcBorders>
              <w:top w:val="single" w:sz="4" w:space="0" w:color="auto"/>
              <w:left w:val="single" w:sz="4" w:space="0" w:color="auto"/>
              <w:bottom w:val="single" w:sz="4" w:space="0" w:color="auto"/>
              <w:right w:val="single" w:sz="4" w:space="0" w:color="auto"/>
            </w:tcBorders>
          </w:tcPr>
          <w:p w14:paraId="04B6D05E" w14:textId="77777777" w:rsidR="00D64593" w:rsidRDefault="00D64593" w:rsidP="00D64593">
            <w:pPr>
              <w:jc w:val="center"/>
              <w:rPr>
                <w:rFonts w:ascii="Arial" w:hAnsi="Arial" w:cs="Arial"/>
                <w:b/>
                <w:sz w:val="20"/>
                <w:szCs w:val="20"/>
              </w:rPr>
            </w:pPr>
            <w:r>
              <w:rPr>
                <w:rFonts w:ascii="Arial" w:hAnsi="Arial" w:cs="Arial"/>
                <w:b/>
                <w:sz w:val="20"/>
                <w:szCs w:val="20"/>
              </w:rPr>
              <w:t>274,551</w:t>
            </w:r>
          </w:p>
          <w:p w14:paraId="74645307" w14:textId="77777777" w:rsidR="00D64593" w:rsidRDefault="00D64593" w:rsidP="00D64593">
            <w:pPr>
              <w:jc w:val="center"/>
              <w:rPr>
                <w:rFonts w:ascii="Arial" w:hAnsi="Arial" w:cs="Arial"/>
                <w:sz w:val="20"/>
                <w:szCs w:val="20"/>
              </w:rPr>
            </w:pPr>
            <w:r w:rsidRPr="002E08A5">
              <w:rPr>
                <w:rFonts w:ascii="Arial" w:hAnsi="Arial" w:cs="Arial"/>
                <w:sz w:val="20"/>
                <w:szCs w:val="20"/>
              </w:rPr>
              <w:t>24,556</w:t>
            </w:r>
          </w:p>
          <w:p w14:paraId="47D22C2D" w14:textId="77777777" w:rsidR="00D64593" w:rsidRDefault="00D64593" w:rsidP="00D64593">
            <w:pPr>
              <w:jc w:val="center"/>
              <w:rPr>
                <w:rFonts w:ascii="Arial" w:hAnsi="Arial" w:cs="Arial"/>
                <w:sz w:val="20"/>
                <w:szCs w:val="20"/>
              </w:rPr>
            </w:pPr>
            <w:r>
              <w:rPr>
                <w:rFonts w:ascii="Arial" w:hAnsi="Arial" w:cs="Arial"/>
                <w:sz w:val="20"/>
                <w:szCs w:val="20"/>
              </w:rPr>
              <w:t>249,995</w:t>
            </w:r>
          </w:p>
          <w:p w14:paraId="64F5A545" w14:textId="77777777" w:rsidR="00D64593" w:rsidRDefault="00D64593" w:rsidP="00D64593">
            <w:pPr>
              <w:jc w:val="center"/>
              <w:rPr>
                <w:rFonts w:ascii="Arial" w:hAnsi="Arial" w:cs="Arial"/>
                <w:sz w:val="20"/>
                <w:szCs w:val="20"/>
              </w:rPr>
            </w:pPr>
            <w:r>
              <w:rPr>
                <w:rFonts w:ascii="Arial" w:hAnsi="Arial" w:cs="Arial"/>
                <w:sz w:val="20"/>
                <w:szCs w:val="20"/>
              </w:rPr>
              <w:t>197,601</w:t>
            </w:r>
          </w:p>
          <w:p w14:paraId="49DD246E" w14:textId="3ED229A0" w:rsidR="00D64593" w:rsidRPr="00B94017" w:rsidRDefault="00D64593" w:rsidP="00D64593">
            <w:pPr>
              <w:jc w:val="center"/>
              <w:rPr>
                <w:rFonts w:ascii="Arial" w:hAnsi="Arial" w:cs="Arial"/>
                <w:sz w:val="20"/>
                <w:szCs w:val="20"/>
              </w:rPr>
            </w:pPr>
            <w:r>
              <w:rPr>
                <w:rFonts w:ascii="Arial" w:hAnsi="Arial" w:cs="Arial"/>
                <w:sz w:val="20"/>
                <w:szCs w:val="20"/>
              </w:rPr>
              <w:t>52,394</w:t>
            </w:r>
          </w:p>
        </w:tc>
        <w:tc>
          <w:tcPr>
            <w:tcW w:w="1530" w:type="dxa"/>
            <w:tcBorders>
              <w:top w:val="single" w:sz="4" w:space="0" w:color="auto"/>
              <w:left w:val="single" w:sz="4" w:space="0" w:color="auto"/>
              <w:bottom w:val="single" w:sz="4" w:space="0" w:color="auto"/>
              <w:right w:val="single" w:sz="4" w:space="0" w:color="auto"/>
            </w:tcBorders>
          </w:tcPr>
          <w:p w14:paraId="1F93A5A3" w14:textId="77777777" w:rsidR="00D64593" w:rsidRDefault="00D64593" w:rsidP="00D64593">
            <w:pPr>
              <w:jc w:val="center"/>
              <w:rPr>
                <w:rFonts w:ascii="Arial" w:hAnsi="Arial" w:cs="Arial"/>
                <w:b/>
                <w:sz w:val="20"/>
                <w:szCs w:val="20"/>
              </w:rPr>
            </w:pPr>
            <w:r>
              <w:rPr>
                <w:rFonts w:ascii="Arial" w:hAnsi="Arial" w:cs="Arial"/>
                <w:b/>
                <w:sz w:val="20"/>
                <w:szCs w:val="20"/>
              </w:rPr>
              <w:t>265,715</w:t>
            </w:r>
          </w:p>
          <w:p w14:paraId="7E460EC4" w14:textId="77777777" w:rsidR="00D64593" w:rsidRDefault="00D64593" w:rsidP="00D64593">
            <w:pPr>
              <w:jc w:val="center"/>
              <w:rPr>
                <w:rFonts w:ascii="Arial" w:hAnsi="Arial" w:cs="Arial"/>
                <w:sz w:val="20"/>
                <w:szCs w:val="20"/>
              </w:rPr>
            </w:pPr>
            <w:r w:rsidRPr="00483D5C">
              <w:rPr>
                <w:rFonts w:ascii="Arial" w:hAnsi="Arial" w:cs="Arial"/>
                <w:sz w:val="20"/>
                <w:szCs w:val="20"/>
              </w:rPr>
              <w:t>22,473</w:t>
            </w:r>
          </w:p>
          <w:p w14:paraId="60B16A04" w14:textId="77777777" w:rsidR="00D64593" w:rsidRDefault="00D64593" w:rsidP="00D64593">
            <w:pPr>
              <w:jc w:val="center"/>
              <w:rPr>
                <w:rFonts w:ascii="Arial" w:hAnsi="Arial" w:cs="Arial"/>
                <w:sz w:val="20"/>
                <w:szCs w:val="20"/>
              </w:rPr>
            </w:pPr>
            <w:r>
              <w:rPr>
                <w:rFonts w:ascii="Arial" w:hAnsi="Arial" w:cs="Arial"/>
                <w:sz w:val="20"/>
                <w:szCs w:val="20"/>
              </w:rPr>
              <w:t>243,242</w:t>
            </w:r>
          </w:p>
          <w:p w14:paraId="113CFC30" w14:textId="77777777" w:rsidR="00D64593" w:rsidRDefault="00D64593" w:rsidP="00D64593">
            <w:pPr>
              <w:jc w:val="center"/>
              <w:rPr>
                <w:rFonts w:ascii="Arial" w:hAnsi="Arial" w:cs="Arial"/>
                <w:sz w:val="20"/>
                <w:szCs w:val="20"/>
              </w:rPr>
            </w:pPr>
            <w:r>
              <w:rPr>
                <w:rFonts w:ascii="Arial" w:hAnsi="Arial" w:cs="Arial"/>
                <w:sz w:val="20"/>
                <w:szCs w:val="20"/>
              </w:rPr>
              <w:t>187,391</w:t>
            </w:r>
          </w:p>
          <w:p w14:paraId="43CB598A" w14:textId="6BA38405" w:rsidR="00D64593" w:rsidRPr="002E08A5" w:rsidRDefault="00D64593" w:rsidP="00D64593">
            <w:pPr>
              <w:jc w:val="center"/>
              <w:rPr>
                <w:rFonts w:ascii="Arial" w:hAnsi="Arial" w:cs="Arial"/>
                <w:sz w:val="20"/>
                <w:szCs w:val="20"/>
              </w:rPr>
            </w:pPr>
            <w:r>
              <w:rPr>
                <w:rFonts w:ascii="Arial" w:hAnsi="Arial" w:cs="Arial"/>
                <w:sz w:val="20"/>
                <w:szCs w:val="20"/>
              </w:rPr>
              <w:t>55,851</w:t>
            </w:r>
          </w:p>
        </w:tc>
        <w:tc>
          <w:tcPr>
            <w:tcW w:w="1435" w:type="dxa"/>
            <w:tcBorders>
              <w:top w:val="single" w:sz="4" w:space="0" w:color="auto"/>
              <w:left w:val="single" w:sz="4" w:space="0" w:color="auto"/>
              <w:bottom w:val="single" w:sz="4" w:space="0" w:color="auto"/>
              <w:right w:val="single" w:sz="4" w:space="0" w:color="auto"/>
            </w:tcBorders>
          </w:tcPr>
          <w:p w14:paraId="03FBE3E4" w14:textId="7279F3E6" w:rsidR="00D64593" w:rsidRPr="00483D5C" w:rsidRDefault="00D64593" w:rsidP="00D64593">
            <w:pPr>
              <w:jc w:val="center"/>
              <w:rPr>
                <w:rFonts w:ascii="Arial" w:hAnsi="Arial" w:cs="Arial"/>
                <w:sz w:val="20"/>
                <w:szCs w:val="20"/>
              </w:rPr>
            </w:pPr>
          </w:p>
        </w:tc>
      </w:tr>
      <w:tr w:rsidR="00D64593" w:rsidRPr="00301088" w14:paraId="3438055E" w14:textId="6D4D9652" w:rsidTr="00A850F7">
        <w:trPr>
          <w:trHeight w:val="683"/>
        </w:trPr>
        <w:tc>
          <w:tcPr>
            <w:tcW w:w="4045" w:type="dxa"/>
            <w:tcBorders>
              <w:top w:val="single" w:sz="4" w:space="0" w:color="auto"/>
              <w:left w:val="single" w:sz="4" w:space="0" w:color="auto"/>
              <w:bottom w:val="single" w:sz="4" w:space="0" w:color="auto"/>
              <w:right w:val="single" w:sz="4" w:space="0" w:color="auto"/>
            </w:tcBorders>
          </w:tcPr>
          <w:p w14:paraId="66558490" w14:textId="77777777" w:rsidR="00D64593" w:rsidRPr="00301088" w:rsidRDefault="00D64593" w:rsidP="00D64593">
            <w:pPr>
              <w:rPr>
                <w:rFonts w:ascii="Arial" w:hAnsi="Arial" w:cs="Arial"/>
                <w:sz w:val="20"/>
              </w:rPr>
            </w:pPr>
            <w:r>
              <w:rPr>
                <w:rFonts w:ascii="Arial" w:hAnsi="Arial" w:cs="Arial"/>
                <w:sz w:val="20"/>
              </w:rPr>
              <w:t>Percentage of all degree-seeking undergraduates receiving a PELL grant</w:t>
            </w:r>
          </w:p>
        </w:tc>
        <w:tc>
          <w:tcPr>
            <w:tcW w:w="1530" w:type="dxa"/>
            <w:tcBorders>
              <w:top w:val="single" w:sz="4" w:space="0" w:color="auto"/>
              <w:left w:val="single" w:sz="4" w:space="0" w:color="auto"/>
              <w:bottom w:val="single" w:sz="4" w:space="0" w:color="auto"/>
              <w:right w:val="single" w:sz="4" w:space="0" w:color="auto"/>
            </w:tcBorders>
            <w:vAlign w:val="center"/>
          </w:tcPr>
          <w:p w14:paraId="0B4A7ACA" w14:textId="56F841A9" w:rsidR="00D64593" w:rsidRPr="00301088" w:rsidRDefault="00D64593" w:rsidP="00D64593">
            <w:pPr>
              <w:jc w:val="center"/>
              <w:rPr>
                <w:rFonts w:ascii="Arial" w:eastAsia="Arial Unicode MS" w:hAnsi="Arial" w:cs="Arial"/>
                <w:sz w:val="20"/>
              </w:rPr>
            </w:pPr>
            <w:r>
              <w:rPr>
                <w:rFonts w:ascii="Arial" w:eastAsia="Arial Unicode MS" w:hAnsi="Arial" w:cs="Arial"/>
                <w:sz w:val="20"/>
              </w:rPr>
              <w:t>43%</w:t>
            </w:r>
          </w:p>
        </w:tc>
        <w:tc>
          <w:tcPr>
            <w:tcW w:w="1530" w:type="dxa"/>
            <w:tcBorders>
              <w:top w:val="single" w:sz="4" w:space="0" w:color="auto"/>
              <w:left w:val="single" w:sz="4" w:space="0" w:color="auto"/>
              <w:bottom w:val="single" w:sz="4" w:space="0" w:color="auto"/>
              <w:right w:val="single" w:sz="4" w:space="0" w:color="auto"/>
            </w:tcBorders>
          </w:tcPr>
          <w:p w14:paraId="0CFBDF11" w14:textId="77777777" w:rsidR="00D64593" w:rsidRDefault="00D64593" w:rsidP="00D64593">
            <w:pPr>
              <w:jc w:val="center"/>
              <w:rPr>
                <w:rFonts w:ascii="Arial" w:eastAsia="Arial Unicode MS" w:hAnsi="Arial" w:cs="Arial"/>
                <w:sz w:val="20"/>
              </w:rPr>
            </w:pPr>
          </w:p>
          <w:p w14:paraId="43555CD7" w14:textId="35A94D84" w:rsidR="00D64593" w:rsidRPr="00301088" w:rsidRDefault="00D64593" w:rsidP="00D64593">
            <w:pPr>
              <w:jc w:val="center"/>
              <w:rPr>
                <w:rFonts w:ascii="Arial" w:eastAsia="Arial Unicode MS" w:hAnsi="Arial" w:cs="Arial"/>
                <w:sz w:val="20"/>
              </w:rPr>
            </w:pPr>
            <w:r>
              <w:rPr>
                <w:rFonts w:ascii="Arial" w:eastAsia="Arial Unicode MS" w:hAnsi="Arial" w:cs="Arial"/>
                <w:sz w:val="20"/>
              </w:rPr>
              <w:t>43%</w:t>
            </w:r>
          </w:p>
        </w:tc>
        <w:tc>
          <w:tcPr>
            <w:tcW w:w="1530" w:type="dxa"/>
            <w:tcBorders>
              <w:top w:val="single" w:sz="4" w:space="0" w:color="auto"/>
              <w:left w:val="single" w:sz="4" w:space="0" w:color="auto"/>
              <w:bottom w:val="single" w:sz="4" w:space="0" w:color="auto"/>
              <w:right w:val="single" w:sz="4" w:space="0" w:color="auto"/>
            </w:tcBorders>
          </w:tcPr>
          <w:p w14:paraId="3B0F9F97" w14:textId="77777777" w:rsidR="00D64593" w:rsidRDefault="00D64593" w:rsidP="00D64593">
            <w:pPr>
              <w:jc w:val="center"/>
              <w:rPr>
                <w:rFonts w:ascii="Arial" w:eastAsia="Arial Unicode MS" w:hAnsi="Arial" w:cs="Arial"/>
                <w:sz w:val="20"/>
              </w:rPr>
            </w:pPr>
          </w:p>
          <w:p w14:paraId="3CD78C8E" w14:textId="616A2724" w:rsidR="00D64593" w:rsidRDefault="00D64593" w:rsidP="00D64593">
            <w:pPr>
              <w:jc w:val="center"/>
              <w:rPr>
                <w:rFonts w:ascii="Arial" w:eastAsia="Arial Unicode MS" w:hAnsi="Arial" w:cs="Arial"/>
                <w:sz w:val="20"/>
              </w:rPr>
            </w:pPr>
            <w:r>
              <w:rPr>
                <w:rFonts w:ascii="Arial" w:eastAsia="Arial Unicode MS" w:hAnsi="Arial" w:cs="Arial"/>
                <w:sz w:val="20"/>
              </w:rPr>
              <w:t>40%</w:t>
            </w:r>
          </w:p>
        </w:tc>
        <w:tc>
          <w:tcPr>
            <w:tcW w:w="1435" w:type="dxa"/>
            <w:tcBorders>
              <w:top w:val="single" w:sz="4" w:space="0" w:color="auto"/>
              <w:left w:val="single" w:sz="4" w:space="0" w:color="auto"/>
              <w:bottom w:val="single" w:sz="4" w:space="0" w:color="auto"/>
              <w:right w:val="single" w:sz="4" w:space="0" w:color="auto"/>
            </w:tcBorders>
          </w:tcPr>
          <w:p w14:paraId="548CB63C" w14:textId="26782119" w:rsidR="00D64593" w:rsidRDefault="00D64593" w:rsidP="00D64593">
            <w:pPr>
              <w:jc w:val="center"/>
              <w:rPr>
                <w:rFonts w:ascii="Arial" w:eastAsia="Arial Unicode MS" w:hAnsi="Arial" w:cs="Arial"/>
                <w:sz w:val="20"/>
              </w:rPr>
            </w:pPr>
          </w:p>
        </w:tc>
      </w:tr>
      <w:tr w:rsidR="00D64593" w:rsidRPr="00301088" w14:paraId="3F6EC822" w14:textId="3537EBBF" w:rsidTr="00A850F7">
        <w:tc>
          <w:tcPr>
            <w:tcW w:w="4045" w:type="dxa"/>
            <w:tcBorders>
              <w:top w:val="single" w:sz="4" w:space="0" w:color="auto"/>
              <w:left w:val="single" w:sz="4" w:space="0" w:color="auto"/>
              <w:bottom w:val="single" w:sz="4" w:space="0" w:color="auto"/>
              <w:right w:val="single" w:sz="4" w:space="0" w:color="auto"/>
            </w:tcBorders>
          </w:tcPr>
          <w:p w14:paraId="6432C28F" w14:textId="013845C0" w:rsidR="00D64593" w:rsidRPr="00B94017" w:rsidRDefault="00D64593" w:rsidP="00D64593">
            <w:pPr>
              <w:rPr>
                <w:rFonts w:ascii="Arial" w:hAnsi="Arial" w:cs="Arial"/>
                <w:sz w:val="20"/>
                <w:szCs w:val="20"/>
              </w:rPr>
            </w:pPr>
            <w:r w:rsidRPr="00B94017">
              <w:rPr>
                <w:rFonts w:ascii="Arial" w:hAnsi="Arial" w:cs="Arial"/>
                <w:sz w:val="20"/>
                <w:szCs w:val="20"/>
              </w:rPr>
              <w:t xml:space="preserve">Amount of ISU student scholarships/fellowships awarded </w:t>
            </w:r>
          </w:p>
        </w:tc>
        <w:tc>
          <w:tcPr>
            <w:tcW w:w="1530" w:type="dxa"/>
            <w:tcBorders>
              <w:top w:val="single" w:sz="4" w:space="0" w:color="auto"/>
              <w:left w:val="single" w:sz="4" w:space="0" w:color="auto"/>
              <w:bottom w:val="single" w:sz="4" w:space="0" w:color="auto"/>
              <w:right w:val="single" w:sz="4" w:space="0" w:color="auto"/>
            </w:tcBorders>
          </w:tcPr>
          <w:p w14:paraId="73B28C38" w14:textId="2EBC6F4C" w:rsidR="00D64593" w:rsidRPr="00B94017" w:rsidRDefault="00D64593" w:rsidP="00D64593">
            <w:pPr>
              <w:jc w:val="center"/>
              <w:rPr>
                <w:rFonts w:ascii="Arial" w:hAnsi="Arial" w:cs="Arial"/>
                <w:sz w:val="20"/>
                <w:szCs w:val="20"/>
              </w:rPr>
            </w:pPr>
            <w:r>
              <w:rPr>
                <w:rFonts w:ascii="Arial" w:hAnsi="Arial" w:cs="Arial"/>
                <w:sz w:val="20"/>
                <w:szCs w:val="20"/>
              </w:rPr>
              <w:t>$13,993,000</w:t>
            </w:r>
          </w:p>
        </w:tc>
        <w:tc>
          <w:tcPr>
            <w:tcW w:w="1530" w:type="dxa"/>
            <w:tcBorders>
              <w:top w:val="single" w:sz="4" w:space="0" w:color="auto"/>
              <w:left w:val="single" w:sz="4" w:space="0" w:color="auto"/>
              <w:bottom w:val="single" w:sz="4" w:space="0" w:color="auto"/>
              <w:right w:val="single" w:sz="4" w:space="0" w:color="auto"/>
            </w:tcBorders>
          </w:tcPr>
          <w:p w14:paraId="23BA3CCD" w14:textId="0E067434" w:rsidR="00D64593" w:rsidRPr="00B94017" w:rsidRDefault="00D64593" w:rsidP="00D64593">
            <w:pPr>
              <w:jc w:val="center"/>
              <w:rPr>
                <w:rFonts w:ascii="Arial" w:hAnsi="Arial" w:cs="Arial"/>
                <w:sz w:val="20"/>
                <w:szCs w:val="20"/>
              </w:rPr>
            </w:pPr>
            <w:r w:rsidRPr="002E0B19">
              <w:rPr>
                <w:rFonts w:ascii="Arial" w:hAnsi="Arial" w:cs="Arial"/>
                <w:sz w:val="20"/>
                <w:szCs w:val="20"/>
              </w:rPr>
              <w:t>$15,855,000</w:t>
            </w:r>
          </w:p>
        </w:tc>
        <w:tc>
          <w:tcPr>
            <w:tcW w:w="1530" w:type="dxa"/>
            <w:tcBorders>
              <w:top w:val="single" w:sz="4" w:space="0" w:color="auto"/>
              <w:left w:val="single" w:sz="4" w:space="0" w:color="auto"/>
              <w:bottom w:val="single" w:sz="4" w:space="0" w:color="auto"/>
              <w:right w:val="single" w:sz="4" w:space="0" w:color="auto"/>
            </w:tcBorders>
          </w:tcPr>
          <w:p w14:paraId="3ABB5313" w14:textId="28A4AE35" w:rsidR="00D64593" w:rsidRPr="00B05A3E" w:rsidRDefault="00D64593" w:rsidP="00D64593">
            <w:pPr>
              <w:jc w:val="center"/>
              <w:rPr>
                <w:rFonts w:ascii="Arial" w:hAnsi="Arial" w:cs="Arial"/>
                <w:sz w:val="18"/>
                <w:szCs w:val="18"/>
              </w:rPr>
            </w:pPr>
            <w:r w:rsidRPr="009E3111">
              <w:rPr>
                <w:rFonts w:ascii="Arial" w:hAnsi="Arial" w:cs="Arial"/>
                <w:sz w:val="20"/>
                <w:szCs w:val="20"/>
              </w:rPr>
              <w:t>$21,277,000</w:t>
            </w:r>
          </w:p>
        </w:tc>
        <w:tc>
          <w:tcPr>
            <w:tcW w:w="1435" w:type="dxa"/>
            <w:tcBorders>
              <w:top w:val="single" w:sz="4" w:space="0" w:color="auto"/>
              <w:left w:val="single" w:sz="4" w:space="0" w:color="auto"/>
              <w:bottom w:val="single" w:sz="4" w:space="0" w:color="auto"/>
              <w:right w:val="single" w:sz="4" w:space="0" w:color="auto"/>
            </w:tcBorders>
          </w:tcPr>
          <w:p w14:paraId="3D5BD0F5" w14:textId="2F67C023" w:rsidR="00D64593" w:rsidRPr="002E0B19" w:rsidRDefault="00D64593" w:rsidP="00D64593">
            <w:pPr>
              <w:jc w:val="center"/>
              <w:rPr>
                <w:rFonts w:ascii="Arial" w:hAnsi="Arial" w:cs="Arial"/>
                <w:sz w:val="20"/>
                <w:szCs w:val="20"/>
              </w:rPr>
            </w:pPr>
          </w:p>
        </w:tc>
      </w:tr>
      <w:tr w:rsidR="00D64593" w:rsidRPr="00301088" w14:paraId="41EF0A3F" w14:textId="67D02C58" w:rsidTr="00A850F7">
        <w:tc>
          <w:tcPr>
            <w:tcW w:w="4045" w:type="dxa"/>
            <w:tcBorders>
              <w:top w:val="single" w:sz="4" w:space="0" w:color="auto"/>
              <w:left w:val="single" w:sz="4" w:space="0" w:color="auto"/>
              <w:bottom w:val="single" w:sz="4" w:space="0" w:color="auto"/>
              <w:right w:val="single" w:sz="4" w:space="0" w:color="auto"/>
            </w:tcBorders>
            <w:vAlign w:val="center"/>
          </w:tcPr>
          <w:p w14:paraId="3F917025" w14:textId="328E5774" w:rsidR="00D64593" w:rsidRPr="001072AD" w:rsidRDefault="00D64593" w:rsidP="00D64593">
            <w:pPr>
              <w:keepNext/>
              <w:rPr>
                <w:rFonts w:ascii="Arial" w:hAnsi="Arial" w:cs="Arial"/>
                <w:sz w:val="20"/>
              </w:rPr>
            </w:pPr>
            <w:r w:rsidRPr="001072AD">
              <w:rPr>
                <w:rFonts w:ascii="Arial" w:hAnsi="Arial" w:cs="Arial"/>
                <w:sz w:val="20"/>
              </w:rPr>
              <w:t>Total number of certificates and degrees awarded</w:t>
            </w:r>
            <w:r w:rsidRPr="00B94017">
              <w:rPr>
                <w:rFonts w:ascii="Arial" w:hAnsi="Arial" w:cs="Arial"/>
                <w:b/>
                <w:sz w:val="20"/>
                <w:szCs w:val="20"/>
                <w:vertAlign w:val="superscript"/>
              </w:rPr>
              <w:t>4</w:t>
            </w:r>
          </w:p>
          <w:p w14:paraId="49881D5F" w14:textId="77777777" w:rsidR="00D64593" w:rsidRPr="001072AD" w:rsidRDefault="00D64593" w:rsidP="00D64593">
            <w:pPr>
              <w:keepNext/>
              <w:rPr>
                <w:rFonts w:ascii="Arial" w:hAnsi="Arial" w:cs="Arial"/>
                <w:sz w:val="20"/>
              </w:rPr>
            </w:pPr>
            <w:r w:rsidRPr="001072AD">
              <w:rPr>
                <w:rFonts w:ascii="Arial" w:hAnsi="Arial" w:cs="Arial"/>
                <w:sz w:val="20"/>
              </w:rPr>
              <w:t>-</w:t>
            </w:r>
            <w:r w:rsidRPr="001072AD">
              <w:rPr>
                <w:rFonts w:ascii="Arial" w:hAnsi="Arial" w:cs="Arial"/>
                <w:sz w:val="20"/>
              </w:rPr>
              <w:tab/>
              <w:t>Undergraduate</w:t>
            </w:r>
          </w:p>
          <w:p w14:paraId="06004CAA" w14:textId="05DBAEDD" w:rsidR="00D64593" w:rsidRPr="001072AD" w:rsidRDefault="00D64593" w:rsidP="00D64593">
            <w:pPr>
              <w:keepNext/>
              <w:rPr>
                <w:rFonts w:ascii="Arial" w:hAnsi="Arial" w:cs="Arial"/>
                <w:sz w:val="20"/>
              </w:rPr>
            </w:pPr>
            <w:r w:rsidRPr="001072AD">
              <w:rPr>
                <w:rFonts w:ascii="Arial" w:hAnsi="Arial" w:cs="Arial"/>
                <w:sz w:val="20"/>
              </w:rPr>
              <w:t>-</w:t>
            </w:r>
            <w:r w:rsidRPr="001072AD">
              <w:rPr>
                <w:rFonts w:ascii="Arial" w:hAnsi="Arial" w:cs="Arial"/>
                <w:sz w:val="20"/>
              </w:rPr>
              <w:tab/>
              <w:t>Graduate</w:t>
            </w:r>
          </w:p>
        </w:tc>
        <w:tc>
          <w:tcPr>
            <w:tcW w:w="1530" w:type="dxa"/>
            <w:tcBorders>
              <w:top w:val="single" w:sz="4" w:space="0" w:color="auto"/>
              <w:left w:val="single" w:sz="4" w:space="0" w:color="auto"/>
              <w:bottom w:val="single" w:sz="4" w:space="0" w:color="auto"/>
              <w:right w:val="single" w:sz="4" w:space="0" w:color="auto"/>
            </w:tcBorders>
            <w:vAlign w:val="center"/>
          </w:tcPr>
          <w:p w14:paraId="75683CFC" w14:textId="77777777" w:rsidR="00D64593" w:rsidRDefault="00D64593" w:rsidP="00D64593">
            <w:pPr>
              <w:keepNext/>
              <w:jc w:val="center"/>
              <w:rPr>
                <w:rFonts w:ascii="Arial" w:hAnsi="Arial" w:cs="Arial"/>
                <w:b/>
                <w:sz w:val="20"/>
              </w:rPr>
            </w:pPr>
          </w:p>
          <w:p w14:paraId="3AF89931" w14:textId="77777777" w:rsidR="00D64593" w:rsidRPr="00301088" w:rsidRDefault="00D64593" w:rsidP="00D64593">
            <w:pPr>
              <w:keepNext/>
              <w:jc w:val="center"/>
              <w:rPr>
                <w:rFonts w:ascii="Arial" w:hAnsi="Arial" w:cs="Arial"/>
                <w:b/>
                <w:sz w:val="20"/>
              </w:rPr>
            </w:pPr>
            <w:r>
              <w:rPr>
                <w:rFonts w:ascii="Arial" w:hAnsi="Arial" w:cs="Arial"/>
                <w:b/>
                <w:sz w:val="20"/>
              </w:rPr>
              <w:t>2,554</w:t>
            </w:r>
          </w:p>
          <w:p w14:paraId="6E19BA33" w14:textId="77777777" w:rsidR="00D64593" w:rsidRPr="00301088" w:rsidRDefault="00D64593" w:rsidP="00D64593">
            <w:pPr>
              <w:keepNext/>
              <w:jc w:val="center"/>
              <w:rPr>
                <w:rFonts w:ascii="Arial" w:hAnsi="Arial" w:cs="Arial"/>
                <w:b/>
                <w:sz w:val="20"/>
              </w:rPr>
            </w:pPr>
            <w:r>
              <w:rPr>
                <w:rFonts w:ascii="Arial" w:hAnsi="Arial" w:cs="Arial"/>
                <w:sz w:val="20"/>
              </w:rPr>
              <w:t>1,933</w:t>
            </w:r>
          </w:p>
          <w:p w14:paraId="056FA29A" w14:textId="6C0928B7" w:rsidR="00D64593" w:rsidRPr="00301088" w:rsidRDefault="00D64593" w:rsidP="00D64593">
            <w:pPr>
              <w:keepNext/>
              <w:jc w:val="center"/>
              <w:rPr>
                <w:rFonts w:ascii="Arial" w:hAnsi="Arial" w:cs="Arial"/>
                <w:sz w:val="20"/>
              </w:rPr>
            </w:pPr>
            <w:r>
              <w:rPr>
                <w:rFonts w:ascii="Arial" w:hAnsi="Arial" w:cs="Arial"/>
                <w:sz w:val="20"/>
              </w:rPr>
              <w:t>621</w:t>
            </w:r>
          </w:p>
        </w:tc>
        <w:tc>
          <w:tcPr>
            <w:tcW w:w="1530" w:type="dxa"/>
            <w:tcBorders>
              <w:top w:val="single" w:sz="4" w:space="0" w:color="auto"/>
              <w:left w:val="single" w:sz="4" w:space="0" w:color="auto"/>
              <w:bottom w:val="single" w:sz="4" w:space="0" w:color="auto"/>
              <w:right w:val="single" w:sz="4" w:space="0" w:color="auto"/>
            </w:tcBorders>
            <w:vAlign w:val="center"/>
          </w:tcPr>
          <w:p w14:paraId="366BEDCA" w14:textId="77777777" w:rsidR="00D64593" w:rsidRDefault="00D64593" w:rsidP="00D64593">
            <w:pPr>
              <w:keepNext/>
              <w:jc w:val="center"/>
              <w:rPr>
                <w:rFonts w:ascii="Arial" w:hAnsi="Arial" w:cs="Arial"/>
                <w:b/>
                <w:sz w:val="20"/>
              </w:rPr>
            </w:pPr>
          </w:p>
          <w:p w14:paraId="658E3B38" w14:textId="77777777" w:rsidR="00D64593" w:rsidRPr="00301088" w:rsidRDefault="00D64593" w:rsidP="00D64593">
            <w:pPr>
              <w:keepNext/>
              <w:jc w:val="center"/>
              <w:rPr>
                <w:rFonts w:ascii="Arial" w:hAnsi="Arial" w:cs="Arial"/>
                <w:b/>
                <w:sz w:val="20"/>
              </w:rPr>
            </w:pPr>
            <w:r>
              <w:rPr>
                <w:rFonts w:ascii="Arial" w:hAnsi="Arial" w:cs="Arial"/>
                <w:b/>
                <w:sz w:val="20"/>
              </w:rPr>
              <w:t>2,462</w:t>
            </w:r>
          </w:p>
          <w:p w14:paraId="1C82AF35" w14:textId="77777777" w:rsidR="00D64593" w:rsidRPr="00301088" w:rsidRDefault="00D64593" w:rsidP="00D64593">
            <w:pPr>
              <w:keepNext/>
              <w:jc w:val="center"/>
              <w:rPr>
                <w:rFonts w:ascii="Arial" w:hAnsi="Arial" w:cs="Arial"/>
                <w:b/>
                <w:sz w:val="20"/>
              </w:rPr>
            </w:pPr>
            <w:r>
              <w:rPr>
                <w:rFonts w:ascii="Arial" w:hAnsi="Arial" w:cs="Arial"/>
                <w:sz w:val="20"/>
              </w:rPr>
              <w:t>1,803</w:t>
            </w:r>
          </w:p>
          <w:p w14:paraId="19140B4D" w14:textId="5C885241" w:rsidR="00D64593" w:rsidRPr="00301088" w:rsidRDefault="00D64593" w:rsidP="00D64593">
            <w:pPr>
              <w:keepNext/>
              <w:jc w:val="center"/>
              <w:rPr>
                <w:rFonts w:ascii="Arial" w:hAnsi="Arial" w:cs="Arial"/>
                <w:sz w:val="20"/>
              </w:rPr>
            </w:pPr>
            <w:r>
              <w:rPr>
                <w:rFonts w:ascii="Arial" w:hAnsi="Arial" w:cs="Arial"/>
                <w:sz w:val="20"/>
              </w:rPr>
              <w:t>659</w:t>
            </w:r>
          </w:p>
        </w:tc>
        <w:tc>
          <w:tcPr>
            <w:tcW w:w="1530" w:type="dxa"/>
            <w:tcBorders>
              <w:top w:val="single" w:sz="4" w:space="0" w:color="auto"/>
              <w:left w:val="single" w:sz="4" w:space="0" w:color="auto"/>
              <w:bottom w:val="single" w:sz="4" w:space="0" w:color="auto"/>
              <w:right w:val="single" w:sz="4" w:space="0" w:color="auto"/>
            </w:tcBorders>
          </w:tcPr>
          <w:p w14:paraId="74C864D2" w14:textId="77777777" w:rsidR="00D64593" w:rsidRDefault="00D64593" w:rsidP="00D64593">
            <w:pPr>
              <w:keepNext/>
              <w:jc w:val="center"/>
              <w:rPr>
                <w:rFonts w:ascii="Arial" w:hAnsi="Arial" w:cs="Arial"/>
                <w:b/>
                <w:sz w:val="20"/>
              </w:rPr>
            </w:pPr>
          </w:p>
          <w:p w14:paraId="46D0CAFE" w14:textId="77777777" w:rsidR="00D64593" w:rsidRDefault="00D64593" w:rsidP="00D64593">
            <w:pPr>
              <w:keepNext/>
              <w:jc w:val="center"/>
              <w:rPr>
                <w:rFonts w:ascii="Arial" w:hAnsi="Arial" w:cs="Arial"/>
                <w:b/>
                <w:sz w:val="20"/>
              </w:rPr>
            </w:pPr>
            <w:r>
              <w:rPr>
                <w:rFonts w:ascii="Arial" w:hAnsi="Arial" w:cs="Arial"/>
                <w:b/>
                <w:sz w:val="20"/>
              </w:rPr>
              <w:t>2,756</w:t>
            </w:r>
          </w:p>
          <w:p w14:paraId="5308521B" w14:textId="77777777" w:rsidR="00D64593" w:rsidRPr="00A103EA" w:rsidRDefault="00D64593" w:rsidP="00D64593">
            <w:pPr>
              <w:keepNext/>
              <w:jc w:val="center"/>
              <w:rPr>
                <w:rFonts w:ascii="Arial" w:hAnsi="Arial" w:cs="Arial"/>
                <w:sz w:val="20"/>
              </w:rPr>
            </w:pPr>
            <w:r w:rsidRPr="00A103EA">
              <w:rPr>
                <w:rFonts w:ascii="Arial" w:hAnsi="Arial" w:cs="Arial"/>
                <w:sz w:val="20"/>
              </w:rPr>
              <w:t>2,082</w:t>
            </w:r>
          </w:p>
          <w:p w14:paraId="310257CC" w14:textId="0142BBDD" w:rsidR="00D64593" w:rsidRDefault="00D64593" w:rsidP="00D64593">
            <w:pPr>
              <w:keepNext/>
              <w:jc w:val="center"/>
              <w:rPr>
                <w:rFonts w:ascii="Arial" w:hAnsi="Arial" w:cs="Arial"/>
                <w:b/>
                <w:sz w:val="20"/>
              </w:rPr>
            </w:pPr>
            <w:r w:rsidRPr="00A103EA">
              <w:rPr>
                <w:rFonts w:ascii="Arial" w:hAnsi="Arial" w:cs="Arial"/>
                <w:sz w:val="20"/>
              </w:rPr>
              <w:t>674</w:t>
            </w:r>
          </w:p>
        </w:tc>
        <w:tc>
          <w:tcPr>
            <w:tcW w:w="1435" w:type="dxa"/>
            <w:tcBorders>
              <w:top w:val="single" w:sz="4" w:space="0" w:color="auto"/>
              <w:left w:val="single" w:sz="4" w:space="0" w:color="auto"/>
              <w:bottom w:val="single" w:sz="4" w:space="0" w:color="auto"/>
              <w:right w:val="single" w:sz="4" w:space="0" w:color="auto"/>
            </w:tcBorders>
          </w:tcPr>
          <w:p w14:paraId="7E2C0504" w14:textId="2A9BE3AB" w:rsidR="00D64593" w:rsidRPr="001072AD" w:rsidRDefault="00D64593" w:rsidP="00D64593">
            <w:pPr>
              <w:keepNext/>
              <w:jc w:val="center"/>
              <w:rPr>
                <w:rFonts w:ascii="Arial" w:hAnsi="Arial" w:cs="Arial"/>
                <w:b/>
                <w:sz w:val="20"/>
              </w:rPr>
            </w:pPr>
          </w:p>
        </w:tc>
      </w:tr>
      <w:tr w:rsidR="00D64593" w:rsidRPr="00301088" w14:paraId="4A0597EB" w14:textId="77777777" w:rsidTr="00A850F7">
        <w:tc>
          <w:tcPr>
            <w:tcW w:w="4045" w:type="dxa"/>
            <w:tcBorders>
              <w:top w:val="single" w:sz="4" w:space="0" w:color="auto"/>
              <w:left w:val="single" w:sz="4" w:space="0" w:color="auto"/>
              <w:bottom w:val="single" w:sz="4" w:space="0" w:color="auto"/>
              <w:right w:val="single" w:sz="4" w:space="0" w:color="auto"/>
            </w:tcBorders>
            <w:vAlign w:val="center"/>
          </w:tcPr>
          <w:p w14:paraId="32F15285" w14:textId="5E11AB25" w:rsidR="00D64593" w:rsidRPr="00B94017" w:rsidRDefault="00D64593" w:rsidP="00D64593">
            <w:pPr>
              <w:rPr>
                <w:rFonts w:ascii="Arial" w:hAnsi="Arial" w:cs="Arial"/>
                <w:color w:val="000000" w:themeColor="text1"/>
                <w:sz w:val="20"/>
                <w:szCs w:val="20"/>
              </w:rPr>
            </w:pPr>
            <w:r w:rsidRPr="00B94017">
              <w:rPr>
                <w:rFonts w:ascii="Arial" w:hAnsi="Arial" w:cs="Arial"/>
                <w:color w:val="000000" w:themeColor="text1"/>
                <w:sz w:val="20"/>
                <w:szCs w:val="20"/>
              </w:rPr>
              <w:t xml:space="preserve">% </w:t>
            </w:r>
            <w:r>
              <w:rPr>
                <w:rFonts w:ascii="Arial" w:hAnsi="Arial" w:cs="Arial"/>
                <w:color w:val="000000" w:themeColor="text1"/>
                <w:sz w:val="20"/>
                <w:szCs w:val="20"/>
              </w:rPr>
              <w:t xml:space="preserve">degrees </w:t>
            </w:r>
            <w:r w:rsidRPr="00B94017">
              <w:rPr>
                <w:rFonts w:ascii="Arial" w:hAnsi="Arial" w:cs="Arial"/>
                <w:color w:val="000000" w:themeColor="text1"/>
                <w:sz w:val="20"/>
                <w:szCs w:val="20"/>
              </w:rPr>
              <w:t xml:space="preserve">awarded in Health </w:t>
            </w:r>
            <w:proofErr w:type="gramStart"/>
            <w:r w:rsidRPr="00B94017">
              <w:rPr>
                <w:rFonts w:ascii="Arial" w:hAnsi="Arial" w:cs="Arial"/>
                <w:color w:val="000000" w:themeColor="text1"/>
                <w:sz w:val="20"/>
                <w:szCs w:val="20"/>
              </w:rPr>
              <w:t xml:space="preserve">Professions  </w:t>
            </w:r>
            <w:r w:rsidRPr="00B94017">
              <w:rPr>
                <w:rFonts w:ascii="Arial" w:hAnsi="Arial" w:cs="Arial"/>
                <w:b/>
                <w:sz w:val="20"/>
                <w:szCs w:val="20"/>
                <w:vertAlign w:val="superscript"/>
              </w:rPr>
              <w:t>5</w:t>
            </w:r>
            <w:proofErr w:type="gramEnd"/>
          </w:p>
          <w:p w14:paraId="48979D79" w14:textId="32C3ACFB" w:rsidR="00D64593" w:rsidRPr="001072AD" w:rsidRDefault="00D64593" w:rsidP="00D64593">
            <w:pPr>
              <w:keepNext/>
              <w:rPr>
                <w:rFonts w:ascii="Arial" w:hAnsi="Arial" w:cs="Arial"/>
                <w:sz w:val="20"/>
              </w:rPr>
            </w:pPr>
            <w:r w:rsidRPr="00B94017">
              <w:rPr>
                <w:rFonts w:ascii="Arial" w:hAnsi="Arial" w:cs="Arial"/>
                <w:color w:val="000000" w:themeColor="text1"/>
                <w:sz w:val="20"/>
                <w:szCs w:val="20"/>
              </w:rPr>
              <w:t xml:space="preserve">% </w:t>
            </w:r>
            <w:r>
              <w:rPr>
                <w:rFonts w:ascii="Arial" w:hAnsi="Arial" w:cs="Arial"/>
                <w:color w:val="000000" w:themeColor="text1"/>
                <w:sz w:val="20"/>
                <w:szCs w:val="20"/>
              </w:rPr>
              <w:t xml:space="preserve">degrees </w:t>
            </w:r>
            <w:r w:rsidRPr="00B94017">
              <w:rPr>
                <w:rFonts w:ascii="Arial" w:hAnsi="Arial" w:cs="Arial"/>
                <w:color w:val="000000" w:themeColor="text1"/>
                <w:sz w:val="20"/>
                <w:szCs w:val="20"/>
              </w:rPr>
              <w:t xml:space="preserve">awarded in STEM </w:t>
            </w:r>
            <w:proofErr w:type="gramStart"/>
            <w:r w:rsidRPr="00B94017">
              <w:rPr>
                <w:rFonts w:ascii="Arial" w:hAnsi="Arial" w:cs="Arial"/>
                <w:color w:val="000000" w:themeColor="text1"/>
                <w:sz w:val="20"/>
                <w:szCs w:val="20"/>
              </w:rPr>
              <w:t xml:space="preserve">Disciplines  </w:t>
            </w:r>
            <w:r w:rsidRPr="00B94017">
              <w:rPr>
                <w:rFonts w:ascii="Arial" w:hAnsi="Arial" w:cs="Arial"/>
                <w:b/>
                <w:sz w:val="20"/>
                <w:szCs w:val="20"/>
                <w:vertAlign w:val="superscript"/>
              </w:rPr>
              <w:t>6</w:t>
            </w:r>
            <w:proofErr w:type="gramEnd"/>
          </w:p>
        </w:tc>
        <w:tc>
          <w:tcPr>
            <w:tcW w:w="1530" w:type="dxa"/>
            <w:tcBorders>
              <w:top w:val="single" w:sz="4" w:space="0" w:color="auto"/>
              <w:left w:val="single" w:sz="4" w:space="0" w:color="auto"/>
              <w:bottom w:val="single" w:sz="4" w:space="0" w:color="auto"/>
              <w:right w:val="single" w:sz="4" w:space="0" w:color="auto"/>
            </w:tcBorders>
            <w:vAlign w:val="center"/>
          </w:tcPr>
          <w:p w14:paraId="0FB9438D" w14:textId="77777777" w:rsidR="00D64593" w:rsidRPr="00B94017" w:rsidRDefault="00D64593" w:rsidP="00D64593">
            <w:pPr>
              <w:jc w:val="center"/>
              <w:rPr>
                <w:rFonts w:ascii="Arial" w:hAnsi="Arial" w:cs="Arial"/>
                <w:sz w:val="20"/>
                <w:szCs w:val="20"/>
              </w:rPr>
            </w:pPr>
            <w:r w:rsidRPr="00B94017">
              <w:rPr>
                <w:rFonts w:ascii="Arial" w:hAnsi="Arial" w:cs="Arial"/>
                <w:sz w:val="20"/>
                <w:szCs w:val="20"/>
              </w:rPr>
              <w:t>35%</w:t>
            </w:r>
          </w:p>
          <w:p w14:paraId="7B8118E0" w14:textId="51612A93" w:rsidR="00D64593" w:rsidRDefault="00D64593" w:rsidP="00D64593">
            <w:pPr>
              <w:keepNext/>
              <w:jc w:val="center"/>
              <w:rPr>
                <w:rFonts w:ascii="Arial" w:hAnsi="Arial" w:cs="Arial"/>
                <w:b/>
                <w:sz w:val="20"/>
              </w:rPr>
            </w:pPr>
            <w:r w:rsidRPr="00B94017">
              <w:rPr>
                <w:rFonts w:ascii="Arial" w:hAnsi="Arial" w:cs="Arial"/>
                <w:sz w:val="20"/>
                <w:szCs w:val="20"/>
              </w:rPr>
              <w:t>18%</w:t>
            </w:r>
          </w:p>
        </w:tc>
        <w:tc>
          <w:tcPr>
            <w:tcW w:w="1530" w:type="dxa"/>
            <w:tcBorders>
              <w:top w:val="single" w:sz="4" w:space="0" w:color="auto"/>
              <w:left w:val="single" w:sz="4" w:space="0" w:color="auto"/>
              <w:bottom w:val="single" w:sz="4" w:space="0" w:color="auto"/>
              <w:right w:val="single" w:sz="4" w:space="0" w:color="auto"/>
            </w:tcBorders>
            <w:vAlign w:val="center"/>
          </w:tcPr>
          <w:p w14:paraId="17AB3125" w14:textId="77777777" w:rsidR="00D64593" w:rsidRDefault="00D64593" w:rsidP="00D64593">
            <w:pPr>
              <w:jc w:val="center"/>
              <w:rPr>
                <w:rFonts w:ascii="Arial" w:hAnsi="Arial" w:cs="Arial"/>
                <w:sz w:val="20"/>
                <w:szCs w:val="20"/>
              </w:rPr>
            </w:pPr>
            <w:r>
              <w:rPr>
                <w:rFonts w:ascii="Arial" w:hAnsi="Arial" w:cs="Arial"/>
                <w:sz w:val="20"/>
                <w:szCs w:val="20"/>
              </w:rPr>
              <w:t>33%</w:t>
            </w:r>
          </w:p>
          <w:p w14:paraId="22A43520" w14:textId="1D890B3F" w:rsidR="00D64593" w:rsidRDefault="00D64593" w:rsidP="00D64593">
            <w:pPr>
              <w:keepNext/>
              <w:jc w:val="center"/>
              <w:rPr>
                <w:rFonts w:ascii="Arial" w:hAnsi="Arial" w:cs="Arial"/>
                <w:b/>
                <w:sz w:val="20"/>
              </w:rPr>
            </w:pPr>
            <w:r>
              <w:rPr>
                <w:rFonts w:ascii="Arial" w:hAnsi="Arial" w:cs="Arial"/>
                <w:sz w:val="20"/>
                <w:szCs w:val="20"/>
              </w:rPr>
              <w:t>15%</w:t>
            </w:r>
          </w:p>
        </w:tc>
        <w:tc>
          <w:tcPr>
            <w:tcW w:w="1530" w:type="dxa"/>
            <w:tcBorders>
              <w:top w:val="single" w:sz="4" w:space="0" w:color="auto"/>
              <w:left w:val="single" w:sz="4" w:space="0" w:color="auto"/>
              <w:bottom w:val="single" w:sz="4" w:space="0" w:color="auto"/>
              <w:right w:val="single" w:sz="4" w:space="0" w:color="auto"/>
            </w:tcBorders>
          </w:tcPr>
          <w:p w14:paraId="2D812935" w14:textId="77777777" w:rsidR="00D64593" w:rsidRDefault="00D64593" w:rsidP="00D64593">
            <w:pPr>
              <w:jc w:val="center"/>
              <w:rPr>
                <w:rFonts w:ascii="Arial" w:hAnsi="Arial" w:cs="Arial"/>
                <w:sz w:val="20"/>
                <w:szCs w:val="20"/>
              </w:rPr>
            </w:pPr>
          </w:p>
          <w:p w14:paraId="4F16AE5E" w14:textId="77777777" w:rsidR="00D64593" w:rsidRPr="0004414F" w:rsidRDefault="00D64593" w:rsidP="00D64593">
            <w:pPr>
              <w:jc w:val="center"/>
              <w:rPr>
                <w:rFonts w:ascii="Arial" w:hAnsi="Arial" w:cs="Arial"/>
                <w:sz w:val="20"/>
                <w:szCs w:val="20"/>
              </w:rPr>
            </w:pPr>
            <w:r w:rsidRPr="0004414F">
              <w:rPr>
                <w:rFonts w:ascii="Arial" w:hAnsi="Arial" w:cs="Arial"/>
                <w:sz w:val="20"/>
                <w:szCs w:val="20"/>
              </w:rPr>
              <w:t>37%</w:t>
            </w:r>
          </w:p>
          <w:p w14:paraId="342C3D5E" w14:textId="77777777" w:rsidR="00D64593" w:rsidRPr="0004414F" w:rsidRDefault="00D64593" w:rsidP="00D64593">
            <w:pPr>
              <w:jc w:val="center"/>
              <w:rPr>
                <w:rFonts w:ascii="Arial" w:hAnsi="Arial" w:cs="Arial"/>
                <w:sz w:val="20"/>
                <w:szCs w:val="20"/>
              </w:rPr>
            </w:pPr>
            <w:r w:rsidRPr="0004414F">
              <w:rPr>
                <w:rFonts w:ascii="Arial" w:hAnsi="Arial" w:cs="Arial"/>
                <w:sz w:val="20"/>
                <w:szCs w:val="20"/>
              </w:rPr>
              <w:t>15%</w:t>
            </w:r>
          </w:p>
          <w:p w14:paraId="1096C7E6" w14:textId="11D09AAA" w:rsidR="00D64593" w:rsidRDefault="00D64593" w:rsidP="00D64593">
            <w:pPr>
              <w:keepNext/>
              <w:jc w:val="center"/>
              <w:rPr>
                <w:rFonts w:ascii="Arial" w:hAnsi="Arial" w:cs="Arial"/>
                <w:b/>
                <w:sz w:val="20"/>
              </w:rPr>
            </w:pPr>
          </w:p>
        </w:tc>
        <w:tc>
          <w:tcPr>
            <w:tcW w:w="1435" w:type="dxa"/>
            <w:tcBorders>
              <w:top w:val="single" w:sz="4" w:space="0" w:color="auto"/>
              <w:left w:val="single" w:sz="4" w:space="0" w:color="auto"/>
              <w:bottom w:val="single" w:sz="4" w:space="0" w:color="auto"/>
              <w:right w:val="single" w:sz="4" w:space="0" w:color="auto"/>
            </w:tcBorders>
          </w:tcPr>
          <w:p w14:paraId="037F69AC" w14:textId="77777777" w:rsidR="00D64593" w:rsidRDefault="00D64593" w:rsidP="00D64593">
            <w:pPr>
              <w:keepNext/>
              <w:jc w:val="center"/>
              <w:rPr>
                <w:rFonts w:ascii="Arial" w:hAnsi="Arial" w:cs="Arial"/>
                <w:b/>
                <w:sz w:val="20"/>
              </w:rPr>
            </w:pPr>
          </w:p>
        </w:tc>
      </w:tr>
    </w:tbl>
    <w:p w14:paraId="1A2DE433" w14:textId="77777777" w:rsidR="00E66B60" w:rsidRDefault="00E66B60">
      <w:r>
        <w:br w:type="page"/>
      </w:r>
    </w:p>
    <w:tbl>
      <w:tblPr>
        <w:tblW w:w="5000" w:type="pct"/>
        <w:tblBorders>
          <w:top w:val="double" w:sz="4" w:space="0" w:color="000080"/>
          <w:left w:val="double" w:sz="4" w:space="0" w:color="000080"/>
          <w:bottom w:val="double" w:sz="4" w:space="0" w:color="000080"/>
          <w:right w:val="double" w:sz="4" w:space="0" w:color="000080"/>
          <w:insideH w:val="single" w:sz="6" w:space="0" w:color="000080"/>
          <w:insideV w:val="single" w:sz="6" w:space="0" w:color="000080"/>
        </w:tblBorders>
        <w:tblLayout w:type="fixed"/>
        <w:tblLook w:val="0000" w:firstRow="0" w:lastRow="0" w:firstColumn="0" w:lastColumn="0" w:noHBand="0" w:noVBand="0"/>
      </w:tblPr>
      <w:tblGrid>
        <w:gridCol w:w="3953"/>
        <w:gridCol w:w="1622"/>
        <w:gridCol w:w="1530"/>
        <w:gridCol w:w="1530"/>
        <w:gridCol w:w="1435"/>
      </w:tblGrid>
      <w:tr w:rsidR="00D64593" w:rsidRPr="00301088" w14:paraId="66AC1965" w14:textId="79C96110" w:rsidTr="00A850F7">
        <w:trPr>
          <w:tblHeader/>
        </w:trPr>
        <w:tc>
          <w:tcPr>
            <w:tcW w:w="3953" w:type="dxa"/>
            <w:tcBorders>
              <w:top w:val="single" w:sz="4" w:space="0" w:color="auto"/>
              <w:left w:val="single" w:sz="4" w:space="0" w:color="auto"/>
              <w:bottom w:val="single" w:sz="4" w:space="0" w:color="auto"/>
              <w:right w:val="single" w:sz="4" w:space="0" w:color="auto"/>
            </w:tcBorders>
          </w:tcPr>
          <w:p w14:paraId="0A68E443" w14:textId="6BB858A7" w:rsidR="00D64593" w:rsidRPr="002C2F90" w:rsidRDefault="00D64593" w:rsidP="00D64593">
            <w:pPr>
              <w:rPr>
                <w:rFonts w:ascii="Arial" w:hAnsi="Arial" w:cs="Arial"/>
                <w:sz w:val="20"/>
                <w:vertAlign w:val="superscript"/>
              </w:rPr>
            </w:pPr>
            <w:r w:rsidRPr="00301088">
              <w:rPr>
                <w:rFonts w:ascii="Arial" w:hAnsi="Arial" w:cs="Arial"/>
                <w:sz w:val="20"/>
              </w:rPr>
              <w:lastRenderedPageBreak/>
              <w:t>Total new degree-seeking undergraduate students</w:t>
            </w:r>
            <w:r>
              <w:rPr>
                <w:rFonts w:ascii="Arial" w:hAnsi="Arial" w:cs="Arial"/>
                <w:sz w:val="20"/>
              </w:rPr>
              <w:t xml:space="preserve"> in FY</w:t>
            </w:r>
            <w:r>
              <w:rPr>
                <w:rFonts w:ascii="Arial" w:hAnsi="Arial" w:cs="Arial"/>
                <w:b/>
                <w:sz w:val="20"/>
                <w:vertAlign w:val="superscript"/>
              </w:rPr>
              <w:t>7</w:t>
            </w:r>
          </w:p>
          <w:p w14:paraId="437B748D" w14:textId="77777777" w:rsidR="00D64593" w:rsidRPr="00E66B60" w:rsidRDefault="00D64593" w:rsidP="00D64593">
            <w:pPr>
              <w:rPr>
                <w:rFonts w:ascii="Arial" w:hAnsi="Arial" w:cs="Arial"/>
                <w:sz w:val="20"/>
              </w:rPr>
            </w:pPr>
          </w:p>
          <w:p w14:paraId="75099BDA" w14:textId="616A3B8D" w:rsidR="00D64593" w:rsidRPr="00301088" w:rsidRDefault="00D64593" w:rsidP="00D64593">
            <w:pPr>
              <w:pStyle w:val="ListParagraph"/>
              <w:numPr>
                <w:ilvl w:val="0"/>
                <w:numId w:val="1"/>
              </w:numPr>
              <w:rPr>
                <w:rFonts w:ascii="Arial" w:hAnsi="Arial" w:cs="Arial"/>
                <w:sz w:val="20"/>
              </w:rPr>
            </w:pPr>
            <w:r w:rsidRPr="00301088">
              <w:rPr>
                <w:rFonts w:ascii="Arial" w:hAnsi="Arial" w:cs="Arial"/>
                <w:sz w:val="20"/>
              </w:rPr>
              <w:t>Idaho Resident</w:t>
            </w:r>
          </w:p>
          <w:p w14:paraId="0CACFF45" w14:textId="77777777" w:rsidR="00D64593" w:rsidRPr="00301088" w:rsidRDefault="00D64593" w:rsidP="00D64593">
            <w:pPr>
              <w:pStyle w:val="ListParagraph"/>
              <w:numPr>
                <w:ilvl w:val="0"/>
                <w:numId w:val="1"/>
              </w:numPr>
              <w:rPr>
                <w:rFonts w:ascii="Arial" w:hAnsi="Arial" w:cs="Arial"/>
                <w:sz w:val="20"/>
              </w:rPr>
            </w:pPr>
            <w:r w:rsidRPr="00301088">
              <w:rPr>
                <w:rFonts w:ascii="Arial" w:hAnsi="Arial" w:cs="Arial"/>
                <w:sz w:val="20"/>
              </w:rPr>
              <w:t>Non-resident</w:t>
            </w:r>
          </w:p>
          <w:p w14:paraId="63C9C452" w14:textId="77777777" w:rsidR="00D64593" w:rsidRPr="00466252" w:rsidRDefault="00D64593" w:rsidP="00D64593">
            <w:pPr>
              <w:pStyle w:val="ListParagraph"/>
              <w:numPr>
                <w:ilvl w:val="0"/>
                <w:numId w:val="1"/>
              </w:numPr>
              <w:rPr>
                <w:rFonts w:ascii="Arial" w:hAnsi="Arial" w:cs="Arial"/>
                <w:sz w:val="20"/>
              </w:rPr>
            </w:pPr>
            <w:r w:rsidRPr="00301088">
              <w:rPr>
                <w:rFonts w:ascii="Arial" w:hAnsi="Arial" w:cs="Arial"/>
                <w:sz w:val="20"/>
              </w:rPr>
              <w:t>International</w:t>
            </w:r>
          </w:p>
        </w:tc>
        <w:tc>
          <w:tcPr>
            <w:tcW w:w="1622" w:type="dxa"/>
            <w:tcBorders>
              <w:top w:val="single" w:sz="4" w:space="0" w:color="auto"/>
              <w:left w:val="single" w:sz="4" w:space="0" w:color="auto"/>
              <w:bottom w:val="single" w:sz="4" w:space="0" w:color="auto"/>
              <w:right w:val="single" w:sz="4" w:space="0" w:color="auto"/>
            </w:tcBorders>
          </w:tcPr>
          <w:p w14:paraId="1DC4E352" w14:textId="77777777" w:rsidR="00D64593" w:rsidRDefault="00D64593" w:rsidP="00D64593">
            <w:pPr>
              <w:jc w:val="center"/>
              <w:rPr>
                <w:rFonts w:ascii="Arial" w:hAnsi="Arial" w:cs="Arial"/>
                <w:b/>
                <w:sz w:val="20"/>
              </w:rPr>
            </w:pPr>
          </w:p>
          <w:p w14:paraId="25517DEF" w14:textId="77777777" w:rsidR="00D64593" w:rsidRDefault="00D64593" w:rsidP="00D64593">
            <w:pPr>
              <w:jc w:val="center"/>
              <w:rPr>
                <w:rFonts w:ascii="Arial" w:hAnsi="Arial" w:cs="Arial"/>
                <w:b/>
                <w:sz w:val="20"/>
              </w:rPr>
            </w:pPr>
            <w:r w:rsidRPr="00DB7C62">
              <w:rPr>
                <w:rFonts w:ascii="Arial" w:hAnsi="Arial" w:cs="Arial"/>
                <w:b/>
                <w:sz w:val="20"/>
              </w:rPr>
              <w:t>1,828</w:t>
            </w:r>
          </w:p>
          <w:p w14:paraId="4258F5B1" w14:textId="77777777" w:rsidR="00D64593" w:rsidRDefault="00D64593" w:rsidP="00D64593">
            <w:pPr>
              <w:jc w:val="center"/>
              <w:rPr>
                <w:rFonts w:ascii="Arial" w:hAnsi="Arial" w:cs="Arial"/>
                <w:b/>
                <w:sz w:val="20"/>
              </w:rPr>
            </w:pPr>
          </w:p>
          <w:p w14:paraId="69D66628" w14:textId="77777777" w:rsidR="00D64593" w:rsidRDefault="00D64593" w:rsidP="00D64593">
            <w:pPr>
              <w:jc w:val="center"/>
              <w:rPr>
                <w:rFonts w:ascii="Arial" w:hAnsi="Arial" w:cs="Arial"/>
                <w:sz w:val="20"/>
              </w:rPr>
            </w:pPr>
            <w:r w:rsidRPr="00DB7C62">
              <w:rPr>
                <w:rFonts w:ascii="Arial" w:hAnsi="Arial" w:cs="Arial"/>
                <w:sz w:val="20"/>
              </w:rPr>
              <w:t>1,681</w:t>
            </w:r>
          </w:p>
          <w:p w14:paraId="611A0B15" w14:textId="77777777" w:rsidR="00D64593" w:rsidRDefault="00D64593" w:rsidP="00D64593">
            <w:pPr>
              <w:jc w:val="center"/>
              <w:rPr>
                <w:rFonts w:ascii="Arial" w:hAnsi="Arial" w:cs="Arial"/>
                <w:sz w:val="20"/>
              </w:rPr>
            </w:pPr>
            <w:r>
              <w:rPr>
                <w:rFonts w:ascii="Arial" w:hAnsi="Arial" w:cs="Arial"/>
                <w:sz w:val="20"/>
              </w:rPr>
              <w:t>116</w:t>
            </w:r>
          </w:p>
          <w:p w14:paraId="2E9AFBAA" w14:textId="3F281CD0" w:rsidR="00D64593" w:rsidRPr="004E3FD3" w:rsidRDefault="00D64593" w:rsidP="00D64593">
            <w:pPr>
              <w:jc w:val="center"/>
              <w:rPr>
                <w:rFonts w:ascii="Arial" w:hAnsi="Arial" w:cs="Arial"/>
                <w:sz w:val="20"/>
              </w:rPr>
            </w:pPr>
            <w:r>
              <w:rPr>
                <w:rFonts w:ascii="Arial" w:hAnsi="Arial" w:cs="Arial"/>
                <w:sz w:val="20"/>
              </w:rPr>
              <w:t>31</w:t>
            </w:r>
          </w:p>
        </w:tc>
        <w:tc>
          <w:tcPr>
            <w:tcW w:w="1530" w:type="dxa"/>
            <w:tcBorders>
              <w:top w:val="single" w:sz="4" w:space="0" w:color="auto"/>
              <w:left w:val="single" w:sz="4" w:space="0" w:color="auto"/>
              <w:bottom w:val="single" w:sz="4" w:space="0" w:color="auto"/>
              <w:right w:val="single" w:sz="4" w:space="0" w:color="auto"/>
            </w:tcBorders>
          </w:tcPr>
          <w:p w14:paraId="00E63EE5" w14:textId="77777777" w:rsidR="00D64593" w:rsidRDefault="00D64593" w:rsidP="00D64593">
            <w:pPr>
              <w:jc w:val="center"/>
              <w:rPr>
                <w:rFonts w:ascii="Arial" w:hAnsi="Arial" w:cs="Arial"/>
                <w:b/>
                <w:sz w:val="20"/>
              </w:rPr>
            </w:pPr>
          </w:p>
          <w:p w14:paraId="1C0776D0" w14:textId="77777777" w:rsidR="00D64593" w:rsidRDefault="00D64593" w:rsidP="00D64593">
            <w:pPr>
              <w:jc w:val="center"/>
              <w:rPr>
                <w:rFonts w:ascii="Arial" w:hAnsi="Arial" w:cs="Arial"/>
                <w:b/>
                <w:sz w:val="20"/>
              </w:rPr>
            </w:pPr>
            <w:r>
              <w:rPr>
                <w:rFonts w:ascii="Arial" w:hAnsi="Arial" w:cs="Arial"/>
                <w:b/>
                <w:sz w:val="20"/>
              </w:rPr>
              <w:t>1,737</w:t>
            </w:r>
          </w:p>
          <w:p w14:paraId="6565D610" w14:textId="77777777" w:rsidR="00D64593" w:rsidRDefault="00D64593" w:rsidP="00D64593">
            <w:pPr>
              <w:jc w:val="center"/>
              <w:rPr>
                <w:rFonts w:ascii="Arial" w:hAnsi="Arial" w:cs="Arial"/>
                <w:b/>
                <w:sz w:val="20"/>
              </w:rPr>
            </w:pPr>
          </w:p>
          <w:p w14:paraId="0ED21A9D" w14:textId="77777777" w:rsidR="00D64593" w:rsidRPr="00BB4ABE" w:rsidRDefault="00D64593" w:rsidP="00D64593">
            <w:pPr>
              <w:jc w:val="center"/>
              <w:rPr>
                <w:rFonts w:ascii="Arial" w:hAnsi="Arial" w:cs="Arial"/>
                <w:sz w:val="20"/>
              </w:rPr>
            </w:pPr>
            <w:r w:rsidRPr="00BB4ABE">
              <w:rPr>
                <w:rFonts w:ascii="Arial" w:hAnsi="Arial" w:cs="Arial"/>
                <w:sz w:val="20"/>
              </w:rPr>
              <w:t>1,584</w:t>
            </w:r>
          </w:p>
          <w:p w14:paraId="2D53BF52" w14:textId="77777777" w:rsidR="00D64593" w:rsidRPr="00BB4ABE" w:rsidRDefault="00D64593" w:rsidP="00D64593">
            <w:pPr>
              <w:jc w:val="center"/>
              <w:rPr>
                <w:rFonts w:ascii="Arial" w:hAnsi="Arial" w:cs="Arial"/>
                <w:sz w:val="20"/>
              </w:rPr>
            </w:pPr>
            <w:r w:rsidRPr="00BB4ABE">
              <w:rPr>
                <w:rFonts w:ascii="Arial" w:hAnsi="Arial" w:cs="Arial"/>
                <w:sz w:val="20"/>
              </w:rPr>
              <w:t>123</w:t>
            </w:r>
          </w:p>
          <w:p w14:paraId="2C340937" w14:textId="00DF6ECE" w:rsidR="00D64593" w:rsidRPr="00DB7C62" w:rsidRDefault="00D64593" w:rsidP="00D64593">
            <w:pPr>
              <w:jc w:val="center"/>
              <w:rPr>
                <w:rFonts w:ascii="Arial" w:hAnsi="Arial" w:cs="Arial"/>
                <w:sz w:val="20"/>
              </w:rPr>
            </w:pPr>
            <w:r w:rsidRPr="00BB4ABE">
              <w:rPr>
                <w:rFonts w:ascii="Arial" w:hAnsi="Arial" w:cs="Arial"/>
                <w:sz w:val="20"/>
              </w:rPr>
              <w:t>30</w:t>
            </w:r>
          </w:p>
        </w:tc>
        <w:tc>
          <w:tcPr>
            <w:tcW w:w="1530" w:type="dxa"/>
            <w:tcBorders>
              <w:top w:val="single" w:sz="4" w:space="0" w:color="auto"/>
              <w:left w:val="single" w:sz="4" w:space="0" w:color="auto"/>
              <w:bottom w:val="single" w:sz="4" w:space="0" w:color="auto"/>
              <w:right w:val="single" w:sz="4" w:space="0" w:color="auto"/>
            </w:tcBorders>
          </w:tcPr>
          <w:p w14:paraId="16AA894A" w14:textId="77777777" w:rsidR="00D64593" w:rsidRDefault="00D64593" w:rsidP="00D64593">
            <w:pPr>
              <w:jc w:val="center"/>
              <w:rPr>
                <w:rFonts w:ascii="Arial" w:hAnsi="Arial" w:cs="Arial"/>
                <w:b/>
                <w:sz w:val="20"/>
              </w:rPr>
            </w:pPr>
          </w:p>
          <w:p w14:paraId="2761950E" w14:textId="77777777" w:rsidR="00D64593" w:rsidRDefault="00D64593" w:rsidP="00D64593">
            <w:pPr>
              <w:jc w:val="center"/>
              <w:rPr>
                <w:rFonts w:ascii="Arial" w:hAnsi="Arial" w:cs="Arial"/>
                <w:b/>
                <w:sz w:val="20"/>
              </w:rPr>
            </w:pPr>
            <w:r>
              <w:rPr>
                <w:rFonts w:ascii="Arial" w:hAnsi="Arial" w:cs="Arial"/>
                <w:b/>
                <w:sz w:val="20"/>
              </w:rPr>
              <w:t>1,593</w:t>
            </w:r>
          </w:p>
          <w:p w14:paraId="65A00FC4" w14:textId="77777777" w:rsidR="00D64593" w:rsidRDefault="00D64593" w:rsidP="00D64593">
            <w:pPr>
              <w:jc w:val="center"/>
              <w:rPr>
                <w:rFonts w:ascii="Arial" w:hAnsi="Arial" w:cs="Arial"/>
                <w:b/>
                <w:sz w:val="20"/>
              </w:rPr>
            </w:pPr>
          </w:p>
          <w:p w14:paraId="4889B3F2" w14:textId="77777777" w:rsidR="00D64593" w:rsidRDefault="00D64593" w:rsidP="00D64593">
            <w:pPr>
              <w:jc w:val="center"/>
              <w:rPr>
                <w:rFonts w:ascii="Arial" w:hAnsi="Arial" w:cs="Arial"/>
                <w:sz w:val="20"/>
              </w:rPr>
            </w:pPr>
            <w:r w:rsidRPr="00783BCE">
              <w:rPr>
                <w:rFonts w:ascii="Arial" w:hAnsi="Arial" w:cs="Arial"/>
                <w:sz w:val="20"/>
              </w:rPr>
              <w:t>1,437</w:t>
            </w:r>
          </w:p>
          <w:p w14:paraId="65C9360F" w14:textId="77777777" w:rsidR="00D64593" w:rsidRDefault="00D64593" w:rsidP="00D64593">
            <w:pPr>
              <w:jc w:val="center"/>
              <w:rPr>
                <w:rFonts w:ascii="Arial" w:hAnsi="Arial" w:cs="Arial"/>
                <w:sz w:val="20"/>
              </w:rPr>
            </w:pPr>
            <w:r>
              <w:rPr>
                <w:rFonts w:ascii="Arial" w:hAnsi="Arial" w:cs="Arial"/>
                <w:sz w:val="20"/>
              </w:rPr>
              <w:t>130</w:t>
            </w:r>
          </w:p>
          <w:p w14:paraId="6352484A" w14:textId="732BD3E8" w:rsidR="00D64593" w:rsidRPr="00DB7C62" w:rsidRDefault="00D64593" w:rsidP="00D64593">
            <w:pPr>
              <w:jc w:val="center"/>
              <w:rPr>
                <w:rFonts w:ascii="Arial" w:hAnsi="Arial" w:cs="Arial"/>
                <w:b/>
                <w:sz w:val="20"/>
              </w:rPr>
            </w:pPr>
            <w:r>
              <w:rPr>
                <w:rFonts w:ascii="Arial" w:hAnsi="Arial" w:cs="Arial"/>
                <w:sz w:val="20"/>
              </w:rPr>
              <w:t>26</w:t>
            </w:r>
          </w:p>
        </w:tc>
        <w:tc>
          <w:tcPr>
            <w:tcW w:w="1435" w:type="dxa"/>
            <w:tcBorders>
              <w:top w:val="single" w:sz="4" w:space="0" w:color="auto"/>
              <w:left w:val="single" w:sz="4" w:space="0" w:color="auto"/>
              <w:bottom w:val="single" w:sz="4" w:space="0" w:color="auto"/>
              <w:right w:val="single" w:sz="4" w:space="0" w:color="auto"/>
            </w:tcBorders>
          </w:tcPr>
          <w:p w14:paraId="3D9D9155" w14:textId="207DE752" w:rsidR="00D64593" w:rsidRPr="00783BCE" w:rsidRDefault="00D64593" w:rsidP="00D64593">
            <w:pPr>
              <w:jc w:val="center"/>
              <w:rPr>
                <w:rFonts w:ascii="Arial" w:hAnsi="Arial" w:cs="Arial"/>
                <w:sz w:val="20"/>
              </w:rPr>
            </w:pPr>
          </w:p>
        </w:tc>
      </w:tr>
      <w:tr w:rsidR="00D64593" w:rsidRPr="00301088" w14:paraId="1D0BD568" w14:textId="60DD40B8" w:rsidTr="00A850F7">
        <w:trPr>
          <w:trHeight w:val="458"/>
          <w:tblHeader/>
        </w:trPr>
        <w:tc>
          <w:tcPr>
            <w:tcW w:w="3953" w:type="dxa"/>
            <w:tcBorders>
              <w:top w:val="single" w:sz="4" w:space="0" w:color="auto"/>
              <w:left w:val="single" w:sz="4" w:space="0" w:color="auto"/>
              <w:bottom w:val="single" w:sz="4" w:space="0" w:color="auto"/>
              <w:right w:val="single" w:sz="4" w:space="0" w:color="auto"/>
            </w:tcBorders>
          </w:tcPr>
          <w:p w14:paraId="735721B6" w14:textId="77777777" w:rsidR="00D64593" w:rsidRDefault="00D64593" w:rsidP="00D64593">
            <w:pPr>
              <w:rPr>
                <w:rFonts w:ascii="Arial" w:hAnsi="Arial" w:cs="Arial"/>
                <w:b/>
                <w:sz w:val="20"/>
                <w:vertAlign w:val="superscript"/>
              </w:rPr>
            </w:pPr>
            <w:r>
              <w:rPr>
                <w:rFonts w:ascii="Arial" w:hAnsi="Arial" w:cs="Arial"/>
                <w:sz w:val="20"/>
              </w:rPr>
              <w:t>Percentage of students participating in course-based community engaged learning</w:t>
            </w:r>
            <w:r>
              <w:rPr>
                <w:rFonts w:ascii="Arial" w:hAnsi="Arial" w:cs="Arial"/>
                <w:b/>
                <w:sz w:val="20"/>
                <w:vertAlign w:val="superscript"/>
              </w:rPr>
              <w:t>8</w:t>
            </w:r>
          </w:p>
          <w:p w14:paraId="70B54424" w14:textId="77777777" w:rsidR="00D64593" w:rsidRPr="00541D9D" w:rsidRDefault="00D64593" w:rsidP="00D64593">
            <w:pPr>
              <w:pStyle w:val="ListParagraph"/>
              <w:numPr>
                <w:ilvl w:val="0"/>
                <w:numId w:val="1"/>
              </w:numPr>
              <w:rPr>
                <w:rFonts w:ascii="Arial" w:hAnsi="Arial" w:cs="Arial"/>
                <w:sz w:val="20"/>
              </w:rPr>
            </w:pPr>
            <w:r>
              <w:rPr>
                <w:rFonts w:ascii="Arial" w:hAnsi="Arial" w:cs="Arial"/>
                <w:sz w:val="20"/>
              </w:rPr>
              <w:t>Total Students Enrolled</w:t>
            </w:r>
          </w:p>
        </w:tc>
        <w:tc>
          <w:tcPr>
            <w:tcW w:w="1622" w:type="dxa"/>
            <w:tcBorders>
              <w:top w:val="single" w:sz="4" w:space="0" w:color="auto"/>
              <w:left w:val="single" w:sz="4" w:space="0" w:color="auto"/>
              <w:bottom w:val="single" w:sz="4" w:space="0" w:color="auto"/>
              <w:right w:val="single" w:sz="4" w:space="0" w:color="auto"/>
            </w:tcBorders>
            <w:vAlign w:val="center"/>
          </w:tcPr>
          <w:p w14:paraId="44F865AF" w14:textId="77777777" w:rsidR="00D64593" w:rsidRDefault="00D64593" w:rsidP="00D64593">
            <w:pPr>
              <w:jc w:val="center"/>
              <w:rPr>
                <w:rFonts w:ascii="Arial" w:hAnsi="Arial" w:cs="Arial"/>
                <w:sz w:val="20"/>
              </w:rPr>
            </w:pPr>
          </w:p>
          <w:p w14:paraId="0861C0F8" w14:textId="77777777" w:rsidR="00D64593" w:rsidRDefault="00D64593" w:rsidP="00D64593">
            <w:pPr>
              <w:jc w:val="center"/>
              <w:rPr>
                <w:rFonts w:ascii="Arial" w:hAnsi="Arial" w:cs="Arial"/>
                <w:sz w:val="20"/>
              </w:rPr>
            </w:pPr>
          </w:p>
          <w:p w14:paraId="2934AE21" w14:textId="77777777" w:rsidR="00D64593" w:rsidRDefault="00D64593" w:rsidP="00D64593">
            <w:pPr>
              <w:jc w:val="center"/>
              <w:rPr>
                <w:rFonts w:ascii="Arial" w:hAnsi="Arial" w:cs="Arial"/>
                <w:sz w:val="20"/>
              </w:rPr>
            </w:pPr>
            <w:r>
              <w:rPr>
                <w:rFonts w:ascii="Arial" w:hAnsi="Arial" w:cs="Arial"/>
                <w:sz w:val="20"/>
              </w:rPr>
              <w:t>48%</w:t>
            </w:r>
          </w:p>
          <w:p w14:paraId="2A76EA14" w14:textId="6508FF21" w:rsidR="00D64593" w:rsidRDefault="00D64593" w:rsidP="00D64593">
            <w:pPr>
              <w:jc w:val="center"/>
              <w:rPr>
                <w:rFonts w:ascii="Arial" w:hAnsi="Arial" w:cs="Arial"/>
                <w:sz w:val="20"/>
              </w:rPr>
            </w:pPr>
            <w:r>
              <w:rPr>
                <w:rFonts w:ascii="Arial" w:hAnsi="Arial" w:cs="Arial"/>
                <w:sz w:val="20"/>
              </w:rPr>
              <w:t>7,143</w:t>
            </w:r>
          </w:p>
        </w:tc>
        <w:tc>
          <w:tcPr>
            <w:tcW w:w="1530" w:type="dxa"/>
            <w:tcBorders>
              <w:top w:val="single" w:sz="4" w:space="0" w:color="auto"/>
              <w:left w:val="single" w:sz="4" w:space="0" w:color="auto"/>
              <w:bottom w:val="single" w:sz="4" w:space="0" w:color="auto"/>
              <w:right w:val="single" w:sz="4" w:space="0" w:color="auto"/>
            </w:tcBorders>
            <w:vAlign w:val="center"/>
          </w:tcPr>
          <w:p w14:paraId="25307858" w14:textId="77777777" w:rsidR="00D64593" w:rsidRDefault="00D64593" w:rsidP="00D64593">
            <w:pPr>
              <w:jc w:val="center"/>
              <w:rPr>
                <w:rFonts w:ascii="Arial" w:hAnsi="Arial" w:cs="Arial"/>
                <w:sz w:val="20"/>
              </w:rPr>
            </w:pPr>
          </w:p>
          <w:p w14:paraId="4F859C43" w14:textId="77777777" w:rsidR="00D64593" w:rsidRDefault="00D64593" w:rsidP="00D64593">
            <w:pPr>
              <w:jc w:val="center"/>
              <w:rPr>
                <w:rFonts w:ascii="Arial" w:hAnsi="Arial" w:cs="Arial"/>
                <w:sz w:val="20"/>
              </w:rPr>
            </w:pPr>
          </w:p>
          <w:p w14:paraId="53C89D71" w14:textId="77777777" w:rsidR="00D64593" w:rsidRDefault="00D64593" w:rsidP="00D64593">
            <w:pPr>
              <w:jc w:val="center"/>
              <w:rPr>
                <w:rFonts w:ascii="Arial" w:hAnsi="Arial" w:cs="Arial"/>
                <w:sz w:val="20"/>
              </w:rPr>
            </w:pPr>
            <w:r>
              <w:rPr>
                <w:rFonts w:ascii="Arial" w:hAnsi="Arial" w:cs="Arial"/>
                <w:sz w:val="20"/>
              </w:rPr>
              <w:t>45%</w:t>
            </w:r>
          </w:p>
          <w:p w14:paraId="0AE9D082" w14:textId="524CCF7E" w:rsidR="00D64593" w:rsidRDefault="00D64593" w:rsidP="00D64593">
            <w:pPr>
              <w:jc w:val="center"/>
              <w:rPr>
                <w:rFonts w:ascii="Arial" w:hAnsi="Arial" w:cs="Arial"/>
                <w:sz w:val="20"/>
              </w:rPr>
            </w:pPr>
            <w:r>
              <w:rPr>
                <w:rFonts w:ascii="Arial" w:hAnsi="Arial" w:cs="Arial"/>
                <w:sz w:val="20"/>
              </w:rPr>
              <w:t xml:space="preserve">      6,719</w:t>
            </w:r>
          </w:p>
        </w:tc>
        <w:tc>
          <w:tcPr>
            <w:tcW w:w="1530" w:type="dxa"/>
            <w:tcBorders>
              <w:top w:val="single" w:sz="4" w:space="0" w:color="auto"/>
              <w:left w:val="single" w:sz="4" w:space="0" w:color="auto"/>
              <w:bottom w:val="single" w:sz="4" w:space="0" w:color="auto"/>
              <w:right w:val="single" w:sz="4" w:space="0" w:color="auto"/>
            </w:tcBorders>
          </w:tcPr>
          <w:p w14:paraId="67C0EDA3" w14:textId="77777777" w:rsidR="00D64593" w:rsidRDefault="00D64593" w:rsidP="00D64593">
            <w:pPr>
              <w:jc w:val="center"/>
              <w:rPr>
                <w:rFonts w:ascii="Arial" w:hAnsi="Arial" w:cs="Arial"/>
                <w:sz w:val="20"/>
              </w:rPr>
            </w:pPr>
          </w:p>
          <w:p w14:paraId="6F697063" w14:textId="77777777" w:rsidR="00D64593" w:rsidRDefault="00D64593" w:rsidP="00D64593">
            <w:pPr>
              <w:jc w:val="center"/>
              <w:rPr>
                <w:rFonts w:ascii="Arial" w:hAnsi="Arial" w:cs="Arial"/>
                <w:sz w:val="20"/>
              </w:rPr>
            </w:pPr>
          </w:p>
          <w:p w14:paraId="3B096E91" w14:textId="77777777" w:rsidR="00D64593" w:rsidRDefault="00D64593" w:rsidP="00D64593">
            <w:pPr>
              <w:jc w:val="center"/>
              <w:rPr>
                <w:rFonts w:ascii="Arial" w:hAnsi="Arial" w:cs="Arial"/>
                <w:sz w:val="20"/>
              </w:rPr>
            </w:pPr>
            <w:r>
              <w:rPr>
                <w:rFonts w:ascii="Arial" w:hAnsi="Arial" w:cs="Arial"/>
                <w:sz w:val="20"/>
              </w:rPr>
              <w:t>44%</w:t>
            </w:r>
          </w:p>
          <w:p w14:paraId="46F0C03E" w14:textId="73E37A07" w:rsidR="00D64593" w:rsidRDefault="00D64593" w:rsidP="00D64593">
            <w:pPr>
              <w:rPr>
                <w:rFonts w:ascii="Arial" w:hAnsi="Arial" w:cs="Arial"/>
                <w:sz w:val="20"/>
              </w:rPr>
            </w:pPr>
            <w:r>
              <w:rPr>
                <w:rFonts w:ascii="Arial" w:hAnsi="Arial" w:cs="Arial"/>
                <w:sz w:val="20"/>
              </w:rPr>
              <w:t>6,316</w:t>
            </w:r>
          </w:p>
        </w:tc>
        <w:tc>
          <w:tcPr>
            <w:tcW w:w="1435" w:type="dxa"/>
            <w:tcBorders>
              <w:top w:val="single" w:sz="4" w:space="0" w:color="auto"/>
              <w:left w:val="single" w:sz="4" w:space="0" w:color="auto"/>
              <w:bottom w:val="single" w:sz="4" w:space="0" w:color="auto"/>
              <w:right w:val="single" w:sz="4" w:space="0" w:color="auto"/>
            </w:tcBorders>
          </w:tcPr>
          <w:p w14:paraId="2308C0B1" w14:textId="1AC480D4" w:rsidR="00D64593" w:rsidRDefault="00D64593" w:rsidP="00D64593">
            <w:pPr>
              <w:jc w:val="center"/>
              <w:rPr>
                <w:rFonts w:ascii="Arial" w:hAnsi="Arial" w:cs="Arial"/>
                <w:sz w:val="20"/>
              </w:rPr>
            </w:pPr>
          </w:p>
        </w:tc>
      </w:tr>
    </w:tbl>
    <w:p w14:paraId="6A06C348" w14:textId="77777777" w:rsidR="000E7976" w:rsidRPr="005B05EE" w:rsidRDefault="000E7976" w:rsidP="000E7976">
      <w:pPr>
        <w:spacing w:line="276" w:lineRule="auto"/>
        <w:jc w:val="both"/>
        <w:rPr>
          <w:rFonts w:ascii="Arial" w:hAnsi="Arial" w:cs="Arial"/>
          <w:sz w:val="20"/>
          <w:szCs w:val="20"/>
        </w:rPr>
      </w:pPr>
    </w:p>
    <w:p w14:paraId="1FBC8A2F" w14:textId="10983C8B" w:rsidR="00FA7817" w:rsidRPr="00A850F7" w:rsidRDefault="00FA7817" w:rsidP="00FA7817">
      <w:pPr>
        <w:rPr>
          <w:rFonts w:ascii="Arial" w:hAnsi="Arial" w:cs="Arial"/>
          <w:sz w:val="18"/>
          <w:szCs w:val="18"/>
        </w:rPr>
      </w:pPr>
      <w:r w:rsidRPr="00A850F7">
        <w:rPr>
          <w:rFonts w:ascii="Arial" w:hAnsi="Arial" w:cs="Arial"/>
          <w:sz w:val="18"/>
          <w:szCs w:val="18"/>
        </w:rPr>
        <w:t xml:space="preserve">1. </w:t>
      </w:r>
      <w:r w:rsidR="00C84C5F" w:rsidRPr="00A850F7">
        <w:rPr>
          <w:rFonts w:ascii="Arial" w:hAnsi="Arial" w:cs="Arial"/>
          <w:sz w:val="18"/>
          <w:szCs w:val="18"/>
        </w:rPr>
        <w:t xml:space="preserve">Student headcounts are unduplicated in a fiscal year by category.  If a student is enrolled in an ISU course, </w:t>
      </w:r>
      <w:r w:rsidR="00F9378F" w:rsidRPr="00A850F7">
        <w:rPr>
          <w:rFonts w:ascii="Arial" w:hAnsi="Arial" w:cs="Arial"/>
          <w:sz w:val="18"/>
          <w:szCs w:val="18"/>
        </w:rPr>
        <w:t>enrolled</w:t>
      </w:r>
      <w:r w:rsidR="00C84C5F" w:rsidRPr="00A850F7">
        <w:rPr>
          <w:rFonts w:ascii="Arial" w:hAnsi="Arial" w:cs="Arial"/>
          <w:sz w:val="18"/>
          <w:szCs w:val="18"/>
        </w:rPr>
        <w:t xml:space="preserve"> in a College of Education professional development course, </w:t>
      </w:r>
      <w:r w:rsidR="00F9378F" w:rsidRPr="00A850F7">
        <w:rPr>
          <w:rFonts w:ascii="Arial" w:hAnsi="Arial" w:cs="Arial"/>
          <w:sz w:val="18"/>
          <w:szCs w:val="18"/>
        </w:rPr>
        <w:t>and</w:t>
      </w:r>
      <w:r w:rsidR="00C84C5F" w:rsidRPr="00A850F7">
        <w:rPr>
          <w:rFonts w:ascii="Arial" w:hAnsi="Arial" w:cs="Arial"/>
          <w:sz w:val="18"/>
          <w:szCs w:val="18"/>
        </w:rPr>
        <w:t xml:space="preserve"> enrolled in a </w:t>
      </w:r>
      <w:r w:rsidR="00017749" w:rsidRPr="00A850F7">
        <w:rPr>
          <w:rFonts w:ascii="Arial" w:hAnsi="Arial" w:cs="Arial"/>
          <w:sz w:val="18"/>
          <w:szCs w:val="18"/>
        </w:rPr>
        <w:t xml:space="preserve">Workforce Training / Continuing Education in the same fiscal </w:t>
      </w:r>
      <w:r w:rsidR="00F9378F" w:rsidRPr="00A850F7">
        <w:rPr>
          <w:rFonts w:ascii="Arial" w:hAnsi="Arial" w:cs="Arial"/>
          <w:sz w:val="18"/>
          <w:szCs w:val="18"/>
        </w:rPr>
        <w:t>year,</w:t>
      </w:r>
      <w:r w:rsidR="00017749" w:rsidRPr="00A850F7">
        <w:rPr>
          <w:rFonts w:ascii="Arial" w:hAnsi="Arial" w:cs="Arial"/>
          <w:sz w:val="18"/>
          <w:szCs w:val="18"/>
        </w:rPr>
        <w:t xml:space="preserve"> the student will be counted 3 times, once in each category. </w:t>
      </w:r>
      <w:r w:rsidRPr="00A850F7">
        <w:rPr>
          <w:rFonts w:ascii="Arial" w:hAnsi="Arial" w:cs="Arial"/>
          <w:sz w:val="18"/>
          <w:szCs w:val="18"/>
        </w:rPr>
        <w:t>The main reason for the large increase in the total number of College of Education K-12 professional development students in fiscal year 2021 was the result of an out-of-state marketing campaign.</w:t>
      </w:r>
    </w:p>
    <w:p w14:paraId="31DF1C2D" w14:textId="629B7C13" w:rsidR="00ED6652" w:rsidRPr="00A850F7" w:rsidRDefault="008C0226" w:rsidP="000E7976">
      <w:pPr>
        <w:spacing w:line="276" w:lineRule="auto"/>
        <w:jc w:val="both"/>
        <w:rPr>
          <w:rFonts w:ascii="Arial" w:hAnsi="Arial" w:cs="Arial"/>
          <w:sz w:val="18"/>
          <w:szCs w:val="18"/>
        </w:rPr>
      </w:pPr>
      <w:r w:rsidRPr="00A850F7">
        <w:rPr>
          <w:rFonts w:ascii="Arial" w:hAnsi="Arial" w:cs="Arial"/>
          <w:sz w:val="18"/>
          <w:szCs w:val="18"/>
        </w:rPr>
        <w:t>2.</w:t>
      </w:r>
      <w:r w:rsidR="00ED6652" w:rsidRPr="00A850F7">
        <w:rPr>
          <w:rFonts w:ascii="Arial" w:hAnsi="Arial" w:cs="Arial"/>
          <w:sz w:val="18"/>
          <w:szCs w:val="18"/>
        </w:rPr>
        <w:t xml:space="preserve"> Annual full-time equivalency (FTE) </w:t>
      </w:r>
      <w:r w:rsidR="00ED6652" w:rsidRPr="00A850F7">
        <w:rPr>
          <w:rFonts w:ascii="Arial" w:hAnsi="Arial" w:cs="Arial"/>
          <w:noProof/>
          <w:sz w:val="18"/>
          <w:szCs w:val="18"/>
        </w:rPr>
        <w:t>is calculated</w:t>
      </w:r>
      <w:r w:rsidR="00ED6652" w:rsidRPr="00A850F7">
        <w:rPr>
          <w:rFonts w:ascii="Arial" w:hAnsi="Arial" w:cs="Arial"/>
          <w:sz w:val="18"/>
          <w:szCs w:val="18"/>
        </w:rPr>
        <w:t xml:space="preserve"> by dividing the tota</w:t>
      </w:r>
      <w:r w:rsidR="003D1A5A" w:rsidRPr="00A850F7">
        <w:rPr>
          <w:rFonts w:ascii="Arial" w:hAnsi="Arial" w:cs="Arial"/>
          <w:sz w:val="18"/>
          <w:szCs w:val="18"/>
        </w:rPr>
        <w:t>l Undergraduate and Career</w:t>
      </w:r>
      <w:r w:rsidR="00ED6652" w:rsidRPr="00A850F7">
        <w:rPr>
          <w:rFonts w:ascii="Arial" w:hAnsi="Arial" w:cs="Arial"/>
          <w:sz w:val="18"/>
          <w:szCs w:val="18"/>
        </w:rPr>
        <w:t xml:space="preserve"> Technical credit hours (SCH) by 30; total Graduate SCH is divided by 24. </w:t>
      </w:r>
    </w:p>
    <w:p w14:paraId="5748C29D" w14:textId="77777777" w:rsidR="00ED6652" w:rsidRPr="00A850F7" w:rsidRDefault="008C0226" w:rsidP="000E7976">
      <w:pPr>
        <w:spacing w:line="276" w:lineRule="auto"/>
        <w:jc w:val="both"/>
        <w:rPr>
          <w:rFonts w:ascii="Arial" w:hAnsi="Arial" w:cs="Arial"/>
          <w:sz w:val="18"/>
          <w:szCs w:val="18"/>
        </w:rPr>
      </w:pPr>
      <w:r w:rsidRPr="00A850F7">
        <w:rPr>
          <w:rFonts w:ascii="Arial" w:hAnsi="Arial" w:cs="Arial"/>
          <w:sz w:val="18"/>
          <w:szCs w:val="18"/>
        </w:rPr>
        <w:t>3</w:t>
      </w:r>
      <w:r w:rsidR="00ED6652" w:rsidRPr="00A850F7">
        <w:rPr>
          <w:rFonts w:ascii="Arial" w:hAnsi="Arial" w:cs="Arial"/>
          <w:sz w:val="18"/>
          <w:szCs w:val="18"/>
        </w:rPr>
        <w:t>. Total student credit hour production for the fiscal year.</w:t>
      </w:r>
    </w:p>
    <w:p w14:paraId="1D5ED9D4" w14:textId="4314DA4E" w:rsidR="00ED6652" w:rsidRPr="00A850F7" w:rsidRDefault="008C0226" w:rsidP="000E7976">
      <w:pPr>
        <w:jc w:val="both"/>
        <w:rPr>
          <w:rFonts w:ascii="Arial" w:hAnsi="Arial" w:cs="Arial"/>
          <w:sz w:val="18"/>
          <w:szCs w:val="18"/>
        </w:rPr>
      </w:pPr>
      <w:r w:rsidRPr="00A850F7">
        <w:rPr>
          <w:rFonts w:ascii="Arial" w:hAnsi="Arial" w:cs="Arial"/>
          <w:sz w:val="18"/>
          <w:szCs w:val="18"/>
        </w:rPr>
        <w:t>4</w:t>
      </w:r>
      <w:r w:rsidR="00ED6652" w:rsidRPr="00A850F7">
        <w:rPr>
          <w:rFonts w:ascii="Arial" w:hAnsi="Arial" w:cs="Arial"/>
          <w:sz w:val="18"/>
          <w:szCs w:val="18"/>
        </w:rPr>
        <w:t>. Degrees are those awarde</w:t>
      </w:r>
      <w:r w:rsidR="0012552B" w:rsidRPr="00A850F7">
        <w:rPr>
          <w:rFonts w:ascii="Arial" w:hAnsi="Arial" w:cs="Arial"/>
          <w:sz w:val="18"/>
          <w:szCs w:val="18"/>
        </w:rPr>
        <w:t xml:space="preserve">d and posted as of </w:t>
      </w:r>
      <w:r w:rsidR="00842C78" w:rsidRPr="00A850F7">
        <w:rPr>
          <w:rFonts w:ascii="Arial" w:hAnsi="Arial" w:cs="Arial"/>
          <w:sz w:val="18"/>
          <w:szCs w:val="18"/>
        </w:rPr>
        <w:t xml:space="preserve">July 27, </w:t>
      </w:r>
      <w:proofErr w:type="gramStart"/>
      <w:r w:rsidR="00842C78" w:rsidRPr="00A850F7">
        <w:rPr>
          <w:rFonts w:ascii="Arial" w:hAnsi="Arial" w:cs="Arial"/>
          <w:sz w:val="18"/>
          <w:szCs w:val="18"/>
        </w:rPr>
        <w:t>2021</w:t>
      </w:r>
      <w:proofErr w:type="gramEnd"/>
      <w:r w:rsidR="00F175B3" w:rsidRPr="00A850F7">
        <w:rPr>
          <w:rFonts w:ascii="Arial" w:hAnsi="Arial" w:cs="Arial"/>
          <w:sz w:val="18"/>
          <w:szCs w:val="18"/>
        </w:rPr>
        <w:t xml:space="preserve"> for the fiscal year.</w:t>
      </w:r>
      <w:r w:rsidR="00ED6652" w:rsidRPr="00A850F7">
        <w:rPr>
          <w:rFonts w:ascii="Arial" w:hAnsi="Arial" w:cs="Arial"/>
          <w:sz w:val="18"/>
          <w:szCs w:val="18"/>
        </w:rPr>
        <w:t xml:space="preserve"> </w:t>
      </w:r>
    </w:p>
    <w:p w14:paraId="5AD756DB" w14:textId="77777777" w:rsidR="00ED6652" w:rsidRPr="00A850F7" w:rsidRDefault="008C0226" w:rsidP="000E7976">
      <w:pPr>
        <w:spacing w:line="276" w:lineRule="auto"/>
        <w:jc w:val="both"/>
        <w:rPr>
          <w:rFonts w:ascii="Arial" w:hAnsi="Arial" w:cs="Arial"/>
          <w:sz w:val="18"/>
          <w:szCs w:val="18"/>
        </w:rPr>
      </w:pPr>
      <w:r w:rsidRPr="00A850F7">
        <w:rPr>
          <w:rFonts w:ascii="Arial" w:hAnsi="Arial" w:cs="Arial"/>
          <w:sz w:val="18"/>
          <w:szCs w:val="18"/>
        </w:rPr>
        <w:t>5</w:t>
      </w:r>
      <w:r w:rsidR="00ED6652" w:rsidRPr="00A850F7">
        <w:rPr>
          <w:rFonts w:ascii="Arial" w:hAnsi="Arial" w:cs="Arial"/>
          <w:sz w:val="18"/>
          <w:szCs w:val="18"/>
        </w:rPr>
        <w:t>. Certificates/Degrees with a U.S. Dept. of Education Classification of Instructional Programs (CIP) Code of 51 –Health Professions and Related Clinical Sciences, and Clinical Psychology degrees.</w:t>
      </w:r>
    </w:p>
    <w:p w14:paraId="122BFC48" w14:textId="77777777" w:rsidR="00A931CB" w:rsidRPr="00A850F7" w:rsidRDefault="008C0226" w:rsidP="000E7976">
      <w:pPr>
        <w:spacing w:line="276" w:lineRule="auto"/>
        <w:jc w:val="both"/>
        <w:rPr>
          <w:rFonts w:ascii="Arial" w:hAnsi="Arial" w:cs="Arial"/>
          <w:sz w:val="18"/>
          <w:szCs w:val="18"/>
        </w:rPr>
      </w:pPr>
      <w:r w:rsidRPr="00A850F7">
        <w:rPr>
          <w:rFonts w:ascii="Arial" w:hAnsi="Arial" w:cs="Arial"/>
          <w:sz w:val="18"/>
          <w:szCs w:val="18"/>
        </w:rPr>
        <w:t>6</w:t>
      </w:r>
      <w:r w:rsidR="00ED6652" w:rsidRPr="00A850F7">
        <w:rPr>
          <w:rFonts w:ascii="Arial" w:hAnsi="Arial" w:cs="Arial"/>
          <w:sz w:val="18"/>
          <w:szCs w:val="18"/>
        </w:rPr>
        <w:t xml:space="preserve">. Certificates/Degrees with a CIP Code in Science, Technology, Engineering, and Mathematics (STEM) as defined by the </w:t>
      </w:r>
      <w:r w:rsidR="003761E6" w:rsidRPr="00A850F7">
        <w:rPr>
          <w:rFonts w:ascii="Arial" w:hAnsi="Arial" w:cs="Arial"/>
          <w:sz w:val="18"/>
          <w:szCs w:val="18"/>
        </w:rPr>
        <w:t>CIP codes, 01,03,04,11,14,15,26,27,29,40,41.</w:t>
      </w:r>
    </w:p>
    <w:p w14:paraId="3C7A1F23" w14:textId="77777777" w:rsidR="00C23C79" w:rsidRPr="00A850F7" w:rsidRDefault="004F6C22" w:rsidP="000E7976">
      <w:pPr>
        <w:spacing w:line="276" w:lineRule="auto"/>
        <w:jc w:val="both"/>
        <w:rPr>
          <w:rFonts w:ascii="Arial" w:hAnsi="Arial" w:cs="Arial"/>
          <w:sz w:val="18"/>
          <w:szCs w:val="18"/>
        </w:rPr>
      </w:pPr>
      <w:r w:rsidRPr="00A850F7">
        <w:rPr>
          <w:rFonts w:ascii="Arial" w:hAnsi="Arial" w:cs="Arial"/>
          <w:sz w:val="18"/>
          <w:szCs w:val="18"/>
        </w:rPr>
        <w:t>7</w:t>
      </w:r>
      <w:r w:rsidR="002C2F90" w:rsidRPr="00A850F7">
        <w:rPr>
          <w:rFonts w:ascii="Arial" w:hAnsi="Arial" w:cs="Arial"/>
          <w:sz w:val="18"/>
          <w:szCs w:val="18"/>
        </w:rPr>
        <w:t>. New</w:t>
      </w:r>
      <w:r w:rsidR="006E31B1" w:rsidRPr="00A850F7">
        <w:rPr>
          <w:rFonts w:ascii="Arial" w:hAnsi="Arial" w:cs="Arial"/>
          <w:sz w:val="18"/>
          <w:szCs w:val="18"/>
        </w:rPr>
        <w:t xml:space="preserve"> students in the summer term</w:t>
      </w:r>
      <w:r w:rsidR="002C2F90" w:rsidRPr="00A850F7">
        <w:rPr>
          <w:rFonts w:ascii="Arial" w:hAnsi="Arial" w:cs="Arial"/>
          <w:sz w:val="18"/>
          <w:szCs w:val="18"/>
        </w:rPr>
        <w:t xml:space="preserve"> enrolled</w:t>
      </w:r>
      <w:r w:rsidR="006E31B1" w:rsidRPr="00A850F7">
        <w:rPr>
          <w:rFonts w:ascii="Arial" w:hAnsi="Arial" w:cs="Arial"/>
          <w:sz w:val="18"/>
          <w:szCs w:val="18"/>
        </w:rPr>
        <w:t xml:space="preserve"> in the subsequent fall term</w:t>
      </w:r>
      <w:r w:rsidR="002C2F90" w:rsidRPr="00A850F7">
        <w:rPr>
          <w:rFonts w:ascii="Arial" w:hAnsi="Arial" w:cs="Arial"/>
          <w:sz w:val="18"/>
          <w:szCs w:val="18"/>
        </w:rPr>
        <w:t xml:space="preserve"> are count</w:t>
      </w:r>
      <w:r w:rsidR="006E31B1" w:rsidRPr="00A850F7">
        <w:rPr>
          <w:rFonts w:ascii="Arial" w:hAnsi="Arial" w:cs="Arial"/>
          <w:sz w:val="18"/>
          <w:szCs w:val="18"/>
        </w:rPr>
        <w:t>ed as “new” in the fall term</w:t>
      </w:r>
      <w:r w:rsidR="002C2F90" w:rsidRPr="00A850F7">
        <w:rPr>
          <w:rFonts w:ascii="Arial" w:hAnsi="Arial" w:cs="Arial"/>
          <w:sz w:val="18"/>
          <w:szCs w:val="18"/>
        </w:rPr>
        <w:t>.</w:t>
      </w:r>
    </w:p>
    <w:p w14:paraId="34095868" w14:textId="77777777" w:rsidR="00541D9D" w:rsidRPr="00A850F7" w:rsidRDefault="00541D9D" w:rsidP="000E7976">
      <w:pPr>
        <w:spacing w:line="276" w:lineRule="auto"/>
        <w:jc w:val="both"/>
        <w:rPr>
          <w:rFonts w:ascii="Arial" w:hAnsi="Arial" w:cs="Arial"/>
          <w:color w:val="000000"/>
          <w:sz w:val="18"/>
          <w:szCs w:val="18"/>
        </w:rPr>
      </w:pPr>
      <w:r w:rsidRPr="00A850F7">
        <w:rPr>
          <w:rFonts w:ascii="Arial" w:hAnsi="Arial" w:cs="Arial"/>
          <w:sz w:val="18"/>
          <w:szCs w:val="18"/>
        </w:rPr>
        <w:t xml:space="preserve">8. </w:t>
      </w:r>
      <w:r w:rsidRPr="00A850F7">
        <w:rPr>
          <w:rFonts w:ascii="Arial" w:hAnsi="Arial" w:cs="Arial"/>
          <w:color w:val="000000"/>
          <w:sz w:val="18"/>
          <w:szCs w:val="18"/>
        </w:rPr>
        <w:t xml:space="preserve">Community Engaged Learning describes the collaboration between institutions of higher education and their larger communities (local, regional/state, national, global) for the mutually beneficial creation and exchange of knowledge and resources in a context of partnership and reciprocity. These undergraduate and graduate for-credit opportunities include, but are not limited to, internships, externships, job shadowing, service learning, </w:t>
      </w:r>
      <w:proofErr w:type="gramStart"/>
      <w:r w:rsidRPr="00A850F7">
        <w:rPr>
          <w:rFonts w:ascii="Arial" w:hAnsi="Arial" w:cs="Arial"/>
          <w:color w:val="000000"/>
          <w:sz w:val="18"/>
          <w:szCs w:val="18"/>
        </w:rPr>
        <w:t>community based</w:t>
      </w:r>
      <w:proofErr w:type="gramEnd"/>
      <w:r w:rsidRPr="00A850F7">
        <w:rPr>
          <w:rFonts w:ascii="Arial" w:hAnsi="Arial" w:cs="Arial"/>
          <w:color w:val="000000"/>
          <w:sz w:val="18"/>
          <w:szCs w:val="18"/>
        </w:rPr>
        <w:t xml:space="preserve"> research, public service courses, practicums, practical work (live work), and clinical rotations.</w:t>
      </w:r>
    </w:p>
    <w:p w14:paraId="65916DB0" w14:textId="3E2D272C" w:rsidR="00A5033E" w:rsidRDefault="00A5033E">
      <w:pPr>
        <w:rPr>
          <w:rFonts w:ascii="Arial" w:hAnsi="Arial" w:cs="Arial"/>
          <w:b/>
        </w:rPr>
      </w:pPr>
      <w:bookmarkStart w:id="1" w:name="_Hlk11137127"/>
    </w:p>
    <w:bookmarkEnd w:id="1"/>
    <w:p w14:paraId="76B679BC" w14:textId="6C173CB1" w:rsidR="00FA6EF5" w:rsidRDefault="001364F0" w:rsidP="00FA6EF5">
      <w:pPr>
        <w:rPr>
          <w:rFonts w:ascii="Arial" w:hAnsi="Arial" w:cs="Arial"/>
          <w:b/>
          <w:i/>
          <w:color w:val="FF0000"/>
        </w:rPr>
      </w:pPr>
      <w:r>
        <w:rPr>
          <w:rFonts w:ascii="Arial" w:hAnsi="Arial" w:cs="Arial"/>
          <w:b/>
          <w:bCs/>
        </w:rPr>
        <w:t>FY 2021</w:t>
      </w:r>
      <w:r w:rsidR="00B41CCC">
        <w:rPr>
          <w:rFonts w:ascii="Arial" w:hAnsi="Arial" w:cs="Arial"/>
          <w:b/>
          <w:bCs/>
        </w:rPr>
        <w:t xml:space="preserve"> Performance Highlights </w:t>
      </w:r>
    </w:p>
    <w:p w14:paraId="51690780" w14:textId="77777777" w:rsidR="008826CF" w:rsidRPr="00A5033E" w:rsidRDefault="008826CF" w:rsidP="00FA6EF5">
      <w:pPr>
        <w:rPr>
          <w:rFonts w:ascii="Arial" w:hAnsi="Arial" w:cs="Arial"/>
          <w:b/>
          <w:color w:val="FF0000"/>
        </w:rPr>
      </w:pPr>
    </w:p>
    <w:p w14:paraId="4070E33D" w14:textId="340FD7D4" w:rsidR="00D642EC" w:rsidRDefault="00D642EC" w:rsidP="00D642EC">
      <w:pPr>
        <w:rPr>
          <w:rFonts w:ascii="Arial" w:hAnsi="Arial" w:cs="Arial"/>
          <w:b/>
          <w:i/>
        </w:rPr>
      </w:pPr>
      <w:r w:rsidRPr="00077507">
        <w:rPr>
          <w:rFonts w:ascii="Arial" w:hAnsi="Arial" w:cs="Arial"/>
          <w:b/>
          <w:i/>
        </w:rPr>
        <w:t xml:space="preserve">College of </w:t>
      </w:r>
      <w:r>
        <w:rPr>
          <w:rFonts w:ascii="Arial" w:hAnsi="Arial" w:cs="Arial"/>
          <w:b/>
          <w:i/>
        </w:rPr>
        <w:t>Arts and Letters</w:t>
      </w:r>
    </w:p>
    <w:p w14:paraId="5ED7A4B9" w14:textId="77777777" w:rsidR="00D642EC" w:rsidRPr="00896803" w:rsidRDefault="00D642EC" w:rsidP="00D642EC">
      <w:pPr>
        <w:rPr>
          <w:rFonts w:ascii="Arial" w:hAnsi="Arial" w:cs="Arial"/>
          <w:i/>
        </w:rPr>
      </w:pPr>
    </w:p>
    <w:p w14:paraId="4BE21FBE" w14:textId="77777777" w:rsidR="0028412F" w:rsidRPr="0028412F" w:rsidRDefault="0028412F" w:rsidP="0028412F">
      <w:pPr>
        <w:pStyle w:val="ListParagraph"/>
        <w:numPr>
          <w:ilvl w:val="0"/>
          <w:numId w:val="15"/>
        </w:numPr>
        <w:rPr>
          <w:rFonts w:ascii="Arial" w:hAnsi="Arial" w:cs="Arial"/>
          <w:b/>
          <w:color w:val="000000"/>
          <w:sz w:val="20"/>
          <w:szCs w:val="20"/>
        </w:rPr>
      </w:pPr>
      <w:r w:rsidRPr="0028412F">
        <w:rPr>
          <w:rFonts w:ascii="Arial" w:hAnsi="Arial" w:cs="Arial"/>
          <w:b/>
          <w:color w:val="000000"/>
          <w:sz w:val="20"/>
          <w:szCs w:val="20"/>
        </w:rPr>
        <w:t>Resilience of the Performing Arts</w:t>
      </w:r>
    </w:p>
    <w:p w14:paraId="3CE897E3" w14:textId="77777777" w:rsidR="0028412F" w:rsidRPr="0028412F" w:rsidRDefault="0028412F" w:rsidP="0028412F">
      <w:pPr>
        <w:rPr>
          <w:rFonts w:ascii="Arial" w:hAnsi="Arial" w:cs="Arial"/>
          <w:color w:val="000000"/>
          <w:sz w:val="20"/>
          <w:szCs w:val="20"/>
        </w:rPr>
      </w:pPr>
    </w:p>
    <w:p w14:paraId="4217AD77" w14:textId="0BC68376" w:rsidR="0028412F" w:rsidRPr="0028412F" w:rsidRDefault="0028412F" w:rsidP="0028412F">
      <w:pPr>
        <w:ind w:left="360"/>
        <w:rPr>
          <w:rFonts w:ascii="Arial" w:hAnsi="Arial" w:cs="Arial"/>
          <w:color w:val="000000"/>
          <w:sz w:val="20"/>
          <w:szCs w:val="20"/>
        </w:rPr>
      </w:pPr>
      <w:r w:rsidRPr="0028412F">
        <w:rPr>
          <w:rFonts w:ascii="Arial" w:hAnsi="Arial" w:cs="Arial"/>
          <w:color w:val="000000"/>
          <w:sz w:val="20"/>
          <w:szCs w:val="20"/>
        </w:rPr>
        <w:t xml:space="preserve">Because of what they teach and the direct, hands-on way it must be taught, the </w:t>
      </w:r>
      <w:r w:rsidR="00337A30">
        <w:rPr>
          <w:rFonts w:ascii="Arial" w:hAnsi="Arial" w:cs="Arial"/>
          <w:color w:val="000000"/>
          <w:sz w:val="20"/>
          <w:szCs w:val="20"/>
        </w:rPr>
        <w:t>Theatre, Dance, and Music faculty</w:t>
      </w:r>
      <w:r w:rsidRPr="0028412F">
        <w:rPr>
          <w:rFonts w:ascii="Arial" w:hAnsi="Arial" w:cs="Arial"/>
          <w:color w:val="000000"/>
          <w:sz w:val="20"/>
          <w:szCs w:val="20"/>
        </w:rPr>
        <w:t xml:space="preserve"> faced what seemed like an impossible challenge in response to COVID. Yet</w:t>
      </w:r>
      <w:r w:rsidR="00337A30">
        <w:rPr>
          <w:rFonts w:ascii="Arial" w:hAnsi="Arial" w:cs="Arial"/>
          <w:color w:val="000000"/>
          <w:sz w:val="20"/>
          <w:szCs w:val="20"/>
        </w:rPr>
        <w:t>,</w:t>
      </w:r>
      <w:r w:rsidRPr="0028412F">
        <w:rPr>
          <w:rFonts w:ascii="Arial" w:hAnsi="Arial" w:cs="Arial"/>
          <w:color w:val="000000"/>
          <w:sz w:val="20"/>
          <w:szCs w:val="20"/>
        </w:rPr>
        <w:t xml:space="preserve"> </w:t>
      </w:r>
      <w:r w:rsidR="00337A30">
        <w:rPr>
          <w:rFonts w:ascii="Arial" w:hAnsi="Arial" w:cs="Arial"/>
          <w:color w:val="000000"/>
          <w:sz w:val="20"/>
          <w:szCs w:val="20"/>
        </w:rPr>
        <w:t>they continued to serve performing arts students for an entire year</w:t>
      </w:r>
      <w:r w:rsidRPr="0028412F">
        <w:rPr>
          <w:rFonts w:ascii="Arial" w:hAnsi="Arial" w:cs="Arial"/>
          <w:color w:val="000000"/>
          <w:sz w:val="20"/>
          <w:szCs w:val="20"/>
        </w:rPr>
        <w:t xml:space="preserve"> and help them continue to advance toward degree completion. They did this by modifying classrooms and studios, learning and leveraging new software and technology, using their exceptional creativity, committing untold and uncompensated extra hours, and putting students and student safety first. Additionally, they continued to serve the larger Idaho community by providing public concerts and performances made available through online streaming technology, including a New Year</w:t>
      </w:r>
      <w:r w:rsidR="00337A30">
        <w:rPr>
          <w:rFonts w:ascii="Arial" w:hAnsi="Arial" w:cs="Arial"/>
          <w:color w:val="000000"/>
          <w:sz w:val="20"/>
          <w:szCs w:val="20"/>
        </w:rPr>
        <w:t>’</w:t>
      </w:r>
      <w:r w:rsidRPr="0028412F">
        <w:rPr>
          <w:rFonts w:ascii="Arial" w:hAnsi="Arial" w:cs="Arial"/>
          <w:color w:val="000000"/>
          <w:sz w:val="20"/>
          <w:szCs w:val="20"/>
        </w:rPr>
        <w:t xml:space="preserve">s Eve streamed event that showcased </w:t>
      </w:r>
      <w:r w:rsidR="00337A30">
        <w:rPr>
          <w:rFonts w:ascii="Arial" w:hAnsi="Arial" w:cs="Arial"/>
          <w:color w:val="000000"/>
          <w:sz w:val="20"/>
          <w:szCs w:val="20"/>
        </w:rPr>
        <w:t>many students’ talent</w:t>
      </w:r>
      <w:r w:rsidRPr="0028412F">
        <w:rPr>
          <w:rFonts w:ascii="Arial" w:hAnsi="Arial" w:cs="Arial"/>
          <w:color w:val="000000"/>
          <w:sz w:val="20"/>
          <w:szCs w:val="20"/>
        </w:rPr>
        <w:t>.</w:t>
      </w:r>
    </w:p>
    <w:p w14:paraId="76004663" w14:textId="77777777" w:rsidR="0028412F" w:rsidRPr="0028412F" w:rsidRDefault="0028412F" w:rsidP="0028412F">
      <w:pPr>
        <w:jc w:val="center"/>
        <w:rPr>
          <w:rFonts w:ascii="Arial" w:hAnsi="Arial" w:cs="Arial"/>
          <w:color w:val="000000"/>
          <w:sz w:val="20"/>
          <w:szCs w:val="20"/>
        </w:rPr>
      </w:pPr>
      <w:bookmarkStart w:id="2" w:name="_heading=h.gjdgxs" w:colFirst="0" w:colLast="0"/>
      <w:bookmarkEnd w:id="2"/>
    </w:p>
    <w:p w14:paraId="03994A17" w14:textId="77777777" w:rsidR="0028412F" w:rsidRPr="0028412F" w:rsidRDefault="0028412F" w:rsidP="0028412F">
      <w:pPr>
        <w:pStyle w:val="ListParagraph"/>
        <w:numPr>
          <w:ilvl w:val="0"/>
          <w:numId w:val="15"/>
        </w:numPr>
        <w:rPr>
          <w:rFonts w:ascii="Arial" w:hAnsi="Arial" w:cs="Arial"/>
          <w:b/>
          <w:color w:val="000000"/>
          <w:sz w:val="20"/>
          <w:szCs w:val="20"/>
        </w:rPr>
      </w:pPr>
      <w:r w:rsidRPr="0028412F">
        <w:rPr>
          <w:rFonts w:ascii="Arial" w:hAnsi="Arial" w:cs="Arial"/>
          <w:b/>
          <w:color w:val="000000"/>
          <w:sz w:val="20"/>
          <w:szCs w:val="20"/>
        </w:rPr>
        <w:t xml:space="preserve">ISU </w:t>
      </w:r>
      <w:proofErr w:type="spellStart"/>
      <w:r w:rsidRPr="0028412F">
        <w:rPr>
          <w:rFonts w:ascii="Arial" w:hAnsi="Arial" w:cs="Arial"/>
          <w:b/>
          <w:color w:val="000000"/>
          <w:sz w:val="20"/>
          <w:szCs w:val="20"/>
        </w:rPr>
        <w:t>CommuniVax</w:t>
      </w:r>
      <w:proofErr w:type="spellEnd"/>
      <w:r w:rsidRPr="0028412F">
        <w:rPr>
          <w:rFonts w:ascii="Arial" w:hAnsi="Arial" w:cs="Arial"/>
          <w:b/>
          <w:color w:val="000000"/>
          <w:sz w:val="20"/>
          <w:szCs w:val="20"/>
        </w:rPr>
        <w:t xml:space="preserve"> Research on COVID-19 Vaccination Efforts</w:t>
      </w:r>
    </w:p>
    <w:p w14:paraId="2ABC0D3A" w14:textId="77777777" w:rsidR="0028412F" w:rsidRPr="0028412F" w:rsidRDefault="0028412F" w:rsidP="0028412F">
      <w:pPr>
        <w:rPr>
          <w:rFonts w:ascii="Arial" w:hAnsi="Arial" w:cs="Arial"/>
          <w:color w:val="000000"/>
          <w:sz w:val="20"/>
          <w:szCs w:val="20"/>
        </w:rPr>
      </w:pPr>
    </w:p>
    <w:p w14:paraId="0B543EBE" w14:textId="377A1F68" w:rsidR="0028412F" w:rsidRPr="0028412F" w:rsidRDefault="0028412F" w:rsidP="0028412F">
      <w:pPr>
        <w:ind w:left="360"/>
        <w:rPr>
          <w:rFonts w:ascii="Arial" w:hAnsi="Arial" w:cs="Arial"/>
          <w:color w:val="000000"/>
          <w:sz w:val="20"/>
          <w:szCs w:val="20"/>
        </w:rPr>
      </w:pPr>
      <w:r w:rsidRPr="0081472F">
        <w:rPr>
          <w:rFonts w:ascii="Arial" w:hAnsi="Arial" w:cs="Arial"/>
          <w:color w:val="000000"/>
          <w:sz w:val="20"/>
          <w:szCs w:val="20"/>
        </w:rPr>
        <w:t xml:space="preserve">ISU faculty and students are working with Johns Hopkins, Bloomberg School of Public Health on </w:t>
      </w:r>
      <w:hyperlink r:id="rId12">
        <w:proofErr w:type="spellStart"/>
        <w:r w:rsidRPr="0081472F">
          <w:rPr>
            <w:rFonts w:ascii="Arial" w:hAnsi="Arial" w:cs="Arial"/>
            <w:color w:val="000000"/>
            <w:sz w:val="20"/>
            <w:szCs w:val="20"/>
          </w:rPr>
          <w:t>CommuniVax</w:t>
        </w:r>
        <w:proofErr w:type="spellEnd"/>
        <w:r w:rsidRPr="0081472F">
          <w:rPr>
            <w:rFonts w:ascii="Arial" w:hAnsi="Arial" w:cs="Arial"/>
            <w:color w:val="000000"/>
            <w:sz w:val="20"/>
            <w:szCs w:val="20"/>
          </w:rPr>
          <w:t>,</w:t>
        </w:r>
      </w:hyperlink>
      <w:r w:rsidRPr="0081472F">
        <w:rPr>
          <w:rFonts w:ascii="Arial" w:hAnsi="Arial" w:cs="Arial"/>
          <w:color w:val="000000"/>
          <w:sz w:val="20"/>
          <w:szCs w:val="20"/>
        </w:rPr>
        <w:t xml:space="preserve"> a national research coalition located at seven U.S. locations. The ISU team sought to raise awareness of and access to COVID-19 vaccines for the Hispanic population in rural Idaho regions of Bingham and Power counties. The ISU team used a Research-as-Intervention approach that involved a remarkable interdisciplinary team of 21 students and community members (half of which were from the study community),</w:t>
      </w:r>
      <w:r w:rsidRPr="0028412F">
        <w:rPr>
          <w:rFonts w:ascii="Arial" w:hAnsi="Arial" w:cs="Arial"/>
          <w:color w:val="000000"/>
          <w:sz w:val="20"/>
          <w:szCs w:val="20"/>
        </w:rPr>
        <w:t xml:space="preserve"> three public health experts and three ISU faculty members—Elizabeth Cartwright (Anthropology), Diana Campanella </w:t>
      </w:r>
      <w:proofErr w:type="spellStart"/>
      <w:r w:rsidRPr="0028412F">
        <w:rPr>
          <w:rFonts w:ascii="Arial" w:hAnsi="Arial" w:cs="Arial"/>
          <w:color w:val="000000"/>
          <w:sz w:val="20"/>
          <w:szCs w:val="20"/>
        </w:rPr>
        <w:t>Schow</w:t>
      </w:r>
      <w:proofErr w:type="spellEnd"/>
      <w:r w:rsidRPr="0028412F">
        <w:rPr>
          <w:rFonts w:ascii="Arial" w:hAnsi="Arial" w:cs="Arial"/>
          <w:color w:val="000000"/>
          <w:sz w:val="20"/>
          <w:szCs w:val="20"/>
        </w:rPr>
        <w:t xml:space="preserve"> (Community and Public Health) and </w:t>
      </w:r>
      <w:proofErr w:type="spellStart"/>
      <w:r w:rsidRPr="0028412F">
        <w:rPr>
          <w:rFonts w:ascii="Arial" w:hAnsi="Arial" w:cs="Arial"/>
          <w:color w:val="000000"/>
          <w:sz w:val="20"/>
          <w:szCs w:val="20"/>
        </w:rPr>
        <w:t>Tamra</w:t>
      </w:r>
      <w:proofErr w:type="spellEnd"/>
      <w:r w:rsidRPr="0028412F">
        <w:rPr>
          <w:rFonts w:ascii="Arial" w:hAnsi="Arial" w:cs="Arial"/>
          <w:color w:val="000000"/>
          <w:sz w:val="20"/>
          <w:szCs w:val="20"/>
        </w:rPr>
        <w:t xml:space="preserve"> Bassett (Global Studies and Languages). </w:t>
      </w:r>
      <w:r w:rsidRPr="0028412F">
        <w:rPr>
          <w:rFonts w:ascii="Arial" w:hAnsi="Arial" w:cs="Arial"/>
          <w:color w:val="000000"/>
          <w:sz w:val="20"/>
          <w:szCs w:val="20"/>
        </w:rPr>
        <w:lastRenderedPageBreak/>
        <w:t>Faculty</w:t>
      </w:r>
      <w:r w:rsidR="00337A30">
        <w:rPr>
          <w:rFonts w:ascii="Arial" w:hAnsi="Arial" w:cs="Arial"/>
          <w:color w:val="000000"/>
          <w:sz w:val="20"/>
          <w:szCs w:val="20"/>
        </w:rPr>
        <w:t>-</w:t>
      </w:r>
      <w:r w:rsidRPr="0028412F">
        <w:rPr>
          <w:rFonts w:ascii="Arial" w:hAnsi="Arial" w:cs="Arial"/>
          <w:color w:val="000000"/>
          <w:sz w:val="20"/>
          <w:szCs w:val="20"/>
        </w:rPr>
        <w:t xml:space="preserve">led training for all students, who conducted and analyzed 89 semi-structured interviews and three focus groups. Results laid bare the deeply difficult, pandemic-related consequences of living and working both in the U.S. and Mexico. They also revealed an unwavering determination to work, </w:t>
      </w:r>
      <w:r w:rsidR="00337A30">
        <w:rPr>
          <w:rFonts w:ascii="Arial" w:hAnsi="Arial" w:cs="Arial"/>
          <w:color w:val="000000"/>
          <w:sz w:val="20"/>
          <w:szCs w:val="20"/>
        </w:rPr>
        <w:t>carry on, and provide for families,</w:t>
      </w:r>
      <w:r w:rsidRPr="0028412F">
        <w:rPr>
          <w:rFonts w:ascii="Arial" w:hAnsi="Arial" w:cs="Arial"/>
          <w:color w:val="000000"/>
          <w:sz w:val="20"/>
          <w:szCs w:val="20"/>
        </w:rPr>
        <w:t xml:space="preserve"> showing strong acceptance for receiving the vaccine among Idaho’s farmworker families.</w:t>
      </w:r>
    </w:p>
    <w:p w14:paraId="6FFD595B" w14:textId="77777777" w:rsidR="0028412F" w:rsidRPr="0028412F" w:rsidRDefault="0028412F" w:rsidP="0028412F">
      <w:pPr>
        <w:rPr>
          <w:rFonts w:ascii="Arial" w:hAnsi="Arial" w:cs="Arial"/>
          <w:color w:val="000000"/>
          <w:sz w:val="20"/>
          <w:szCs w:val="20"/>
        </w:rPr>
      </w:pPr>
    </w:p>
    <w:p w14:paraId="6559F928" w14:textId="77777777" w:rsidR="0028412F" w:rsidRPr="0028412F" w:rsidRDefault="0028412F" w:rsidP="0028412F">
      <w:pPr>
        <w:pStyle w:val="ListParagraph"/>
        <w:numPr>
          <w:ilvl w:val="0"/>
          <w:numId w:val="15"/>
        </w:numPr>
        <w:rPr>
          <w:rFonts w:ascii="Arial" w:hAnsi="Arial" w:cs="Arial"/>
          <w:b/>
          <w:color w:val="000000"/>
          <w:sz w:val="20"/>
          <w:szCs w:val="20"/>
        </w:rPr>
      </w:pPr>
      <w:r w:rsidRPr="0028412F">
        <w:rPr>
          <w:rFonts w:ascii="Arial" w:hAnsi="Arial" w:cs="Arial"/>
          <w:b/>
          <w:color w:val="000000"/>
          <w:sz w:val="20"/>
          <w:szCs w:val="20"/>
        </w:rPr>
        <w:t>ISU INCLUDE Project Provides Educational Access to Rural Communities</w:t>
      </w:r>
    </w:p>
    <w:p w14:paraId="47B87289" w14:textId="77777777" w:rsidR="0028412F" w:rsidRPr="0028412F" w:rsidRDefault="0028412F" w:rsidP="0028412F">
      <w:pPr>
        <w:rPr>
          <w:rFonts w:ascii="Arial" w:hAnsi="Arial" w:cs="Arial"/>
          <w:color w:val="000000"/>
          <w:sz w:val="20"/>
          <w:szCs w:val="20"/>
        </w:rPr>
      </w:pPr>
    </w:p>
    <w:p w14:paraId="0A0EC70B" w14:textId="5EEFDC06" w:rsidR="0028412F" w:rsidRPr="0028412F" w:rsidRDefault="0028412F" w:rsidP="00D41F35">
      <w:pPr>
        <w:pBdr>
          <w:top w:val="nil"/>
          <w:left w:val="nil"/>
          <w:bottom w:val="nil"/>
          <w:right w:val="nil"/>
          <w:between w:val="nil"/>
        </w:pBdr>
        <w:spacing w:after="240"/>
        <w:ind w:left="360"/>
        <w:rPr>
          <w:rFonts w:ascii="Arial" w:hAnsi="Arial" w:cs="Arial"/>
          <w:color w:val="000000"/>
          <w:sz w:val="20"/>
          <w:szCs w:val="20"/>
        </w:rPr>
      </w:pPr>
      <w:r w:rsidRPr="0028412F">
        <w:rPr>
          <w:rFonts w:ascii="Arial" w:hAnsi="Arial" w:cs="Arial"/>
          <w:color w:val="000000"/>
          <w:sz w:val="20"/>
          <w:szCs w:val="20"/>
        </w:rPr>
        <w:t xml:space="preserve">The ISU College of Arts and Letters established a state-of-the-art distance education program to provide Idaho high school students in rural communities the opportunity to earn college credit and utilize financial support through the Idaho Department of Education’s Fast Forward Program. </w:t>
      </w:r>
      <w:proofErr w:type="spellStart"/>
      <w:r w:rsidRPr="0028412F">
        <w:rPr>
          <w:rFonts w:ascii="Arial" w:hAnsi="Arial" w:cs="Arial"/>
          <w:color w:val="000000"/>
          <w:sz w:val="20"/>
          <w:szCs w:val="20"/>
        </w:rPr>
        <w:t>The</w:t>
      </w:r>
      <w:proofErr w:type="spellEnd"/>
      <w:r w:rsidRPr="0028412F">
        <w:rPr>
          <w:rFonts w:ascii="Arial" w:hAnsi="Arial" w:cs="Arial"/>
          <w:color w:val="000000"/>
          <w:sz w:val="20"/>
          <w:szCs w:val="20"/>
        </w:rPr>
        <w:t xml:space="preserve"> INCLUDE (Idaho Needs Connectivity Leading University Distance Education) Project has funded the acquisition and installation of video conferencing equipment for 29 rural high schools in Southeastern Idaho </w:t>
      </w:r>
      <w:r w:rsidR="00337A30">
        <w:rPr>
          <w:rFonts w:ascii="Arial" w:hAnsi="Arial" w:cs="Arial"/>
          <w:color w:val="000000"/>
          <w:sz w:val="20"/>
          <w:szCs w:val="20"/>
        </w:rPr>
        <w:t>by supporting</w:t>
      </w:r>
      <w:r w:rsidRPr="0028412F">
        <w:rPr>
          <w:rFonts w:ascii="Arial" w:hAnsi="Arial" w:cs="Arial"/>
          <w:color w:val="000000"/>
          <w:sz w:val="20"/>
          <w:szCs w:val="20"/>
        </w:rPr>
        <w:t xml:space="preserve"> several community partners and donors and a large grant from the USDA. College instructors and classrooms are streamed live into rural communities and high schools, providing access to ISU classes for all regional high school students and communities. This program </w:t>
      </w:r>
      <w:r w:rsidR="00337A30">
        <w:rPr>
          <w:rFonts w:ascii="Arial" w:hAnsi="Arial" w:cs="Arial"/>
          <w:color w:val="000000"/>
          <w:sz w:val="20"/>
          <w:szCs w:val="20"/>
        </w:rPr>
        <w:t>creates meaningful relationships between ISU and rural communities, providing Idaho high school students the opportunity to take dual enrollment classes from ISU faculty, build student confidence in attending college, and</w:t>
      </w:r>
      <w:r w:rsidRPr="0028412F">
        <w:rPr>
          <w:rFonts w:ascii="Arial" w:hAnsi="Arial" w:cs="Arial"/>
          <w:color w:val="000000"/>
          <w:sz w:val="20"/>
          <w:szCs w:val="20"/>
        </w:rPr>
        <w:t xml:space="preserve"> increase Idaho’s Go-on rate.</w:t>
      </w:r>
    </w:p>
    <w:p w14:paraId="60CA563D" w14:textId="43FAD491" w:rsidR="0079759D" w:rsidRPr="0070113B" w:rsidRDefault="0070113B" w:rsidP="00D41F35">
      <w:pPr>
        <w:spacing w:before="100" w:line="360" w:lineRule="auto"/>
        <w:textAlignment w:val="baseline"/>
        <w:rPr>
          <w:rFonts w:ascii="Arial" w:hAnsi="Arial" w:cs="Arial"/>
          <w:b/>
          <w:i/>
        </w:rPr>
      </w:pPr>
      <w:r w:rsidRPr="0070113B">
        <w:rPr>
          <w:rFonts w:ascii="Arial" w:hAnsi="Arial" w:cs="Arial"/>
          <w:b/>
          <w:i/>
        </w:rPr>
        <w:t xml:space="preserve"> C</w:t>
      </w:r>
      <w:r w:rsidR="00077507" w:rsidRPr="0070113B">
        <w:rPr>
          <w:rFonts w:ascii="Arial" w:hAnsi="Arial" w:cs="Arial"/>
          <w:b/>
          <w:i/>
        </w:rPr>
        <w:t>ollege of Business</w:t>
      </w:r>
    </w:p>
    <w:p w14:paraId="52B467FA" w14:textId="05B54805" w:rsidR="004E51AE" w:rsidRDefault="00F7574C" w:rsidP="00FD11ED">
      <w:pPr>
        <w:pStyle w:val="ListParagraph"/>
        <w:numPr>
          <w:ilvl w:val="0"/>
          <w:numId w:val="7"/>
        </w:numPr>
        <w:spacing w:after="240"/>
        <w:contextualSpacing w:val="0"/>
        <w:textAlignment w:val="baseline"/>
        <w:rPr>
          <w:rFonts w:ascii="Arial" w:hAnsi="Arial" w:cs="Arial"/>
          <w:color w:val="000000"/>
          <w:sz w:val="20"/>
          <w:szCs w:val="20"/>
        </w:rPr>
      </w:pPr>
      <w:r w:rsidRPr="00F7574C">
        <w:rPr>
          <w:rFonts w:ascii="Arial" w:hAnsi="Arial" w:cs="Arial"/>
          <w:color w:val="000000"/>
          <w:sz w:val="20"/>
          <w:szCs w:val="20"/>
        </w:rPr>
        <w:t>11 Brand New Permanently Endowed Scholarships</w:t>
      </w:r>
      <w:r w:rsidR="004E51AE">
        <w:rPr>
          <w:rFonts w:ascii="Arial" w:hAnsi="Arial" w:cs="Arial"/>
          <w:color w:val="000000"/>
          <w:sz w:val="20"/>
          <w:szCs w:val="20"/>
        </w:rPr>
        <w:t>.</w:t>
      </w:r>
    </w:p>
    <w:p w14:paraId="3240545D" w14:textId="77777777" w:rsidR="00F7574C" w:rsidRDefault="00F7574C" w:rsidP="00FD11ED">
      <w:pPr>
        <w:pStyle w:val="ListParagraph"/>
        <w:numPr>
          <w:ilvl w:val="0"/>
          <w:numId w:val="7"/>
        </w:numPr>
        <w:spacing w:after="240"/>
        <w:contextualSpacing w:val="0"/>
        <w:textAlignment w:val="baseline"/>
        <w:rPr>
          <w:rFonts w:ascii="Arial" w:hAnsi="Arial" w:cs="Arial"/>
          <w:color w:val="000000"/>
          <w:sz w:val="20"/>
          <w:szCs w:val="20"/>
        </w:rPr>
      </w:pPr>
      <w:r w:rsidRPr="00F7574C">
        <w:rPr>
          <w:rFonts w:ascii="Arial" w:hAnsi="Arial" w:cs="Arial"/>
          <w:color w:val="000000"/>
          <w:sz w:val="20"/>
          <w:szCs w:val="20"/>
        </w:rPr>
        <w:t>First Endowed Professorship in Finance and First Endowed Professorship in Marketing in the history of Idaho State University.</w:t>
      </w:r>
    </w:p>
    <w:p w14:paraId="1850373D" w14:textId="66652DBB" w:rsidR="004E51AE" w:rsidRPr="00F7574C" w:rsidRDefault="00F7574C" w:rsidP="00FD11ED">
      <w:pPr>
        <w:pStyle w:val="ListParagraph"/>
        <w:numPr>
          <w:ilvl w:val="0"/>
          <w:numId w:val="7"/>
        </w:numPr>
        <w:spacing w:after="240"/>
        <w:contextualSpacing w:val="0"/>
        <w:textAlignment w:val="baseline"/>
        <w:rPr>
          <w:rFonts w:ascii="Arial" w:hAnsi="Arial" w:cs="Arial"/>
          <w:color w:val="000000"/>
          <w:sz w:val="20"/>
          <w:szCs w:val="20"/>
        </w:rPr>
      </w:pPr>
      <w:r w:rsidRPr="00F7574C">
        <w:rPr>
          <w:rFonts w:ascii="Arial" w:hAnsi="Arial" w:cs="Arial"/>
          <w:color w:val="000000"/>
          <w:sz w:val="20"/>
          <w:szCs w:val="20"/>
        </w:rPr>
        <w:t xml:space="preserve">ISU College of Business Students were featured in a PBS documentary that has been nominated for an Emmy award by the Northwest Chapter of the National Academy of Television Arts &amp; Sciences (NATAS). The documentary, “Through Youthful Eyes” was featured on Idaho Public Television in 2020 and featured the story of our students’ work writing the “Idaho in World War II” book. </w:t>
      </w:r>
    </w:p>
    <w:p w14:paraId="579F3B28" w14:textId="75A2232D" w:rsidR="000A297E" w:rsidRDefault="000A297E" w:rsidP="00FD11ED">
      <w:pPr>
        <w:spacing w:after="240" w:line="331" w:lineRule="atLeast"/>
        <w:rPr>
          <w:rFonts w:ascii="Arial" w:hAnsi="Arial" w:cs="Arial"/>
          <w:b/>
          <w:i/>
        </w:rPr>
      </w:pPr>
      <w:r w:rsidRPr="00402C15">
        <w:rPr>
          <w:rFonts w:ascii="Arial" w:hAnsi="Arial" w:cs="Arial"/>
          <w:b/>
          <w:i/>
        </w:rPr>
        <w:t>College of Education</w:t>
      </w:r>
    </w:p>
    <w:p w14:paraId="7CF8060C" w14:textId="77777777" w:rsidR="00CC19F8" w:rsidRPr="00CC19F8" w:rsidRDefault="00CC19F8" w:rsidP="00FD11ED">
      <w:pPr>
        <w:pStyle w:val="ListParagraph"/>
        <w:numPr>
          <w:ilvl w:val="0"/>
          <w:numId w:val="7"/>
        </w:numPr>
        <w:spacing w:after="240"/>
        <w:contextualSpacing w:val="0"/>
        <w:textAlignment w:val="baseline"/>
        <w:rPr>
          <w:rFonts w:ascii="Arial" w:hAnsi="Arial" w:cs="Arial"/>
          <w:color w:val="222222"/>
          <w:sz w:val="20"/>
          <w:szCs w:val="20"/>
          <w:shd w:val="clear" w:color="auto" w:fill="FFFFFF"/>
        </w:rPr>
      </w:pPr>
      <w:r w:rsidRPr="00CC19F8">
        <w:rPr>
          <w:rFonts w:ascii="Arial" w:hAnsi="Arial" w:cs="Arial"/>
          <w:color w:val="222222"/>
          <w:sz w:val="20"/>
          <w:szCs w:val="20"/>
          <w:shd w:val="clear" w:color="auto" w:fill="FFFFFF"/>
        </w:rPr>
        <w:t xml:space="preserve">Developed a </w:t>
      </w:r>
      <w:proofErr w:type="gramStart"/>
      <w:r w:rsidRPr="00CC19F8">
        <w:rPr>
          <w:rFonts w:ascii="Arial" w:hAnsi="Arial" w:cs="Arial"/>
          <w:color w:val="222222"/>
          <w:sz w:val="20"/>
          <w:szCs w:val="20"/>
          <w:shd w:val="clear" w:color="auto" w:fill="FFFFFF"/>
        </w:rPr>
        <w:t>fully-online</w:t>
      </w:r>
      <w:proofErr w:type="gramEnd"/>
      <w:r w:rsidRPr="00CC19F8">
        <w:rPr>
          <w:rFonts w:ascii="Arial" w:hAnsi="Arial" w:cs="Arial"/>
          <w:color w:val="222222"/>
          <w:sz w:val="20"/>
          <w:szCs w:val="20"/>
          <w:shd w:val="clear" w:color="auto" w:fill="FFFFFF"/>
        </w:rPr>
        <w:t xml:space="preserve">, fee-based teacher education program to allow a flexible, affordable pathway to becoming a teacher </w:t>
      </w:r>
    </w:p>
    <w:p w14:paraId="1E47F67A" w14:textId="77777777" w:rsidR="00CC19F8" w:rsidRPr="00CC19F8" w:rsidRDefault="00CC19F8" w:rsidP="00FD11ED">
      <w:pPr>
        <w:pStyle w:val="ListParagraph"/>
        <w:numPr>
          <w:ilvl w:val="0"/>
          <w:numId w:val="7"/>
        </w:numPr>
        <w:spacing w:after="240"/>
        <w:contextualSpacing w:val="0"/>
        <w:textAlignment w:val="baseline"/>
        <w:rPr>
          <w:rFonts w:ascii="Arial" w:hAnsi="Arial" w:cs="Arial"/>
          <w:color w:val="222222"/>
          <w:sz w:val="20"/>
          <w:szCs w:val="20"/>
          <w:shd w:val="clear" w:color="auto" w:fill="FFFFFF"/>
        </w:rPr>
      </w:pPr>
      <w:r w:rsidRPr="00CC19F8">
        <w:rPr>
          <w:rFonts w:ascii="Arial" w:hAnsi="Arial" w:cs="Arial"/>
          <w:color w:val="222222"/>
          <w:sz w:val="20"/>
          <w:szCs w:val="20"/>
          <w:shd w:val="clear" w:color="auto" w:fill="FFFFFF"/>
        </w:rPr>
        <w:t xml:space="preserve">Earned an A+ by the National Council on Teacher Quality, for contributing significantly to the diversification of the teacher workforce. </w:t>
      </w:r>
    </w:p>
    <w:p w14:paraId="1BE5029D" w14:textId="5B9270AC" w:rsidR="0024648E" w:rsidRPr="00D41F35" w:rsidRDefault="00CC19F8" w:rsidP="00FD11ED">
      <w:pPr>
        <w:pStyle w:val="ListParagraph"/>
        <w:numPr>
          <w:ilvl w:val="0"/>
          <w:numId w:val="7"/>
        </w:numPr>
        <w:spacing w:after="240"/>
        <w:contextualSpacing w:val="0"/>
        <w:textAlignment w:val="baseline"/>
        <w:rPr>
          <w:rFonts w:ascii="Arial" w:hAnsi="Arial" w:cs="Arial"/>
          <w:color w:val="222222"/>
          <w:sz w:val="20"/>
          <w:szCs w:val="20"/>
          <w:shd w:val="clear" w:color="auto" w:fill="FFFFFF"/>
        </w:rPr>
      </w:pPr>
      <w:r w:rsidRPr="00CC19F8">
        <w:rPr>
          <w:rFonts w:ascii="Arial" w:hAnsi="Arial" w:cs="Arial"/>
          <w:color w:val="222222"/>
          <w:sz w:val="20"/>
          <w:szCs w:val="20"/>
          <w:shd w:val="clear" w:color="auto" w:fill="FFFFFF"/>
        </w:rPr>
        <w:t>Strengthened the CSI-ISU relationship by finalizing teacher education articulation agreements and a co-enrollment MOU between the two institutions.</w:t>
      </w:r>
    </w:p>
    <w:p w14:paraId="3732D230" w14:textId="37AA579B" w:rsidR="00F11120" w:rsidRDefault="00F11120" w:rsidP="00D41F35">
      <w:pPr>
        <w:spacing w:after="240" w:line="331" w:lineRule="atLeast"/>
        <w:rPr>
          <w:rFonts w:ascii="Arial" w:hAnsi="Arial" w:cs="Arial"/>
          <w:b/>
          <w:i/>
        </w:rPr>
      </w:pPr>
      <w:r w:rsidRPr="00402C15">
        <w:rPr>
          <w:rFonts w:ascii="Arial" w:hAnsi="Arial" w:cs="Arial"/>
          <w:b/>
          <w:i/>
        </w:rPr>
        <w:t>College of Science &amp; Engineering</w:t>
      </w:r>
    </w:p>
    <w:p w14:paraId="74B3194F" w14:textId="1CA88D50" w:rsidR="00F11120" w:rsidRPr="00FD11ED" w:rsidRDefault="00F11120" w:rsidP="00FD11ED">
      <w:pPr>
        <w:pStyle w:val="ListParagraph"/>
        <w:numPr>
          <w:ilvl w:val="0"/>
          <w:numId w:val="19"/>
        </w:numPr>
        <w:shd w:val="clear" w:color="auto" w:fill="FFFFFF"/>
        <w:spacing w:after="240"/>
        <w:ind w:left="720"/>
        <w:contextualSpacing w:val="0"/>
        <w:rPr>
          <w:rFonts w:ascii="Arial" w:hAnsi="Arial" w:cs="Arial"/>
          <w:color w:val="000000"/>
          <w:sz w:val="20"/>
          <w:szCs w:val="20"/>
        </w:rPr>
      </w:pPr>
      <w:r w:rsidRPr="00527C3A">
        <w:rPr>
          <w:rFonts w:ascii="Arial" w:hAnsi="Arial" w:cs="Arial"/>
          <w:color w:val="000000"/>
          <w:sz w:val="20"/>
          <w:szCs w:val="20"/>
        </w:rPr>
        <w:t xml:space="preserve">ISU’s Disaster Response Complex is open for business! The DRC involves students in research and data-informed training to first responders across the Pacific Northwest. DRC training started on October 31, 2020. Since </w:t>
      </w:r>
      <w:proofErr w:type="gramStart"/>
      <w:r w:rsidRPr="00527C3A">
        <w:rPr>
          <w:rFonts w:ascii="Arial" w:hAnsi="Arial" w:cs="Arial"/>
          <w:color w:val="000000"/>
          <w:sz w:val="20"/>
          <w:szCs w:val="20"/>
        </w:rPr>
        <w:t>then</w:t>
      </w:r>
      <w:proofErr w:type="gramEnd"/>
      <w:r w:rsidRPr="00527C3A">
        <w:rPr>
          <w:rFonts w:ascii="Arial" w:hAnsi="Arial" w:cs="Arial"/>
          <w:color w:val="000000"/>
          <w:sz w:val="20"/>
          <w:szCs w:val="20"/>
        </w:rPr>
        <w:t xml:space="preserve"> more than 300 individuals including instructors and role players have participated in exercises at the DRC. From these, about 150 were civilians (from the Idaho National Laboratory, the Idaho State Police, Pocatello Police, regional fire departments, regional search and rescue units, among others) and approximately 170 military members from National Guard units representing some 20 states. More than 150 additional National Guard members from across the country are expected to train at the DRC by Fall 2021. The DRC has been expanding its collaboration with local, regional, and national stakeholders, including the FBI, the Southeast Idaho Health Public District and other partners from private industry.</w:t>
      </w:r>
    </w:p>
    <w:p w14:paraId="2052799A" w14:textId="0179A4A5" w:rsidR="00F11120" w:rsidRPr="00FD11ED" w:rsidRDefault="00F11120" w:rsidP="00FD11ED">
      <w:pPr>
        <w:pStyle w:val="ListParagraph"/>
        <w:numPr>
          <w:ilvl w:val="0"/>
          <w:numId w:val="19"/>
        </w:numPr>
        <w:shd w:val="clear" w:color="auto" w:fill="FFFFFF"/>
        <w:spacing w:after="240"/>
        <w:ind w:left="720"/>
        <w:contextualSpacing w:val="0"/>
        <w:rPr>
          <w:rFonts w:ascii="Arial" w:hAnsi="Arial" w:cs="Arial"/>
          <w:color w:val="000000"/>
          <w:sz w:val="20"/>
          <w:szCs w:val="20"/>
        </w:rPr>
      </w:pPr>
      <w:r w:rsidRPr="00527C3A">
        <w:rPr>
          <w:rFonts w:ascii="Arial" w:hAnsi="Arial" w:cs="Arial"/>
          <w:color w:val="000000"/>
          <w:sz w:val="20"/>
          <w:szCs w:val="20"/>
        </w:rPr>
        <w:lastRenderedPageBreak/>
        <w:t>Two new cybersecurity certificate programs have been added, one to correspond with the Bachelor of Science in Computer Science and the other to align with the Master of Science in Computer Science. The certificates are supported by INL and offered in conjunction with the Idaho Universities.</w:t>
      </w:r>
    </w:p>
    <w:p w14:paraId="3877FE08" w14:textId="77777777" w:rsidR="00FD11ED" w:rsidRPr="00FD11ED" w:rsidRDefault="00F11120" w:rsidP="00515399">
      <w:pPr>
        <w:pStyle w:val="ListParagraph"/>
        <w:numPr>
          <w:ilvl w:val="0"/>
          <w:numId w:val="19"/>
        </w:numPr>
        <w:shd w:val="clear" w:color="auto" w:fill="FFFFFF"/>
        <w:spacing w:after="240"/>
        <w:ind w:left="720"/>
        <w:contextualSpacing w:val="0"/>
        <w:rPr>
          <w:rFonts w:ascii="Arial" w:hAnsi="Arial" w:cs="Arial"/>
          <w:b/>
          <w:i/>
        </w:rPr>
      </w:pPr>
      <w:r w:rsidRPr="00FD11ED">
        <w:rPr>
          <w:rFonts w:ascii="Arial" w:hAnsi="Arial" w:cs="Arial"/>
          <w:color w:val="000000"/>
          <w:sz w:val="20"/>
          <w:szCs w:val="20"/>
        </w:rPr>
        <w:t xml:space="preserve">Mary Lou </w:t>
      </w:r>
      <w:proofErr w:type="spellStart"/>
      <w:r w:rsidRPr="00FD11ED">
        <w:rPr>
          <w:rFonts w:ascii="Arial" w:hAnsi="Arial" w:cs="Arial"/>
          <w:color w:val="000000"/>
          <w:sz w:val="20"/>
          <w:szCs w:val="20"/>
        </w:rPr>
        <w:t>Duzik-Gougar</w:t>
      </w:r>
      <w:proofErr w:type="spellEnd"/>
      <w:r w:rsidRPr="00FD11ED">
        <w:rPr>
          <w:rFonts w:ascii="Arial" w:hAnsi="Arial" w:cs="Arial"/>
          <w:color w:val="000000"/>
          <w:sz w:val="20"/>
          <w:szCs w:val="20"/>
        </w:rPr>
        <w:t xml:space="preserve"> is the current president of the American Nuclear Society (ANS).  Established in 1954, ANS is an international professional organization of engineers and scientists devoted to the peaceful applications of nuclear science and technology. Its more than 10,000 members represent government, academia, research laboratories, medical facilities and private industry.</w:t>
      </w:r>
    </w:p>
    <w:p w14:paraId="7AA70896" w14:textId="060993CE" w:rsidR="000A297E" w:rsidRPr="00FD11ED" w:rsidRDefault="000A297E" w:rsidP="00FD11ED">
      <w:pPr>
        <w:pStyle w:val="ListParagraph"/>
        <w:shd w:val="clear" w:color="auto" w:fill="FFFFFF"/>
        <w:spacing w:after="240"/>
        <w:ind w:left="360"/>
        <w:contextualSpacing w:val="0"/>
        <w:rPr>
          <w:rFonts w:ascii="Arial" w:hAnsi="Arial" w:cs="Arial"/>
          <w:b/>
          <w:i/>
        </w:rPr>
      </w:pPr>
      <w:r w:rsidRPr="00FD11ED">
        <w:rPr>
          <w:rFonts w:ascii="Arial" w:hAnsi="Arial" w:cs="Arial"/>
          <w:b/>
          <w:i/>
        </w:rPr>
        <w:t>College of Technology </w:t>
      </w:r>
    </w:p>
    <w:p w14:paraId="03D8BA60" w14:textId="3F9B1662" w:rsidR="006E3E8A" w:rsidRPr="006E3E8A" w:rsidRDefault="006E3E8A" w:rsidP="003E6F17">
      <w:pPr>
        <w:pStyle w:val="ListParagraph"/>
        <w:numPr>
          <w:ilvl w:val="0"/>
          <w:numId w:val="7"/>
        </w:numPr>
        <w:spacing w:before="200"/>
        <w:textAlignment w:val="baseline"/>
        <w:rPr>
          <w:rFonts w:ascii="Arial" w:hAnsi="Arial" w:cs="Arial"/>
          <w:color w:val="000000"/>
          <w:sz w:val="20"/>
          <w:szCs w:val="20"/>
        </w:rPr>
      </w:pPr>
      <w:r w:rsidRPr="006E3E8A">
        <w:rPr>
          <w:rFonts w:ascii="Arial" w:hAnsi="Arial" w:cs="Arial"/>
          <w:color w:val="000000"/>
          <w:sz w:val="20"/>
          <w:szCs w:val="20"/>
        </w:rPr>
        <w:t>Provided high-resolution photos for Shaw auto parts commercial properties.</w:t>
      </w:r>
    </w:p>
    <w:p w14:paraId="2C729F96" w14:textId="77777777" w:rsidR="006E3E8A" w:rsidRPr="006E3E8A" w:rsidRDefault="006E3E8A" w:rsidP="003E6F17">
      <w:pPr>
        <w:numPr>
          <w:ilvl w:val="0"/>
          <w:numId w:val="7"/>
        </w:numPr>
        <w:spacing w:before="200"/>
        <w:textAlignment w:val="baseline"/>
        <w:rPr>
          <w:rFonts w:ascii="Arial" w:hAnsi="Arial" w:cs="Arial"/>
          <w:color w:val="000000"/>
          <w:sz w:val="20"/>
          <w:szCs w:val="20"/>
        </w:rPr>
      </w:pPr>
      <w:r w:rsidRPr="006E3E8A">
        <w:rPr>
          <w:rFonts w:ascii="Arial" w:hAnsi="Arial" w:cs="Arial"/>
          <w:color w:val="000000"/>
          <w:sz w:val="20"/>
          <w:szCs w:val="20"/>
        </w:rPr>
        <w:t xml:space="preserve">Obtained and processed multi-spectral and electro-optical imagery for the </w:t>
      </w:r>
      <w:proofErr w:type="spellStart"/>
      <w:r w:rsidRPr="006E3E8A">
        <w:rPr>
          <w:rFonts w:ascii="Arial" w:hAnsi="Arial" w:cs="Arial"/>
          <w:color w:val="000000"/>
          <w:sz w:val="20"/>
          <w:szCs w:val="20"/>
        </w:rPr>
        <w:t>Sageland</w:t>
      </w:r>
      <w:proofErr w:type="spellEnd"/>
      <w:r w:rsidRPr="006E3E8A">
        <w:rPr>
          <w:rFonts w:ascii="Arial" w:hAnsi="Arial" w:cs="Arial"/>
          <w:color w:val="000000"/>
          <w:sz w:val="20"/>
          <w:szCs w:val="20"/>
        </w:rPr>
        <w:t xml:space="preserve"> Land and Trust foundation in the Century Heights area.</w:t>
      </w:r>
    </w:p>
    <w:p w14:paraId="44610580" w14:textId="77777777" w:rsidR="006E3E8A" w:rsidRPr="006E3E8A" w:rsidRDefault="006E3E8A" w:rsidP="003E6F17">
      <w:pPr>
        <w:numPr>
          <w:ilvl w:val="0"/>
          <w:numId w:val="7"/>
        </w:numPr>
        <w:spacing w:before="200"/>
        <w:textAlignment w:val="baseline"/>
        <w:rPr>
          <w:rFonts w:ascii="Arial" w:hAnsi="Arial" w:cs="Arial"/>
          <w:color w:val="000000"/>
          <w:sz w:val="20"/>
          <w:szCs w:val="20"/>
        </w:rPr>
      </w:pPr>
      <w:r w:rsidRPr="006E3E8A">
        <w:rPr>
          <w:rFonts w:ascii="Arial" w:hAnsi="Arial" w:cs="Arial"/>
          <w:color w:val="000000"/>
          <w:sz w:val="20"/>
          <w:szCs w:val="20"/>
        </w:rPr>
        <w:t>Performed a dipping sonar scan experiment in the Rose Ponds and provided results to the Idaho Falls Police Department.</w:t>
      </w:r>
    </w:p>
    <w:p w14:paraId="75015A13" w14:textId="5AF9E37E" w:rsidR="000A297E" w:rsidRDefault="000A297E" w:rsidP="00FD11ED">
      <w:pPr>
        <w:spacing w:after="240"/>
        <w:rPr>
          <w:rFonts w:ascii="Arial" w:hAnsi="Arial" w:cs="Arial"/>
          <w:b/>
          <w:i/>
        </w:rPr>
      </w:pPr>
      <w:r w:rsidRPr="0077006C">
        <w:rPr>
          <w:rFonts w:ascii="Arial" w:hAnsi="Arial" w:cs="Arial"/>
          <w:sz w:val="20"/>
          <w:szCs w:val="20"/>
        </w:rPr>
        <w:br/>
      </w:r>
      <w:proofErr w:type="spellStart"/>
      <w:r w:rsidR="0077006C" w:rsidRPr="006C3990">
        <w:rPr>
          <w:rFonts w:ascii="Arial" w:hAnsi="Arial" w:cs="Arial"/>
          <w:b/>
          <w:i/>
        </w:rPr>
        <w:t>Kasiska</w:t>
      </w:r>
      <w:proofErr w:type="spellEnd"/>
      <w:r w:rsidR="0077006C" w:rsidRPr="006C3990">
        <w:rPr>
          <w:rFonts w:ascii="Arial" w:hAnsi="Arial" w:cs="Arial"/>
          <w:b/>
          <w:i/>
        </w:rPr>
        <w:t xml:space="preserve"> </w:t>
      </w:r>
      <w:r w:rsidRPr="006C3990">
        <w:rPr>
          <w:rFonts w:ascii="Arial" w:hAnsi="Arial" w:cs="Arial"/>
          <w:b/>
          <w:i/>
        </w:rPr>
        <w:t>Division of Health Sciences </w:t>
      </w:r>
    </w:p>
    <w:p w14:paraId="5D7C6CA6" w14:textId="5185808A" w:rsidR="00841CB5" w:rsidRPr="00841CB5" w:rsidRDefault="00841CB5" w:rsidP="00FD11ED">
      <w:pPr>
        <w:ind w:left="720"/>
        <w:rPr>
          <w:rFonts w:ascii="Arial" w:hAnsi="Arial" w:cs="Arial"/>
          <w:sz w:val="20"/>
          <w:szCs w:val="20"/>
        </w:rPr>
      </w:pPr>
      <w:r w:rsidRPr="00841CB5">
        <w:rPr>
          <w:rFonts w:ascii="Arial" w:hAnsi="Arial" w:cs="Arial"/>
          <w:sz w:val="20"/>
          <w:szCs w:val="20"/>
        </w:rPr>
        <w:t xml:space="preserve">In partnership with Southeastern Idaho Public Health and Portneuf Medical Center, over 130 students and faculty from the </w:t>
      </w:r>
      <w:proofErr w:type="spellStart"/>
      <w:r w:rsidRPr="00841CB5">
        <w:rPr>
          <w:rFonts w:ascii="Arial" w:hAnsi="Arial" w:cs="Arial"/>
          <w:sz w:val="20"/>
          <w:szCs w:val="20"/>
        </w:rPr>
        <w:t>Kasiska</w:t>
      </w:r>
      <w:proofErr w:type="spellEnd"/>
      <w:r w:rsidRPr="00841CB5">
        <w:rPr>
          <w:rFonts w:ascii="Arial" w:hAnsi="Arial" w:cs="Arial"/>
          <w:sz w:val="20"/>
          <w:szCs w:val="20"/>
        </w:rPr>
        <w:t xml:space="preserve"> Division of Health Sciences administered 10,029 COVID vaccinations to the public. 4,000 at the Meridian Health Sciences Center in partnership with Albertsons Pharmacy as well</w:t>
      </w:r>
      <w:r>
        <w:rPr>
          <w:rFonts w:ascii="Arial" w:hAnsi="Arial" w:cs="Arial"/>
          <w:sz w:val="20"/>
          <w:szCs w:val="20"/>
        </w:rPr>
        <w:t>.</w:t>
      </w:r>
    </w:p>
    <w:p w14:paraId="3F994592" w14:textId="77777777" w:rsidR="00841CB5" w:rsidRPr="00841CB5" w:rsidRDefault="00841CB5" w:rsidP="00F21FCB">
      <w:pPr>
        <w:rPr>
          <w:rFonts w:ascii="Arial" w:hAnsi="Arial" w:cs="Arial"/>
          <w:sz w:val="20"/>
          <w:szCs w:val="20"/>
        </w:rPr>
      </w:pPr>
    </w:p>
    <w:p w14:paraId="4CF4E348" w14:textId="21696295" w:rsidR="009308AC" w:rsidRDefault="0077006C" w:rsidP="002A3F3C">
      <w:pPr>
        <w:spacing w:line="360" w:lineRule="auto"/>
        <w:rPr>
          <w:rFonts w:ascii="Arial" w:hAnsi="Arial" w:cs="Arial"/>
          <w:b/>
          <w:i/>
        </w:rPr>
      </w:pPr>
      <w:r w:rsidRPr="006C3990">
        <w:rPr>
          <w:rFonts w:ascii="Arial" w:hAnsi="Arial" w:cs="Arial"/>
          <w:b/>
          <w:i/>
        </w:rPr>
        <w:t>College of Health Professions</w:t>
      </w:r>
    </w:p>
    <w:p w14:paraId="336D0F53" w14:textId="497EB062" w:rsidR="002A3F3C" w:rsidRPr="00FD11ED" w:rsidRDefault="002A3F3C" w:rsidP="00FD11ED">
      <w:pPr>
        <w:pStyle w:val="ListParagraph"/>
        <w:numPr>
          <w:ilvl w:val="0"/>
          <w:numId w:val="11"/>
        </w:numPr>
        <w:spacing w:after="240"/>
        <w:ind w:left="720"/>
        <w:contextualSpacing w:val="0"/>
        <w:rPr>
          <w:rFonts w:ascii="Arial" w:hAnsi="Arial" w:cs="Arial"/>
          <w:sz w:val="20"/>
          <w:szCs w:val="20"/>
        </w:rPr>
      </w:pPr>
      <w:r w:rsidRPr="002A3F3C">
        <w:rPr>
          <w:rFonts w:ascii="Arial" w:hAnsi="Arial" w:cs="Arial"/>
          <w:sz w:val="20"/>
          <w:szCs w:val="20"/>
        </w:rPr>
        <w:t>The College of Health is focused on growth and expansion to support workforce needs of our state and</w:t>
      </w:r>
      <w:r w:rsidR="00FD11ED">
        <w:rPr>
          <w:rFonts w:ascii="Arial" w:hAnsi="Arial" w:cs="Arial"/>
          <w:sz w:val="20"/>
          <w:szCs w:val="20"/>
        </w:rPr>
        <w:t xml:space="preserve"> </w:t>
      </w:r>
      <w:r w:rsidRPr="002A3F3C">
        <w:rPr>
          <w:rFonts w:ascii="Arial" w:hAnsi="Arial" w:cs="Arial"/>
          <w:sz w:val="20"/>
          <w:szCs w:val="20"/>
        </w:rPr>
        <w:t>region</w:t>
      </w:r>
    </w:p>
    <w:p w14:paraId="67923414" w14:textId="2776FE74" w:rsidR="002A3F3C" w:rsidRPr="00FD11ED" w:rsidRDefault="002A3F3C" w:rsidP="00FD11ED">
      <w:pPr>
        <w:pStyle w:val="ListParagraph"/>
        <w:numPr>
          <w:ilvl w:val="0"/>
          <w:numId w:val="11"/>
        </w:numPr>
        <w:spacing w:after="240"/>
        <w:ind w:left="720"/>
        <w:contextualSpacing w:val="0"/>
        <w:rPr>
          <w:rFonts w:ascii="Arial" w:hAnsi="Arial" w:cs="Arial"/>
          <w:sz w:val="20"/>
          <w:szCs w:val="20"/>
        </w:rPr>
      </w:pPr>
      <w:r w:rsidRPr="002A3F3C">
        <w:rPr>
          <w:rFonts w:ascii="Arial" w:hAnsi="Arial" w:cs="Arial"/>
          <w:sz w:val="20"/>
          <w:szCs w:val="20"/>
        </w:rPr>
        <w:t>Our faculty are actively involved in education, scholarship, and service to the community</w:t>
      </w:r>
    </w:p>
    <w:p w14:paraId="1A6EC839" w14:textId="77777777" w:rsidR="002A3F3C" w:rsidRPr="00185479" w:rsidRDefault="002A3F3C" w:rsidP="00FD11ED">
      <w:pPr>
        <w:pStyle w:val="ListParagraph"/>
        <w:numPr>
          <w:ilvl w:val="0"/>
          <w:numId w:val="11"/>
        </w:numPr>
        <w:spacing w:after="240"/>
        <w:ind w:left="720"/>
        <w:contextualSpacing w:val="0"/>
        <w:textAlignment w:val="baseline"/>
        <w:rPr>
          <w:rFonts w:ascii="Arial" w:hAnsi="Arial" w:cs="Arial"/>
          <w:color w:val="000000"/>
          <w:sz w:val="20"/>
          <w:szCs w:val="20"/>
        </w:rPr>
      </w:pPr>
      <w:r w:rsidRPr="00185479">
        <w:rPr>
          <w:rFonts w:ascii="Arial" w:hAnsi="Arial" w:cs="Arial"/>
          <w:color w:val="000000"/>
          <w:sz w:val="20"/>
          <w:szCs w:val="20"/>
        </w:rPr>
        <w:t>Largest college on campus:</w:t>
      </w:r>
    </w:p>
    <w:p w14:paraId="2703E789" w14:textId="77777777" w:rsidR="002A3F3C" w:rsidRPr="002A3F3C" w:rsidRDefault="002A3F3C" w:rsidP="00FD11ED">
      <w:pPr>
        <w:numPr>
          <w:ilvl w:val="1"/>
          <w:numId w:val="12"/>
        </w:numPr>
        <w:tabs>
          <w:tab w:val="clear" w:pos="1440"/>
          <w:tab w:val="num" w:pos="1800"/>
        </w:tabs>
        <w:ind w:left="1699"/>
        <w:textAlignment w:val="baseline"/>
        <w:rPr>
          <w:rFonts w:ascii="Arial" w:hAnsi="Arial" w:cs="Arial"/>
          <w:color w:val="000000"/>
          <w:sz w:val="20"/>
          <w:szCs w:val="20"/>
        </w:rPr>
      </w:pPr>
      <w:r w:rsidRPr="002A3F3C">
        <w:rPr>
          <w:rFonts w:ascii="Arial" w:hAnsi="Arial" w:cs="Arial"/>
          <w:color w:val="000000"/>
          <w:sz w:val="20"/>
          <w:szCs w:val="20"/>
        </w:rPr>
        <w:t>School of Nursing</w:t>
      </w:r>
    </w:p>
    <w:p w14:paraId="5BD6286B" w14:textId="77777777" w:rsidR="002A3F3C" w:rsidRPr="002A3F3C" w:rsidRDefault="002A3F3C" w:rsidP="00FD11ED">
      <w:pPr>
        <w:numPr>
          <w:ilvl w:val="1"/>
          <w:numId w:val="12"/>
        </w:numPr>
        <w:tabs>
          <w:tab w:val="clear" w:pos="1440"/>
          <w:tab w:val="num" w:pos="1800"/>
        </w:tabs>
        <w:ind w:left="1699"/>
        <w:textAlignment w:val="baseline"/>
        <w:rPr>
          <w:rFonts w:ascii="Arial" w:hAnsi="Arial" w:cs="Arial"/>
          <w:color w:val="000000"/>
          <w:sz w:val="20"/>
          <w:szCs w:val="20"/>
        </w:rPr>
      </w:pPr>
      <w:r w:rsidRPr="002A3F3C">
        <w:rPr>
          <w:rFonts w:ascii="Arial" w:hAnsi="Arial" w:cs="Arial"/>
          <w:color w:val="000000"/>
          <w:sz w:val="20"/>
          <w:szCs w:val="20"/>
        </w:rPr>
        <w:t>School of Rehabilitation and Communication Sciences</w:t>
      </w:r>
    </w:p>
    <w:p w14:paraId="41D96CCF" w14:textId="77777777" w:rsidR="002A3F3C" w:rsidRPr="002A3F3C" w:rsidRDefault="002A3F3C" w:rsidP="00FD11ED">
      <w:pPr>
        <w:numPr>
          <w:ilvl w:val="2"/>
          <w:numId w:val="13"/>
        </w:numPr>
        <w:tabs>
          <w:tab w:val="clear" w:pos="2160"/>
          <w:tab w:val="num" w:pos="2520"/>
        </w:tabs>
        <w:ind w:left="2338"/>
        <w:textAlignment w:val="baseline"/>
        <w:rPr>
          <w:rFonts w:ascii="Courier New" w:hAnsi="Courier New" w:cs="Courier New"/>
          <w:color w:val="000000"/>
          <w:sz w:val="20"/>
          <w:szCs w:val="20"/>
        </w:rPr>
      </w:pPr>
      <w:r w:rsidRPr="002A3F3C">
        <w:rPr>
          <w:rFonts w:ascii="Arial" w:hAnsi="Arial" w:cs="Arial"/>
          <w:color w:val="000000"/>
          <w:sz w:val="20"/>
          <w:szCs w:val="20"/>
        </w:rPr>
        <w:t>PT/OT, CSD</w:t>
      </w:r>
    </w:p>
    <w:p w14:paraId="4D30162B" w14:textId="77777777" w:rsidR="002A3F3C" w:rsidRPr="002A3F3C" w:rsidRDefault="002A3F3C" w:rsidP="00FD11ED">
      <w:pPr>
        <w:numPr>
          <w:ilvl w:val="1"/>
          <w:numId w:val="13"/>
        </w:numPr>
        <w:tabs>
          <w:tab w:val="clear" w:pos="1440"/>
          <w:tab w:val="num" w:pos="1800"/>
        </w:tabs>
        <w:ind w:left="1699"/>
        <w:textAlignment w:val="baseline"/>
        <w:rPr>
          <w:rFonts w:ascii="Arial" w:hAnsi="Arial" w:cs="Arial"/>
          <w:color w:val="000000"/>
          <w:sz w:val="20"/>
          <w:szCs w:val="20"/>
        </w:rPr>
      </w:pPr>
      <w:r w:rsidRPr="002A3F3C">
        <w:rPr>
          <w:rFonts w:ascii="Arial" w:hAnsi="Arial" w:cs="Arial"/>
          <w:color w:val="000000"/>
          <w:sz w:val="20"/>
          <w:szCs w:val="20"/>
        </w:rPr>
        <w:t>Departments for different health professions:</w:t>
      </w:r>
    </w:p>
    <w:p w14:paraId="48CF48B6" w14:textId="77777777" w:rsidR="002A3F3C" w:rsidRPr="002A3F3C" w:rsidRDefault="002A3F3C" w:rsidP="00FD11ED">
      <w:pPr>
        <w:numPr>
          <w:ilvl w:val="2"/>
          <w:numId w:val="13"/>
        </w:numPr>
        <w:tabs>
          <w:tab w:val="clear" w:pos="2160"/>
          <w:tab w:val="num" w:pos="2520"/>
        </w:tabs>
        <w:ind w:left="2338"/>
        <w:textAlignment w:val="baseline"/>
        <w:rPr>
          <w:rFonts w:ascii="Courier New" w:hAnsi="Courier New" w:cs="Courier New"/>
          <w:color w:val="000000"/>
          <w:sz w:val="20"/>
          <w:szCs w:val="20"/>
        </w:rPr>
      </w:pPr>
      <w:r w:rsidRPr="002A3F3C">
        <w:rPr>
          <w:rFonts w:ascii="Arial" w:hAnsi="Arial" w:cs="Arial"/>
          <w:color w:val="000000"/>
          <w:sz w:val="20"/>
          <w:szCs w:val="20"/>
        </w:rPr>
        <w:t>Counseling, Dietetics, Dental Hygiene, Radiographic Science, Medical Lab Science, Physician assistant, Community and Public Health, Emergency Services</w:t>
      </w:r>
    </w:p>
    <w:p w14:paraId="532546D5" w14:textId="1EB5B5C7" w:rsidR="002A3F3C" w:rsidRDefault="002A3F3C" w:rsidP="00FD11ED">
      <w:pPr>
        <w:numPr>
          <w:ilvl w:val="1"/>
          <w:numId w:val="13"/>
        </w:numPr>
        <w:tabs>
          <w:tab w:val="clear" w:pos="1440"/>
          <w:tab w:val="num" w:pos="1800"/>
        </w:tabs>
        <w:spacing w:after="240"/>
        <w:ind w:left="1699"/>
        <w:textAlignment w:val="baseline"/>
        <w:rPr>
          <w:rFonts w:ascii="Arial" w:hAnsi="Arial" w:cs="Arial"/>
          <w:color w:val="000000"/>
          <w:sz w:val="20"/>
          <w:szCs w:val="20"/>
        </w:rPr>
      </w:pPr>
      <w:r w:rsidRPr="002A3F3C">
        <w:rPr>
          <w:rFonts w:ascii="Arial" w:hAnsi="Arial" w:cs="Arial"/>
          <w:color w:val="000000"/>
          <w:sz w:val="20"/>
          <w:szCs w:val="20"/>
        </w:rPr>
        <w:t>Pre-health students (AS and BS in Health Sciences) </w:t>
      </w:r>
    </w:p>
    <w:p w14:paraId="08712A7A" w14:textId="1A82C355" w:rsidR="0077006C" w:rsidRDefault="0077006C" w:rsidP="00D41F35">
      <w:pPr>
        <w:spacing w:line="360" w:lineRule="auto"/>
        <w:rPr>
          <w:rFonts w:ascii="Arial" w:hAnsi="Arial" w:cs="Arial"/>
          <w:b/>
          <w:i/>
        </w:rPr>
      </w:pPr>
      <w:r w:rsidRPr="006C3990">
        <w:rPr>
          <w:rFonts w:ascii="Arial" w:hAnsi="Arial" w:cs="Arial"/>
          <w:b/>
          <w:i/>
        </w:rPr>
        <w:t>College of Pharmacy</w:t>
      </w:r>
    </w:p>
    <w:p w14:paraId="258C4914" w14:textId="22C4C472" w:rsidR="00D642EC" w:rsidRPr="00D642EC" w:rsidRDefault="00D642EC" w:rsidP="00FD11ED">
      <w:pPr>
        <w:spacing w:after="240" w:line="331" w:lineRule="atLeast"/>
        <w:rPr>
          <w:rFonts w:ascii="Arial" w:hAnsi="Arial" w:cs="Arial"/>
          <w:sz w:val="20"/>
          <w:szCs w:val="20"/>
        </w:rPr>
      </w:pPr>
      <w:r>
        <w:rPr>
          <w:rFonts w:ascii="Arial" w:hAnsi="Arial" w:cs="Arial"/>
          <w:sz w:val="20"/>
          <w:szCs w:val="20"/>
        </w:rPr>
        <w:t xml:space="preserve">      </w:t>
      </w:r>
      <w:r w:rsidRPr="00D642EC">
        <w:rPr>
          <w:rFonts w:ascii="Arial" w:hAnsi="Arial" w:cs="Arial"/>
          <w:sz w:val="20"/>
          <w:szCs w:val="20"/>
        </w:rPr>
        <w:t>COVID-19 Response</w:t>
      </w:r>
    </w:p>
    <w:p w14:paraId="25401708" w14:textId="77777777" w:rsidR="00D642EC" w:rsidRPr="00185479" w:rsidRDefault="00D642EC" w:rsidP="00FD11ED">
      <w:pPr>
        <w:pStyle w:val="ListParagraph"/>
        <w:numPr>
          <w:ilvl w:val="0"/>
          <w:numId w:val="14"/>
        </w:numPr>
        <w:ind w:left="1080" w:hanging="270"/>
        <w:textAlignment w:val="baseline"/>
        <w:rPr>
          <w:rFonts w:ascii="Arial" w:hAnsi="Arial" w:cs="Arial"/>
          <w:bCs/>
          <w:color w:val="000000"/>
          <w:sz w:val="20"/>
          <w:szCs w:val="20"/>
        </w:rPr>
      </w:pPr>
      <w:r w:rsidRPr="00185479">
        <w:rPr>
          <w:rFonts w:ascii="Arial" w:hAnsi="Arial" w:cs="Arial"/>
          <w:bCs/>
          <w:color w:val="000000"/>
          <w:sz w:val="20"/>
          <w:szCs w:val="20"/>
        </w:rPr>
        <w:t>Supported testing</w:t>
      </w:r>
    </w:p>
    <w:p w14:paraId="26C06187" w14:textId="77777777" w:rsidR="00D642EC" w:rsidRPr="00D642EC" w:rsidRDefault="00D642EC" w:rsidP="00FD11ED">
      <w:pPr>
        <w:numPr>
          <w:ilvl w:val="0"/>
          <w:numId w:val="6"/>
        </w:numPr>
        <w:tabs>
          <w:tab w:val="clear" w:pos="720"/>
          <w:tab w:val="num" w:pos="1170"/>
          <w:tab w:val="num" w:pos="2160"/>
        </w:tabs>
        <w:ind w:left="1710"/>
        <w:textAlignment w:val="baseline"/>
        <w:rPr>
          <w:rFonts w:ascii="Arial" w:hAnsi="Arial" w:cs="Arial"/>
          <w:bCs/>
          <w:color w:val="000000"/>
          <w:sz w:val="20"/>
          <w:szCs w:val="20"/>
        </w:rPr>
      </w:pPr>
      <w:r w:rsidRPr="00D642EC">
        <w:rPr>
          <w:rFonts w:ascii="Arial" w:hAnsi="Arial" w:cs="Arial"/>
          <w:bCs/>
          <w:color w:val="000000"/>
          <w:sz w:val="20"/>
          <w:szCs w:val="20"/>
        </w:rPr>
        <w:t>Equipped community pharmacies</w:t>
      </w:r>
    </w:p>
    <w:p w14:paraId="3D6A46CB" w14:textId="77777777" w:rsidR="00D642EC" w:rsidRPr="00D642EC" w:rsidRDefault="00D642EC" w:rsidP="00FD11ED">
      <w:pPr>
        <w:numPr>
          <w:ilvl w:val="0"/>
          <w:numId w:val="6"/>
        </w:numPr>
        <w:tabs>
          <w:tab w:val="clear" w:pos="720"/>
          <w:tab w:val="num" w:pos="1170"/>
          <w:tab w:val="num" w:pos="2160"/>
        </w:tabs>
        <w:spacing w:after="240"/>
        <w:ind w:left="1710"/>
        <w:textAlignment w:val="baseline"/>
        <w:rPr>
          <w:rFonts w:ascii="Arial" w:hAnsi="Arial" w:cs="Arial"/>
          <w:bCs/>
          <w:color w:val="000000"/>
          <w:sz w:val="20"/>
          <w:szCs w:val="20"/>
        </w:rPr>
      </w:pPr>
      <w:r w:rsidRPr="00D642EC">
        <w:rPr>
          <w:rFonts w:ascii="Arial" w:hAnsi="Arial" w:cs="Arial"/>
          <w:bCs/>
          <w:color w:val="000000"/>
          <w:sz w:val="20"/>
          <w:szCs w:val="20"/>
        </w:rPr>
        <w:t>Supported PPE needs</w:t>
      </w:r>
    </w:p>
    <w:p w14:paraId="312AAFEA" w14:textId="77777777" w:rsidR="00D642EC" w:rsidRPr="00185479" w:rsidRDefault="00D642EC" w:rsidP="00FD11ED">
      <w:pPr>
        <w:pStyle w:val="ListParagraph"/>
        <w:numPr>
          <w:ilvl w:val="0"/>
          <w:numId w:val="14"/>
        </w:numPr>
        <w:ind w:left="1080"/>
        <w:textAlignment w:val="baseline"/>
        <w:rPr>
          <w:rFonts w:ascii="Arial" w:hAnsi="Arial" w:cs="Arial"/>
          <w:bCs/>
          <w:color w:val="000000"/>
          <w:sz w:val="20"/>
          <w:szCs w:val="20"/>
        </w:rPr>
      </w:pPr>
      <w:r w:rsidRPr="00185479">
        <w:rPr>
          <w:rFonts w:ascii="Arial" w:hAnsi="Arial" w:cs="Arial"/>
          <w:bCs/>
          <w:color w:val="000000"/>
          <w:sz w:val="20"/>
          <w:szCs w:val="20"/>
        </w:rPr>
        <w:t>Conducted vaccination clinics</w:t>
      </w:r>
    </w:p>
    <w:p w14:paraId="4DAB7980" w14:textId="77777777" w:rsidR="00D642EC" w:rsidRPr="00D642EC" w:rsidRDefault="00D642EC" w:rsidP="00FD11ED">
      <w:pPr>
        <w:numPr>
          <w:ilvl w:val="1"/>
          <w:numId w:val="6"/>
        </w:numPr>
        <w:tabs>
          <w:tab w:val="num" w:pos="2430"/>
        </w:tabs>
        <w:ind w:left="1710"/>
        <w:textAlignment w:val="baseline"/>
        <w:rPr>
          <w:rFonts w:ascii="Arial" w:hAnsi="Arial" w:cs="Arial"/>
          <w:bCs/>
          <w:color w:val="000000"/>
          <w:sz w:val="20"/>
          <w:szCs w:val="20"/>
        </w:rPr>
      </w:pPr>
      <w:r w:rsidRPr="00D642EC">
        <w:rPr>
          <w:rFonts w:ascii="Arial" w:hAnsi="Arial" w:cs="Arial"/>
          <w:bCs/>
          <w:color w:val="000000"/>
          <w:sz w:val="20"/>
          <w:szCs w:val="20"/>
        </w:rPr>
        <w:t>Influenza</w:t>
      </w:r>
    </w:p>
    <w:p w14:paraId="46610701" w14:textId="24C88F93" w:rsidR="00D642EC" w:rsidRDefault="00D642EC" w:rsidP="00FD11ED">
      <w:pPr>
        <w:numPr>
          <w:ilvl w:val="1"/>
          <w:numId w:val="6"/>
        </w:numPr>
        <w:tabs>
          <w:tab w:val="num" w:pos="2430"/>
        </w:tabs>
        <w:spacing w:after="240"/>
        <w:ind w:left="1710"/>
        <w:textAlignment w:val="baseline"/>
        <w:rPr>
          <w:rFonts w:ascii="Arial" w:hAnsi="Arial" w:cs="Arial"/>
          <w:bCs/>
          <w:color w:val="000000"/>
          <w:sz w:val="20"/>
          <w:szCs w:val="20"/>
        </w:rPr>
      </w:pPr>
      <w:r w:rsidRPr="00D642EC">
        <w:rPr>
          <w:rFonts w:ascii="Arial" w:hAnsi="Arial" w:cs="Arial"/>
          <w:bCs/>
          <w:color w:val="000000"/>
          <w:sz w:val="20"/>
          <w:szCs w:val="20"/>
        </w:rPr>
        <w:t>COVID-19</w:t>
      </w:r>
    </w:p>
    <w:p w14:paraId="3D38ADF4" w14:textId="77777777" w:rsidR="00CA0826" w:rsidRPr="00D642EC" w:rsidRDefault="00CA0826" w:rsidP="00CA0826">
      <w:pPr>
        <w:tabs>
          <w:tab w:val="num" w:pos="2430"/>
        </w:tabs>
        <w:spacing w:after="240"/>
        <w:ind w:left="1710"/>
        <w:textAlignment w:val="baseline"/>
        <w:rPr>
          <w:rFonts w:ascii="Arial" w:hAnsi="Arial" w:cs="Arial"/>
          <w:bCs/>
          <w:color w:val="000000"/>
          <w:sz w:val="20"/>
          <w:szCs w:val="20"/>
        </w:rPr>
      </w:pPr>
    </w:p>
    <w:p w14:paraId="13569399" w14:textId="77777777" w:rsidR="00D642EC" w:rsidRPr="00185479" w:rsidRDefault="00D642EC" w:rsidP="00FD11ED">
      <w:pPr>
        <w:pStyle w:val="ListParagraph"/>
        <w:numPr>
          <w:ilvl w:val="0"/>
          <w:numId w:val="14"/>
        </w:numPr>
        <w:ind w:left="1080"/>
        <w:textAlignment w:val="baseline"/>
        <w:rPr>
          <w:rFonts w:ascii="Arial" w:hAnsi="Arial" w:cs="Arial"/>
          <w:bCs/>
          <w:color w:val="000000"/>
          <w:sz w:val="20"/>
          <w:szCs w:val="20"/>
        </w:rPr>
      </w:pPr>
      <w:r w:rsidRPr="00185479">
        <w:rPr>
          <w:rFonts w:ascii="Arial" w:hAnsi="Arial" w:cs="Arial"/>
          <w:bCs/>
          <w:color w:val="000000"/>
          <w:sz w:val="20"/>
          <w:szCs w:val="20"/>
        </w:rPr>
        <w:lastRenderedPageBreak/>
        <w:t>Supported Idaho Public Health</w:t>
      </w:r>
    </w:p>
    <w:p w14:paraId="4C97F707" w14:textId="38E66C26" w:rsidR="003920ED" w:rsidRPr="00D41F35" w:rsidRDefault="00D642EC" w:rsidP="00FD11ED">
      <w:pPr>
        <w:numPr>
          <w:ilvl w:val="1"/>
          <w:numId w:val="6"/>
        </w:numPr>
        <w:tabs>
          <w:tab w:val="left" w:pos="2610"/>
          <w:tab w:val="num" w:pos="2700"/>
        </w:tabs>
        <w:spacing w:after="240"/>
        <w:ind w:left="1710"/>
        <w:textAlignment w:val="baseline"/>
        <w:rPr>
          <w:rFonts w:ascii="Arial" w:hAnsi="Arial" w:cs="Arial"/>
          <w:bCs/>
          <w:color w:val="000000"/>
          <w:sz w:val="20"/>
          <w:szCs w:val="20"/>
        </w:rPr>
      </w:pPr>
      <w:r w:rsidRPr="00D642EC">
        <w:rPr>
          <w:rFonts w:ascii="Arial" w:hAnsi="Arial" w:cs="Arial"/>
          <w:bCs/>
          <w:color w:val="000000"/>
          <w:sz w:val="20"/>
          <w:szCs w:val="20"/>
        </w:rPr>
        <w:t>Supported ISU and KDHS efforts</w:t>
      </w:r>
    </w:p>
    <w:p w14:paraId="4B439646" w14:textId="5FCB33F6" w:rsidR="003920ED" w:rsidRDefault="00CC19F8" w:rsidP="003920ED">
      <w:pPr>
        <w:spacing w:line="331" w:lineRule="atLeast"/>
        <w:rPr>
          <w:rFonts w:ascii="Arial" w:hAnsi="Arial" w:cs="Arial"/>
          <w:b/>
          <w:i/>
        </w:rPr>
      </w:pPr>
      <w:r>
        <w:rPr>
          <w:rFonts w:ascii="Arial" w:hAnsi="Arial" w:cs="Arial"/>
          <w:b/>
          <w:i/>
        </w:rPr>
        <w:t xml:space="preserve">School </w:t>
      </w:r>
      <w:r w:rsidR="003920ED">
        <w:rPr>
          <w:rFonts w:ascii="Arial" w:hAnsi="Arial" w:cs="Arial"/>
          <w:b/>
          <w:i/>
        </w:rPr>
        <w:t>of Nursing</w:t>
      </w:r>
    </w:p>
    <w:p w14:paraId="11955E94" w14:textId="77777777" w:rsidR="00E9190B" w:rsidRDefault="00E9190B" w:rsidP="003920ED">
      <w:pPr>
        <w:spacing w:line="331" w:lineRule="atLeast"/>
        <w:rPr>
          <w:rFonts w:ascii="Arial" w:hAnsi="Arial" w:cs="Arial"/>
          <w:b/>
          <w:i/>
        </w:rPr>
      </w:pPr>
    </w:p>
    <w:p w14:paraId="0E3D3240" w14:textId="77777777" w:rsidR="00CC19F8" w:rsidRPr="0073458D" w:rsidRDefault="00CC19F8" w:rsidP="00FD11ED">
      <w:pPr>
        <w:pStyle w:val="ListParagraph"/>
        <w:numPr>
          <w:ilvl w:val="0"/>
          <w:numId w:val="14"/>
        </w:numPr>
        <w:ind w:left="1080"/>
        <w:contextualSpacing w:val="0"/>
        <w:textAlignment w:val="baseline"/>
        <w:rPr>
          <w:rFonts w:ascii="Arial" w:hAnsi="Arial" w:cs="Arial"/>
          <w:color w:val="000000"/>
          <w:sz w:val="20"/>
          <w:szCs w:val="20"/>
        </w:rPr>
      </w:pPr>
      <w:r w:rsidRPr="0073458D">
        <w:rPr>
          <w:rFonts w:ascii="Arial" w:hAnsi="Arial" w:cs="Arial"/>
          <w:color w:val="000000"/>
          <w:sz w:val="20"/>
          <w:szCs w:val="20"/>
        </w:rPr>
        <w:t>Achieved full 10-year accreditation:</w:t>
      </w:r>
    </w:p>
    <w:p w14:paraId="5CBD8416" w14:textId="77777777" w:rsidR="00CC19F8" w:rsidRPr="0073458D" w:rsidRDefault="00CC19F8" w:rsidP="00FD11ED">
      <w:pPr>
        <w:numPr>
          <w:ilvl w:val="1"/>
          <w:numId w:val="6"/>
        </w:numPr>
        <w:tabs>
          <w:tab w:val="num" w:pos="2070"/>
          <w:tab w:val="num" w:pos="2430"/>
        </w:tabs>
        <w:ind w:left="1710"/>
        <w:textAlignment w:val="baseline"/>
        <w:rPr>
          <w:rFonts w:ascii="Arial" w:hAnsi="Arial" w:cs="Arial"/>
          <w:color w:val="000000"/>
          <w:sz w:val="20"/>
          <w:szCs w:val="20"/>
        </w:rPr>
      </w:pPr>
      <w:r w:rsidRPr="0073458D">
        <w:rPr>
          <w:rFonts w:ascii="Arial" w:hAnsi="Arial" w:cs="Arial"/>
          <w:color w:val="000000"/>
          <w:sz w:val="20"/>
          <w:szCs w:val="20"/>
        </w:rPr>
        <w:t>Traditional Bachelor of Science in Nursing  </w:t>
      </w:r>
    </w:p>
    <w:p w14:paraId="6D811ABA" w14:textId="77777777" w:rsidR="00CC19F8" w:rsidRPr="0073458D" w:rsidRDefault="00CC19F8" w:rsidP="00FD11ED">
      <w:pPr>
        <w:numPr>
          <w:ilvl w:val="1"/>
          <w:numId w:val="6"/>
        </w:numPr>
        <w:tabs>
          <w:tab w:val="num" w:pos="2070"/>
          <w:tab w:val="num" w:pos="2430"/>
        </w:tabs>
        <w:ind w:left="1710"/>
        <w:textAlignment w:val="baseline"/>
        <w:rPr>
          <w:rFonts w:ascii="Arial" w:hAnsi="Arial" w:cs="Arial"/>
          <w:color w:val="000000"/>
          <w:sz w:val="20"/>
          <w:szCs w:val="20"/>
        </w:rPr>
      </w:pPr>
      <w:r w:rsidRPr="0073458D">
        <w:rPr>
          <w:rFonts w:ascii="Arial" w:hAnsi="Arial" w:cs="Arial"/>
          <w:color w:val="000000"/>
          <w:sz w:val="20"/>
          <w:szCs w:val="20"/>
        </w:rPr>
        <w:t>Bachelor of Science completion program </w:t>
      </w:r>
    </w:p>
    <w:p w14:paraId="0CEB5081" w14:textId="77777777" w:rsidR="00CC19F8" w:rsidRPr="0073458D" w:rsidRDefault="00CC19F8" w:rsidP="00FD11ED">
      <w:pPr>
        <w:numPr>
          <w:ilvl w:val="1"/>
          <w:numId w:val="6"/>
        </w:numPr>
        <w:tabs>
          <w:tab w:val="num" w:pos="2070"/>
          <w:tab w:val="num" w:pos="2430"/>
        </w:tabs>
        <w:ind w:left="1710"/>
        <w:textAlignment w:val="baseline"/>
        <w:rPr>
          <w:rFonts w:ascii="Arial" w:hAnsi="Arial" w:cs="Arial"/>
          <w:color w:val="000000"/>
          <w:sz w:val="20"/>
          <w:szCs w:val="20"/>
        </w:rPr>
      </w:pPr>
      <w:proofErr w:type="gramStart"/>
      <w:r w:rsidRPr="0073458D">
        <w:rPr>
          <w:rFonts w:ascii="Arial" w:hAnsi="Arial" w:cs="Arial"/>
          <w:color w:val="000000"/>
          <w:sz w:val="20"/>
          <w:szCs w:val="20"/>
        </w:rPr>
        <w:t>Masters in Nursing</w:t>
      </w:r>
      <w:proofErr w:type="gramEnd"/>
      <w:r w:rsidRPr="0073458D">
        <w:rPr>
          <w:rFonts w:ascii="Arial" w:hAnsi="Arial" w:cs="Arial"/>
          <w:color w:val="000000"/>
          <w:sz w:val="20"/>
          <w:szCs w:val="20"/>
        </w:rPr>
        <w:t>, Education focus </w:t>
      </w:r>
    </w:p>
    <w:p w14:paraId="3A7C0CF3" w14:textId="77777777" w:rsidR="00CC19F8" w:rsidRPr="0073458D" w:rsidRDefault="00CC19F8" w:rsidP="00FD11ED">
      <w:pPr>
        <w:numPr>
          <w:ilvl w:val="1"/>
          <w:numId w:val="6"/>
        </w:numPr>
        <w:tabs>
          <w:tab w:val="num" w:pos="2070"/>
          <w:tab w:val="num" w:pos="2430"/>
        </w:tabs>
        <w:ind w:left="1710"/>
        <w:textAlignment w:val="baseline"/>
        <w:rPr>
          <w:rFonts w:ascii="Arial" w:hAnsi="Arial" w:cs="Arial"/>
          <w:color w:val="000000"/>
          <w:sz w:val="20"/>
          <w:szCs w:val="20"/>
        </w:rPr>
      </w:pPr>
      <w:r w:rsidRPr="0073458D">
        <w:rPr>
          <w:rFonts w:ascii="Arial" w:hAnsi="Arial" w:cs="Arial"/>
          <w:color w:val="000000"/>
          <w:sz w:val="20"/>
          <w:szCs w:val="20"/>
        </w:rPr>
        <w:t>Doctor of Nursing Practice [DNP] Family Nurse Practitioner option</w:t>
      </w:r>
    </w:p>
    <w:p w14:paraId="415604CD" w14:textId="2EA28703" w:rsidR="00CC19F8" w:rsidRPr="00D41F35" w:rsidRDefault="00CC19F8" w:rsidP="00FD11ED">
      <w:pPr>
        <w:numPr>
          <w:ilvl w:val="1"/>
          <w:numId w:val="6"/>
        </w:numPr>
        <w:tabs>
          <w:tab w:val="num" w:pos="2430"/>
        </w:tabs>
        <w:spacing w:after="240"/>
        <w:ind w:left="1710"/>
        <w:textAlignment w:val="baseline"/>
        <w:rPr>
          <w:rFonts w:ascii="Arial" w:hAnsi="Arial" w:cs="Arial"/>
          <w:color w:val="000000"/>
          <w:sz w:val="20"/>
          <w:szCs w:val="20"/>
        </w:rPr>
      </w:pPr>
      <w:r w:rsidRPr="0073458D">
        <w:rPr>
          <w:rFonts w:ascii="Arial" w:hAnsi="Arial" w:cs="Arial"/>
          <w:color w:val="000000"/>
          <w:sz w:val="20"/>
          <w:szCs w:val="20"/>
        </w:rPr>
        <w:t xml:space="preserve">Doctor of Nursing Practice [DNP] Psychiatric Mental Health Nurse Practitioner option </w:t>
      </w:r>
    </w:p>
    <w:p w14:paraId="3C4F4EA3" w14:textId="667FB355" w:rsidR="00CC19F8" w:rsidRPr="00D41F35" w:rsidRDefault="00CC19F8" w:rsidP="00D41F35">
      <w:pPr>
        <w:pStyle w:val="ListParagraph"/>
        <w:numPr>
          <w:ilvl w:val="0"/>
          <w:numId w:val="14"/>
        </w:numPr>
        <w:spacing w:after="240"/>
        <w:ind w:left="1080"/>
        <w:contextualSpacing w:val="0"/>
        <w:textAlignment w:val="baseline"/>
        <w:rPr>
          <w:rFonts w:ascii="Arial" w:hAnsi="Arial" w:cs="Arial"/>
          <w:color w:val="000000"/>
          <w:sz w:val="20"/>
          <w:szCs w:val="20"/>
        </w:rPr>
      </w:pPr>
      <w:r w:rsidRPr="0073458D">
        <w:rPr>
          <w:rFonts w:ascii="Arial" w:hAnsi="Arial" w:cs="Arial"/>
          <w:color w:val="000000"/>
          <w:sz w:val="20"/>
          <w:szCs w:val="20"/>
        </w:rPr>
        <w:t>Addition of Psychiatric Mental Health Nurse Practitioner Graduate Certification</w:t>
      </w:r>
    </w:p>
    <w:p w14:paraId="72B609DE" w14:textId="45630745" w:rsidR="00CC19F8" w:rsidRPr="00D41F35" w:rsidRDefault="00CC19F8" w:rsidP="00D41F35">
      <w:pPr>
        <w:pStyle w:val="ListParagraph"/>
        <w:numPr>
          <w:ilvl w:val="0"/>
          <w:numId w:val="14"/>
        </w:numPr>
        <w:spacing w:before="200" w:after="240"/>
        <w:ind w:left="1080"/>
        <w:contextualSpacing w:val="0"/>
        <w:textAlignment w:val="baseline"/>
        <w:rPr>
          <w:rFonts w:ascii="Arial" w:hAnsi="Arial" w:cs="Arial"/>
          <w:color w:val="000000"/>
          <w:sz w:val="20"/>
          <w:szCs w:val="20"/>
        </w:rPr>
      </w:pPr>
      <w:r w:rsidRPr="00CC19F8">
        <w:rPr>
          <w:rFonts w:ascii="Arial" w:hAnsi="Arial" w:cs="Arial"/>
          <w:color w:val="000000"/>
          <w:sz w:val="20"/>
          <w:szCs w:val="20"/>
        </w:rPr>
        <w:t xml:space="preserve">Articulation agreements </w:t>
      </w:r>
      <w:r w:rsidR="0099118B">
        <w:rPr>
          <w:rFonts w:ascii="Arial" w:hAnsi="Arial" w:cs="Arial"/>
          <w:color w:val="000000"/>
          <w:sz w:val="20"/>
          <w:szCs w:val="20"/>
        </w:rPr>
        <w:t xml:space="preserve">were </w:t>
      </w:r>
      <w:r w:rsidRPr="00CC19F8">
        <w:rPr>
          <w:rFonts w:ascii="Arial" w:hAnsi="Arial" w:cs="Arial"/>
          <w:color w:val="000000"/>
          <w:sz w:val="20"/>
          <w:szCs w:val="20"/>
        </w:rPr>
        <w:t xml:space="preserve">finalized with </w:t>
      </w:r>
      <w:r w:rsidR="0099118B">
        <w:rPr>
          <w:rFonts w:ascii="Arial" w:hAnsi="Arial" w:cs="Arial"/>
          <w:color w:val="000000"/>
          <w:sz w:val="20"/>
          <w:szCs w:val="20"/>
        </w:rPr>
        <w:t xml:space="preserve">the </w:t>
      </w:r>
      <w:r w:rsidRPr="00CC19F8">
        <w:rPr>
          <w:rFonts w:ascii="Arial" w:hAnsi="Arial" w:cs="Arial"/>
          <w:color w:val="000000"/>
          <w:sz w:val="20"/>
          <w:szCs w:val="20"/>
        </w:rPr>
        <w:t xml:space="preserve">College of Southern Idaho (CSI) and College of Eastern Idaho (CEI) for students to concurrently enroll for completion of the </w:t>
      </w:r>
      <w:proofErr w:type="gramStart"/>
      <w:r w:rsidRPr="00CC19F8">
        <w:rPr>
          <w:rFonts w:ascii="Arial" w:hAnsi="Arial" w:cs="Arial"/>
          <w:color w:val="000000"/>
          <w:sz w:val="20"/>
          <w:szCs w:val="20"/>
        </w:rPr>
        <w:t>Bachelor’s</w:t>
      </w:r>
      <w:proofErr w:type="gramEnd"/>
      <w:r w:rsidRPr="00CC19F8">
        <w:rPr>
          <w:rFonts w:ascii="Arial" w:hAnsi="Arial" w:cs="Arial"/>
          <w:color w:val="000000"/>
          <w:sz w:val="20"/>
          <w:szCs w:val="20"/>
        </w:rPr>
        <w:t xml:space="preserve"> degree in nursing at ISU SON. </w:t>
      </w:r>
    </w:p>
    <w:p w14:paraId="02D1E289" w14:textId="4F10BFE2" w:rsidR="00CC19F8" w:rsidRPr="00D41F35" w:rsidRDefault="00CC19F8" w:rsidP="00D41F35">
      <w:pPr>
        <w:pStyle w:val="ListParagraph"/>
        <w:numPr>
          <w:ilvl w:val="0"/>
          <w:numId w:val="14"/>
        </w:numPr>
        <w:spacing w:before="200" w:after="240"/>
        <w:ind w:left="1080"/>
        <w:textAlignment w:val="baseline"/>
        <w:rPr>
          <w:rFonts w:ascii="Arial" w:hAnsi="Arial" w:cs="Arial"/>
          <w:color w:val="000000"/>
          <w:sz w:val="20"/>
          <w:szCs w:val="20"/>
        </w:rPr>
      </w:pPr>
      <w:r w:rsidRPr="0073458D">
        <w:rPr>
          <w:rFonts w:ascii="Arial" w:hAnsi="Arial" w:cs="Arial"/>
          <w:color w:val="000000"/>
          <w:sz w:val="20"/>
          <w:szCs w:val="20"/>
        </w:rPr>
        <w:t>Opening nurse practitioner clinic in Meridian</w:t>
      </w:r>
    </w:p>
    <w:p w14:paraId="72B8D0BE" w14:textId="10693FF3" w:rsidR="00933934" w:rsidRDefault="00841CB5" w:rsidP="00D41F35">
      <w:pPr>
        <w:spacing w:after="240" w:line="331" w:lineRule="atLeast"/>
        <w:rPr>
          <w:rFonts w:ascii="Arial" w:hAnsi="Arial" w:cs="Arial"/>
          <w:b/>
          <w:i/>
        </w:rPr>
      </w:pPr>
      <w:r>
        <w:rPr>
          <w:rFonts w:ascii="Arial" w:hAnsi="Arial" w:cs="Arial"/>
          <w:b/>
          <w:i/>
        </w:rPr>
        <w:t>School</w:t>
      </w:r>
      <w:r w:rsidR="003920ED">
        <w:rPr>
          <w:rFonts w:ascii="Arial" w:hAnsi="Arial" w:cs="Arial"/>
          <w:b/>
          <w:i/>
        </w:rPr>
        <w:t xml:space="preserve"> of Rehabilitation and Communication Sciences</w:t>
      </w:r>
    </w:p>
    <w:p w14:paraId="1E09B111" w14:textId="77777777" w:rsidR="00E9190B" w:rsidRPr="0073458D" w:rsidRDefault="00E9190B" w:rsidP="00FD11ED">
      <w:pPr>
        <w:pStyle w:val="ListParagraph"/>
        <w:numPr>
          <w:ilvl w:val="0"/>
          <w:numId w:val="18"/>
        </w:numPr>
        <w:ind w:left="1080"/>
        <w:textAlignment w:val="baseline"/>
        <w:rPr>
          <w:rFonts w:ascii="Arial" w:hAnsi="Arial" w:cs="Arial"/>
          <w:color w:val="000000"/>
          <w:sz w:val="20"/>
          <w:szCs w:val="20"/>
        </w:rPr>
      </w:pPr>
      <w:r w:rsidRPr="0073458D">
        <w:rPr>
          <w:rFonts w:ascii="Arial" w:hAnsi="Arial" w:cs="Arial"/>
          <w:color w:val="000000"/>
          <w:sz w:val="20"/>
          <w:szCs w:val="20"/>
        </w:rPr>
        <w:t>Expansion of the Masters in OT to Meridian</w:t>
      </w:r>
    </w:p>
    <w:p w14:paraId="74DAA18E" w14:textId="77777777" w:rsidR="00E9190B" w:rsidRPr="0073458D" w:rsidRDefault="00E9190B" w:rsidP="00FD11ED">
      <w:pPr>
        <w:numPr>
          <w:ilvl w:val="1"/>
          <w:numId w:val="6"/>
        </w:numPr>
        <w:tabs>
          <w:tab w:val="num" w:pos="2250"/>
          <w:tab w:val="num" w:pos="2430"/>
        </w:tabs>
        <w:ind w:left="1710"/>
        <w:textAlignment w:val="baseline"/>
        <w:rPr>
          <w:rFonts w:ascii="Arial" w:hAnsi="Arial" w:cs="Arial"/>
          <w:color w:val="000000"/>
          <w:sz w:val="20"/>
          <w:szCs w:val="20"/>
        </w:rPr>
      </w:pPr>
      <w:r w:rsidRPr="0073458D">
        <w:rPr>
          <w:rFonts w:ascii="Arial" w:hAnsi="Arial" w:cs="Arial"/>
          <w:color w:val="000000"/>
          <w:sz w:val="20"/>
          <w:szCs w:val="20"/>
        </w:rPr>
        <w:t>Projected class of 20 students - Fall of 2022</w:t>
      </w:r>
    </w:p>
    <w:p w14:paraId="0274B043" w14:textId="77777777" w:rsidR="00E9190B" w:rsidRPr="0073458D" w:rsidRDefault="00E9190B" w:rsidP="00FD11ED">
      <w:pPr>
        <w:numPr>
          <w:ilvl w:val="1"/>
          <w:numId w:val="6"/>
        </w:numPr>
        <w:tabs>
          <w:tab w:val="num" w:pos="2250"/>
          <w:tab w:val="num" w:pos="2430"/>
        </w:tabs>
        <w:ind w:left="1710"/>
        <w:textAlignment w:val="baseline"/>
        <w:rPr>
          <w:rFonts w:ascii="Arial" w:hAnsi="Arial" w:cs="Arial"/>
          <w:color w:val="000000"/>
          <w:sz w:val="20"/>
          <w:szCs w:val="20"/>
        </w:rPr>
      </w:pPr>
      <w:r w:rsidRPr="0073458D">
        <w:rPr>
          <w:rFonts w:ascii="Arial" w:hAnsi="Arial" w:cs="Arial"/>
          <w:color w:val="000000"/>
          <w:sz w:val="20"/>
          <w:szCs w:val="20"/>
        </w:rPr>
        <w:t>Hiring 3-4 additional faculty</w:t>
      </w:r>
    </w:p>
    <w:p w14:paraId="519AAE90" w14:textId="77777777" w:rsidR="00E9190B" w:rsidRPr="0073458D" w:rsidRDefault="00E9190B" w:rsidP="00FD11ED">
      <w:pPr>
        <w:pStyle w:val="ListParagraph"/>
        <w:numPr>
          <w:ilvl w:val="0"/>
          <w:numId w:val="18"/>
        </w:numPr>
        <w:spacing w:before="200"/>
        <w:ind w:left="1080"/>
        <w:textAlignment w:val="baseline"/>
        <w:rPr>
          <w:rFonts w:ascii="Arial" w:hAnsi="Arial" w:cs="Arial"/>
          <w:color w:val="000000"/>
          <w:sz w:val="20"/>
          <w:szCs w:val="20"/>
        </w:rPr>
      </w:pPr>
      <w:r w:rsidRPr="0073458D">
        <w:rPr>
          <w:rFonts w:ascii="Arial" w:hAnsi="Arial" w:cs="Arial"/>
          <w:color w:val="000000"/>
          <w:sz w:val="20"/>
          <w:szCs w:val="20"/>
        </w:rPr>
        <w:t>First graduating class of Doctorate in PT in Meridian</w:t>
      </w:r>
    </w:p>
    <w:p w14:paraId="2D498CE2" w14:textId="5E4E5B99" w:rsidR="00E9190B" w:rsidRPr="00D41F35" w:rsidRDefault="00E9190B" w:rsidP="00FD11ED">
      <w:pPr>
        <w:numPr>
          <w:ilvl w:val="1"/>
          <w:numId w:val="6"/>
        </w:numPr>
        <w:tabs>
          <w:tab w:val="num" w:pos="2610"/>
        </w:tabs>
        <w:spacing w:after="240"/>
        <w:ind w:left="1710"/>
        <w:textAlignment w:val="baseline"/>
        <w:rPr>
          <w:rFonts w:ascii="Arial" w:hAnsi="Arial" w:cs="Arial"/>
          <w:color w:val="000000"/>
          <w:sz w:val="20"/>
          <w:szCs w:val="20"/>
        </w:rPr>
      </w:pPr>
      <w:r w:rsidRPr="0073458D">
        <w:rPr>
          <w:rFonts w:ascii="Arial" w:hAnsi="Arial" w:cs="Arial"/>
          <w:color w:val="000000"/>
          <w:sz w:val="20"/>
          <w:szCs w:val="20"/>
        </w:rPr>
        <w:t>Represents a 100% increase in graduating DPT students this year</w:t>
      </w:r>
    </w:p>
    <w:p w14:paraId="79AE8301" w14:textId="77777777" w:rsidR="00E9190B" w:rsidRPr="00635617" w:rsidRDefault="00E9190B" w:rsidP="00E9190B">
      <w:pPr>
        <w:pStyle w:val="ListParagraph"/>
        <w:numPr>
          <w:ilvl w:val="0"/>
          <w:numId w:val="18"/>
        </w:numPr>
        <w:spacing w:before="100"/>
        <w:ind w:left="1080"/>
        <w:textAlignment w:val="baseline"/>
        <w:rPr>
          <w:rFonts w:ascii="Arial" w:hAnsi="Arial" w:cs="Arial"/>
          <w:color w:val="000000"/>
          <w:sz w:val="20"/>
          <w:szCs w:val="20"/>
        </w:rPr>
      </w:pPr>
      <w:r w:rsidRPr="00635617">
        <w:rPr>
          <w:rFonts w:ascii="Arial" w:hAnsi="Arial" w:cs="Arial"/>
          <w:color w:val="000000"/>
          <w:sz w:val="20"/>
          <w:szCs w:val="20"/>
        </w:rPr>
        <w:t>Clinical services to cochlear implant and other audiology patients throughout 2020, including in Northern Idaho</w:t>
      </w:r>
    </w:p>
    <w:p w14:paraId="563B56AB" w14:textId="1BEEEED6" w:rsidR="00A15D50" w:rsidRDefault="00092183" w:rsidP="007115F6">
      <w:pPr>
        <w:rPr>
          <w:rFonts w:ascii="Arial" w:hAnsi="Arial" w:cs="Arial"/>
          <w:b/>
          <w:i/>
          <w:color w:val="000080"/>
          <w:sz w:val="28"/>
          <w:szCs w:val="28"/>
        </w:rPr>
      </w:pPr>
      <w:r>
        <w:rPr>
          <w:rFonts w:ascii="Arial" w:hAnsi="Arial" w:cs="Arial"/>
          <w:color w:val="000000"/>
          <w:sz w:val="22"/>
          <w:szCs w:val="22"/>
        </w:rPr>
        <w:br w:type="page"/>
      </w:r>
      <w:bookmarkStart w:id="3" w:name="OLE_LINK5"/>
      <w:bookmarkStart w:id="4" w:name="OLE_LINK6"/>
      <w:r w:rsidR="00A15D50" w:rsidRPr="004B2482">
        <w:rPr>
          <w:rFonts w:ascii="Arial" w:hAnsi="Arial" w:cs="Arial"/>
          <w:b/>
          <w:i/>
          <w:color w:val="000080"/>
          <w:sz w:val="28"/>
          <w:szCs w:val="28"/>
        </w:rPr>
        <w:lastRenderedPageBreak/>
        <w:t>Part II – Performance Measures</w:t>
      </w:r>
    </w:p>
    <w:bookmarkEnd w:id="3"/>
    <w:bookmarkEnd w:id="4"/>
    <w:p w14:paraId="3D78CBE4" w14:textId="77777777" w:rsidR="00ED6652" w:rsidRPr="006B7969" w:rsidRDefault="00ED6652" w:rsidP="00ED6652">
      <w:pPr>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925"/>
        <w:gridCol w:w="930"/>
        <w:gridCol w:w="839"/>
        <w:gridCol w:w="56"/>
        <w:gridCol w:w="904"/>
        <w:gridCol w:w="33"/>
        <w:gridCol w:w="1318"/>
        <w:gridCol w:w="1080"/>
        <w:gridCol w:w="985"/>
      </w:tblGrid>
      <w:tr w:rsidR="0089607E" w:rsidRPr="00301088" w14:paraId="732C4605" w14:textId="77777777" w:rsidTr="00A850F7">
        <w:trPr>
          <w:cantSplit/>
          <w:tblHeader/>
        </w:trPr>
        <w:tc>
          <w:tcPr>
            <w:tcW w:w="4855"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5E32C7A3" w14:textId="77777777" w:rsidR="0089607E" w:rsidRPr="006D3D09" w:rsidRDefault="0089607E" w:rsidP="006D3D09">
            <w:pPr>
              <w:jc w:val="center"/>
              <w:rPr>
                <w:rFonts w:ascii="Arial" w:hAnsi="Arial" w:cs="Arial"/>
                <w:b/>
                <w:bCs/>
                <w:color w:val="FFFFFF"/>
                <w:sz w:val="20"/>
                <w:szCs w:val="20"/>
              </w:rPr>
            </w:pPr>
            <w:r w:rsidRPr="006D3D09">
              <w:rPr>
                <w:rFonts w:ascii="Arial" w:hAnsi="Arial" w:cs="Arial"/>
                <w:b/>
                <w:bCs/>
                <w:color w:val="FFFFFF"/>
                <w:sz w:val="20"/>
                <w:szCs w:val="20"/>
              </w:rPr>
              <w:t>Performance Measure</w:t>
            </w:r>
          </w:p>
        </w:tc>
        <w:tc>
          <w:tcPr>
            <w:tcW w:w="839" w:type="dxa"/>
            <w:tcBorders>
              <w:top w:val="single" w:sz="4" w:space="0" w:color="auto"/>
              <w:left w:val="single" w:sz="4" w:space="0" w:color="auto"/>
              <w:bottom w:val="single" w:sz="4" w:space="0" w:color="auto"/>
              <w:right w:val="single" w:sz="4" w:space="0" w:color="auto"/>
            </w:tcBorders>
            <w:shd w:val="clear" w:color="auto" w:fill="000080"/>
            <w:vAlign w:val="bottom"/>
          </w:tcPr>
          <w:p w14:paraId="5D21A1F0" w14:textId="7C4C5638" w:rsidR="0089607E" w:rsidRPr="006D3D09" w:rsidRDefault="0089607E" w:rsidP="005453C6">
            <w:pPr>
              <w:jc w:val="center"/>
              <w:rPr>
                <w:rFonts w:ascii="Arial" w:hAnsi="Arial" w:cs="Arial"/>
                <w:b/>
                <w:bCs/>
                <w:color w:val="FFFFFF"/>
                <w:sz w:val="20"/>
                <w:szCs w:val="20"/>
              </w:rPr>
            </w:pPr>
            <w:r w:rsidRPr="006D3D09">
              <w:rPr>
                <w:rFonts w:ascii="Arial" w:hAnsi="Arial" w:cs="Arial"/>
                <w:b/>
                <w:bCs/>
                <w:color w:val="FFFFFF"/>
                <w:sz w:val="20"/>
                <w:szCs w:val="20"/>
              </w:rPr>
              <w:t xml:space="preserve">FY </w:t>
            </w:r>
            <w:r w:rsidR="006E2526">
              <w:rPr>
                <w:rFonts w:ascii="Arial" w:hAnsi="Arial" w:cs="Arial"/>
                <w:b/>
                <w:bCs/>
                <w:color w:val="FFFFFF"/>
                <w:sz w:val="20"/>
                <w:szCs w:val="20"/>
              </w:rPr>
              <w:t>2019</w:t>
            </w:r>
          </w:p>
        </w:tc>
        <w:tc>
          <w:tcPr>
            <w:tcW w:w="993" w:type="dxa"/>
            <w:gridSpan w:val="3"/>
            <w:tcBorders>
              <w:top w:val="single" w:sz="4" w:space="0" w:color="auto"/>
              <w:left w:val="single" w:sz="4" w:space="0" w:color="auto"/>
              <w:bottom w:val="single" w:sz="4" w:space="0" w:color="auto"/>
              <w:right w:val="single" w:sz="4" w:space="0" w:color="auto"/>
            </w:tcBorders>
            <w:shd w:val="clear" w:color="auto" w:fill="000080"/>
            <w:vAlign w:val="bottom"/>
          </w:tcPr>
          <w:p w14:paraId="6E4E5957" w14:textId="1618CB23" w:rsidR="0089607E" w:rsidRPr="006D3D09" w:rsidRDefault="00B36D91" w:rsidP="005453C6">
            <w:pPr>
              <w:jc w:val="center"/>
              <w:rPr>
                <w:rFonts w:ascii="Arial" w:hAnsi="Arial" w:cs="Arial"/>
                <w:b/>
                <w:bCs/>
                <w:color w:val="FFFFFF"/>
                <w:sz w:val="20"/>
                <w:szCs w:val="20"/>
              </w:rPr>
            </w:pPr>
            <w:r>
              <w:rPr>
                <w:rFonts w:ascii="Arial" w:hAnsi="Arial" w:cs="Arial"/>
                <w:b/>
                <w:bCs/>
                <w:color w:val="FFFFFF"/>
                <w:sz w:val="20"/>
                <w:szCs w:val="20"/>
              </w:rPr>
              <w:t>FY 2020</w:t>
            </w:r>
          </w:p>
        </w:tc>
        <w:tc>
          <w:tcPr>
            <w:tcW w:w="1318" w:type="dxa"/>
            <w:tcBorders>
              <w:top w:val="single" w:sz="4" w:space="0" w:color="auto"/>
              <w:left w:val="single" w:sz="4" w:space="0" w:color="auto"/>
              <w:bottom w:val="single" w:sz="4" w:space="0" w:color="auto"/>
              <w:right w:val="single" w:sz="4" w:space="0" w:color="auto"/>
            </w:tcBorders>
            <w:shd w:val="clear" w:color="auto" w:fill="000080"/>
            <w:vAlign w:val="bottom"/>
          </w:tcPr>
          <w:p w14:paraId="4EC640B0" w14:textId="639BA0C6" w:rsidR="0089607E" w:rsidRPr="006D3D09" w:rsidRDefault="00B36D91" w:rsidP="005453C6">
            <w:pPr>
              <w:jc w:val="center"/>
              <w:rPr>
                <w:rFonts w:ascii="Arial" w:hAnsi="Arial" w:cs="Arial"/>
                <w:b/>
                <w:bCs/>
                <w:color w:val="FFFFFF"/>
                <w:sz w:val="20"/>
                <w:szCs w:val="20"/>
              </w:rPr>
            </w:pPr>
            <w:r>
              <w:rPr>
                <w:rFonts w:ascii="Arial" w:hAnsi="Arial" w:cs="Arial"/>
                <w:b/>
                <w:bCs/>
                <w:color w:val="FFFFFF"/>
                <w:sz w:val="20"/>
                <w:szCs w:val="20"/>
              </w:rPr>
              <w:t>FY 2021</w:t>
            </w:r>
          </w:p>
        </w:tc>
        <w:tc>
          <w:tcPr>
            <w:tcW w:w="1080" w:type="dxa"/>
            <w:tcBorders>
              <w:top w:val="single" w:sz="4" w:space="0" w:color="auto"/>
              <w:left w:val="single" w:sz="4" w:space="0" w:color="auto"/>
              <w:bottom w:val="single" w:sz="4" w:space="0" w:color="auto"/>
              <w:right w:val="single" w:sz="4" w:space="0" w:color="auto"/>
            </w:tcBorders>
            <w:shd w:val="clear" w:color="auto" w:fill="000080"/>
            <w:vAlign w:val="bottom"/>
          </w:tcPr>
          <w:p w14:paraId="26AC70F0" w14:textId="6B009693" w:rsidR="0089607E" w:rsidRPr="006D3D09" w:rsidRDefault="00B36D91" w:rsidP="005453C6">
            <w:pPr>
              <w:jc w:val="center"/>
              <w:rPr>
                <w:rFonts w:ascii="Arial" w:hAnsi="Arial" w:cs="Arial"/>
                <w:b/>
                <w:bCs/>
                <w:color w:val="FFFFFF"/>
                <w:sz w:val="20"/>
                <w:szCs w:val="20"/>
              </w:rPr>
            </w:pPr>
            <w:r>
              <w:rPr>
                <w:rFonts w:ascii="Arial" w:hAnsi="Arial" w:cs="Arial"/>
                <w:b/>
                <w:bCs/>
                <w:color w:val="FFFFFF"/>
                <w:sz w:val="20"/>
                <w:szCs w:val="20"/>
              </w:rPr>
              <w:t>FY 2022</w:t>
            </w:r>
          </w:p>
        </w:tc>
        <w:tc>
          <w:tcPr>
            <w:tcW w:w="985" w:type="dxa"/>
            <w:tcBorders>
              <w:top w:val="single" w:sz="4" w:space="0" w:color="auto"/>
              <w:left w:val="single" w:sz="4" w:space="0" w:color="auto"/>
              <w:bottom w:val="single" w:sz="4" w:space="0" w:color="auto"/>
              <w:right w:val="single" w:sz="4" w:space="0" w:color="auto"/>
            </w:tcBorders>
            <w:shd w:val="clear" w:color="auto" w:fill="000080"/>
            <w:vAlign w:val="bottom"/>
          </w:tcPr>
          <w:p w14:paraId="4075683A" w14:textId="255DD291" w:rsidR="0089607E" w:rsidRPr="006D3D09" w:rsidRDefault="00B36D91" w:rsidP="006D3D09">
            <w:pPr>
              <w:jc w:val="center"/>
              <w:rPr>
                <w:rFonts w:ascii="Arial" w:hAnsi="Arial" w:cs="Arial"/>
                <w:b/>
                <w:bCs/>
                <w:color w:val="FFFFFF"/>
                <w:sz w:val="20"/>
                <w:szCs w:val="20"/>
              </w:rPr>
            </w:pPr>
            <w:r>
              <w:rPr>
                <w:rFonts w:ascii="Arial" w:hAnsi="Arial" w:cs="Arial"/>
                <w:b/>
                <w:bCs/>
                <w:color w:val="FFFFFF"/>
                <w:sz w:val="20"/>
                <w:szCs w:val="20"/>
              </w:rPr>
              <w:t>FY 2023</w:t>
            </w:r>
          </w:p>
        </w:tc>
      </w:tr>
      <w:tr w:rsidR="0089607E" w:rsidRPr="00301088" w14:paraId="0EFBDE3D" w14:textId="77777777" w:rsidTr="0098679A">
        <w:trPr>
          <w:cantSplit/>
          <w:trHeight w:val="323"/>
        </w:trPr>
        <w:tc>
          <w:tcPr>
            <w:tcW w:w="1007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4871C90" w14:textId="77777777" w:rsidR="00350FD2" w:rsidRDefault="003656B9" w:rsidP="003656B9">
            <w:pPr>
              <w:tabs>
                <w:tab w:val="left" w:pos="360"/>
                <w:tab w:val="left" w:pos="720"/>
                <w:tab w:val="left" w:pos="1080"/>
                <w:tab w:val="left" w:pos="1440"/>
                <w:tab w:val="left" w:pos="1800"/>
                <w:tab w:val="left" w:pos="2160"/>
              </w:tabs>
              <w:contextualSpacing/>
              <w:jc w:val="center"/>
              <w:rPr>
                <w:rFonts w:ascii="Arial" w:eastAsiaTheme="minorEastAsia" w:hAnsi="Arial" w:cs="Arial"/>
                <w:b/>
                <w:color w:val="000000" w:themeColor="text1"/>
                <w:sz w:val="20"/>
                <w:szCs w:val="20"/>
              </w:rPr>
            </w:pPr>
            <w:r>
              <w:rPr>
                <w:rFonts w:ascii="Arial" w:eastAsiaTheme="minorEastAsia" w:hAnsi="Arial" w:cs="Arial"/>
                <w:b/>
                <w:color w:val="000000" w:themeColor="text1"/>
                <w:sz w:val="20"/>
                <w:szCs w:val="20"/>
              </w:rPr>
              <w:t>Goal 1: Grow Enrollment</w:t>
            </w:r>
            <w:r w:rsidR="0089607E" w:rsidRPr="006D3D09">
              <w:rPr>
                <w:rFonts w:ascii="Arial" w:eastAsiaTheme="minorEastAsia" w:hAnsi="Arial" w:cs="Arial"/>
                <w:b/>
                <w:color w:val="000000" w:themeColor="text1"/>
                <w:sz w:val="20"/>
                <w:szCs w:val="20"/>
              </w:rPr>
              <w:t xml:space="preserve"> – </w:t>
            </w:r>
          </w:p>
          <w:p w14:paraId="4E5F85C5" w14:textId="77777777" w:rsidR="003656B9" w:rsidRDefault="003656B9" w:rsidP="005432CA">
            <w:pPr>
              <w:tabs>
                <w:tab w:val="left" w:pos="360"/>
                <w:tab w:val="left" w:pos="720"/>
                <w:tab w:val="left" w:pos="1080"/>
                <w:tab w:val="left" w:pos="1440"/>
                <w:tab w:val="left" w:pos="1800"/>
                <w:tab w:val="left" w:pos="2160"/>
              </w:tabs>
              <w:ind w:left="360"/>
              <w:contextualSpacing/>
              <w:rPr>
                <w:rFonts w:ascii="Arial" w:eastAsiaTheme="minorEastAsia" w:hAnsi="Arial" w:cs="Arial"/>
                <w:color w:val="000000" w:themeColor="text1"/>
                <w:sz w:val="20"/>
                <w:szCs w:val="20"/>
              </w:rPr>
            </w:pPr>
            <w:r w:rsidRPr="003656B9">
              <w:rPr>
                <w:rFonts w:ascii="Arial" w:eastAsiaTheme="minorEastAsia" w:hAnsi="Arial" w:cs="Arial"/>
                <w:color w:val="000000" w:themeColor="text1"/>
                <w:sz w:val="20"/>
                <w:szCs w:val="20"/>
              </w:rPr>
              <w:t>Objective: Increase new full-time, degree-seeking students by 20% (+450 new students</w:t>
            </w:r>
            <w:r w:rsidR="0062759A">
              <w:rPr>
                <w:rFonts w:ascii="Arial" w:eastAsiaTheme="minorEastAsia" w:hAnsi="Arial" w:cs="Arial"/>
                <w:color w:val="000000" w:themeColor="text1"/>
                <w:sz w:val="20"/>
                <w:szCs w:val="20"/>
              </w:rPr>
              <w:t>, 2,702</w:t>
            </w:r>
            <w:r w:rsidRPr="003656B9">
              <w:rPr>
                <w:rFonts w:ascii="Arial" w:eastAsiaTheme="minorEastAsia" w:hAnsi="Arial" w:cs="Arial"/>
                <w:color w:val="000000" w:themeColor="text1"/>
                <w:sz w:val="20"/>
                <w:szCs w:val="20"/>
              </w:rPr>
              <w:t xml:space="preserve">) over the next five </w:t>
            </w:r>
            <w:proofErr w:type="gramStart"/>
            <w:r w:rsidRPr="003656B9">
              <w:rPr>
                <w:rFonts w:ascii="Arial" w:eastAsiaTheme="minorEastAsia" w:hAnsi="Arial" w:cs="Arial"/>
                <w:color w:val="000000" w:themeColor="text1"/>
                <w:sz w:val="20"/>
                <w:szCs w:val="20"/>
              </w:rPr>
              <w:t>years.*</w:t>
            </w:r>
            <w:proofErr w:type="gramEnd"/>
            <w:r w:rsidRPr="003656B9">
              <w:rPr>
                <w:rFonts w:ascii="Arial" w:eastAsiaTheme="minorEastAsia" w:hAnsi="Arial" w:cs="Arial"/>
                <w:color w:val="000000" w:themeColor="text1"/>
                <w:sz w:val="20"/>
                <w:szCs w:val="20"/>
              </w:rPr>
              <w:t xml:space="preserve"> </w:t>
            </w:r>
          </w:p>
          <w:p w14:paraId="419BBF04" w14:textId="77777777" w:rsidR="0089607E" w:rsidRPr="003656B9" w:rsidRDefault="00350FD2" w:rsidP="003656B9">
            <w:pPr>
              <w:tabs>
                <w:tab w:val="left" w:pos="360"/>
                <w:tab w:val="left" w:pos="720"/>
                <w:tab w:val="left" w:pos="1080"/>
                <w:tab w:val="left" w:pos="1440"/>
                <w:tab w:val="left" w:pos="1800"/>
                <w:tab w:val="left" w:pos="2160"/>
              </w:tabs>
              <w:contextualSpacing/>
              <w:jc w:val="center"/>
              <w:rPr>
                <w:rFonts w:ascii="Arial" w:eastAsiaTheme="minorEastAsia" w:hAnsi="Arial" w:cs="Arial"/>
                <w:sz w:val="18"/>
                <w:szCs w:val="18"/>
              </w:rPr>
            </w:pPr>
            <w:r w:rsidRPr="00350FD2">
              <w:rPr>
                <w:rFonts w:ascii="Arial" w:eastAsiaTheme="minorEastAsia" w:hAnsi="Arial" w:cs="Arial"/>
                <w:color w:val="000000" w:themeColor="text1"/>
                <w:sz w:val="20"/>
                <w:szCs w:val="20"/>
              </w:rPr>
              <w:t>* full-time certificate and undergraduate and full and part-time graduate degree-seeking students</w:t>
            </w:r>
          </w:p>
        </w:tc>
      </w:tr>
      <w:tr w:rsidR="00D64593" w:rsidRPr="00301088" w14:paraId="4B2C3B11" w14:textId="77777777" w:rsidTr="00A850F7">
        <w:trPr>
          <w:cantSplit/>
          <w:trHeight w:val="288"/>
        </w:trPr>
        <w:tc>
          <w:tcPr>
            <w:tcW w:w="3925" w:type="dxa"/>
            <w:vMerge w:val="restart"/>
            <w:tcBorders>
              <w:top w:val="single" w:sz="4" w:space="0" w:color="auto"/>
              <w:left w:val="single" w:sz="4" w:space="0" w:color="auto"/>
              <w:bottom w:val="single" w:sz="4" w:space="0" w:color="auto"/>
              <w:right w:val="single" w:sz="4" w:space="0" w:color="auto"/>
            </w:tcBorders>
            <w:hideMark/>
          </w:tcPr>
          <w:p w14:paraId="6F897F35" w14:textId="35B177B7" w:rsidR="00D64593" w:rsidRPr="00A850F7" w:rsidRDefault="00D64593" w:rsidP="00D64593">
            <w:pPr>
              <w:rPr>
                <w:rFonts w:ascii="Arial" w:eastAsiaTheme="minorEastAsia" w:hAnsi="Arial" w:cs="Arial"/>
                <w:color w:val="000000" w:themeColor="text1"/>
                <w:sz w:val="20"/>
                <w:szCs w:val="20"/>
              </w:rPr>
            </w:pPr>
            <w:r w:rsidRPr="00A850F7">
              <w:rPr>
                <w:rFonts w:ascii="Arial" w:eastAsiaTheme="minorEastAsia" w:hAnsi="Arial" w:cs="Arial"/>
                <w:b/>
                <w:color w:val="000000" w:themeColor="text1"/>
                <w:sz w:val="20"/>
                <w:szCs w:val="20"/>
              </w:rPr>
              <w:t>1.</w:t>
            </w:r>
            <w:r w:rsidRPr="00A850F7">
              <w:rPr>
                <w:rFonts w:ascii="Arial" w:eastAsiaTheme="minorEastAsia" w:hAnsi="Arial" w:cs="Arial"/>
                <w:color w:val="000000" w:themeColor="text1"/>
                <w:sz w:val="20"/>
                <w:szCs w:val="20"/>
              </w:rPr>
              <w:t xml:space="preserve"> Increase new full-time, certificate and degree-seeking undergraduate student enrollment and full and part-time graduate student enrollment for FYs 18-22 by 20% (450).</w:t>
            </w:r>
            <w:r w:rsidRPr="00A850F7">
              <w:rPr>
                <w:rFonts w:ascii="Arial" w:hAnsi="Arial" w:cs="Arial"/>
                <w:sz w:val="20"/>
                <w:szCs w:val="20"/>
                <w:vertAlign w:val="superscript"/>
              </w:rPr>
              <w:t xml:space="preserve"> </w:t>
            </w:r>
          </w:p>
        </w:tc>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E2052D" w14:textId="77777777" w:rsidR="00D64593" w:rsidRPr="00A850F7" w:rsidRDefault="00D64593" w:rsidP="00D64593">
            <w:pPr>
              <w:jc w:val="center"/>
              <w:rPr>
                <w:rFonts w:ascii="Arial" w:hAnsi="Arial" w:cs="Arial"/>
                <w:sz w:val="20"/>
                <w:szCs w:val="20"/>
              </w:rPr>
            </w:pPr>
            <w:r w:rsidRPr="00A850F7">
              <w:rPr>
                <w:rFonts w:ascii="Arial" w:hAnsi="Arial" w:cs="Arial"/>
                <w:sz w:val="20"/>
                <w:szCs w:val="20"/>
              </w:rPr>
              <w:t>actual</w:t>
            </w:r>
          </w:p>
        </w:tc>
        <w:tc>
          <w:tcPr>
            <w:tcW w:w="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D38A2" w14:textId="5F891B8B" w:rsidR="00D64593" w:rsidRPr="00A850F7" w:rsidRDefault="00D64593" w:rsidP="00D64593">
            <w:pPr>
              <w:jc w:val="center"/>
              <w:rPr>
                <w:rFonts w:ascii="Arial" w:hAnsi="Arial" w:cs="Arial"/>
                <w:sz w:val="20"/>
                <w:szCs w:val="20"/>
              </w:rPr>
            </w:pPr>
            <w:r w:rsidRPr="00A850F7">
              <w:rPr>
                <w:rFonts w:ascii="Arial" w:hAnsi="Arial" w:cs="Arial"/>
                <w:sz w:val="20"/>
                <w:szCs w:val="20"/>
              </w:rPr>
              <w:t>2,327</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27BE9" w14:textId="29F28714" w:rsidR="00D64593" w:rsidRPr="00A850F7" w:rsidRDefault="00D64593" w:rsidP="00D64593">
            <w:pPr>
              <w:jc w:val="center"/>
              <w:rPr>
                <w:rFonts w:ascii="Arial" w:hAnsi="Arial" w:cs="Arial"/>
                <w:sz w:val="20"/>
                <w:szCs w:val="20"/>
              </w:rPr>
            </w:pPr>
            <w:r w:rsidRPr="00A850F7">
              <w:rPr>
                <w:rFonts w:ascii="Arial" w:hAnsi="Arial" w:cs="Arial"/>
                <w:sz w:val="20"/>
                <w:szCs w:val="20"/>
              </w:rPr>
              <w:t>2,319</w:t>
            </w:r>
          </w:p>
        </w:tc>
        <w:tc>
          <w:tcPr>
            <w:tcW w:w="13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88A69" w14:textId="5834CD1A" w:rsidR="00D64593" w:rsidRPr="00A850F7" w:rsidRDefault="00D64593" w:rsidP="00D64593">
            <w:pPr>
              <w:jc w:val="center"/>
              <w:rPr>
                <w:rFonts w:ascii="Arial" w:hAnsi="Arial" w:cs="Arial"/>
                <w:sz w:val="20"/>
                <w:szCs w:val="20"/>
              </w:rPr>
            </w:pPr>
            <w:r w:rsidRPr="00A850F7">
              <w:rPr>
                <w:rFonts w:ascii="Arial" w:hAnsi="Arial" w:cs="Arial"/>
                <w:sz w:val="20"/>
                <w:szCs w:val="20"/>
              </w:rPr>
              <w:t>2,255</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2C625" w14:textId="7CAD392E" w:rsidR="00D64593" w:rsidRPr="00A850F7" w:rsidRDefault="00D64593" w:rsidP="00D64593">
            <w:pPr>
              <w:jc w:val="center"/>
              <w:rPr>
                <w:rFonts w:ascii="Arial" w:hAnsi="Arial" w:cs="Arial"/>
                <w:sz w:val="20"/>
                <w:szCs w:val="20"/>
              </w:rPr>
            </w:pPr>
            <w:r w:rsidRPr="00A850F7">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857C8" w14:textId="29BFD021" w:rsidR="00D64593" w:rsidRPr="00A850F7" w:rsidRDefault="00D64593" w:rsidP="00D64593">
            <w:pPr>
              <w:jc w:val="center"/>
              <w:rPr>
                <w:rFonts w:ascii="Arial" w:hAnsi="Arial" w:cs="Arial"/>
                <w:sz w:val="20"/>
                <w:szCs w:val="20"/>
              </w:rPr>
            </w:pPr>
          </w:p>
        </w:tc>
      </w:tr>
      <w:tr w:rsidR="00D64593" w:rsidRPr="00301088" w14:paraId="1DF16299" w14:textId="77777777" w:rsidTr="00A850F7">
        <w:trPr>
          <w:cantSplit/>
          <w:trHeight w:val="288"/>
        </w:trPr>
        <w:tc>
          <w:tcPr>
            <w:tcW w:w="3925" w:type="dxa"/>
            <w:vMerge/>
            <w:tcBorders>
              <w:top w:val="single" w:sz="4" w:space="0" w:color="auto"/>
              <w:left w:val="single" w:sz="4" w:space="0" w:color="auto"/>
              <w:bottom w:val="single" w:sz="4" w:space="0" w:color="auto"/>
              <w:right w:val="single" w:sz="4" w:space="0" w:color="auto"/>
            </w:tcBorders>
            <w:vAlign w:val="center"/>
            <w:hideMark/>
          </w:tcPr>
          <w:p w14:paraId="7AE2E9D7" w14:textId="77777777" w:rsidR="00D64593" w:rsidRPr="00A850F7" w:rsidRDefault="00D64593" w:rsidP="00D64593">
            <w:pPr>
              <w:pStyle w:val="ListParagraph"/>
              <w:numPr>
                <w:ilvl w:val="0"/>
                <w:numId w:val="5"/>
              </w:numPr>
              <w:ind w:left="342"/>
              <w:rPr>
                <w:rFonts w:ascii="Arial" w:hAnsi="Arial" w:cs="Arial"/>
                <w:bCs/>
                <w:sz w:val="20"/>
                <w:szCs w:val="20"/>
              </w:rPr>
            </w:pPr>
          </w:p>
        </w:tc>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31E82B" w14:textId="77777777" w:rsidR="00D64593" w:rsidRPr="00A850F7" w:rsidRDefault="00D64593" w:rsidP="00D64593">
            <w:pPr>
              <w:jc w:val="center"/>
              <w:rPr>
                <w:rFonts w:ascii="Arial" w:hAnsi="Arial" w:cs="Arial"/>
                <w:sz w:val="20"/>
                <w:szCs w:val="20"/>
              </w:rPr>
            </w:pPr>
            <w:r w:rsidRPr="00A850F7">
              <w:rPr>
                <w:rFonts w:ascii="Arial" w:hAnsi="Arial" w:cs="Arial"/>
                <w:i/>
                <w:sz w:val="20"/>
                <w:szCs w:val="20"/>
              </w:rPr>
              <w:t>target</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4BE9F" w14:textId="1C7798A4" w:rsidR="00D64593" w:rsidRPr="00A850F7" w:rsidRDefault="00D64593" w:rsidP="00D64593">
            <w:pPr>
              <w:jc w:val="center"/>
              <w:rPr>
                <w:rFonts w:ascii="Arial" w:hAnsi="Arial" w:cs="Arial"/>
                <w:i/>
                <w:sz w:val="20"/>
                <w:szCs w:val="20"/>
              </w:rPr>
            </w:pPr>
            <w:r w:rsidRPr="00A850F7">
              <w:rPr>
                <w:rFonts w:ascii="Arial" w:hAnsi="Arial" w:cs="Arial"/>
                <w:i/>
                <w:sz w:val="20"/>
                <w:szCs w:val="20"/>
              </w:rPr>
              <w:t>2,401</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19D1F" w14:textId="33279A07" w:rsidR="00D64593" w:rsidRPr="00A850F7" w:rsidRDefault="00D64593" w:rsidP="00D64593">
            <w:pPr>
              <w:jc w:val="center"/>
              <w:rPr>
                <w:rFonts w:ascii="Arial" w:hAnsi="Arial" w:cs="Arial"/>
                <w:i/>
                <w:sz w:val="20"/>
                <w:szCs w:val="20"/>
              </w:rPr>
            </w:pPr>
            <w:r w:rsidRPr="00A850F7">
              <w:rPr>
                <w:rFonts w:ascii="Arial" w:hAnsi="Arial" w:cs="Arial"/>
                <w:i/>
                <w:sz w:val="20"/>
                <w:szCs w:val="20"/>
              </w:rPr>
              <w:t>2,485</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5936A" w14:textId="114CDF34" w:rsidR="00D64593" w:rsidRPr="00A850F7" w:rsidRDefault="00D64593" w:rsidP="00D64593">
            <w:pPr>
              <w:jc w:val="center"/>
              <w:rPr>
                <w:rFonts w:ascii="Arial" w:hAnsi="Arial" w:cs="Arial"/>
                <w:i/>
                <w:sz w:val="20"/>
                <w:szCs w:val="20"/>
              </w:rPr>
            </w:pPr>
            <w:r w:rsidRPr="00A850F7">
              <w:rPr>
                <w:rFonts w:ascii="Arial" w:hAnsi="Arial" w:cs="Arial"/>
                <w:i/>
                <w:sz w:val="20"/>
                <w:szCs w:val="20"/>
              </w:rPr>
              <w:t>2,499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52B98" w14:textId="4D1B8D81" w:rsidR="00D64593" w:rsidRPr="00A850F7" w:rsidRDefault="00D64593" w:rsidP="00D64593">
            <w:pPr>
              <w:jc w:val="center"/>
              <w:rPr>
                <w:rFonts w:ascii="Arial" w:hAnsi="Arial" w:cs="Arial"/>
                <w:i/>
                <w:sz w:val="20"/>
                <w:szCs w:val="20"/>
              </w:rPr>
            </w:pPr>
            <w:r w:rsidRPr="00A850F7">
              <w:rPr>
                <w:rFonts w:ascii="Arial" w:hAnsi="Arial" w:cs="Arial"/>
                <w:i/>
                <w:sz w:val="20"/>
                <w:szCs w:val="20"/>
              </w:rPr>
              <w:t>2,702</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610D9" w14:textId="475BD416" w:rsidR="00D64593" w:rsidRPr="00A850F7" w:rsidRDefault="00D64593" w:rsidP="00D64593">
            <w:pPr>
              <w:jc w:val="center"/>
              <w:rPr>
                <w:rFonts w:ascii="Arial" w:hAnsi="Arial" w:cs="Arial"/>
                <w:i/>
                <w:sz w:val="20"/>
                <w:szCs w:val="20"/>
              </w:rPr>
            </w:pPr>
          </w:p>
        </w:tc>
      </w:tr>
      <w:tr w:rsidR="00D64593" w:rsidRPr="00301088" w14:paraId="4DB2A17A" w14:textId="77777777" w:rsidTr="0098679A">
        <w:trPr>
          <w:cantSplit/>
          <w:trHeight w:val="746"/>
        </w:trPr>
        <w:tc>
          <w:tcPr>
            <w:tcW w:w="10070" w:type="dxa"/>
            <w:gridSpan w:val="9"/>
            <w:tcBorders>
              <w:top w:val="single" w:sz="4" w:space="0" w:color="auto"/>
              <w:left w:val="single" w:sz="4" w:space="0" w:color="auto"/>
              <w:right w:val="single" w:sz="4" w:space="0" w:color="auto"/>
            </w:tcBorders>
            <w:shd w:val="clear" w:color="auto" w:fill="DBE5F1" w:themeFill="accent1" w:themeFillTint="33"/>
            <w:vAlign w:val="center"/>
          </w:tcPr>
          <w:p w14:paraId="50605488" w14:textId="70ADD48B" w:rsidR="00D64593" w:rsidRDefault="00D64593" w:rsidP="00D64593">
            <w:pPr>
              <w:tabs>
                <w:tab w:val="left" w:pos="360"/>
                <w:tab w:val="left" w:pos="720"/>
                <w:tab w:val="left" w:pos="1080"/>
                <w:tab w:val="left" w:pos="1440"/>
                <w:tab w:val="left" w:pos="1800"/>
                <w:tab w:val="left" w:pos="2160"/>
              </w:tabs>
              <w:contextualSpacing/>
              <w:jc w:val="center"/>
              <w:rPr>
                <w:rFonts w:ascii="Arial" w:eastAsiaTheme="minorEastAsia" w:hAnsi="Arial" w:cs="Arial"/>
                <w:b/>
                <w:color w:val="000000" w:themeColor="text1"/>
                <w:sz w:val="20"/>
                <w:szCs w:val="20"/>
              </w:rPr>
            </w:pPr>
            <w:r>
              <w:rPr>
                <w:rFonts w:ascii="Arial" w:eastAsiaTheme="minorEastAsia" w:hAnsi="Arial" w:cs="Arial"/>
                <w:b/>
                <w:color w:val="000000" w:themeColor="text1"/>
                <w:sz w:val="20"/>
                <w:szCs w:val="20"/>
              </w:rPr>
              <w:t xml:space="preserve">Goal 2: </w:t>
            </w:r>
            <w:r w:rsidRPr="00764966">
              <w:rPr>
                <w:rFonts w:ascii="Arial" w:eastAsiaTheme="minorEastAsia" w:hAnsi="Arial" w:cs="Arial"/>
                <w:b/>
                <w:color w:val="000000" w:themeColor="text1"/>
                <w:sz w:val="20"/>
                <w:szCs w:val="20"/>
              </w:rPr>
              <w:t xml:space="preserve">Strengthen Retention </w:t>
            </w:r>
            <w:r w:rsidRPr="006D3D09">
              <w:rPr>
                <w:rFonts w:ascii="Arial" w:eastAsiaTheme="minorEastAsia" w:hAnsi="Arial" w:cs="Arial"/>
                <w:b/>
                <w:color w:val="000000" w:themeColor="text1"/>
                <w:sz w:val="20"/>
                <w:szCs w:val="20"/>
              </w:rPr>
              <w:t xml:space="preserve">– </w:t>
            </w:r>
          </w:p>
          <w:p w14:paraId="1A97D427" w14:textId="77777777" w:rsidR="00D64593" w:rsidRPr="00301088" w:rsidRDefault="00D64593" w:rsidP="00D64593">
            <w:pPr>
              <w:jc w:val="center"/>
              <w:rPr>
                <w:rFonts w:ascii="Arial" w:hAnsi="Arial" w:cs="Arial"/>
                <w:i/>
                <w:sz w:val="16"/>
                <w:szCs w:val="16"/>
              </w:rPr>
            </w:pPr>
            <w:r w:rsidRPr="00764966">
              <w:rPr>
                <w:rFonts w:ascii="Arial" w:eastAsiaTheme="minorEastAsia" w:hAnsi="Arial" w:cs="Arial"/>
                <w:color w:val="000000" w:themeColor="text1"/>
                <w:sz w:val="20"/>
                <w:szCs w:val="20"/>
              </w:rPr>
              <w:t>Objective: Improve undergraduate student retention rates by 5% by 2022.</w:t>
            </w:r>
          </w:p>
        </w:tc>
      </w:tr>
      <w:tr w:rsidR="00D64593" w:rsidRPr="00301088" w14:paraId="67EE93F9" w14:textId="77777777" w:rsidTr="00A850F7">
        <w:trPr>
          <w:cantSplit/>
          <w:trHeight w:val="251"/>
        </w:trPr>
        <w:tc>
          <w:tcPr>
            <w:tcW w:w="3925" w:type="dxa"/>
            <w:vMerge w:val="restart"/>
            <w:tcBorders>
              <w:top w:val="single" w:sz="4" w:space="0" w:color="auto"/>
              <w:left w:val="single" w:sz="4" w:space="0" w:color="auto"/>
              <w:right w:val="single" w:sz="4" w:space="0" w:color="auto"/>
            </w:tcBorders>
          </w:tcPr>
          <w:p w14:paraId="58E99FD5" w14:textId="44ED29D3" w:rsidR="00D64593" w:rsidRPr="00A850F7" w:rsidRDefault="00D64593" w:rsidP="00D64593">
            <w:pPr>
              <w:rPr>
                <w:rFonts w:ascii="Arial" w:eastAsiaTheme="minorEastAsia" w:hAnsi="Arial" w:cs="Arial"/>
                <w:color w:val="000000" w:themeColor="text1"/>
                <w:sz w:val="20"/>
                <w:szCs w:val="20"/>
              </w:rPr>
            </w:pPr>
            <w:r w:rsidRPr="00A850F7">
              <w:rPr>
                <w:rFonts w:ascii="Arial" w:eastAsiaTheme="minorEastAsia" w:hAnsi="Arial" w:cs="Arial"/>
                <w:b/>
                <w:color w:val="000000" w:themeColor="text1"/>
                <w:sz w:val="20"/>
                <w:szCs w:val="20"/>
              </w:rPr>
              <w:t>2</w:t>
            </w:r>
            <w:r w:rsidRPr="00A850F7">
              <w:rPr>
                <w:rFonts w:ascii="Arial" w:eastAsiaTheme="minorEastAsia" w:hAnsi="Arial" w:cs="Arial"/>
                <w:color w:val="000000" w:themeColor="text1"/>
                <w:sz w:val="20"/>
                <w:szCs w:val="20"/>
              </w:rPr>
              <w:t xml:space="preserve">. Fall-to-fall, full-time, first-time </w:t>
            </w:r>
            <w:proofErr w:type="gramStart"/>
            <w:r w:rsidRPr="00A850F7">
              <w:rPr>
                <w:rFonts w:ascii="Arial" w:eastAsiaTheme="minorEastAsia" w:hAnsi="Arial" w:cs="Arial"/>
                <w:color w:val="000000" w:themeColor="text1"/>
                <w:sz w:val="20"/>
                <w:szCs w:val="20"/>
              </w:rPr>
              <w:t>bachelor</w:t>
            </w:r>
            <w:proofErr w:type="gramEnd"/>
            <w:r w:rsidRPr="00A850F7">
              <w:rPr>
                <w:rFonts w:ascii="Arial" w:eastAsiaTheme="minorEastAsia" w:hAnsi="Arial" w:cs="Arial"/>
                <w:color w:val="000000" w:themeColor="text1"/>
                <w:sz w:val="20"/>
                <w:szCs w:val="20"/>
              </w:rPr>
              <w:t xml:space="preserve"> degree-seeking student retention rate </w:t>
            </w:r>
          </w:p>
          <w:p w14:paraId="15A59868" w14:textId="77777777" w:rsidR="00D64593" w:rsidRPr="00A850F7" w:rsidRDefault="00D64593" w:rsidP="00D64593">
            <w:pPr>
              <w:rPr>
                <w:rFonts w:ascii="Arial" w:eastAsiaTheme="minorEastAsia" w:hAnsi="Arial" w:cs="Arial"/>
                <w:color w:val="000000" w:themeColor="text1"/>
                <w:sz w:val="20"/>
                <w:szCs w:val="20"/>
              </w:rPr>
            </w:pPr>
            <w:r w:rsidRPr="00A850F7">
              <w:rPr>
                <w:rFonts w:ascii="Arial" w:eastAsiaTheme="minorEastAsia" w:hAnsi="Arial" w:cs="Arial"/>
                <w:color w:val="000000" w:themeColor="text1"/>
                <w:sz w:val="20"/>
                <w:szCs w:val="20"/>
              </w:rPr>
              <w:t>FYs 18-22.</w:t>
            </w:r>
          </w:p>
          <w:p w14:paraId="0CD48216" w14:textId="72C1ADC7" w:rsidR="00D64593" w:rsidRPr="00A850F7" w:rsidRDefault="00D64593" w:rsidP="00D64593">
            <w:pPr>
              <w:rPr>
                <w:rFonts w:ascii="Arial" w:hAnsi="Arial" w:cs="Arial"/>
                <w:b/>
                <w:sz w:val="20"/>
                <w:szCs w:val="20"/>
              </w:rPr>
            </w:pPr>
            <w:r w:rsidRPr="00A850F7">
              <w:rPr>
                <w:rFonts w:ascii="Arial" w:eastAsiaTheme="minorEastAsia" w:hAnsi="Arial" w:cs="Arial"/>
                <w:b/>
                <w:color w:val="000000" w:themeColor="text1"/>
                <w:sz w:val="20"/>
                <w:szCs w:val="20"/>
              </w:rPr>
              <w:t>Benchmark Definition:</w:t>
            </w:r>
            <w:r w:rsidRPr="00A850F7">
              <w:rPr>
                <w:rFonts w:ascii="Arial" w:eastAsiaTheme="minorEastAsia" w:hAnsi="Arial" w:cs="Arial"/>
                <w:color w:val="000000" w:themeColor="text1"/>
                <w:sz w:val="20"/>
                <w:szCs w:val="20"/>
              </w:rPr>
              <w:t xml:space="preserve"> A 5% (74%) increase in fall-to-fall, full-time, first-time </w:t>
            </w:r>
            <w:proofErr w:type="gramStart"/>
            <w:r w:rsidRPr="00A850F7">
              <w:rPr>
                <w:rFonts w:ascii="Arial" w:eastAsiaTheme="minorEastAsia" w:hAnsi="Arial" w:cs="Arial"/>
                <w:color w:val="000000" w:themeColor="text1"/>
                <w:sz w:val="20"/>
                <w:szCs w:val="20"/>
              </w:rPr>
              <w:t>bachelor</w:t>
            </w:r>
            <w:proofErr w:type="gramEnd"/>
            <w:r w:rsidRPr="00A850F7">
              <w:rPr>
                <w:rFonts w:ascii="Arial" w:eastAsiaTheme="minorEastAsia" w:hAnsi="Arial" w:cs="Arial"/>
                <w:color w:val="000000" w:themeColor="text1"/>
                <w:sz w:val="20"/>
                <w:szCs w:val="20"/>
              </w:rPr>
              <w:t xml:space="preserve"> degree-seeking student retention rate beginning from FY 16 (69%) retention numbers (SBOE benchmark = 80%).</w:t>
            </w:r>
            <w:r w:rsidRPr="00A850F7">
              <w:rPr>
                <w:rFonts w:ascii="Arial" w:hAnsi="Arial" w:cs="Arial"/>
                <w:sz w:val="20"/>
                <w:szCs w:val="20"/>
                <w:vertAlign w:val="superscript"/>
              </w:rPr>
              <w:t>1</w:t>
            </w:r>
          </w:p>
        </w:tc>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F313A" w14:textId="77777777" w:rsidR="00D64593" w:rsidRPr="00A850F7" w:rsidRDefault="00D64593" w:rsidP="00D64593">
            <w:pPr>
              <w:jc w:val="center"/>
              <w:rPr>
                <w:rFonts w:ascii="Arial" w:hAnsi="Arial" w:cs="Arial"/>
                <w:sz w:val="20"/>
                <w:szCs w:val="20"/>
              </w:rPr>
            </w:pPr>
            <w:r w:rsidRPr="00A850F7">
              <w:rPr>
                <w:rFonts w:ascii="Arial" w:hAnsi="Arial" w:cs="Arial"/>
                <w:sz w:val="20"/>
                <w:szCs w:val="20"/>
              </w:rPr>
              <w:t>actual</w:t>
            </w:r>
          </w:p>
        </w:tc>
        <w:tc>
          <w:tcPr>
            <w:tcW w:w="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0507E" w14:textId="69F1B679" w:rsidR="00D64593" w:rsidRPr="00A850F7" w:rsidRDefault="00D64593" w:rsidP="00D64593">
            <w:pPr>
              <w:jc w:val="center"/>
              <w:rPr>
                <w:rFonts w:ascii="Arial" w:hAnsi="Arial" w:cs="Arial"/>
                <w:sz w:val="20"/>
                <w:szCs w:val="20"/>
              </w:rPr>
            </w:pPr>
            <w:r w:rsidRPr="00A850F7">
              <w:rPr>
                <w:rFonts w:ascii="Arial" w:hAnsi="Arial" w:cs="Arial"/>
                <w:sz w:val="20"/>
                <w:szCs w:val="20"/>
              </w:rPr>
              <w:t>64%</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FCC41E" w14:textId="78F23464" w:rsidR="00D64593" w:rsidRPr="00A850F7" w:rsidRDefault="00D64593" w:rsidP="00D64593">
            <w:pPr>
              <w:jc w:val="center"/>
              <w:rPr>
                <w:rFonts w:ascii="Arial" w:hAnsi="Arial" w:cs="Arial"/>
                <w:sz w:val="20"/>
                <w:szCs w:val="20"/>
              </w:rPr>
            </w:pPr>
            <w:r w:rsidRPr="00A850F7">
              <w:rPr>
                <w:rFonts w:ascii="Arial" w:hAnsi="Arial" w:cs="Arial"/>
                <w:sz w:val="20"/>
                <w:szCs w:val="20"/>
              </w:rPr>
              <w:t>63%</w:t>
            </w:r>
          </w:p>
        </w:tc>
        <w:tc>
          <w:tcPr>
            <w:tcW w:w="13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FCA4A3" w14:textId="7ED0EADE" w:rsidR="00D64593" w:rsidRPr="00A850F7" w:rsidRDefault="00D64593" w:rsidP="00D64593">
            <w:pPr>
              <w:jc w:val="center"/>
              <w:rPr>
                <w:rFonts w:ascii="Arial" w:hAnsi="Arial" w:cs="Arial"/>
                <w:sz w:val="20"/>
                <w:szCs w:val="20"/>
              </w:rPr>
            </w:pPr>
            <w:r w:rsidRPr="00A850F7">
              <w:rPr>
                <w:rFonts w:ascii="Arial" w:hAnsi="Arial" w:cs="Arial"/>
                <w:sz w:val="20"/>
                <w:szCs w:val="20"/>
              </w:rPr>
              <w:t>66%</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4F715" w14:textId="2FCF414F" w:rsidR="00D64593" w:rsidRPr="00A850F7" w:rsidRDefault="00D64593" w:rsidP="00D64593">
            <w:pPr>
              <w:jc w:val="center"/>
              <w:rPr>
                <w:rFonts w:ascii="Arial" w:hAnsi="Arial" w:cs="Arial"/>
                <w:sz w:val="20"/>
                <w:szCs w:val="20"/>
              </w:rPr>
            </w:pPr>
            <w:r w:rsidRPr="00A850F7">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78964" w14:textId="1BA1FC5C" w:rsidR="00D64593" w:rsidRPr="00A850F7" w:rsidRDefault="00D64593" w:rsidP="00D64593">
            <w:pPr>
              <w:jc w:val="center"/>
              <w:rPr>
                <w:rFonts w:ascii="Arial" w:hAnsi="Arial" w:cs="Arial"/>
                <w:sz w:val="20"/>
                <w:szCs w:val="20"/>
              </w:rPr>
            </w:pPr>
          </w:p>
        </w:tc>
      </w:tr>
      <w:tr w:rsidR="00D64593" w:rsidRPr="00301088" w14:paraId="27290244" w14:textId="77777777" w:rsidTr="00A850F7">
        <w:trPr>
          <w:cantSplit/>
          <w:trHeight w:val="251"/>
        </w:trPr>
        <w:tc>
          <w:tcPr>
            <w:tcW w:w="3925" w:type="dxa"/>
            <w:vMerge/>
            <w:tcBorders>
              <w:top w:val="single" w:sz="4" w:space="0" w:color="auto"/>
              <w:left w:val="single" w:sz="4" w:space="0" w:color="auto"/>
              <w:right w:val="single" w:sz="4" w:space="0" w:color="auto"/>
            </w:tcBorders>
          </w:tcPr>
          <w:p w14:paraId="46AF9EB5" w14:textId="77777777" w:rsidR="00D64593" w:rsidRPr="00A850F7" w:rsidRDefault="00D64593" w:rsidP="00D64593">
            <w:pPr>
              <w:rPr>
                <w:rFonts w:ascii="Arial" w:eastAsiaTheme="minorEastAsia" w:hAnsi="Arial" w:cs="Arial"/>
                <w:b/>
                <w:color w:val="000000" w:themeColor="text1"/>
                <w:sz w:val="20"/>
                <w:szCs w:val="20"/>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A686B21" w14:textId="77777777" w:rsidR="00D64593" w:rsidRPr="00A850F7" w:rsidRDefault="00D64593" w:rsidP="00D64593">
            <w:pPr>
              <w:jc w:val="center"/>
              <w:rPr>
                <w:rFonts w:ascii="Arial" w:hAnsi="Arial" w:cs="Arial"/>
                <w:sz w:val="20"/>
                <w:szCs w:val="20"/>
              </w:rPr>
            </w:pPr>
            <w:r w:rsidRPr="00A850F7">
              <w:rPr>
                <w:rFonts w:ascii="Arial" w:hAnsi="Arial" w:cs="Arial"/>
                <w:sz w:val="20"/>
                <w:szCs w:val="20"/>
              </w:rPr>
              <w:t>Total</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72E2C7F9" w14:textId="3D093483" w:rsidR="00D64593" w:rsidRPr="00A850F7" w:rsidRDefault="00D64593" w:rsidP="00D64593">
            <w:pPr>
              <w:jc w:val="center"/>
              <w:rPr>
                <w:rFonts w:ascii="Arial" w:hAnsi="Arial" w:cs="Arial"/>
                <w:sz w:val="20"/>
                <w:szCs w:val="20"/>
              </w:rPr>
            </w:pPr>
            <w:r w:rsidRPr="00A850F7">
              <w:rPr>
                <w:rFonts w:ascii="Arial" w:hAnsi="Arial" w:cs="Arial"/>
                <w:sz w:val="20"/>
                <w:szCs w:val="20"/>
              </w:rPr>
              <w:t>1,174</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1E8662" w14:textId="25306400" w:rsidR="00D64593" w:rsidRPr="00A850F7" w:rsidRDefault="00D64593" w:rsidP="00D64593">
            <w:pPr>
              <w:jc w:val="center"/>
              <w:rPr>
                <w:rFonts w:ascii="Arial" w:hAnsi="Arial" w:cs="Arial"/>
                <w:sz w:val="20"/>
                <w:szCs w:val="20"/>
              </w:rPr>
            </w:pPr>
            <w:r w:rsidRPr="00A850F7">
              <w:rPr>
                <w:rFonts w:ascii="Arial" w:hAnsi="Arial" w:cs="Arial"/>
                <w:sz w:val="20"/>
                <w:szCs w:val="20"/>
              </w:rPr>
              <w:t>1,073</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0B1618E0" w14:textId="4C7928BE" w:rsidR="00D64593" w:rsidRPr="00A850F7" w:rsidRDefault="00D64593" w:rsidP="00D64593">
            <w:pPr>
              <w:jc w:val="center"/>
              <w:rPr>
                <w:rFonts w:ascii="Arial" w:hAnsi="Arial" w:cs="Arial"/>
                <w:sz w:val="20"/>
                <w:szCs w:val="20"/>
              </w:rPr>
            </w:pPr>
            <w:r w:rsidRPr="00A850F7">
              <w:rPr>
                <w:rFonts w:ascii="Arial" w:hAnsi="Arial" w:cs="Arial"/>
                <w:sz w:val="20"/>
                <w:szCs w:val="20"/>
              </w:rPr>
              <w:t>992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9C4F07D" w14:textId="5F1CEB92" w:rsidR="00D64593" w:rsidRPr="00A850F7" w:rsidRDefault="00D64593" w:rsidP="00D64593">
            <w:pPr>
              <w:jc w:val="center"/>
              <w:rPr>
                <w:rFonts w:ascii="Arial" w:hAnsi="Arial" w:cs="Arial"/>
                <w:sz w:val="20"/>
                <w:szCs w:val="20"/>
              </w:rPr>
            </w:pPr>
            <w:r w:rsidRPr="00A850F7">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434AC9B5" w14:textId="655F9DC9" w:rsidR="00D64593" w:rsidRPr="00A850F7" w:rsidRDefault="00D64593" w:rsidP="00D64593">
            <w:pPr>
              <w:jc w:val="center"/>
              <w:rPr>
                <w:rFonts w:ascii="Arial" w:hAnsi="Arial" w:cs="Arial"/>
                <w:sz w:val="20"/>
                <w:szCs w:val="20"/>
              </w:rPr>
            </w:pPr>
          </w:p>
        </w:tc>
      </w:tr>
      <w:tr w:rsidR="00D64593" w:rsidRPr="00301088" w14:paraId="4B0FA3ED" w14:textId="77777777" w:rsidTr="00A850F7">
        <w:trPr>
          <w:cantSplit/>
          <w:trHeight w:val="251"/>
        </w:trPr>
        <w:tc>
          <w:tcPr>
            <w:tcW w:w="3925" w:type="dxa"/>
            <w:vMerge/>
            <w:tcBorders>
              <w:top w:val="single" w:sz="4" w:space="0" w:color="auto"/>
              <w:left w:val="single" w:sz="4" w:space="0" w:color="auto"/>
              <w:right w:val="single" w:sz="4" w:space="0" w:color="auto"/>
            </w:tcBorders>
          </w:tcPr>
          <w:p w14:paraId="6B48B88D" w14:textId="77777777" w:rsidR="00D64593" w:rsidRPr="00A850F7" w:rsidRDefault="00D64593" w:rsidP="00D64593">
            <w:pPr>
              <w:rPr>
                <w:rFonts w:ascii="Arial" w:eastAsiaTheme="minorEastAsia" w:hAnsi="Arial" w:cs="Arial"/>
                <w:b/>
                <w:color w:val="000000" w:themeColor="text1"/>
                <w:sz w:val="20"/>
                <w:szCs w:val="20"/>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FDCEEDC" w14:textId="77777777" w:rsidR="00D64593" w:rsidRPr="00A850F7" w:rsidRDefault="00D64593" w:rsidP="00D64593">
            <w:pPr>
              <w:jc w:val="center"/>
              <w:rPr>
                <w:rFonts w:ascii="Arial" w:hAnsi="Arial" w:cs="Arial"/>
                <w:sz w:val="20"/>
                <w:szCs w:val="20"/>
              </w:rPr>
            </w:pPr>
            <w:r w:rsidRPr="00A850F7">
              <w:rPr>
                <w:rFonts w:ascii="Arial" w:hAnsi="Arial" w:cs="Arial"/>
                <w:sz w:val="20"/>
                <w:szCs w:val="20"/>
              </w:rPr>
              <w:t>Retained</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39C44EA8" w14:textId="7386251D" w:rsidR="00D64593" w:rsidRPr="00A850F7" w:rsidRDefault="00D64593" w:rsidP="00D64593">
            <w:pPr>
              <w:jc w:val="center"/>
              <w:rPr>
                <w:rFonts w:ascii="Arial" w:hAnsi="Arial" w:cs="Arial"/>
                <w:sz w:val="20"/>
                <w:szCs w:val="20"/>
              </w:rPr>
            </w:pPr>
            <w:r w:rsidRPr="00A850F7">
              <w:rPr>
                <w:rFonts w:ascii="Arial" w:hAnsi="Arial" w:cs="Arial"/>
                <w:sz w:val="20"/>
                <w:szCs w:val="20"/>
              </w:rPr>
              <w:t>752</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0A499D" w14:textId="7C4ACB02" w:rsidR="00D64593" w:rsidRPr="00A850F7" w:rsidRDefault="00D64593" w:rsidP="00D64593">
            <w:pPr>
              <w:jc w:val="center"/>
              <w:rPr>
                <w:rFonts w:ascii="Arial" w:hAnsi="Arial" w:cs="Arial"/>
                <w:sz w:val="20"/>
                <w:szCs w:val="20"/>
              </w:rPr>
            </w:pPr>
            <w:r w:rsidRPr="00A850F7">
              <w:rPr>
                <w:rFonts w:ascii="Arial" w:hAnsi="Arial" w:cs="Arial"/>
                <w:sz w:val="20"/>
                <w:szCs w:val="20"/>
              </w:rPr>
              <w:t>675</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14B6E9EC" w14:textId="5C5B0722" w:rsidR="00D64593" w:rsidRPr="00A850F7" w:rsidRDefault="00D64593" w:rsidP="00D64593">
            <w:pPr>
              <w:jc w:val="center"/>
              <w:rPr>
                <w:rFonts w:ascii="Arial" w:hAnsi="Arial" w:cs="Arial"/>
                <w:sz w:val="20"/>
                <w:szCs w:val="20"/>
              </w:rPr>
            </w:pPr>
            <w:r w:rsidRPr="00A850F7">
              <w:rPr>
                <w:rFonts w:ascii="Arial" w:hAnsi="Arial" w:cs="Arial"/>
                <w:sz w:val="20"/>
                <w:szCs w:val="20"/>
              </w:rPr>
              <w:t>655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38CD10" w14:textId="2B2D837C" w:rsidR="00D64593" w:rsidRPr="00A850F7" w:rsidRDefault="00D64593" w:rsidP="00D64593">
            <w:pPr>
              <w:jc w:val="center"/>
              <w:rPr>
                <w:rFonts w:ascii="Arial" w:hAnsi="Arial" w:cs="Arial"/>
                <w:sz w:val="20"/>
                <w:szCs w:val="20"/>
              </w:rPr>
            </w:pPr>
            <w:r w:rsidRPr="00A850F7">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461FBFD8" w14:textId="11B4290C" w:rsidR="00D64593" w:rsidRPr="00A850F7" w:rsidRDefault="00D64593" w:rsidP="00D64593">
            <w:pPr>
              <w:jc w:val="center"/>
              <w:rPr>
                <w:rFonts w:ascii="Arial" w:hAnsi="Arial" w:cs="Arial"/>
                <w:sz w:val="20"/>
                <w:szCs w:val="20"/>
              </w:rPr>
            </w:pPr>
          </w:p>
        </w:tc>
      </w:tr>
      <w:tr w:rsidR="00D64593" w:rsidRPr="00301088" w14:paraId="4F1853DC" w14:textId="77777777" w:rsidTr="00A850F7">
        <w:trPr>
          <w:cantSplit/>
          <w:trHeight w:val="251"/>
        </w:trPr>
        <w:tc>
          <w:tcPr>
            <w:tcW w:w="3925" w:type="dxa"/>
            <w:vMerge/>
            <w:tcBorders>
              <w:top w:val="single" w:sz="4" w:space="0" w:color="auto"/>
              <w:left w:val="single" w:sz="4" w:space="0" w:color="auto"/>
              <w:right w:val="single" w:sz="4" w:space="0" w:color="auto"/>
            </w:tcBorders>
          </w:tcPr>
          <w:p w14:paraId="32108880" w14:textId="77777777" w:rsidR="00D64593" w:rsidRPr="00A850F7" w:rsidRDefault="00D64593" w:rsidP="00D64593">
            <w:pPr>
              <w:rPr>
                <w:rFonts w:ascii="Arial" w:eastAsiaTheme="minorEastAsia" w:hAnsi="Arial" w:cs="Arial"/>
                <w:b/>
                <w:color w:val="000000" w:themeColor="text1"/>
                <w:sz w:val="20"/>
                <w:szCs w:val="20"/>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F516254" w14:textId="77777777" w:rsidR="00D64593" w:rsidRPr="00A850F7" w:rsidRDefault="00D64593" w:rsidP="00D64593">
            <w:pPr>
              <w:jc w:val="center"/>
              <w:rPr>
                <w:rFonts w:ascii="Arial" w:hAnsi="Arial" w:cs="Arial"/>
                <w:sz w:val="20"/>
                <w:szCs w:val="20"/>
              </w:rPr>
            </w:pPr>
            <w:r w:rsidRPr="00A850F7">
              <w:rPr>
                <w:rFonts w:ascii="Arial" w:hAnsi="Arial" w:cs="Arial"/>
                <w:sz w:val="20"/>
                <w:szCs w:val="20"/>
              </w:rPr>
              <w:t>Not Retained</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30360376" w14:textId="0C1A079D" w:rsidR="00D64593" w:rsidRPr="00A850F7" w:rsidRDefault="00D64593" w:rsidP="00D64593">
            <w:pPr>
              <w:jc w:val="center"/>
              <w:rPr>
                <w:rFonts w:ascii="Arial" w:hAnsi="Arial" w:cs="Arial"/>
                <w:sz w:val="20"/>
                <w:szCs w:val="20"/>
              </w:rPr>
            </w:pPr>
            <w:r w:rsidRPr="00A850F7">
              <w:rPr>
                <w:rFonts w:ascii="Arial" w:hAnsi="Arial" w:cs="Arial"/>
                <w:sz w:val="20"/>
                <w:szCs w:val="20"/>
              </w:rPr>
              <w:t>422</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2FA2A1" w14:textId="5DA2C429" w:rsidR="00D64593" w:rsidRPr="00A850F7" w:rsidRDefault="00D64593" w:rsidP="00D64593">
            <w:pPr>
              <w:jc w:val="center"/>
              <w:rPr>
                <w:rFonts w:ascii="Arial" w:hAnsi="Arial" w:cs="Arial"/>
                <w:sz w:val="20"/>
                <w:szCs w:val="20"/>
              </w:rPr>
            </w:pPr>
            <w:r w:rsidRPr="00A850F7">
              <w:rPr>
                <w:rFonts w:ascii="Arial" w:hAnsi="Arial" w:cs="Arial"/>
                <w:sz w:val="20"/>
                <w:szCs w:val="20"/>
              </w:rPr>
              <w:t>398</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57ECF61" w14:textId="484C4697" w:rsidR="00D64593" w:rsidRPr="00A850F7" w:rsidRDefault="00D64593" w:rsidP="00D64593">
            <w:pPr>
              <w:jc w:val="center"/>
              <w:rPr>
                <w:rFonts w:ascii="Arial" w:hAnsi="Arial" w:cs="Arial"/>
                <w:sz w:val="20"/>
                <w:szCs w:val="20"/>
              </w:rPr>
            </w:pPr>
            <w:r w:rsidRPr="00A850F7">
              <w:rPr>
                <w:rFonts w:ascii="Arial" w:hAnsi="Arial" w:cs="Arial"/>
                <w:sz w:val="20"/>
                <w:szCs w:val="20"/>
              </w:rPr>
              <w:t>337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E6B4BA" w14:textId="313CE5B3" w:rsidR="00D64593" w:rsidRPr="00A850F7" w:rsidRDefault="00D64593" w:rsidP="00D64593">
            <w:pPr>
              <w:jc w:val="center"/>
              <w:rPr>
                <w:rFonts w:ascii="Arial" w:hAnsi="Arial" w:cs="Arial"/>
                <w:sz w:val="20"/>
                <w:szCs w:val="20"/>
              </w:rPr>
            </w:pPr>
            <w:r w:rsidRPr="00A850F7">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59AFFA0B" w14:textId="32458B8B" w:rsidR="00D64593" w:rsidRPr="00A850F7" w:rsidRDefault="00D64593" w:rsidP="00D64593">
            <w:pPr>
              <w:jc w:val="center"/>
              <w:rPr>
                <w:rFonts w:ascii="Arial" w:hAnsi="Arial" w:cs="Arial"/>
                <w:sz w:val="20"/>
                <w:szCs w:val="20"/>
              </w:rPr>
            </w:pPr>
          </w:p>
        </w:tc>
      </w:tr>
      <w:tr w:rsidR="00D64593" w:rsidRPr="00301088" w14:paraId="2095088E" w14:textId="77777777" w:rsidTr="00A850F7">
        <w:trPr>
          <w:cantSplit/>
          <w:trHeight w:val="251"/>
        </w:trPr>
        <w:tc>
          <w:tcPr>
            <w:tcW w:w="3925" w:type="dxa"/>
            <w:vMerge/>
            <w:tcBorders>
              <w:left w:val="single" w:sz="4" w:space="0" w:color="auto"/>
              <w:bottom w:val="single" w:sz="4" w:space="0" w:color="auto"/>
              <w:right w:val="single" w:sz="4" w:space="0" w:color="auto"/>
            </w:tcBorders>
          </w:tcPr>
          <w:p w14:paraId="7355ECEB" w14:textId="77777777" w:rsidR="00D64593" w:rsidRPr="00A850F7" w:rsidRDefault="00D64593" w:rsidP="00D64593">
            <w:pPr>
              <w:pStyle w:val="ListParagraph"/>
              <w:ind w:left="342"/>
              <w:rPr>
                <w:rFonts w:ascii="Arial" w:hAnsi="Arial" w:cs="Arial"/>
                <w:b/>
                <w:sz w:val="20"/>
                <w:szCs w:val="20"/>
              </w:rPr>
            </w:pPr>
          </w:p>
        </w:tc>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EF6F2" w14:textId="77777777" w:rsidR="00D64593" w:rsidRPr="00A850F7" w:rsidRDefault="00D64593" w:rsidP="00D64593">
            <w:pPr>
              <w:jc w:val="center"/>
              <w:rPr>
                <w:rFonts w:ascii="Arial" w:hAnsi="Arial" w:cs="Arial"/>
                <w:sz w:val="20"/>
                <w:szCs w:val="20"/>
              </w:rPr>
            </w:pPr>
            <w:r w:rsidRPr="00A850F7">
              <w:rPr>
                <w:rFonts w:ascii="Arial" w:hAnsi="Arial" w:cs="Arial"/>
                <w:i/>
                <w:sz w:val="20"/>
                <w:szCs w:val="20"/>
              </w:rPr>
              <w:t>target</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47A41" w14:textId="0844CB83" w:rsidR="00D64593" w:rsidRPr="00A850F7" w:rsidRDefault="00D64593" w:rsidP="00D64593">
            <w:pPr>
              <w:jc w:val="center"/>
              <w:rPr>
                <w:rFonts w:ascii="Arial" w:hAnsi="Arial" w:cs="Arial"/>
                <w:sz w:val="20"/>
                <w:szCs w:val="20"/>
              </w:rPr>
            </w:pPr>
            <w:r w:rsidRPr="00A850F7">
              <w:rPr>
                <w:rFonts w:ascii="Arial" w:hAnsi="Arial" w:cs="Arial"/>
                <w:i/>
                <w:sz w:val="20"/>
                <w:szCs w:val="20"/>
              </w:rPr>
              <w:t>72%</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2EF5F" w14:textId="52401F01" w:rsidR="00D64593" w:rsidRPr="00A850F7" w:rsidRDefault="00D64593" w:rsidP="00D64593">
            <w:pPr>
              <w:jc w:val="center"/>
              <w:rPr>
                <w:rFonts w:ascii="Arial" w:hAnsi="Arial" w:cs="Arial"/>
                <w:sz w:val="20"/>
                <w:szCs w:val="20"/>
              </w:rPr>
            </w:pPr>
            <w:r w:rsidRPr="00A850F7">
              <w:rPr>
                <w:rFonts w:ascii="Arial" w:hAnsi="Arial" w:cs="Arial"/>
                <w:i/>
                <w:sz w:val="20"/>
                <w:szCs w:val="20"/>
              </w:rPr>
              <w:t>72%</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5EE99" w14:textId="00F24EF8" w:rsidR="00D64593" w:rsidRPr="00A850F7" w:rsidRDefault="00D64593" w:rsidP="00D64593">
            <w:pPr>
              <w:jc w:val="center"/>
              <w:rPr>
                <w:rFonts w:ascii="Arial" w:hAnsi="Arial" w:cs="Arial"/>
                <w:sz w:val="20"/>
                <w:szCs w:val="20"/>
              </w:rPr>
            </w:pPr>
            <w:r w:rsidRPr="00A850F7">
              <w:rPr>
                <w:rFonts w:ascii="Arial" w:hAnsi="Arial" w:cs="Arial"/>
                <w:i/>
                <w:sz w:val="20"/>
                <w:szCs w:val="20"/>
              </w:rPr>
              <w:t>72%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F2A51" w14:textId="6ACC3F42" w:rsidR="00D64593" w:rsidRPr="00A850F7" w:rsidRDefault="00D64593" w:rsidP="00D64593">
            <w:pPr>
              <w:jc w:val="center"/>
              <w:rPr>
                <w:rFonts w:ascii="Arial" w:hAnsi="Arial" w:cs="Arial"/>
                <w:sz w:val="20"/>
                <w:szCs w:val="20"/>
              </w:rPr>
            </w:pPr>
            <w:r w:rsidRPr="00A850F7">
              <w:rPr>
                <w:rFonts w:ascii="Arial" w:hAnsi="Arial" w:cs="Arial"/>
                <w:i/>
                <w:sz w:val="20"/>
                <w:szCs w:val="20"/>
              </w:rPr>
              <w:t>74%</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72AE2" w14:textId="44503ED0" w:rsidR="00D64593" w:rsidRPr="00A850F7" w:rsidRDefault="00D64593" w:rsidP="00D64593">
            <w:pPr>
              <w:jc w:val="center"/>
              <w:rPr>
                <w:rFonts w:ascii="Arial" w:hAnsi="Arial" w:cs="Arial"/>
                <w:sz w:val="20"/>
                <w:szCs w:val="20"/>
              </w:rPr>
            </w:pPr>
          </w:p>
        </w:tc>
      </w:tr>
      <w:tr w:rsidR="00D64593" w:rsidRPr="00301088" w14:paraId="09AB50A2" w14:textId="77777777" w:rsidTr="0098679A">
        <w:trPr>
          <w:cantSplit/>
          <w:trHeight w:val="512"/>
        </w:trPr>
        <w:tc>
          <w:tcPr>
            <w:tcW w:w="10070" w:type="dxa"/>
            <w:gridSpan w:val="9"/>
            <w:tcBorders>
              <w:top w:val="single" w:sz="4" w:space="0" w:color="auto"/>
              <w:left w:val="single" w:sz="4" w:space="0" w:color="auto"/>
              <w:right w:val="single" w:sz="4" w:space="0" w:color="auto"/>
            </w:tcBorders>
            <w:shd w:val="clear" w:color="auto" w:fill="DBE5F1" w:themeFill="accent1" w:themeFillTint="33"/>
          </w:tcPr>
          <w:p w14:paraId="1075EB28" w14:textId="77777777" w:rsidR="00D64593" w:rsidRDefault="00D64593" w:rsidP="00D64593">
            <w:pPr>
              <w:tabs>
                <w:tab w:val="left" w:pos="360"/>
                <w:tab w:val="left" w:pos="720"/>
                <w:tab w:val="left" w:pos="1080"/>
                <w:tab w:val="left" w:pos="1440"/>
                <w:tab w:val="left" w:pos="1800"/>
                <w:tab w:val="left" w:pos="2160"/>
              </w:tabs>
              <w:contextualSpacing/>
              <w:jc w:val="center"/>
              <w:rPr>
                <w:rFonts w:ascii="Arial" w:eastAsiaTheme="minorEastAsia" w:hAnsi="Arial" w:cs="Arial"/>
                <w:b/>
                <w:color w:val="000000" w:themeColor="text1"/>
                <w:sz w:val="20"/>
                <w:szCs w:val="20"/>
              </w:rPr>
            </w:pPr>
            <w:r>
              <w:rPr>
                <w:rFonts w:ascii="Arial" w:eastAsiaTheme="minorEastAsia" w:hAnsi="Arial" w:cs="Arial"/>
                <w:b/>
                <w:color w:val="000000" w:themeColor="text1"/>
                <w:sz w:val="20"/>
                <w:szCs w:val="20"/>
              </w:rPr>
              <w:t>Goal 3: Promote ISU’s Identity</w:t>
            </w:r>
            <w:r w:rsidRPr="00764966">
              <w:rPr>
                <w:rFonts w:ascii="Arial" w:eastAsiaTheme="minorEastAsia" w:hAnsi="Arial" w:cs="Arial"/>
                <w:b/>
                <w:color w:val="000000" w:themeColor="text1"/>
                <w:sz w:val="20"/>
                <w:szCs w:val="20"/>
              </w:rPr>
              <w:t xml:space="preserve"> </w:t>
            </w:r>
            <w:r w:rsidRPr="006D3D09">
              <w:rPr>
                <w:rFonts w:ascii="Arial" w:eastAsiaTheme="minorEastAsia" w:hAnsi="Arial" w:cs="Arial"/>
                <w:b/>
                <w:color w:val="000000" w:themeColor="text1"/>
                <w:sz w:val="20"/>
                <w:szCs w:val="20"/>
              </w:rPr>
              <w:t xml:space="preserve">– </w:t>
            </w:r>
          </w:p>
          <w:p w14:paraId="16CB2085" w14:textId="2B500CD1" w:rsidR="00D64593" w:rsidRPr="00301088" w:rsidRDefault="00D64593" w:rsidP="00D64593">
            <w:pPr>
              <w:jc w:val="center"/>
              <w:rPr>
                <w:rFonts w:ascii="Arial" w:hAnsi="Arial" w:cs="Arial"/>
                <w:sz w:val="20"/>
              </w:rPr>
            </w:pPr>
            <w:r w:rsidRPr="0076286C">
              <w:rPr>
                <w:rFonts w:ascii="Arial" w:eastAsiaTheme="minorEastAsia" w:hAnsi="Arial" w:cs="Arial"/>
                <w:color w:val="000000" w:themeColor="text1"/>
                <w:sz w:val="20"/>
                <w:szCs w:val="20"/>
              </w:rPr>
              <w:t>Objective: Over the next five years, pro</w:t>
            </w:r>
            <w:r>
              <w:rPr>
                <w:rFonts w:ascii="Arial" w:eastAsiaTheme="minorEastAsia" w:hAnsi="Arial" w:cs="Arial"/>
                <w:color w:val="000000" w:themeColor="text1"/>
                <w:sz w:val="20"/>
                <w:szCs w:val="20"/>
              </w:rPr>
              <w:t>mote ISU’s unique identity by 50</w:t>
            </w:r>
            <w:r w:rsidRPr="0076286C">
              <w:rPr>
                <w:rFonts w:ascii="Arial" w:eastAsiaTheme="minorEastAsia" w:hAnsi="Arial" w:cs="Arial"/>
                <w:color w:val="000000" w:themeColor="text1"/>
                <w:sz w:val="20"/>
                <w:szCs w:val="20"/>
              </w:rPr>
              <w:t xml:space="preserve">% </w:t>
            </w:r>
            <w:r>
              <w:rPr>
                <w:rFonts w:ascii="Arial" w:eastAsiaTheme="minorEastAsia" w:hAnsi="Arial" w:cs="Arial"/>
                <w:color w:val="000000" w:themeColor="text1"/>
                <w:sz w:val="20"/>
                <w:szCs w:val="20"/>
              </w:rPr>
              <w:t>(</w:t>
            </w:r>
            <w:r>
              <w:rPr>
                <w:rFonts w:ascii="Helvetica" w:hAnsi="Helvetica" w:cs="Helvetica"/>
                <w:color w:val="000000"/>
                <w:sz w:val="20"/>
                <w:szCs w:val="20"/>
              </w:rPr>
              <w:t>5.750b</w:t>
            </w:r>
            <w:r>
              <w:rPr>
                <w:rFonts w:ascii="Arial" w:eastAsiaTheme="minorEastAsia" w:hAnsi="Arial" w:cs="Arial"/>
                <w:color w:val="000000" w:themeColor="text1"/>
                <w:sz w:val="20"/>
                <w:szCs w:val="20"/>
              </w:rPr>
              <w:t xml:space="preserve">) </w:t>
            </w:r>
            <w:r w:rsidRPr="0076286C">
              <w:rPr>
                <w:rFonts w:ascii="Arial" w:eastAsiaTheme="minorEastAsia" w:hAnsi="Arial" w:cs="Arial"/>
                <w:color w:val="000000" w:themeColor="text1"/>
                <w:sz w:val="20"/>
                <w:szCs w:val="20"/>
              </w:rPr>
              <w:t>as Idaho’s only institution delivering technical certificates through undergraduate, graduate</w:t>
            </w:r>
            <w:r>
              <w:rPr>
                <w:rFonts w:ascii="Arial" w:eastAsiaTheme="minorEastAsia" w:hAnsi="Arial" w:cs="Arial"/>
                <w:color w:val="000000" w:themeColor="text1"/>
                <w:sz w:val="20"/>
                <w:szCs w:val="20"/>
              </w:rPr>
              <w:t>,</w:t>
            </w:r>
            <w:r w:rsidRPr="0076286C">
              <w:rPr>
                <w:rFonts w:ascii="Arial" w:eastAsiaTheme="minorEastAsia" w:hAnsi="Arial" w:cs="Arial"/>
                <w:color w:val="000000" w:themeColor="text1"/>
                <w:sz w:val="20"/>
                <w:szCs w:val="20"/>
              </w:rPr>
              <w:t xml:space="preserve"> and professional degrees</w:t>
            </w:r>
            <w:r>
              <w:rPr>
                <w:rFonts w:ascii="Arial" w:eastAsiaTheme="minorEastAsia" w:hAnsi="Arial" w:cs="Arial"/>
                <w:color w:val="000000" w:themeColor="text1"/>
                <w:sz w:val="18"/>
                <w:szCs w:val="18"/>
              </w:rPr>
              <w:t>.</w:t>
            </w:r>
          </w:p>
        </w:tc>
      </w:tr>
      <w:tr w:rsidR="00D64593" w:rsidRPr="00301088" w14:paraId="4EAF2910" w14:textId="77777777" w:rsidTr="00A850F7">
        <w:trPr>
          <w:cantSplit/>
          <w:trHeight w:val="144"/>
        </w:trPr>
        <w:tc>
          <w:tcPr>
            <w:tcW w:w="3925" w:type="dxa"/>
            <w:vMerge w:val="restart"/>
            <w:tcBorders>
              <w:top w:val="single" w:sz="4" w:space="0" w:color="auto"/>
              <w:left w:val="single" w:sz="4" w:space="0" w:color="auto"/>
              <w:right w:val="single" w:sz="4" w:space="0" w:color="auto"/>
            </w:tcBorders>
          </w:tcPr>
          <w:p w14:paraId="0C4100D1" w14:textId="194E2C72" w:rsidR="00D64593" w:rsidRPr="00945E69" w:rsidRDefault="00D64593" w:rsidP="00D64593">
            <w:pPr>
              <w:rPr>
                <w:rFonts w:ascii="Arial" w:eastAsiaTheme="minorEastAsia" w:hAnsi="Arial" w:cs="Arial"/>
                <w:color w:val="000000" w:themeColor="text1"/>
                <w:sz w:val="20"/>
                <w:szCs w:val="20"/>
              </w:rPr>
            </w:pPr>
            <w:r w:rsidRPr="00945E69">
              <w:rPr>
                <w:rFonts w:ascii="Arial" w:eastAsiaTheme="minorEastAsia" w:hAnsi="Arial" w:cs="Arial"/>
                <w:b/>
                <w:color w:val="000000" w:themeColor="text1"/>
                <w:sz w:val="20"/>
                <w:szCs w:val="20"/>
              </w:rPr>
              <w:t>3.2</w:t>
            </w:r>
            <w:r w:rsidRPr="00945E69">
              <w:rPr>
                <w:rFonts w:ascii="Arial" w:eastAsiaTheme="minorEastAsia" w:hAnsi="Arial" w:cs="Arial"/>
                <w:color w:val="000000" w:themeColor="text1"/>
                <w:sz w:val="20"/>
                <w:szCs w:val="20"/>
              </w:rPr>
              <w:t xml:space="preserve"> Promote the public’s knowledge of ISU through owned and earned media captures FY 18-22.</w:t>
            </w:r>
            <w:r w:rsidRPr="00945E69">
              <w:rPr>
                <w:rFonts w:ascii="Arial" w:hAnsi="Arial" w:cs="Arial"/>
                <w:sz w:val="20"/>
                <w:szCs w:val="20"/>
                <w:vertAlign w:val="superscript"/>
              </w:rPr>
              <w:t xml:space="preserve"> </w:t>
            </w:r>
            <w:r w:rsidRPr="00945E69">
              <w:rPr>
                <w:rFonts w:ascii="Arial" w:hAnsi="Arial" w:cs="Arial"/>
                <w:color w:val="000000"/>
                <w:sz w:val="20"/>
                <w:szCs w:val="20"/>
              </w:rPr>
              <w:t>(FY 2022 = 5.750 billion)</w:t>
            </w:r>
            <w:r w:rsidRPr="00945E69">
              <w:rPr>
                <w:rFonts w:ascii="Arial" w:hAnsi="Arial" w:cs="Arial"/>
                <w:sz w:val="20"/>
                <w:szCs w:val="20"/>
                <w:vertAlign w:val="superscript"/>
              </w:rPr>
              <w:t>2</w:t>
            </w:r>
          </w:p>
        </w:tc>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8FA9D" w14:textId="77777777" w:rsidR="00D64593" w:rsidRPr="00945E69" w:rsidRDefault="00D64593" w:rsidP="00D64593">
            <w:pPr>
              <w:jc w:val="center"/>
              <w:rPr>
                <w:rFonts w:ascii="Arial" w:hAnsi="Arial" w:cs="Arial"/>
                <w:sz w:val="20"/>
              </w:rPr>
            </w:pPr>
            <w:r w:rsidRPr="00945E69">
              <w:rPr>
                <w:rFonts w:ascii="Arial" w:hAnsi="Arial" w:cs="Arial"/>
                <w:sz w:val="20"/>
                <w:szCs w:val="20"/>
              </w:rPr>
              <w:t>actual</w:t>
            </w:r>
          </w:p>
        </w:tc>
        <w:tc>
          <w:tcPr>
            <w:tcW w:w="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4324B7" w14:textId="6B4B9AAE" w:rsidR="00D64593" w:rsidRPr="00945E69" w:rsidRDefault="00D64593" w:rsidP="00D64593">
            <w:pPr>
              <w:jc w:val="center"/>
              <w:rPr>
                <w:rFonts w:ascii="Arial" w:hAnsi="Arial" w:cs="Arial"/>
                <w:sz w:val="20"/>
                <w:szCs w:val="20"/>
              </w:rPr>
            </w:pPr>
            <w:r w:rsidRPr="00945E69">
              <w:rPr>
                <w:rFonts w:ascii="Arial" w:hAnsi="Arial" w:cs="Arial"/>
                <w:sz w:val="20"/>
              </w:rPr>
              <w:t>779.2 m</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E4457E" w14:textId="4E7A04BD" w:rsidR="00D64593" w:rsidRPr="00945E69" w:rsidRDefault="00D64593" w:rsidP="00D64593">
            <w:pPr>
              <w:jc w:val="center"/>
              <w:rPr>
                <w:rFonts w:ascii="Arial" w:hAnsi="Arial" w:cs="Arial"/>
                <w:sz w:val="20"/>
              </w:rPr>
            </w:pPr>
            <w:r w:rsidRPr="00945E69">
              <w:rPr>
                <w:rFonts w:ascii="Arial" w:hAnsi="Arial" w:cs="Arial"/>
                <w:sz w:val="20"/>
              </w:rPr>
              <w:t>1,920 b</w:t>
            </w:r>
          </w:p>
        </w:tc>
        <w:tc>
          <w:tcPr>
            <w:tcW w:w="13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4AB16A" w14:textId="3A14A67E" w:rsidR="00D64593" w:rsidRPr="00945E69" w:rsidRDefault="00D64593" w:rsidP="00D64593">
            <w:pPr>
              <w:jc w:val="center"/>
              <w:rPr>
                <w:rFonts w:ascii="Arial" w:hAnsi="Arial" w:cs="Arial"/>
                <w:sz w:val="20"/>
              </w:rPr>
            </w:pPr>
            <w:r w:rsidRPr="00945E69">
              <w:rPr>
                <w:rFonts w:ascii="Arial" w:hAnsi="Arial" w:cs="Arial"/>
                <w:sz w:val="20"/>
              </w:rPr>
              <w:t>6.9 b</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8503A6" w14:textId="454415D3" w:rsidR="00D64593" w:rsidRPr="00945E69" w:rsidRDefault="00D64593" w:rsidP="00D64593">
            <w:pPr>
              <w:jc w:val="center"/>
              <w:rPr>
                <w:rFonts w:ascii="Arial" w:hAnsi="Arial" w:cs="Arial"/>
                <w:sz w:val="18"/>
                <w:szCs w:val="18"/>
              </w:rPr>
            </w:pPr>
            <w:r w:rsidRPr="00945E6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E9F6D4" w14:textId="5BAD6345" w:rsidR="00D64593" w:rsidRPr="00945E69" w:rsidRDefault="00D64593" w:rsidP="00D64593">
            <w:pPr>
              <w:jc w:val="center"/>
              <w:rPr>
                <w:rFonts w:ascii="Arial" w:hAnsi="Arial" w:cs="Arial"/>
                <w:sz w:val="20"/>
              </w:rPr>
            </w:pPr>
          </w:p>
        </w:tc>
      </w:tr>
      <w:tr w:rsidR="00D64593" w:rsidRPr="00301088" w14:paraId="6DBCDBCB" w14:textId="77777777" w:rsidTr="00A850F7">
        <w:trPr>
          <w:cantSplit/>
          <w:trHeight w:val="737"/>
        </w:trPr>
        <w:tc>
          <w:tcPr>
            <w:tcW w:w="3925" w:type="dxa"/>
            <w:vMerge/>
            <w:tcBorders>
              <w:left w:val="single" w:sz="4" w:space="0" w:color="auto"/>
              <w:bottom w:val="single" w:sz="4" w:space="0" w:color="auto"/>
              <w:right w:val="single" w:sz="4" w:space="0" w:color="auto"/>
            </w:tcBorders>
          </w:tcPr>
          <w:p w14:paraId="30C72301" w14:textId="77777777" w:rsidR="00D64593" w:rsidRPr="00945E69" w:rsidRDefault="00D64593" w:rsidP="00D64593">
            <w:pPr>
              <w:pStyle w:val="ListParagraph"/>
              <w:ind w:left="342"/>
              <w:rPr>
                <w:rFonts w:ascii="Arial" w:hAnsi="Arial" w:cs="Arial"/>
                <w:b/>
                <w:sz w:val="20"/>
                <w:szCs w:val="20"/>
              </w:rPr>
            </w:pPr>
          </w:p>
        </w:tc>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6AF2F" w14:textId="77777777" w:rsidR="00D64593" w:rsidRPr="00945E69" w:rsidRDefault="00D64593" w:rsidP="00D64593">
            <w:pPr>
              <w:jc w:val="center"/>
              <w:rPr>
                <w:rFonts w:ascii="Arial" w:hAnsi="Arial" w:cs="Arial"/>
                <w:sz w:val="20"/>
                <w:szCs w:val="20"/>
              </w:rPr>
            </w:pPr>
            <w:r w:rsidRPr="00945E69">
              <w:rPr>
                <w:rFonts w:ascii="Arial" w:hAnsi="Arial" w:cs="Arial"/>
                <w:i/>
                <w:sz w:val="20"/>
                <w:szCs w:val="20"/>
              </w:rPr>
              <w:t>target</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B8566" w14:textId="600628A0" w:rsidR="00D64593" w:rsidRPr="00945E69" w:rsidRDefault="00D64593" w:rsidP="00D64593">
            <w:pPr>
              <w:jc w:val="center"/>
              <w:rPr>
                <w:rFonts w:ascii="Arial" w:hAnsi="Arial" w:cs="Arial"/>
                <w:i/>
                <w:sz w:val="20"/>
                <w:szCs w:val="20"/>
              </w:rPr>
            </w:pPr>
            <w:r w:rsidRPr="00945E69">
              <w:rPr>
                <w:rFonts w:ascii="Arial" w:hAnsi="Arial" w:cs="Arial"/>
                <w:i/>
                <w:sz w:val="20"/>
                <w:szCs w:val="20"/>
              </w:rPr>
              <w:t>4.312b</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98667" w14:textId="67516E52" w:rsidR="00D64593" w:rsidRPr="00945E69" w:rsidRDefault="00D64593" w:rsidP="00D64593">
            <w:pPr>
              <w:jc w:val="center"/>
              <w:rPr>
                <w:rFonts w:ascii="Arial" w:hAnsi="Arial" w:cs="Arial"/>
                <w:i/>
                <w:sz w:val="20"/>
                <w:szCs w:val="20"/>
              </w:rPr>
            </w:pPr>
            <w:r w:rsidRPr="00945E69">
              <w:rPr>
                <w:rFonts w:ascii="Arial" w:hAnsi="Arial" w:cs="Arial"/>
                <w:i/>
                <w:sz w:val="20"/>
                <w:szCs w:val="20"/>
              </w:rPr>
              <w:t>4.792b</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5E9EC" w14:textId="3A0224B8" w:rsidR="00D64593" w:rsidRPr="00945E69" w:rsidRDefault="00D64593" w:rsidP="00D64593">
            <w:pPr>
              <w:jc w:val="center"/>
              <w:rPr>
                <w:rFonts w:ascii="Arial" w:hAnsi="Arial" w:cs="Arial"/>
                <w:i/>
                <w:sz w:val="20"/>
                <w:szCs w:val="20"/>
              </w:rPr>
            </w:pPr>
            <w:r w:rsidRPr="00945E69">
              <w:rPr>
                <w:rFonts w:ascii="Arial" w:hAnsi="Arial" w:cs="Arial"/>
                <w:i/>
                <w:sz w:val="20"/>
                <w:szCs w:val="20"/>
              </w:rPr>
              <w:t>5.271b</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BC7AB" w14:textId="7F477404" w:rsidR="00D64593" w:rsidRPr="00945E69" w:rsidRDefault="00D64593" w:rsidP="00D64593">
            <w:pPr>
              <w:jc w:val="center"/>
              <w:rPr>
                <w:rFonts w:ascii="Arial" w:hAnsi="Arial" w:cs="Arial"/>
                <w:i/>
                <w:sz w:val="20"/>
                <w:szCs w:val="20"/>
              </w:rPr>
            </w:pPr>
            <w:r w:rsidRPr="00945E69">
              <w:rPr>
                <w:rFonts w:ascii="Arial" w:hAnsi="Arial" w:cs="Arial"/>
                <w:i/>
                <w:sz w:val="20"/>
                <w:szCs w:val="20"/>
              </w:rPr>
              <w:t>5.750b</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7C928" w14:textId="6C28D6A2" w:rsidR="00D64593" w:rsidRPr="00945E69" w:rsidRDefault="00D64593" w:rsidP="00D64593">
            <w:pPr>
              <w:jc w:val="center"/>
              <w:rPr>
                <w:rFonts w:ascii="Arial" w:hAnsi="Arial" w:cs="Arial"/>
                <w:sz w:val="20"/>
              </w:rPr>
            </w:pPr>
          </w:p>
        </w:tc>
      </w:tr>
      <w:tr w:rsidR="00D64593" w:rsidRPr="00301088" w14:paraId="2BDD1212" w14:textId="77777777" w:rsidTr="0098679A">
        <w:trPr>
          <w:cantSplit/>
          <w:trHeight w:val="144"/>
        </w:trPr>
        <w:tc>
          <w:tcPr>
            <w:tcW w:w="10070" w:type="dxa"/>
            <w:gridSpan w:val="9"/>
            <w:tcBorders>
              <w:top w:val="single" w:sz="4" w:space="0" w:color="auto"/>
              <w:left w:val="single" w:sz="4" w:space="0" w:color="auto"/>
              <w:right w:val="single" w:sz="4" w:space="0" w:color="auto"/>
            </w:tcBorders>
            <w:shd w:val="clear" w:color="auto" w:fill="DBE5F1" w:themeFill="accent1" w:themeFillTint="33"/>
          </w:tcPr>
          <w:p w14:paraId="0148F9E7" w14:textId="63803429" w:rsidR="00D64593" w:rsidRPr="00301088" w:rsidRDefault="00D64593" w:rsidP="00D64593">
            <w:pPr>
              <w:tabs>
                <w:tab w:val="left" w:pos="360"/>
                <w:tab w:val="left" w:pos="720"/>
                <w:tab w:val="left" w:pos="1080"/>
                <w:tab w:val="left" w:pos="1440"/>
                <w:tab w:val="left" w:pos="1800"/>
                <w:tab w:val="left" w:pos="2160"/>
              </w:tabs>
              <w:contextualSpacing/>
              <w:jc w:val="center"/>
              <w:rPr>
                <w:rFonts w:ascii="Arial" w:hAnsi="Arial" w:cs="Arial"/>
                <w:sz w:val="20"/>
              </w:rPr>
            </w:pPr>
            <w:r>
              <w:br w:type="page"/>
            </w:r>
            <w:r>
              <w:rPr>
                <w:rFonts w:ascii="Arial" w:eastAsiaTheme="minorEastAsia" w:hAnsi="Arial" w:cs="Arial"/>
                <w:b/>
                <w:color w:val="000000" w:themeColor="text1"/>
                <w:sz w:val="20"/>
                <w:szCs w:val="20"/>
              </w:rPr>
              <w:t>Idaho State Board Of Education System-Wide Strategic Plan Measures</w:t>
            </w:r>
          </w:p>
          <w:p w14:paraId="67A7CFD5" w14:textId="77777777" w:rsidR="00D64593" w:rsidRPr="00301088" w:rsidRDefault="00D64593" w:rsidP="00D64593">
            <w:pPr>
              <w:jc w:val="center"/>
              <w:rPr>
                <w:rFonts w:ascii="Arial" w:hAnsi="Arial" w:cs="Arial"/>
                <w:sz w:val="20"/>
              </w:rPr>
            </w:pPr>
          </w:p>
        </w:tc>
      </w:tr>
      <w:tr w:rsidR="00D64593" w:rsidRPr="00301088" w14:paraId="56D2CDBB" w14:textId="77777777" w:rsidTr="00A850F7">
        <w:trPr>
          <w:cantSplit/>
          <w:trHeight w:val="440"/>
        </w:trPr>
        <w:tc>
          <w:tcPr>
            <w:tcW w:w="3925" w:type="dxa"/>
            <w:vMerge w:val="restart"/>
            <w:tcBorders>
              <w:top w:val="single" w:sz="4" w:space="0" w:color="auto"/>
              <w:left w:val="single" w:sz="4" w:space="0" w:color="auto"/>
              <w:right w:val="single" w:sz="4" w:space="0" w:color="auto"/>
            </w:tcBorders>
          </w:tcPr>
          <w:p w14:paraId="5B0B0CDC" w14:textId="77777777" w:rsidR="00D64593" w:rsidRPr="00945E69" w:rsidRDefault="00D64593" w:rsidP="00D64593">
            <w:pPr>
              <w:rPr>
                <w:rFonts w:ascii="Arial" w:hAnsi="Arial" w:cs="Arial"/>
                <w:sz w:val="22"/>
                <w:szCs w:val="22"/>
                <w:vertAlign w:val="superscript"/>
              </w:rPr>
            </w:pPr>
            <w:r w:rsidRPr="00945E69">
              <w:rPr>
                <w:rFonts w:ascii="Arial" w:hAnsi="Arial" w:cs="Arial"/>
                <w:b/>
                <w:color w:val="000000"/>
                <w:sz w:val="20"/>
                <w:szCs w:val="20"/>
              </w:rPr>
              <w:t>1.</w:t>
            </w:r>
            <w:r w:rsidRPr="00945E69">
              <w:rPr>
                <w:rFonts w:ascii="Arial" w:hAnsi="Arial" w:cs="Arial"/>
                <w:color w:val="000000"/>
                <w:sz w:val="20"/>
                <w:szCs w:val="20"/>
              </w:rPr>
              <w:t xml:space="preserve"> Math Pathways VI</w:t>
            </w:r>
            <w:r w:rsidRPr="00945E69">
              <w:rPr>
                <w:rFonts w:ascii="Arial" w:hAnsi="Arial" w:cs="Arial"/>
                <w:sz w:val="20"/>
                <w:szCs w:val="20"/>
                <w:vertAlign w:val="superscript"/>
              </w:rPr>
              <w:t xml:space="preserve"> - </w:t>
            </w:r>
            <w:r w:rsidRPr="00945E69">
              <w:rPr>
                <w:rFonts w:ascii="Arial" w:hAnsi="Arial" w:cs="Arial"/>
                <w:color w:val="000000"/>
                <w:sz w:val="20"/>
                <w:szCs w:val="20"/>
              </w:rPr>
              <w:t>Percent of new degree-seeking freshmen completing a gateway math course within two years. (FY 2025 = 40</w:t>
            </w:r>
            <w:proofErr w:type="gramStart"/>
            <w:r w:rsidRPr="00945E69">
              <w:rPr>
                <w:rFonts w:ascii="Arial" w:hAnsi="Arial" w:cs="Arial"/>
                <w:color w:val="000000"/>
                <w:sz w:val="20"/>
                <w:szCs w:val="20"/>
              </w:rPr>
              <w:t>%)</w:t>
            </w:r>
            <w:r w:rsidRPr="00945E69">
              <w:rPr>
                <w:rFonts w:ascii="Arial" w:hAnsi="Arial" w:cs="Arial"/>
                <w:sz w:val="22"/>
                <w:szCs w:val="22"/>
                <w:vertAlign w:val="superscript"/>
              </w:rPr>
              <w:t xml:space="preserve"> </w:t>
            </w:r>
            <w:r w:rsidRPr="00945E69">
              <w:rPr>
                <w:rFonts w:ascii="Arial" w:hAnsi="Arial" w:cs="Arial"/>
                <w:sz w:val="20"/>
                <w:szCs w:val="20"/>
                <w:vertAlign w:val="superscript"/>
              </w:rPr>
              <w:t xml:space="preserve">  </w:t>
            </w:r>
            <w:proofErr w:type="gramEnd"/>
            <w:r w:rsidRPr="00945E69">
              <w:rPr>
                <w:rFonts w:ascii="Arial" w:hAnsi="Arial" w:cs="Arial"/>
                <w:sz w:val="22"/>
                <w:szCs w:val="22"/>
                <w:vertAlign w:val="superscript"/>
              </w:rPr>
              <w:t>(SBOE system-wide Strategic Plan Measure)</w:t>
            </w:r>
          </w:p>
          <w:p w14:paraId="51F94955" w14:textId="77777777" w:rsidR="00D64593" w:rsidRPr="00945E69" w:rsidRDefault="00D64593" w:rsidP="00D64593">
            <w:pPr>
              <w:rPr>
                <w:rFonts w:ascii="Arial" w:hAnsi="Arial" w:cs="Arial"/>
                <w:b/>
                <w:sz w:val="20"/>
                <w:szCs w:val="20"/>
              </w:rPr>
            </w:pPr>
          </w:p>
          <w:p w14:paraId="637F33EB" w14:textId="77777777" w:rsidR="00D64593" w:rsidRPr="00945E69" w:rsidRDefault="00D64593" w:rsidP="00D64593">
            <w:pPr>
              <w:rPr>
                <w:rFonts w:ascii="Arial" w:hAnsi="Arial" w:cs="Arial"/>
                <w:b/>
                <w:sz w:val="20"/>
                <w:szCs w:val="20"/>
              </w:rPr>
            </w:pPr>
          </w:p>
          <w:p w14:paraId="21F7A9BF" w14:textId="77777777" w:rsidR="00D64593" w:rsidRPr="00945E69" w:rsidRDefault="00D64593" w:rsidP="00D64593">
            <w:pPr>
              <w:rPr>
                <w:rFonts w:ascii="Arial" w:hAnsi="Arial" w:cs="Arial"/>
                <w:b/>
                <w:sz w:val="20"/>
                <w:szCs w:val="20"/>
              </w:rPr>
            </w:pPr>
          </w:p>
        </w:tc>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7C307" w14:textId="77777777" w:rsidR="00D64593" w:rsidRPr="00945E69" w:rsidRDefault="00D64593" w:rsidP="00D64593">
            <w:pPr>
              <w:jc w:val="center"/>
              <w:rPr>
                <w:rFonts w:ascii="Arial" w:hAnsi="Arial" w:cs="Arial"/>
                <w:sz w:val="20"/>
                <w:szCs w:val="20"/>
              </w:rPr>
            </w:pPr>
            <w:r w:rsidRPr="00945E69">
              <w:rPr>
                <w:rFonts w:ascii="Arial" w:hAnsi="Arial" w:cs="Arial"/>
                <w:sz w:val="20"/>
                <w:szCs w:val="20"/>
              </w:rPr>
              <w:t>actual</w:t>
            </w:r>
          </w:p>
        </w:tc>
        <w:tc>
          <w:tcPr>
            <w:tcW w:w="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1B7B0" w14:textId="5769FFBD" w:rsidR="00D64593" w:rsidRPr="00945E69" w:rsidRDefault="00D64593" w:rsidP="00D64593">
            <w:pPr>
              <w:jc w:val="center"/>
              <w:rPr>
                <w:rFonts w:ascii="Arial" w:hAnsi="Arial" w:cs="Arial"/>
                <w:sz w:val="20"/>
                <w:szCs w:val="20"/>
              </w:rPr>
            </w:pPr>
            <w:r w:rsidRPr="00945E69">
              <w:rPr>
                <w:rFonts w:ascii="Arial" w:hAnsi="Arial" w:cs="Arial"/>
                <w:sz w:val="20"/>
                <w:szCs w:val="20"/>
              </w:rPr>
              <w:t>42%</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0B41A" w14:textId="1884E8FA" w:rsidR="00D64593" w:rsidRPr="00945E69" w:rsidRDefault="00D64593" w:rsidP="00D64593">
            <w:pPr>
              <w:jc w:val="center"/>
              <w:rPr>
                <w:rFonts w:ascii="Arial" w:hAnsi="Arial" w:cs="Arial"/>
                <w:sz w:val="20"/>
                <w:szCs w:val="20"/>
              </w:rPr>
            </w:pPr>
            <w:r w:rsidRPr="00945E69">
              <w:rPr>
                <w:rFonts w:ascii="Arial" w:hAnsi="Arial" w:cs="Arial"/>
                <w:sz w:val="20"/>
                <w:szCs w:val="20"/>
              </w:rPr>
              <w:t>37%</w:t>
            </w:r>
          </w:p>
        </w:tc>
        <w:tc>
          <w:tcPr>
            <w:tcW w:w="1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A2921" w14:textId="3DEA8734" w:rsidR="00D64593" w:rsidRPr="00945E69" w:rsidRDefault="00D64593" w:rsidP="00D64593">
            <w:pPr>
              <w:jc w:val="center"/>
              <w:rPr>
                <w:rFonts w:ascii="Arial" w:hAnsi="Arial" w:cs="Arial"/>
                <w:sz w:val="20"/>
                <w:szCs w:val="20"/>
              </w:rPr>
            </w:pPr>
            <w:r w:rsidRPr="00945E69">
              <w:rPr>
                <w:rFonts w:ascii="Arial" w:hAnsi="Arial" w:cs="Arial"/>
                <w:sz w:val="20"/>
                <w:szCs w:val="20"/>
              </w:rPr>
              <w:t>35%</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8AF2D" w14:textId="69519B32" w:rsidR="00D64593" w:rsidRPr="00945E69" w:rsidRDefault="00D64593" w:rsidP="00D64593">
            <w:pPr>
              <w:jc w:val="center"/>
              <w:rPr>
                <w:rFonts w:ascii="Arial" w:hAnsi="Arial" w:cs="Arial"/>
                <w:sz w:val="20"/>
                <w:szCs w:val="20"/>
              </w:rPr>
            </w:pPr>
            <w:r w:rsidRPr="00945E6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B54988" w14:textId="6ACF38FD" w:rsidR="00D64593" w:rsidRPr="00945E69" w:rsidRDefault="00D64593" w:rsidP="00D64593">
            <w:pPr>
              <w:jc w:val="center"/>
              <w:rPr>
                <w:rFonts w:ascii="Arial" w:hAnsi="Arial" w:cs="Arial"/>
                <w:sz w:val="20"/>
                <w:szCs w:val="20"/>
              </w:rPr>
            </w:pPr>
          </w:p>
        </w:tc>
      </w:tr>
      <w:tr w:rsidR="00D64593" w:rsidRPr="00301088" w14:paraId="3B69AA90" w14:textId="77777777" w:rsidTr="00A850F7">
        <w:trPr>
          <w:cantSplit/>
          <w:trHeight w:val="251"/>
        </w:trPr>
        <w:tc>
          <w:tcPr>
            <w:tcW w:w="3925" w:type="dxa"/>
            <w:vMerge/>
            <w:tcBorders>
              <w:top w:val="single" w:sz="4" w:space="0" w:color="auto"/>
              <w:left w:val="single" w:sz="4" w:space="0" w:color="auto"/>
              <w:right w:val="single" w:sz="4" w:space="0" w:color="auto"/>
            </w:tcBorders>
          </w:tcPr>
          <w:p w14:paraId="702B6B47" w14:textId="77777777" w:rsidR="00D64593" w:rsidRPr="00945E69" w:rsidRDefault="00D64593" w:rsidP="00D64593">
            <w:pPr>
              <w:rPr>
                <w:rFonts w:ascii="Arial" w:hAnsi="Arial" w:cs="Arial"/>
                <w:b/>
                <w:color w:val="000000"/>
                <w:sz w:val="20"/>
                <w:szCs w:val="20"/>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CBF75A8" w14:textId="77777777" w:rsidR="00D64593" w:rsidRPr="00945E69" w:rsidRDefault="00D64593" w:rsidP="00D64593">
            <w:pPr>
              <w:jc w:val="center"/>
              <w:rPr>
                <w:rFonts w:ascii="Arial" w:hAnsi="Arial" w:cs="Arial"/>
                <w:sz w:val="16"/>
                <w:szCs w:val="16"/>
              </w:rPr>
            </w:pPr>
            <w:r w:rsidRPr="00945E69">
              <w:rPr>
                <w:rFonts w:ascii="Arial" w:hAnsi="Arial" w:cs="Arial"/>
                <w:sz w:val="16"/>
                <w:szCs w:val="16"/>
              </w:rPr>
              <w:t>Total</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19967" w14:textId="7ABBCE0A" w:rsidR="00D64593" w:rsidRPr="00945E69" w:rsidRDefault="00D64593" w:rsidP="00D64593">
            <w:pPr>
              <w:jc w:val="center"/>
              <w:rPr>
                <w:rFonts w:ascii="Arial" w:hAnsi="Arial" w:cs="Arial"/>
                <w:sz w:val="20"/>
                <w:szCs w:val="20"/>
              </w:rPr>
            </w:pPr>
            <w:r w:rsidRPr="00945E69">
              <w:rPr>
                <w:rFonts w:ascii="Arial" w:hAnsi="Arial" w:cs="Arial"/>
                <w:sz w:val="20"/>
                <w:szCs w:val="20"/>
              </w:rPr>
              <w:t>1,823</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636E96D" w14:textId="11DC3FA9" w:rsidR="00D64593" w:rsidRPr="00945E69" w:rsidRDefault="00D64593" w:rsidP="00D64593">
            <w:pPr>
              <w:jc w:val="center"/>
              <w:rPr>
                <w:rFonts w:ascii="Arial" w:hAnsi="Arial" w:cs="Arial"/>
                <w:sz w:val="20"/>
                <w:szCs w:val="20"/>
              </w:rPr>
            </w:pPr>
            <w:r w:rsidRPr="00945E69">
              <w:rPr>
                <w:rFonts w:ascii="Arial" w:hAnsi="Arial" w:cs="Arial"/>
                <w:sz w:val="20"/>
                <w:szCs w:val="20"/>
              </w:rPr>
              <w:t>1,836</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5A862" w14:textId="4982EAC5" w:rsidR="00D64593" w:rsidRPr="00945E69" w:rsidRDefault="00D64593" w:rsidP="00D64593">
            <w:pPr>
              <w:jc w:val="center"/>
              <w:rPr>
                <w:rFonts w:ascii="Arial" w:hAnsi="Arial" w:cs="Arial"/>
                <w:sz w:val="20"/>
                <w:szCs w:val="20"/>
              </w:rPr>
            </w:pPr>
            <w:r w:rsidRPr="00945E69">
              <w:rPr>
                <w:rFonts w:ascii="Arial" w:hAnsi="Arial" w:cs="Arial"/>
                <w:sz w:val="20"/>
                <w:szCs w:val="20"/>
              </w:rPr>
              <w:t>1,809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5396A68" w14:textId="3E756022" w:rsidR="00D64593" w:rsidRPr="00945E69" w:rsidRDefault="00D64593" w:rsidP="00D64593">
            <w:pPr>
              <w:jc w:val="center"/>
              <w:rPr>
                <w:rFonts w:ascii="Arial" w:hAnsi="Arial" w:cs="Arial"/>
                <w:sz w:val="20"/>
                <w:szCs w:val="20"/>
              </w:rPr>
            </w:pPr>
            <w:r w:rsidRPr="00945E6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06B3D11B" w14:textId="47475596" w:rsidR="00D64593" w:rsidRPr="00945E69" w:rsidRDefault="00D64593" w:rsidP="00D64593">
            <w:pPr>
              <w:jc w:val="center"/>
              <w:rPr>
                <w:rFonts w:ascii="Arial" w:hAnsi="Arial" w:cs="Arial"/>
                <w:sz w:val="20"/>
                <w:szCs w:val="20"/>
              </w:rPr>
            </w:pPr>
          </w:p>
        </w:tc>
      </w:tr>
      <w:tr w:rsidR="00D64593" w:rsidRPr="00301088" w14:paraId="00E61110" w14:textId="77777777" w:rsidTr="00A850F7">
        <w:trPr>
          <w:cantSplit/>
          <w:trHeight w:val="251"/>
        </w:trPr>
        <w:tc>
          <w:tcPr>
            <w:tcW w:w="3925" w:type="dxa"/>
            <w:vMerge/>
            <w:tcBorders>
              <w:top w:val="single" w:sz="4" w:space="0" w:color="auto"/>
              <w:left w:val="single" w:sz="4" w:space="0" w:color="auto"/>
              <w:right w:val="single" w:sz="4" w:space="0" w:color="auto"/>
            </w:tcBorders>
          </w:tcPr>
          <w:p w14:paraId="5FC1212A" w14:textId="77777777" w:rsidR="00D64593" w:rsidRPr="00945E69" w:rsidRDefault="00D64593" w:rsidP="00D64593">
            <w:pPr>
              <w:rPr>
                <w:rFonts w:ascii="Arial" w:hAnsi="Arial" w:cs="Arial"/>
                <w:b/>
                <w:color w:val="000000"/>
                <w:sz w:val="20"/>
                <w:szCs w:val="20"/>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F2233B5" w14:textId="77777777" w:rsidR="00D64593" w:rsidRPr="00945E69" w:rsidRDefault="00D64593" w:rsidP="00D64593">
            <w:pPr>
              <w:jc w:val="center"/>
              <w:rPr>
                <w:rFonts w:ascii="Arial" w:hAnsi="Arial" w:cs="Arial"/>
                <w:sz w:val="14"/>
                <w:szCs w:val="14"/>
              </w:rPr>
            </w:pPr>
            <w:r w:rsidRPr="00945E69">
              <w:rPr>
                <w:rFonts w:ascii="Arial" w:hAnsi="Arial" w:cs="Arial"/>
                <w:sz w:val="14"/>
                <w:szCs w:val="14"/>
              </w:rPr>
              <w:t>Completed Math</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66C5D" w14:textId="37F5C6A7" w:rsidR="00D64593" w:rsidRPr="00945E69" w:rsidRDefault="00D64593" w:rsidP="00D64593">
            <w:pPr>
              <w:jc w:val="center"/>
              <w:rPr>
                <w:rFonts w:ascii="Arial" w:hAnsi="Arial" w:cs="Arial"/>
                <w:sz w:val="20"/>
                <w:szCs w:val="20"/>
              </w:rPr>
            </w:pPr>
            <w:r w:rsidRPr="00945E69">
              <w:rPr>
                <w:rFonts w:ascii="Arial" w:hAnsi="Arial" w:cs="Arial"/>
                <w:sz w:val="20"/>
                <w:szCs w:val="20"/>
              </w:rPr>
              <w:t>764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317FBD0" w14:textId="6AD2C763" w:rsidR="00D64593" w:rsidRPr="00945E69" w:rsidRDefault="00D64593" w:rsidP="00D64593">
            <w:pPr>
              <w:jc w:val="center"/>
              <w:rPr>
                <w:rFonts w:ascii="Arial" w:hAnsi="Arial" w:cs="Arial"/>
                <w:sz w:val="20"/>
                <w:szCs w:val="20"/>
              </w:rPr>
            </w:pPr>
            <w:r w:rsidRPr="00945E69">
              <w:rPr>
                <w:rFonts w:ascii="Arial" w:hAnsi="Arial" w:cs="Arial"/>
                <w:sz w:val="20"/>
                <w:szCs w:val="20"/>
              </w:rPr>
              <w:t>682</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40DBE" w14:textId="33380F2F" w:rsidR="00D64593" w:rsidRPr="00945E69" w:rsidRDefault="00D64593" w:rsidP="00D64593">
            <w:pPr>
              <w:jc w:val="center"/>
              <w:rPr>
                <w:rFonts w:ascii="Arial" w:hAnsi="Arial" w:cs="Arial"/>
                <w:sz w:val="20"/>
                <w:szCs w:val="20"/>
              </w:rPr>
            </w:pPr>
            <w:r w:rsidRPr="00945E69">
              <w:rPr>
                <w:rFonts w:ascii="Arial" w:hAnsi="Arial" w:cs="Arial"/>
                <w:sz w:val="20"/>
                <w:szCs w:val="20"/>
              </w:rPr>
              <w:t>630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42FE7D2" w14:textId="08AB5F69" w:rsidR="00D64593" w:rsidRPr="00945E69" w:rsidRDefault="00D64593" w:rsidP="00D64593">
            <w:pPr>
              <w:jc w:val="center"/>
              <w:rPr>
                <w:rFonts w:ascii="Arial" w:hAnsi="Arial" w:cs="Arial"/>
                <w:sz w:val="20"/>
                <w:szCs w:val="20"/>
              </w:rPr>
            </w:pPr>
            <w:r w:rsidRPr="00945E6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CDD4D29" w14:textId="2066C837" w:rsidR="00D64593" w:rsidRPr="00945E69" w:rsidRDefault="00D64593" w:rsidP="00D64593">
            <w:pPr>
              <w:jc w:val="center"/>
              <w:rPr>
                <w:rFonts w:ascii="Arial" w:hAnsi="Arial" w:cs="Arial"/>
                <w:sz w:val="20"/>
                <w:szCs w:val="20"/>
              </w:rPr>
            </w:pPr>
          </w:p>
        </w:tc>
      </w:tr>
      <w:tr w:rsidR="00D64593" w:rsidRPr="00301088" w14:paraId="550A874F" w14:textId="77777777" w:rsidTr="00A850F7">
        <w:trPr>
          <w:cantSplit/>
          <w:trHeight w:val="251"/>
        </w:trPr>
        <w:tc>
          <w:tcPr>
            <w:tcW w:w="3925" w:type="dxa"/>
            <w:vMerge/>
            <w:tcBorders>
              <w:top w:val="single" w:sz="4" w:space="0" w:color="auto"/>
              <w:left w:val="single" w:sz="4" w:space="0" w:color="auto"/>
              <w:right w:val="single" w:sz="4" w:space="0" w:color="auto"/>
            </w:tcBorders>
          </w:tcPr>
          <w:p w14:paraId="15294D56" w14:textId="77777777" w:rsidR="00D64593" w:rsidRPr="00945E69" w:rsidRDefault="00D64593" w:rsidP="00D64593">
            <w:pPr>
              <w:rPr>
                <w:rFonts w:ascii="Arial" w:hAnsi="Arial" w:cs="Arial"/>
                <w:b/>
                <w:color w:val="000000"/>
                <w:sz w:val="20"/>
                <w:szCs w:val="20"/>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C888A66" w14:textId="77777777" w:rsidR="00D64593" w:rsidRPr="00945E69" w:rsidRDefault="00D64593" w:rsidP="00D64593">
            <w:pPr>
              <w:jc w:val="center"/>
              <w:rPr>
                <w:rFonts w:ascii="Arial" w:hAnsi="Arial" w:cs="Arial"/>
                <w:sz w:val="14"/>
                <w:szCs w:val="14"/>
              </w:rPr>
            </w:pPr>
            <w:r w:rsidRPr="00945E69">
              <w:rPr>
                <w:rFonts w:ascii="Arial" w:hAnsi="Arial" w:cs="Arial"/>
                <w:sz w:val="14"/>
                <w:szCs w:val="14"/>
              </w:rPr>
              <w:t>Did Not Complete Math</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24C33" w14:textId="3177F0C0" w:rsidR="00D64593" w:rsidRPr="00945E69" w:rsidRDefault="00D64593" w:rsidP="00D64593">
            <w:pPr>
              <w:jc w:val="center"/>
              <w:rPr>
                <w:rFonts w:ascii="Arial" w:hAnsi="Arial" w:cs="Arial"/>
                <w:sz w:val="20"/>
                <w:szCs w:val="20"/>
              </w:rPr>
            </w:pPr>
            <w:r w:rsidRPr="00945E69">
              <w:rPr>
                <w:rFonts w:ascii="Arial" w:hAnsi="Arial" w:cs="Arial"/>
                <w:sz w:val="20"/>
                <w:szCs w:val="20"/>
              </w:rPr>
              <w:t>1,059</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DA21A5E" w14:textId="615BB2AA" w:rsidR="00D64593" w:rsidRPr="00945E69" w:rsidRDefault="00D64593" w:rsidP="00D64593">
            <w:pPr>
              <w:jc w:val="center"/>
              <w:rPr>
                <w:rFonts w:ascii="Arial" w:hAnsi="Arial" w:cs="Arial"/>
                <w:sz w:val="20"/>
                <w:szCs w:val="20"/>
              </w:rPr>
            </w:pPr>
            <w:r w:rsidRPr="00945E69">
              <w:rPr>
                <w:rFonts w:ascii="Arial" w:hAnsi="Arial" w:cs="Arial"/>
                <w:sz w:val="20"/>
                <w:szCs w:val="20"/>
              </w:rPr>
              <w:t>1,154</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A59D1" w14:textId="15E21773" w:rsidR="00D64593" w:rsidRPr="00945E69" w:rsidRDefault="00D64593" w:rsidP="00D64593">
            <w:pPr>
              <w:jc w:val="center"/>
              <w:rPr>
                <w:rFonts w:ascii="Arial" w:hAnsi="Arial" w:cs="Arial"/>
                <w:sz w:val="20"/>
                <w:szCs w:val="20"/>
              </w:rPr>
            </w:pPr>
            <w:r w:rsidRPr="00945E69">
              <w:rPr>
                <w:rFonts w:ascii="Arial" w:hAnsi="Arial" w:cs="Arial"/>
                <w:sz w:val="20"/>
                <w:szCs w:val="20"/>
              </w:rPr>
              <w:t>1,179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B4A6AE" w14:textId="1DAA5BA4" w:rsidR="00D64593" w:rsidRPr="00945E69" w:rsidRDefault="00D64593" w:rsidP="00D64593">
            <w:pPr>
              <w:jc w:val="center"/>
              <w:rPr>
                <w:rFonts w:ascii="Arial" w:hAnsi="Arial" w:cs="Arial"/>
                <w:sz w:val="20"/>
                <w:szCs w:val="20"/>
              </w:rPr>
            </w:pPr>
            <w:r w:rsidRPr="00945E6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26B2F83" w14:textId="5AC73E89" w:rsidR="00D64593" w:rsidRPr="00945E69" w:rsidRDefault="00D64593" w:rsidP="00D64593">
            <w:pPr>
              <w:jc w:val="center"/>
              <w:rPr>
                <w:rFonts w:ascii="Arial" w:hAnsi="Arial" w:cs="Arial"/>
                <w:sz w:val="20"/>
                <w:szCs w:val="20"/>
              </w:rPr>
            </w:pPr>
          </w:p>
        </w:tc>
      </w:tr>
      <w:tr w:rsidR="00D64593" w:rsidRPr="00301088" w14:paraId="1D9FE0D0" w14:textId="77777777" w:rsidTr="00A850F7">
        <w:trPr>
          <w:cantSplit/>
          <w:trHeight w:val="251"/>
        </w:trPr>
        <w:tc>
          <w:tcPr>
            <w:tcW w:w="3925" w:type="dxa"/>
            <w:vMerge/>
            <w:tcBorders>
              <w:left w:val="single" w:sz="4" w:space="0" w:color="auto"/>
              <w:bottom w:val="single" w:sz="4" w:space="0" w:color="auto"/>
              <w:right w:val="single" w:sz="4" w:space="0" w:color="auto"/>
            </w:tcBorders>
          </w:tcPr>
          <w:p w14:paraId="0FF5CFEC" w14:textId="77777777" w:rsidR="00D64593" w:rsidRPr="00945E69" w:rsidRDefault="00D64593" w:rsidP="00D64593">
            <w:pPr>
              <w:pStyle w:val="ListParagraph"/>
              <w:ind w:left="342"/>
              <w:rPr>
                <w:rFonts w:ascii="Arial" w:hAnsi="Arial" w:cs="Arial"/>
                <w:b/>
                <w:sz w:val="20"/>
                <w:szCs w:val="20"/>
              </w:rPr>
            </w:pPr>
          </w:p>
        </w:tc>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64BA0" w14:textId="77777777" w:rsidR="00D64593" w:rsidRPr="00945E69" w:rsidRDefault="00D64593" w:rsidP="00D64593">
            <w:pPr>
              <w:jc w:val="center"/>
              <w:rPr>
                <w:rFonts w:ascii="Arial" w:hAnsi="Arial" w:cs="Arial"/>
                <w:sz w:val="20"/>
                <w:szCs w:val="20"/>
              </w:rPr>
            </w:pPr>
            <w:r w:rsidRPr="00945E69">
              <w:rPr>
                <w:rFonts w:ascii="Arial" w:hAnsi="Arial" w:cs="Arial"/>
                <w:i/>
                <w:sz w:val="20"/>
                <w:szCs w:val="20"/>
              </w:rPr>
              <w:t>target</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0307D" w14:textId="2B8A5348" w:rsidR="00D64593" w:rsidRPr="00945E69" w:rsidRDefault="00D64593" w:rsidP="00D64593">
            <w:pPr>
              <w:jc w:val="center"/>
              <w:rPr>
                <w:rFonts w:ascii="Arial" w:hAnsi="Arial" w:cs="Arial"/>
                <w:i/>
                <w:sz w:val="20"/>
                <w:szCs w:val="20"/>
              </w:rPr>
            </w:pPr>
            <w:r w:rsidRPr="00945E69">
              <w:rPr>
                <w:rFonts w:ascii="Arial" w:hAnsi="Arial" w:cs="Arial"/>
                <w:i/>
                <w:sz w:val="20"/>
                <w:szCs w:val="20"/>
              </w:rPr>
              <w:t>37%</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0EC73" w14:textId="74A9CD8A" w:rsidR="00D64593" w:rsidRPr="00945E69" w:rsidRDefault="00D64593" w:rsidP="00D64593">
            <w:pPr>
              <w:jc w:val="center"/>
              <w:rPr>
                <w:rFonts w:ascii="Arial" w:hAnsi="Arial" w:cs="Arial"/>
                <w:i/>
                <w:sz w:val="20"/>
                <w:szCs w:val="20"/>
              </w:rPr>
            </w:pPr>
            <w:r w:rsidRPr="00945E69">
              <w:rPr>
                <w:rFonts w:ascii="Arial" w:hAnsi="Arial" w:cs="Arial"/>
                <w:i/>
                <w:sz w:val="20"/>
                <w:szCs w:val="20"/>
              </w:rPr>
              <w:t>37%</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C4BB" w14:textId="313F25EA" w:rsidR="00D64593" w:rsidRPr="00945E69" w:rsidRDefault="00D64593" w:rsidP="00D64593">
            <w:pPr>
              <w:jc w:val="center"/>
              <w:rPr>
                <w:rFonts w:ascii="Arial" w:hAnsi="Arial" w:cs="Arial"/>
                <w:i/>
                <w:sz w:val="20"/>
                <w:szCs w:val="20"/>
              </w:rPr>
            </w:pPr>
            <w:r w:rsidRPr="00945E69">
              <w:rPr>
                <w:rFonts w:ascii="Arial" w:hAnsi="Arial" w:cs="Arial"/>
                <w:i/>
                <w:sz w:val="20"/>
                <w:szCs w:val="20"/>
              </w:rPr>
              <w:t>37%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70251" w14:textId="5E9E425F" w:rsidR="00D64593" w:rsidRPr="00945E69" w:rsidRDefault="00D64593" w:rsidP="00D64593">
            <w:pPr>
              <w:jc w:val="center"/>
              <w:rPr>
                <w:rFonts w:ascii="Arial" w:hAnsi="Arial" w:cs="Arial"/>
                <w:i/>
                <w:sz w:val="20"/>
                <w:szCs w:val="20"/>
              </w:rPr>
            </w:pPr>
            <w:r w:rsidRPr="00945E69">
              <w:rPr>
                <w:rFonts w:ascii="Arial" w:hAnsi="Arial" w:cs="Arial"/>
                <w:sz w:val="20"/>
                <w:szCs w:val="20"/>
              </w:rPr>
              <w:t>38%</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0A2BD" w14:textId="29BC303F" w:rsidR="00D64593" w:rsidRPr="00945E69" w:rsidRDefault="00D64593" w:rsidP="00D64593">
            <w:pPr>
              <w:jc w:val="center"/>
              <w:rPr>
                <w:rFonts w:ascii="Arial" w:hAnsi="Arial" w:cs="Arial"/>
                <w:sz w:val="16"/>
                <w:szCs w:val="16"/>
              </w:rPr>
            </w:pPr>
          </w:p>
        </w:tc>
      </w:tr>
    </w:tbl>
    <w:p w14:paraId="58062D5C" w14:textId="77777777" w:rsidR="00B9429C" w:rsidRDefault="00B9429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925"/>
        <w:gridCol w:w="840"/>
        <w:gridCol w:w="929"/>
        <w:gridCol w:w="56"/>
        <w:gridCol w:w="904"/>
        <w:gridCol w:w="33"/>
        <w:gridCol w:w="1318"/>
        <w:gridCol w:w="1080"/>
        <w:gridCol w:w="985"/>
      </w:tblGrid>
      <w:tr w:rsidR="00092183" w:rsidRPr="006D3D09" w14:paraId="7E9060B8" w14:textId="77777777" w:rsidTr="00DF00EE">
        <w:trPr>
          <w:cantSplit/>
          <w:tblHeader/>
        </w:trPr>
        <w:tc>
          <w:tcPr>
            <w:tcW w:w="4765"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2DC4D0F6" w14:textId="5AA0706F" w:rsidR="00092183" w:rsidRPr="006D3D09" w:rsidRDefault="00092183" w:rsidP="00DF00EE">
            <w:pPr>
              <w:jc w:val="center"/>
              <w:rPr>
                <w:rFonts w:ascii="Arial" w:hAnsi="Arial" w:cs="Arial"/>
                <w:b/>
                <w:bCs/>
                <w:color w:val="FFFFFF"/>
                <w:sz w:val="20"/>
                <w:szCs w:val="20"/>
              </w:rPr>
            </w:pPr>
            <w:r>
              <w:lastRenderedPageBreak/>
              <w:br w:type="page"/>
            </w:r>
            <w:r w:rsidRPr="006D3D09">
              <w:rPr>
                <w:rFonts w:ascii="Arial" w:hAnsi="Arial" w:cs="Arial"/>
                <w:b/>
                <w:bCs/>
                <w:color w:val="FFFFFF"/>
                <w:sz w:val="20"/>
                <w:szCs w:val="20"/>
              </w:rPr>
              <w:t>Performance Measure</w:t>
            </w:r>
          </w:p>
        </w:tc>
        <w:tc>
          <w:tcPr>
            <w:tcW w:w="929" w:type="dxa"/>
            <w:tcBorders>
              <w:top w:val="single" w:sz="4" w:space="0" w:color="auto"/>
              <w:left w:val="single" w:sz="4" w:space="0" w:color="auto"/>
              <w:bottom w:val="single" w:sz="4" w:space="0" w:color="auto"/>
              <w:right w:val="single" w:sz="4" w:space="0" w:color="auto"/>
            </w:tcBorders>
            <w:shd w:val="clear" w:color="auto" w:fill="000080"/>
            <w:vAlign w:val="bottom"/>
          </w:tcPr>
          <w:p w14:paraId="72913A17" w14:textId="42156291" w:rsidR="00092183" w:rsidRPr="006D3D09" w:rsidRDefault="00092183" w:rsidP="00DF00EE">
            <w:pPr>
              <w:jc w:val="center"/>
              <w:rPr>
                <w:rFonts w:ascii="Arial" w:hAnsi="Arial" w:cs="Arial"/>
                <w:b/>
                <w:bCs/>
                <w:color w:val="FFFFFF"/>
                <w:sz w:val="20"/>
                <w:szCs w:val="20"/>
              </w:rPr>
            </w:pPr>
            <w:r w:rsidRPr="006D3D09">
              <w:rPr>
                <w:rFonts w:ascii="Arial" w:hAnsi="Arial" w:cs="Arial"/>
                <w:b/>
                <w:bCs/>
                <w:color w:val="FFFFFF"/>
                <w:sz w:val="20"/>
                <w:szCs w:val="20"/>
              </w:rPr>
              <w:t xml:space="preserve">FY </w:t>
            </w:r>
            <w:r w:rsidR="006E2526">
              <w:rPr>
                <w:rFonts w:ascii="Arial" w:hAnsi="Arial" w:cs="Arial"/>
                <w:b/>
                <w:bCs/>
                <w:color w:val="FFFFFF"/>
                <w:sz w:val="20"/>
                <w:szCs w:val="20"/>
              </w:rPr>
              <w:t>2019</w:t>
            </w:r>
          </w:p>
        </w:tc>
        <w:tc>
          <w:tcPr>
            <w:tcW w:w="993" w:type="dxa"/>
            <w:gridSpan w:val="3"/>
            <w:tcBorders>
              <w:top w:val="single" w:sz="4" w:space="0" w:color="auto"/>
              <w:left w:val="single" w:sz="4" w:space="0" w:color="auto"/>
              <w:bottom w:val="single" w:sz="4" w:space="0" w:color="auto"/>
              <w:right w:val="single" w:sz="4" w:space="0" w:color="auto"/>
            </w:tcBorders>
            <w:shd w:val="clear" w:color="auto" w:fill="000080"/>
            <w:vAlign w:val="bottom"/>
          </w:tcPr>
          <w:p w14:paraId="486E848F" w14:textId="48A2BB36" w:rsidR="00092183" w:rsidRPr="006D3D09" w:rsidRDefault="00B36D91" w:rsidP="00DF00EE">
            <w:pPr>
              <w:jc w:val="center"/>
              <w:rPr>
                <w:rFonts w:ascii="Arial" w:hAnsi="Arial" w:cs="Arial"/>
                <w:b/>
                <w:bCs/>
                <w:color w:val="FFFFFF"/>
                <w:sz w:val="20"/>
                <w:szCs w:val="20"/>
              </w:rPr>
            </w:pPr>
            <w:r>
              <w:rPr>
                <w:rFonts w:ascii="Arial" w:hAnsi="Arial" w:cs="Arial"/>
                <w:b/>
                <w:bCs/>
                <w:color w:val="FFFFFF"/>
                <w:sz w:val="20"/>
                <w:szCs w:val="20"/>
              </w:rPr>
              <w:t>FY 2020</w:t>
            </w:r>
          </w:p>
        </w:tc>
        <w:tc>
          <w:tcPr>
            <w:tcW w:w="1318" w:type="dxa"/>
            <w:tcBorders>
              <w:top w:val="single" w:sz="4" w:space="0" w:color="auto"/>
              <w:left w:val="single" w:sz="4" w:space="0" w:color="auto"/>
              <w:bottom w:val="single" w:sz="4" w:space="0" w:color="auto"/>
              <w:right w:val="single" w:sz="4" w:space="0" w:color="auto"/>
            </w:tcBorders>
            <w:shd w:val="clear" w:color="auto" w:fill="000080"/>
            <w:vAlign w:val="bottom"/>
          </w:tcPr>
          <w:p w14:paraId="52E033B2" w14:textId="262A07FF" w:rsidR="00092183" w:rsidRPr="006D3D09" w:rsidRDefault="00B36D91" w:rsidP="00DF00EE">
            <w:pPr>
              <w:jc w:val="center"/>
              <w:rPr>
                <w:rFonts w:ascii="Arial" w:hAnsi="Arial" w:cs="Arial"/>
                <w:b/>
                <w:bCs/>
                <w:color w:val="FFFFFF"/>
                <w:sz w:val="20"/>
                <w:szCs w:val="20"/>
              </w:rPr>
            </w:pPr>
            <w:r>
              <w:rPr>
                <w:rFonts w:ascii="Arial" w:hAnsi="Arial" w:cs="Arial"/>
                <w:b/>
                <w:bCs/>
                <w:color w:val="FFFFFF"/>
                <w:sz w:val="20"/>
                <w:szCs w:val="20"/>
              </w:rPr>
              <w:t>FY 2021</w:t>
            </w:r>
          </w:p>
        </w:tc>
        <w:tc>
          <w:tcPr>
            <w:tcW w:w="1080" w:type="dxa"/>
            <w:tcBorders>
              <w:top w:val="single" w:sz="4" w:space="0" w:color="auto"/>
              <w:left w:val="single" w:sz="4" w:space="0" w:color="auto"/>
              <w:bottom w:val="single" w:sz="4" w:space="0" w:color="auto"/>
              <w:right w:val="single" w:sz="4" w:space="0" w:color="auto"/>
            </w:tcBorders>
            <w:shd w:val="clear" w:color="auto" w:fill="000080"/>
            <w:vAlign w:val="bottom"/>
          </w:tcPr>
          <w:p w14:paraId="7E2C1405" w14:textId="3CF6F924" w:rsidR="00092183" w:rsidRPr="006D3D09" w:rsidRDefault="00B36D91" w:rsidP="00DF00EE">
            <w:pPr>
              <w:jc w:val="center"/>
              <w:rPr>
                <w:rFonts w:ascii="Arial" w:hAnsi="Arial" w:cs="Arial"/>
                <w:b/>
                <w:bCs/>
                <w:color w:val="FFFFFF"/>
                <w:sz w:val="20"/>
                <w:szCs w:val="20"/>
              </w:rPr>
            </w:pPr>
            <w:r>
              <w:rPr>
                <w:rFonts w:ascii="Arial" w:hAnsi="Arial" w:cs="Arial"/>
                <w:b/>
                <w:bCs/>
                <w:color w:val="FFFFFF"/>
                <w:sz w:val="20"/>
                <w:szCs w:val="20"/>
              </w:rPr>
              <w:t>FY 2022</w:t>
            </w:r>
          </w:p>
        </w:tc>
        <w:tc>
          <w:tcPr>
            <w:tcW w:w="985" w:type="dxa"/>
            <w:tcBorders>
              <w:top w:val="single" w:sz="4" w:space="0" w:color="auto"/>
              <w:left w:val="single" w:sz="4" w:space="0" w:color="auto"/>
              <w:bottom w:val="single" w:sz="4" w:space="0" w:color="auto"/>
              <w:right w:val="single" w:sz="4" w:space="0" w:color="auto"/>
            </w:tcBorders>
            <w:shd w:val="clear" w:color="auto" w:fill="000080"/>
            <w:vAlign w:val="bottom"/>
          </w:tcPr>
          <w:p w14:paraId="7C08F448" w14:textId="759FB737" w:rsidR="00092183" w:rsidRPr="006D3D09" w:rsidRDefault="00B36D91" w:rsidP="00DF00EE">
            <w:pPr>
              <w:jc w:val="center"/>
              <w:rPr>
                <w:rFonts w:ascii="Arial" w:hAnsi="Arial" w:cs="Arial"/>
                <w:b/>
                <w:bCs/>
                <w:color w:val="FFFFFF"/>
                <w:sz w:val="20"/>
                <w:szCs w:val="20"/>
              </w:rPr>
            </w:pPr>
            <w:r>
              <w:rPr>
                <w:rFonts w:ascii="Arial" w:hAnsi="Arial" w:cs="Arial"/>
                <w:b/>
                <w:bCs/>
                <w:color w:val="FFFFFF"/>
                <w:sz w:val="20"/>
                <w:szCs w:val="20"/>
              </w:rPr>
              <w:t>FY 2023</w:t>
            </w:r>
          </w:p>
        </w:tc>
      </w:tr>
      <w:tr w:rsidR="00D64593" w:rsidRPr="00301088" w14:paraId="384B91FA" w14:textId="77777777" w:rsidTr="00A02916">
        <w:trPr>
          <w:cantSplit/>
          <w:trHeight w:val="296"/>
        </w:trPr>
        <w:tc>
          <w:tcPr>
            <w:tcW w:w="3925" w:type="dxa"/>
            <w:vMerge w:val="restart"/>
            <w:tcBorders>
              <w:top w:val="single" w:sz="4" w:space="0" w:color="auto"/>
              <w:left w:val="single" w:sz="4" w:space="0" w:color="auto"/>
              <w:bottom w:val="single" w:sz="4" w:space="0" w:color="auto"/>
              <w:right w:val="single" w:sz="4" w:space="0" w:color="auto"/>
            </w:tcBorders>
            <w:hideMark/>
          </w:tcPr>
          <w:p w14:paraId="19804F3A" w14:textId="18C02D64" w:rsidR="00D64593" w:rsidRDefault="00D64593" w:rsidP="00D64593">
            <w:pPr>
              <w:rPr>
                <w:rFonts w:ascii="Arial" w:hAnsi="Arial" w:cs="Arial"/>
                <w:sz w:val="22"/>
                <w:szCs w:val="22"/>
                <w:vertAlign w:val="superscript"/>
              </w:rPr>
            </w:pPr>
            <w:r w:rsidRPr="006E0185">
              <w:rPr>
                <w:rFonts w:ascii="Arial" w:hAnsi="Arial" w:cs="Arial"/>
                <w:b/>
                <w:sz w:val="20"/>
                <w:szCs w:val="20"/>
              </w:rPr>
              <w:t>2.</w:t>
            </w:r>
            <w:r w:rsidRPr="00945E69">
              <w:rPr>
                <w:rFonts w:ascii="Arial" w:hAnsi="Arial" w:cs="Arial"/>
                <w:sz w:val="20"/>
                <w:szCs w:val="20"/>
              </w:rPr>
              <w:t xml:space="preserve">  </w:t>
            </w:r>
            <w:r w:rsidRPr="00945E69">
              <w:rPr>
                <w:rFonts w:ascii="Arial" w:hAnsi="Arial" w:cs="Arial"/>
                <w:color w:val="000000"/>
                <w:sz w:val="20"/>
                <w:szCs w:val="20"/>
              </w:rPr>
              <w:t>Reform Remediation V</w:t>
            </w:r>
            <w:r w:rsidRPr="00945E69">
              <w:rPr>
                <w:rFonts w:ascii="Arial" w:hAnsi="Arial" w:cs="Arial"/>
                <w:sz w:val="20"/>
                <w:szCs w:val="20"/>
                <w:vertAlign w:val="superscript"/>
              </w:rPr>
              <w:t xml:space="preserve"> - </w:t>
            </w:r>
            <w:r w:rsidRPr="00945E69">
              <w:rPr>
                <w:rFonts w:ascii="Arial" w:hAnsi="Arial" w:cs="Arial"/>
                <w:color w:val="000000"/>
                <w:sz w:val="20"/>
                <w:szCs w:val="20"/>
              </w:rPr>
              <w:t>Percent of undergraduate, degree-seeking students who took a remedial course and completed a subsequent credit bearing course (in the area identified as needing remediation) within a year with a “C” or higher. (FY 2025 = 45%)</w:t>
            </w:r>
            <w:r w:rsidRPr="00945E69">
              <w:rPr>
                <w:rFonts w:ascii="Arial" w:hAnsi="Arial" w:cs="Arial"/>
                <w:sz w:val="20"/>
                <w:szCs w:val="20"/>
                <w:vertAlign w:val="superscript"/>
              </w:rPr>
              <w:t xml:space="preserve"> 3</w:t>
            </w:r>
            <w:proofErr w:type="gramStart"/>
            <w:r w:rsidRPr="00945E69">
              <w:rPr>
                <w:rFonts w:ascii="Arial" w:hAnsi="Arial" w:cs="Arial"/>
                <w:sz w:val="20"/>
                <w:szCs w:val="20"/>
                <w:vertAlign w:val="superscript"/>
              </w:rPr>
              <w:t xml:space="preserve">   (</w:t>
            </w:r>
            <w:proofErr w:type="gramEnd"/>
            <w:r w:rsidRPr="00945E69">
              <w:rPr>
                <w:rFonts w:ascii="Arial" w:hAnsi="Arial" w:cs="Arial"/>
                <w:sz w:val="20"/>
                <w:szCs w:val="20"/>
                <w:vertAlign w:val="superscript"/>
              </w:rPr>
              <w:t>SBOE system-wide Strategic Plan Measure)</w:t>
            </w:r>
          </w:p>
          <w:p w14:paraId="6A6C185E" w14:textId="77777777" w:rsidR="00D64593" w:rsidRPr="000C31FE" w:rsidRDefault="00D64593" w:rsidP="00D64593">
            <w:pPr>
              <w:rPr>
                <w:rFonts w:ascii="Arial" w:hAnsi="Arial" w:cs="Arial"/>
                <w:bCs/>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FC61C" w14:textId="77777777" w:rsidR="00D64593" w:rsidRPr="00301088" w:rsidRDefault="00D64593" w:rsidP="00D64593">
            <w:pPr>
              <w:jc w:val="center"/>
              <w:rPr>
                <w:rFonts w:ascii="Arial" w:hAnsi="Arial" w:cs="Arial"/>
                <w:sz w:val="20"/>
              </w:rPr>
            </w:pPr>
            <w:r>
              <w:rPr>
                <w:rFonts w:ascii="Arial" w:hAnsi="Arial" w:cs="Arial"/>
                <w:sz w:val="20"/>
              </w:rPr>
              <w:t>Math -</w:t>
            </w:r>
            <w:r w:rsidRPr="00301088">
              <w:rPr>
                <w:rFonts w:ascii="Arial" w:hAnsi="Arial" w:cs="Arial"/>
                <w:sz w:val="20"/>
              </w:rPr>
              <w:t>actual</w:t>
            </w:r>
          </w:p>
        </w:tc>
        <w:tc>
          <w:tcPr>
            <w:tcW w:w="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8FF298" w14:textId="451E689A" w:rsidR="00D64593" w:rsidRPr="00301088" w:rsidRDefault="00D64593" w:rsidP="00D64593">
            <w:pPr>
              <w:jc w:val="center"/>
              <w:rPr>
                <w:rFonts w:ascii="Arial" w:hAnsi="Arial" w:cs="Arial"/>
                <w:sz w:val="20"/>
                <w:szCs w:val="20"/>
              </w:rPr>
            </w:pPr>
            <w:r>
              <w:rPr>
                <w:rFonts w:ascii="Arial" w:hAnsi="Arial" w:cs="Arial"/>
                <w:sz w:val="20"/>
              </w:rPr>
              <w:t>31%</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A8390" w14:textId="3A9FB64F" w:rsidR="00D64593" w:rsidRDefault="00D64593" w:rsidP="00D64593">
            <w:pPr>
              <w:jc w:val="center"/>
              <w:rPr>
                <w:rFonts w:ascii="Arial" w:hAnsi="Arial" w:cs="Arial"/>
                <w:sz w:val="20"/>
              </w:rPr>
            </w:pPr>
            <w:r>
              <w:rPr>
                <w:rFonts w:ascii="Arial" w:hAnsi="Arial" w:cs="Arial"/>
                <w:sz w:val="20"/>
              </w:rPr>
              <w:t>32%</w:t>
            </w:r>
          </w:p>
        </w:tc>
        <w:tc>
          <w:tcPr>
            <w:tcW w:w="1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61D0E" w14:textId="1C21D0CA" w:rsidR="00D64593" w:rsidRPr="00301088" w:rsidRDefault="00D64593" w:rsidP="00D64593">
            <w:pPr>
              <w:jc w:val="center"/>
              <w:rPr>
                <w:rFonts w:ascii="Arial" w:hAnsi="Arial" w:cs="Arial"/>
                <w:sz w:val="20"/>
              </w:rPr>
            </w:pPr>
            <w:r>
              <w:rPr>
                <w:rFonts w:ascii="Arial" w:hAnsi="Arial" w:cs="Arial"/>
                <w:sz w:val="20"/>
              </w:rPr>
              <w:t>42%</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4571BB" w14:textId="585391EC" w:rsidR="00D64593" w:rsidRPr="00301088" w:rsidRDefault="00D64593" w:rsidP="00D64593">
            <w:pPr>
              <w:jc w:val="center"/>
              <w:rPr>
                <w:rFonts w:ascii="Arial" w:hAnsi="Arial" w:cs="Arial"/>
                <w:sz w:val="20"/>
              </w:rPr>
            </w:pPr>
            <w:r w:rsidRPr="00301088">
              <w:rPr>
                <w:rFonts w:ascii="Arial" w:hAnsi="Arial" w:cs="Arial"/>
                <w:sz w:val="20"/>
              </w:rPr>
              <w:t>----------</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9165B" w14:textId="268BADA3" w:rsidR="00D64593" w:rsidRPr="00301088" w:rsidRDefault="00D64593" w:rsidP="00D64593">
            <w:pPr>
              <w:jc w:val="center"/>
              <w:rPr>
                <w:rFonts w:ascii="Arial" w:hAnsi="Arial" w:cs="Arial"/>
                <w:sz w:val="20"/>
              </w:rPr>
            </w:pPr>
          </w:p>
        </w:tc>
      </w:tr>
      <w:tr w:rsidR="00D64593" w:rsidRPr="00301088" w14:paraId="3405058B" w14:textId="77777777" w:rsidTr="00B030F1">
        <w:trPr>
          <w:cantSplit/>
          <w:trHeight w:val="296"/>
        </w:trPr>
        <w:tc>
          <w:tcPr>
            <w:tcW w:w="3925" w:type="dxa"/>
            <w:vMerge/>
            <w:tcBorders>
              <w:top w:val="single" w:sz="4" w:space="0" w:color="auto"/>
              <w:left w:val="single" w:sz="4" w:space="0" w:color="auto"/>
              <w:bottom w:val="single" w:sz="4" w:space="0" w:color="auto"/>
              <w:right w:val="single" w:sz="4" w:space="0" w:color="auto"/>
            </w:tcBorders>
          </w:tcPr>
          <w:p w14:paraId="462BF378" w14:textId="77777777" w:rsidR="00D64593" w:rsidRPr="006E0185" w:rsidRDefault="00D64593" w:rsidP="00D64593">
            <w:pPr>
              <w:rPr>
                <w:rFonts w:ascii="Arial" w:hAnsi="Arial" w:cs="Arial"/>
                <w:b/>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F281FA8" w14:textId="77777777" w:rsidR="00D64593" w:rsidRPr="00301088" w:rsidRDefault="00D64593" w:rsidP="00D64593">
            <w:pPr>
              <w:jc w:val="center"/>
              <w:rPr>
                <w:rFonts w:ascii="Arial" w:hAnsi="Arial" w:cs="Arial"/>
                <w:sz w:val="20"/>
              </w:rPr>
            </w:pPr>
            <w:r>
              <w:rPr>
                <w:rFonts w:ascii="Arial" w:hAnsi="Arial" w:cs="Arial"/>
                <w:sz w:val="16"/>
                <w:szCs w:val="16"/>
              </w:rPr>
              <w:t>Math -</w:t>
            </w:r>
            <w:r w:rsidRPr="007C3F58">
              <w:rPr>
                <w:rFonts w:ascii="Arial" w:hAnsi="Arial" w:cs="Arial"/>
                <w:sz w:val="16"/>
                <w:szCs w:val="16"/>
              </w:rPr>
              <w:t>Total</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33A6F" w14:textId="191201F3" w:rsidR="00D64593" w:rsidRDefault="00D64593" w:rsidP="00D64593">
            <w:pPr>
              <w:jc w:val="center"/>
              <w:rPr>
                <w:rFonts w:ascii="Arial" w:hAnsi="Arial" w:cs="Arial"/>
                <w:sz w:val="20"/>
                <w:szCs w:val="20"/>
              </w:rPr>
            </w:pPr>
            <w:r>
              <w:rPr>
                <w:rFonts w:ascii="Arial" w:hAnsi="Arial" w:cs="Arial"/>
                <w:sz w:val="20"/>
              </w:rPr>
              <w:t>521</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0F59C53" w14:textId="62E17A60" w:rsidR="00D64593" w:rsidRDefault="00D64593" w:rsidP="00D64593">
            <w:pPr>
              <w:jc w:val="center"/>
              <w:rPr>
                <w:rFonts w:ascii="Arial" w:hAnsi="Arial" w:cs="Arial"/>
                <w:sz w:val="20"/>
              </w:rPr>
            </w:pPr>
            <w:r>
              <w:rPr>
                <w:rFonts w:ascii="Arial" w:hAnsi="Arial" w:cs="Arial"/>
                <w:sz w:val="20"/>
              </w:rPr>
              <w:t>400</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AFA7C" w14:textId="7F20B06E" w:rsidR="00D64593" w:rsidRDefault="00D64593" w:rsidP="00D64593">
            <w:pPr>
              <w:jc w:val="center"/>
              <w:rPr>
                <w:rFonts w:ascii="Arial" w:hAnsi="Arial" w:cs="Arial"/>
                <w:sz w:val="20"/>
              </w:rPr>
            </w:pPr>
            <w:r>
              <w:rPr>
                <w:rFonts w:ascii="Arial" w:hAnsi="Arial" w:cs="Arial"/>
                <w:sz w:val="20"/>
              </w:rPr>
              <w:t>334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E85B2F" w14:textId="241D59F5" w:rsidR="00D64593" w:rsidRDefault="00D64593" w:rsidP="00D64593">
            <w:pPr>
              <w:jc w:val="center"/>
              <w:rPr>
                <w:rFonts w:ascii="Arial" w:hAnsi="Arial" w:cs="Arial"/>
                <w:sz w:val="20"/>
              </w:rPr>
            </w:pPr>
            <w:r w:rsidRPr="006D3D0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55FF08E4" w14:textId="5863D1AE" w:rsidR="00D64593" w:rsidRPr="00301088" w:rsidRDefault="00D64593" w:rsidP="00D64593">
            <w:pPr>
              <w:jc w:val="center"/>
              <w:rPr>
                <w:rFonts w:ascii="Arial" w:hAnsi="Arial" w:cs="Arial"/>
                <w:sz w:val="20"/>
              </w:rPr>
            </w:pPr>
          </w:p>
        </w:tc>
      </w:tr>
      <w:tr w:rsidR="00D64593" w:rsidRPr="00301088" w14:paraId="61C0E8D8" w14:textId="77777777" w:rsidTr="00B030F1">
        <w:trPr>
          <w:cantSplit/>
          <w:trHeight w:val="296"/>
        </w:trPr>
        <w:tc>
          <w:tcPr>
            <w:tcW w:w="3925" w:type="dxa"/>
            <w:vMerge/>
            <w:tcBorders>
              <w:top w:val="single" w:sz="4" w:space="0" w:color="auto"/>
              <w:left w:val="single" w:sz="4" w:space="0" w:color="auto"/>
              <w:bottom w:val="single" w:sz="4" w:space="0" w:color="auto"/>
              <w:right w:val="single" w:sz="4" w:space="0" w:color="auto"/>
            </w:tcBorders>
          </w:tcPr>
          <w:p w14:paraId="3FB282DB" w14:textId="77777777" w:rsidR="00D64593" w:rsidRPr="006E0185" w:rsidRDefault="00D64593" w:rsidP="00D64593">
            <w:pPr>
              <w:rPr>
                <w:rFonts w:ascii="Arial" w:hAnsi="Arial" w:cs="Arial"/>
                <w:b/>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E52F1D6" w14:textId="77777777" w:rsidR="00D64593" w:rsidRPr="00B030F1" w:rsidRDefault="00D64593" w:rsidP="00D64593">
            <w:pPr>
              <w:jc w:val="center"/>
              <w:rPr>
                <w:rFonts w:ascii="Arial" w:hAnsi="Arial" w:cs="Arial"/>
                <w:sz w:val="14"/>
                <w:szCs w:val="14"/>
              </w:rPr>
            </w:pPr>
            <w:r w:rsidRPr="00B030F1">
              <w:rPr>
                <w:rFonts w:ascii="Arial" w:hAnsi="Arial" w:cs="Arial"/>
                <w:sz w:val="14"/>
                <w:szCs w:val="14"/>
              </w:rPr>
              <w:t>Complete</w:t>
            </w:r>
            <w:r>
              <w:rPr>
                <w:rFonts w:ascii="Arial" w:hAnsi="Arial" w:cs="Arial"/>
                <w:sz w:val="14"/>
                <w:szCs w:val="14"/>
              </w:rPr>
              <w:t>d</w:t>
            </w:r>
            <w:r w:rsidRPr="00B030F1">
              <w:rPr>
                <w:rFonts w:ascii="Arial" w:hAnsi="Arial" w:cs="Arial"/>
                <w:sz w:val="14"/>
                <w:szCs w:val="14"/>
              </w:rPr>
              <w:t xml:space="preserve"> Math</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47643" w14:textId="1510D85C" w:rsidR="00D64593" w:rsidRDefault="00D64593" w:rsidP="00D64593">
            <w:pPr>
              <w:jc w:val="center"/>
              <w:rPr>
                <w:rFonts w:ascii="Arial" w:hAnsi="Arial" w:cs="Arial"/>
                <w:sz w:val="20"/>
                <w:szCs w:val="20"/>
              </w:rPr>
            </w:pPr>
            <w:r>
              <w:rPr>
                <w:rFonts w:ascii="Arial" w:hAnsi="Arial" w:cs="Arial"/>
                <w:sz w:val="20"/>
              </w:rPr>
              <w:t>163</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F09A1D0" w14:textId="4248F86B" w:rsidR="00D64593" w:rsidRDefault="00D64593" w:rsidP="00D64593">
            <w:pPr>
              <w:jc w:val="center"/>
              <w:rPr>
                <w:rFonts w:ascii="Arial" w:hAnsi="Arial" w:cs="Arial"/>
                <w:sz w:val="20"/>
              </w:rPr>
            </w:pPr>
            <w:r>
              <w:rPr>
                <w:rFonts w:ascii="Arial" w:hAnsi="Arial" w:cs="Arial"/>
                <w:sz w:val="20"/>
              </w:rPr>
              <w:t>126</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16840" w14:textId="046F0727" w:rsidR="00D64593" w:rsidRDefault="00D64593" w:rsidP="00D64593">
            <w:pPr>
              <w:jc w:val="center"/>
              <w:rPr>
                <w:rFonts w:ascii="Arial" w:hAnsi="Arial" w:cs="Arial"/>
                <w:sz w:val="20"/>
              </w:rPr>
            </w:pPr>
            <w:r>
              <w:rPr>
                <w:rFonts w:ascii="Arial" w:hAnsi="Arial" w:cs="Arial"/>
                <w:sz w:val="20"/>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859483A" w14:textId="32721452" w:rsidR="00D64593" w:rsidRDefault="00D64593" w:rsidP="00D64593">
            <w:pPr>
              <w:jc w:val="center"/>
              <w:rPr>
                <w:rFonts w:ascii="Arial" w:hAnsi="Arial" w:cs="Arial"/>
                <w:sz w:val="20"/>
              </w:rPr>
            </w:pPr>
            <w:r w:rsidRPr="006D3D0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4349EE8" w14:textId="332AAC6B" w:rsidR="00D64593" w:rsidRPr="00301088" w:rsidRDefault="00D64593" w:rsidP="00D64593">
            <w:pPr>
              <w:jc w:val="center"/>
              <w:rPr>
                <w:rFonts w:ascii="Arial" w:hAnsi="Arial" w:cs="Arial"/>
                <w:sz w:val="20"/>
              </w:rPr>
            </w:pPr>
          </w:p>
        </w:tc>
      </w:tr>
      <w:tr w:rsidR="00D64593" w:rsidRPr="00301088" w14:paraId="4F98C583" w14:textId="77777777" w:rsidTr="00B030F1">
        <w:trPr>
          <w:cantSplit/>
          <w:trHeight w:val="296"/>
        </w:trPr>
        <w:tc>
          <w:tcPr>
            <w:tcW w:w="3925" w:type="dxa"/>
            <w:vMerge/>
            <w:tcBorders>
              <w:top w:val="single" w:sz="4" w:space="0" w:color="auto"/>
              <w:left w:val="single" w:sz="4" w:space="0" w:color="auto"/>
              <w:bottom w:val="single" w:sz="4" w:space="0" w:color="auto"/>
              <w:right w:val="single" w:sz="4" w:space="0" w:color="auto"/>
            </w:tcBorders>
          </w:tcPr>
          <w:p w14:paraId="40B19A02" w14:textId="77777777" w:rsidR="00D64593" w:rsidRPr="006E0185" w:rsidRDefault="00D64593" w:rsidP="00D64593">
            <w:pPr>
              <w:rPr>
                <w:rFonts w:ascii="Arial" w:hAnsi="Arial" w:cs="Arial"/>
                <w:b/>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86E1C02" w14:textId="77777777" w:rsidR="00D64593" w:rsidRPr="00B030F1" w:rsidRDefault="00D64593" w:rsidP="00D64593">
            <w:pPr>
              <w:jc w:val="center"/>
              <w:rPr>
                <w:rFonts w:ascii="Arial" w:hAnsi="Arial" w:cs="Arial"/>
                <w:sz w:val="14"/>
                <w:szCs w:val="14"/>
              </w:rPr>
            </w:pPr>
            <w:r w:rsidRPr="00B030F1">
              <w:rPr>
                <w:rFonts w:ascii="Arial" w:hAnsi="Arial" w:cs="Arial"/>
                <w:sz w:val="14"/>
                <w:szCs w:val="14"/>
              </w:rPr>
              <w:t>Did Not Complete Math</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57E66" w14:textId="5D826D9F" w:rsidR="00D64593" w:rsidRDefault="00D64593" w:rsidP="00D64593">
            <w:pPr>
              <w:jc w:val="center"/>
              <w:rPr>
                <w:rFonts w:ascii="Arial" w:hAnsi="Arial" w:cs="Arial"/>
                <w:sz w:val="20"/>
                <w:szCs w:val="20"/>
              </w:rPr>
            </w:pPr>
            <w:r>
              <w:rPr>
                <w:rFonts w:ascii="Arial" w:hAnsi="Arial" w:cs="Arial"/>
                <w:sz w:val="20"/>
              </w:rPr>
              <w:t>358</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63EEAB2" w14:textId="6FB452D0" w:rsidR="00D64593" w:rsidRDefault="00D64593" w:rsidP="00D64593">
            <w:pPr>
              <w:jc w:val="center"/>
              <w:rPr>
                <w:rFonts w:ascii="Arial" w:hAnsi="Arial" w:cs="Arial"/>
                <w:sz w:val="20"/>
              </w:rPr>
            </w:pPr>
            <w:r>
              <w:rPr>
                <w:rFonts w:ascii="Arial" w:hAnsi="Arial" w:cs="Arial"/>
                <w:sz w:val="20"/>
              </w:rPr>
              <w:t>274</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E67C2" w14:textId="73D9DE89" w:rsidR="00D64593" w:rsidRDefault="00D64593" w:rsidP="00D64593">
            <w:pPr>
              <w:jc w:val="center"/>
              <w:rPr>
                <w:rFonts w:ascii="Arial" w:hAnsi="Arial" w:cs="Arial"/>
                <w:sz w:val="20"/>
              </w:rPr>
            </w:pPr>
            <w:r>
              <w:rPr>
                <w:rFonts w:ascii="Arial" w:hAnsi="Arial" w:cs="Arial"/>
                <w:sz w:val="20"/>
              </w:rPr>
              <w:t>194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19F670C" w14:textId="083B1A0B" w:rsidR="00D64593" w:rsidRDefault="00D64593" w:rsidP="00D64593">
            <w:pPr>
              <w:jc w:val="center"/>
              <w:rPr>
                <w:rFonts w:ascii="Arial" w:hAnsi="Arial" w:cs="Arial"/>
                <w:sz w:val="20"/>
              </w:rPr>
            </w:pPr>
            <w:r w:rsidRPr="006D3D0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4134F1" w14:textId="343624B7" w:rsidR="00D64593" w:rsidRPr="00301088" w:rsidRDefault="00D64593" w:rsidP="00D64593">
            <w:pPr>
              <w:jc w:val="center"/>
              <w:rPr>
                <w:rFonts w:ascii="Arial" w:hAnsi="Arial" w:cs="Arial"/>
                <w:sz w:val="20"/>
              </w:rPr>
            </w:pPr>
          </w:p>
        </w:tc>
      </w:tr>
      <w:tr w:rsidR="00D64593" w:rsidRPr="00301088" w14:paraId="0E17015A" w14:textId="77777777" w:rsidTr="009E13A5">
        <w:trPr>
          <w:cantSplit/>
          <w:trHeight w:val="296"/>
        </w:trPr>
        <w:tc>
          <w:tcPr>
            <w:tcW w:w="3925" w:type="dxa"/>
            <w:vMerge/>
            <w:tcBorders>
              <w:top w:val="single" w:sz="4" w:space="0" w:color="auto"/>
              <w:left w:val="single" w:sz="4" w:space="0" w:color="auto"/>
              <w:bottom w:val="single" w:sz="4" w:space="0" w:color="auto"/>
              <w:right w:val="single" w:sz="4" w:space="0" w:color="auto"/>
            </w:tcBorders>
          </w:tcPr>
          <w:p w14:paraId="32DE02C4" w14:textId="77777777" w:rsidR="00D64593" w:rsidRPr="006E0185" w:rsidRDefault="00D64593" w:rsidP="00D64593">
            <w:pPr>
              <w:rPr>
                <w:rFonts w:ascii="Arial" w:hAnsi="Arial" w:cs="Arial"/>
                <w:b/>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1CDA52" w14:textId="77777777" w:rsidR="00D64593" w:rsidRPr="009E13A5" w:rsidRDefault="00D64593" w:rsidP="00D64593">
            <w:pPr>
              <w:jc w:val="center"/>
              <w:rPr>
                <w:rFonts w:ascii="Arial" w:hAnsi="Arial" w:cs="Arial"/>
                <w:sz w:val="20"/>
              </w:rPr>
            </w:pPr>
            <w:r>
              <w:rPr>
                <w:rFonts w:ascii="Arial" w:hAnsi="Arial" w:cs="Arial"/>
                <w:sz w:val="20"/>
              </w:rPr>
              <w:t>English</w:t>
            </w:r>
            <w:r w:rsidRPr="009E13A5">
              <w:rPr>
                <w:rFonts w:ascii="Arial" w:hAnsi="Arial" w:cs="Arial"/>
                <w:sz w:val="20"/>
              </w:rPr>
              <w:t xml:space="preserve"> -actual</w:t>
            </w:r>
          </w:p>
        </w:tc>
        <w:tc>
          <w:tcPr>
            <w:tcW w:w="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F02959" w14:textId="5E62DD9A" w:rsidR="00D64593" w:rsidRPr="009E13A5" w:rsidRDefault="00D64593" w:rsidP="00D64593">
            <w:pPr>
              <w:jc w:val="center"/>
              <w:rPr>
                <w:rFonts w:ascii="Arial" w:hAnsi="Arial" w:cs="Arial"/>
                <w:sz w:val="20"/>
              </w:rPr>
            </w:pPr>
            <w:r>
              <w:rPr>
                <w:rFonts w:ascii="Arial" w:hAnsi="Arial" w:cs="Arial"/>
                <w:sz w:val="20"/>
              </w:rPr>
              <w:t>94%</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6EFF98" w14:textId="11DC5356" w:rsidR="00D64593" w:rsidRPr="009E13A5" w:rsidRDefault="00D64593" w:rsidP="00D64593">
            <w:pPr>
              <w:jc w:val="center"/>
              <w:rPr>
                <w:rFonts w:ascii="Arial" w:hAnsi="Arial" w:cs="Arial"/>
                <w:sz w:val="20"/>
              </w:rPr>
            </w:pPr>
            <w:r>
              <w:rPr>
                <w:rFonts w:ascii="Arial" w:hAnsi="Arial" w:cs="Arial"/>
                <w:sz w:val="20"/>
              </w:rPr>
              <w:t>92%</w:t>
            </w:r>
          </w:p>
        </w:tc>
        <w:tc>
          <w:tcPr>
            <w:tcW w:w="1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502FE7" w14:textId="4C75BD6B" w:rsidR="00D64593" w:rsidRPr="009E13A5" w:rsidRDefault="00D64593" w:rsidP="00D64593">
            <w:pPr>
              <w:jc w:val="center"/>
              <w:rPr>
                <w:rFonts w:ascii="Arial" w:hAnsi="Arial" w:cs="Arial"/>
                <w:sz w:val="20"/>
              </w:rPr>
            </w:pPr>
            <w:r>
              <w:rPr>
                <w:rFonts w:ascii="Arial" w:hAnsi="Arial" w:cs="Arial"/>
                <w:sz w:val="20"/>
              </w:rPr>
              <w:t>89%</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4A87E8" w14:textId="5BF08E08" w:rsidR="00D64593" w:rsidRPr="009E13A5" w:rsidRDefault="00D64593" w:rsidP="00D64593">
            <w:pPr>
              <w:jc w:val="center"/>
              <w:rPr>
                <w:rFonts w:ascii="Arial" w:hAnsi="Arial" w:cs="Arial"/>
                <w:sz w:val="20"/>
              </w:rPr>
            </w:pPr>
            <w:r w:rsidRPr="009E13A5">
              <w:rPr>
                <w:rFonts w:ascii="Arial" w:hAnsi="Arial" w:cs="Arial"/>
                <w:sz w:val="20"/>
              </w:rPr>
              <w:t>----------</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4CCB11" w14:textId="0F6F08A4" w:rsidR="00D64593" w:rsidRPr="009E13A5" w:rsidRDefault="00D64593" w:rsidP="00D64593">
            <w:pPr>
              <w:jc w:val="center"/>
              <w:rPr>
                <w:rFonts w:ascii="Arial" w:hAnsi="Arial" w:cs="Arial"/>
                <w:sz w:val="20"/>
              </w:rPr>
            </w:pPr>
          </w:p>
        </w:tc>
      </w:tr>
      <w:tr w:rsidR="00D64593" w:rsidRPr="00301088" w14:paraId="5F80040B" w14:textId="77777777" w:rsidTr="00B030F1">
        <w:trPr>
          <w:cantSplit/>
          <w:trHeight w:val="296"/>
        </w:trPr>
        <w:tc>
          <w:tcPr>
            <w:tcW w:w="3925" w:type="dxa"/>
            <w:vMerge/>
            <w:tcBorders>
              <w:top w:val="single" w:sz="4" w:space="0" w:color="auto"/>
              <w:left w:val="single" w:sz="4" w:space="0" w:color="auto"/>
              <w:bottom w:val="single" w:sz="4" w:space="0" w:color="auto"/>
              <w:right w:val="single" w:sz="4" w:space="0" w:color="auto"/>
            </w:tcBorders>
          </w:tcPr>
          <w:p w14:paraId="239B99B0" w14:textId="77777777" w:rsidR="00D64593" w:rsidRPr="006E0185" w:rsidRDefault="00D64593" w:rsidP="00D64593">
            <w:pPr>
              <w:rPr>
                <w:rFonts w:ascii="Arial" w:hAnsi="Arial" w:cs="Arial"/>
                <w:b/>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363AD10" w14:textId="77777777" w:rsidR="00D64593" w:rsidRPr="00B030F1" w:rsidRDefault="00D64593" w:rsidP="00D64593">
            <w:pPr>
              <w:jc w:val="center"/>
              <w:rPr>
                <w:rFonts w:ascii="Arial" w:hAnsi="Arial" w:cs="Arial"/>
                <w:sz w:val="14"/>
                <w:szCs w:val="14"/>
              </w:rPr>
            </w:pPr>
            <w:r>
              <w:rPr>
                <w:rFonts w:ascii="Arial" w:hAnsi="Arial" w:cs="Arial"/>
                <w:sz w:val="16"/>
                <w:szCs w:val="16"/>
              </w:rPr>
              <w:t>English -</w:t>
            </w:r>
            <w:r w:rsidRPr="007C3F58">
              <w:rPr>
                <w:rFonts w:ascii="Arial" w:hAnsi="Arial" w:cs="Arial"/>
                <w:sz w:val="16"/>
                <w:szCs w:val="16"/>
              </w:rPr>
              <w:t>Total</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2F429" w14:textId="3685B2C8" w:rsidR="00D64593" w:rsidRDefault="00D64593" w:rsidP="00D64593">
            <w:pPr>
              <w:jc w:val="center"/>
              <w:rPr>
                <w:rFonts w:ascii="Arial" w:hAnsi="Arial" w:cs="Arial"/>
                <w:sz w:val="20"/>
                <w:szCs w:val="20"/>
              </w:rPr>
            </w:pPr>
            <w:r>
              <w:rPr>
                <w:rFonts w:ascii="Arial" w:hAnsi="Arial" w:cs="Arial"/>
                <w:sz w:val="20"/>
              </w:rPr>
              <w:t>362</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08DAF53" w14:textId="42286F62" w:rsidR="00D64593" w:rsidRDefault="00D64593" w:rsidP="00D64593">
            <w:pPr>
              <w:jc w:val="center"/>
              <w:rPr>
                <w:rFonts w:ascii="Arial" w:hAnsi="Arial" w:cs="Arial"/>
                <w:sz w:val="20"/>
              </w:rPr>
            </w:pPr>
            <w:r>
              <w:rPr>
                <w:rFonts w:ascii="Arial" w:hAnsi="Arial" w:cs="Arial"/>
                <w:sz w:val="20"/>
              </w:rPr>
              <w:t>296</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BC23D" w14:textId="2445DC71" w:rsidR="00D64593" w:rsidRDefault="00D64593" w:rsidP="00D64593">
            <w:pPr>
              <w:jc w:val="center"/>
              <w:rPr>
                <w:rFonts w:ascii="Arial" w:hAnsi="Arial" w:cs="Arial"/>
                <w:sz w:val="20"/>
              </w:rPr>
            </w:pPr>
            <w:r>
              <w:rPr>
                <w:rFonts w:ascii="Arial" w:hAnsi="Arial" w:cs="Arial"/>
                <w:sz w:val="20"/>
              </w:rPr>
              <w:t>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AA79C1D" w14:textId="2726ACB9" w:rsidR="00D64593" w:rsidRDefault="00D64593" w:rsidP="00D64593">
            <w:pPr>
              <w:jc w:val="center"/>
              <w:rPr>
                <w:rFonts w:ascii="Arial" w:hAnsi="Arial" w:cs="Arial"/>
                <w:sz w:val="20"/>
              </w:rPr>
            </w:pPr>
            <w:r w:rsidRPr="006D3D0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1CEB6A" w14:textId="4C0ED2E4" w:rsidR="00D64593" w:rsidRPr="00301088" w:rsidRDefault="00D64593" w:rsidP="00D64593">
            <w:pPr>
              <w:jc w:val="center"/>
              <w:rPr>
                <w:rFonts w:ascii="Arial" w:hAnsi="Arial" w:cs="Arial"/>
                <w:sz w:val="20"/>
              </w:rPr>
            </w:pPr>
          </w:p>
        </w:tc>
      </w:tr>
      <w:tr w:rsidR="00D64593" w:rsidRPr="00301088" w14:paraId="44C4E446" w14:textId="77777777" w:rsidTr="00B030F1">
        <w:trPr>
          <w:cantSplit/>
          <w:trHeight w:val="296"/>
        </w:trPr>
        <w:tc>
          <w:tcPr>
            <w:tcW w:w="3925" w:type="dxa"/>
            <w:vMerge/>
            <w:tcBorders>
              <w:top w:val="single" w:sz="4" w:space="0" w:color="auto"/>
              <w:left w:val="single" w:sz="4" w:space="0" w:color="auto"/>
              <w:bottom w:val="single" w:sz="4" w:space="0" w:color="auto"/>
              <w:right w:val="single" w:sz="4" w:space="0" w:color="auto"/>
            </w:tcBorders>
          </w:tcPr>
          <w:p w14:paraId="4D27FF39" w14:textId="77777777" w:rsidR="00D64593" w:rsidRPr="006E0185" w:rsidRDefault="00D64593" w:rsidP="00D64593">
            <w:pPr>
              <w:rPr>
                <w:rFonts w:ascii="Arial" w:hAnsi="Arial" w:cs="Arial"/>
                <w:b/>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27716C2" w14:textId="77777777" w:rsidR="00D64593" w:rsidRPr="00B030F1" w:rsidRDefault="00D64593" w:rsidP="00D64593">
            <w:pPr>
              <w:jc w:val="center"/>
              <w:rPr>
                <w:rFonts w:ascii="Arial" w:hAnsi="Arial" w:cs="Arial"/>
                <w:sz w:val="14"/>
                <w:szCs w:val="14"/>
              </w:rPr>
            </w:pPr>
            <w:r w:rsidRPr="00B030F1">
              <w:rPr>
                <w:rFonts w:ascii="Arial" w:hAnsi="Arial" w:cs="Arial"/>
                <w:sz w:val="14"/>
                <w:szCs w:val="14"/>
              </w:rPr>
              <w:t>Complete</w:t>
            </w:r>
            <w:r>
              <w:rPr>
                <w:rFonts w:ascii="Arial" w:hAnsi="Arial" w:cs="Arial"/>
                <w:sz w:val="14"/>
                <w:szCs w:val="14"/>
              </w:rPr>
              <w:t>d English</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0DD46" w14:textId="11BD0E9A" w:rsidR="00D64593" w:rsidRDefault="00D64593" w:rsidP="00D64593">
            <w:pPr>
              <w:jc w:val="center"/>
              <w:rPr>
                <w:rFonts w:ascii="Arial" w:hAnsi="Arial" w:cs="Arial"/>
                <w:sz w:val="20"/>
                <w:szCs w:val="20"/>
              </w:rPr>
            </w:pPr>
            <w:r>
              <w:rPr>
                <w:rFonts w:ascii="Arial" w:hAnsi="Arial" w:cs="Arial"/>
                <w:sz w:val="20"/>
              </w:rPr>
              <w:t>339</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525CD9B" w14:textId="1CE5D1CF" w:rsidR="00D64593" w:rsidRDefault="00D64593" w:rsidP="00D64593">
            <w:pPr>
              <w:jc w:val="center"/>
              <w:rPr>
                <w:rFonts w:ascii="Arial" w:hAnsi="Arial" w:cs="Arial"/>
                <w:sz w:val="20"/>
              </w:rPr>
            </w:pPr>
            <w:r>
              <w:rPr>
                <w:rFonts w:ascii="Arial" w:hAnsi="Arial" w:cs="Arial"/>
                <w:sz w:val="20"/>
              </w:rPr>
              <w:t>273</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D5A80" w14:textId="37AEBDF4" w:rsidR="00D64593" w:rsidRDefault="00D64593" w:rsidP="00D64593">
            <w:pPr>
              <w:jc w:val="center"/>
              <w:rPr>
                <w:rFonts w:ascii="Arial" w:hAnsi="Arial" w:cs="Arial"/>
                <w:sz w:val="20"/>
              </w:rPr>
            </w:pPr>
            <w:r>
              <w:rPr>
                <w:rFonts w:ascii="Arial" w:hAnsi="Arial" w:cs="Arial"/>
                <w:sz w:val="20"/>
              </w:rPr>
              <w:t>82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09593E7" w14:textId="45BA059E" w:rsidR="00D64593" w:rsidRDefault="00D64593" w:rsidP="00D64593">
            <w:pPr>
              <w:jc w:val="center"/>
              <w:rPr>
                <w:rFonts w:ascii="Arial" w:hAnsi="Arial" w:cs="Arial"/>
                <w:sz w:val="20"/>
              </w:rPr>
            </w:pPr>
            <w:r w:rsidRPr="006D3D0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557CF9E" w14:textId="4FA60C89" w:rsidR="00D64593" w:rsidRPr="00301088" w:rsidRDefault="00D64593" w:rsidP="00D64593">
            <w:pPr>
              <w:jc w:val="center"/>
              <w:rPr>
                <w:rFonts w:ascii="Arial" w:hAnsi="Arial" w:cs="Arial"/>
                <w:sz w:val="20"/>
              </w:rPr>
            </w:pPr>
          </w:p>
        </w:tc>
      </w:tr>
      <w:tr w:rsidR="00D64593" w:rsidRPr="00301088" w14:paraId="30AFF15F" w14:textId="77777777" w:rsidTr="00B030F1">
        <w:trPr>
          <w:cantSplit/>
          <w:trHeight w:val="296"/>
        </w:trPr>
        <w:tc>
          <w:tcPr>
            <w:tcW w:w="3925" w:type="dxa"/>
            <w:vMerge/>
            <w:tcBorders>
              <w:top w:val="single" w:sz="4" w:space="0" w:color="auto"/>
              <w:left w:val="single" w:sz="4" w:space="0" w:color="auto"/>
              <w:bottom w:val="single" w:sz="4" w:space="0" w:color="auto"/>
              <w:right w:val="single" w:sz="4" w:space="0" w:color="auto"/>
            </w:tcBorders>
          </w:tcPr>
          <w:p w14:paraId="50761F48" w14:textId="77777777" w:rsidR="00D64593" w:rsidRPr="006E0185" w:rsidRDefault="00D64593" w:rsidP="00D64593">
            <w:pPr>
              <w:rPr>
                <w:rFonts w:ascii="Arial" w:hAnsi="Arial" w:cs="Arial"/>
                <w:b/>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E9ADC6E" w14:textId="77777777" w:rsidR="00D64593" w:rsidRPr="00B030F1" w:rsidRDefault="00D64593" w:rsidP="00D64593">
            <w:pPr>
              <w:jc w:val="center"/>
              <w:rPr>
                <w:rFonts w:ascii="Arial" w:hAnsi="Arial" w:cs="Arial"/>
                <w:sz w:val="14"/>
                <w:szCs w:val="14"/>
              </w:rPr>
            </w:pPr>
            <w:r>
              <w:rPr>
                <w:rFonts w:ascii="Arial" w:hAnsi="Arial" w:cs="Arial"/>
                <w:sz w:val="14"/>
                <w:szCs w:val="14"/>
              </w:rPr>
              <w:t>Did Not Complete English</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7488A" w14:textId="0C765F49" w:rsidR="00D64593" w:rsidRDefault="00D64593" w:rsidP="00D64593">
            <w:pPr>
              <w:jc w:val="center"/>
              <w:rPr>
                <w:rFonts w:ascii="Arial" w:hAnsi="Arial" w:cs="Arial"/>
                <w:sz w:val="20"/>
                <w:szCs w:val="20"/>
              </w:rPr>
            </w:pPr>
            <w:r>
              <w:rPr>
                <w:rFonts w:ascii="Arial" w:hAnsi="Arial" w:cs="Arial"/>
                <w:sz w:val="20"/>
              </w:rPr>
              <w:t>23</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076DB82" w14:textId="343221AD" w:rsidR="00D64593" w:rsidRDefault="00D64593" w:rsidP="00D64593">
            <w:pPr>
              <w:jc w:val="center"/>
              <w:rPr>
                <w:rFonts w:ascii="Arial" w:hAnsi="Arial" w:cs="Arial"/>
                <w:sz w:val="20"/>
              </w:rPr>
            </w:pPr>
            <w:r>
              <w:rPr>
                <w:rFonts w:ascii="Arial" w:hAnsi="Arial" w:cs="Arial"/>
                <w:sz w:val="20"/>
              </w:rPr>
              <w:t>23</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FC9FE" w14:textId="0242BF7F" w:rsidR="00D64593" w:rsidRDefault="00D64593" w:rsidP="00D64593">
            <w:pPr>
              <w:jc w:val="center"/>
              <w:rPr>
                <w:rFonts w:ascii="Arial" w:hAnsi="Arial" w:cs="Arial"/>
                <w:sz w:val="20"/>
              </w:rPr>
            </w:pPr>
            <w:r>
              <w:rPr>
                <w:rFonts w:ascii="Arial" w:hAnsi="Arial" w:cs="Arial"/>
                <w:sz w:val="20"/>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084DEDA" w14:textId="55B90FDA" w:rsidR="00D64593" w:rsidRDefault="00D64593" w:rsidP="00D64593">
            <w:pPr>
              <w:jc w:val="center"/>
              <w:rPr>
                <w:rFonts w:ascii="Arial" w:hAnsi="Arial" w:cs="Arial"/>
                <w:sz w:val="20"/>
              </w:rPr>
            </w:pPr>
            <w:r w:rsidRPr="006D3D0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14663946" w14:textId="6B7E562C" w:rsidR="00D64593" w:rsidRPr="00301088" w:rsidRDefault="00D64593" w:rsidP="00D64593">
            <w:pPr>
              <w:jc w:val="center"/>
              <w:rPr>
                <w:rFonts w:ascii="Arial" w:hAnsi="Arial" w:cs="Arial"/>
                <w:sz w:val="20"/>
              </w:rPr>
            </w:pPr>
          </w:p>
        </w:tc>
      </w:tr>
      <w:tr w:rsidR="00D64593" w:rsidRPr="00301088" w14:paraId="0BD37267" w14:textId="77777777" w:rsidTr="00B030F1">
        <w:trPr>
          <w:cantSplit/>
          <w:trHeight w:val="288"/>
        </w:trPr>
        <w:tc>
          <w:tcPr>
            <w:tcW w:w="3925" w:type="dxa"/>
            <w:vMerge/>
            <w:tcBorders>
              <w:top w:val="single" w:sz="4" w:space="0" w:color="auto"/>
              <w:left w:val="single" w:sz="4" w:space="0" w:color="auto"/>
              <w:bottom w:val="single" w:sz="4" w:space="0" w:color="auto"/>
              <w:right w:val="single" w:sz="4" w:space="0" w:color="auto"/>
            </w:tcBorders>
            <w:vAlign w:val="center"/>
            <w:hideMark/>
          </w:tcPr>
          <w:p w14:paraId="68CB932A" w14:textId="77777777" w:rsidR="00D64593" w:rsidRPr="00A15D50" w:rsidRDefault="00D64593" w:rsidP="00D64593">
            <w:pPr>
              <w:pStyle w:val="ListParagraph"/>
              <w:numPr>
                <w:ilvl w:val="0"/>
                <w:numId w:val="5"/>
              </w:numPr>
              <w:rPr>
                <w:rFonts w:ascii="Arial" w:hAnsi="Arial" w:cs="Arial"/>
                <w:bCs/>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D9A14D" w14:textId="77777777" w:rsidR="00D64593" w:rsidRPr="00945E69" w:rsidRDefault="00D64593" w:rsidP="00D64593">
            <w:pPr>
              <w:jc w:val="center"/>
              <w:rPr>
                <w:rFonts w:ascii="Arial" w:hAnsi="Arial" w:cs="Arial"/>
                <w:sz w:val="20"/>
                <w:szCs w:val="20"/>
              </w:rPr>
            </w:pPr>
            <w:r w:rsidRPr="00945E69">
              <w:rPr>
                <w:rFonts w:ascii="Arial" w:hAnsi="Arial" w:cs="Arial"/>
                <w:i/>
                <w:sz w:val="20"/>
                <w:szCs w:val="20"/>
              </w:rPr>
              <w:t>target</w:t>
            </w:r>
          </w:p>
        </w:tc>
        <w:tc>
          <w:tcPr>
            <w:tcW w:w="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E828" w14:textId="37A1F830" w:rsidR="00D64593" w:rsidRPr="00945E69" w:rsidRDefault="00D64593" w:rsidP="00D64593">
            <w:pPr>
              <w:jc w:val="center"/>
              <w:rPr>
                <w:rFonts w:ascii="Arial" w:hAnsi="Arial" w:cs="Arial"/>
                <w:i/>
                <w:sz w:val="20"/>
                <w:szCs w:val="20"/>
              </w:rPr>
            </w:pPr>
            <w:r w:rsidRPr="00945E69">
              <w:rPr>
                <w:rFonts w:ascii="Arial" w:hAnsi="Arial" w:cs="Arial"/>
                <w:i/>
                <w:sz w:val="20"/>
                <w:szCs w:val="20"/>
              </w:rPr>
              <w:t>37%</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01090" w14:textId="5BBB19AF" w:rsidR="00D64593" w:rsidRPr="00945E69" w:rsidRDefault="00D64593" w:rsidP="00D64593">
            <w:pPr>
              <w:jc w:val="center"/>
              <w:rPr>
                <w:rFonts w:ascii="Arial" w:hAnsi="Arial" w:cs="Arial"/>
                <w:i/>
                <w:sz w:val="20"/>
                <w:szCs w:val="20"/>
              </w:rPr>
            </w:pPr>
            <w:r w:rsidRPr="00945E69">
              <w:rPr>
                <w:rFonts w:ascii="Arial" w:hAnsi="Arial" w:cs="Arial"/>
                <w:i/>
                <w:sz w:val="20"/>
                <w:szCs w:val="20"/>
              </w:rPr>
              <w:t>38%</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8297A" w14:textId="33D53D05" w:rsidR="00D64593" w:rsidRPr="00945E69" w:rsidRDefault="00D64593" w:rsidP="00D64593">
            <w:pPr>
              <w:jc w:val="center"/>
              <w:rPr>
                <w:rFonts w:ascii="Arial" w:hAnsi="Arial" w:cs="Arial"/>
                <w:i/>
                <w:sz w:val="20"/>
                <w:szCs w:val="20"/>
              </w:rPr>
            </w:pPr>
            <w:r w:rsidRPr="00945E69">
              <w:rPr>
                <w:rFonts w:ascii="Arial" w:hAnsi="Arial" w:cs="Arial"/>
                <w:i/>
                <w:sz w:val="20"/>
                <w:szCs w:val="20"/>
              </w:rPr>
              <w:t>39%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D389" w14:textId="1692B89E" w:rsidR="00D64593" w:rsidRPr="00945E69" w:rsidRDefault="00D64593" w:rsidP="00D64593">
            <w:pPr>
              <w:jc w:val="center"/>
              <w:rPr>
                <w:rFonts w:ascii="Arial" w:hAnsi="Arial" w:cs="Arial"/>
                <w:i/>
                <w:sz w:val="20"/>
                <w:szCs w:val="20"/>
              </w:rPr>
            </w:pPr>
            <w:r w:rsidRPr="00945E69">
              <w:rPr>
                <w:rFonts w:ascii="Arial" w:hAnsi="Arial" w:cs="Arial"/>
                <w:i/>
                <w:sz w:val="20"/>
                <w:szCs w:val="20"/>
              </w:rPr>
              <w:t>40%</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EFAAD" w14:textId="79D06E0A" w:rsidR="00D64593" w:rsidRPr="00945E69" w:rsidRDefault="00D64593" w:rsidP="00D64593">
            <w:pPr>
              <w:jc w:val="center"/>
              <w:rPr>
                <w:rFonts w:ascii="Arial" w:hAnsi="Arial" w:cs="Arial"/>
                <w:i/>
                <w:sz w:val="20"/>
                <w:szCs w:val="20"/>
              </w:rPr>
            </w:pPr>
          </w:p>
        </w:tc>
      </w:tr>
      <w:tr w:rsidR="00D64593" w:rsidRPr="00301088" w14:paraId="2AB3986C" w14:textId="77777777" w:rsidTr="00A02916">
        <w:trPr>
          <w:cantSplit/>
          <w:trHeight w:val="341"/>
        </w:trPr>
        <w:tc>
          <w:tcPr>
            <w:tcW w:w="3925" w:type="dxa"/>
            <w:vMerge w:val="restart"/>
            <w:tcBorders>
              <w:top w:val="single" w:sz="4" w:space="0" w:color="auto"/>
              <w:left w:val="single" w:sz="4" w:space="0" w:color="auto"/>
              <w:bottom w:val="single" w:sz="4" w:space="0" w:color="auto"/>
              <w:right w:val="single" w:sz="4" w:space="0" w:color="auto"/>
            </w:tcBorders>
            <w:hideMark/>
          </w:tcPr>
          <w:p w14:paraId="49D88BB2" w14:textId="3EDDBAA1" w:rsidR="00D64593" w:rsidRPr="00945E69" w:rsidRDefault="00D64593" w:rsidP="00D64593">
            <w:pPr>
              <w:rPr>
                <w:rFonts w:ascii="Arial" w:hAnsi="Arial" w:cs="Arial"/>
                <w:bCs/>
                <w:sz w:val="20"/>
                <w:szCs w:val="20"/>
              </w:rPr>
            </w:pPr>
            <w:r w:rsidRPr="00945E69">
              <w:rPr>
                <w:rFonts w:ascii="Arial" w:hAnsi="Arial" w:cs="Arial"/>
                <w:sz w:val="20"/>
                <w:szCs w:val="20"/>
              </w:rPr>
              <w:br w:type="page"/>
            </w:r>
            <w:r w:rsidRPr="00945E69">
              <w:rPr>
                <w:rFonts w:ascii="Arial" w:hAnsi="Arial" w:cs="Arial"/>
                <w:b/>
                <w:sz w:val="20"/>
                <w:szCs w:val="20"/>
              </w:rPr>
              <w:t>3</w:t>
            </w:r>
            <w:r w:rsidRPr="00945E69">
              <w:rPr>
                <w:rFonts w:ascii="Arial" w:hAnsi="Arial" w:cs="Arial"/>
                <w:sz w:val="20"/>
                <w:szCs w:val="20"/>
              </w:rPr>
              <w:t xml:space="preserve">. </w:t>
            </w:r>
            <w:r w:rsidRPr="00945E69">
              <w:rPr>
                <w:rFonts w:ascii="Arial" w:hAnsi="Arial" w:cs="Arial"/>
                <w:color w:val="000000"/>
                <w:sz w:val="20"/>
                <w:szCs w:val="20"/>
              </w:rPr>
              <w:t>Timely Degree I</w:t>
            </w:r>
            <w:r w:rsidRPr="00945E69">
              <w:rPr>
                <w:rFonts w:ascii="Arial" w:hAnsi="Arial" w:cs="Arial"/>
                <w:sz w:val="20"/>
                <w:szCs w:val="20"/>
                <w:vertAlign w:val="superscript"/>
              </w:rPr>
              <w:t xml:space="preserve"> - </w:t>
            </w:r>
            <w:r w:rsidRPr="00945E69">
              <w:rPr>
                <w:rFonts w:ascii="Arial" w:hAnsi="Arial" w:cs="Arial"/>
                <w:color w:val="000000"/>
                <w:sz w:val="20"/>
                <w:szCs w:val="20"/>
              </w:rPr>
              <w:t>Percent of undergraduate, degree-seeking students completing 30 or more credits per academic year at the institution reporting. (FY 2025 = 50</w:t>
            </w:r>
            <w:proofErr w:type="gramStart"/>
            <w:r w:rsidRPr="00945E69">
              <w:rPr>
                <w:rFonts w:ascii="Arial" w:hAnsi="Arial" w:cs="Arial"/>
                <w:color w:val="000000"/>
                <w:sz w:val="20"/>
                <w:szCs w:val="20"/>
              </w:rPr>
              <w:t>%)</w:t>
            </w:r>
            <w:r w:rsidRPr="00945E69">
              <w:rPr>
                <w:rFonts w:ascii="Arial" w:hAnsi="Arial" w:cs="Arial"/>
                <w:sz w:val="20"/>
                <w:szCs w:val="20"/>
                <w:vertAlign w:val="superscript"/>
              </w:rPr>
              <w:t xml:space="preserve">   </w:t>
            </w:r>
            <w:proofErr w:type="gramEnd"/>
            <w:r w:rsidRPr="00945E69">
              <w:rPr>
                <w:rFonts w:ascii="Arial" w:hAnsi="Arial" w:cs="Arial"/>
                <w:sz w:val="20"/>
                <w:szCs w:val="20"/>
                <w:vertAlign w:val="superscript"/>
              </w:rPr>
              <w:t>(SBOE system-wide Strategic Plan Measure)</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7400EF" w14:textId="77777777" w:rsidR="00D64593" w:rsidRPr="00301088" w:rsidRDefault="00D64593" w:rsidP="00D64593">
            <w:pPr>
              <w:jc w:val="center"/>
              <w:rPr>
                <w:rFonts w:ascii="Arial" w:hAnsi="Arial" w:cs="Arial"/>
                <w:sz w:val="20"/>
              </w:rPr>
            </w:pPr>
            <w:r w:rsidRPr="00301088">
              <w:rPr>
                <w:rFonts w:ascii="Arial" w:hAnsi="Arial" w:cs="Arial"/>
                <w:sz w:val="20"/>
              </w:rPr>
              <w:t>actual</w:t>
            </w:r>
          </w:p>
        </w:tc>
        <w:tc>
          <w:tcPr>
            <w:tcW w:w="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49F6C" w14:textId="15C14A09" w:rsidR="00D64593" w:rsidRPr="00301088" w:rsidRDefault="00D64593" w:rsidP="00D64593">
            <w:pPr>
              <w:jc w:val="center"/>
              <w:rPr>
                <w:rFonts w:ascii="Arial" w:hAnsi="Arial" w:cs="Arial"/>
                <w:sz w:val="20"/>
                <w:szCs w:val="20"/>
              </w:rPr>
            </w:pPr>
            <w:r>
              <w:rPr>
                <w:rFonts w:ascii="Arial" w:hAnsi="Arial" w:cs="Arial"/>
                <w:sz w:val="20"/>
              </w:rPr>
              <w:t>25%</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74E0D5" w14:textId="3341FD6F" w:rsidR="00D64593" w:rsidRPr="00301088" w:rsidRDefault="00D64593" w:rsidP="00D64593">
            <w:pPr>
              <w:jc w:val="center"/>
              <w:rPr>
                <w:rFonts w:ascii="Arial" w:hAnsi="Arial" w:cs="Arial"/>
                <w:sz w:val="20"/>
              </w:rPr>
            </w:pPr>
            <w:r>
              <w:rPr>
                <w:rFonts w:ascii="Arial" w:hAnsi="Arial" w:cs="Arial"/>
                <w:sz w:val="20"/>
              </w:rPr>
              <w:t>26%</w:t>
            </w:r>
          </w:p>
        </w:tc>
        <w:tc>
          <w:tcPr>
            <w:tcW w:w="1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E202C1" w14:textId="05A44DB7" w:rsidR="00D64593" w:rsidRPr="00301088" w:rsidRDefault="00D64593" w:rsidP="00D64593">
            <w:pPr>
              <w:jc w:val="center"/>
              <w:rPr>
                <w:rFonts w:ascii="Arial" w:hAnsi="Arial" w:cs="Arial"/>
                <w:sz w:val="20"/>
              </w:rPr>
            </w:pPr>
            <w:r>
              <w:rPr>
                <w:rFonts w:ascii="Arial" w:hAnsi="Arial" w:cs="Arial"/>
                <w:sz w:val="20"/>
              </w:rPr>
              <w:t>23%</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906282" w14:textId="0B46166A" w:rsidR="00D64593" w:rsidRPr="00301088" w:rsidRDefault="00D64593" w:rsidP="00D64593">
            <w:pPr>
              <w:jc w:val="center"/>
              <w:rPr>
                <w:rFonts w:ascii="Arial" w:hAnsi="Arial" w:cs="Arial"/>
                <w:sz w:val="20"/>
              </w:rPr>
            </w:pPr>
            <w:r w:rsidRPr="00301088">
              <w:rPr>
                <w:rFonts w:ascii="Arial" w:hAnsi="Arial" w:cs="Arial"/>
                <w:sz w:val="20"/>
              </w:rPr>
              <w:t>----------</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FD823" w14:textId="0346EF08" w:rsidR="00D64593" w:rsidRPr="00301088" w:rsidRDefault="00D64593" w:rsidP="00D64593">
            <w:pPr>
              <w:jc w:val="center"/>
              <w:rPr>
                <w:rFonts w:ascii="Arial" w:hAnsi="Arial" w:cs="Arial"/>
                <w:sz w:val="20"/>
              </w:rPr>
            </w:pPr>
          </w:p>
        </w:tc>
      </w:tr>
      <w:tr w:rsidR="00D64593" w:rsidRPr="00301088" w14:paraId="3C68BE94" w14:textId="77777777" w:rsidTr="00B030F1">
        <w:trPr>
          <w:cantSplit/>
          <w:trHeight w:val="341"/>
        </w:trPr>
        <w:tc>
          <w:tcPr>
            <w:tcW w:w="3925" w:type="dxa"/>
            <w:vMerge/>
            <w:tcBorders>
              <w:top w:val="single" w:sz="4" w:space="0" w:color="auto"/>
              <w:left w:val="single" w:sz="4" w:space="0" w:color="auto"/>
              <w:bottom w:val="single" w:sz="4" w:space="0" w:color="auto"/>
              <w:right w:val="single" w:sz="4" w:space="0" w:color="auto"/>
            </w:tcBorders>
          </w:tcPr>
          <w:p w14:paraId="46EB3BAE" w14:textId="77777777" w:rsidR="00D64593" w:rsidRPr="00945E69" w:rsidRDefault="00D64593" w:rsidP="00D64593">
            <w:pPr>
              <w:rPr>
                <w:rFonts w:ascii="Arial" w:hAnsi="Arial" w:cs="Arial"/>
                <w:b/>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95D50E3" w14:textId="77777777" w:rsidR="00D64593" w:rsidRPr="00301088" w:rsidRDefault="00D64593" w:rsidP="00D64593">
            <w:pPr>
              <w:jc w:val="center"/>
              <w:rPr>
                <w:rFonts w:ascii="Arial" w:hAnsi="Arial" w:cs="Arial"/>
                <w:sz w:val="20"/>
              </w:rPr>
            </w:pPr>
            <w:r w:rsidRPr="007C3F58">
              <w:rPr>
                <w:rFonts w:ascii="Arial" w:hAnsi="Arial" w:cs="Arial"/>
                <w:sz w:val="16"/>
                <w:szCs w:val="16"/>
              </w:rPr>
              <w:t>Total</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4E3AB" w14:textId="1AD68513" w:rsidR="00D64593" w:rsidRDefault="00D64593" w:rsidP="00D64593">
            <w:pPr>
              <w:jc w:val="center"/>
              <w:rPr>
                <w:rFonts w:ascii="Arial" w:hAnsi="Arial" w:cs="Arial"/>
                <w:sz w:val="20"/>
                <w:szCs w:val="20"/>
              </w:rPr>
            </w:pPr>
            <w:r>
              <w:rPr>
                <w:rFonts w:ascii="Arial" w:hAnsi="Arial" w:cs="Arial"/>
                <w:sz w:val="20"/>
              </w:rPr>
              <w:t>8,876</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CCECA60" w14:textId="32BBF5F5" w:rsidR="00D64593" w:rsidRDefault="00D64593" w:rsidP="00D64593">
            <w:pPr>
              <w:jc w:val="center"/>
              <w:rPr>
                <w:rFonts w:ascii="Arial" w:hAnsi="Arial" w:cs="Arial"/>
                <w:sz w:val="20"/>
              </w:rPr>
            </w:pPr>
            <w:r>
              <w:rPr>
                <w:rFonts w:ascii="Arial" w:hAnsi="Arial" w:cs="Arial"/>
                <w:sz w:val="20"/>
              </w:rPr>
              <w:t>8,531</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681A4" w14:textId="6FD7797D" w:rsidR="00D64593" w:rsidRDefault="00D64593" w:rsidP="00D64593">
            <w:pPr>
              <w:jc w:val="center"/>
              <w:rPr>
                <w:rFonts w:ascii="Arial" w:hAnsi="Arial" w:cs="Arial"/>
                <w:sz w:val="20"/>
              </w:rPr>
            </w:pPr>
            <w:r>
              <w:rPr>
                <w:rFonts w:ascii="Arial" w:hAnsi="Arial" w:cs="Arial"/>
                <w:sz w:val="20"/>
              </w:rPr>
              <w:t>7,746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185654" w14:textId="385CA72C" w:rsidR="00D64593" w:rsidRDefault="00D64593" w:rsidP="00D64593">
            <w:pPr>
              <w:jc w:val="center"/>
              <w:rPr>
                <w:rFonts w:ascii="Arial" w:hAnsi="Arial" w:cs="Arial"/>
                <w:sz w:val="20"/>
              </w:rPr>
            </w:pPr>
            <w:r w:rsidRPr="006D3D0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12B4C7FC" w14:textId="3A249106" w:rsidR="00D64593" w:rsidRPr="00301088" w:rsidRDefault="00D64593" w:rsidP="00D64593">
            <w:pPr>
              <w:jc w:val="center"/>
              <w:rPr>
                <w:rFonts w:ascii="Arial" w:hAnsi="Arial" w:cs="Arial"/>
                <w:sz w:val="20"/>
              </w:rPr>
            </w:pPr>
          </w:p>
        </w:tc>
      </w:tr>
      <w:tr w:rsidR="00D64593" w:rsidRPr="00301088" w14:paraId="2052DFB4" w14:textId="77777777" w:rsidTr="00B030F1">
        <w:trPr>
          <w:cantSplit/>
          <w:trHeight w:val="341"/>
        </w:trPr>
        <w:tc>
          <w:tcPr>
            <w:tcW w:w="3925" w:type="dxa"/>
            <w:vMerge/>
            <w:tcBorders>
              <w:top w:val="single" w:sz="4" w:space="0" w:color="auto"/>
              <w:left w:val="single" w:sz="4" w:space="0" w:color="auto"/>
              <w:bottom w:val="single" w:sz="4" w:space="0" w:color="auto"/>
              <w:right w:val="single" w:sz="4" w:space="0" w:color="auto"/>
            </w:tcBorders>
          </w:tcPr>
          <w:p w14:paraId="1963F7CE" w14:textId="77777777" w:rsidR="00D64593" w:rsidRPr="00945E69" w:rsidRDefault="00D64593" w:rsidP="00D64593">
            <w:pPr>
              <w:rPr>
                <w:rFonts w:ascii="Arial" w:hAnsi="Arial" w:cs="Arial"/>
                <w:b/>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B264A9E" w14:textId="77777777" w:rsidR="00D64593" w:rsidRPr="00B030F1" w:rsidRDefault="00D64593" w:rsidP="00D64593">
            <w:pPr>
              <w:jc w:val="center"/>
              <w:rPr>
                <w:rFonts w:ascii="Arial" w:hAnsi="Arial" w:cs="Arial"/>
                <w:sz w:val="14"/>
                <w:szCs w:val="14"/>
              </w:rPr>
            </w:pPr>
            <w:r w:rsidRPr="00B030F1">
              <w:rPr>
                <w:rFonts w:ascii="Arial" w:hAnsi="Arial" w:cs="Arial"/>
                <w:sz w:val="14"/>
                <w:szCs w:val="14"/>
              </w:rPr>
              <w:t>Complete</w:t>
            </w:r>
            <w:r>
              <w:rPr>
                <w:rFonts w:ascii="Arial" w:hAnsi="Arial" w:cs="Arial"/>
                <w:sz w:val="14"/>
                <w:szCs w:val="14"/>
              </w:rPr>
              <w:t>d</w:t>
            </w:r>
            <w:r w:rsidRPr="00B030F1">
              <w:rPr>
                <w:rFonts w:ascii="Arial" w:hAnsi="Arial" w:cs="Arial"/>
                <w:sz w:val="14"/>
                <w:szCs w:val="14"/>
              </w:rPr>
              <w:t xml:space="preserve"> 30+ hours</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94C63" w14:textId="55861913" w:rsidR="00D64593" w:rsidRDefault="00D64593" w:rsidP="00D64593">
            <w:pPr>
              <w:jc w:val="center"/>
              <w:rPr>
                <w:rFonts w:ascii="Arial" w:hAnsi="Arial" w:cs="Arial"/>
                <w:sz w:val="20"/>
                <w:szCs w:val="20"/>
              </w:rPr>
            </w:pPr>
            <w:r>
              <w:rPr>
                <w:rFonts w:ascii="Arial" w:hAnsi="Arial" w:cs="Arial"/>
                <w:sz w:val="20"/>
              </w:rPr>
              <w:t>2,192</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AC46CA0" w14:textId="147CE2CB" w:rsidR="00D64593" w:rsidRDefault="00D64593" w:rsidP="00D64593">
            <w:pPr>
              <w:jc w:val="center"/>
              <w:rPr>
                <w:rFonts w:ascii="Arial" w:hAnsi="Arial" w:cs="Arial"/>
                <w:sz w:val="20"/>
              </w:rPr>
            </w:pPr>
            <w:r>
              <w:rPr>
                <w:rFonts w:ascii="Arial" w:hAnsi="Arial" w:cs="Arial"/>
                <w:sz w:val="20"/>
              </w:rPr>
              <w:t>2,256</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7F6F1" w14:textId="16154703" w:rsidR="00D64593" w:rsidRDefault="00D64593" w:rsidP="00D64593">
            <w:pPr>
              <w:jc w:val="center"/>
              <w:rPr>
                <w:rFonts w:ascii="Arial" w:hAnsi="Arial" w:cs="Arial"/>
                <w:sz w:val="20"/>
              </w:rPr>
            </w:pPr>
            <w:r>
              <w:rPr>
                <w:rFonts w:ascii="Arial" w:hAnsi="Arial" w:cs="Arial"/>
                <w:sz w:val="20"/>
              </w:rPr>
              <w:t>1,767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7193399" w14:textId="4951F995" w:rsidR="00D64593" w:rsidRDefault="00D64593" w:rsidP="00D64593">
            <w:pPr>
              <w:jc w:val="center"/>
              <w:rPr>
                <w:rFonts w:ascii="Arial" w:hAnsi="Arial" w:cs="Arial"/>
                <w:sz w:val="20"/>
              </w:rPr>
            </w:pPr>
            <w:r w:rsidRPr="006D3D0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0CDD4954" w14:textId="42328244" w:rsidR="00D64593" w:rsidRPr="00301088" w:rsidRDefault="00D64593" w:rsidP="00D64593">
            <w:pPr>
              <w:jc w:val="center"/>
              <w:rPr>
                <w:rFonts w:ascii="Arial" w:hAnsi="Arial" w:cs="Arial"/>
                <w:sz w:val="20"/>
              </w:rPr>
            </w:pPr>
          </w:p>
        </w:tc>
      </w:tr>
      <w:tr w:rsidR="00D64593" w:rsidRPr="00301088" w14:paraId="11FF6F16" w14:textId="77777777" w:rsidTr="00B030F1">
        <w:trPr>
          <w:cantSplit/>
          <w:trHeight w:val="341"/>
        </w:trPr>
        <w:tc>
          <w:tcPr>
            <w:tcW w:w="3925" w:type="dxa"/>
            <w:vMerge/>
            <w:tcBorders>
              <w:top w:val="single" w:sz="4" w:space="0" w:color="auto"/>
              <w:left w:val="single" w:sz="4" w:space="0" w:color="auto"/>
              <w:bottom w:val="single" w:sz="4" w:space="0" w:color="auto"/>
              <w:right w:val="single" w:sz="4" w:space="0" w:color="auto"/>
            </w:tcBorders>
          </w:tcPr>
          <w:p w14:paraId="265CBB1C" w14:textId="77777777" w:rsidR="00D64593" w:rsidRPr="00945E69" w:rsidRDefault="00D64593" w:rsidP="00D64593">
            <w:pPr>
              <w:rPr>
                <w:rFonts w:ascii="Arial" w:hAnsi="Arial" w:cs="Arial"/>
                <w:b/>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E82D5EC" w14:textId="77777777" w:rsidR="00D64593" w:rsidRPr="00B030F1" w:rsidRDefault="00D64593" w:rsidP="00D64593">
            <w:pPr>
              <w:jc w:val="center"/>
              <w:rPr>
                <w:rFonts w:ascii="Arial" w:hAnsi="Arial" w:cs="Arial"/>
                <w:sz w:val="14"/>
                <w:szCs w:val="14"/>
              </w:rPr>
            </w:pPr>
            <w:r w:rsidRPr="00B030F1">
              <w:rPr>
                <w:rFonts w:ascii="Arial" w:hAnsi="Arial" w:cs="Arial"/>
                <w:sz w:val="14"/>
                <w:szCs w:val="14"/>
              </w:rPr>
              <w:t>Did Not Complete 30+ hours</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593C8" w14:textId="68E0AB82" w:rsidR="00D64593" w:rsidRDefault="00D64593" w:rsidP="00D64593">
            <w:pPr>
              <w:jc w:val="center"/>
              <w:rPr>
                <w:rFonts w:ascii="Arial" w:hAnsi="Arial" w:cs="Arial"/>
                <w:sz w:val="20"/>
                <w:szCs w:val="20"/>
              </w:rPr>
            </w:pPr>
            <w:r>
              <w:rPr>
                <w:rFonts w:ascii="Arial" w:hAnsi="Arial" w:cs="Arial"/>
                <w:sz w:val="20"/>
              </w:rPr>
              <w:t>6,684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4A13195A" w14:textId="0E208707" w:rsidR="00D64593" w:rsidRDefault="00D64593" w:rsidP="00D64593">
            <w:pPr>
              <w:jc w:val="center"/>
              <w:rPr>
                <w:rFonts w:ascii="Arial" w:hAnsi="Arial" w:cs="Arial"/>
                <w:sz w:val="20"/>
              </w:rPr>
            </w:pPr>
            <w:r>
              <w:rPr>
                <w:rFonts w:ascii="Arial" w:hAnsi="Arial" w:cs="Arial"/>
                <w:sz w:val="20"/>
              </w:rPr>
              <w:t>6,275</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8C122" w14:textId="77777777" w:rsidR="00D64593" w:rsidRDefault="00D64593" w:rsidP="00D64593">
            <w:pPr>
              <w:jc w:val="center"/>
              <w:rPr>
                <w:rFonts w:ascii="Arial" w:hAnsi="Arial" w:cs="Arial"/>
                <w:sz w:val="20"/>
              </w:rPr>
            </w:pPr>
          </w:p>
          <w:p w14:paraId="4C45E18F" w14:textId="77777777" w:rsidR="00D64593" w:rsidRDefault="00D64593" w:rsidP="00D64593">
            <w:pPr>
              <w:jc w:val="center"/>
              <w:rPr>
                <w:rFonts w:ascii="Arial" w:hAnsi="Arial" w:cs="Arial"/>
                <w:sz w:val="20"/>
              </w:rPr>
            </w:pPr>
            <w:r>
              <w:rPr>
                <w:rFonts w:ascii="Arial" w:hAnsi="Arial" w:cs="Arial"/>
                <w:sz w:val="20"/>
              </w:rPr>
              <w:t>5,979</w:t>
            </w:r>
          </w:p>
          <w:p w14:paraId="59C0664A" w14:textId="5909C6FE" w:rsidR="00D64593" w:rsidRDefault="00D64593" w:rsidP="00D64593">
            <w:pPr>
              <w:jc w:val="center"/>
              <w:rPr>
                <w:rFonts w:ascii="Arial" w:hAnsi="Arial" w:cs="Arial"/>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521017F" w14:textId="2FEB0B3C" w:rsidR="00D64593" w:rsidRDefault="00D64593" w:rsidP="00D64593">
            <w:pPr>
              <w:jc w:val="center"/>
              <w:rPr>
                <w:rFonts w:ascii="Arial" w:hAnsi="Arial" w:cs="Arial"/>
                <w:sz w:val="20"/>
              </w:rPr>
            </w:pPr>
            <w:r w:rsidRPr="006D3D0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1E432C19" w14:textId="6F6D8EBC" w:rsidR="00D64593" w:rsidRPr="00301088" w:rsidRDefault="00D64593" w:rsidP="00D64593">
            <w:pPr>
              <w:jc w:val="center"/>
              <w:rPr>
                <w:rFonts w:ascii="Arial" w:hAnsi="Arial" w:cs="Arial"/>
                <w:sz w:val="20"/>
              </w:rPr>
            </w:pPr>
          </w:p>
        </w:tc>
      </w:tr>
      <w:tr w:rsidR="00D64593" w:rsidRPr="00301088" w14:paraId="30393CF2" w14:textId="77777777" w:rsidTr="00B030F1">
        <w:trPr>
          <w:cantSplit/>
          <w:trHeight w:val="288"/>
        </w:trPr>
        <w:tc>
          <w:tcPr>
            <w:tcW w:w="3925" w:type="dxa"/>
            <w:vMerge/>
            <w:tcBorders>
              <w:top w:val="single" w:sz="4" w:space="0" w:color="auto"/>
              <w:left w:val="single" w:sz="4" w:space="0" w:color="auto"/>
              <w:bottom w:val="single" w:sz="4" w:space="0" w:color="auto"/>
              <w:right w:val="single" w:sz="4" w:space="0" w:color="auto"/>
            </w:tcBorders>
            <w:vAlign w:val="center"/>
            <w:hideMark/>
          </w:tcPr>
          <w:p w14:paraId="0F5554B8" w14:textId="77777777" w:rsidR="00D64593" w:rsidRPr="00945E69" w:rsidRDefault="00D64593" w:rsidP="00D64593">
            <w:pPr>
              <w:pStyle w:val="ListParagraph"/>
              <w:numPr>
                <w:ilvl w:val="0"/>
                <w:numId w:val="5"/>
              </w:numPr>
              <w:rPr>
                <w:rFonts w:ascii="Arial" w:hAnsi="Arial" w:cs="Arial"/>
                <w:bCs/>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9FD362" w14:textId="77777777" w:rsidR="00D64593" w:rsidRPr="00945E69" w:rsidRDefault="00D64593" w:rsidP="00D64593">
            <w:pPr>
              <w:jc w:val="center"/>
              <w:rPr>
                <w:rFonts w:ascii="Arial" w:hAnsi="Arial" w:cs="Arial"/>
                <w:sz w:val="20"/>
                <w:szCs w:val="20"/>
              </w:rPr>
            </w:pPr>
            <w:r w:rsidRPr="00945E69">
              <w:rPr>
                <w:rFonts w:ascii="Arial" w:hAnsi="Arial" w:cs="Arial"/>
                <w:i/>
                <w:sz w:val="20"/>
                <w:szCs w:val="20"/>
              </w:rPr>
              <w:t>target</w:t>
            </w:r>
          </w:p>
        </w:tc>
        <w:tc>
          <w:tcPr>
            <w:tcW w:w="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D4DD0" w14:textId="671ABFEE" w:rsidR="00D64593" w:rsidRPr="00945E69" w:rsidRDefault="00D64593" w:rsidP="00D64593">
            <w:pPr>
              <w:jc w:val="center"/>
              <w:rPr>
                <w:rFonts w:ascii="Arial" w:hAnsi="Arial" w:cs="Arial"/>
                <w:i/>
                <w:sz w:val="20"/>
                <w:szCs w:val="20"/>
              </w:rPr>
            </w:pPr>
            <w:r w:rsidRPr="00945E69">
              <w:rPr>
                <w:rFonts w:ascii="Arial" w:hAnsi="Arial" w:cs="Arial"/>
                <w:i/>
                <w:sz w:val="20"/>
                <w:szCs w:val="20"/>
              </w:rPr>
              <w:t>29%</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EFE07" w14:textId="08420413" w:rsidR="00D64593" w:rsidRPr="00945E69" w:rsidRDefault="00D64593" w:rsidP="00D64593">
            <w:pPr>
              <w:jc w:val="center"/>
              <w:rPr>
                <w:rFonts w:ascii="Arial" w:hAnsi="Arial" w:cs="Arial"/>
                <w:i/>
                <w:sz w:val="20"/>
                <w:szCs w:val="20"/>
              </w:rPr>
            </w:pPr>
            <w:r w:rsidRPr="00945E69">
              <w:rPr>
                <w:rFonts w:ascii="Arial" w:hAnsi="Arial" w:cs="Arial"/>
                <w:i/>
                <w:sz w:val="20"/>
                <w:szCs w:val="20"/>
              </w:rPr>
              <w:t>29%</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427BD" w14:textId="67A314FB" w:rsidR="00D64593" w:rsidRPr="00945E69" w:rsidRDefault="00D64593" w:rsidP="00D64593">
            <w:pPr>
              <w:jc w:val="center"/>
              <w:rPr>
                <w:rFonts w:ascii="Arial" w:hAnsi="Arial" w:cs="Arial"/>
                <w:i/>
                <w:sz w:val="20"/>
                <w:szCs w:val="20"/>
              </w:rPr>
            </w:pPr>
            <w:r w:rsidRPr="00945E69">
              <w:rPr>
                <w:rFonts w:ascii="Arial" w:hAnsi="Arial" w:cs="Arial"/>
                <w:i/>
                <w:sz w:val="20"/>
                <w:szCs w:val="20"/>
              </w:rPr>
              <w:t>29%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5454B" w14:textId="7668D758" w:rsidR="00D64593" w:rsidRPr="00945E69" w:rsidRDefault="00D64593" w:rsidP="00D64593">
            <w:pPr>
              <w:jc w:val="center"/>
              <w:rPr>
                <w:rFonts w:ascii="Arial" w:hAnsi="Arial" w:cs="Arial"/>
                <w:i/>
                <w:sz w:val="20"/>
                <w:szCs w:val="20"/>
              </w:rPr>
            </w:pPr>
            <w:r w:rsidRPr="00945E69">
              <w:rPr>
                <w:rFonts w:ascii="Arial" w:hAnsi="Arial" w:cs="Arial"/>
                <w:i/>
                <w:sz w:val="20"/>
                <w:szCs w:val="20"/>
              </w:rPr>
              <w:t>30%</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01A99" w14:textId="691A74AF" w:rsidR="00D64593" w:rsidRPr="00301088" w:rsidRDefault="00D64593" w:rsidP="00D64593">
            <w:pPr>
              <w:jc w:val="center"/>
              <w:rPr>
                <w:rFonts w:ascii="Arial" w:hAnsi="Arial" w:cs="Arial"/>
                <w:i/>
                <w:sz w:val="16"/>
                <w:szCs w:val="16"/>
              </w:rPr>
            </w:pPr>
          </w:p>
        </w:tc>
      </w:tr>
      <w:tr w:rsidR="00D64593" w:rsidRPr="00301088" w14:paraId="6B67B77D" w14:textId="77777777" w:rsidTr="00B030F1">
        <w:trPr>
          <w:cantSplit/>
          <w:trHeight w:val="269"/>
        </w:trPr>
        <w:tc>
          <w:tcPr>
            <w:tcW w:w="3925" w:type="dxa"/>
            <w:vMerge w:val="restart"/>
            <w:tcBorders>
              <w:top w:val="single" w:sz="4" w:space="0" w:color="auto"/>
              <w:left w:val="single" w:sz="4" w:space="0" w:color="auto"/>
              <w:bottom w:val="single" w:sz="4" w:space="0" w:color="auto"/>
              <w:right w:val="single" w:sz="4" w:space="0" w:color="auto"/>
            </w:tcBorders>
            <w:hideMark/>
          </w:tcPr>
          <w:p w14:paraId="1EE3CFD5" w14:textId="0B5E7781" w:rsidR="00D64593" w:rsidRPr="00945E69" w:rsidRDefault="00D64593" w:rsidP="00D64593">
            <w:pPr>
              <w:rPr>
                <w:rFonts w:ascii="Arial" w:hAnsi="Arial" w:cs="Arial"/>
                <w:sz w:val="20"/>
                <w:szCs w:val="20"/>
              </w:rPr>
            </w:pPr>
            <w:r w:rsidRPr="00945E69">
              <w:rPr>
                <w:rFonts w:ascii="Arial" w:hAnsi="Arial" w:cs="Arial"/>
                <w:b/>
                <w:sz w:val="20"/>
                <w:szCs w:val="20"/>
              </w:rPr>
              <w:t>4</w:t>
            </w:r>
            <w:r w:rsidRPr="00945E69">
              <w:rPr>
                <w:rFonts w:ascii="Arial" w:hAnsi="Arial" w:cs="Arial"/>
                <w:sz w:val="20"/>
                <w:szCs w:val="20"/>
              </w:rPr>
              <w:t xml:space="preserve">. </w:t>
            </w:r>
            <w:r w:rsidRPr="00945E69">
              <w:rPr>
                <w:rFonts w:ascii="Arial" w:hAnsi="Arial" w:cs="Arial"/>
                <w:color w:val="000000"/>
                <w:sz w:val="20"/>
                <w:szCs w:val="20"/>
              </w:rPr>
              <w:t>Timely Degree II</w:t>
            </w:r>
            <w:r w:rsidRPr="00945E69">
              <w:rPr>
                <w:rFonts w:ascii="Arial" w:hAnsi="Arial" w:cs="Arial"/>
                <w:sz w:val="20"/>
                <w:szCs w:val="20"/>
              </w:rPr>
              <w:t xml:space="preserve"> - </w:t>
            </w:r>
            <w:r w:rsidRPr="00945E69">
              <w:rPr>
                <w:rFonts w:ascii="Arial" w:hAnsi="Arial" w:cs="Arial"/>
                <w:color w:val="000000"/>
                <w:sz w:val="20"/>
                <w:szCs w:val="20"/>
              </w:rPr>
              <w:t>Percent of first-time, full-time, freshmen graduating within 150% of time. (FY 2025 = 40</w:t>
            </w:r>
            <w:proofErr w:type="gramStart"/>
            <w:r w:rsidRPr="00945E69">
              <w:rPr>
                <w:rFonts w:ascii="Arial" w:hAnsi="Arial" w:cs="Arial"/>
                <w:color w:val="000000"/>
                <w:sz w:val="20"/>
                <w:szCs w:val="20"/>
              </w:rPr>
              <w:t>%)</w:t>
            </w:r>
            <w:r w:rsidRPr="00945E69">
              <w:rPr>
                <w:rFonts w:ascii="Arial" w:hAnsi="Arial" w:cs="Arial"/>
                <w:sz w:val="20"/>
                <w:szCs w:val="20"/>
                <w:vertAlign w:val="superscript"/>
              </w:rPr>
              <w:t xml:space="preserve">  4</w:t>
            </w:r>
            <w:proofErr w:type="gramEnd"/>
          </w:p>
          <w:p w14:paraId="24A8CF89" w14:textId="77777777" w:rsidR="00D64593" w:rsidRPr="00945E69" w:rsidRDefault="00D64593" w:rsidP="00D64593">
            <w:pPr>
              <w:rPr>
                <w:rFonts w:ascii="Arial" w:hAnsi="Arial" w:cs="Arial"/>
                <w:bCs/>
                <w:sz w:val="20"/>
                <w:szCs w:val="20"/>
              </w:rPr>
            </w:pPr>
            <w:r w:rsidRPr="00945E69">
              <w:rPr>
                <w:rFonts w:ascii="Arial" w:hAnsi="Arial" w:cs="Arial"/>
                <w:sz w:val="20"/>
                <w:szCs w:val="20"/>
                <w:vertAlign w:val="superscript"/>
              </w:rPr>
              <w:t xml:space="preserve"> (SBOE system-wide Strategic Plan Measure)</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2E743C" w14:textId="77777777" w:rsidR="00D64593" w:rsidRPr="00301088" w:rsidRDefault="00D64593" w:rsidP="00D64593">
            <w:pPr>
              <w:jc w:val="center"/>
              <w:rPr>
                <w:rFonts w:ascii="Arial" w:hAnsi="Arial" w:cs="Arial"/>
                <w:sz w:val="20"/>
              </w:rPr>
            </w:pPr>
            <w:r w:rsidRPr="00301088">
              <w:rPr>
                <w:rFonts w:ascii="Arial" w:hAnsi="Arial" w:cs="Arial"/>
                <w:sz w:val="20"/>
              </w:rPr>
              <w:t>actual</w:t>
            </w:r>
          </w:p>
        </w:tc>
        <w:tc>
          <w:tcPr>
            <w:tcW w:w="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E2E36" w14:textId="2F1A35F8" w:rsidR="00D64593" w:rsidRPr="00301088" w:rsidRDefault="00D64593" w:rsidP="00D64593">
            <w:pPr>
              <w:jc w:val="center"/>
              <w:rPr>
                <w:rFonts w:ascii="Arial" w:hAnsi="Arial" w:cs="Arial"/>
                <w:sz w:val="20"/>
                <w:szCs w:val="20"/>
              </w:rPr>
            </w:pPr>
            <w:r>
              <w:rPr>
                <w:rFonts w:ascii="Arial" w:hAnsi="Arial" w:cs="Arial"/>
                <w:sz w:val="20"/>
              </w:rPr>
              <w:t>34</w:t>
            </w:r>
            <w:r w:rsidRPr="008059A0">
              <w:rPr>
                <w:rFonts w:ascii="Arial" w:hAnsi="Arial" w:cs="Arial"/>
                <w:sz w:val="20"/>
              </w:rPr>
              <w:t>%</w:t>
            </w:r>
            <w:r w:rsidRPr="00301088">
              <w:rPr>
                <w:rFonts w:ascii="Arial" w:hAnsi="Arial" w:cs="Arial"/>
                <w:sz w:val="20"/>
              </w:rPr>
              <w:t xml:space="preserve"> </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AFB6BE" w14:textId="1B952D42" w:rsidR="00D64593" w:rsidRPr="00301088" w:rsidRDefault="00D64593" w:rsidP="00D64593">
            <w:pPr>
              <w:jc w:val="center"/>
              <w:rPr>
                <w:rFonts w:ascii="Arial" w:hAnsi="Arial" w:cs="Arial"/>
                <w:sz w:val="20"/>
              </w:rPr>
            </w:pPr>
            <w:r>
              <w:rPr>
                <w:rFonts w:ascii="Arial" w:hAnsi="Arial" w:cs="Arial"/>
                <w:sz w:val="20"/>
              </w:rPr>
              <w:t>33</w:t>
            </w:r>
            <w:r w:rsidRPr="008059A0">
              <w:rPr>
                <w:rFonts w:ascii="Arial" w:hAnsi="Arial" w:cs="Arial"/>
                <w:sz w:val="20"/>
              </w:rPr>
              <w:t>%</w:t>
            </w:r>
            <w:r w:rsidRPr="00301088">
              <w:rPr>
                <w:rFonts w:ascii="Arial" w:hAnsi="Arial" w:cs="Arial"/>
                <w:sz w:val="20"/>
              </w:rPr>
              <w:t xml:space="preserve"> </w:t>
            </w:r>
          </w:p>
        </w:tc>
        <w:tc>
          <w:tcPr>
            <w:tcW w:w="1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026ACB" w14:textId="44F5FF5D" w:rsidR="00D64593" w:rsidRPr="00301088" w:rsidRDefault="00D64593" w:rsidP="00D64593">
            <w:pPr>
              <w:jc w:val="center"/>
              <w:rPr>
                <w:rFonts w:ascii="Arial" w:hAnsi="Arial" w:cs="Arial"/>
                <w:sz w:val="20"/>
              </w:rPr>
            </w:pPr>
            <w:r>
              <w:rPr>
                <w:rFonts w:ascii="Arial" w:hAnsi="Arial" w:cs="Arial"/>
                <w:sz w:val="20"/>
              </w:rPr>
              <w:t>36%</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7CA6F" w14:textId="2C526A14" w:rsidR="00D64593" w:rsidRPr="00301088" w:rsidRDefault="00D64593" w:rsidP="00D64593">
            <w:pPr>
              <w:jc w:val="center"/>
              <w:rPr>
                <w:rFonts w:ascii="Arial" w:hAnsi="Arial" w:cs="Arial"/>
                <w:sz w:val="20"/>
              </w:rPr>
            </w:pPr>
            <w:r w:rsidRPr="00301088">
              <w:rPr>
                <w:rFonts w:ascii="Arial" w:hAnsi="Arial" w:cs="Arial"/>
                <w:sz w:val="20"/>
              </w:rPr>
              <w:t>----------</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DD241" w14:textId="799252EB" w:rsidR="00D64593" w:rsidRPr="00301088" w:rsidRDefault="00D64593" w:rsidP="00D64593">
            <w:pPr>
              <w:jc w:val="center"/>
              <w:rPr>
                <w:rFonts w:ascii="Arial" w:hAnsi="Arial" w:cs="Arial"/>
                <w:sz w:val="20"/>
              </w:rPr>
            </w:pPr>
          </w:p>
        </w:tc>
      </w:tr>
      <w:tr w:rsidR="00D64593" w:rsidRPr="00301088" w14:paraId="38E31FD9" w14:textId="77777777" w:rsidTr="00B030F1">
        <w:trPr>
          <w:cantSplit/>
          <w:trHeight w:val="288"/>
        </w:trPr>
        <w:tc>
          <w:tcPr>
            <w:tcW w:w="3925" w:type="dxa"/>
            <w:vMerge/>
            <w:tcBorders>
              <w:top w:val="single" w:sz="4" w:space="0" w:color="auto"/>
              <w:left w:val="single" w:sz="4" w:space="0" w:color="auto"/>
              <w:bottom w:val="single" w:sz="4" w:space="0" w:color="auto"/>
              <w:right w:val="single" w:sz="4" w:space="0" w:color="auto"/>
            </w:tcBorders>
            <w:vAlign w:val="center"/>
          </w:tcPr>
          <w:p w14:paraId="04F7393D" w14:textId="77777777" w:rsidR="00D64593" w:rsidRPr="00A15D50" w:rsidRDefault="00D64593" w:rsidP="00D64593">
            <w:pPr>
              <w:pStyle w:val="ListParagraph"/>
              <w:numPr>
                <w:ilvl w:val="0"/>
                <w:numId w:val="5"/>
              </w:numPr>
              <w:rPr>
                <w:rFonts w:ascii="Arial" w:hAnsi="Arial" w:cs="Arial"/>
                <w:bCs/>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B9255" w14:textId="77777777" w:rsidR="00D64593" w:rsidRDefault="00D64593" w:rsidP="00D64593">
            <w:pPr>
              <w:jc w:val="center"/>
              <w:rPr>
                <w:rFonts w:ascii="Arial" w:hAnsi="Arial" w:cs="Arial"/>
                <w:i/>
                <w:sz w:val="16"/>
                <w:szCs w:val="16"/>
              </w:rPr>
            </w:pPr>
            <w:r w:rsidRPr="006C47EB">
              <w:rPr>
                <w:rFonts w:ascii="Arial" w:hAnsi="Arial" w:cs="Arial"/>
                <w:sz w:val="16"/>
                <w:szCs w:val="16"/>
              </w:rPr>
              <w:t>Total</w:t>
            </w:r>
          </w:p>
        </w:tc>
        <w:tc>
          <w:tcPr>
            <w:tcW w:w="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9910F" w14:textId="70BC4C31" w:rsidR="00D64593" w:rsidRPr="00301088" w:rsidRDefault="00D64593" w:rsidP="00D64593">
            <w:pPr>
              <w:jc w:val="center"/>
              <w:rPr>
                <w:rFonts w:ascii="Arial" w:hAnsi="Arial" w:cs="Arial"/>
                <w:i/>
                <w:sz w:val="16"/>
                <w:szCs w:val="16"/>
              </w:rPr>
            </w:pPr>
            <w:r>
              <w:rPr>
                <w:rFonts w:ascii="Arial" w:hAnsi="Arial" w:cs="Arial"/>
                <w:sz w:val="20"/>
              </w:rPr>
              <w:t>1,070</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EBF8C" w14:textId="02C3E638" w:rsidR="00D64593" w:rsidRPr="00301088" w:rsidRDefault="00D64593" w:rsidP="00D64593">
            <w:pPr>
              <w:jc w:val="center"/>
              <w:rPr>
                <w:rFonts w:ascii="Arial" w:hAnsi="Arial" w:cs="Arial"/>
                <w:i/>
                <w:sz w:val="16"/>
                <w:szCs w:val="16"/>
              </w:rPr>
            </w:pPr>
            <w:r w:rsidRPr="00CE40E2">
              <w:rPr>
                <w:rFonts w:ascii="Arial" w:hAnsi="Arial" w:cs="Arial"/>
                <w:sz w:val="20"/>
              </w:rPr>
              <w:t>1</w:t>
            </w:r>
            <w:r>
              <w:rPr>
                <w:rFonts w:ascii="Arial" w:hAnsi="Arial" w:cs="Arial"/>
                <w:sz w:val="20"/>
              </w:rPr>
              <w:t>,</w:t>
            </w:r>
            <w:r w:rsidRPr="00CE40E2">
              <w:rPr>
                <w:rFonts w:ascii="Arial" w:hAnsi="Arial" w:cs="Arial"/>
                <w:sz w:val="20"/>
              </w:rPr>
              <w:t>360</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2231" w14:textId="3063B3E8" w:rsidR="00D64593" w:rsidRPr="00301088" w:rsidRDefault="00D64593" w:rsidP="00D64593">
            <w:pPr>
              <w:jc w:val="center"/>
              <w:rPr>
                <w:rFonts w:ascii="Arial" w:hAnsi="Arial" w:cs="Arial"/>
                <w:i/>
                <w:sz w:val="16"/>
                <w:szCs w:val="16"/>
              </w:rPr>
            </w:pPr>
            <w:r w:rsidRPr="00F70182">
              <w:rPr>
                <w:rFonts w:ascii="Arial" w:hAnsi="Arial" w:cs="Arial"/>
                <w:sz w:val="20"/>
              </w:rPr>
              <w:t>1,169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7A4D0" w14:textId="7BF9A2A6" w:rsidR="00D64593" w:rsidRPr="00F70182" w:rsidRDefault="00D64593" w:rsidP="00D64593">
            <w:pPr>
              <w:jc w:val="center"/>
              <w:rPr>
                <w:rFonts w:ascii="Arial" w:hAnsi="Arial" w:cs="Arial"/>
                <w:sz w:val="20"/>
              </w:rPr>
            </w:pPr>
            <w:r w:rsidRPr="006D3D0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AB8DF" w14:textId="637183F1" w:rsidR="00D64593" w:rsidRPr="00301088" w:rsidRDefault="00D64593" w:rsidP="00D64593">
            <w:pPr>
              <w:jc w:val="center"/>
              <w:rPr>
                <w:rFonts w:ascii="Arial" w:hAnsi="Arial" w:cs="Arial"/>
                <w:i/>
                <w:sz w:val="16"/>
                <w:szCs w:val="16"/>
              </w:rPr>
            </w:pPr>
          </w:p>
        </w:tc>
      </w:tr>
      <w:tr w:rsidR="00D64593" w:rsidRPr="00301088" w14:paraId="48326E3C" w14:textId="77777777" w:rsidTr="00B030F1">
        <w:trPr>
          <w:cantSplit/>
          <w:trHeight w:val="288"/>
        </w:trPr>
        <w:tc>
          <w:tcPr>
            <w:tcW w:w="3925" w:type="dxa"/>
            <w:vMerge/>
            <w:tcBorders>
              <w:top w:val="single" w:sz="4" w:space="0" w:color="auto"/>
              <w:left w:val="single" w:sz="4" w:space="0" w:color="auto"/>
              <w:bottom w:val="single" w:sz="4" w:space="0" w:color="auto"/>
              <w:right w:val="single" w:sz="4" w:space="0" w:color="auto"/>
            </w:tcBorders>
            <w:vAlign w:val="center"/>
          </w:tcPr>
          <w:p w14:paraId="7C49A3B1" w14:textId="77777777" w:rsidR="00D64593" w:rsidRPr="00A15D50" w:rsidRDefault="00D64593" w:rsidP="00D64593">
            <w:pPr>
              <w:pStyle w:val="ListParagraph"/>
              <w:numPr>
                <w:ilvl w:val="0"/>
                <w:numId w:val="5"/>
              </w:numPr>
              <w:rPr>
                <w:rFonts w:ascii="Arial" w:hAnsi="Arial" w:cs="Arial"/>
                <w:bCs/>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9B1AA" w14:textId="77777777" w:rsidR="00D64593" w:rsidRPr="00B030F1" w:rsidRDefault="00D64593" w:rsidP="00D64593">
            <w:pPr>
              <w:jc w:val="center"/>
              <w:rPr>
                <w:rFonts w:ascii="Arial" w:hAnsi="Arial" w:cs="Arial"/>
                <w:i/>
                <w:sz w:val="14"/>
                <w:szCs w:val="14"/>
              </w:rPr>
            </w:pPr>
            <w:r w:rsidRPr="00B030F1">
              <w:rPr>
                <w:rFonts w:ascii="Arial" w:hAnsi="Arial" w:cs="Arial"/>
                <w:sz w:val="14"/>
                <w:szCs w:val="14"/>
              </w:rPr>
              <w:t>Graduated Within 150%</w:t>
            </w:r>
          </w:p>
        </w:tc>
        <w:tc>
          <w:tcPr>
            <w:tcW w:w="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1A40B" w14:textId="32E1A335" w:rsidR="00D64593" w:rsidRPr="00301088" w:rsidRDefault="00D64593" w:rsidP="00D64593">
            <w:pPr>
              <w:jc w:val="center"/>
              <w:rPr>
                <w:rFonts w:ascii="Arial" w:hAnsi="Arial" w:cs="Arial"/>
                <w:i/>
                <w:sz w:val="16"/>
                <w:szCs w:val="16"/>
              </w:rPr>
            </w:pPr>
            <w:r>
              <w:rPr>
                <w:rFonts w:ascii="Arial" w:hAnsi="Arial" w:cs="Arial"/>
                <w:sz w:val="20"/>
              </w:rPr>
              <w:t>369</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F194D" w14:textId="153EE71F" w:rsidR="00D64593" w:rsidRPr="00301088" w:rsidRDefault="00D64593" w:rsidP="00D64593">
            <w:pPr>
              <w:jc w:val="center"/>
              <w:rPr>
                <w:rFonts w:ascii="Arial" w:hAnsi="Arial" w:cs="Arial"/>
                <w:i/>
                <w:sz w:val="16"/>
                <w:szCs w:val="16"/>
              </w:rPr>
            </w:pPr>
            <w:r w:rsidRPr="00CE40E2">
              <w:rPr>
                <w:rFonts w:ascii="Arial" w:hAnsi="Arial" w:cs="Arial"/>
                <w:sz w:val="20"/>
              </w:rPr>
              <w:t>44</w:t>
            </w:r>
            <w:r>
              <w:rPr>
                <w:rFonts w:ascii="Arial" w:hAnsi="Arial" w:cs="Arial"/>
                <w:sz w:val="20"/>
              </w:rPr>
              <w:t>3</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AA0FA" w14:textId="293552F3" w:rsidR="00D64593" w:rsidRPr="00301088" w:rsidRDefault="00D64593" w:rsidP="00D64593">
            <w:pPr>
              <w:jc w:val="center"/>
              <w:rPr>
                <w:rFonts w:ascii="Arial" w:hAnsi="Arial" w:cs="Arial"/>
                <w:i/>
                <w:sz w:val="16"/>
                <w:szCs w:val="16"/>
              </w:rPr>
            </w:pPr>
            <w:r>
              <w:rPr>
                <w:rFonts w:ascii="Arial" w:hAnsi="Arial" w:cs="Arial"/>
                <w:sz w:val="20"/>
              </w:rPr>
              <w:t>420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4FFE" w14:textId="7DBC0113" w:rsidR="00D64593" w:rsidRPr="00301088" w:rsidRDefault="00D64593" w:rsidP="00D64593">
            <w:pPr>
              <w:jc w:val="center"/>
              <w:rPr>
                <w:rFonts w:ascii="Arial" w:hAnsi="Arial" w:cs="Arial"/>
                <w:i/>
                <w:sz w:val="16"/>
                <w:szCs w:val="16"/>
              </w:rPr>
            </w:pPr>
            <w:r w:rsidRPr="006D3D0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F8D74" w14:textId="10842D4A" w:rsidR="00D64593" w:rsidRPr="00301088" w:rsidRDefault="00D64593" w:rsidP="00D64593">
            <w:pPr>
              <w:jc w:val="center"/>
              <w:rPr>
                <w:rFonts w:ascii="Arial" w:hAnsi="Arial" w:cs="Arial"/>
                <w:i/>
                <w:sz w:val="16"/>
                <w:szCs w:val="16"/>
              </w:rPr>
            </w:pPr>
          </w:p>
        </w:tc>
      </w:tr>
      <w:tr w:rsidR="00D64593" w:rsidRPr="00301088" w14:paraId="68145479" w14:textId="77777777" w:rsidTr="00B030F1">
        <w:trPr>
          <w:cantSplit/>
          <w:trHeight w:val="288"/>
        </w:trPr>
        <w:tc>
          <w:tcPr>
            <w:tcW w:w="3925" w:type="dxa"/>
            <w:vMerge/>
            <w:tcBorders>
              <w:top w:val="single" w:sz="4" w:space="0" w:color="auto"/>
              <w:left w:val="single" w:sz="4" w:space="0" w:color="auto"/>
              <w:bottom w:val="single" w:sz="4" w:space="0" w:color="auto"/>
              <w:right w:val="single" w:sz="4" w:space="0" w:color="auto"/>
            </w:tcBorders>
            <w:vAlign w:val="center"/>
          </w:tcPr>
          <w:p w14:paraId="51BBDE7E" w14:textId="77777777" w:rsidR="00D64593" w:rsidRPr="00A15D50" w:rsidRDefault="00D64593" w:rsidP="00D64593">
            <w:pPr>
              <w:pStyle w:val="ListParagraph"/>
              <w:numPr>
                <w:ilvl w:val="0"/>
                <w:numId w:val="5"/>
              </w:numPr>
              <w:rPr>
                <w:rFonts w:ascii="Arial" w:hAnsi="Arial" w:cs="Arial"/>
                <w:bCs/>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37ACA" w14:textId="77777777" w:rsidR="00D64593" w:rsidRPr="00B030F1" w:rsidRDefault="00D64593" w:rsidP="00D64593">
            <w:pPr>
              <w:jc w:val="center"/>
              <w:rPr>
                <w:rFonts w:ascii="Arial" w:hAnsi="Arial" w:cs="Arial"/>
                <w:i/>
                <w:sz w:val="14"/>
                <w:szCs w:val="14"/>
              </w:rPr>
            </w:pPr>
            <w:r w:rsidRPr="00B030F1">
              <w:rPr>
                <w:rFonts w:ascii="Arial" w:hAnsi="Arial" w:cs="Arial"/>
                <w:sz w:val="14"/>
                <w:szCs w:val="14"/>
              </w:rPr>
              <w:t>Did Not Graduate Within 150%</w:t>
            </w:r>
          </w:p>
        </w:tc>
        <w:tc>
          <w:tcPr>
            <w:tcW w:w="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A6A41" w14:textId="30823D13" w:rsidR="00D64593" w:rsidRPr="00301088" w:rsidRDefault="00D64593" w:rsidP="00D64593">
            <w:pPr>
              <w:jc w:val="center"/>
              <w:rPr>
                <w:rFonts w:ascii="Arial" w:hAnsi="Arial" w:cs="Arial"/>
                <w:i/>
                <w:sz w:val="16"/>
                <w:szCs w:val="16"/>
              </w:rPr>
            </w:pPr>
            <w:r>
              <w:rPr>
                <w:rFonts w:ascii="Arial" w:hAnsi="Arial" w:cs="Arial"/>
                <w:sz w:val="20"/>
              </w:rPr>
              <w:t>701</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B1568" w14:textId="0F6DCF75" w:rsidR="00D64593" w:rsidRPr="00301088" w:rsidRDefault="00D64593" w:rsidP="00D64593">
            <w:pPr>
              <w:jc w:val="center"/>
              <w:rPr>
                <w:rFonts w:ascii="Arial" w:hAnsi="Arial" w:cs="Arial"/>
                <w:i/>
                <w:sz w:val="16"/>
                <w:szCs w:val="16"/>
              </w:rPr>
            </w:pPr>
            <w:r w:rsidRPr="00CE40E2">
              <w:rPr>
                <w:rFonts w:ascii="Arial" w:hAnsi="Arial" w:cs="Arial"/>
                <w:sz w:val="20"/>
              </w:rPr>
              <w:t>91</w:t>
            </w:r>
            <w:r>
              <w:rPr>
                <w:rFonts w:ascii="Arial" w:hAnsi="Arial" w:cs="Arial"/>
                <w:sz w:val="20"/>
              </w:rPr>
              <w:t>7</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10FCD" w14:textId="02BC6EE9" w:rsidR="00D64593" w:rsidRPr="00301088" w:rsidRDefault="00D64593" w:rsidP="00D64593">
            <w:pPr>
              <w:jc w:val="center"/>
              <w:rPr>
                <w:rFonts w:ascii="Arial" w:hAnsi="Arial" w:cs="Arial"/>
                <w:i/>
                <w:sz w:val="16"/>
                <w:szCs w:val="16"/>
              </w:rPr>
            </w:pPr>
            <w:r>
              <w:rPr>
                <w:rFonts w:ascii="Arial" w:hAnsi="Arial" w:cs="Arial"/>
                <w:sz w:val="20"/>
              </w:rPr>
              <w:t>749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7D6DB" w14:textId="11F784FD" w:rsidR="00D64593" w:rsidRPr="00301088" w:rsidRDefault="00D64593" w:rsidP="00D64593">
            <w:pPr>
              <w:jc w:val="center"/>
              <w:rPr>
                <w:rFonts w:ascii="Arial" w:hAnsi="Arial" w:cs="Arial"/>
                <w:i/>
                <w:sz w:val="16"/>
                <w:szCs w:val="16"/>
              </w:rPr>
            </w:pPr>
            <w:r w:rsidRPr="006D3D0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A6FEB" w14:textId="562823EB" w:rsidR="00D64593" w:rsidRPr="00301088" w:rsidRDefault="00D64593" w:rsidP="00D64593">
            <w:pPr>
              <w:jc w:val="center"/>
              <w:rPr>
                <w:rFonts w:ascii="Arial" w:hAnsi="Arial" w:cs="Arial"/>
                <w:i/>
                <w:sz w:val="16"/>
                <w:szCs w:val="16"/>
              </w:rPr>
            </w:pPr>
          </w:p>
        </w:tc>
      </w:tr>
      <w:tr w:rsidR="00D64593" w:rsidRPr="00301088" w14:paraId="4B03F31E" w14:textId="77777777" w:rsidTr="00B030F1">
        <w:trPr>
          <w:cantSplit/>
          <w:trHeight w:val="288"/>
        </w:trPr>
        <w:tc>
          <w:tcPr>
            <w:tcW w:w="3925" w:type="dxa"/>
            <w:vMerge/>
            <w:tcBorders>
              <w:top w:val="single" w:sz="4" w:space="0" w:color="auto"/>
              <w:left w:val="single" w:sz="4" w:space="0" w:color="auto"/>
              <w:bottom w:val="single" w:sz="4" w:space="0" w:color="auto"/>
              <w:right w:val="single" w:sz="4" w:space="0" w:color="auto"/>
            </w:tcBorders>
            <w:vAlign w:val="center"/>
            <w:hideMark/>
          </w:tcPr>
          <w:p w14:paraId="6EF99872" w14:textId="77777777" w:rsidR="00D64593" w:rsidRPr="00A15D50" w:rsidRDefault="00D64593" w:rsidP="00D64593">
            <w:pPr>
              <w:pStyle w:val="ListParagraph"/>
              <w:numPr>
                <w:ilvl w:val="0"/>
                <w:numId w:val="5"/>
              </w:numPr>
              <w:rPr>
                <w:rFonts w:ascii="Arial" w:hAnsi="Arial" w:cs="Arial"/>
                <w:bCs/>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5A3C3B" w14:textId="77777777" w:rsidR="00D64593" w:rsidRPr="00945E69" w:rsidRDefault="00D64593" w:rsidP="00D64593">
            <w:pPr>
              <w:jc w:val="center"/>
              <w:rPr>
                <w:rFonts w:ascii="Arial" w:hAnsi="Arial" w:cs="Arial"/>
                <w:sz w:val="20"/>
                <w:szCs w:val="20"/>
              </w:rPr>
            </w:pPr>
            <w:r w:rsidRPr="00945E69">
              <w:rPr>
                <w:rFonts w:ascii="Arial" w:hAnsi="Arial" w:cs="Arial"/>
                <w:i/>
                <w:sz w:val="20"/>
                <w:szCs w:val="20"/>
              </w:rPr>
              <w:t>target</w:t>
            </w:r>
          </w:p>
        </w:tc>
        <w:tc>
          <w:tcPr>
            <w:tcW w:w="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59626" w14:textId="5FB5950F" w:rsidR="00D64593" w:rsidRPr="00945E69" w:rsidRDefault="00D64593" w:rsidP="00D64593">
            <w:pPr>
              <w:jc w:val="center"/>
              <w:rPr>
                <w:rFonts w:ascii="Arial" w:hAnsi="Arial" w:cs="Arial"/>
                <w:i/>
                <w:sz w:val="20"/>
                <w:szCs w:val="20"/>
              </w:rPr>
            </w:pPr>
            <w:r w:rsidRPr="00945E69">
              <w:rPr>
                <w:rFonts w:ascii="Arial" w:hAnsi="Arial" w:cs="Arial"/>
                <w:i/>
                <w:sz w:val="20"/>
                <w:szCs w:val="20"/>
              </w:rPr>
              <w:t>35%</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E0D3E" w14:textId="5424454D" w:rsidR="00D64593" w:rsidRPr="00945E69" w:rsidRDefault="00D64593" w:rsidP="00D64593">
            <w:pPr>
              <w:jc w:val="center"/>
              <w:rPr>
                <w:rFonts w:ascii="Arial" w:hAnsi="Arial" w:cs="Arial"/>
                <w:i/>
                <w:sz w:val="20"/>
                <w:szCs w:val="20"/>
              </w:rPr>
            </w:pPr>
            <w:r w:rsidRPr="00945E69">
              <w:rPr>
                <w:rFonts w:ascii="Arial" w:hAnsi="Arial" w:cs="Arial"/>
                <w:i/>
                <w:sz w:val="20"/>
                <w:szCs w:val="20"/>
              </w:rPr>
              <w:t>35%</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ECA69" w14:textId="0E83878C" w:rsidR="00D64593" w:rsidRPr="00945E69" w:rsidRDefault="00D64593" w:rsidP="00D64593">
            <w:pPr>
              <w:jc w:val="center"/>
              <w:rPr>
                <w:rFonts w:ascii="Arial" w:hAnsi="Arial" w:cs="Arial"/>
                <w:i/>
                <w:sz w:val="20"/>
                <w:szCs w:val="20"/>
              </w:rPr>
            </w:pPr>
            <w:r w:rsidRPr="00945E69">
              <w:rPr>
                <w:rFonts w:ascii="Arial" w:hAnsi="Arial" w:cs="Arial"/>
                <w:i/>
                <w:sz w:val="20"/>
                <w:szCs w:val="20"/>
              </w:rPr>
              <w:t>35%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7CB2C" w14:textId="66F3C0E7" w:rsidR="00D64593" w:rsidRPr="00945E69" w:rsidRDefault="00D64593" w:rsidP="00D64593">
            <w:pPr>
              <w:jc w:val="center"/>
              <w:rPr>
                <w:rFonts w:ascii="Arial" w:hAnsi="Arial" w:cs="Arial"/>
                <w:i/>
                <w:sz w:val="20"/>
                <w:szCs w:val="20"/>
              </w:rPr>
            </w:pPr>
            <w:r w:rsidRPr="00945E69">
              <w:rPr>
                <w:rFonts w:ascii="Arial" w:hAnsi="Arial" w:cs="Arial"/>
                <w:i/>
                <w:sz w:val="20"/>
                <w:szCs w:val="20"/>
              </w:rPr>
              <w:t>36%</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A5D8E" w14:textId="6588D308" w:rsidR="00D64593" w:rsidRPr="00945E69" w:rsidRDefault="00D64593" w:rsidP="00D64593">
            <w:pPr>
              <w:jc w:val="center"/>
              <w:rPr>
                <w:rFonts w:ascii="Arial" w:hAnsi="Arial" w:cs="Arial"/>
                <w:i/>
                <w:sz w:val="20"/>
                <w:szCs w:val="20"/>
              </w:rPr>
            </w:pPr>
          </w:p>
        </w:tc>
      </w:tr>
      <w:tr w:rsidR="00D64593" w:rsidRPr="00301088" w14:paraId="53D56D91" w14:textId="77777777" w:rsidTr="00A02916">
        <w:trPr>
          <w:cantSplit/>
          <w:trHeight w:val="395"/>
        </w:trPr>
        <w:tc>
          <w:tcPr>
            <w:tcW w:w="3925" w:type="dxa"/>
            <w:vMerge w:val="restart"/>
            <w:tcBorders>
              <w:top w:val="single" w:sz="4" w:space="0" w:color="auto"/>
              <w:left w:val="single" w:sz="4" w:space="0" w:color="auto"/>
              <w:bottom w:val="single" w:sz="4" w:space="0" w:color="auto"/>
              <w:right w:val="single" w:sz="4" w:space="0" w:color="auto"/>
            </w:tcBorders>
            <w:hideMark/>
          </w:tcPr>
          <w:p w14:paraId="71929A44" w14:textId="292A777A" w:rsidR="00D64593" w:rsidRPr="00945E69" w:rsidRDefault="00D64593" w:rsidP="00D64593">
            <w:pPr>
              <w:keepNext/>
              <w:rPr>
                <w:rFonts w:ascii="Arial" w:hAnsi="Arial" w:cs="Arial"/>
                <w:bCs/>
                <w:sz w:val="20"/>
              </w:rPr>
            </w:pPr>
            <w:r w:rsidRPr="00945E69">
              <w:rPr>
                <w:rFonts w:ascii="Arial" w:hAnsi="Arial" w:cs="Arial"/>
                <w:b/>
                <w:sz w:val="20"/>
                <w:szCs w:val="20"/>
              </w:rPr>
              <w:t>5.</w:t>
            </w:r>
            <w:r w:rsidRPr="00945E69">
              <w:rPr>
                <w:rFonts w:ascii="Arial" w:hAnsi="Arial" w:cs="Arial"/>
                <w:sz w:val="20"/>
                <w:szCs w:val="20"/>
              </w:rPr>
              <w:t xml:space="preserve"> </w:t>
            </w:r>
            <w:r w:rsidRPr="00945E69">
              <w:rPr>
                <w:rFonts w:ascii="Arial" w:hAnsi="Arial" w:cs="Arial"/>
                <w:color w:val="000000"/>
                <w:sz w:val="20"/>
                <w:szCs w:val="20"/>
              </w:rPr>
              <w:t>Timely Degree III - Total number of certificates/degrees produced (FY 2025 = 2,058)</w:t>
            </w:r>
            <w:r w:rsidRPr="00945E69">
              <w:rPr>
                <w:rFonts w:ascii="Arial" w:hAnsi="Arial" w:cs="Arial"/>
                <w:sz w:val="22"/>
                <w:szCs w:val="22"/>
                <w:vertAlign w:val="superscript"/>
              </w:rPr>
              <w:t xml:space="preserve"> (SBOE system-wide Strategic Plan Measure)</w:t>
            </w:r>
            <w:r w:rsidRPr="00945E69">
              <w:rPr>
                <w:rFonts w:ascii="Arial" w:hAnsi="Arial" w:cs="Arial"/>
                <w:sz w:val="20"/>
                <w:szCs w:val="20"/>
                <w:vertAlign w:val="superscript"/>
              </w:rPr>
              <w:t xml:space="preserve"> 5</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3510C6" w14:textId="77777777" w:rsidR="00D64593" w:rsidRDefault="00D64593" w:rsidP="00D64593">
            <w:pPr>
              <w:keepNext/>
              <w:jc w:val="center"/>
              <w:rPr>
                <w:rFonts w:ascii="Arial" w:hAnsi="Arial" w:cs="Arial"/>
                <w:sz w:val="20"/>
              </w:rPr>
            </w:pPr>
          </w:p>
          <w:p w14:paraId="2ED14F54" w14:textId="77777777" w:rsidR="00D64593" w:rsidRPr="00301088" w:rsidRDefault="00D64593" w:rsidP="00D64593">
            <w:pPr>
              <w:keepNext/>
              <w:jc w:val="center"/>
              <w:rPr>
                <w:rFonts w:ascii="Arial" w:hAnsi="Arial" w:cs="Arial"/>
                <w:sz w:val="20"/>
              </w:rPr>
            </w:pPr>
            <w:r w:rsidRPr="00301088">
              <w:rPr>
                <w:rFonts w:ascii="Arial" w:hAnsi="Arial" w:cs="Arial"/>
                <w:sz w:val="20"/>
              </w:rPr>
              <w:t>actual</w:t>
            </w:r>
          </w:p>
        </w:tc>
        <w:tc>
          <w:tcPr>
            <w:tcW w:w="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6C2F3" w14:textId="303C3CDA" w:rsidR="00D64593" w:rsidRPr="00301088" w:rsidRDefault="00D64593" w:rsidP="00D64593">
            <w:pPr>
              <w:keepNext/>
              <w:jc w:val="center"/>
              <w:rPr>
                <w:rFonts w:ascii="Arial" w:hAnsi="Arial" w:cs="Arial"/>
                <w:sz w:val="20"/>
                <w:szCs w:val="20"/>
              </w:rPr>
            </w:pPr>
            <w:r>
              <w:rPr>
                <w:rFonts w:ascii="Arial" w:hAnsi="Arial" w:cs="Arial"/>
                <w:sz w:val="20"/>
              </w:rPr>
              <w:t>1,932</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D53DF2" w14:textId="11F7565B" w:rsidR="00D64593" w:rsidRPr="00D800BF" w:rsidRDefault="00D64593" w:rsidP="00D64593">
            <w:pPr>
              <w:keepNext/>
              <w:jc w:val="center"/>
              <w:rPr>
                <w:rFonts w:ascii="Arial" w:hAnsi="Arial" w:cs="Arial"/>
                <w:sz w:val="20"/>
              </w:rPr>
            </w:pPr>
            <w:r>
              <w:rPr>
                <w:rFonts w:ascii="Arial" w:hAnsi="Arial" w:cs="Arial"/>
                <w:sz w:val="20"/>
              </w:rPr>
              <w:t>1,800</w:t>
            </w:r>
          </w:p>
        </w:tc>
        <w:tc>
          <w:tcPr>
            <w:tcW w:w="1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1BF21" w14:textId="58B8AEC2" w:rsidR="00D64593" w:rsidRPr="00301088" w:rsidRDefault="00D64593" w:rsidP="00D64593">
            <w:pPr>
              <w:keepNext/>
              <w:jc w:val="center"/>
              <w:rPr>
                <w:rFonts w:ascii="Arial" w:hAnsi="Arial" w:cs="Arial"/>
                <w:sz w:val="20"/>
              </w:rPr>
            </w:pPr>
            <w:r>
              <w:rPr>
                <w:rFonts w:ascii="Arial" w:hAnsi="Arial" w:cs="Arial"/>
                <w:sz w:val="20"/>
              </w:rPr>
              <w:t>2,082</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15302D" w14:textId="77777777" w:rsidR="00D64593" w:rsidRDefault="00D64593" w:rsidP="00D64593">
            <w:pPr>
              <w:keepNext/>
              <w:jc w:val="center"/>
              <w:rPr>
                <w:rFonts w:ascii="Arial" w:hAnsi="Arial" w:cs="Arial"/>
                <w:sz w:val="20"/>
              </w:rPr>
            </w:pPr>
          </w:p>
          <w:p w14:paraId="67291D18" w14:textId="07E6172D" w:rsidR="00D64593" w:rsidRPr="00301088" w:rsidRDefault="00D64593" w:rsidP="00D64593">
            <w:pPr>
              <w:keepNext/>
              <w:jc w:val="center"/>
              <w:rPr>
                <w:rFonts w:ascii="Arial" w:hAnsi="Arial" w:cs="Arial"/>
                <w:sz w:val="20"/>
              </w:rPr>
            </w:pPr>
            <w:r w:rsidRPr="00301088">
              <w:rPr>
                <w:rFonts w:ascii="Arial" w:hAnsi="Arial" w:cs="Arial"/>
                <w:sz w:val="20"/>
              </w:rPr>
              <w:t>----------</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59105B" w14:textId="1A06C890" w:rsidR="00D64593" w:rsidRPr="00301088" w:rsidRDefault="00D64593" w:rsidP="00D64593">
            <w:pPr>
              <w:keepNext/>
              <w:jc w:val="center"/>
              <w:rPr>
                <w:rFonts w:ascii="Arial" w:hAnsi="Arial" w:cs="Arial"/>
                <w:sz w:val="20"/>
              </w:rPr>
            </w:pPr>
          </w:p>
        </w:tc>
      </w:tr>
      <w:tr w:rsidR="00D64593" w:rsidRPr="00301088" w14:paraId="6F55E70A" w14:textId="77777777" w:rsidTr="00B030F1">
        <w:trPr>
          <w:cantSplit/>
          <w:trHeight w:val="288"/>
        </w:trPr>
        <w:tc>
          <w:tcPr>
            <w:tcW w:w="3925" w:type="dxa"/>
            <w:vMerge/>
            <w:tcBorders>
              <w:top w:val="single" w:sz="4" w:space="0" w:color="auto"/>
              <w:left w:val="single" w:sz="4" w:space="0" w:color="auto"/>
              <w:bottom w:val="single" w:sz="4" w:space="0" w:color="auto"/>
              <w:right w:val="single" w:sz="4" w:space="0" w:color="auto"/>
            </w:tcBorders>
            <w:vAlign w:val="center"/>
          </w:tcPr>
          <w:p w14:paraId="78E66C56" w14:textId="77777777" w:rsidR="00D64593" w:rsidRPr="00A15D50" w:rsidRDefault="00D64593" w:rsidP="00D64593">
            <w:pPr>
              <w:pStyle w:val="ListParagraph"/>
              <w:keepNext/>
              <w:numPr>
                <w:ilvl w:val="0"/>
                <w:numId w:val="5"/>
              </w:numPr>
              <w:rPr>
                <w:rFonts w:ascii="Arial" w:hAnsi="Arial" w:cs="Arial"/>
                <w:bCs/>
                <w:sz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14A8" w14:textId="5A7C106D" w:rsidR="00D64593" w:rsidRPr="00BD332C" w:rsidRDefault="00D64593" w:rsidP="00D64593">
            <w:pPr>
              <w:jc w:val="center"/>
              <w:rPr>
                <w:rFonts w:ascii="Arial" w:hAnsi="Arial" w:cs="Arial"/>
                <w:sz w:val="14"/>
                <w:szCs w:val="14"/>
              </w:rPr>
            </w:pPr>
            <w:r w:rsidRPr="00120EAB">
              <w:rPr>
                <w:rFonts w:ascii="Arial" w:hAnsi="Arial" w:cs="Arial"/>
                <w:sz w:val="14"/>
                <w:szCs w:val="14"/>
              </w:rPr>
              <w:t>Certificates of less than 1 academic year</w:t>
            </w:r>
          </w:p>
        </w:tc>
        <w:tc>
          <w:tcPr>
            <w:tcW w:w="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03CC8" w14:textId="2113D13F" w:rsidR="00D64593" w:rsidRDefault="00D64593" w:rsidP="00D64593">
            <w:pPr>
              <w:jc w:val="center"/>
              <w:rPr>
                <w:rFonts w:ascii="Arial" w:hAnsi="Arial" w:cs="Arial"/>
                <w:sz w:val="20"/>
              </w:rPr>
            </w:pPr>
            <w:r>
              <w:rPr>
                <w:rFonts w:ascii="Arial" w:hAnsi="Arial" w:cs="Arial"/>
                <w:sz w:val="20"/>
              </w:rPr>
              <w:t>29</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8B700" w14:textId="104F24B2" w:rsidR="00D64593" w:rsidRPr="00DF6F0B" w:rsidRDefault="00D64593" w:rsidP="00D64593">
            <w:pPr>
              <w:jc w:val="center"/>
              <w:rPr>
                <w:rFonts w:ascii="Arial" w:hAnsi="Arial" w:cs="Arial"/>
                <w:sz w:val="20"/>
              </w:rPr>
            </w:pPr>
            <w:r>
              <w:rPr>
                <w:rFonts w:ascii="Arial" w:hAnsi="Arial" w:cs="Arial"/>
                <w:sz w:val="20"/>
              </w:rPr>
              <w:t>6</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13584" w14:textId="473F8D17" w:rsidR="00D64593" w:rsidRDefault="00D64593" w:rsidP="00D64593">
            <w:pPr>
              <w:jc w:val="center"/>
              <w:rPr>
                <w:rFonts w:ascii="Arial" w:hAnsi="Arial" w:cs="Arial"/>
                <w:sz w:val="20"/>
              </w:rPr>
            </w:pPr>
            <w:r>
              <w:rPr>
                <w:rFonts w:ascii="Arial" w:hAnsi="Arial" w:cs="Arial"/>
                <w:sz w:val="20"/>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F03D6" w14:textId="6C148FAF" w:rsidR="00D64593" w:rsidRDefault="00D64593" w:rsidP="00D64593">
            <w:pPr>
              <w:jc w:val="center"/>
              <w:rPr>
                <w:rFonts w:ascii="Arial" w:hAnsi="Arial" w:cs="Arial"/>
                <w:sz w:val="20"/>
              </w:rPr>
            </w:pPr>
            <w:r w:rsidRPr="006D3D0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2FE62" w14:textId="66BE838A" w:rsidR="00D64593" w:rsidRDefault="00D64593" w:rsidP="00D64593">
            <w:pPr>
              <w:keepNext/>
              <w:jc w:val="center"/>
              <w:rPr>
                <w:rFonts w:ascii="Arial" w:hAnsi="Arial" w:cs="Arial"/>
                <w:i/>
                <w:sz w:val="16"/>
                <w:szCs w:val="16"/>
              </w:rPr>
            </w:pPr>
          </w:p>
        </w:tc>
      </w:tr>
      <w:tr w:rsidR="00D64593" w:rsidRPr="00301088" w14:paraId="32D56ECF" w14:textId="77777777" w:rsidTr="00B030F1">
        <w:trPr>
          <w:cantSplit/>
          <w:trHeight w:val="288"/>
        </w:trPr>
        <w:tc>
          <w:tcPr>
            <w:tcW w:w="3925" w:type="dxa"/>
            <w:vMerge/>
            <w:tcBorders>
              <w:top w:val="single" w:sz="4" w:space="0" w:color="auto"/>
              <w:left w:val="single" w:sz="4" w:space="0" w:color="auto"/>
              <w:bottom w:val="single" w:sz="4" w:space="0" w:color="auto"/>
              <w:right w:val="single" w:sz="4" w:space="0" w:color="auto"/>
            </w:tcBorders>
            <w:vAlign w:val="center"/>
          </w:tcPr>
          <w:p w14:paraId="4D8D6B22" w14:textId="77777777" w:rsidR="00D64593" w:rsidRPr="00A15D50" w:rsidRDefault="00D64593" w:rsidP="00D64593">
            <w:pPr>
              <w:pStyle w:val="ListParagraph"/>
              <w:keepNext/>
              <w:numPr>
                <w:ilvl w:val="0"/>
                <w:numId w:val="5"/>
              </w:numPr>
              <w:rPr>
                <w:rFonts w:ascii="Arial" w:hAnsi="Arial" w:cs="Arial"/>
                <w:bCs/>
                <w:sz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3E4F9" w14:textId="18D51445" w:rsidR="00D64593" w:rsidRPr="00BD332C" w:rsidRDefault="00D64593" w:rsidP="00D64593">
            <w:pPr>
              <w:jc w:val="center"/>
              <w:rPr>
                <w:rFonts w:ascii="Arial" w:hAnsi="Arial" w:cs="Arial"/>
                <w:sz w:val="14"/>
                <w:szCs w:val="14"/>
              </w:rPr>
            </w:pPr>
            <w:r w:rsidRPr="00120EAB">
              <w:rPr>
                <w:rFonts w:ascii="Arial" w:hAnsi="Arial" w:cs="Arial"/>
                <w:sz w:val="14"/>
                <w:szCs w:val="14"/>
              </w:rPr>
              <w:t xml:space="preserve">Certificates of 1 academic year or more </w:t>
            </w:r>
          </w:p>
        </w:tc>
        <w:tc>
          <w:tcPr>
            <w:tcW w:w="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3F455" w14:textId="6BD90EBA" w:rsidR="00D64593" w:rsidRDefault="00D64593" w:rsidP="00D64593">
            <w:pPr>
              <w:jc w:val="center"/>
              <w:rPr>
                <w:rFonts w:ascii="Arial" w:hAnsi="Arial" w:cs="Arial"/>
                <w:sz w:val="20"/>
              </w:rPr>
            </w:pPr>
            <w:r>
              <w:rPr>
                <w:rFonts w:ascii="Arial" w:hAnsi="Arial" w:cs="Arial"/>
                <w:sz w:val="20"/>
              </w:rPr>
              <w:t>242</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12C7B" w14:textId="0116F3FA" w:rsidR="00D64593" w:rsidRPr="00DF6F0B" w:rsidRDefault="00D64593" w:rsidP="00D64593">
            <w:pPr>
              <w:jc w:val="center"/>
              <w:rPr>
                <w:rFonts w:ascii="Arial" w:hAnsi="Arial" w:cs="Arial"/>
                <w:sz w:val="20"/>
              </w:rPr>
            </w:pPr>
            <w:r>
              <w:rPr>
                <w:rFonts w:ascii="Arial" w:hAnsi="Arial" w:cs="Arial"/>
                <w:sz w:val="20"/>
              </w:rPr>
              <w:t>219</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44F16" w14:textId="689A81C7" w:rsidR="00D64593" w:rsidRDefault="00D64593" w:rsidP="00D64593">
            <w:pPr>
              <w:jc w:val="center"/>
              <w:rPr>
                <w:rFonts w:ascii="Arial" w:hAnsi="Arial" w:cs="Arial"/>
                <w:sz w:val="20"/>
              </w:rPr>
            </w:pPr>
            <w:r>
              <w:rPr>
                <w:rFonts w:ascii="Arial" w:hAnsi="Arial" w:cs="Arial"/>
                <w:sz w:val="20"/>
              </w:rPr>
              <w:t>300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AE81E" w14:textId="0A71A5D6" w:rsidR="00D64593" w:rsidRDefault="00D64593" w:rsidP="00D64593">
            <w:pPr>
              <w:jc w:val="center"/>
              <w:rPr>
                <w:rFonts w:ascii="Arial" w:hAnsi="Arial" w:cs="Arial"/>
                <w:sz w:val="20"/>
              </w:rPr>
            </w:pPr>
            <w:r w:rsidRPr="006D3D0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79AAB" w14:textId="13F65B4C" w:rsidR="00D64593" w:rsidRDefault="00D64593" w:rsidP="00D64593">
            <w:pPr>
              <w:keepNext/>
              <w:jc w:val="center"/>
              <w:rPr>
                <w:rFonts w:ascii="Arial" w:hAnsi="Arial" w:cs="Arial"/>
                <w:i/>
                <w:sz w:val="16"/>
                <w:szCs w:val="16"/>
              </w:rPr>
            </w:pPr>
          </w:p>
        </w:tc>
      </w:tr>
      <w:tr w:rsidR="00D64593" w:rsidRPr="00301088" w14:paraId="36ED90C2" w14:textId="77777777" w:rsidTr="00B030F1">
        <w:trPr>
          <w:cantSplit/>
          <w:trHeight w:val="288"/>
        </w:trPr>
        <w:tc>
          <w:tcPr>
            <w:tcW w:w="3925" w:type="dxa"/>
            <w:vMerge/>
            <w:tcBorders>
              <w:top w:val="single" w:sz="4" w:space="0" w:color="auto"/>
              <w:left w:val="single" w:sz="4" w:space="0" w:color="auto"/>
              <w:bottom w:val="single" w:sz="4" w:space="0" w:color="auto"/>
              <w:right w:val="single" w:sz="4" w:space="0" w:color="auto"/>
            </w:tcBorders>
            <w:vAlign w:val="center"/>
          </w:tcPr>
          <w:p w14:paraId="41532E07" w14:textId="77777777" w:rsidR="00D64593" w:rsidRPr="00A15D50" w:rsidRDefault="00D64593" w:rsidP="00D64593">
            <w:pPr>
              <w:pStyle w:val="ListParagraph"/>
              <w:keepNext/>
              <w:numPr>
                <w:ilvl w:val="0"/>
                <w:numId w:val="5"/>
              </w:numPr>
              <w:rPr>
                <w:rFonts w:ascii="Arial" w:hAnsi="Arial" w:cs="Arial"/>
                <w:bCs/>
                <w:sz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99903" w14:textId="5773EDBF" w:rsidR="00D64593" w:rsidRPr="00BD332C" w:rsidRDefault="00D64593" w:rsidP="00D64593">
            <w:pPr>
              <w:jc w:val="center"/>
              <w:rPr>
                <w:rFonts w:ascii="Arial" w:hAnsi="Arial" w:cs="Arial"/>
                <w:sz w:val="14"/>
                <w:szCs w:val="14"/>
              </w:rPr>
            </w:pPr>
            <w:r w:rsidRPr="00BD332C">
              <w:rPr>
                <w:rFonts w:ascii="Arial" w:hAnsi="Arial" w:cs="Arial"/>
                <w:sz w:val="14"/>
                <w:szCs w:val="14"/>
              </w:rPr>
              <w:t>Associate</w:t>
            </w:r>
          </w:p>
        </w:tc>
        <w:tc>
          <w:tcPr>
            <w:tcW w:w="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FD319" w14:textId="44F3A8F5" w:rsidR="00D64593" w:rsidRDefault="00D64593" w:rsidP="00D64593">
            <w:pPr>
              <w:jc w:val="center"/>
              <w:rPr>
                <w:rFonts w:ascii="Arial" w:hAnsi="Arial" w:cs="Arial"/>
                <w:sz w:val="20"/>
              </w:rPr>
            </w:pPr>
            <w:r>
              <w:rPr>
                <w:rFonts w:ascii="Arial" w:hAnsi="Arial" w:cs="Arial"/>
                <w:sz w:val="20"/>
              </w:rPr>
              <w:t>428</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212BD" w14:textId="52A58AE8" w:rsidR="00D64593" w:rsidRPr="00DF6F0B" w:rsidRDefault="00D64593" w:rsidP="00D64593">
            <w:pPr>
              <w:jc w:val="center"/>
              <w:rPr>
                <w:rFonts w:ascii="Arial" w:hAnsi="Arial" w:cs="Arial"/>
                <w:sz w:val="20"/>
              </w:rPr>
            </w:pPr>
            <w:r>
              <w:rPr>
                <w:rFonts w:ascii="Arial" w:hAnsi="Arial" w:cs="Arial"/>
                <w:sz w:val="20"/>
              </w:rPr>
              <w:t>420</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5C064" w14:textId="33CEC032" w:rsidR="00D64593" w:rsidRDefault="00D64593" w:rsidP="00D64593">
            <w:pPr>
              <w:jc w:val="center"/>
              <w:rPr>
                <w:rFonts w:ascii="Arial" w:hAnsi="Arial" w:cs="Arial"/>
                <w:sz w:val="20"/>
              </w:rPr>
            </w:pPr>
            <w:r>
              <w:rPr>
                <w:rFonts w:ascii="Arial" w:hAnsi="Arial" w:cs="Arial"/>
                <w:sz w:val="20"/>
              </w:rPr>
              <w:t>494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28D2D" w14:textId="1DB016CF" w:rsidR="00D64593" w:rsidRDefault="00D64593" w:rsidP="00D64593">
            <w:pPr>
              <w:jc w:val="center"/>
              <w:rPr>
                <w:rFonts w:ascii="Arial" w:hAnsi="Arial" w:cs="Arial"/>
                <w:sz w:val="20"/>
              </w:rPr>
            </w:pPr>
            <w:r w:rsidRPr="006D3D0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ED0D0" w14:textId="1C6441F6" w:rsidR="00D64593" w:rsidRDefault="00D64593" w:rsidP="00D64593">
            <w:pPr>
              <w:keepNext/>
              <w:jc w:val="center"/>
              <w:rPr>
                <w:rFonts w:ascii="Arial" w:hAnsi="Arial" w:cs="Arial"/>
                <w:i/>
                <w:sz w:val="16"/>
                <w:szCs w:val="16"/>
              </w:rPr>
            </w:pPr>
          </w:p>
        </w:tc>
      </w:tr>
      <w:tr w:rsidR="00D64593" w:rsidRPr="00301088" w14:paraId="72D3FAE2" w14:textId="77777777" w:rsidTr="00B030F1">
        <w:trPr>
          <w:cantSplit/>
          <w:trHeight w:val="288"/>
        </w:trPr>
        <w:tc>
          <w:tcPr>
            <w:tcW w:w="3925" w:type="dxa"/>
            <w:vMerge/>
            <w:tcBorders>
              <w:top w:val="single" w:sz="4" w:space="0" w:color="auto"/>
              <w:left w:val="single" w:sz="4" w:space="0" w:color="auto"/>
              <w:bottom w:val="single" w:sz="4" w:space="0" w:color="auto"/>
              <w:right w:val="single" w:sz="4" w:space="0" w:color="auto"/>
            </w:tcBorders>
            <w:vAlign w:val="center"/>
          </w:tcPr>
          <w:p w14:paraId="52D72A1B" w14:textId="77777777" w:rsidR="00D64593" w:rsidRPr="00A15D50" w:rsidRDefault="00D64593" w:rsidP="00D64593">
            <w:pPr>
              <w:pStyle w:val="ListParagraph"/>
              <w:keepNext/>
              <w:numPr>
                <w:ilvl w:val="0"/>
                <w:numId w:val="5"/>
              </w:numPr>
              <w:rPr>
                <w:rFonts w:ascii="Arial" w:hAnsi="Arial" w:cs="Arial"/>
                <w:bCs/>
                <w:sz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4087" w14:textId="1408D1A8" w:rsidR="00D64593" w:rsidRPr="00BD332C" w:rsidRDefault="00D64593" w:rsidP="00D64593">
            <w:pPr>
              <w:jc w:val="center"/>
              <w:rPr>
                <w:rFonts w:ascii="Arial" w:hAnsi="Arial" w:cs="Arial"/>
                <w:sz w:val="14"/>
                <w:szCs w:val="14"/>
              </w:rPr>
            </w:pPr>
            <w:r w:rsidRPr="00BD332C">
              <w:rPr>
                <w:rFonts w:ascii="Arial" w:hAnsi="Arial" w:cs="Arial"/>
                <w:sz w:val="14"/>
                <w:szCs w:val="14"/>
              </w:rPr>
              <w:t>Bachelor</w:t>
            </w:r>
          </w:p>
        </w:tc>
        <w:tc>
          <w:tcPr>
            <w:tcW w:w="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3320B" w14:textId="0767B21C" w:rsidR="00D64593" w:rsidRDefault="00D64593" w:rsidP="00D64593">
            <w:pPr>
              <w:jc w:val="center"/>
              <w:rPr>
                <w:rFonts w:ascii="Arial" w:hAnsi="Arial" w:cs="Arial"/>
                <w:sz w:val="20"/>
              </w:rPr>
            </w:pPr>
            <w:r>
              <w:rPr>
                <w:rFonts w:ascii="Arial" w:hAnsi="Arial" w:cs="Arial"/>
                <w:sz w:val="20"/>
              </w:rPr>
              <w:t>1,233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38FE8" w14:textId="30288469" w:rsidR="00D64593" w:rsidRPr="00DF6F0B" w:rsidRDefault="00D64593" w:rsidP="00D64593">
            <w:pPr>
              <w:jc w:val="center"/>
              <w:rPr>
                <w:rFonts w:ascii="Arial" w:hAnsi="Arial" w:cs="Arial"/>
                <w:sz w:val="20"/>
              </w:rPr>
            </w:pPr>
            <w:r>
              <w:rPr>
                <w:rFonts w:ascii="Arial" w:hAnsi="Arial" w:cs="Arial"/>
                <w:sz w:val="20"/>
              </w:rPr>
              <w:t>1,155</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4B529" w14:textId="1D6C7861" w:rsidR="00D64593" w:rsidRDefault="00D64593" w:rsidP="00D64593">
            <w:pPr>
              <w:jc w:val="center"/>
              <w:rPr>
                <w:rFonts w:ascii="Arial" w:hAnsi="Arial" w:cs="Arial"/>
                <w:sz w:val="20"/>
              </w:rPr>
            </w:pPr>
            <w:r>
              <w:rPr>
                <w:rFonts w:ascii="Arial" w:hAnsi="Arial" w:cs="Arial"/>
                <w:sz w:val="20"/>
              </w:rPr>
              <w:t>1,284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6C5BA" w14:textId="6552D89C" w:rsidR="00D64593" w:rsidRDefault="00D64593" w:rsidP="00D64593">
            <w:pPr>
              <w:jc w:val="center"/>
              <w:rPr>
                <w:rFonts w:ascii="Arial" w:hAnsi="Arial" w:cs="Arial"/>
                <w:sz w:val="20"/>
              </w:rPr>
            </w:pPr>
            <w:r w:rsidRPr="006D3D0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C56A0" w14:textId="0684FD31" w:rsidR="00D64593" w:rsidRDefault="00D64593" w:rsidP="00D64593">
            <w:pPr>
              <w:keepNext/>
              <w:jc w:val="center"/>
              <w:rPr>
                <w:rFonts w:ascii="Arial" w:hAnsi="Arial" w:cs="Arial"/>
                <w:i/>
                <w:sz w:val="16"/>
                <w:szCs w:val="16"/>
              </w:rPr>
            </w:pPr>
          </w:p>
        </w:tc>
      </w:tr>
      <w:tr w:rsidR="00D64593" w:rsidRPr="00301088" w14:paraId="43FEF820" w14:textId="77777777" w:rsidTr="00B030F1">
        <w:trPr>
          <w:cantSplit/>
          <w:trHeight w:val="288"/>
        </w:trPr>
        <w:tc>
          <w:tcPr>
            <w:tcW w:w="3925" w:type="dxa"/>
            <w:vMerge/>
            <w:tcBorders>
              <w:top w:val="single" w:sz="4" w:space="0" w:color="auto"/>
              <w:left w:val="single" w:sz="4" w:space="0" w:color="auto"/>
              <w:bottom w:val="single" w:sz="4" w:space="0" w:color="auto"/>
              <w:right w:val="single" w:sz="4" w:space="0" w:color="auto"/>
            </w:tcBorders>
            <w:vAlign w:val="center"/>
            <w:hideMark/>
          </w:tcPr>
          <w:p w14:paraId="25ECF49F" w14:textId="77777777" w:rsidR="00D64593" w:rsidRPr="00A15D50" w:rsidRDefault="00D64593" w:rsidP="00D64593">
            <w:pPr>
              <w:pStyle w:val="ListParagraph"/>
              <w:keepNext/>
              <w:numPr>
                <w:ilvl w:val="0"/>
                <w:numId w:val="5"/>
              </w:numPr>
              <w:rPr>
                <w:rFonts w:ascii="Arial" w:hAnsi="Arial" w:cs="Arial"/>
                <w:bCs/>
                <w:sz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714DB5" w14:textId="77777777" w:rsidR="00D64593" w:rsidRPr="00945E69" w:rsidRDefault="00D64593" w:rsidP="00D64593">
            <w:pPr>
              <w:keepNext/>
              <w:jc w:val="center"/>
              <w:rPr>
                <w:rFonts w:ascii="Arial" w:hAnsi="Arial" w:cs="Arial"/>
                <w:sz w:val="20"/>
                <w:szCs w:val="20"/>
              </w:rPr>
            </w:pPr>
            <w:r w:rsidRPr="00945E69">
              <w:rPr>
                <w:rFonts w:ascii="Arial" w:hAnsi="Arial" w:cs="Arial"/>
                <w:i/>
                <w:sz w:val="20"/>
                <w:szCs w:val="20"/>
              </w:rPr>
              <w:t>target</w:t>
            </w:r>
          </w:p>
        </w:tc>
        <w:tc>
          <w:tcPr>
            <w:tcW w:w="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ED958" w14:textId="364CBB6E" w:rsidR="00D64593" w:rsidRPr="00945E69" w:rsidRDefault="00D64593" w:rsidP="00D64593">
            <w:pPr>
              <w:keepNext/>
              <w:jc w:val="center"/>
              <w:rPr>
                <w:rFonts w:ascii="Arial" w:hAnsi="Arial" w:cs="Arial"/>
                <w:i/>
                <w:sz w:val="20"/>
                <w:szCs w:val="20"/>
              </w:rPr>
            </w:pPr>
            <w:r w:rsidRPr="00945E69">
              <w:rPr>
                <w:rFonts w:ascii="Arial" w:hAnsi="Arial" w:cs="Arial"/>
                <w:i/>
                <w:sz w:val="20"/>
                <w:szCs w:val="20"/>
              </w:rPr>
              <w:t>+22</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4CE79" w14:textId="38BF2DDF" w:rsidR="00D64593" w:rsidRPr="00945E69" w:rsidRDefault="00D64593" w:rsidP="00D64593">
            <w:pPr>
              <w:keepNext/>
              <w:jc w:val="center"/>
              <w:rPr>
                <w:rFonts w:ascii="Arial" w:hAnsi="Arial" w:cs="Arial"/>
                <w:i/>
                <w:sz w:val="20"/>
                <w:szCs w:val="20"/>
              </w:rPr>
            </w:pPr>
            <w:r w:rsidRPr="00945E69">
              <w:rPr>
                <w:rFonts w:ascii="Arial" w:hAnsi="Arial" w:cs="Arial"/>
                <w:i/>
                <w:sz w:val="20"/>
                <w:szCs w:val="20"/>
              </w:rPr>
              <w:t>+22</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1D910" w14:textId="194FA5B9" w:rsidR="00D64593" w:rsidRPr="00945E69" w:rsidRDefault="00D64593" w:rsidP="00D64593">
            <w:pPr>
              <w:keepNext/>
              <w:jc w:val="center"/>
              <w:rPr>
                <w:rFonts w:ascii="Arial" w:hAnsi="Arial" w:cs="Arial"/>
                <w:i/>
                <w:sz w:val="20"/>
                <w:szCs w:val="20"/>
              </w:rPr>
            </w:pPr>
            <w:r w:rsidRPr="00945E69">
              <w:rPr>
                <w:rFonts w:ascii="Arial" w:hAnsi="Arial" w:cs="Arial"/>
                <w:i/>
                <w:sz w:val="20"/>
                <w:szCs w:val="20"/>
              </w:rPr>
              <w:t>+22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1243D" w14:textId="1F95584A" w:rsidR="00D64593" w:rsidRPr="00945E69" w:rsidRDefault="00D64593" w:rsidP="00D64593">
            <w:pPr>
              <w:keepNext/>
              <w:jc w:val="center"/>
              <w:rPr>
                <w:rFonts w:ascii="Arial" w:hAnsi="Arial" w:cs="Arial"/>
                <w:i/>
                <w:sz w:val="20"/>
                <w:szCs w:val="20"/>
              </w:rPr>
            </w:pPr>
            <w:r w:rsidRPr="00945E69">
              <w:rPr>
                <w:rFonts w:ascii="Arial" w:hAnsi="Arial" w:cs="Arial"/>
                <w:i/>
                <w:sz w:val="20"/>
                <w:szCs w:val="20"/>
              </w:rPr>
              <w:t>+22</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80184" w14:textId="5254CC95" w:rsidR="00D64593" w:rsidRPr="00945E69" w:rsidRDefault="00D64593" w:rsidP="00D64593">
            <w:pPr>
              <w:keepNext/>
              <w:jc w:val="center"/>
              <w:rPr>
                <w:rFonts w:ascii="Arial" w:hAnsi="Arial" w:cs="Arial"/>
                <w:i/>
                <w:sz w:val="20"/>
                <w:szCs w:val="20"/>
              </w:rPr>
            </w:pPr>
          </w:p>
        </w:tc>
      </w:tr>
    </w:tbl>
    <w:p w14:paraId="400AB142" w14:textId="77777777" w:rsidR="00BA0E09" w:rsidRDefault="00BA0E0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925"/>
        <w:gridCol w:w="840"/>
        <w:gridCol w:w="929"/>
        <w:gridCol w:w="56"/>
        <w:gridCol w:w="904"/>
        <w:gridCol w:w="33"/>
        <w:gridCol w:w="1318"/>
        <w:gridCol w:w="1080"/>
        <w:gridCol w:w="985"/>
      </w:tblGrid>
      <w:tr w:rsidR="00D64593" w:rsidRPr="00301088" w14:paraId="09AB6617" w14:textId="77777777" w:rsidTr="00A02916">
        <w:trPr>
          <w:cantSplit/>
          <w:trHeight w:val="692"/>
        </w:trPr>
        <w:tc>
          <w:tcPr>
            <w:tcW w:w="3925" w:type="dxa"/>
            <w:vMerge w:val="restart"/>
            <w:tcBorders>
              <w:top w:val="single" w:sz="4" w:space="0" w:color="auto"/>
              <w:left w:val="single" w:sz="4" w:space="0" w:color="auto"/>
              <w:bottom w:val="single" w:sz="4" w:space="0" w:color="auto"/>
              <w:right w:val="single" w:sz="4" w:space="0" w:color="auto"/>
            </w:tcBorders>
            <w:hideMark/>
          </w:tcPr>
          <w:p w14:paraId="2781AEEE" w14:textId="723395E7" w:rsidR="00D64593" w:rsidRPr="00B42DEC" w:rsidRDefault="00D64593" w:rsidP="00D64593">
            <w:pPr>
              <w:rPr>
                <w:rFonts w:ascii="Arial" w:hAnsi="Arial" w:cs="Arial"/>
                <w:bCs/>
                <w:sz w:val="20"/>
              </w:rPr>
            </w:pPr>
            <w:r>
              <w:lastRenderedPageBreak/>
              <w:br w:type="page"/>
            </w:r>
            <w:r>
              <w:rPr>
                <w:rFonts w:ascii="Arial" w:hAnsi="Arial" w:cs="Arial"/>
                <w:b/>
                <w:sz w:val="20"/>
                <w:szCs w:val="20"/>
              </w:rPr>
              <w:t xml:space="preserve">6.  </w:t>
            </w:r>
            <w:r w:rsidRPr="00606B45">
              <w:rPr>
                <w:rFonts w:ascii="Arial" w:hAnsi="Arial" w:cs="Arial"/>
                <w:color w:val="000000"/>
                <w:sz w:val="20"/>
                <w:szCs w:val="20"/>
              </w:rPr>
              <w:t>Guided Pathways VII - Percent of first-time, full-time freshmen graduating within 100% of time.</w:t>
            </w:r>
            <w:r>
              <w:rPr>
                <w:rFonts w:ascii="Helvetica" w:hAnsi="Helvetica" w:cs="Helvetica"/>
                <w:color w:val="000000"/>
                <w:sz w:val="20"/>
                <w:szCs w:val="20"/>
              </w:rPr>
              <w:t xml:space="preserve"> (FY 2025 = 20%)</w:t>
            </w:r>
            <w:r>
              <w:rPr>
                <w:rFonts w:ascii="Arial" w:hAnsi="Arial" w:cs="Arial"/>
                <w:sz w:val="20"/>
                <w:szCs w:val="20"/>
                <w:vertAlign w:val="superscript"/>
              </w:rPr>
              <w:t xml:space="preserve"> </w:t>
            </w:r>
            <w:proofErr w:type="gramStart"/>
            <w:r>
              <w:rPr>
                <w:rFonts w:ascii="Arial" w:hAnsi="Arial" w:cs="Arial"/>
                <w:sz w:val="20"/>
                <w:szCs w:val="20"/>
                <w:vertAlign w:val="superscript"/>
              </w:rPr>
              <w:t>4</w:t>
            </w:r>
            <w:r w:rsidRPr="00B42DEC">
              <w:rPr>
                <w:rFonts w:ascii="Arial" w:hAnsi="Arial" w:cs="Arial"/>
                <w:sz w:val="22"/>
                <w:szCs w:val="22"/>
                <w:vertAlign w:val="superscript"/>
              </w:rPr>
              <w:t xml:space="preserve"> </w:t>
            </w:r>
            <w:r>
              <w:rPr>
                <w:rFonts w:ascii="Arial" w:hAnsi="Arial" w:cs="Arial"/>
                <w:sz w:val="22"/>
                <w:szCs w:val="22"/>
                <w:vertAlign w:val="superscript"/>
              </w:rPr>
              <w:t xml:space="preserve"> </w:t>
            </w:r>
            <w:r w:rsidRPr="00B42DEC">
              <w:rPr>
                <w:rFonts w:ascii="Arial" w:hAnsi="Arial" w:cs="Arial"/>
                <w:sz w:val="22"/>
                <w:szCs w:val="22"/>
                <w:vertAlign w:val="superscript"/>
              </w:rPr>
              <w:t>(</w:t>
            </w:r>
            <w:proofErr w:type="gramEnd"/>
            <w:r w:rsidRPr="00B42DEC">
              <w:rPr>
                <w:rFonts w:ascii="Arial" w:hAnsi="Arial" w:cs="Arial"/>
                <w:sz w:val="22"/>
                <w:szCs w:val="22"/>
                <w:vertAlign w:val="superscript"/>
              </w:rPr>
              <w:t>SBOE system-wide Strategic Plan Measure)</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20A8FE" w14:textId="77777777" w:rsidR="00D64593" w:rsidRPr="00301088" w:rsidRDefault="00D64593" w:rsidP="00D64593">
            <w:pPr>
              <w:jc w:val="center"/>
              <w:rPr>
                <w:rFonts w:ascii="Arial" w:hAnsi="Arial" w:cs="Arial"/>
                <w:sz w:val="20"/>
              </w:rPr>
            </w:pPr>
            <w:r w:rsidRPr="00301088">
              <w:rPr>
                <w:rFonts w:ascii="Arial" w:hAnsi="Arial" w:cs="Arial"/>
                <w:sz w:val="20"/>
              </w:rPr>
              <w:t>actual</w:t>
            </w:r>
          </w:p>
        </w:tc>
        <w:tc>
          <w:tcPr>
            <w:tcW w:w="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FEB85" w14:textId="625666C9" w:rsidR="00D64593" w:rsidRPr="00301088" w:rsidRDefault="00D64593" w:rsidP="00D64593">
            <w:pPr>
              <w:jc w:val="center"/>
              <w:rPr>
                <w:rFonts w:ascii="Arial" w:hAnsi="Arial" w:cs="Arial"/>
                <w:sz w:val="20"/>
                <w:szCs w:val="20"/>
              </w:rPr>
            </w:pPr>
            <w:r w:rsidRPr="000503E6">
              <w:rPr>
                <w:rFonts w:ascii="Arial" w:hAnsi="Arial" w:cs="Arial"/>
                <w:sz w:val="20"/>
                <w:szCs w:val="20"/>
              </w:rPr>
              <w:t>20</w:t>
            </w:r>
            <w:r>
              <w:rPr>
                <w:rFonts w:ascii="Arial" w:hAnsi="Arial" w:cs="Arial"/>
                <w:color w:val="000000"/>
                <w:sz w:val="18"/>
                <w:szCs w:val="18"/>
              </w:rPr>
              <w:t>%</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B1F97" w14:textId="27B229A1" w:rsidR="00D64593" w:rsidRPr="00301088" w:rsidRDefault="00D64593" w:rsidP="00D64593">
            <w:pPr>
              <w:jc w:val="center"/>
              <w:rPr>
                <w:rFonts w:ascii="Arial" w:hAnsi="Arial" w:cs="Arial"/>
                <w:sz w:val="20"/>
                <w:szCs w:val="20"/>
              </w:rPr>
            </w:pPr>
            <w:r w:rsidRPr="009A7633">
              <w:rPr>
                <w:rFonts w:ascii="Arial" w:hAnsi="Arial" w:cs="Arial"/>
                <w:sz w:val="20"/>
                <w:szCs w:val="20"/>
              </w:rPr>
              <w:t>19%</w:t>
            </w:r>
          </w:p>
        </w:tc>
        <w:tc>
          <w:tcPr>
            <w:tcW w:w="1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F7A844" w14:textId="78F3BB95" w:rsidR="00D64593" w:rsidRPr="00301088" w:rsidRDefault="00D64593" w:rsidP="00D64593">
            <w:pPr>
              <w:jc w:val="center"/>
              <w:rPr>
                <w:rFonts w:ascii="Arial" w:hAnsi="Arial" w:cs="Arial"/>
                <w:sz w:val="20"/>
              </w:rPr>
            </w:pPr>
            <w:r>
              <w:rPr>
                <w:rFonts w:ascii="Arial" w:hAnsi="Arial" w:cs="Arial"/>
                <w:sz w:val="20"/>
              </w:rPr>
              <w:t>23%</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F0C52" w14:textId="397048E0" w:rsidR="00D64593" w:rsidRPr="00301088" w:rsidRDefault="00D64593" w:rsidP="00D64593">
            <w:pPr>
              <w:jc w:val="center"/>
              <w:rPr>
                <w:rFonts w:ascii="Arial" w:hAnsi="Arial" w:cs="Arial"/>
                <w:sz w:val="20"/>
              </w:rPr>
            </w:pPr>
            <w:r w:rsidRPr="00301088">
              <w:rPr>
                <w:rFonts w:ascii="Arial" w:hAnsi="Arial" w:cs="Arial"/>
                <w:sz w:val="20"/>
              </w:rPr>
              <w:t>----------</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889AE6" w14:textId="22CA0325" w:rsidR="00D64593" w:rsidRPr="00301088" w:rsidRDefault="00D64593" w:rsidP="00D64593">
            <w:pPr>
              <w:jc w:val="center"/>
              <w:rPr>
                <w:rFonts w:ascii="Arial" w:hAnsi="Arial" w:cs="Arial"/>
                <w:sz w:val="20"/>
              </w:rPr>
            </w:pPr>
          </w:p>
        </w:tc>
      </w:tr>
      <w:tr w:rsidR="00D64593" w:rsidRPr="00301088" w14:paraId="52DD5542" w14:textId="77777777" w:rsidTr="00B030F1">
        <w:trPr>
          <w:cantSplit/>
          <w:trHeight w:val="288"/>
        </w:trPr>
        <w:tc>
          <w:tcPr>
            <w:tcW w:w="3925" w:type="dxa"/>
            <w:vMerge/>
            <w:tcBorders>
              <w:top w:val="single" w:sz="4" w:space="0" w:color="auto"/>
              <w:left w:val="single" w:sz="4" w:space="0" w:color="auto"/>
              <w:bottom w:val="single" w:sz="4" w:space="0" w:color="auto"/>
              <w:right w:val="single" w:sz="4" w:space="0" w:color="auto"/>
            </w:tcBorders>
            <w:vAlign w:val="center"/>
          </w:tcPr>
          <w:p w14:paraId="0F782FA3" w14:textId="77777777" w:rsidR="00D64593" w:rsidRPr="00A15D50" w:rsidRDefault="00D64593" w:rsidP="00D64593">
            <w:pPr>
              <w:pStyle w:val="ListParagraph"/>
              <w:numPr>
                <w:ilvl w:val="0"/>
                <w:numId w:val="5"/>
              </w:numPr>
              <w:rPr>
                <w:rFonts w:ascii="Arial" w:hAnsi="Arial" w:cs="Arial"/>
                <w:bCs/>
                <w:sz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4B4C" w14:textId="77777777" w:rsidR="00D64593" w:rsidRDefault="00D64593" w:rsidP="00D64593">
            <w:pPr>
              <w:jc w:val="center"/>
              <w:rPr>
                <w:rFonts w:ascii="Arial" w:hAnsi="Arial" w:cs="Arial"/>
                <w:i/>
                <w:sz w:val="16"/>
                <w:szCs w:val="16"/>
              </w:rPr>
            </w:pPr>
            <w:r w:rsidRPr="006C47EB">
              <w:rPr>
                <w:rFonts w:ascii="Arial" w:hAnsi="Arial" w:cs="Arial"/>
                <w:sz w:val="16"/>
                <w:szCs w:val="16"/>
              </w:rPr>
              <w:t>Total</w:t>
            </w:r>
          </w:p>
        </w:tc>
        <w:tc>
          <w:tcPr>
            <w:tcW w:w="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D563C" w14:textId="23A89C0F" w:rsidR="00D64593" w:rsidRPr="00750895" w:rsidRDefault="00D64593" w:rsidP="00D64593">
            <w:pPr>
              <w:jc w:val="center"/>
              <w:rPr>
                <w:rFonts w:ascii="Arial" w:hAnsi="Arial" w:cs="Arial"/>
                <w:sz w:val="20"/>
              </w:rPr>
            </w:pPr>
            <w:r>
              <w:rPr>
                <w:rFonts w:ascii="Arial" w:hAnsi="Arial" w:cs="Arial"/>
                <w:sz w:val="20"/>
              </w:rPr>
              <w:t>1,169</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21B69" w14:textId="1677A765" w:rsidR="00D64593" w:rsidRPr="00750895" w:rsidRDefault="00D64593" w:rsidP="00D64593">
            <w:pPr>
              <w:jc w:val="center"/>
              <w:rPr>
                <w:rFonts w:ascii="Arial" w:hAnsi="Arial" w:cs="Arial"/>
                <w:sz w:val="20"/>
              </w:rPr>
            </w:pPr>
            <w:r w:rsidRPr="006A390A">
              <w:rPr>
                <w:rFonts w:ascii="Arial" w:hAnsi="Arial" w:cs="Arial"/>
                <w:sz w:val="20"/>
              </w:rPr>
              <w:t>1,141</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5EF" w14:textId="075D8D29" w:rsidR="00D64593" w:rsidRPr="00301088" w:rsidRDefault="00D64593" w:rsidP="00D64593">
            <w:pPr>
              <w:jc w:val="center"/>
              <w:rPr>
                <w:rFonts w:ascii="Arial" w:hAnsi="Arial" w:cs="Arial"/>
                <w:i/>
                <w:sz w:val="16"/>
                <w:szCs w:val="16"/>
              </w:rPr>
            </w:pPr>
            <w:r w:rsidRPr="007D33E2">
              <w:rPr>
                <w:rFonts w:ascii="Arial" w:hAnsi="Arial" w:cs="Arial"/>
                <w:sz w:val="20"/>
              </w:rPr>
              <w:t>1,172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BBA6F" w14:textId="2AFD0B9A" w:rsidR="00D64593" w:rsidRPr="00301088" w:rsidRDefault="00D64593" w:rsidP="00D64593">
            <w:pPr>
              <w:jc w:val="center"/>
              <w:rPr>
                <w:rFonts w:ascii="Arial" w:hAnsi="Arial" w:cs="Arial"/>
                <w:i/>
                <w:sz w:val="16"/>
                <w:szCs w:val="16"/>
              </w:rPr>
            </w:pPr>
            <w:r w:rsidRPr="006D3D0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C1F66" w14:textId="4A35CBCF" w:rsidR="00D64593" w:rsidRPr="00301088" w:rsidRDefault="00D64593" w:rsidP="00D64593">
            <w:pPr>
              <w:jc w:val="center"/>
              <w:rPr>
                <w:rFonts w:ascii="Arial" w:hAnsi="Arial" w:cs="Arial"/>
                <w:i/>
                <w:sz w:val="16"/>
                <w:szCs w:val="16"/>
              </w:rPr>
            </w:pPr>
          </w:p>
        </w:tc>
      </w:tr>
      <w:tr w:rsidR="00D64593" w:rsidRPr="00301088" w14:paraId="604ECA53" w14:textId="77777777" w:rsidTr="00B030F1">
        <w:trPr>
          <w:cantSplit/>
          <w:trHeight w:val="288"/>
        </w:trPr>
        <w:tc>
          <w:tcPr>
            <w:tcW w:w="3925" w:type="dxa"/>
            <w:vMerge/>
            <w:tcBorders>
              <w:top w:val="single" w:sz="4" w:space="0" w:color="auto"/>
              <w:left w:val="single" w:sz="4" w:space="0" w:color="auto"/>
              <w:bottom w:val="single" w:sz="4" w:space="0" w:color="auto"/>
              <w:right w:val="single" w:sz="4" w:space="0" w:color="auto"/>
            </w:tcBorders>
            <w:vAlign w:val="center"/>
          </w:tcPr>
          <w:p w14:paraId="101CB094" w14:textId="77777777" w:rsidR="00D64593" w:rsidRPr="00A15D50" w:rsidRDefault="00D64593" w:rsidP="00D64593">
            <w:pPr>
              <w:pStyle w:val="ListParagraph"/>
              <w:numPr>
                <w:ilvl w:val="0"/>
                <w:numId w:val="5"/>
              </w:numPr>
              <w:rPr>
                <w:rFonts w:ascii="Arial" w:hAnsi="Arial" w:cs="Arial"/>
                <w:bCs/>
                <w:sz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ECAF3" w14:textId="77777777" w:rsidR="00D64593" w:rsidRPr="00B030F1" w:rsidRDefault="00D64593" w:rsidP="00D64593">
            <w:pPr>
              <w:jc w:val="center"/>
              <w:rPr>
                <w:rFonts w:ascii="Arial" w:hAnsi="Arial" w:cs="Arial"/>
                <w:i/>
                <w:sz w:val="14"/>
                <w:szCs w:val="14"/>
              </w:rPr>
            </w:pPr>
            <w:r w:rsidRPr="00B030F1">
              <w:rPr>
                <w:rFonts w:ascii="Arial" w:hAnsi="Arial" w:cs="Arial"/>
                <w:sz w:val="14"/>
                <w:szCs w:val="14"/>
              </w:rPr>
              <w:t>Graduated Within 100%</w:t>
            </w:r>
          </w:p>
        </w:tc>
        <w:tc>
          <w:tcPr>
            <w:tcW w:w="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C940F" w14:textId="48B2E524" w:rsidR="00D64593" w:rsidRPr="00750895" w:rsidRDefault="00D64593" w:rsidP="00D64593">
            <w:pPr>
              <w:jc w:val="center"/>
              <w:rPr>
                <w:rFonts w:ascii="Arial" w:hAnsi="Arial" w:cs="Arial"/>
                <w:sz w:val="20"/>
              </w:rPr>
            </w:pPr>
            <w:r>
              <w:rPr>
                <w:rFonts w:ascii="Arial" w:hAnsi="Arial" w:cs="Arial"/>
                <w:sz w:val="20"/>
              </w:rPr>
              <w:t>229</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8DDBD" w14:textId="120D79E3" w:rsidR="00D64593" w:rsidRPr="00301088" w:rsidRDefault="00D64593" w:rsidP="00D64593">
            <w:pPr>
              <w:jc w:val="center"/>
              <w:rPr>
                <w:rFonts w:ascii="Arial" w:hAnsi="Arial" w:cs="Arial"/>
                <w:i/>
                <w:sz w:val="16"/>
                <w:szCs w:val="16"/>
              </w:rPr>
            </w:pPr>
            <w:r w:rsidRPr="006A390A">
              <w:rPr>
                <w:rFonts w:ascii="Arial" w:hAnsi="Arial" w:cs="Arial"/>
                <w:sz w:val="20"/>
              </w:rPr>
              <w:t>220</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F70C7" w14:textId="2A09AAD8" w:rsidR="00D64593" w:rsidRPr="00301088" w:rsidRDefault="00D64593" w:rsidP="00D64593">
            <w:pPr>
              <w:jc w:val="center"/>
              <w:rPr>
                <w:rFonts w:ascii="Arial" w:hAnsi="Arial" w:cs="Arial"/>
                <w:i/>
                <w:sz w:val="16"/>
                <w:szCs w:val="16"/>
              </w:rPr>
            </w:pPr>
            <w:r w:rsidRPr="007D33E2">
              <w:rPr>
                <w:rFonts w:ascii="Arial" w:hAnsi="Arial" w:cs="Arial"/>
                <w:sz w:val="20"/>
              </w:rPr>
              <w:t>26</w:t>
            </w:r>
            <w:r>
              <w:rPr>
                <w:rFonts w:ascii="Arial" w:hAnsi="Arial" w:cs="Arial"/>
                <w:sz w:val="20"/>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66951" w14:textId="4FEBEED8" w:rsidR="00D64593" w:rsidRPr="00301088" w:rsidRDefault="00D64593" w:rsidP="00D64593">
            <w:pPr>
              <w:jc w:val="center"/>
              <w:rPr>
                <w:rFonts w:ascii="Arial" w:hAnsi="Arial" w:cs="Arial"/>
                <w:i/>
                <w:sz w:val="16"/>
                <w:szCs w:val="16"/>
              </w:rPr>
            </w:pPr>
            <w:r w:rsidRPr="006D3D0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33F44" w14:textId="11765277" w:rsidR="00D64593" w:rsidRPr="00301088" w:rsidRDefault="00D64593" w:rsidP="00D64593">
            <w:pPr>
              <w:jc w:val="center"/>
              <w:rPr>
                <w:rFonts w:ascii="Arial" w:hAnsi="Arial" w:cs="Arial"/>
                <w:i/>
                <w:sz w:val="16"/>
                <w:szCs w:val="16"/>
              </w:rPr>
            </w:pPr>
          </w:p>
        </w:tc>
      </w:tr>
      <w:tr w:rsidR="00D64593" w:rsidRPr="00301088" w14:paraId="5747637E" w14:textId="77777777" w:rsidTr="00B030F1">
        <w:trPr>
          <w:cantSplit/>
          <w:trHeight w:val="288"/>
        </w:trPr>
        <w:tc>
          <w:tcPr>
            <w:tcW w:w="3925" w:type="dxa"/>
            <w:vMerge/>
            <w:tcBorders>
              <w:top w:val="single" w:sz="4" w:space="0" w:color="auto"/>
              <w:left w:val="single" w:sz="4" w:space="0" w:color="auto"/>
              <w:bottom w:val="single" w:sz="4" w:space="0" w:color="auto"/>
              <w:right w:val="single" w:sz="4" w:space="0" w:color="auto"/>
            </w:tcBorders>
            <w:vAlign w:val="center"/>
          </w:tcPr>
          <w:p w14:paraId="49B4BBF4" w14:textId="77777777" w:rsidR="00D64593" w:rsidRPr="00A15D50" w:rsidRDefault="00D64593" w:rsidP="00D64593">
            <w:pPr>
              <w:pStyle w:val="ListParagraph"/>
              <w:numPr>
                <w:ilvl w:val="0"/>
                <w:numId w:val="5"/>
              </w:numPr>
              <w:rPr>
                <w:rFonts w:ascii="Arial" w:hAnsi="Arial" w:cs="Arial"/>
                <w:bCs/>
                <w:sz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B50DD" w14:textId="77777777" w:rsidR="00D64593" w:rsidRPr="00B030F1" w:rsidRDefault="00D64593" w:rsidP="00D64593">
            <w:pPr>
              <w:jc w:val="center"/>
              <w:rPr>
                <w:rFonts w:ascii="Arial" w:hAnsi="Arial" w:cs="Arial"/>
                <w:i/>
                <w:sz w:val="14"/>
                <w:szCs w:val="14"/>
              </w:rPr>
            </w:pPr>
            <w:r w:rsidRPr="00B030F1">
              <w:rPr>
                <w:rFonts w:ascii="Arial" w:hAnsi="Arial" w:cs="Arial"/>
                <w:sz w:val="14"/>
                <w:szCs w:val="14"/>
              </w:rPr>
              <w:t>Did Not Graduate Within 100%</w:t>
            </w:r>
          </w:p>
        </w:tc>
        <w:tc>
          <w:tcPr>
            <w:tcW w:w="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043B" w14:textId="2936AE29" w:rsidR="00D64593" w:rsidRPr="00750895" w:rsidRDefault="00D64593" w:rsidP="00D64593">
            <w:pPr>
              <w:jc w:val="center"/>
              <w:rPr>
                <w:rFonts w:ascii="Arial" w:hAnsi="Arial" w:cs="Arial"/>
                <w:sz w:val="20"/>
              </w:rPr>
            </w:pPr>
            <w:r>
              <w:rPr>
                <w:rFonts w:ascii="Arial" w:hAnsi="Arial" w:cs="Arial"/>
                <w:sz w:val="20"/>
              </w:rPr>
              <w:t>940</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10C06" w14:textId="31C41EA2" w:rsidR="00D64593" w:rsidRPr="00301088" w:rsidRDefault="00D64593" w:rsidP="00D64593">
            <w:pPr>
              <w:jc w:val="center"/>
              <w:rPr>
                <w:rFonts w:ascii="Arial" w:hAnsi="Arial" w:cs="Arial"/>
                <w:i/>
                <w:sz w:val="16"/>
                <w:szCs w:val="16"/>
              </w:rPr>
            </w:pPr>
            <w:r w:rsidRPr="00FE2EFA">
              <w:rPr>
                <w:rFonts w:ascii="Arial" w:hAnsi="Arial" w:cs="Arial"/>
                <w:sz w:val="20"/>
              </w:rPr>
              <w:t>921</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70BAF" w14:textId="4BD7E81F" w:rsidR="00D64593" w:rsidRPr="00301088" w:rsidRDefault="00D64593" w:rsidP="00D64593">
            <w:pPr>
              <w:jc w:val="center"/>
              <w:rPr>
                <w:rFonts w:ascii="Arial" w:hAnsi="Arial" w:cs="Arial"/>
                <w:i/>
                <w:sz w:val="16"/>
                <w:szCs w:val="16"/>
              </w:rPr>
            </w:pPr>
            <w:r w:rsidRPr="007D33E2">
              <w:rPr>
                <w:rFonts w:ascii="Arial" w:hAnsi="Arial" w:cs="Arial"/>
                <w:sz w:val="20"/>
              </w:rPr>
              <w:t>90</w:t>
            </w:r>
            <w:r>
              <w:rPr>
                <w:rFonts w:ascii="Arial" w:hAnsi="Arial" w:cs="Arial"/>
                <w:sz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819AE" w14:textId="34F0BABD" w:rsidR="00D64593" w:rsidRPr="00301088" w:rsidRDefault="00D64593" w:rsidP="00D64593">
            <w:pPr>
              <w:jc w:val="center"/>
              <w:rPr>
                <w:rFonts w:ascii="Arial" w:hAnsi="Arial" w:cs="Arial"/>
                <w:i/>
                <w:sz w:val="16"/>
                <w:szCs w:val="16"/>
              </w:rPr>
            </w:pPr>
            <w:r w:rsidRPr="006D3D0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11A3" w14:textId="1D73D272" w:rsidR="00D64593" w:rsidRPr="00301088" w:rsidRDefault="00D64593" w:rsidP="00D64593">
            <w:pPr>
              <w:jc w:val="center"/>
              <w:rPr>
                <w:rFonts w:ascii="Arial" w:hAnsi="Arial" w:cs="Arial"/>
                <w:i/>
                <w:sz w:val="16"/>
                <w:szCs w:val="16"/>
              </w:rPr>
            </w:pPr>
          </w:p>
        </w:tc>
      </w:tr>
      <w:tr w:rsidR="00D64593" w:rsidRPr="00301088" w14:paraId="1E922FFC" w14:textId="77777777" w:rsidTr="00B030F1">
        <w:trPr>
          <w:cantSplit/>
          <w:trHeight w:val="288"/>
        </w:trPr>
        <w:tc>
          <w:tcPr>
            <w:tcW w:w="3925" w:type="dxa"/>
            <w:vMerge/>
            <w:tcBorders>
              <w:top w:val="single" w:sz="4" w:space="0" w:color="auto"/>
              <w:left w:val="single" w:sz="4" w:space="0" w:color="auto"/>
              <w:bottom w:val="single" w:sz="4" w:space="0" w:color="auto"/>
              <w:right w:val="single" w:sz="4" w:space="0" w:color="auto"/>
            </w:tcBorders>
            <w:vAlign w:val="center"/>
            <w:hideMark/>
          </w:tcPr>
          <w:p w14:paraId="68C0CB56" w14:textId="77777777" w:rsidR="00D64593" w:rsidRPr="00A15D50" w:rsidRDefault="00D64593" w:rsidP="00D64593">
            <w:pPr>
              <w:pStyle w:val="ListParagraph"/>
              <w:numPr>
                <w:ilvl w:val="0"/>
                <w:numId w:val="5"/>
              </w:numPr>
              <w:rPr>
                <w:rFonts w:ascii="Arial" w:hAnsi="Arial" w:cs="Arial"/>
                <w:bCs/>
                <w:sz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59808" w14:textId="77777777" w:rsidR="00D64593" w:rsidRPr="00945E69" w:rsidRDefault="00D64593" w:rsidP="00D64593">
            <w:pPr>
              <w:jc w:val="center"/>
              <w:rPr>
                <w:rFonts w:ascii="Arial" w:hAnsi="Arial" w:cs="Arial"/>
                <w:sz w:val="20"/>
                <w:szCs w:val="20"/>
              </w:rPr>
            </w:pPr>
            <w:r w:rsidRPr="00945E69">
              <w:rPr>
                <w:rFonts w:ascii="Arial" w:hAnsi="Arial" w:cs="Arial"/>
                <w:i/>
                <w:sz w:val="20"/>
                <w:szCs w:val="20"/>
              </w:rPr>
              <w:t>target</w:t>
            </w:r>
          </w:p>
        </w:tc>
        <w:tc>
          <w:tcPr>
            <w:tcW w:w="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63310" w14:textId="1238B776" w:rsidR="00D64593" w:rsidRPr="00945E69" w:rsidRDefault="00D64593" w:rsidP="00D64593">
            <w:pPr>
              <w:jc w:val="center"/>
              <w:rPr>
                <w:rFonts w:ascii="Arial" w:hAnsi="Arial" w:cs="Arial"/>
                <w:i/>
                <w:sz w:val="20"/>
                <w:szCs w:val="20"/>
              </w:rPr>
            </w:pPr>
            <w:r w:rsidRPr="00945E69">
              <w:rPr>
                <w:rFonts w:ascii="Arial" w:hAnsi="Arial" w:cs="Arial"/>
                <w:i/>
                <w:sz w:val="20"/>
                <w:szCs w:val="20"/>
              </w:rPr>
              <w:t>18%</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1C394" w14:textId="24E2D255" w:rsidR="00D64593" w:rsidRPr="00945E69" w:rsidRDefault="00D64593" w:rsidP="00D64593">
            <w:pPr>
              <w:jc w:val="center"/>
              <w:rPr>
                <w:rFonts w:ascii="Arial" w:hAnsi="Arial" w:cs="Arial"/>
                <w:i/>
                <w:sz w:val="20"/>
                <w:szCs w:val="20"/>
              </w:rPr>
            </w:pPr>
            <w:r w:rsidRPr="00945E69">
              <w:rPr>
                <w:rFonts w:ascii="Arial" w:hAnsi="Arial" w:cs="Arial"/>
                <w:i/>
                <w:sz w:val="20"/>
                <w:szCs w:val="20"/>
              </w:rPr>
              <w:t>19%</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8EBA5" w14:textId="2CABBDA7" w:rsidR="00D64593" w:rsidRPr="00945E69" w:rsidRDefault="00D64593" w:rsidP="00D64593">
            <w:pPr>
              <w:jc w:val="center"/>
              <w:rPr>
                <w:rFonts w:ascii="Arial" w:hAnsi="Arial" w:cs="Arial"/>
                <w:i/>
                <w:sz w:val="20"/>
                <w:szCs w:val="20"/>
              </w:rPr>
            </w:pPr>
            <w:r w:rsidRPr="00945E69">
              <w:rPr>
                <w:rFonts w:ascii="Arial" w:hAnsi="Arial" w:cs="Arial"/>
                <w:i/>
                <w:sz w:val="20"/>
                <w:szCs w:val="20"/>
              </w:rPr>
              <w:t>20%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4DB7A" w14:textId="5397810A" w:rsidR="00D64593" w:rsidRPr="00945E69" w:rsidRDefault="00D64593" w:rsidP="00D64593">
            <w:pPr>
              <w:jc w:val="center"/>
              <w:rPr>
                <w:rFonts w:ascii="Arial" w:hAnsi="Arial" w:cs="Arial"/>
                <w:i/>
                <w:sz w:val="20"/>
                <w:szCs w:val="20"/>
              </w:rPr>
            </w:pPr>
            <w:r w:rsidRPr="00945E69">
              <w:rPr>
                <w:rFonts w:ascii="Arial" w:hAnsi="Arial" w:cs="Arial"/>
                <w:i/>
                <w:sz w:val="20"/>
                <w:szCs w:val="20"/>
              </w:rPr>
              <w:t>20%</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4BC8D" w14:textId="3D159081" w:rsidR="00D64593" w:rsidRPr="00945E69" w:rsidRDefault="00D64593" w:rsidP="00D64593">
            <w:pPr>
              <w:jc w:val="center"/>
              <w:rPr>
                <w:rFonts w:ascii="Arial" w:hAnsi="Arial" w:cs="Arial"/>
                <w:i/>
                <w:sz w:val="20"/>
                <w:szCs w:val="20"/>
              </w:rPr>
            </w:pPr>
          </w:p>
        </w:tc>
      </w:tr>
      <w:tr w:rsidR="00D64593" w:rsidRPr="006D3D09" w14:paraId="51CE03A2" w14:textId="77777777" w:rsidTr="00DF00EE">
        <w:trPr>
          <w:cantSplit/>
          <w:tblHeader/>
        </w:trPr>
        <w:tc>
          <w:tcPr>
            <w:tcW w:w="4765"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794BC6E7" w14:textId="77777777" w:rsidR="00D64593" w:rsidRPr="006D3D09" w:rsidRDefault="00D64593" w:rsidP="00D64593">
            <w:pPr>
              <w:jc w:val="center"/>
              <w:rPr>
                <w:rFonts w:ascii="Arial" w:hAnsi="Arial" w:cs="Arial"/>
                <w:b/>
                <w:bCs/>
                <w:color w:val="FFFFFF"/>
                <w:sz w:val="20"/>
                <w:szCs w:val="20"/>
              </w:rPr>
            </w:pPr>
            <w:r w:rsidRPr="006D3D09">
              <w:rPr>
                <w:rFonts w:ascii="Arial" w:hAnsi="Arial" w:cs="Arial"/>
                <w:b/>
                <w:bCs/>
                <w:color w:val="FFFFFF"/>
                <w:sz w:val="20"/>
                <w:szCs w:val="20"/>
              </w:rPr>
              <w:t>Performance Measure</w:t>
            </w:r>
          </w:p>
        </w:tc>
        <w:tc>
          <w:tcPr>
            <w:tcW w:w="929" w:type="dxa"/>
            <w:tcBorders>
              <w:top w:val="single" w:sz="4" w:space="0" w:color="auto"/>
              <w:left w:val="single" w:sz="4" w:space="0" w:color="auto"/>
              <w:bottom w:val="single" w:sz="4" w:space="0" w:color="auto"/>
              <w:right w:val="single" w:sz="4" w:space="0" w:color="auto"/>
            </w:tcBorders>
            <w:shd w:val="clear" w:color="auto" w:fill="000080"/>
            <w:vAlign w:val="bottom"/>
          </w:tcPr>
          <w:p w14:paraId="6B1A7EEE" w14:textId="6085C8DF" w:rsidR="00D64593" w:rsidRPr="006D3D09" w:rsidRDefault="00D64593" w:rsidP="00D64593">
            <w:pPr>
              <w:jc w:val="center"/>
              <w:rPr>
                <w:rFonts w:ascii="Arial" w:hAnsi="Arial" w:cs="Arial"/>
                <w:b/>
                <w:bCs/>
                <w:color w:val="FFFFFF"/>
                <w:sz w:val="20"/>
                <w:szCs w:val="20"/>
              </w:rPr>
            </w:pPr>
            <w:r w:rsidRPr="006D3D09">
              <w:rPr>
                <w:rFonts w:ascii="Arial" w:hAnsi="Arial" w:cs="Arial"/>
                <w:b/>
                <w:bCs/>
                <w:color w:val="FFFFFF"/>
                <w:sz w:val="20"/>
                <w:szCs w:val="20"/>
              </w:rPr>
              <w:t xml:space="preserve">FY </w:t>
            </w:r>
            <w:r>
              <w:rPr>
                <w:rFonts w:ascii="Arial" w:hAnsi="Arial" w:cs="Arial"/>
                <w:b/>
                <w:bCs/>
                <w:color w:val="FFFFFF"/>
                <w:sz w:val="20"/>
                <w:szCs w:val="20"/>
              </w:rPr>
              <w:t>2019</w:t>
            </w:r>
          </w:p>
        </w:tc>
        <w:tc>
          <w:tcPr>
            <w:tcW w:w="993" w:type="dxa"/>
            <w:gridSpan w:val="3"/>
            <w:tcBorders>
              <w:top w:val="single" w:sz="4" w:space="0" w:color="auto"/>
              <w:left w:val="single" w:sz="4" w:space="0" w:color="auto"/>
              <w:bottom w:val="single" w:sz="4" w:space="0" w:color="auto"/>
              <w:right w:val="single" w:sz="4" w:space="0" w:color="auto"/>
            </w:tcBorders>
            <w:shd w:val="clear" w:color="auto" w:fill="000080"/>
            <w:vAlign w:val="bottom"/>
          </w:tcPr>
          <w:p w14:paraId="728469C4" w14:textId="2CB09F0B" w:rsidR="00D64593" w:rsidRPr="006D3D09" w:rsidRDefault="00D64593" w:rsidP="00D64593">
            <w:pPr>
              <w:jc w:val="center"/>
              <w:rPr>
                <w:rFonts w:ascii="Arial" w:hAnsi="Arial" w:cs="Arial"/>
                <w:b/>
                <w:bCs/>
                <w:color w:val="FFFFFF"/>
                <w:sz w:val="20"/>
                <w:szCs w:val="20"/>
              </w:rPr>
            </w:pPr>
            <w:r>
              <w:rPr>
                <w:rFonts w:ascii="Arial" w:hAnsi="Arial" w:cs="Arial"/>
                <w:b/>
                <w:bCs/>
                <w:color w:val="FFFFFF"/>
                <w:sz w:val="20"/>
                <w:szCs w:val="20"/>
              </w:rPr>
              <w:t>FY 2020</w:t>
            </w:r>
          </w:p>
        </w:tc>
        <w:tc>
          <w:tcPr>
            <w:tcW w:w="1318" w:type="dxa"/>
            <w:tcBorders>
              <w:top w:val="single" w:sz="4" w:space="0" w:color="auto"/>
              <w:left w:val="single" w:sz="4" w:space="0" w:color="auto"/>
              <w:bottom w:val="single" w:sz="4" w:space="0" w:color="auto"/>
              <w:right w:val="single" w:sz="4" w:space="0" w:color="auto"/>
            </w:tcBorders>
            <w:shd w:val="clear" w:color="auto" w:fill="000080"/>
            <w:vAlign w:val="bottom"/>
          </w:tcPr>
          <w:p w14:paraId="5CDA8767" w14:textId="7F8A688D" w:rsidR="00D64593" w:rsidRPr="006D3D09" w:rsidRDefault="00D64593" w:rsidP="00D64593">
            <w:pPr>
              <w:jc w:val="center"/>
              <w:rPr>
                <w:rFonts w:ascii="Arial" w:hAnsi="Arial" w:cs="Arial"/>
                <w:b/>
                <w:bCs/>
                <w:color w:val="FFFFFF"/>
                <w:sz w:val="20"/>
                <w:szCs w:val="20"/>
              </w:rPr>
            </w:pPr>
            <w:r>
              <w:rPr>
                <w:rFonts w:ascii="Arial" w:hAnsi="Arial" w:cs="Arial"/>
                <w:b/>
                <w:bCs/>
                <w:color w:val="FFFFFF"/>
                <w:sz w:val="20"/>
                <w:szCs w:val="20"/>
              </w:rPr>
              <w:t>FY 2021</w:t>
            </w:r>
          </w:p>
        </w:tc>
        <w:tc>
          <w:tcPr>
            <w:tcW w:w="1080" w:type="dxa"/>
            <w:tcBorders>
              <w:top w:val="single" w:sz="4" w:space="0" w:color="auto"/>
              <w:left w:val="single" w:sz="4" w:space="0" w:color="auto"/>
              <w:bottom w:val="single" w:sz="4" w:space="0" w:color="auto"/>
              <w:right w:val="single" w:sz="4" w:space="0" w:color="auto"/>
            </w:tcBorders>
            <w:shd w:val="clear" w:color="auto" w:fill="000080"/>
            <w:vAlign w:val="bottom"/>
          </w:tcPr>
          <w:p w14:paraId="4689565B" w14:textId="60ADBBD8" w:rsidR="00D64593" w:rsidRPr="006D3D09" w:rsidRDefault="00D64593" w:rsidP="00D64593">
            <w:pPr>
              <w:jc w:val="center"/>
              <w:rPr>
                <w:rFonts w:ascii="Arial" w:hAnsi="Arial" w:cs="Arial"/>
                <w:b/>
                <w:bCs/>
                <w:color w:val="FFFFFF"/>
                <w:sz w:val="20"/>
                <w:szCs w:val="20"/>
              </w:rPr>
            </w:pPr>
            <w:r>
              <w:rPr>
                <w:rFonts w:ascii="Arial" w:hAnsi="Arial" w:cs="Arial"/>
                <w:b/>
                <w:bCs/>
                <w:color w:val="FFFFFF"/>
                <w:sz w:val="20"/>
                <w:szCs w:val="20"/>
              </w:rPr>
              <w:t>FY 2022</w:t>
            </w:r>
          </w:p>
        </w:tc>
        <w:tc>
          <w:tcPr>
            <w:tcW w:w="985" w:type="dxa"/>
            <w:tcBorders>
              <w:top w:val="single" w:sz="4" w:space="0" w:color="auto"/>
              <w:left w:val="single" w:sz="4" w:space="0" w:color="auto"/>
              <w:bottom w:val="single" w:sz="4" w:space="0" w:color="auto"/>
              <w:right w:val="single" w:sz="4" w:space="0" w:color="auto"/>
            </w:tcBorders>
            <w:shd w:val="clear" w:color="auto" w:fill="000080"/>
            <w:vAlign w:val="bottom"/>
          </w:tcPr>
          <w:p w14:paraId="1DC2B608" w14:textId="511EA60D" w:rsidR="00D64593" w:rsidRPr="006D3D09" w:rsidRDefault="00D64593" w:rsidP="00D64593">
            <w:pPr>
              <w:jc w:val="center"/>
              <w:rPr>
                <w:rFonts w:ascii="Arial" w:hAnsi="Arial" w:cs="Arial"/>
                <w:b/>
                <w:bCs/>
                <w:color w:val="FFFFFF"/>
                <w:sz w:val="20"/>
                <w:szCs w:val="20"/>
              </w:rPr>
            </w:pPr>
            <w:r>
              <w:rPr>
                <w:rFonts w:ascii="Arial" w:hAnsi="Arial" w:cs="Arial"/>
                <w:b/>
                <w:bCs/>
                <w:color w:val="FFFFFF"/>
                <w:sz w:val="20"/>
                <w:szCs w:val="20"/>
              </w:rPr>
              <w:t>FY 2023</w:t>
            </w:r>
          </w:p>
        </w:tc>
      </w:tr>
      <w:tr w:rsidR="00D64593" w:rsidRPr="00301088" w14:paraId="68CA7BC1" w14:textId="77777777" w:rsidTr="00B030F1">
        <w:trPr>
          <w:cantSplit/>
          <w:trHeight w:val="485"/>
        </w:trPr>
        <w:tc>
          <w:tcPr>
            <w:tcW w:w="3925" w:type="dxa"/>
            <w:vMerge w:val="restart"/>
            <w:tcBorders>
              <w:top w:val="single" w:sz="4" w:space="0" w:color="auto"/>
              <w:left w:val="single" w:sz="4" w:space="0" w:color="auto"/>
              <w:bottom w:val="single" w:sz="4" w:space="0" w:color="auto"/>
              <w:right w:val="single" w:sz="4" w:space="0" w:color="auto"/>
            </w:tcBorders>
            <w:hideMark/>
          </w:tcPr>
          <w:p w14:paraId="6947AA51" w14:textId="76F63A32" w:rsidR="00D64593" w:rsidRPr="00836CE3" w:rsidRDefault="00D64593" w:rsidP="00D64593">
            <w:pPr>
              <w:rPr>
                <w:rFonts w:ascii="Arial" w:hAnsi="Arial" w:cs="Arial"/>
                <w:bCs/>
                <w:sz w:val="20"/>
              </w:rPr>
            </w:pPr>
            <w:r>
              <w:br w:type="page"/>
            </w:r>
            <w:r>
              <w:br w:type="page"/>
            </w:r>
            <w:r>
              <w:rPr>
                <w:rFonts w:ascii="Arial" w:hAnsi="Arial" w:cs="Arial"/>
                <w:b/>
                <w:sz w:val="20"/>
                <w:szCs w:val="20"/>
              </w:rPr>
              <w:t xml:space="preserve">7.  </w:t>
            </w:r>
            <w:r w:rsidRPr="000E6862">
              <w:rPr>
                <w:rFonts w:ascii="Arial" w:hAnsi="Arial" w:cs="Arial"/>
                <w:sz w:val="20"/>
                <w:szCs w:val="20"/>
              </w:rPr>
              <w:t>Timely Degree IV - Number of unduplicated graduates. (FY 2025 = 1,998</w:t>
            </w:r>
            <w:proofErr w:type="gramStart"/>
            <w:r w:rsidRPr="000E6862">
              <w:rPr>
                <w:rFonts w:ascii="Arial" w:hAnsi="Arial" w:cs="Arial"/>
                <w:sz w:val="20"/>
                <w:szCs w:val="20"/>
              </w:rPr>
              <w:t xml:space="preserve">)  </w:t>
            </w:r>
            <w:r w:rsidRPr="000E6862">
              <w:rPr>
                <w:rFonts w:ascii="Arial" w:hAnsi="Arial" w:cs="Arial"/>
                <w:sz w:val="22"/>
                <w:szCs w:val="22"/>
                <w:vertAlign w:val="superscript"/>
              </w:rPr>
              <w:t>(</w:t>
            </w:r>
            <w:proofErr w:type="gramEnd"/>
            <w:r w:rsidRPr="000E6862">
              <w:rPr>
                <w:rFonts w:ascii="Arial" w:hAnsi="Arial" w:cs="Arial"/>
                <w:sz w:val="22"/>
                <w:szCs w:val="22"/>
                <w:vertAlign w:val="superscript"/>
              </w:rPr>
              <w:t xml:space="preserve">SBOE system-wide Strategic Plan Measure) </w:t>
            </w:r>
            <w:r>
              <w:rPr>
                <w:rFonts w:ascii="Arial" w:hAnsi="Arial" w:cs="Arial"/>
                <w:sz w:val="22"/>
                <w:szCs w:val="22"/>
                <w:vertAlign w:val="superscript"/>
              </w:rPr>
              <w:t>6</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5DC21C" w14:textId="77777777" w:rsidR="00D64593" w:rsidRPr="00301088" w:rsidRDefault="00D64593" w:rsidP="00D64593">
            <w:pPr>
              <w:jc w:val="center"/>
              <w:rPr>
                <w:rFonts w:ascii="Arial" w:hAnsi="Arial" w:cs="Arial"/>
                <w:sz w:val="20"/>
              </w:rPr>
            </w:pPr>
            <w:r w:rsidRPr="00301088">
              <w:rPr>
                <w:rFonts w:ascii="Arial" w:hAnsi="Arial" w:cs="Arial"/>
                <w:sz w:val="20"/>
              </w:rPr>
              <w:t>actual</w:t>
            </w:r>
          </w:p>
        </w:tc>
        <w:tc>
          <w:tcPr>
            <w:tcW w:w="985"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0ECA077" w14:textId="15082BA3" w:rsidR="00D64593" w:rsidRPr="00301088" w:rsidRDefault="00D64593" w:rsidP="00D64593">
            <w:pPr>
              <w:jc w:val="center"/>
              <w:rPr>
                <w:rFonts w:ascii="Arial" w:hAnsi="Arial" w:cs="Arial"/>
                <w:sz w:val="20"/>
                <w:szCs w:val="20"/>
              </w:rPr>
            </w:pPr>
            <w:r>
              <w:rPr>
                <w:rFonts w:ascii="Arial" w:hAnsi="Arial" w:cs="Arial"/>
                <w:sz w:val="20"/>
              </w:rPr>
              <w:t>1,867</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D4A51C" w14:textId="757EDAD0" w:rsidR="00D64593" w:rsidRPr="00301088" w:rsidRDefault="00D64593" w:rsidP="00D64593">
            <w:pPr>
              <w:jc w:val="center"/>
              <w:rPr>
                <w:rFonts w:ascii="Arial" w:hAnsi="Arial" w:cs="Arial"/>
                <w:sz w:val="20"/>
              </w:rPr>
            </w:pPr>
            <w:r>
              <w:rPr>
                <w:rFonts w:ascii="Arial" w:hAnsi="Arial" w:cs="Arial"/>
                <w:sz w:val="20"/>
              </w:rPr>
              <w:t>1,739</w:t>
            </w:r>
          </w:p>
        </w:tc>
        <w:tc>
          <w:tcPr>
            <w:tcW w:w="1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CEFFA2" w14:textId="1E9D4C29" w:rsidR="00D64593" w:rsidRPr="00301088" w:rsidRDefault="00D64593" w:rsidP="00D64593">
            <w:pPr>
              <w:jc w:val="center"/>
              <w:rPr>
                <w:rFonts w:ascii="Arial" w:hAnsi="Arial" w:cs="Arial"/>
                <w:sz w:val="20"/>
              </w:rPr>
            </w:pPr>
            <w:r>
              <w:rPr>
                <w:rFonts w:ascii="Arial" w:hAnsi="Arial" w:cs="Arial"/>
                <w:sz w:val="20"/>
              </w:rPr>
              <w:t>2,008</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1C93D" w14:textId="137F7845" w:rsidR="00D64593" w:rsidRPr="00301088" w:rsidRDefault="00D64593" w:rsidP="00D64593">
            <w:pPr>
              <w:jc w:val="center"/>
              <w:rPr>
                <w:rFonts w:ascii="Arial" w:hAnsi="Arial" w:cs="Arial"/>
                <w:sz w:val="20"/>
              </w:rPr>
            </w:pPr>
            <w:r w:rsidRPr="00301088">
              <w:rPr>
                <w:rFonts w:ascii="Arial" w:hAnsi="Arial" w:cs="Arial"/>
                <w:sz w:val="20"/>
              </w:rPr>
              <w:t>----------</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01E567" w14:textId="1B7588F9" w:rsidR="00D64593" w:rsidRPr="00301088" w:rsidRDefault="00D64593" w:rsidP="00D64593">
            <w:pPr>
              <w:jc w:val="center"/>
              <w:rPr>
                <w:rFonts w:ascii="Arial" w:hAnsi="Arial" w:cs="Arial"/>
                <w:sz w:val="20"/>
              </w:rPr>
            </w:pPr>
          </w:p>
        </w:tc>
      </w:tr>
      <w:tr w:rsidR="00D64593" w:rsidRPr="00301088" w14:paraId="58A93A19" w14:textId="77777777" w:rsidTr="001D768B">
        <w:trPr>
          <w:cantSplit/>
          <w:trHeight w:val="368"/>
        </w:trPr>
        <w:tc>
          <w:tcPr>
            <w:tcW w:w="3925" w:type="dxa"/>
            <w:vMerge/>
            <w:tcBorders>
              <w:top w:val="single" w:sz="4" w:space="0" w:color="auto"/>
              <w:left w:val="single" w:sz="4" w:space="0" w:color="auto"/>
              <w:bottom w:val="single" w:sz="4" w:space="0" w:color="auto"/>
              <w:right w:val="single" w:sz="4" w:space="0" w:color="auto"/>
            </w:tcBorders>
          </w:tcPr>
          <w:p w14:paraId="7F86EA57" w14:textId="77777777" w:rsidR="00D64593" w:rsidRDefault="00D64593" w:rsidP="00D64593">
            <w:pPr>
              <w:rPr>
                <w:rFonts w:ascii="Arial" w:hAnsi="Arial" w:cs="Arial"/>
                <w:b/>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5D8FC85" w14:textId="6882DFCA" w:rsidR="00D64593" w:rsidRPr="00BD332C" w:rsidRDefault="00D64593" w:rsidP="00D64593">
            <w:pPr>
              <w:rPr>
                <w:rFonts w:ascii="Arial" w:hAnsi="Arial" w:cs="Arial"/>
                <w:sz w:val="14"/>
                <w:szCs w:val="14"/>
              </w:rPr>
            </w:pPr>
            <w:r w:rsidRPr="00120EAB">
              <w:rPr>
                <w:rFonts w:ascii="Arial" w:hAnsi="Arial" w:cs="Arial"/>
                <w:sz w:val="14"/>
                <w:szCs w:val="14"/>
              </w:rPr>
              <w:t>Certificates of less than 1 academic year</w:t>
            </w:r>
          </w:p>
        </w:tc>
        <w:tc>
          <w:tcPr>
            <w:tcW w:w="985" w:type="dxa"/>
            <w:gridSpan w:val="2"/>
            <w:tcBorders>
              <w:top w:val="single" w:sz="4" w:space="0" w:color="auto"/>
              <w:left w:val="nil"/>
              <w:bottom w:val="single" w:sz="4" w:space="0" w:color="auto"/>
              <w:right w:val="single" w:sz="4" w:space="0" w:color="auto"/>
            </w:tcBorders>
            <w:shd w:val="clear" w:color="auto" w:fill="auto"/>
            <w:vAlign w:val="bottom"/>
          </w:tcPr>
          <w:p w14:paraId="205C7055" w14:textId="1C35AB76" w:rsidR="00D64593" w:rsidRPr="00821614" w:rsidRDefault="00D64593" w:rsidP="00D64593">
            <w:pPr>
              <w:jc w:val="center"/>
              <w:rPr>
                <w:rFonts w:ascii="Arial" w:hAnsi="Arial" w:cs="Arial"/>
                <w:sz w:val="20"/>
                <w:szCs w:val="20"/>
              </w:rPr>
            </w:pPr>
            <w:r>
              <w:rPr>
                <w:rFonts w:ascii="Arial" w:hAnsi="Arial" w:cs="Arial"/>
                <w:sz w:val="20"/>
                <w:szCs w:val="20"/>
              </w:rPr>
              <w:t>28</w:t>
            </w:r>
          </w:p>
        </w:tc>
        <w:tc>
          <w:tcPr>
            <w:tcW w:w="904" w:type="dxa"/>
            <w:tcBorders>
              <w:top w:val="single" w:sz="4" w:space="0" w:color="auto"/>
              <w:left w:val="single" w:sz="4" w:space="0" w:color="auto"/>
              <w:bottom w:val="single" w:sz="4" w:space="0" w:color="auto"/>
              <w:right w:val="single" w:sz="4" w:space="0" w:color="auto"/>
            </w:tcBorders>
            <w:shd w:val="clear" w:color="auto" w:fill="auto"/>
            <w:vAlign w:val="bottom"/>
          </w:tcPr>
          <w:p w14:paraId="154E23A8" w14:textId="51FF90C7" w:rsidR="00D64593" w:rsidRPr="00821614" w:rsidRDefault="00D64593" w:rsidP="00D64593">
            <w:pPr>
              <w:jc w:val="center"/>
              <w:rPr>
                <w:rFonts w:ascii="Arial" w:hAnsi="Arial" w:cs="Arial"/>
                <w:sz w:val="20"/>
                <w:szCs w:val="20"/>
              </w:rPr>
            </w:pPr>
            <w:r>
              <w:rPr>
                <w:rFonts w:ascii="Arial" w:hAnsi="Arial" w:cs="Arial"/>
                <w:sz w:val="20"/>
                <w:szCs w:val="20"/>
              </w:rPr>
              <w:t>6</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BA8F0A" w14:textId="54620400" w:rsidR="00D64593" w:rsidRPr="00821614" w:rsidRDefault="00D64593" w:rsidP="00D64593">
            <w:pPr>
              <w:jc w:val="center"/>
              <w:rPr>
                <w:rFonts w:ascii="Arial" w:hAnsi="Arial" w:cs="Arial"/>
                <w:sz w:val="20"/>
                <w:szCs w:val="20"/>
              </w:rPr>
            </w:pPr>
            <w:r>
              <w:rPr>
                <w:rFonts w:ascii="Arial" w:hAnsi="Arial" w:cs="Arial"/>
                <w:sz w:val="20"/>
                <w:szCs w:val="20"/>
              </w:rPr>
              <w:t>4</w:t>
            </w:r>
          </w:p>
        </w:tc>
        <w:tc>
          <w:tcPr>
            <w:tcW w:w="1080" w:type="dxa"/>
            <w:tcBorders>
              <w:top w:val="single" w:sz="4" w:space="0" w:color="auto"/>
              <w:left w:val="single" w:sz="4" w:space="0" w:color="auto"/>
              <w:bottom w:val="single" w:sz="4" w:space="0" w:color="auto"/>
              <w:right w:val="nil"/>
            </w:tcBorders>
            <w:shd w:val="clear" w:color="auto" w:fill="auto"/>
            <w:vAlign w:val="center"/>
          </w:tcPr>
          <w:p w14:paraId="1D0E5684" w14:textId="4F404872" w:rsidR="00D64593" w:rsidRPr="00821614" w:rsidRDefault="00D64593" w:rsidP="00D64593">
            <w:pPr>
              <w:jc w:val="center"/>
              <w:rPr>
                <w:rFonts w:ascii="Arial" w:hAnsi="Arial" w:cs="Arial"/>
                <w:sz w:val="20"/>
                <w:szCs w:val="20"/>
              </w:rPr>
            </w:pPr>
            <w:r w:rsidRPr="006D3D0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4A19BE60" w14:textId="2900D831" w:rsidR="00D64593" w:rsidRPr="00301088" w:rsidRDefault="00D64593" w:rsidP="00D64593">
            <w:pPr>
              <w:jc w:val="center"/>
              <w:rPr>
                <w:rFonts w:ascii="Arial" w:hAnsi="Arial" w:cs="Arial"/>
                <w:sz w:val="20"/>
              </w:rPr>
            </w:pPr>
          </w:p>
        </w:tc>
      </w:tr>
      <w:tr w:rsidR="00D64593" w:rsidRPr="00301088" w14:paraId="68BED677" w14:textId="77777777" w:rsidTr="001D768B">
        <w:trPr>
          <w:cantSplit/>
          <w:trHeight w:val="368"/>
        </w:trPr>
        <w:tc>
          <w:tcPr>
            <w:tcW w:w="3925" w:type="dxa"/>
            <w:vMerge/>
            <w:tcBorders>
              <w:top w:val="single" w:sz="4" w:space="0" w:color="auto"/>
              <w:left w:val="single" w:sz="4" w:space="0" w:color="auto"/>
              <w:bottom w:val="single" w:sz="4" w:space="0" w:color="auto"/>
              <w:right w:val="single" w:sz="4" w:space="0" w:color="auto"/>
            </w:tcBorders>
          </w:tcPr>
          <w:p w14:paraId="6F26A706" w14:textId="77777777" w:rsidR="00D64593" w:rsidRDefault="00D64593" w:rsidP="00D64593">
            <w:pPr>
              <w:rPr>
                <w:rFonts w:ascii="Arial" w:hAnsi="Arial" w:cs="Arial"/>
                <w:b/>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8E27822" w14:textId="7FD039BF" w:rsidR="00D64593" w:rsidRPr="00BD332C" w:rsidRDefault="00D64593" w:rsidP="00D64593">
            <w:pPr>
              <w:rPr>
                <w:rFonts w:ascii="Arial" w:hAnsi="Arial" w:cs="Arial"/>
                <w:sz w:val="14"/>
                <w:szCs w:val="14"/>
              </w:rPr>
            </w:pPr>
            <w:r w:rsidRPr="00120EAB">
              <w:rPr>
                <w:rFonts w:ascii="Arial" w:hAnsi="Arial" w:cs="Arial"/>
                <w:sz w:val="14"/>
                <w:szCs w:val="14"/>
              </w:rPr>
              <w:t xml:space="preserve">Certificates of 1 academic year or more </w:t>
            </w:r>
          </w:p>
        </w:tc>
        <w:tc>
          <w:tcPr>
            <w:tcW w:w="985" w:type="dxa"/>
            <w:gridSpan w:val="2"/>
            <w:tcBorders>
              <w:top w:val="single" w:sz="4" w:space="0" w:color="auto"/>
              <w:left w:val="nil"/>
              <w:bottom w:val="single" w:sz="4" w:space="0" w:color="auto"/>
              <w:right w:val="single" w:sz="4" w:space="0" w:color="auto"/>
            </w:tcBorders>
            <w:shd w:val="clear" w:color="auto" w:fill="auto"/>
            <w:vAlign w:val="bottom"/>
          </w:tcPr>
          <w:p w14:paraId="63277A01" w14:textId="70280C16" w:rsidR="00D64593" w:rsidRPr="00821614" w:rsidRDefault="00D64593" w:rsidP="00D64593">
            <w:pPr>
              <w:jc w:val="center"/>
              <w:rPr>
                <w:rFonts w:ascii="Arial" w:hAnsi="Arial" w:cs="Arial"/>
                <w:sz w:val="20"/>
                <w:szCs w:val="20"/>
              </w:rPr>
            </w:pPr>
            <w:r>
              <w:rPr>
                <w:rFonts w:ascii="Arial" w:hAnsi="Arial" w:cs="Arial"/>
                <w:sz w:val="20"/>
                <w:szCs w:val="20"/>
              </w:rPr>
              <w:t>238</w:t>
            </w:r>
          </w:p>
        </w:tc>
        <w:tc>
          <w:tcPr>
            <w:tcW w:w="904" w:type="dxa"/>
            <w:tcBorders>
              <w:top w:val="single" w:sz="4" w:space="0" w:color="auto"/>
              <w:left w:val="single" w:sz="4" w:space="0" w:color="auto"/>
              <w:bottom w:val="single" w:sz="4" w:space="0" w:color="auto"/>
              <w:right w:val="single" w:sz="4" w:space="0" w:color="auto"/>
            </w:tcBorders>
            <w:shd w:val="clear" w:color="auto" w:fill="auto"/>
            <w:vAlign w:val="bottom"/>
          </w:tcPr>
          <w:p w14:paraId="7C806767" w14:textId="4B649D8E" w:rsidR="00D64593" w:rsidRPr="00821614" w:rsidRDefault="00D64593" w:rsidP="00D64593">
            <w:pPr>
              <w:jc w:val="center"/>
              <w:rPr>
                <w:rFonts w:ascii="Arial" w:hAnsi="Arial" w:cs="Arial"/>
                <w:sz w:val="20"/>
                <w:szCs w:val="20"/>
              </w:rPr>
            </w:pPr>
            <w:r>
              <w:rPr>
                <w:rFonts w:ascii="Arial" w:hAnsi="Arial" w:cs="Arial"/>
                <w:sz w:val="20"/>
                <w:szCs w:val="20"/>
              </w:rPr>
              <w:t>218</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0BE1F6" w14:textId="6DFD2A46" w:rsidR="00D64593" w:rsidRPr="00821614" w:rsidRDefault="00D64593" w:rsidP="00D64593">
            <w:pPr>
              <w:jc w:val="center"/>
              <w:rPr>
                <w:rFonts w:ascii="Arial" w:hAnsi="Arial" w:cs="Arial"/>
                <w:sz w:val="20"/>
                <w:szCs w:val="20"/>
              </w:rPr>
            </w:pPr>
            <w:r>
              <w:rPr>
                <w:rFonts w:ascii="Arial" w:hAnsi="Arial" w:cs="Arial"/>
                <w:sz w:val="20"/>
                <w:szCs w:val="20"/>
              </w:rPr>
              <w:t>288</w:t>
            </w:r>
          </w:p>
        </w:tc>
        <w:tc>
          <w:tcPr>
            <w:tcW w:w="1080" w:type="dxa"/>
            <w:tcBorders>
              <w:top w:val="single" w:sz="4" w:space="0" w:color="auto"/>
              <w:left w:val="single" w:sz="4" w:space="0" w:color="auto"/>
              <w:bottom w:val="single" w:sz="4" w:space="0" w:color="auto"/>
              <w:right w:val="nil"/>
            </w:tcBorders>
            <w:shd w:val="clear" w:color="auto" w:fill="auto"/>
            <w:vAlign w:val="center"/>
          </w:tcPr>
          <w:p w14:paraId="13E88AD6" w14:textId="244BA988" w:rsidR="00D64593" w:rsidRPr="00821614" w:rsidRDefault="00D64593" w:rsidP="00D64593">
            <w:pPr>
              <w:jc w:val="center"/>
              <w:rPr>
                <w:rFonts w:ascii="Arial" w:hAnsi="Arial" w:cs="Arial"/>
                <w:sz w:val="20"/>
                <w:szCs w:val="20"/>
              </w:rPr>
            </w:pPr>
            <w:r w:rsidRPr="006D3D0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5B22FFDE" w14:textId="611D81A0" w:rsidR="00D64593" w:rsidRPr="00301088" w:rsidRDefault="00D64593" w:rsidP="00D64593">
            <w:pPr>
              <w:jc w:val="center"/>
              <w:rPr>
                <w:rFonts w:ascii="Arial" w:hAnsi="Arial" w:cs="Arial"/>
                <w:sz w:val="20"/>
              </w:rPr>
            </w:pPr>
          </w:p>
        </w:tc>
      </w:tr>
      <w:tr w:rsidR="00D64593" w:rsidRPr="00301088" w14:paraId="16BA8657" w14:textId="77777777" w:rsidTr="001D768B">
        <w:trPr>
          <w:cantSplit/>
          <w:trHeight w:val="368"/>
        </w:trPr>
        <w:tc>
          <w:tcPr>
            <w:tcW w:w="3925" w:type="dxa"/>
            <w:vMerge/>
            <w:tcBorders>
              <w:top w:val="single" w:sz="4" w:space="0" w:color="auto"/>
              <w:left w:val="single" w:sz="4" w:space="0" w:color="auto"/>
              <w:bottom w:val="single" w:sz="4" w:space="0" w:color="auto"/>
              <w:right w:val="single" w:sz="4" w:space="0" w:color="auto"/>
            </w:tcBorders>
          </w:tcPr>
          <w:p w14:paraId="7C3685DE" w14:textId="77777777" w:rsidR="00D64593" w:rsidRDefault="00D64593" w:rsidP="00D64593">
            <w:pPr>
              <w:rPr>
                <w:rFonts w:ascii="Arial" w:hAnsi="Arial" w:cs="Arial"/>
                <w:b/>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2BA9267" w14:textId="72444DC5" w:rsidR="00D64593" w:rsidRPr="00BD332C" w:rsidRDefault="00D64593" w:rsidP="00D64593">
            <w:pPr>
              <w:rPr>
                <w:rFonts w:ascii="Arial" w:hAnsi="Arial" w:cs="Arial"/>
                <w:sz w:val="14"/>
                <w:szCs w:val="14"/>
              </w:rPr>
            </w:pPr>
            <w:r w:rsidRPr="00BD332C">
              <w:rPr>
                <w:rFonts w:ascii="Arial" w:hAnsi="Arial" w:cs="Arial"/>
                <w:sz w:val="14"/>
                <w:szCs w:val="14"/>
              </w:rPr>
              <w:t>Associate</w:t>
            </w:r>
          </w:p>
        </w:tc>
        <w:tc>
          <w:tcPr>
            <w:tcW w:w="985" w:type="dxa"/>
            <w:gridSpan w:val="2"/>
            <w:tcBorders>
              <w:top w:val="single" w:sz="4" w:space="0" w:color="auto"/>
              <w:left w:val="nil"/>
              <w:bottom w:val="single" w:sz="4" w:space="0" w:color="auto"/>
              <w:right w:val="single" w:sz="4" w:space="0" w:color="auto"/>
            </w:tcBorders>
            <w:shd w:val="clear" w:color="auto" w:fill="auto"/>
            <w:vAlign w:val="bottom"/>
          </w:tcPr>
          <w:p w14:paraId="5A8F63E4" w14:textId="05B381AE" w:rsidR="00D64593" w:rsidRPr="00821614" w:rsidRDefault="00D64593" w:rsidP="00D64593">
            <w:pPr>
              <w:jc w:val="center"/>
              <w:rPr>
                <w:rFonts w:ascii="Arial" w:hAnsi="Arial" w:cs="Arial"/>
                <w:sz w:val="20"/>
                <w:szCs w:val="20"/>
              </w:rPr>
            </w:pPr>
            <w:r>
              <w:rPr>
                <w:rFonts w:ascii="Arial" w:hAnsi="Arial" w:cs="Arial"/>
                <w:sz w:val="20"/>
                <w:szCs w:val="20"/>
              </w:rPr>
              <w:t>427</w:t>
            </w:r>
          </w:p>
        </w:tc>
        <w:tc>
          <w:tcPr>
            <w:tcW w:w="904" w:type="dxa"/>
            <w:tcBorders>
              <w:top w:val="single" w:sz="4" w:space="0" w:color="auto"/>
              <w:left w:val="single" w:sz="4" w:space="0" w:color="auto"/>
              <w:bottom w:val="single" w:sz="4" w:space="0" w:color="auto"/>
              <w:right w:val="single" w:sz="4" w:space="0" w:color="auto"/>
            </w:tcBorders>
            <w:shd w:val="clear" w:color="auto" w:fill="auto"/>
            <w:vAlign w:val="bottom"/>
          </w:tcPr>
          <w:p w14:paraId="49F7FFF0" w14:textId="52829753" w:rsidR="00D64593" w:rsidRPr="00821614" w:rsidRDefault="00D64593" w:rsidP="00D64593">
            <w:pPr>
              <w:jc w:val="center"/>
              <w:rPr>
                <w:rFonts w:ascii="Arial" w:hAnsi="Arial" w:cs="Arial"/>
                <w:sz w:val="20"/>
                <w:szCs w:val="20"/>
              </w:rPr>
            </w:pPr>
            <w:r>
              <w:rPr>
                <w:rFonts w:ascii="Arial" w:hAnsi="Arial" w:cs="Arial"/>
                <w:sz w:val="20"/>
                <w:szCs w:val="20"/>
              </w:rPr>
              <w:t>411</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22796C" w14:textId="76F41DF2" w:rsidR="00D64593" w:rsidRPr="00821614" w:rsidRDefault="00D64593" w:rsidP="00D64593">
            <w:pPr>
              <w:jc w:val="center"/>
              <w:rPr>
                <w:rFonts w:ascii="Arial" w:hAnsi="Arial" w:cs="Arial"/>
                <w:sz w:val="20"/>
                <w:szCs w:val="20"/>
              </w:rPr>
            </w:pPr>
            <w:r>
              <w:rPr>
                <w:rFonts w:ascii="Arial" w:hAnsi="Arial" w:cs="Arial"/>
                <w:sz w:val="20"/>
                <w:szCs w:val="20"/>
              </w:rPr>
              <w:t>489</w:t>
            </w:r>
          </w:p>
        </w:tc>
        <w:tc>
          <w:tcPr>
            <w:tcW w:w="1080" w:type="dxa"/>
            <w:tcBorders>
              <w:top w:val="single" w:sz="4" w:space="0" w:color="auto"/>
              <w:left w:val="single" w:sz="4" w:space="0" w:color="auto"/>
              <w:bottom w:val="single" w:sz="4" w:space="0" w:color="auto"/>
              <w:right w:val="nil"/>
            </w:tcBorders>
            <w:shd w:val="clear" w:color="auto" w:fill="auto"/>
            <w:vAlign w:val="center"/>
          </w:tcPr>
          <w:p w14:paraId="2798F8E8" w14:textId="0E2DC21B" w:rsidR="00D64593" w:rsidRPr="00821614" w:rsidRDefault="00D64593" w:rsidP="00D64593">
            <w:pPr>
              <w:jc w:val="center"/>
              <w:rPr>
                <w:rFonts w:ascii="Arial" w:hAnsi="Arial" w:cs="Arial"/>
                <w:sz w:val="20"/>
                <w:szCs w:val="20"/>
              </w:rPr>
            </w:pPr>
            <w:r w:rsidRPr="006D3D0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2919980" w14:textId="7EF533DA" w:rsidR="00D64593" w:rsidRPr="00301088" w:rsidRDefault="00D64593" w:rsidP="00D64593">
            <w:pPr>
              <w:jc w:val="center"/>
              <w:rPr>
                <w:rFonts w:ascii="Arial" w:hAnsi="Arial" w:cs="Arial"/>
                <w:sz w:val="20"/>
              </w:rPr>
            </w:pPr>
          </w:p>
        </w:tc>
      </w:tr>
      <w:tr w:rsidR="00D64593" w:rsidRPr="00301088" w14:paraId="169451C3" w14:textId="77777777" w:rsidTr="001D768B">
        <w:trPr>
          <w:cantSplit/>
          <w:trHeight w:val="368"/>
        </w:trPr>
        <w:tc>
          <w:tcPr>
            <w:tcW w:w="3925" w:type="dxa"/>
            <w:vMerge/>
            <w:tcBorders>
              <w:top w:val="single" w:sz="4" w:space="0" w:color="auto"/>
              <w:left w:val="single" w:sz="4" w:space="0" w:color="auto"/>
              <w:bottom w:val="single" w:sz="4" w:space="0" w:color="auto"/>
              <w:right w:val="single" w:sz="4" w:space="0" w:color="auto"/>
            </w:tcBorders>
          </w:tcPr>
          <w:p w14:paraId="6A765054" w14:textId="77777777" w:rsidR="00D64593" w:rsidRDefault="00D64593" w:rsidP="00D64593">
            <w:pPr>
              <w:rPr>
                <w:rFonts w:ascii="Arial" w:hAnsi="Arial" w:cs="Arial"/>
                <w:b/>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7F4A777" w14:textId="4168624C" w:rsidR="00D64593" w:rsidRPr="00BD332C" w:rsidRDefault="00D64593" w:rsidP="00D64593">
            <w:pPr>
              <w:rPr>
                <w:rFonts w:ascii="Arial" w:hAnsi="Arial" w:cs="Arial"/>
                <w:sz w:val="14"/>
                <w:szCs w:val="14"/>
              </w:rPr>
            </w:pPr>
            <w:r w:rsidRPr="00BD332C">
              <w:rPr>
                <w:rFonts w:ascii="Arial" w:hAnsi="Arial" w:cs="Arial"/>
                <w:sz w:val="14"/>
                <w:szCs w:val="14"/>
              </w:rPr>
              <w:t>Bachelor</w:t>
            </w:r>
          </w:p>
        </w:tc>
        <w:tc>
          <w:tcPr>
            <w:tcW w:w="985" w:type="dxa"/>
            <w:gridSpan w:val="2"/>
            <w:tcBorders>
              <w:top w:val="single" w:sz="4" w:space="0" w:color="auto"/>
              <w:left w:val="nil"/>
              <w:bottom w:val="single" w:sz="4" w:space="0" w:color="auto"/>
              <w:right w:val="single" w:sz="4" w:space="0" w:color="auto"/>
            </w:tcBorders>
            <w:shd w:val="clear" w:color="auto" w:fill="auto"/>
            <w:vAlign w:val="bottom"/>
          </w:tcPr>
          <w:p w14:paraId="5FC97139" w14:textId="0C7C3C96" w:rsidR="00D64593" w:rsidRPr="00821614" w:rsidRDefault="00D64593" w:rsidP="00D64593">
            <w:pPr>
              <w:jc w:val="center"/>
              <w:rPr>
                <w:rFonts w:ascii="Arial" w:hAnsi="Arial" w:cs="Arial"/>
                <w:sz w:val="20"/>
                <w:szCs w:val="20"/>
              </w:rPr>
            </w:pPr>
            <w:r>
              <w:rPr>
                <w:rFonts w:ascii="Arial" w:hAnsi="Arial" w:cs="Arial"/>
                <w:sz w:val="20"/>
                <w:szCs w:val="20"/>
              </w:rPr>
              <w:t>1,174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bottom"/>
          </w:tcPr>
          <w:p w14:paraId="4E096E40" w14:textId="152CF181" w:rsidR="00D64593" w:rsidRPr="00821614" w:rsidRDefault="00D64593" w:rsidP="00D64593">
            <w:pPr>
              <w:jc w:val="center"/>
              <w:rPr>
                <w:rFonts w:ascii="Arial" w:hAnsi="Arial" w:cs="Arial"/>
                <w:sz w:val="20"/>
                <w:szCs w:val="20"/>
              </w:rPr>
            </w:pPr>
            <w:r>
              <w:rPr>
                <w:rFonts w:ascii="Arial" w:hAnsi="Arial" w:cs="Arial"/>
                <w:sz w:val="20"/>
                <w:szCs w:val="20"/>
              </w:rPr>
              <w:t>1,104</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D75F38" w14:textId="78399F60" w:rsidR="00D64593" w:rsidRPr="00821614" w:rsidRDefault="00D64593" w:rsidP="00D64593">
            <w:pPr>
              <w:jc w:val="center"/>
              <w:rPr>
                <w:rFonts w:ascii="Arial" w:hAnsi="Arial" w:cs="Arial"/>
                <w:sz w:val="20"/>
                <w:szCs w:val="20"/>
              </w:rPr>
            </w:pPr>
            <w:r>
              <w:rPr>
                <w:rFonts w:ascii="Arial" w:hAnsi="Arial" w:cs="Arial"/>
                <w:sz w:val="20"/>
                <w:szCs w:val="20"/>
              </w:rPr>
              <w:t>1,227</w:t>
            </w:r>
          </w:p>
        </w:tc>
        <w:tc>
          <w:tcPr>
            <w:tcW w:w="1080" w:type="dxa"/>
            <w:tcBorders>
              <w:top w:val="single" w:sz="4" w:space="0" w:color="auto"/>
              <w:left w:val="single" w:sz="4" w:space="0" w:color="auto"/>
              <w:bottom w:val="single" w:sz="4" w:space="0" w:color="auto"/>
              <w:right w:val="nil"/>
            </w:tcBorders>
            <w:shd w:val="clear" w:color="auto" w:fill="auto"/>
            <w:vAlign w:val="center"/>
          </w:tcPr>
          <w:p w14:paraId="136CDC9C" w14:textId="55A42AF2" w:rsidR="00D64593" w:rsidRPr="00821614" w:rsidRDefault="00D64593" w:rsidP="00D64593">
            <w:pPr>
              <w:jc w:val="center"/>
              <w:rPr>
                <w:rFonts w:ascii="Arial" w:hAnsi="Arial" w:cs="Arial"/>
                <w:sz w:val="20"/>
                <w:szCs w:val="20"/>
              </w:rPr>
            </w:pPr>
            <w:r w:rsidRPr="006D3D09">
              <w:rPr>
                <w:rFonts w:ascii="Arial" w:hAnsi="Arial" w:cs="Arial"/>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52580A69" w14:textId="4E529BF4" w:rsidR="00D64593" w:rsidRPr="00301088" w:rsidRDefault="00D64593" w:rsidP="00D64593">
            <w:pPr>
              <w:jc w:val="center"/>
              <w:rPr>
                <w:rFonts w:ascii="Arial" w:hAnsi="Arial" w:cs="Arial"/>
                <w:sz w:val="20"/>
              </w:rPr>
            </w:pPr>
          </w:p>
        </w:tc>
      </w:tr>
      <w:tr w:rsidR="00D64593" w:rsidRPr="00301088" w14:paraId="2E81E60B" w14:textId="77777777" w:rsidTr="00B030F1">
        <w:trPr>
          <w:cantSplit/>
          <w:trHeight w:val="288"/>
        </w:trPr>
        <w:tc>
          <w:tcPr>
            <w:tcW w:w="3925" w:type="dxa"/>
            <w:vMerge/>
            <w:tcBorders>
              <w:top w:val="single" w:sz="4" w:space="0" w:color="auto"/>
              <w:left w:val="single" w:sz="4" w:space="0" w:color="auto"/>
              <w:bottom w:val="single" w:sz="4" w:space="0" w:color="auto"/>
              <w:right w:val="single" w:sz="4" w:space="0" w:color="auto"/>
            </w:tcBorders>
            <w:vAlign w:val="center"/>
            <w:hideMark/>
          </w:tcPr>
          <w:p w14:paraId="472B5ADD" w14:textId="77777777" w:rsidR="00D64593" w:rsidRPr="00301088" w:rsidRDefault="00D64593" w:rsidP="00D64593">
            <w:pPr>
              <w:rPr>
                <w:rFonts w:ascii="Arial" w:hAnsi="Arial" w:cs="Arial"/>
                <w:bCs/>
                <w:color w:val="993366"/>
                <w:sz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499AFD" w14:textId="77777777" w:rsidR="00D64593" w:rsidRPr="00301088" w:rsidRDefault="00D64593" w:rsidP="00D64593">
            <w:pPr>
              <w:jc w:val="center"/>
              <w:rPr>
                <w:rFonts w:ascii="Arial" w:hAnsi="Arial" w:cs="Arial"/>
                <w:sz w:val="20"/>
              </w:rPr>
            </w:pPr>
            <w:r>
              <w:rPr>
                <w:rFonts w:ascii="Arial" w:hAnsi="Arial" w:cs="Arial"/>
                <w:i/>
                <w:sz w:val="16"/>
                <w:szCs w:val="16"/>
              </w:rPr>
              <w:t>target</w:t>
            </w:r>
          </w:p>
        </w:tc>
        <w:tc>
          <w:tcPr>
            <w:tcW w:w="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BB96B" w14:textId="16107689" w:rsidR="00D64593" w:rsidRPr="00945E69" w:rsidRDefault="00D64593" w:rsidP="00D64593">
            <w:pPr>
              <w:jc w:val="center"/>
              <w:rPr>
                <w:rFonts w:ascii="Arial" w:hAnsi="Arial" w:cs="Arial"/>
                <w:i/>
                <w:sz w:val="20"/>
                <w:szCs w:val="20"/>
              </w:rPr>
            </w:pPr>
            <w:r w:rsidRPr="00945E69">
              <w:rPr>
                <w:rFonts w:ascii="Arial" w:hAnsi="Arial" w:cs="Arial"/>
                <w:i/>
                <w:sz w:val="20"/>
                <w:szCs w:val="20"/>
              </w:rPr>
              <w:t>1,896</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53216" w14:textId="10A01979" w:rsidR="00D64593" w:rsidRPr="00945E69" w:rsidRDefault="00D64593" w:rsidP="00D64593">
            <w:pPr>
              <w:jc w:val="center"/>
              <w:rPr>
                <w:rFonts w:ascii="Arial" w:hAnsi="Arial" w:cs="Arial"/>
                <w:i/>
                <w:sz w:val="20"/>
                <w:szCs w:val="20"/>
              </w:rPr>
            </w:pPr>
            <w:r w:rsidRPr="00945E69">
              <w:rPr>
                <w:rFonts w:ascii="Arial" w:hAnsi="Arial" w:cs="Arial"/>
                <w:i/>
                <w:sz w:val="20"/>
                <w:szCs w:val="20"/>
              </w:rPr>
              <w:t>1,905</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F4543" w14:textId="68FDF72B" w:rsidR="00D64593" w:rsidRPr="00945E69" w:rsidRDefault="00D64593" w:rsidP="00D64593">
            <w:pPr>
              <w:jc w:val="center"/>
              <w:rPr>
                <w:rFonts w:ascii="Arial" w:hAnsi="Arial" w:cs="Arial"/>
                <w:i/>
                <w:sz w:val="20"/>
                <w:szCs w:val="20"/>
              </w:rPr>
            </w:pPr>
            <w:r w:rsidRPr="00945E69">
              <w:rPr>
                <w:rFonts w:ascii="Arial" w:hAnsi="Arial" w:cs="Arial"/>
                <w:i/>
                <w:sz w:val="20"/>
                <w:szCs w:val="20"/>
              </w:rPr>
              <w:t>1,910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1224A" w14:textId="72002002" w:rsidR="00D64593" w:rsidRPr="00945E69" w:rsidRDefault="00D64593" w:rsidP="00D64593">
            <w:pPr>
              <w:jc w:val="center"/>
              <w:rPr>
                <w:rFonts w:ascii="Arial" w:hAnsi="Arial" w:cs="Arial"/>
                <w:i/>
                <w:sz w:val="20"/>
                <w:szCs w:val="20"/>
              </w:rPr>
            </w:pPr>
            <w:r w:rsidRPr="00945E69">
              <w:rPr>
                <w:rFonts w:ascii="Arial" w:hAnsi="Arial" w:cs="Arial"/>
                <w:i/>
                <w:sz w:val="20"/>
                <w:szCs w:val="20"/>
              </w:rPr>
              <w:t>1,915</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D299A" w14:textId="41DA187C" w:rsidR="00D64593" w:rsidRPr="00945E69" w:rsidRDefault="00D64593" w:rsidP="00D64593">
            <w:pPr>
              <w:jc w:val="center"/>
              <w:rPr>
                <w:rFonts w:ascii="Arial" w:hAnsi="Arial" w:cs="Arial"/>
                <w:i/>
                <w:sz w:val="20"/>
                <w:szCs w:val="20"/>
              </w:rPr>
            </w:pPr>
          </w:p>
        </w:tc>
      </w:tr>
    </w:tbl>
    <w:p w14:paraId="1808BF98" w14:textId="1BE1705F" w:rsidR="00967402" w:rsidRPr="00967402" w:rsidRDefault="004C6452" w:rsidP="00967402">
      <w:pPr>
        <w:rPr>
          <w:rFonts w:ascii="Arial" w:hAnsi="Arial" w:cs="Arial"/>
          <w:b/>
          <w:i/>
          <w:color w:val="FF0000"/>
          <w:szCs w:val="20"/>
        </w:rPr>
      </w:pPr>
      <w:bookmarkStart w:id="5" w:name="OLE_LINK3"/>
      <w:bookmarkStart w:id="6" w:name="OLE_LINK4"/>
      <w:bookmarkStart w:id="7" w:name="OLE_LINK7"/>
      <w:r w:rsidRPr="00BE41B3">
        <w:rPr>
          <w:rFonts w:ascii="Arial" w:hAnsi="Arial" w:cs="Arial"/>
          <w:b/>
          <w:bCs/>
        </w:rPr>
        <w:t>Performance Measure Explanatory Note</w:t>
      </w:r>
      <w:r>
        <w:rPr>
          <w:rFonts w:ascii="Arial" w:hAnsi="Arial" w:cs="Arial"/>
          <w:b/>
          <w:bCs/>
        </w:rPr>
        <w:t xml:space="preserve">s </w:t>
      </w:r>
    </w:p>
    <w:bookmarkEnd w:id="5"/>
    <w:bookmarkEnd w:id="6"/>
    <w:bookmarkEnd w:id="7"/>
    <w:p w14:paraId="349332A3" w14:textId="2FFAD2C5" w:rsidR="005351AF" w:rsidRPr="00945E69" w:rsidRDefault="000E6862" w:rsidP="005B05EE">
      <w:pPr>
        <w:jc w:val="both"/>
        <w:rPr>
          <w:rFonts w:ascii="Arial" w:hAnsi="Arial" w:cs="Arial"/>
          <w:sz w:val="18"/>
          <w:szCs w:val="18"/>
        </w:rPr>
      </w:pPr>
      <w:r w:rsidRPr="00945E69">
        <w:rPr>
          <w:rFonts w:ascii="Arial" w:hAnsi="Arial" w:cs="Arial"/>
          <w:sz w:val="18"/>
          <w:szCs w:val="18"/>
        </w:rPr>
        <w:t xml:space="preserve">1. </w:t>
      </w:r>
      <w:r w:rsidR="001C6933" w:rsidRPr="00945E69">
        <w:rPr>
          <w:rFonts w:ascii="Arial" w:hAnsi="Arial" w:cs="Arial"/>
          <w:sz w:val="18"/>
          <w:szCs w:val="18"/>
        </w:rPr>
        <w:t>The FY 2021 data (Fall 2020</w:t>
      </w:r>
      <w:r w:rsidR="005351AF" w:rsidRPr="00945E69">
        <w:rPr>
          <w:rFonts w:ascii="Arial" w:hAnsi="Arial" w:cs="Arial"/>
          <w:sz w:val="18"/>
          <w:szCs w:val="18"/>
        </w:rPr>
        <w:t xml:space="preserve"> cohort) are those enrolled at ISU as of </w:t>
      </w:r>
      <w:r w:rsidR="0048451E" w:rsidRPr="00945E69">
        <w:rPr>
          <w:rFonts w:ascii="Arial" w:hAnsi="Arial" w:cs="Arial"/>
          <w:sz w:val="18"/>
          <w:szCs w:val="18"/>
        </w:rPr>
        <w:t>August 18</w:t>
      </w:r>
      <w:r w:rsidR="001C6933" w:rsidRPr="00945E69">
        <w:rPr>
          <w:rFonts w:ascii="Arial" w:hAnsi="Arial" w:cs="Arial"/>
          <w:sz w:val="18"/>
          <w:szCs w:val="18"/>
        </w:rPr>
        <w:t>, 2021</w:t>
      </w:r>
      <w:r w:rsidR="005351AF" w:rsidRPr="00945E69">
        <w:rPr>
          <w:rFonts w:ascii="Arial" w:hAnsi="Arial" w:cs="Arial"/>
          <w:sz w:val="18"/>
          <w:szCs w:val="18"/>
        </w:rPr>
        <w:t>. This rate could change</w:t>
      </w:r>
      <w:r w:rsidR="001C6933" w:rsidRPr="00945E69">
        <w:rPr>
          <w:rFonts w:ascii="Arial" w:hAnsi="Arial" w:cs="Arial"/>
          <w:sz w:val="18"/>
          <w:szCs w:val="18"/>
        </w:rPr>
        <w:t xml:space="preserve"> by Census Day (October 15, 2021</w:t>
      </w:r>
      <w:r w:rsidR="005351AF" w:rsidRPr="00945E69">
        <w:rPr>
          <w:rFonts w:ascii="Arial" w:hAnsi="Arial" w:cs="Arial"/>
          <w:sz w:val="18"/>
          <w:szCs w:val="18"/>
        </w:rPr>
        <w:t>).</w:t>
      </w:r>
    </w:p>
    <w:p w14:paraId="22AAE5A4" w14:textId="6FEEBB45" w:rsidR="000136AF" w:rsidRPr="00945E69" w:rsidRDefault="000E6862" w:rsidP="005B05EE">
      <w:pPr>
        <w:jc w:val="both"/>
        <w:rPr>
          <w:rFonts w:ascii="Arial" w:eastAsiaTheme="minorEastAsia" w:hAnsi="Arial" w:cs="Arial"/>
          <w:color w:val="000000" w:themeColor="text1"/>
          <w:sz w:val="18"/>
          <w:szCs w:val="18"/>
        </w:rPr>
      </w:pPr>
      <w:r w:rsidRPr="00945E69">
        <w:rPr>
          <w:rFonts w:ascii="Arial" w:hAnsi="Arial" w:cs="Arial"/>
          <w:sz w:val="18"/>
          <w:szCs w:val="18"/>
        </w:rPr>
        <w:t>2</w:t>
      </w:r>
      <w:r w:rsidR="001A57D6" w:rsidRPr="00945E69">
        <w:rPr>
          <w:rFonts w:ascii="Arial" w:hAnsi="Arial" w:cs="Arial"/>
          <w:sz w:val="18"/>
          <w:szCs w:val="18"/>
        </w:rPr>
        <w:t xml:space="preserve">. </w:t>
      </w:r>
      <w:r w:rsidR="007B29A6" w:rsidRPr="00945E69">
        <w:rPr>
          <w:rFonts w:ascii="Arial" w:hAnsi="Arial" w:cs="Arial"/>
          <w:sz w:val="18"/>
          <w:szCs w:val="18"/>
        </w:rPr>
        <w:t xml:space="preserve">The methodology for calculating </w:t>
      </w:r>
      <w:r w:rsidR="007B29A6" w:rsidRPr="00945E69">
        <w:rPr>
          <w:rFonts w:ascii="Arial" w:eastAsiaTheme="minorEastAsia" w:hAnsi="Arial" w:cs="Arial"/>
          <w:color w:val="000000" w:themeColor="text1"/>
          <w:sz w:val="18"/>
          <w:szCs w:val="18"/>
        </w:rPr>
        <w:t xml:space="preserve">the public’s knowledge of ISU through owned and earned media </w:t>
      </w:r>
      <w:r w:rsidR="00581C27" w:rsidRPr="00945E69">
        <w:rPr>
          <w:rFonts w:ascii="Arial" w:eastAsiaTheme="minorEastAsia" w:hAnsi="Arial" w:cs="Arial"/>
          <w:color w:val="000000" w:themeColor="text1"/>
          <w:sz w:val="18"/>
          <w:szCs w:val="18"/>
        </w:rPr>
        <w:t>was</w:t>
      </w:r>
      <w:r w:rsidR="007B29A6" w:rsidRPr="00945E69">
        <w:rPr>
          <w:rFonts w:ascii="Arial" w:eastAsiaTheme="minorEastAsia" w:hAnsi="Arial" w:cs="Arial"/>
          <w:color w:val="000000" w:themeColor="text1"/>
          <w:sz w:val="18"/>
          <w:szCs w:val="18"/>
        </w:rPr>
        <w:t xml:space="preserve"> revised in ISU’s 2020 Strategic Plan because the previous methodology was greatly influenced by </w:t>
      </w:r>
      <w:r w:rsidR="006B3F70" w:rsidRPr="00945E69">
        <w:rPr>
          <w:rFonts w:ascii="Arial" w:eastAsiaTheme="minorEastAsia" w:hAnsi="Arial" w:cs="Arial"/>
          <w:color w:val="000000" w:themeColor="text1"/>
          <w:sz w:val="18"/>
          <w:szCs w:val="18"/>
        </w:rPr>
        <w:t>unexpected</w:t>
      </w:r>
      <w:r w:rsidR="007B29A6" w:rsidRPr="00945E69">
        <w:rPr>
          <w:rFonts w:ascii="Arial" w:eastAsiaTheme="minorEastAsia" w:hAnsi="Arial" w:cs="Arial"/>
          <w:color w:val="000000" w:themeColor="text1"/>
          <w:sz w:val="18"/>
          <w:szCs w:val="18"/>
        </w:rPr>
        <w:t xml:space="preserve"> media events.</w:t>
      </w:r>
    </w:p>
    <w:p w14:paraId="113879A1" w14:textId="3F92DB01" w:rsidR="000A40E2" w:rsidRPr="00945E69" w:rsidRDefault="000E6862" w:rsidP="005B05EE">
      <w:pPr>
        <w:jc w:val="both"/>
        <w:rPr>
          <w:rFonts w:ascii="Arial" w:eastAsiaTheme="minorEastAsia" w:hAnsi="Arial" w:cs="Arial"/>
          <w:color w:val="000000" w:themeColor="text1"/>
          <w:sz w:val="18"/>
          <w:szCs w:val="18"/>
        </w:rPr>
      </w:pPr>
      <w:r w:rsidRPr="00945E69">
        <w:rPr>
          <w:rFonts w:ascii="Arial" w:eastAsiaTheme="minorEastAsia" w:hAnsi="Arial" w:cs="Arial"/>
          <w:color w:val="000000" w:themeColor="text1"/>
          <w:sz w:val="18"/>
          <w:szCs w:val="18"/>
        </w:rPr>
        <w:t>3</w:t>
      </w:r>
      <w:r w:rsidR="000A40E2" w:rsidRPr="00945E69">
        <w:rPr>
          <w:rFonts w:ascii="Arial" w:eastAsiaTheme="minorEastAsia" w:hAnsi="Arial" w:cs="Arial"/>
          <w:color w:val="000000" w:themeColor="text1"/>
          <w:sz w:val="18"/>
          <w:szCs w:val="18"/>
        </w:rPr>
        <w:t xml:space="preserve">. </w:t>
      </w:r>
      <w:r w:rsidR="00E3066D" w:rsidRPr="00945E69">
        <w:rPr>
          <w:rFonts w:ascii="Arial" w:eastAsiaTheme="minorEastAsia" w:hAnsi="Arial" w:cs="Arial"/>
          <w:color w:val="000000" w:themeColor="text1"/>
          <w:sz w:val="18"/>
          <w:szCs w:val="18"/>
        </w:rPr>
        <w:t xml:space="preserve">The methodology for this metric was revised in 2020 for all years. </w:t>
      </w:r>
      <w:r w:rsidR="00FA0BF5" w:rsidRPr="00945E69">
        <w:rPr>
          <w:rFonts w:ascii="Arial" w:eastAsiaTheme="minorEastAsia" w:hAnsi="Arial" w:cs="Arial"/>
          <w:color w:val="000000" w:themeColor="text1"/>
          <w:sz w:val="18"/>
          <w:szCs w:val="18"/>
        </w:rPr>
        <w:t>Remedial Math includes courses n</w:t>
      </w:r>
      <w:r w:rsidR="00E3066D" w:rsidRPr="00945E69">
        <w:rPr>
          <w:rFonts w:ascii="Arial" w:eastAsiaTheme="minorEastAsia" w:hAnsi="Arial" w:cs="Arial"/>
          <w:color w:val="000000" w:themeColor="text1"/>
          <w:sz w:val="18"/>
          <w:szCs w:val="18"/>
        </w:rPr>
        <w:t xml:space="preserve">umbered below a 100 level, </w:t>
      </w:r>
      <w:r w:rsidR="00FA0BF5" w:rsidRPr="00945E69">
        <w:rPr>
          <w:rFonts w:ascii="Arial" w:eastAsiaTheme="minorEastAsia" w:hAnsi="Arial" w:cs="Arial"/>
          <w:color w:val="000000" w:themeColor="text1"/>
          <w:sz w:val="18"/>
          <w:szCs w:val="18"/>
        </w:rPr>
        <w:t>Math 1108</w:t>
      </w:r>
      <w:r w:rsidR="00F0403B" w:rsidRPr="00945E69">
        <w:rPr>
          <w:rFonts w:ascii="Arial" w:eastAsiaTheme="minorEastAsia" w:hAnsi="Arial" w:cs="Arial"/>
          <w:color w:val="000000" w:themeColor="text1"/>
          <w:sz w:val="18"/>
          <w:szCs w:val="18"/>
        </w:rPr>
        <w:t>, 1108P</w:t>
      </w:r>
      <w:r w:rsidR="00FA0BF5" w:rsidRPr="00945E69">
        <w:rPr>
          <w:rFonts w:ascii="Arial" w:eastAsiaTheme="minorEastAsia" w:hAnsi="Arial" w:cs="Arial"/>
          <w:color w:val="000000" w:themeColor="text1"/>
          <w:sz w:val="18"/>
          <w:szCs w:val="18"/>
        </w:rPr>
        <w:t xml:space="preserve"> – Intermediate Algebra</w:t>
      </w:r>
      <w:r w:rsidR="00E3066D" w:rsidRPr="00945E69">
        <w:rPr>
          <w:rFonts w:ascii="Arial" w:eastAsiaTheme="minorEastAsia" w:hAnsi="Arial" w:cs="Arial"/>
          <w:color w:val="000000" w:themeColor="text1"/>
          <w:sz w:val="18"/>
          <w:szCs w:val="18"/>
        </w:rPr>
        <w:t>, MATH 1123P and 1153P are a co-requisite model</w:t>
      </w:r>
      <w:r w:rsidR="00FA0BF5" w:rsidRPr="00945E69">
        <w:rPr>
          <w:rFonts w:ascii="Arial" w:eastAsiaTheme="minorEastAsia" w:hAnsi="Arial" w:cs="Arial"/>
          <w:color w:val="000000" w:themeColor="text1"/>
          <w:sz w:val="18"/>
          <w:szCs w:val="18"/>
        </w:rPr>
        <w:t xml:space="preserve">. </w:t>
      </w:r>
      <w:r w:rsidR="000A40E2" w:rsidRPr="00945E69">
        <w:rPr>
          <w:rFonts w:ascii="Arial" w:eastAsiaTheme="minorEastAsia" w:hAnsi="Arial" w:cs="Arial"/>
          <w:color w:val="000000" w:themeColor="text1"/>
          <w:sz w:val="18"/>
          <w:szCs w:val="18"/>
        </w:rPr>
        <w:t xml:space="preserve">Remedial English courses were replaced with a co-requisite model in 2015. ENGL 1101P is a variation of </w:t>
      </w:r>
      <w:hyperlink r:id="rId13" w:tooltip="ENGL 1101" w:history="1">
        <w:r w:rsidR="000A40E2" w:rsidRPr="00945E69">
          <w:rPr>
            <w:rFonts w:ascii="Arial" w:eastAsiaTheme="minorEastAsia" w:hAnsi="Arial" w:cs="Arial"/>
            <w:color w:val="000000" w:themeColor="text1"/>
            <w:sz w:val="18"/>
            <w:szCs w:val="18"/>
          </w:rPr>
          <w:t>ENGL 1101</w:t>
        </w:r>
      </w:hyperlink>
      <w:r w:rsidR="000A40E2" w:rsidRPr="00945E69">
        <w:rPr>
          <w:rFonts w:ascii="Arial" w:eastAsiaTheme="minorEastAsia" w:hAnsi="Arial" w:cs="Arial"/>
          <w:color w:val="000000" w:themeColor="text1"/>
          <w:sz w:val="18"/>
          <w:szCs w:val="18"/>
        </w:rPr>
        <w:t xml:space="preserve"> in which students not placing into </w:t>
      </w:r>
      <w:hyperlink r:id="rId14" w:tooltip="ENGL 1101" w:history="1">
        <w:r w:rsidR="000A40E2" w:rsidRPr="00945E69">
          <w:rPr>
            <w:rFonts w:ascii="Arial" w:eastAsiaTheme="minorEastAsia" w:hAnsi="Arial" w:cs="Arial"/>
            <w:color w:val="000000" w:themeColor="text1"/>
            <w:sz w:val="18"/>
            <w:szCs w:val="18"/>
          </w:rPr>
          <w:t>ENGL 1101</w:t>
        </w:r>
      </w:hyperlink>
      <w:r w:rsidR="000A40E2" w:rsidRPr="00945E69">
        <w:rPr>
          <w:rFonts w:ascii="Arial" w:eastAsiaTheme="minorEastAsia" w:hAnsi="Arial" w:cs="Arial"/>
          <w:color w:val="000000" w:themeColor="text1"/>
          <w:sz w:val="18"/>
          <w:szCs w:val="18"/>
        </w:rPr>
        <w:t xml:space="preserve"> receive intensive supplemental instruction in reading, analyzing, and writing expository essays. Data in FY 2016 includes student enrolled in a remedial English course or ENGL 1101P. After FY 2016, data repre</w:t>
      </w:r>
      <w:r w:rsidR="00E12D1C" w:rsidRPr="00945E69">
        <w:rPr>
          <w:rFonts w:ascii="Arial" w:eastAsiaTheme="minorEastAsia" w:hAnsi="Arial" w:cs="Arial"/>
          <w:color w:val="000000" w:themeColor="text1"/>
          <w:sz w:val="18"/>
          <w:szCs w:val="18"/>
        </w:rPr>
        <w:t>se</w:t>
      </w:r>
      <w:r w:rsidR="000A40E2" w:rsidRPr="00945E69">
        <w:rPr>
          <w:rFonts w:ascii="Arial" w:eastAsiaTheme="minorEastAsia" w:hAnsi="Arial" w:cs="Arial"/>
          <w:color w:val="000000" w:themeColor="text1"/>
          <w:sz w:val="18"/>
          <w:szCs w:val="18"/>
        </w:rPr>
        <w:t xml:space="preserve">nts students enrolled in </w:t>
      </w:r>
      <w:r w:rsidR="00E12D1C" w:rsidRPr="00945E69">
        <w:rPr>
          <w:rFonts w:ascii="Arial" w:eastAsiaTheme="minorEastAsia" w:hAnsi="Arial" w:cs="Arial"/>
          <w:color w:val="000000" w:themeColor="text1"/>
          <w:sz w:val="18"/>
          <w:szCs w:val="18"/>
        </w:rPr>
        <w:t>only</w:t>
      </w:r>
      <w:r w:rsidR="000A40E2" w:rsidRPr="00945E69">
        <w:rPr>
          <w:rFonts w:ascii="Arial" w:eastAsiaTheme="minorEastAsia" w:hAnsi="Arial" w:cs="Arial"/>
          <w:color w:val="000000" w:themeColor="text1"/>
          <w:sz w:val="18"/>
          <w:szCs w:val="18"/>
        </w:rPr>
        <w:t xml:space="preserve"> ENGL 1101P. </w:t>
      </w:r>
      <w:r w:rsidR="00331CFE" w:rsidRPr="00945E69">
        <w:rPr>
          <w:rFonts w:ascii="Arial" w:eastAsiaTheme="minorEastAsia" w:hAnsi="Arial" w:cs="Arial"/>
          <w:color w:val="000000" w:themeColor="text1"/>
          <w:sz w:val="18"/>
          <w:szCs w:val="18"/>
        </w:rPr>
        <w:t xml:space="preserve">Student cohorts </w:t>
      </w:r>
      <w:r w:rsidR="009F2BB6" w:rsidRPr="00945E69">
        <w:rPr>
          <w:rFonts w:ascii="Arial" w:eastAsiaTheme="minorEastAsia" w:hAnsi="Arial" w:cs="Arial"/>
          <w:color w:val="000000" w:themeColor="text1"/>
          <w:sz w:val="18"/>
          <w:szCs w:val="18"/>
        </w:rPr>
        <w:t>are new first-time and new transfer students that graduated from an Idaho high school upon their first successful completion of a remedial course.</w:t>
      </w:r>
    </w:p>
    <w:p w14:paraId="3E9EE00B" w14:textId="48E12CE6" w:rsidR="008059A0" w:rsidRPr="00945E69" w:rsidRDefault="000E6862" w:rsidP="005B05EE">
      <w:pPr>
        <w:jc w:val="both"/>
        <w:rPr>
          <w:rFonts w:ascii="Arial" w:hAnsi="Arial" w:cs="Arial"/>
          <w:color w:val="000000"/>
          <w:sz w:val="18"/>
          <w:szCs w:val="18"/>
        </w:rPr>
      </w:pPr>
      <w:r w:rsidRPr="00945E69">
        <w:rPr>
          <w:rFonts w:ascii="Arial" w:eastAsiaTheme="minorEastAsia" w:hAnsi="Arial" w:cs="Arial"/>
          <w:color w:val="000000" w:themeColor="text1"/>
          <w:sz w:val="18"/>
          <w:szCs w:val="18"/>
        </w:rPr>
        <w:t>4</w:t>
      </w:r>
      <w:r w:rsidR="008059A0" w:rsidRPr="00945E69">
        <w:rPr>
          <w:rFonts w:ascii="Arial" w:eastAsiaTheme="minorEastAsia" w:hAnsi="Arial" w:cs="Arial"/>
          <w:color w:val="000000" w:themeColor="text1"/>
          <w:sz w:val="18"/>
          <w:szCs w:val="18"/>
        </w:rPr>
        <w:t xml:space="preserve">. </w:t>
      </w:r>
      <w:r w:rsidR="007D33E2" w:rsidRPr="00945E69">
        <w:rPr>
          <w:rFonts w:ascii="Arial" w:eastAsiaTheme="minorEastAsia" w:hAnsi="Arial" w:cs="Arial"/>
          <w:color w:val="000000" w:themeColor="text1"/>
          <w:sz w:val="18"/>
          <w:szCs w:val="18"/>
        </w:rPr>
        <w:t>The data reported in the FY 2021</w:t>
      </w:r>
      <w:r w:rsidR="008059A0" w:rsidRPr="00945E69">
        <w:rPr>
          <w:rFonts w:ascii="Arial" w:eastAsiaTheme="minorEastAsia" w:hAnsi="Arial" w:cs="Arial"/>
          <w:color w:val="000000" w:themeColor="text1"/>
          <w:sz w:val="18"/>
          <w:szCs w:val="18"/>
        </w:rPr>
        <w:t xml:space="preserve"> column for the </w:t>
      </w:r>
      <w:r w:rsidR="008059A0" w:rsidRPr="00945E69">
        <w:rPr>
          <w:rFonts w:ascii="Arial" w:hAnsi="Arial" w:cs="Arial"/>
          <w:sz w:val="18"/>
          <w:szCs w:val="18"/>
        </w:rPr>
        <w:t>percent</w:t>
      </w:r>
      <w:r w:rsidR="008059A0" w:rsidRPr="00945E69">
        <w:rPr>
          <w:rFonts w:ascii="Arial" w:hAnsi="Arial" w:cs="Arial"/>
          <w:color w:val="000000"/>
          <w:sz w:val="18"/>
          <w:szCs w:val="18"/>
        </w:rPr>
        <w:t xml:space="preserve"> of first-time, full-time, freshmen graduating within 150% of time and 100% </w:t>
      </w:r>
      <w:r w:rsidR="00375054" w:rsidRPr="00945E69">
        <w:rPr>
          <w:rFonts w:ascii="Arial" w:hAnsi="Arial" w:cs="Arial"/>
          <w:color w:val="000000"/>
          <w:sz w:val="18"/>
          <w:szCs w:val="18"/>
        </w:rPr>
        <w:t>are</w:t>
      </w:r>
      <w:r w:rsidR="008059A0" w:rsidRPr="00945E69">
        <w:rPr>
          <w:rFonts w:ascii="Arial" w:hAnsi="Arial" w:cs="Arial"/>
          <w:color w:val="000000"/>
          <w:sz w:val="18"/>
          <w:szCs w:val="18"/>
        </w:rPr>
        <w:t xml:space="preserve"> tentative and may be revised afte</w:t>
      </w:r>
      <w:r w:rsidR="007D33E2" w:rsidRPr="00945E69">
        <w:rPr>
          <w:rFonts w:ascii="Arial" w:hAnsi="Arial" w:cs="Arial"/>
          <w:color w:val="000000"/>
          <w:sz w:val="18"/>
          <w:szCs w:val="18"/>
        </w:rPr>
        <w:t>r degrees awarded in Summer 2021</w:t>
      </w:r>
      <w:r w:rsidR="008059A0" w:rsidRPr="00945E69">
        <w:rPr>
          <w:rFonts w:ascii="Arial" w:hAnsi="Arial" w:cs="Arial"/>
          <w:color w:val="000000"/>
          <w:sz w:val="18"/>
          <w:szCs w:val="18"/>
        </w:rPr>
        <w:t xml:space="preserve"> are posted.</w:t>
      </w:r>
    </w:p>
    <w:p w14:paraId="669AB81B" w14:textId="4FE0A905" w:rsidR="00CD282B" w:rsidRPr="00945E69" w:rsidRDefault="000E6862" w:rsidP="005B05EE">
      <w:pPr>
        <w:jc w:val="both"/>
        <w:rPr>
          <w:rFonts w:ascii="Arial" w:hAnsi="Arial" w:cs="Arial"/>
          <w:color w:val="000000"/>
          <w:sz w:val="18"/>
          <w:szCs w:val="18"/>
        </w:rPr>
      </w:pPr>
      <w:r w:rsidRPr="00945E69">
        <w:rPr>
          <w:rFonts w:ascii="Arial" w:hAnsi="Arial" w:cs="Arial"/>
          <w:color w:val="000000"/>
          <w:sz w:val="18"/>
          <w:szCs w:val="18"/>
        </w:rPr>
        <w:t>5</w:t>
      </w:r>
      <w:r w:rsidR="00CD282B" w:rsidRPr="00945E69">
        <w:rPr>
          <w:rFonts w:ascii="Arial" w:hAnsi="Arial" w:cs="Arial"/>
          <w:color w:val="000000"/>
          <w:sz w:val="18"/>
          <w:szCs w:val="18"/>
        </w:rPr>
        <w:t>. Total number of certificates/degrees produced, broken out by</w:t>
      </w:r>
      <w:r w:rsidR="000A6F3B" w:rsidRPr="00945E69">
        <w:rPr>
          <w:rFonts w:ascii="Arial" w:hAnsi="Arial" w:cs="Arial"/>
          <w:color w:val="000000"/>
          <w:sz w:val="18"/>
          <w:szCs w:val="18"/>
        </w:rPr>
        <w:t xml:space="preserve"> award levels.</w:t>
      </w:r>
    </w:p>
    <w:p w14:paraId="7005D591" w14:textId="0491DBCB" w:rsidR="001E424C" w:rsidRPr="00945E69" w:rsidRDefault="000E6862" w:rsidP="005B05EE">
      <w:pPr>
        <w:jc w:val="both"/>
        <w:rPr>
          <w:rFonts w:ascii="Arial" w:hAnsi="Arial" w:cs="Arial"/>
          <w:sz w:val="18"/>
          <w:szCs w:val="18"/>
        </w:rPr>
      </w:pPr>
      <w:r w:rsidRPr="00945E69">
        <w:rPr>
          <w:rFonts w:ascii="Arial" w:hAnsi="Arial" w:cs="Arial"/>
          <w:color w:val="000000"/>
          <w:sz w:val="18"/>
          <w:szCs w:val="18"/>
        </w:rPr>
        <w:t>6</w:t>
      </w:r>
      <w:r w:rsidR="00CD282B" w:rsidRPr="00945E69">
        <w:rPr>
          <w:rFonts w:ascii="Arial" w:hAnsi="Arial" w:cs="Arial"/>
          <w:color w:val="000000"/>
          <w:sz w:val="18"/>
          <w:szCs w:val="18"/>
        </w:rPr>
        <w:t>. Number of unduplicated graduates, broken out by</w:t>
      </w:r>
      <w:r w:rsidR="00D40781" w:rsidRPr="00945E69">
        <w:rPr>
          <w:rFonts w:ascii="Arial" w:hAnsi="Arial" w:cs="Arial"/>
          <w:color w:val="000000"/>
          <w:sz w:val="18"/>
          <w:szCs w:val="18"/>
        </w:rPr>
        <w:t xml:space="preserve"> award levels.</w:t>
      </w:r>
      <w:r w:rsidR="00CD282B" w:rsidRPr="00945E69">
        <w:rPr>
          <w:rFonts w:ascii="Arial" w:hAnsi="Arial" w:cs="Arial"/>
          <w:color w:val="000000"/>
          <w:sz w:val="18"/>
          <w:szCs w:val="18"/>
        </w:rPr>
        <w:t xml:space="preserve"> Leverage IPEDS methodology: Students are counted once per award level, regardless of double majors. </w:t>
      </w:r>
      <w:proofErr w:type="gramStart"/>
      <w:r w:rsidR="00CD282B" w:rsidRPr="00945E69">
        <w:rPr>
          <w:rFonts w:ascii="Arial" w:hAnsi="Arial" w:cs="Arial"/>
          <w:color w:val="000000"/>
          <w:sz w:val="18"/>
          <w:szCs w:val="18"/>
        </w:rPr>
        <w:t>So</w:t>
      </w:r>
      <w:proofErr w:type="gramEnd"/>
      <w:r w:rsidR="00CD282B" w:rsidRPr="00945E69">
        <w:rPr>
          <w:rFonts w:ascii="Arial" w:hAnsi="Arial" w:cs="Arial"/>
          <w:color w:val="000000"/>
          <w:sz w:val="18"/>
          <w:szCs w:val="18"/>
        </w:rPr>
        <w:t xml:space="preserve"> if a student earned an associate’s and a bachelor’s in the same year, they would be counted once under each level (twice overall), but if they received two bachelors, they would be counted once.</w:t>
      </w:r>
    </w:p>
    <w:p w14:paraId="2ADF1822" w14:textId="77777777" w:rsidR="001E424C" w:rsidRPr="001E424C" w:rsidRDefault="001E424C" w:rsidP="005B05EE">
      <w:pPr>
        <w:jc w:val="both"/>
        <w:rPr>
          <w:rFonts w:ascii="Arial" w:hAnsi="Arial" w:cs="Arial"/>
        </w:rPr>
      </w:pPr>
    </w:p>
    <w:tbl>
      <w:tblPr>
        <w:tblW w:w="7664" w:type="dxa"/>
        <w:tblInd w:w="1087" w:type="dxa"/>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64"/>
      </w:tblGrid>
      <w:tr w:rsidR="00446B1D" w:rsidRPr="00301088" w14:paraId="1D04EFF6" w14:textId="77777777" w:rsidTr="00FA0847">
        <w:trPr>
          <w:trHeight w:val="1555"/>
        </w:trPr>
        <w:tc>
          <w:tcPr>
            <w:tcW w:w="7664" w:type="dxa"/>
            <w:tcBorders>
              <w:top w:val="threeDEmboss" w:sz="24" w:space="0" w:color="333399"/>
              <w:left w:val="threeDEmboss" w:sz="24" w:space="0" w:color="333399"/>
              <w:bottom w:val="threeDEmboss" w:sz="24" w:space="0" w:color="333399"/>
              <w:right w:val="threeDEmboss" w:sz="24" w:space="0" w:color="333399"/>
            </w:tcBorders>
          </w:tcPr>
          <w:p w14:paraId="4BAD9EF3" w14:textId="77777777" w:rsidR="000B2CC2" w:rsidRPr="00301088" w:rsidRDefault="000B2CC2" w:rsidP="0021418B">
            <w:pPr>
              <w:jc w:val="center"/>
              <w:rPr>
                <w:rFonts w:ascii="Arial" w:hAnsi="Arial" w:cs="Arial"/>
                <w:b/>
                <w:sz w:val="20"/>
              </w:rPr>
            </w:pPr>
            <w:r w:rsidRPr="00301088">
              <w:rPr>
                <w:rFonts w:ascii="Arial" w:hAnsi="Arial" w:cs="Arial"/>
                <w:b/>
                <w:sz w:val="20"/>
              </w:rPr>
              <w:t>For More Information Contact</w:t>
            </w:r>
          </w:p>
          <w:p w14:paraId="5EB7BEDF" w14:textId="77777777" w:rsidR="000B2CC2" w:rsidRPr="00301088" w:rsidRDefault="00034B89" w:rsidP="000B2CC2">
            <w:pPr>
              <w:ind w:left="252"/>
              <w:rPr>
                <w:rFonts w:ascii="Arial" w:hAnsi="Arial" w:cs="Arial"/>
                <w:noProof/>
                <w:sz w:val="20"/>
              </w:rPr>
            </w:pPr>
            <w:r>
              <w:rPr>
                <w:rFonts w:ascii="Arial" w:hAnsi="Arial" w:cs="Arial"/>
                <w:noProof/>
                <w:sz w:val="20"/>
              </w:rPr>
              <w:t>Kevin Satterlee</w:t>
            </w:r>
            <w:r w:rsidR="000B2CC2" w:rsidRPr="00301088">
              <w:rPr>
                <w:rFonts w:ascii="Arial" w:hAnsi="Arial" w:cs="Arial"/>
                <w:noProof/>
                <w:sz w:val="20"/>
              </w:rPr>
              <w:t>, President</w:t>
            </w:r>
          </w:p>
          <w:p w14:paraId="4A224EBF" w14:textId="77777777" w:rsidR="000B2CC2" w:rsidRPr="00301088" w:rsidRDefault="000B2CC2" w:rsidP="000B2CC2">
            <w:pPr>
              <w:ind w:left="252"/>
              <w:rPr>
                <w:rFonts w:ascii="Arial" w:hAnsi="Arial" w:cs="Arial"/>
                <w:sz w:val="20"/>
              </w:rPr>
            </w:pPr>
            <w:r w:rsidRPr="00301088">
              <w:rPr>
                <w:rFonts w:ascii="Arial" w:hAnsi="Arial" w:cs="Arial"/>
                <w:noProof/>
                <w:sz w:val="20"/>
              </w:rPr>
              <w:t>Idaho State University, Stop 8310</w:t>
            </w:r>
          </w:p>
          <w:p w14:paraId="2133D825" w14:textId="77777777" w:rsidR="000B2CC2" w:rsidRPr="00301088" w:rsidRDefault="000B2CC2" w:rsidP="000B2CC2">
            <w:pPr>
              <w:ind w:left="252"/>
              <w:rPr>
                <w:rFonts w:ascii="Arial" w:hAnsi="Arial" w:cs="Arial"/>
                <w:sz w:val="20"/>
              </w:rPr>
            </w:pPr>
            <w:r w:rsidRPr="00301088">
              <w:rPr>
                <w:rFonts w:ascii="Arial" w:hAnsi="Arial" w:cs="Arial"/>
                <w:noProof/>
                <w:sz w:val="20"/>
              </w:rPr>
              <w:t>Pocatello</w:t>
            </w:r>
            <w:r w:rsidRPr="00301088">
              <w:rPr>
                <w:rFonts w:ascii="Arial" w:hAnsi="Arial" w:cs="Arial"/>
                <w:sz w:val="20"/>
              </w:rPr>
              <w:t xml:space="preserve">, </w:t>
            </w:r>
            <w:r w:rsidRPr="00301088">
              <w:rPr>
                <w:rFonts w:ascii="Arial" w:hAnsi="Arial" w:cs="Arial"/>
                <w:noProof/>
                <w:sz w:val="20"/>
              </w:rPr>
              <w:t>ID</w:t>
            </w:r>
            <w:r w:rsidRPr="00301088">
              <w:rPr>
                <w:rFonts w:ascii="Arial" w:hAnsi="Arial" w:cs="Arial"/>
                <w:sz w:val="20"/>
              </w:rPr>
              <w:t xml:space="preserve">  </w:t>
            </w:r>
            <w:r w:rsidRPr="00301088">
              <w:rPr>
                <w:rFonts w:ascii="Arial" w:hAnsi="Arial" w:cs="Arial"/>
                <w:noProof/>
                <w:sz w:val="20"/>
              </w:rPr>
              <w:t>83209-8310</w:t>
            </w:r>
          </w:p>
          <w:p w14:paraId="5CF7C65A" w14:textId="77777777" w:rsidR="000B2CC2" w:rsidRPr="00301088" w:rsidRDefault="000B2CC2" w:rsidP="000B2CC2">
            <w:pPr>
              <w:ind w:left="252"/>
              <w:rPr>
                <w:rFonts w:ascii="Arial" w:hAnsi="Arial" w:cs="Arial"/>
                <w:sz w:val="20"/>
              </w:rPr>
            </w:pPr>
            <w:r w:rsidRPr="00301088">
              <w:rPr>
                <w:rFonts w:ascii="Arial" w:hAnsi="Arial" w:cs="Arial"/>
                <w:sz w:val="20"/>
              </w:rPr>
              <w:t>Phone: (208) 282-2566</w:t>
            </w:r>
          </w:p>
          <w:p w14:paraId="28814C67" w14:textId="77777777" w:rsidR="001E424C" w:rsidRDefault="000B2CC2" w:rsidP="001E424C">
            <w:pPr>
              <w:ind w:left="252"/>
              <w:rPr>
                <w:rFonts w:ascii="Arial" w:hAnsi="Arial" w:cs="Arial"/>
                <w:noProof/>
                <w:sz w:val="20"/>
              </w:rPr>
            </w:pPr>
            <w:r w:rsidRPr="00301088">
              <w:rPr>
                <w:rFonts w:ascii="Arial" w:hAnsi="Arial" w:cs="Arial"/>
                <w:sz w:val="20"/>
              </w:rPr>
              <w:t xml:space="preserve">E-mail:  </w:t>
            </w:r>
            <w:hyperlink r:id="rId15" w:history="1">
              <w:r w:rsidR="001E424C" w:rsidRPr="0028763D">
                <w:rPr>
                  <w:rStyle w:val="Hyperlink"/>
                  <w:rFonts w:ascii="Arial" w:hAnsi="Arial" w:cs="Arial"/>
                  <w:noProof/>
                  <w:sz w:val="20"/>
                </w:rPr>
                <w:t>sattkevi@isu.edu</w:t>
              </w:r>
            </w:hyperlink>
          </w:p>
          <w:p w14:paraId="035CDFDE" w14:textId="77777777" w:rsidR="001E424C" w:rsidRPr="001E424C" w:rsidRDefault="001E424C" w:rsidP="001E424C">
            <w:pPr>
              <w:ind w:left="252"/>
              <w:rPr>
                <w:rFonts w:ascii="Arial" w:hAnsi="Arial" w:cs="Arial"/>
                <w:noProof/>
                <w:sz w:val="20"/>
              </w:rPr>
            </w:pPr>
          </w:p>
        </w:tc>
      </w:tr>
    </w:tbl>
    <w:p w14:paraId="61767F91" w14:textId="3E7CA978" w:rsidR="00446B1D" w:rsidRPr="00301088" w:rsidRDefault="00446B1D" w:rsidP="00FA0847">
      <w:pPr>
        <w:jc w:val="both"/>
        <w:rPr>
          <w:rFonts w:ascii="Arial" w:hAnsi="Arial" w:cs="Arial"/>
          <w:lang w:val="fr-FR"/>
        </w:rPr>
      </w:pPr>
    </w:p>
    <w:sectPr w:rsidR="00446B1D" w:rsidRPr="00301088" w:rsidSect="00176862">
      <w:headerReference w:type="default" r:id="rId16"/>
      <w:footerReference w:type="default" r:id="rId17"/>
      <w:type w:val="continuous"/>
      <w:pgSz w:w="12240" w:h="15840" w:code="1"/>
      <w:pgMar w:top="1080" w:right="1080" w:bottom="72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A4976" w14:textId="77777777" w:rsidR="003A0618" w:rsidRDefault="003A0618">
      <w:r>
        <w:separator/>
      </w:r>
    </w:p>
  </w:endnote>
  <w:endnote w:type="continuationSeparator" w:id="0">
    <w:p w14:paraId="1D790F03" w14:textId="77777777" w:rsidR="003A0618" w:rsidRDefault="003A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256632"/>
      <w:docPartObj>
        <w:docPartGallery w:val="Page Numbers (Bottom of Page)"/>
        <w:docPartUnique/>
      </w:docPartObj>
    </w:sdtPr>
    <w:sdtEndPr>
      <w:rPr>
        <w:noProof/>
      </w:rPr>
    </w:sdtEndPr>
    <w:sdtContent>
      <w:p w14:paraId="7B62DED2" w14:textId="77777777" w:rsidR="009E3111" w:rsidRPr="00457DB2" w:rsidRDefault="009E3111" w:rsidP="00D33476">
        <w:pPr>
          <w:pStyle w:val="Footer"/>
          <w:tabs>
            <w:tab w:val="clear" w:pos="4320"/>
            <w:tab w:val="clear" w:pos="8640"/>
            <w:tab w:val="center" w:pos="4680"/>
            <w:tab w:val="right" w:pos="10080"/>
          </w:tabs>
          <w:rPr>
            <w:rFonts w:ascii="Arial" w:hAnsi="Arial" w:cs="Arial"/>
            <w:sz w:val="20"/>
            <w:szCs w:val="20"/>
          </w:rPr>
        </w:pPr>
      </w:p>
      <w:p w14:paraId="1B0B18CD" w14:textId="4E4405A6" w:rsidR="009E3111" w:rsidRPr="00D33476" w:rsidRDefault="009E3111" w:rsidP="00D33476">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366F8B">
          <w:rPr>
            <w:rFonts w:ascii="Arial" w:hAnsi="Arial" w:cs="Arial"/>
            <w:noProof/>
            <w:sz w:val="20"/>
            <w:szCs w:val="20"/>
          </w:rPr>
          <w:t>2</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4661" w14:textId="77777777" w:rsidR="003A0618" w:rsidRDefault="003A0618">
      <w:r>
        <w:separator/>
      </w:r>
    </w:p>
  </w:footnote>
  <w:footnote w:type="continuationSeparator" w:id="0">
    <w:p w14:paraId="2CE43767" w14:textId="77777777" w:rsidR="003A0618" w:rsidRDefault="003A0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H w:val="single" w:sz="4" w:space="0" w:color="auto"/>
        <w:insideV w:val="single" w:sz="4" w:space="0" w:color="auto"/>
      </w:tblBorders>
      <w:tblLook w:val="0000" w:firstRow="0" w:lastRow="0" w:firstColumn="0" w:lastColumn="0" w:noHBand="0" w:noVBand="0"/>
    </w:tblPr>
    <w:tblGrid>
      <w:gridCol w:w="10080"/>
    </w:tblGrid>
    <w:tr w:rsidR="009E3111" w14:paraId="047C644B" w14:textId="77777777" w:rsidTr="006B7885">
      <w:tc>
        <w:tcPr>
          <w:tcW w:w="10080" w:type="dxa"/>
          <w:shd w:val="clear" w:color="auto" w:fill="000080"/>
        </w:tcPr>
        <w:p w14:paraId="69873EAD" w14:textId="77777777" w:rsidR="009E3111" w:rsidRPr="005D097C" w:rsidRDefault="009E3111" w:rsidP="00457DB2">
          <w:pPr>
            <w:tabs>
              <w:tab w:val="right" w:pos="9852"/>
            </w:tabs>
            <w:rPr>
              <w:rFonts w:ascii="Arial" w:hAnsi="Arial" w:cs="Arial"/>
              <w:b/>
              <w:bCs/>
              <w:noProof/>
              <w:color w:val="FFFFFF"/>
            </w:rPr>
          </w:pPr>
          <w:r>
            <w:rPr>
              <w:rFonts w:ascii="Arial" w:hAnsi="Arial" w:cs="Arial"/>
              <w:b/>
              <w:bCs/>
              <w:noProof/>
              <w:color w:val="FFFFFF"/>
            </w:rPr>
            <w:t>Idaho State University</w:t>
          </w:r>
          <w:r>
            <w:rPr>
              <w:rFonts w:ascii="Arial" w:hAnsi="Arial" w:cs="Arial"/>
              <w:b/>
              <w:bCs/>
              <w:color w:val="FFFFFF"/>
            </w:rPr>
            <w:tab/>
          </w:r>
          <w:r>
            <w:rPr>
              <w:rFonts w:ascii="Arial" w:hAnsi="Arial" w:cs="Arial"/>
              <w:color w:val="FFFFFF"/>
            </w:rPr>
            <w:t>Performance Report</w:t>
          </w:r>
        </w:p>
      </w:tc>
    </w:tr>
    <w:tr w:rsidR="009E3111" w14:paraId="77FEFE9E" w14:textId="77777777" w:rsidTr="006B7885">
      <w:trPr>
        <w:trHeight w:hRule="exact" w:val="90"/>
      </w:trPr>
      <w:tc>
        <w:tcPr>
          <w:tcW w:w="10080" w:type="dxa"/>
          <w:tcBorders>
            <w:top w:val="nil"/>
            <w:bottom w:val="single" w:sz="4" w:space="0" w:color="auto"/>
          </w:tcBorders>
        </w:tcPr>
        <w:p w14:paraId="332044DF" w14:textId="77777777" w:rsidR="009E3111" w:rsidRDefault="009E3111" w:rsidP="00DA3B34"/>
      </w:tc>
    </w:tr>
    <w:tr w:rsidR="009E3111" w14:paraId="6292BBB1" w14:textId="77777777" w:rsidTr="006B7885">
      <w:tc>
        <w:tcPr>
          <w:tcW w:w="10080" w:type="dxa"/>
          <w:tcBorders>
            <w:top w:val="single" w:sz="4" w:space="0" w:color="auto"/>
            <w:bottom w:val="nil"/>
          </w:tcBorders>
          <w:shd w:val="clear" w:color="auto" w:fill="000080"/>
        </w:tcPr>
        <w:p w14:paraId="0C7AEAEA" w14:textId="77777777" w:rsidR="009E3111" w:rsidRDefault="009E3111" w:rsidP="00DA3B34"/>
      </w:tc>
    </w:tr>
  </w:tbl>
  <w:p w14:paraId="32376758" w14:textId="77777777" w:rsidR="009E3111" w:rsidRDefault="009E3111" w:rsidP="006B7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2" type="#_x0000_t75" style="width:387pt;height:362.4pt;visibility:visible;mso-wrap-style:square" o:bullet="t">
        <v:imagedata r:id="rId1" o:title=""/>
      </v:shape>
    </w:pict>
  </w:numPicBullet>
  <w:abstractNum w:abstractNumId="0" w15:restartNumberingAfterBreak="0">
    <w:nsid w:val="0F8E6B46"/>
    <w:multiLevelType w:val="hybridMultilevel"/>
    <w:tmpl w:val="5F7231D0"/>
    <w:lvl w:ilvl="0" w:tplc="4F387B6E">
      <w:numFmt w:val="bullet"/>
      <w:lvlText w:val="-"/>
      <w:lvlJc w:val="left"/>
      <w:pPr>
        <w:ind w:left="1080" w:hanging="360"/>
      </w:pPr>
      <w:rPr>
        <w:rFonts w:ascii="Arial" w:eastAsia="Times New Roman" w:hAnsi="Arial"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730EDE"/>
    <w:multiLevelType w:val="multilevel"/>
    <w:tmpl w:val="2E246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A66E1"/>
    <w:multiLevelType w:val="multilevel"/>
    <w:tmpl w:val="2292B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B4DD0"/>
    <w:multiLevelType w:val="hybridMultilevel"/>
    <w:tmpl w:val="D6AC14D6"/>
    <w:lvl w:ilvl="0" w:tplc="4F387B6E">
      <w:numFmt w:val="bullet"/>
      <w:lvlText w:val="-"/>
      <w:lvlJc w:val="left"/>
      <w:pPr>
        <w:ind w:left="720" w:hanging="360"/>
      </w:pPr>
      <w:rPr>
        <w:rFonts w:ascii="Arial" w:eastAsia="Times New Roman" w:hAnsi="Aria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11D18"/>
    <w:multiLevelType w:val="hybridMultilevel"/>
    <w:tmpl w:val="4DDED2F0"/>
    <w:lvl w:ilvl="0" w:tplc="4F387B6E">
      <w:numFmt w:val="bullet"/>
      <w:lvlText w:val="-"/>
      <w:lvlJc w:val="left"/>
      <w:pPr>
        <w:tabs>
          <w:tab w:val="num" w:pos="420"/>
        </w:tabs>
        <w:ind w:left="420" w:hanging="360"/>
      </w:pPr>
      <w:rPr>
        <w:rFonts w:ascii="Arial" w:eastAsia="Times New Roman" w:hAnsi="Arial" w:cs="Arial" w:hint="default"/>
      </w:rPr>
    </w:lvl>
    <w:lvl w:ilvl="1" w:tplc="04090001">
      <w:start w:val="1"/>
      <w:numFmt w:val="bullet"/>
      <w:lvlText w:val=""/>
      <w:lvlJc w:val="left"/>
      <w:pPr>
        <w:tabs>
          <w:tab w:val="num" w:pos="1140"/>
        </w:tabs>
        <w:ind w:left="1140" w:hanging="360"/>
      </w:pPr>
      <w:rPr>
        <w:rFonts w:ascii="Symbol" w:hAnsi="Symbol"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D0564F4"/>
    <w:multiLevelType w:val="multilevel"/>
    <w:tmpl w:val="9E302E7E"/>
    <w:lvl w:ilvl="0">
      <w:start w:val="1"/>
      <w:numFmt w:val="decimal"/>
      <w:lvlText w:val="%1."/>
      <w:lvlJc w:val="left"/>
      <w:pPr>
        <w:ind w:left="720" w:hanging="360"/>
      </w:pPr>
    </w:lvl>
    <w:lvl w:ilvl="1">
      <w:start w:val="2"/>
      <w:numFmt w:val="decimal"/>
      <w:isLgl/>
      <w:lvlText w:val="%1.%2"/>
      <w:lvlJc w:val="left"/>
      <w:pPr>
        <w:ind w:left="720" w:hanging="360"/>
      </w:pPr>
      <w:rPr>
        <w:rFonts w:eastAsiaTheme="minorEastAsia" w:hint="default"/>
        <w:color w:val="000000" w:themeColor="text1"/>
        <w:sz w:val="18"/>
      </w:rPr>
    </w:lvl>
    <w:lvl w:ilvl="2">
      <w:start w:val="1"/>
      <w:numFmt w:val="decimal"/>
      <w:isLgl/>
      <w:lvlText w:val="%1.%2.%3"/>
      <w:lvlJc w:val="left"/>
      <w:pPr>
        <w:ind w:left="1080" w:hanging="720"/>
      </w:pPr>
      <w:rPr>
        <w:rFonts w:eastAsiaTheme="minorEastAsia" w:hint="default"/>
        <w:color w:val="000000" w:themeColor="text1"/>
        <w:sz w:val="18"/>
      </w:rPr>
    </w:lvl>
    <w:lvl w:ilvl="3">
      <w:start w:val="1"/>
      <w:numFmt w:val="decimal"/>
      <w:isLgl/>
      <w:lvlText w:val="%1.%2.%3.%4"/>
      <w:lvlJc w:val="left"/>
      <w:pPr>
        <w:ind w:left="1080" w:hanging="720"/>
      </w:pPr>
      <w:rPr>
        <w:rFonts w:eastAsiaTheme="minorEastAsia" w:hint="default"/>
        <w:color w:val="000000" w:themeColor="text1"/>
        <w:sz w:val="18"/>
      </w:rPr>
    </w:lvl>
    <w:lvl w:ilvl="4">
      <w:start w:val="1"/>
      <w:numFmt w:val="decimal"/>
      <w:isLgl/>
      <w:lvlText w:val="%1.%2.%3.%4.%5"/>
      <w:lvlJc w:val="left"/>
      <w:pPr>
        <w:ind w:left="1440" w:hanging="1080"/>
      </w:pPr>
      <w:rPr>
        <w:rFonts w:eastAsiaTheme="minorEastAsia" w:hint="default"/>
        <w:color w:val="000000" w:themeColor="text1"/>
        <w:sz w:val="18"/>
      </w:rPr>
    </w:lvl>
    <w:lvl w:ilvl="5">
      <w:start w:val="1"/>
      <w:numFmt w:val="decimal"/>
      <w:isLgl/>
      <w:lvlText w:val="%1.%2.%3.%4.%5.%6"/>
      <w:lvlJc w:val="left"/>
      <w:pPr>
        <w:ind w:left="1440" w:hanging="1080"/>
      </w:pPr>
      <w:rPr>
        <w:rFonts w:eastAsiaTheme="minorEastAsia" w:hint="default"/>
        <w:color w:val="000000" w:themeColor="text1"/>
        <w:sz w:val="18"/>
      </w:rPr>
    </w:lvl>
    <w:lvl w:ilvl="6">
      <w:start w:val="1"/>
      <w:numFmt w:val="decimal"/>
      <w:isLgl/>
      <w:lvlText w:val="%1.%2.%3.%4.%5.%6.%7"/>
      <w:lvlJc w:val="left"/>
      <w:pPr>
        <w:ind w:left="1800" w:hanging="1440"/>
      </w:pPr>
      <w:rPr>
        <w:rFonts w:eastAsiaTheme="minorEastAsia" w:hint="default"/>
        <w:color w:val="000000" w:themeColor="text1"/>
        <w:sz w:val="18"/>
      </w:rPr>
    </w:lvl>
    <w:lvl w:ilvl="7">
      <w:start w:val="1"/>
      <w:numFmt w:val="decimal"/>
      <w:isLgl/>
      <w:lvlText w:val="%1.%2.%3.%4.%5.%6.%7.%8"/>
      <w:lvlJc w:val="left"/>
      <w:pPr>
        <w:ind w:left="1800" w:hanging="1440"/>
      </w:pPr>
      <w:rPr>
        <w:rFonts w:eastAsiaTheme="minorEastAsia" w:hint="default"/>
        <w:color w:val="000000" w:themeColor="text1"/>
        <w:sz w:val="18"/>
      </w:rPr>
    </w:lvl>
    <w:lvl w:ilvl="8">
      <w:start w:val="1"/>
      <w:numFmt w:val="decimal"/>
      <w:isLgl/>
      <w:lvlText w:val="%1.%2.%3.%4.%5.%6.%7.%8.%9"/>
      <w:lvlJc w:val="left"/>
      <w:pPr>
        <w:ind w:left="2160" w:hanging="1800"/>
      </w:pPr>
      <w:rPr>
        <w:rFonts w:eastAsiaTheme="minorEastAsia" w:hint="default"/>
        <w:color w:val="000000" w:themeColor="text1"/>
        <w:sz w:val="18"/>
      </w:rPr>
    </w:lvl>
  </w:abstractNum>
  <w:abstractNum w:abstractNumId="6" w15:restartNumberingAfterBreak="0">
    <w:nsid w:val="31C87C50"/>
    <w:multiLevelType w:val="multilevel"/>
    <w:tmpl w:val="F1F280B8"/>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03B1E"/>
    <w:multiLevelType w:val="hybridMultilevel"/>
    <w:tmpl w:val="691A8C2E"/>
    <w:lvl w:ilvl="0" w:tplc="618A7D0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8E0B64"/>
    <w:multiLevelType w:val="hybridMultilevel"/>
    <w:tmpl w:val="208E5854"/>
    <w:lvl w:ilvl="0" w:tplc="618A7D0E">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9" w15:restartNumberingAfterBreak="0">
    <w:nsid w:val="383053DE"/>
    <w:multiLevelType w:val="hybridMultilevel"/>
    <w:tmpl w:val="66A89782"/>
    <w:lvl w:ilvl="0" w:tplc="618A7D0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7F050A"/>
    <w:multiLevelType w:val="hybridMultilevel"/>
    <w:tmpl w:val="DEA4CE24"/>
    <w:lvl w:ilvl="0" w:tplc="4F387B6E">
      <w:numFmt w:val="bullet"/>
      <w:lvlText w:val="-"/>
      <w:lvlJc w:val="left"/>
      <w:pPr>
        <w:ind w:left="720" w:hanging="360"/>
      </w:pPr>
      <w:rPr>
        <w:rFonts w:ascii="Arial" w:eastAsia="Times New Roman" w:hAnsi="Aria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C2CD3"/>
    <w:multiLevelType w:val="hybridMultilevel"/>
    <w:tmpl w:val="893AD7B2"/>
    <w:lvl w:ilvl="0" w:tplc="86E20F90">
      <w:start w:val="1"/>
      <w:numFmt w:val="bullet"/>
      <w:lvlText w:val=""/>
      <w:lvlPicBulletId w:val="0"/>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74361A"/>
    <w:multiLevelType w:val="hybridMultilevel"/>
    <w:tmpl w:val="B02E6FB0"/>
    <w:lvl w:ilvl="0" w:tplc="4372D492">
      <w:start w:val="1"/>
      <w:numFmt w:val="bullet"/>
      <w:lvlText w:val=""/>
      <w:lvlPicBulletId w:val="0"/>
      <w:lvlJc w:val="left"/>
      <w:pPr>
        <w:tabs>
          <w:tab w:val="num" w:pos="360"/>
        </w:tabs>
        <w:ind w:left="360" w:hanging="360"/>
      </w:pPr>
      <w:rPr>
        <w:rFonts w:ascii="Symbol" w:hAnsi="Symbol" w:hint="default"/>
        <w:sz w:val="20"/>
        <w:szCs w:val="20"/>
      </w:rPr>
    </w:lvl>
    <w:lvl w:ilvl="1" w:tplc="5204BB4A" w:tentative="1">
      <w:start w:val="1"/>
      <w:numFmt w:val="bullet"/>
      <w:lvlText w:val=""/>
      <w:lvlJc w:val="left"/>
      <w:pPr>
        <w:tabs>
          <w:tab w:val="num" w:pos="990"/>
        </w:tabs>
        <w:ind w:left="990" w:hanging="360"/>
      </w:pPr>
      <w:rPr>
        <w:rFonts w:ascii="Symbol" w:hAnsi="Symbol" w:hint="default"/>
      </w:rPr>
    </w:lvl>
    <w:lvl w:ilvl="2" w:tplc="B9F8DC9C" w:tentative="1">
      <w:start w:val="1"/>
      <w:numFmt w:val="bullet"/>
      <w:lvlText w:val=""/>
      <w:lvlJc w:val="left"/>
      <w:pPr>
        <w:tabs>
          <w:tab w:val="num" w:pos="1710"/>
        </w:tabs>
        <w:ind w:left="1710" w:hanging="360"/>
      </w:pPr>
      <w:rPr>
        <w:rFonts w:ascii="Symbol" w:hAnsi="Symbol" w:hint="default"/>
      </w:rPr>
    </w:lvl>
    <w:lvl w:ilvl="3" w:tplc="E132B780" w:tentative="1">
      <w:start w:val="1"/>
      <w:numFmt w:val="bullet"/>
      <w:lvlText w:val=""/>
      <w:lvlJc w:val="left"/>
      <w:pPr>
        <w:tabs>
          <w:tab w:val="num" w:pos="2430"/>
        </w:tabs>
        <w:ind w:left="2430" w:hanging="360"/>
      </w:pPr>
      <w:rPr>
        <w:rFonts w:ascii="Symbol" w:hAnsi="Symbol" w:hint="default"/>
      </w:rPr>
    </w:lvl>
    <w:lvl w:ilvl="4" w:tplc="2E804BBA" w:tentative="1">
      <w:start w:val="1"/>
      <w:numFmt w:val="bullet"/>
      <w:lvlText w:val=""/>
      <w:lvlJc w:val="left"/>
      <w:pPr>
        <w:tabs>
          <w:tab w:val="num" w:pos="3150"/>
        </w:tabs>
        <w:ind w:left="3150" w:hanging="360"/>
      </w:pPr>
      <w:rPr>
        <w:rFonts w:ascii="Symbol" w:hAnsi="Symbol" w:hint="default"/>
      </w:rPr>
    </w:lvl>
    <w:lvl w:ilvl="5" w:tplc="88EAFC20" w:tentative="1">
      <w:start w:val="1"/>
      <w:numFmt w:val="bullet"/>
      <w:lvlText w:val=""/>
      <w:lvlJc w:val="left"/>
      <w:pPr>
        <w:tabs>
          <w:tab w:val="num" w:pos="3870"/>
        </w:tabs>
        <w:ind w:left="3870" w:hanging="360"/>
      </w:pPr>
      <w:rPr>
        <w:rFonts w:ascii="Symbol" w:hAnsi="Symbol" w:hint="default"/>
      </w:rPr>
    </w:lvl>
    <w:lvl w:ilvl="6" w:tplc="1F741C48" w:tentative="1">
      <w:start w:val="1"/>
      <w:numFmt w:val="bullet"/>
      <w:lvlText w:val=""/>
      <w:lvlJc w:val="left"/>
      <w:pPr>
        <w:tabs>
          <w:tab w:val="num" w:pos="4590"/>
        </w:tabs>
        <w:ind w:left="4590" w:hanging="360"/>
      </w:pPr>
      <w:rPr>
        <w:rFonts w:ascii="Symbol" w:hAnsi="Symbol" w:hint="default"/>
      </w:rPr>
    </w:lvl>
    <w:lvl w:ilvl="7" w:tplc="5ED8E5D2" w:tentative="1">
      <w:start w:val="1"/>
      <w:numFmt w:val="bullet"/>
      <w:lvlText w:val=""/>
      <w:lvlJc w:val="left"/>
      <w:pPr>
        <w:tabs>
          <w:tab w:val="num" w:pos="5310"/>
        </w:tabs>
        <w:ind w:left="5310" w:hanging="360"/>
      </w:pPr>
      <w:rPr>
        <w:rFonts w:ascii="Symbol" w:hAnsi="Symbol" w:hint="default"/>
      </w:rPr>
    </w:lvl>
    <w:lvl w:ilvl="8" w:tplc="4E42AA48" w:tentative="1">
      <w:start w:val="1"/>
      <w:numFmt w:val="bullet"/>
      <w:lvlText w:val=""/>
      <w:lvlJc w:val="left"/>
      <w:pPr>
        <w:tabs>
          <w:tab w:val="num" w:pos="6030"/>
        </w:tabs>
        <w:ind w:left="6030" w:hanging="360"/>
      </w:pPr>
      <w:rPr>
        <w:rFonts w:ascii="Symbol" w:hAnsi="Symbol" w:hint="default"/>
      </w:rPr>
    </w:lvl>
  </w:abstractNum>
  <w:abstractNum w:abstractNumId="13" w15:restartNumberingAfterBreak="0">
    <w:nsid w:val="5933311F"/>
    <w:multiLevelType w:val="multilevel"/>
    <w:tmpl w:val="52502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874028"/>
    <w:multiLevelType w:val="hybridMultilevel"/>
    <w:tmpl w:val="22BA84E6"/>
    <w:lvl w:ilvl="0" w:tplc="86E20F90">
      <w:start w:val="1"/>
      <w:numFmt w:val="bullet"/>
      <w:lvlText w:val=""/>
      <w:lvlPicBulletId w:val="0"/>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F83D32"/>
    <w:multiLevelType w:val="multilevel"/>
    <w:tmpl w:val="D518A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A653B3"/>
    <w:multiLevelType w:val="hybridMultilevel"/>
    <w:tmpl w:val="E55EEF2C"/>
    <w:lvl w:ilvl="0" w:tplc="4372D492">
      <w:start w:val="1"/>
      <w:numFmt w:val="bullet"/>
      <w:lvlText w:val=""/>
      <w:lvlPicBulletId w:val="0"/>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507048"/>
    <w:multiLevelType w:val="hybridMultilevel"/>
    <w:tmpl w:val="867A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224434"/>
    <w:multiLevelType w:val="hybridMultilevel"/>
    <w:tmpl w:val="81E244BC"/>
    <w:lvl w:ilvl="0" w:tplc="46CEB740">
      <w:start w:val="1"/>
      <w:numFmt w:val="bullet"/>
      <w:lvlText w:val=""/>
      <w:lvlPicBulletId w:val="0"/>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12855115">
    <w:abstractNumId w:val="4"/>
  </w:num>
  <w:num w:numId="2" w16cid:durableId="532114868">
    <w:abstractNumId w:val="3"/>
  </w:num>
  <w:num w:numId="3" w16cid:durableId="1037776256">
    <w:abstractNumId w:val="0"/>
  </w:num>
  <w:num w:numId="4" w16cid:durableId="1158228920">
    <w:abstractNumId w:val="10"/>
  </w:num>
  <w:num w:numId="5" w16cid:durableId="398556564">
    <w:abstractNumId w:val="5"/>
  </w:num>
  <w:num w:numId="6" w16cid:durableId="1415127304">
    <w:abstractNumId w:val="1"/>
  </w:num>
  <w:num w:numId="7" w16cid:durableId="1325821080">
    <w:abstractNumId w:val="6"/>
  </w:num>
  <w:num w:numId="8" w16cid:durableId="1971158251">
    <w:abstractNumId w:val="12"/>
  </w:num>
  <w:num w:numId="9" w16cid:durableId="1656833580">
    <w:abstractNumId w:val="11"/>
  </w:num>
  <w:num w:numId="10" w16cid:durableId="960384315">
    <w:abstractNumId w:val="18"/>
  </w:num>
  <w:num w:numId="11" w16cid:durableId="1871794353">
    <w:abstractNumId w:val="9"/>
  </w:num>
  <w:num w:numId="12" w16cid:durableId="1543861068">
    <w:abstractNumId w:val="15"/>
  </w:num>
  <w:num w:numId="13" w16cid:durableId="544295639">
    <w:abstractNumId w:val="1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4" w16cid:durableId="138424293">
    <w:abstractNumId w:val="8"/>
  </w:num>
  <w:num w:numId="15" w16cid:durableId="1056928112">
    <w:abstractNumId w:val="16"/>
  </w:num>
  <w:num w:numId="16" w16cid:durableId="1996303378">
    <w:abstractNumId w:val="13"/>
  </w:num>
  <w:num w:numId="17" w16cid:durableId="1253976243">
    <w:abstractNumId w:val="2"/>
  </w:num>
  <w:num w:numId="18" w16cid:durableId="662977253">
    <w:abstractNumId w:val="7"/>
  </w:num>
  <w:num w:numId="19" w16cid:durableId="1222862224">
    <w:abstractNumId w:val="14"/>
  </w:num>
  <w:num w:numId="20" w16cid:durableId="102952417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1NjQyMzA1MTYyNjVT0lEKTi0uzszPAymwqAUATRKWnCwAAAA="/>
  </w:docVars>
  <w:rsids>
    <w:rsidRoot w:val="005C1737"/>
    <w:rsid w:val="00001593"/>
    <w:rsid w:val="0000162D"/>
    <w:rsid w:val="00006D46"/>
    <w:rsid w:val="00007E45"/>
    <w:rsid w:val="00010519"/>
    <w:rsid w:val="00010A32"/>
    <w:rsid w:val="00010CC0"/>
    <w:rsid w:val="000136AF"/>
    <w:rsid w:val="00014D31"/>
    <w:rsid w:val="00017749"/>
    <w:rsid w:val="00020AC9"/>
    <w:rsid w:val="0002142E"/>
    <w:rsid w:val="0002538E"/>
    <w:rsid w:val="000253F0"/>
    <w:rsid w:val="00025C41"/>
    <w:rsid w:val="00027E0E"/>
    <w:rsid w:val="000304E6"/>
    <w:rsid w:val="000309A1"/>
    <w:rsid w:val="00030AFF"/>
    <w:rsid w:val="000329F0"/>
    <w:rsid w:val="000330EB"/>
    <w:rsid w:val="0003361B"/>
    <w:rsid w:val="00033862"/>
    <w:rsid w:val="00033CC4"/>
    <w:rsid w:val="00034A17"/>
    <w:rsid w:val="00034B89"/>
    <w:rsid w:val="00036555"/>
    <w:rsid w:val="00043F0A"/>
    <w:rsid w:val="0004414F"/>
    <w:rsid w:val="00044A26"/>
    <w:rsid w:val="000456AA"/>
    <w:rsid w:val="00045DAA"/>
    <w:rsid w:val="000503E6"/>
    <w:rsid w:val="000504C5"/>
    <w:rsid w:val="00050698"/>
    <w:rsid w:val="0005167E"/>
    <w:rsid w:val="00054F73"/>
    <w:rsid w:val="0005788C"/>
    <w:rsid w:val="00057DBF"/>
    <w:rsid w:val="00060659"/>
    <w:rsid w:val="0006280B"/>
    <w:rsid w:val="00063DCA"/>
    <w:rsid w:val="00065671"/>
    <w:rsid w:val="0006587F"/>
    <w:rsid w:val="00066F64"/>
    <w:rsid w:val="00073378"/>
    <w:rsid w:val="0007673A"/>
    <w:rsid w:val="00077507"/>
    <w:rsid w:val="00080990"/>
    <w:rsid w:val="00082575"/>
    <w:rsid w:val="00082E7C"/>
    <w:rsid w:val="00083C99"/>
    <w:rsid w:val="000877C2"/>
    <w:rsid w:val="000903C7"/>
    <w:rsid w:val="0009053F"/>
    <w:rsid w:val="000908BB"/>
    <w:rsid w:val="00092183"/>
    <w:rsid w:val="00092801"/>
    <w:rsid w:val="000933F7"/>
    <w:rsid w:val="00093913"/>
    <w:rsid w:val="00094DC5"/>
    <w:rsid w:val="0009541E"/>
    <w:rsid w:val="00096DC8"/>
    <w:rsid w:val="00097D60"/>
    <w:rsid w:val="000A0B6B"/>
    <w:rsid w:val="000A0DA3"/>
    <w:rsid w:val="000A122C"/>
    <w:rsid w:val="000A179E"/>
    <w:rsid w:val="000A297E"/>
    <w:rsid w:val="000A40E2"/>
    <w:rsid w:val="000A4D98"/>
    <w:rsid w:val="000A59D6"/>
    <w:rsid w:val="000A6F3B"/>
    <w:rsid w:val="000A7412"/>
    <w:rsid w:val="000A7BFB"/>
    <w:rsid w:val="000A7E0B"/>
    <w:rsid w:val="000B2CC2"/>
    <w:rsid w:val="000B2E90"/>
    <w:rsid w:val="000B554D"/>
    <w:rsid w:val="000C00AB"/>
    <w:rsid w:val="000C0DF2"/>
    <w:rsid w:val="000C31FE"/>
    <w:rsid w:val="000C6CDF"/>
    <w:rsid w:val="000C6D0F"/>
    <w:rsid w:val="000D13C7"/>
    <w:rsid w:val="000D2E86"/>
    <w:rsid w:val="000D3B7F"/>
    <w:rsid w:val="000D4230"/>
    <w:rsid w:val="000D4EA4"/>
    <w:rsid w:val="000D6647"/>
    <w:rsid w:val="000E0579"/>
    <w:rsid w:val="000E3FA1"/>
    <w:rsid w:val="000E4C44"/>
    <w:rsid w:val="000E571E"/>
    <w:rsid w:val="000E5F14"/>
    <w:rsid w:val="000E6862"/>
    <w:rsid w:val="000E7976"/>
    <w:rsid w:val="000F096D"/>
    <w:rsid w:val="000F2037"/>
    <w:rsid w:val="000F20D6"/>
    <w:rsid w:val="000F3413"/>
    <w:rsid w:val="000F4F63"/>
    <w:rsid w:val="000F508B"/>
    <w:rsid w:val="000F7EF5"/>
    <w:rsid w:val="001008A7"/>
    <w:rsid w:val="00100DCD"/>
    <w:rsid w:val="001012B5"/>
    <w:rsid w:val="0010197F"/>
    <w:rsid w:val="00102A26"/>
    <w:rsid w:val="001034EB"/>
    <w:rsid w:val="00103CA1"/>
    <w:rsid w:val="0010494E"/>
    <w:rsid w:val="001072AD"/>
    <w:rsid w:val="00111ECA"/>
    <w:rsid w:val="001127EC"/>
    <w:rsid w:val="00112817"/>
    <w:rsid w:val="00113F5C"/>
    <w:rsid w:val="00120EAB"/>
    <w:rsid w:val="00121A0C"/>
    <w:rsid w:val="001220A7"/>
    <w:rsid w:val="0012552B"/>
    <w:rsid w:val="00134026"/>
    <w:rsid w:val="00134D2E"/>
    <w:rsid w:val="001364F0"/>
    <w:rsid w:val="00136F9E"/>
    <w:rsid w:val="00137694"/>
    <w:rsid w:val="00141B47"/>
    <w:rsid w:val="00142798"/>
    <w:rsid w:val="001430BB"/>
    <w:rsid w:val="0014619F"/>
    <w:rsid w:val="001468F8"/>
    <w:rsid w:val="001478FB"/>
    <w:rsid w:val="001505EC"/>
    <w:rsid w:val="00151474"/>
    <w:rsid w:val="001545FC"/>
    <w:rsid w:val="00160496"/>
    <w:rsid w:val="00160B14"/>
    <w:rsid w:val="00161E92"/>
    <w:rsid w:val="001625DD"/>
    <w:rsid w:val="001641C1"/>
    <w:rsid w:val="001646F1"/>
    <w:rsid w:val="00165D70"/>
    <w:rsid w:val="0016638B"/>
    <w:rsid w:val="00166A90"/>
    <w:rsid w:val="001674C2"/>
    <w:rsid w:val="001678F5"/>
    <w:rsid w:val="00170A77"/>
    <w:rsid w:val="001752BC"/>
    <w:rsid w:val="001758A8"/>
    <w:rsid w:val="001762E6"/>
    <w:rsid w:val="00176862"/>
    <w:rsid w:val="00176EAA"/>
    <w:rsid w:val="00183103"/>
    <w:rsid w:val="00185210"/>
    <w:rsid w:val="00185479"/>
    <w:rsid w:val="0019063C"/>
    <w:rsid w:val="00191DF8"/>
    <w:rsid w:val="00191F83"/>
    <w:rsid w:val="001924ED"/>
    <w:rsid w:val="00193484"/>
    <w:rsid w:val="00197EBF"/>
    <w:rsid w:val="001A1099"/>
    <w:rsid w:val="001A3330"/>
    <w:rsid w:val="001A412C"/>
    <w:rsid w:val="001A5550"/>
    <w:rsid w:val="001A57D6"/>
    <w:rsid w:val="001A6D8D"/>
    <w:rsid w:val="001B07CE"/>
    <w:rsid w:val="001B352E"/>
    <w:rsid w:val="001B6805"/>
    <w:rsid w:val="001C2551"/>
    <w:rsid w:val="001C6933"/>
    <w:rsid w:val="001C7CD9"/>
    <w:rsid w:val="001D280E"/>
    <w:rsid w:val="001D2B39"/>
    <w:rsid w:val="001D3918"/>
    <w:rsid w:val="001D542E"/>
    <w:rsid w:val="001D6857"/>
    <w:rsid w:val="001D6FFD"/>
    <w:rsid w:val="001D7202"/>
    <w:rsid w:val="001D7E24"/>
    <w:rsid w:val="001E0558"/>
    <w:rsid w:val="001E0819"/>
    <w:rsid w:val="001E2A07"/>
    <w:rsid w:val="001E40D5"/>
    <w:rsid w:val="001E424C"/>
    <w:rsid w:val="001E43DF"/>
    <w:rsid w:val="001E7577"/>
    <w:rsid w:val="001F0905"/>
    <w:rsid w:val="001F0B46"/>
    <w:rsid w:val="001F2DEB"/>
    <w:rsid w:val="001F481F"/>
    <w:rsid w:val="001F5F5A"/>
    <w:rsid w:val="001F5F86"/>
    <w:rsid w:val="001F672F"/>
    <w:rsid w:val="001F7BC1"/>
    <w:rsid w:val="001F7E1A"/>
    <w:rsid w:val="0020196B"/>
    <w:rsid w:val="002021B0"/>
    <w:rsid w:val="002029EF"/>
    <w:rsid w:val="00204BEB"/>
    <w:rsid w:val="00211F9C"/>
    <w:rsid w:val="00212F4A"/>
    <w:rsid w:val="00213397"/>
    <w:rsid w:val="0021418B"/>
    <w:rsid w:val="00214323"/>
    <w:rsid w:val="00214E25"/>
    <w:rsid w:val="00216CD6"/>
    <w:rsid w:val="002215F1"/>
    <w:rsid w:val="00221A64"/>
    <w:rsid w:val="00221DD2"/>
    <w:rsid w:val="002232BA"/>
    <w:rsid w:val="00223524"/>
    <w:rsid w:val="0022422A"/>
    <w:rsid w:val="00224323"/>
    <w:rsid w:val="002254BE"/>
    <w:rsid w:val="0022567A"/>
    <w:rsid w:val="00225D9C"/>
    <w:rsid w:val="00226559"/>
    <w:rsid w:val="00230A53"/>
    <w:rsid w:val="0023121D"/>
    <w:rsid w:val="002332D7"/>
    <w:rsid w:val="00233988"/>
    <w:rsid w:val="00234144"/>
    <w:rsid w:val="00234982"/>
    <w:rsid w:val="00234AE8"/>
    <w:rsid w:val="00241C91"/>
    <w:rsid w:val="00243AAE"/>
    <w:rsid w:val="002445B6"/>
    <w:rsid w:val="00244D24"/>
    <w:rsid w:val="0024648E"/>
    <w:rsid w:val="002475C2"/>
    <w:rsid w:val="00247F8C"/>
    <w:rsid w:val="00250320"/>
    <w:rsid w:val="00250533"/>
    <w:rsid w:val="0025243D"/>
    <w:rsid w:val="00253310"/>
    <w:rsid w:val="00254360"/>
    <w:rsid w:val="0025506B"/>
    <w:rsid w:val="002626CC"/>
    <w:rsid w:val="00262725"/>
    <w:rsid w:val="002634D3"/>
    <w:rsid w:val="002634D5"/>
    <w:rsid w:val="00264847"/>
    <w:rsid w:val="0027114B"/>
    <w:rsid w:val="00272B74"/>
    <w:rsid w:val="00273E5F"/>
    <w:rsid w:val="0027479D"/>
    <w:rsid w:val="002751DE"/>
    <w:rsid w:val="00275A5D"/>
    <w:rsid w:val="00275F10"/>
    <w:rsid w:val="0028412F"/>
    <w:rsid w:val="0028465A"/>
    <w:rsid w:val="00284856"/>
    <w:rsid w:val="00284E78"/>
    <w:rsid w:val="00291142"/>
    <w:rsid w:val="00293677"/>
    <w:rsid w:val="00293E28"/>
    <w:rsid w:val="002941B4"/>
    <w:rsid w:val="00295078"/>
    <w:rsid w:val="00295386"/>
    <w:rsid w:val="00296995"/>
    <w:rsid w:val="002A0AD8"/>
    <w:rsid w:val="002A0BE5"/>
    <w:rsid w:val="002A1B88"/>
    <w:rsid w:val="002A2A8E"/>
    <w:rsid w:val="002A3F3C"/>
    <w:rsid w:val="002A5BE3"/>
    <w:rsid w:val="002B17EF"/>
    <w:rsid w:val="002B4081"/>
    <w:rsid w:val="002B4187"/>
    <w:rsid w:val="002B470C"/>
    <w:rsid w:val="002B5899"/>
    <w:rsid w:val="002B5B17"/>
    <w:rsid w:val="002B69D5"/>
    <w:rsid w:val="002B6B47"/>
    <w:rsid w:val="002C2F90"/>
    <w:rsid w:val="002C5FDE"/>
    <w:rsid w:val="002C6E5C"/>
    <w:rsid w:val="002C71DA"/>
    <w:rsid w:val="002D2FAD"/>
    <w:rsid w:val="002D4B6C"/>
    <w:rsid w:val="002E04F4"/>
    <w:rsid w:val="002E08A5"/>
    <w:rsid w:val="002E0B19"/>
    <w:rsid w:val="002E25B6"/>
    <w:rsid w:val="002E4082"/>
    <w:rsid w:val="002E6017"/>
    <w:rsid w:val="002E61A9"/>
    <w:rsid w:val="002F16EC"/>
    <w:rsid w:val="002F1E84"/>
    <w:rsid w:val="002F20DD"/>
    <w:rsid w:val="002F425A"/>
    <w:rsid w:val="002F4413"/>
    <w:rsid w:val="002F4893"/>
    <w:rsid w:val="002F580A"/>
    <w:rsid w:val="002F6971"/>
    <w:rsid w:val="002F6F2C"/>
    <w:rsid w:val="002F7358"/>
    <w:rsid w:val="003009C9"/>
    <w:rsid w:val="00301088"/>
    <w:rsid w:val="0030121E"/>
    <w:rsid w:val="003016F0"/>
    <w:rsid w:val="00303290"/>
    <w:rsid w:val="0030338F"/>
    <w:rsid w:val="003042D7"/>
    <w:rsid w:val="003046EE"/>
    <w:rsid w:val="0030612A"/>
    <w:rsid w:val="00310067"/>
    <w:rsid w:val="003111A5"/>
    <w:rsid w:val="00311294"/>
    <w:rsid w:val="00311CA0"/>
    <w:rsid w:val="003121FD"/>
    <w:rsid w:val="00313F89"/>
    <w:rsid w:val="00316134"/>
    <w:rsid w:val="00321F2E"/>
    <w:rsid w:val="00324C11"/>
    <w:rsid w:val="003255DF"/>
    <w:rsid w:val="00326199"/>
    <w:rsid w:val="003304F5"/>
    <w:rsid w:val="00330668"/>
    <w:rsid w:val="00330D98"/>
    <w:rsid w:val="00331CFE"/>
    <w:rsid w:val="0033356A"/>
    <w:rsid w:val="00335881"/>
    <w:rsid w:val="003369C3"/>
    <w:rsid w:val="00337A30"/>
    <w:rsid w:val="00337D54"/>
    <w:rsid w:val="00343337"/>
    <w:rsid w:val="0034336E"/>
    <w:rsid w:val="003440B5"/>
    <w:rsid w:val="00344920"/>
    <w:rsid w:val="00345DAE"/>
    <w:rsid w:val="00345E15"/>
    <w:rsid w:val="003464AC"/>
    <w:rsid w:val="00347E86"/>
    <w:rsid w:val="00350FD2"/>
    <w:rsid w:val="0035120E"/>
    <w:rsid w:val="00351CD3"/>
    <w:rsid w:val="0035582D"/>
    <w:rsid w:val="0035693E"/>
    <w:rsid w:val="0036116F"/>
    <w:rsid w:val="00361BE5"/>
    <w:rsid w:val="003656B9"/>
    <w:rsid w:val="003666B4"/>
    <w:rsid w:val="00366F8B"/>
    <w:rsid w:val="00367A24"/>
    <w:rsid w:val="00367F1A"/>
    <w:rsid w:val="00371710"/>
    <w:rsid w:val="003717FF"/>
    <w:rsid w:val="00371E4B"/>
    <w:rsid w:val="003739FE"/>
    <w:rsid w:val="00375054"/>
    <w:rsid w:val="00375706"/>
    <w:rsid w:val="00375F23"/>
    <w:rsid w:val="003761E6"/>
    <w:rsid w:val="003768D1"/>
    <w:rsid w:val="00377B03"/>
    <w:rsid w:val="00381E0F"/>
    <w:rsid w:val="0038751F"/>
    <w:rsid w:val="003878C4"/>
    <w:rsid w:val="00390802"/>
    <w:rsid w:val="003908EF"/>
    <w:rsid w:val="003920ED"/>
    <w:rsid w:val="0039402D"/>
    <w:rsid w:val="00394F87"/>
    <w:rsid w:val="00395B6D"/>
    <w:rsid w:val="0039602D"/>
    <w:rsid w:val="003A0618"/>
    <w:rsid w:val="003A15D7"/>
    <w:rsid w:val="003A34D7"/>
    <w:rsid w:val="003A747C"/>
    <w:rsid w:val="003A78C4"/>
    <w:rsid w:val="003A7B62"/>
    <w:rsid w:val="003B04D4"/>
    <w:rsid w:val="003B0672"/>
    <w:rsid w:val="003B4298"/>
    <w:rsid w:val="003B50A6"/>
    <w:rsid w:val="003B6C76"/>
    <w:rsid w:val="003C07BA"/>
    <w:rsid w:val="003C781B"/>
    <w:rsid w:val="003D0313"/>
    <w:rsid w:val="003D1A5A"/>
    <w:rsid w:val="003D475C"/>
    <w:rsid w:val="003D7E76"/>
    <w:rsid w:val="003E1284"/>
    <w:rsid w:val="003E21C4"/>
    <w:rsid w:val="003E3F09"/>
    <w:rsid w:val="003E3FD5"/>
    <w:rsid w:val="003E4A43"/>
    <w:rsid w:val="003E6424"/>
    <w:rsid w:val="003E685C"/>
    <w:rsid w:val="003E6F17"/>
    <w:rsid w:val="003F1B6C"/>
    <w:rsid w:val="003F244D"/>
    <w:rsid w:val="003F3851"/>
    <w:rsid w:val="003F4B80"/>
    <w:rsid w:val="003F4FA2"/>
    <w:rsid w:val="003F50D1"/>
    <w:rsid w:val="003F5A36"/>
    <w:rsid w:val="003F5EE5"/>
    <w:rsid w:val="003F643E"/>
    <w:rsid w:val="003F788C"/>
    <w:rsid w:val="00401F23"/>
    <w:rsid w:val="00402C15"/>
    <w:rsid w:val="00403B45"/>
    <w:rsid w:val="00404362"/>
    <w:rsid w:val="00404851"/>
    <w:rsid w:val="00404AE6"/>
    <w:rsid w:val="004076E4"/>
    <w:rsid w:val="00407C77"/>
    <w:rsid w:val="004104C6"/>
    <w:rsid w:val="00411733"/>
    <w:rsid w:val="0041421F"/>
    <w:rsid w:val="0041515C"/>
    <w:rsid w:val="00415713"/>
    <w:rsid w:val="004175F3"/>
    <w:rsid w:val="004207E6"/>
    <w:rsid w:val="00422650"/>
    <w:rsid w:val="004238DF"/>
    <w:rsid w:val="004267B1"/>
    <w:rsid w:val="00427CD4"/>
    <w:rsid w:val="00430AD4"/>
    <w:rsid w:val="00432189"/>
    <w:rsid w:val="0043319B"/>
    <w:rsid w:val="00433DB2"/>
    <w:rsid w:val="004372BA"/>
    <w:rsid w:val="0044068C"/>
    <w:rsid w:val="00441199"/>
    <w:rsid w:val="00443F64"/>
    <w:rsid w:val="00445EBD"/>
    <w:rsid w:val="00446591"/>
    <w:rsid w:val="00446B1D"/>
    <w:rsid w:val="00451966"/>
    <w:rsid w:val="00451BCA"/>
    <w:rsid w:val="00452F87"/>
    <w:rsid w:val="0045323D"/>
    <w:rsid w:val="0045700C"/>
    <w:rsid w:val="00457DB2"/>
    <w:rsid w:val="00465428"/>
    <w:rsid w:val="0046571C"/>
    <w:rsid w:val="00466252"/>
    <w:rsid w:val="00470689"/>
    <w:rsid w:val="00471A5E"/>
    <w:rsid w:val="00471D98"/>
    <w:rsid w:val="00472AF9"/>
    <w:rsid w:val="0047591F"/>
    <w:rsid w:val="00475B4A"/>
    <w:rsid w:val="0047627A"/>
    <w:rsid w:val="00477E83"/>
    <w:rsid w:val="004800E3"/>
    <w:rsid w:val="004808A5"/>
    <w:rsid w:val="004809A4"/>
    <w:rsid w:val="004834A9"/>
    <w:rsid w:val="00483B2D"/>
    <w:rsid w:val="00483D5C"/>
    <w:rsid w:val="00484067"/>
    <w:rsid w:val="004844A3"/>
    <w:rsid w:val="0048451E"/>
    <w:rsid w:val="0048484F"/>
    <w:rsid w:val="00485EDD"/>
    <w:rsid w:val="00490081"/>
    <w:rsid w:val="00493D1F"/>
    <w:rsid w:val="004952AA"/>
    <w:rsid w:val="00495869"/>
    <w:rsid w:val="004962F7"/>
    <w:rsid w:val="00497305"/>
    <w:rsid w:val="004A0DD1"/>
    <w:rsid w:val="004A17A5"/>
    <w:rsid w:val="004A1C17"/>
    <w:rsid w:val="004A2525"/>
    <w:rsid w:val="004A30D4"/>
    <w:rsid w:val="004A3CA5"/>
    <w:rsid w:val="004A45FB"/>
    <w:rsid w:val="004A4CC3"/>
    <w:rsid w:val="004A7499"/>
    <w:rsid w:val="004A75B2"/>
    <w:rsid w:val="004B0B14"/>
    <w:rsid w:val="004B14B2"/>
    <w:rsid w:val="004B15B1"/>
    <w:rsid w:val="004B37ED"/>
    <w:rsid w:val="004B3D7A"/>
    <w:rsid w:val="004B3E24"/>
    <w:rsid w:val="004B41DC"/>
    <w:rsid w:val="004B4C72"/>
    <w:rsid w:val="004B55D0"/>
    <w:rsid w:val="004B5F2E"/>
    <w:rsid w:val="004B5F5F"/>
    <w:rsid w:val="004C12C8"/>
    <w:rsid w:val="004C336E"/>
    <w:rsid w:val="004C33FC"/>
    <w:rsid w:val="004C3B08"/>
    <w:rsid w:val="004C43E0"/>
    <w:rsid w:val="004C4511"/>
    <w:rsid w:val="004C46C3"/>
    <w:rsid w:val="004C5E26"/>
    <w:rsid w:val="004C6452"/>
    <w:rsid w:val="004C6BB1"/>
    <w:rsid w:val="004C788D"/>
    <w:rsid w:val="004C79DA"/>
    <w:rsid w:val="004D0BDE"/>
    <w:rsid w:val="004D0ED2"/>
    <w:rsid w:val="004D663F"/>
    <w:rsid w:val="004D6AA0"/>
    <w:rsid w:val="004D6ADD"/>
    <w:rsid w:val="004D71D0"/>
    <w:rsid w:val="004D78A1"/>
    <w:rsid w:val="004E0915"/>
    <w:rsid w:val="004E0E10"/>
    <w:rsid w:val="004E1B69"/>
    <w:rsid w:val="004E3573"/>
    <w:rsid w:val="004E3FD3"/>
    <w:rsid w:val="004E4E21"/>
    <w:rsid w:val="004E51AE"/>
    <w:rsid w:val="004E5963"/>
    <w:rsid w:val="004E5D84"/>
    <w:rsid w:val="004E5DAD"/>
    <w:rsid w:val="004E5E2D"/>
    <w:rsid w:val="004E6F9A"/>
    <w:rsid w:val="004F09B2"/>
    <w:rsid w:val="004F1E70"/>
    <w:rsid w:val="004F2468"/>
    <w:rsid w:val="004F2FE8"/>
    <w:rsid w:val="004F4D01"/>
    <w:rsid w:val="004F5E4E"/>
    <w:rsid w:val="004F62AF"/>
    <w:rsid w:val="004F6C22"/>
    <w:rsid w:val="004F6CD3"/>
    <w:rsid w:val="004F744A"/>
    <w:rsid w:val="004F7AE7"/>
    <w:rsid w:val="00506F36"/>
    <w:rsid w:val="005104A6"/>
    <w:rsid w:val="00512025"/>
    <w:rsid w:val="00512D17"/>
    <w:rsid w:val="00513B10"/>
    <w:rsid w:val="0051425E"/>
    <w:rsid w:val="00514D69"/>
    <w:rsid w:val="00515399"/>
    <w:rsid w:val="00515409"/>
    <w:rsid w:val="005155DA"/>
    <w:rsid w:val="005158E9"/>
    <w:rsid w:val="005166A9"/>
    <w:rsid w:val="005177BA"/>
    <w:rsid w:val="00521B09"/>
    <w:rsid w:val="00522098"/>
    <w:rsid w:val="00522AC7"/>
    <w:rsid w:val="00524EA6"/>
    <w:rsid w:val="0052677A"/>
    <w:rsid w:val="00527204"/>
    <w:rsid w:val="0053237E"/>
    <w:rsid w:val="00532E9E"/>
    <w:rsid w:val="005331BE"/>
    <w:rsid w:val="005351AF"/>
    <w:rsid w:val="005355F3"/>
    <w:rsid w:val="00537AC5"/>
    <w:rsid w:val="00540EE3"/>
    <w:rsid w:val="00541D9D"/>
    <w:rsid w:val="00542146"/>
    <w:rsid w:val="00542DE9"/>
    <w:rsid w:val="005432CA"/>
    <w:rsid w:val="00544B6E"/>
    <w:rsid w:val="00545048"/>
    <w:rsid w:val="005453C6"/>
    <w:rsid w:val="00545FBF"/>
    <w:rsid w:val="00546E06"/>
    <w:rsid w:val="00550F80"/>
    <w:rsid w:val="00552537"/>
    <w:rsid w:val="00552734"/>
    <w:rsid w:val="005527BB"/>
    <w:rsid w:val="00555567"/>
    <w:rsid w:val="0055609A"/>
    <w:rsid w:val="00556FF2"/>
    <w:rsid w:val="00557DC4"/>
    <w:rsid w:val="00560B27"/>
    <w:rsid w:val="00560D73"/>
    <w:rsid w:val="00562463"/>
    <w:rsid w:val="00564283"/>
    <w:rsid w:val="005654B9"/>
    <w:rsid w:val="00565D0F"/>
    <w:rsid w:val="00567195"/>
    <w:rsid w:val="00572581"/>
    <w:rsid w:val="00573B93"/>
    <w:rsid w:val="00575B0C"/>
    <w:rsid w:val="00575DFD"/>
    <w:rsid w:val="00576F46"/>
    <w:rsid w:val="00577146"/>
    <w:rsid w:val="00580DBE"/>
    <w:rsid w:val="00581C27"/>
    <w:rsid w:val="00581D37"/>
    <w:rsid w:val="00587824"/>
    <w:rsid w:val="005900EE"/>
    <w:rsid w:val="00590842"/>
    <w:rsid w:val="005913D3"/>
    <w:rsid w:val="00591941"/>
    <w:rsid w:val="005924A4"/>
    <w:rsid w:val="005928EF"/>
    <w:rsid w:val="00592A03"/>
    <w:rsid w:val="005939B2"/>
    <w:rsid w:val="00595F92"/>
    <w:rsid w:val="00597376"/>
    <w:rsid w:val="00597879"/>
    <w:rsid w:val="005A49B1"/>
    <w:rsid w:val="005A6530"/>
    <w:rsid w:val="005A6656"/>
    <w:rsid w:val="005B05EE"/>
    <w:rsid w:val="005B0DD7"/>
    <w:rsid w:val="005B41D5"/>
    <w:rsid w:val="005B44D5"/>
    <w:rsid w:val="005B736B"/>
    <w:rsid w:val="005B7AF4"/>
    <w:rsid w:val="005C0CCF"/>
    <w:rsid w:val="005C1737"/>
    <w:rsid w:val="005C3F1D"/>
    <w:rsid w:val="005C6936"/>
    <w:rsid w:val="005C6C20"/>
    <w:rsid w:val="005C73C0"/>
    <w:rsid w:val="005C747C"/>
    <w:rsid w:val="005C76AA"/>
    <w:rsid w:val="005C7CD5"/>
    <w:rsid w:val="005D0347"/>
    <w:rsid w:val="005D097C"/>
    <w:rsid w:val="005D1085"/>
    <w:rsid w:val="005D12E5"/>
    <w:rsid w:val="005D1D35"/>
    <w:rsid w:val="005D2CAB"/>
    <w:rsid w:val="005D5F9B"/>
    <w:rsid w:val="005D5FE1"/>
    <w:rsid w:val="005E0ED8"/>
    <w:rsid w:val="005E4336"/>
    <w:rsid w:val="005E644C"/>
    <w:rsid w:val="005E66E1"/>
    <w:rsid w:val="005E7B16"/>
    <w:rsid w:val="005E7D8B"/>
    <w:rsid w:val="005F0A7D"/>
    <w:rsid w:val="005F107E"/>
    <w:rsid w:val="005F27E1"/>
    <w:rsid w:val="005F40DB"/>
    <w:rsid w:val="005F4771"/>
    <w:rsid w:val="005F4EEC"/>
    <w:rsid w:val="005F5279"/>
    <w:rsid w:val="005F5EFE"/>
    <w:rsid w:val="005F6334"/>
    <w:rsid w:val="005F770B"/>
    <w:rsid w:val="00601A4D"/>
    <w:rsid w:val="00603BA6"/>
    <w:rsid w:val="00605B29"/>
    <w:rsid w:val="00606066"/>
    <w:rsid w:val="00606446"/>
    <w:rsid w:val="00606B45"/>
    <w:rsid w:val="0061022E"/>
    <w:rsid w:val="00612F4C"/>
    <w:rsid w:val="006133F1"/>
    <w:rsid w:val="006141DF"/>
    <w:rsid w:val="006144EB"/>
    <w:rsid w:val="006148A6"/>
    <w:rsid w:val="006170E0"/>
    <w:rsid w:val="006172C6"/>
    <w:rsid w:val="0062105C"/>
    <w:rsid w:val="006263BB"/>
    <w:rsid w:val="0062759A"/>
    <w:rsid w:val="00630392"/>
    <w:rsid w:val="00631EAC"/>
    <w:rsid w:val="00632351"/>
    <w:rsid w:val="006325B9"/>
    <w:rsid w:val="00633D38"/>
    <w:rsid w:val="00634525"/>
    <w:rsid w:val="0063476A"/>
    <w:rsid w:val="006401A1"/>
    <w:rsid w:val="00640DB8"/>
    <w:rsid w:val="006414B6"/>
    <w:rsid w:val="006429E1"/>
    <w:rsid w:val="00643402"/>
    <w:rsid w:val="0064410E"/>
    <w:rsid w:val="0064459E"/>
    <w:rsid w:val="00644B7B"/>
    <w:rsid w:val="00644C09"/>
    <w:rsid w:val="006477B0"/>
    <w:rsid w:val="00650432"/>
    <w:rsid w:val="00651090"/>
    <w:rsid w:val="00652726"/>
    <w:rsid w:val="00652E1F"/>
    <w:rsid w:val="00655507"/>
    <w:rsid w:val="00655BB5"/>
    <w:rsid w:val="006562B3"/>
    <w:rsid w:val="006606F9"/>
    <w:rsid w:val="00662275"/>
    <w:rsid w:val="0066396C"/>
    <w:rsid w:val="00663A63"/>
    <w:rsid w:val="00665E47"/>
    <w:rsid w:val="00670748"/>
    <w:rsid w:val="006707B6"/>
    <w:rsid w:val="00671E49"/>
    <w:rsid w:val="006729B8"/>
    <w:rsid w:val="00674980"/>
    <w:rsid w:val="006761B9"/>
    <w:rsid w:val="006769AB"/>
    <w:rsid w:val="00680C74"/>
    <w:rsid w:val="006819BC"/>
    <w:rsid w:val="00682F37"/>
    <w:rsid w:val="006851AF"/>
    <w:rsid w:val="006902E8"/>
    <w:rsid w:val="006912A4"/>
    <w:rsid w:val="006932B5"/>
    <w:rsid w:val="00695A1E"/>
    <w:rsid w:val="006A0D75"/>
    <w:rsid w:val="006A1637"/>
    <w:rsid w:val="006A2551"/>
    <w:rsid w:val="006A2C5B"/>
    <w:rsid w:val="006A31E7"/>
    <w:rsid w:val="006A390A"/>
    <w:rsid w:val="006A4A66"/>
    <w:rsid w:val="006A5114"/>
    <w:rsid w:val="006A5115"/>
    <w:rsid w:val="006A5B3A"/>
    <w:rsid w:val="006A5B6B"/>
    <w:rsid w:val="006A720E"/>
    <w:rsid w:val="006B062B"/>
    <w:rsid w:val="006B2B57"/>
    <w:rsid w:val="006B3F70"/>
    <w:rsid w:val="006B50BE"/>
    <w:rsid w:val="006B5E8B"/>
    <w:rsid w:val="006B7885"/>
    <w:rsid w:val="006B78D9"/>
    <w:rsid w:val="006B7969"/>
    <w:rsid w:val="006B7D32"/>
    <w:rsid w:val="006C1CD2"/>
    <w:rsid w:val="006C1CE4"/>
    <w:rsid w:val="006C2744"/>
    <w:rsid w:val="006C3990"/>
    <w:rsid w:val="006C47EB"/>
    <w:rsid w:val="006C652F"/>
    <w:rsid w:val="006D031F"/>
    <w:rsid w:val="006D2CDE"/>
    <w:rsid w:val="006D3BA9"/>
    <w:rsid w:val="006D3D09"/>
    <w:rsid w:val="006D645E"/>
    <w:rsid w:val="006D6ED8"/>
    <w:rsid w:val="006E0185"/>
    <w:rsid w:val="006E2526"/>
    <w:rsid w:val="006E31B1"/>
    <w:rsid w:val="006E3E8A"/>
    <w:rsid w:val="006E4BA9"/>
    <w:rsid w:val="006E6E63"/>
    <w:rsid w:val="006F076A"/>
    <w:rsid w:val="006F3EB4"/>
    <w:rsid w:val="006F4C4F"/>
    <w:rsid w:val="006F5A1A"/>
    <w:rsid w:val="006F6DE4"/>
    <w:rsid w:val="006F7269"/>
    <w:rsid w:val="00700313"/>
    <w:rsid w:val="00700A16"/>
    <w:rsid w:val="0070113B"/>
    <w:rsid w:val="007015B1"/>
    <w:rsid w:val="00701F90"/>
    <w:rsid w:val="00702D89"/>
    <w:rsid w:val="0070332A"/>
    <w:rsid w:val="00704112"/>
    <w:rsid w:val="00707769"/>
    <w:rsid w:val="007115F6"/>
    <w:rsid w:val="00711931"/>
    <w:rsid w:val="00711B95"/>
    <w:rsid w:val="00711BCA"/>
    <w:rsid w:val="007140EB"/>
    <w:rsid w:val="00716E7E"/>
    <w:rsid w:val="00717F2C"/>
    <w:rsid w:val="007230E5"/>
    <w:rsid w:val="007234DD"/>
    <w:rsid w:val="00725471"/>
    <w:rsid w:val="00726432"/>
    <w:rsid w:val="00726672"/>
    <w:rsid w:val="007267F8"/>
    <w:rsid w:val="0072682D"/>
    <w:rsid w:val="0073085A"/>
    <w:rsid w:val="00733B73"/>
    <w:rsid w:val="00733BEF"/>
    <w:rsid w:val="0073633D"/>
    <w:rsid w:val="00742CA6"/>
    <w:rsid w:val="00744B29"/>
    <w:rsid w:val="00744D98"/>
    <w:rsid w:val="00744F26"/>
    <w:rsid w:val="007461AD"/>
    <w:rsid w:val="0074776D"/>
    <w:rsid w:val="00747D11"/>
    <w:rsid w:val="00750895"/>
    <w:rsid w:val="0075363F"/>
    <w:rsid w:val="00755C81"/>
    <w:rsid w:val="00756057"/>
    <w:rsid w:val="0076286C"/>
    <w:rsid w:val="00764966"/>
    <w:rsid w:val="00766526"/>
    <w:rsid w:val="007670A5"/>
    <w:rsid w:val="0077006C"/>
    <w:rsid w:val="00771E1F"/>
    <w:rsid w:val="00772154"/>
    <w:rsid w:val="00772923"/>
    <w:rsid w:val="00774252"/>
    <w:rsid w:val="00776326"/>
    <w:rsid w:val="00776BA0"/>
    <w:rsid w:val="00777124"/>
    <w:rsid w:val="007771B2"/>
    <w:rsid w:val="00777BAD"/>
    <w:rsid w:val="00777FE4"/>
    <w:rsid w:val="007802B0"/>
    <w:rsid w:val="00783BCE"/>
    <w:rsid w:val="007854DD"/>
    <w:rsid w:val="0078607D"/>
    <w:rsid w:val="0079102E"/>
    <w:rsid w:val="00791A6D"/>
    <w:rsid w:val="00792367"/>
    <w:rsid w:val="007940E2"/>
    <w:rsid w:val="007945C0"/>
    <w:rsid w:val="00794801"/>
    <w:rsid w:val="00794F82"/>
    <w:rsid w:val="007971FB"/>
    <w:rsid w:val="0079759D"/>
    <w:rsid w:val="007975E8"/>
    <w:rsid w:val="007A0222"/>
    <w:rsid w:val="007A0FBB"/>
    <w:rsid w:val="007A24BB"/>
    <w:rsid w:val="007A2F0E"/>
    <w:rsid w:val="007A3446"/>
    <w:rsid w:val="007A3AB7"/>
    <w:rsid w:val="007A4819"/>
    <w:rsid w:val="007A5D7C"/>
    <w:rsid w:val="007A7870"/>
    <w:rsid w:val="007B05F2"/>
    <w:rsid w:val="007B1B9E"/>
    <w:rsid w:val="007B2428"/>
    <w:rsid w:val="007B29A6"/>
    <w:rsid w:val="007B2E42"/>
    <w:rsid w:val="007B3132"/>
    <w:rsid w:val="007B6057"/>
    <w:rsid w:val="007B6E7F"/>
    <w:rsid w:val="007B77A5"/>
    <w:rsid w:val="007B7D1D"/>
    <w:rsid w:val="007C2C2E"/>
    <w:rsid w:val="007C3CB4"/>
    <w:rsid w:val="007C3F58"/>
    <w:rsid w:val="007C404C"/>
    <w:rsid w:val="007C4E60"/>
    <w:rsid w:val="007C550B"/>
    <w:rsid w:val="007C6563"/>
    <w:rsid w:val="007C70AA"/>
    <w:rsid w:val="007D0072"/>
    <w:rsid w:val="007D034C"/>
    <w:rsid w:val="007D33E2"/>
    <w:rsid w:val="007D3D01"/>
    <w:rsid w:val="007D6741"/>
    <w:rsid w:val="007D6CD9"/>
    <w:rsid w:val="007D6EFC"/>
    <w:rsid w:val="007E186D"/>
    <w:rsid w:val="007E287D"/>
    <w:rsid w:val="007E632B"/>
    <w:rsid w:val="007E773B"/>
    <w:rsid w:val="007E78B1"/>
    <w:rsid w:val="007E7D0E"/>
    <w:rsid w:val="007E7DC1"/>
    <w:rsid w:val="007F5875"/>
    <w:rsid w:val="007F77D3"/>
    <w:rsid w:val="00803194"/>
    <w:rsid w:val="008059A0"/>
    <w:rsid w:val="008062A9"/>
    <w:rsid w:val="00810F29"/>
    <w:rsid w:val="008133F7"/>
    <w:rsid w:val="0081472F"/>
    <w:rsid w:val="00815D0C"/>
    <w:rsid w:val="0081627F"/>
    <w:rsid w:val="00820E91"/>
    <w:rsid w:val="00821614"/>
    <w:rsid w:val="00821DEC"/>
    <w:rsid w:val="0082506B"/>
    <w:rsid w:val="00825AF4"/>
    <w:rsid w:val="00825F85"/>
    <w:rsid w:val="008276BE"/>
    <w:rsid w:val="00830DC5"/>
    <w:rsid w:val="00832213"/>
    <w:rsid w:val="0083417B"/>
    <w:rsid w:val="00835FA1"/>
    <w:rsid w:val="00836CE3"/>
    <w:rsid w:val="0084107B"/>
    <w:rsid w:val="00841CB5"/>
    <w:rsid w:val="008420AB"/>
    <w:rsid w:val="00842C78"/>
    <w:rsid w:val="00843C8D"/>
    <w:rsid w:val="008471FE"/>
    <w:rsid w:val="00847E54"/>
    <w:rsid w:val="00852FD6"/>
    <w:rsid w:val="0085314D"/>
    <w:rsid w:val="00853B5A"/>
    <w:rsid w:val="008544AF"/>
    <w:rsid w:val="008561A1"/>
    <w:rsid w:val="008602BB"/>
    <w:rsid w:val="00860301"/>
    <w:rsid w:val="008607F9"/>
    <w:rsid w:val="00860FA4"/>
    <w:rsid w:val="00864236"/>
    <w:rsid w:val="00865A66"/>
    <w:rsid w:val="00865FA1"/>
    <w:rsid w:val="0087028D"/>
    <w:rsid w:val="00873255"/>
    <w:rsid w:val="00873D52"/>
    <w:rsid w:val="00876B24"/>
    <w:rsid w:val="00880237"/>
    <w:rsid w:val="00880AA0"/>
    <w:rsid w:val="008813B7"/>
    <w:rsid w:val="0088193C"/>
    <w:rsid w:val="008826CF"/>
    <w:rsid w:val="00882916"/>
    <w:rsid w:val="0088452E"/>
    <w:rsid w:val="00885855"/>
    <w:rsid w:val="00890146"/>
    <w:rsid w:val="00890726"/>
    <w:rsid w:val="00892595"/>
    <w:rsid w:val="0089607E"/>
    <w:rsid w:val="00896803"/>
    <w:rsid w:val="008A0BEE"/>
    <w:rsid w:val="008A2A63"/>
    <w:rsid w:val="008A3A89"/>
    <w:rsid w:val="008A4598"/>
    <w:rsid w:val="008A5F50"/>
    <w:rsid w:val="008A6B2F"/>
    <w:rsid w:val="008A7180"/>
    <w:rsid w:val="008B0B52"/>
    <w:rsid w:val="008B2107"/>
    <w:rsid w:val="008B38BE"/>
    <w:rsid w:val="008B5225"/>
    <w:rsid w:val="008B5609"/>
    <w:rsid w:val="008B78CE"/>
    <w:rsid w:val="008B78EE"/>
    <w:rsid w:val="008C0226"/>
    <w:rsid w:val="008C0C9E"/>
    <w:rsid w:val="008C2EAC"/>
    <w:rsid w:val="008C323F"/>
    <w:rsid w:val="008C5B15"/>
    <w:rsid w:val="008C7A2E"/>
    <w:rsid w:val="008D1EF1"/>
    <w:rsid w:val="008D2683"/>
    <w:rsid w:val="008D26DF"/>
    <w:rsid w:val="008D380A"/>
    <w:rsid w:val="008D7B86"/>
    <w:rsid w:val="008E1675"/>
    <w:rsid w:val="008E6222"/>
    <w:rsid w:val="008E7A9D"/>
    <w:rsid w:val="008E7F80"/>
    <w:rsid w:val="008F1F3A"/>
    <w:rsid w:val="008F2AD5"/>
    <w:rsid w:val="008F2FCF"/>
    <w:rsid w:val="008F566A"/>
    <w:rsid w:val="008F5D59"/>
    <w:rsid w:val="008F61D1"/>
    <w:rsid w:val="008F6EA1"/>
    <w:rsid w:val="008F6F56"/>
    <w:rsid w:val="00900B95"/>
    <w:rsid w:val="00901843"/>
    <w:rsid w:val="00906367"/>
    <w:rsid w:val="00906710"/>
    <w:rsid w:val="0091407F"/>
    <w:rsid w:val="00914733"/>
    <w:rsid w:val="00916669"/>
    <w:rsid w:val="009169EA"/>
    <w:rsid w:val="00917315"/>
    <w:rsid w:val="009173B2"/>
    <w:rsid w:val="00920CF1"/>
    <w:rsid w:val="00920FF9"/>
    <w:rsid w:val="0092109E"/>
    <w:rsid w:val="00924DD4"/>
    <w:rsid w:val="0092626C"/>
    <w:rsid w:val="0092626D"/>
    <w:rsid w:val="00927C35"/>
    <w:rsid w:val="00927CC6"/>
    <w:rsid w:val="009308AC"/>
    <w:rsid w:val="00932781"/>
    <w:rsid w:val="00933934"/>
    <w:rsid w:val="0093746A"/>
    <w:rsid w:val="00937AD2"/>
    <w:rsid w:val="00937F8D"/>
    <w:rsid w:val="00940419"/>
    <w:rsid w:val="009409A1"/>
    <w:rsid w:val="00940C13"/>
    <w:rsid w:val="00941690"/>
    <w:rsid w:val="009416EB"/>
    <w:rsid w:val="00942A58"/>
    <w:rsid w:val="00942F44"/>
    <w:rsid w:val="00945E69"/>
    <w:rsid w:val="00946E00"/>
    <w:rsid w:val="00947B72"/>
    <w:rsid w:val="009501A0"/>
    <w:rsid w:val="00952C64"/>
    <w:rsid w:val="00952E8F"/>
    <w:rsid w:val="00954C26"/>
    <w:rsid w:val="009571E8"/>
    <w:rsid w:val="00962733"/>
    <w:rsid w:val="0096291F"/>
    <w:rsid w:val="009657E0"/>
    <w:rsid w:val="00965864"/>
    <w:rsid w:val="00966773"/>
    <w:rsid w:val="00967402"/>
    <w:rsid w:val="00973601"/>
    <w:rsid w:val="00973994"/>
    <w:rsid w:val="00973AC1"/>
    <w:rsid w:val="00975AE2"/>
    <w:rsid w:val="00975D52"/>
    <w:rsid w:val="00976176"/>
    <w:rsid w:val="009775AF"/>
    <w:rsid w:val="009802CE"/>
    <w:rsid w:val="00981BA8"/>
    <w:rsid w:val="00981DDF"/>
    <w:rsid w:val="00983FAA"/>
    <w:rsid w:val="0098556C"/>
    <w:rsid w:val="00985D36"/>
    <w:rsid w:val="0098679A"/>
    <w:rsid w:val="00990EC7"/>
    <w:rsid w:val="0099118B"/>
    <w:rsid w:val="009923AC"/>
    <w:rsid w:val="00992869"/>
    <w:rsid w:val="00993186"/>
    <w:rsid w:val="00995F32"/>
    <w:rsid w:val="00996149"/>
    <w:rsid w:val="009A1449"/>
    <w:rsid w:val="009A25DC"/>
    <w:rsid w:val="009A292C"/>
    <w:rsid w:val="009A3424"/>
    <w:rsid w:val="009A472A"/>
    <w:rsid w:val="009A5CA8"/>
    <w:rsid w:val="009A7510"/>
    <w:rsid w:val="009A7633"/>
    <w:rsid w:val="009B00B6"/>
    <w:rsid w:val="009B1A35"/>
    <w:rsid w:val="009B37A7"/>
    <w:rsid w:val="009B3914"/>
    <w:rsid w:val="009B3F74"/>
    <w:rsid w:val="009B4289"/>
    <w:rsid w:val="009B4727"/>
    <w:rsid w:val="009C0713"/>
    <w:rsid w:val="009C1CC4"/>
    <w:rsid w:val="009C2E12"/>
    <w:rsid w:val="009C5B5A"/>
    <w:rsid w:val="009C5F69"/>
    <w:rsid w:val="009D04AC"/>
    <w:rsid w:val="009D2592"/>
    <w:rsid w:val="009D2CCB"/>
    <w:rsid w:val="009D335F"/>
    <w:rsid w:val="009D46E9"/>
    <w:rsid w:val="009D476A"/>
    <w:rsid w:val="009D60DF"/>
    <w:rsid w:val="009D743F"/>
    <w:rsid w:val="009E001B"/>
    <w:rsid w:val="009E13A5"/>
    <w:rsid w:val="009E1AB6"/>
    <w:rsid w:val="009E270E"/>
    <w:rsid w:val="009E3111"/>
    <w:rsid w:val="009F07EB"/>
    <w:rsid w:val="009F0954"/>
    <w:rsid w:val="009F0CB8"/>
    <w:rsid w:val="009F11D8"/>
    <w:rsid w:val="009F188A"/>
    <w:rsid w:val="009F1EC2"/>
    <w:rsid w:val="009F2228"/>
    <w:rsid w:val="009F2BB6"/>
    <w:rsid w:val="009F4031"/>
    <w:rsid w:val="009F4F83"/>
    <w:rsid w:val="009F6509"/>
    <w:rsid w:val="009F6F8A"/>
    <w:rsid w:val="00A00513"/>
    <w:rsid w:val="00A02916"/>
    <w:rsid w:val="00A0357C"/>
    <w:rsid w:val="00A03D72"/>
    <w:rsid w:val="00A05208"/>
    <w:rsid w:val="00A061AE"/>
    <w:rsid w:val="00A06294"/>
    <w:rsid w:val="00A103EA"/>
    <w:rsid w:val="00A1060C"/>
    <w:rsid w:val="00A15D50"/>
    <w:rsid w:val="00A205D8"/>
    <w:rsid w:val="00A2212E"/>
    <w:rsid w:val="00A231E1"/>
    <w:rsid w:val="00A232E8"/>
    <w:rsid w:val="00A24222"/>
    <w:rsid w:val="00A26D22"/>
    <w:rsid w:val="00A30E65"/>
    <w:rsid w:val="00A310C7"/>
    <w:rsid w:val="00A32337"/>
    <w:rsid w:val="00A35E09"/>
    <w:rsid w:val="00A36DF0"/>
    <w:rsid w:val="00A40057"/>
    <w:rsid w:val="00A40A4A"/>
    <w:rsid w:val="00A41587"/>
    <w:rsid w:val="00A41881"/>
    <w:rsid w:val="00A42DC5"/>
    <w:rsid w:val="00A435AA"/>
    <w:rsid w:val="00A46B6B"/>
    <w:rsid w:val="00A50035"/>
    <w:rsid w:val="00A5033E"/>
    <w:rsid w:val="00A51CE5"/>
    <w:rsid w:val="00A54F56"/>
    <w:rsid w:val="00A579E3"/>
    <w:rsid w:val="00A57E24"/>
    <w:rsid w:val="00A60740"/>
    <w:rsid w:val="00A6088B"/>
    <w:rsid w:val="00A60BC0"/>
    <w:rsid w:val="00A62E33"/>
    <w:rsid w:val="00A64F09"/>
    <w:rsid w:val="00A6529A"/>
    <w:rsid w:val="00A6581B"/>
    <w:rsid w:val="00A66385"/>
    <w:rsid w:val="00A6655B"/>
    <w:rsid w:val="00A704C1"/>
    <w:rsid w:val="00A71A70"/>
    <w:rsid w:val="00A76227"/>
    <w:rsid w:val="00A770DA"/>
    <w:rsid w:val="00A80E41"/>
    <w:rsid w:val="00A8128B"/>
    <w:rsid w:val="00A819A6"/>
    <w:rsid w:val="00A81D49"/>
    <w:rsid w:val="00A845E2"/>
    <w:rsid w:val="00A850F7"/>
    <w:rsid w:val="00A852BE"/>
    <w:rsid w:val="00A85E12"/>
    <w:rsid w:val="00A86096"/>
    <w:rsid w:val="00A86621"/>
    <w:rsid w:val="00A879E0"/>
    <w:rsid w:val="00A90BD5"/>
    <w:rsid w:val="00A919E5"/>
    <w:rsid w:val="00A931CB"/>
    <w:rsid w:val="00A94954"/>
    <w:rsid w:val="00A95717"/>
    <w:rsid w:val="00A96948"/>
    <w:rsid w:val="00AA1AA8"/>
    <w:rsid w:val="00AA3390"/>
    <w:rsid w:val="00AA3441"/>
    <w:rsid w:val="00AA4038"/>
    <w:rsid w:val="00AA6680"/>
    <w:rsid w:val="00AA7751"/>
    <w:rsid w:val="00AA7E2A"/>
    <w:rsid w:val="00AB00F0"/>
    <w:rsid w:val="00AB0ED1"/>
    <w:rsid w:val="00AB2C22"/>
    <w:rsid w:val="00AB3E47"/>
    <w:rsid w:val="00AB41B5"/>
    <w:rsid w:val="00AB5FEC"/>
    <w:rsid w:val="00AB712C"/>
    <w:rsid w:val="00AB785C"/>
    <w:rsid w:val="00AB7EA5"/>
    <w:rsid w:val="00AC03E0"/>
    <w:rsid w:val="00AC299A"/>
    <w:rsid w:val="00AC5DD3"/>
    <w:rsid w:val="00AC6E51"/>
    <w:rsid w:val="00AC7D5A"/>
    <w:rsid w:val="00AD00AD"/>
    <w:rsid w:val="00AD114E"/>
    <w:rsid w:val="00AD4187"/>
    <w:rsid w:val="00AD42C1"/>
    <w:rsid w:val="00AD47D2"/>
    <w:rsid w:val="00AD4C19"/>
    <w:rsid w:val="00AD5838"/>
    <w:rsid w:val="00AD592E"/>
    <w:rsid w:val="00AD6520"/>
    <w:rsid w:val="00AE5F6B"/>
    <w:rsid w:val="00AE6ED3"/>
    <w:rsid w:val="00AF0F1F"/>
    <w:rsid w:val="00AF2B91"/>
    <w:rsid w:val="00AF4074"/>
    <w:rsid w:val="00AF5607"/>
    <w:rsid w:val="00AF64AC"/>
    <w:rsid w:val="00AF6A4E"/>
    <w:rsid w:val="00B030F1"/>
    <w:rsid w:val="00B04A13"/>
    <w:rsid w:val="00B04A17"/>
    <w:rsid w:val="00B04D14"/>
    <w:rsid w:val="00B05A3E"/>
    <w:rsid w:val="00B07D78"/>
    <w:rsid w:val="00B10EB4"/>
    <w:rsid w:val="00B1141F"/>
    <w:rsid w:val="00B132A8"/>
    <w:rsid w:val="00B13341"/>
    <w:rsid w:val="00B16557"/>
    <w:rsid w:val="00B201D2"/>
    <w:rsid w:val="00B20575"/>
    <w:rsid w:val="00B20945"/>
    <w:rsid w:val="00B22232"/>
    <w:rsid w:val="00B24052"/>
    <w:rsid w:val="00B24207"/>
    <w:rsid w:val="00B24FF1"/>
    <w:rsid w:val="00B250E0"/>
    <w:rsid w:val="00B26D34"/>
    <w:rsid w:val="00B270BE"/>
    <w:rsid w:val="00B277DD"/>
    <w:rsid w:val="00B27A5D"/>
    <w:rsid w:val="00B31180"/>
    <w:rsid w:val="00B338D3"/>
    <w:rsid w:val="00B341C4"/>
    <w:rsid w:val="00B347AA"/>
    <w:rsid w:val="00B36979"/>
    <w:rsid w:val="00B36D91"/>
    <w:rsid w:val="00B40276"/>
    <w:rsid w:val="00B41CCC"/>
    <w:rsid w:val="00B42DEC"/>
    <w:rsid w:val="00B433CA"/>
    <w:rsid w:val="00B44F95"/>
    <w:rsid w:val="00B45C97"/>
    <w:rsid w:val="00B5161E"/>
    <w:rsid w:val="00B53045"/>
    <w:rsid w:val="00B5319C"/>
    <w:rsid w:val="00B54CAC"/>
    <w:rsid w:val="00B5611B"/>
    <w:rsid w:val="00B60C3A"/>
    <w:rsid w:val="00B60D7F"/>
    <w:rsid w:val="00B642CC"/>
    <w:rsid w:val="00B71117"/>
    <w:rsid w:val="00B7285D"/>
    <w:rsid w:val="00B730B0"/>
    <w:rsid w:val="00B745B8"/>
    <w:rsid w:val="00B746B0"/>
    <w:rsid w:val="00B75269"/>
    <w:rsid w:val="00B7598A"/>
    <w:rsid w:val="00B76CF5"/>
    <w:rsid w:val="00B77AE8"/>
    <w:rsid w:val="00B84464"/>
    <w:rsid w:val="00B85364"/>
    <w:rsid w:val="00B8696E"/>
    <w:rsid w:val="00B86E64"/>
    <w:rsid w:val="00B874A9"/>
    <w:rsid w:val="00B906ED"/>
    <w:rsid w:val="00B913D7"/>
    <w:rsid w:val="00B92771"/>
    <w:rsid w:val="00B94017"/>
    <w:rsid w:val="00B9429C"/>
    <w:rsid w:val="00B953A6"/>
    <w:rsid w:val="00B96093"/>
    <w:rsid w:val="00B973F2"/>
    <w:rsid w:val="00BA0E09"/>
    <w:rsid w:val="00BA1B97"/>
    <w:rsid w:val="00BA30E7"/>
    <w:rsid w:val="00BA34B6"/>
    <w:rsid w:val="00BA3AA2"/>
    <w:rsid w:val="00BA6192"/>
    <w:rsid w:val="00BB09D4"/>
    <w:rsid w:val="00BB18A3"/>
    <w:rsid w:val="00BB1AA3"/>
    <w:rsid w:val="00BB2B79"/>
    <w:rsid w:val="00BB4ABE"/>
    <w:rsid w:val="00BB5CE1"/>
    <w:rsid w:val="00BB7685"/>
    <w:rsid w:val="00BC1E8A"/>
    <w:rsid w:val="00BC22FF"/>
    <w:rsid w:val="00BC26EA"/>
    <w:rsid w:val="00BC2754"/>
    <w:rsid w:val="00BC37FC"/>
    <w:rsid w:val="00BC4981"/>
    <w:rsid w:val="00BC75F6"/>
    <w:rsid w:val="00BC76BE"/>
    <w:rsid w:val="00BC7E90"/>
    <w:rsid w:val="00BD05E5"/>
    <w:rsid w:val="00BD1009"/>
    <w:rsid w:val="00BD1AC5"/>
    <w:rsid w:val="00BD1DA0"/>
    <w:rsid w:val="00BD332C"/>
    <w:rsid w:val="00BD381B"/>
    <w:rsid w:val="00BD56DE"/>
    <w:rsid w:val="00BD5C4B"/>
    <w:rsid w:val="00BD5F12"/>
    <w:rsid w:val="00BD656F"/>
    <w:rsid w:val="00BD79D9"/>
    <w:rsid w:val="00BE01FF"/>
    <w:rsid w:val="00BE201D"/>
    <w:rsid w:val="00BE24CA"/>
    <w:rsid w:val="00BE2BC1"/>
    <w:rsid w:val="00BE32FF"/>
    <w:rsid w:val="00BE4A42"/>
    <w:rsid w:val="00BE5382"/>
    <w:rsid w:val="00BE58DF"/>
    <w:rsid w:val="00BE6C87"/>
    <w:rsid w:val="00BE7807"/>
    <w:rsid w:val="00BF637D"/>
    <w:rsid w:val="00BF6389"/>
    <w:rsid w:val="00C00EBE"/>
    <w:rsid w:val="00C04AA6"/>
    <w:rsid w:val="00C06158"/>
    <w:rsid w:val="00C06EB9"/>
    <w:rsid w:val="00C11A3A"/>
    <w:rsid w:val="00C1211C"/>
    <w:rsid w:val="00C13AF8"/>
    <w:rsid w:val="00C13E82"/>
    <w:rsid w:val="00C1782C"/>
    <w:rsid w:val="00C17FEA"/>
    <w:rsid w:val="00C20DF7"/>
    <w:rsid w:val="00C2247A"/>
    <w:rsid w:val="00C23C79"/>
    <w:rsid w:val="00C23F44"/>
    <w:rsid w:val="00C262E7"/>
    <w:rsid w:val="00C26BAA"/>
    <w:rsid w:val="00C26F59"/>
    <w:rsid w:val="00C27FF0"/>
    <w:rsid w:val="00C30727"/>
    <w:rsid w:val="00C31989"/>
    <w:rsid w:val="00C33E8A"/>
    <w:rsid w:val="00C354D9"/>
    <w:rsid w:val="00C364D7"/>
    <w:rsid w:val="00C46649"/>
    <w:rsid w:val="00C475F1"/>
    <w:rsid w:val="00C51550"/>
    <w:rsid w:val="00C53D25"/>
    <w:rsid w:val="00C556DD"/>
    <w:rsid w:val="00C55B8B"/>
    <w:rsid w:val="00C578DC"/>
    <w:rsid w:val="00C600DD"/>
    <w:rsid w:val="00C62E1E"/>
    <w:rsid w:val="00C633A6"/>
    <w:rsid w:val="00C63879"/>
    <w:rsid w:val="00C64D16"/>
    <w:rsid w:val="00C65EE0"/>
    <w:rsid w:val="00C66871"/>
    <w:rsid w:val="00C67B62"/>
    <w:rsid w:val="00C711D6"/>
    <w:rsid w:val="00C71215"/>
    <w:rsid w:val="00C719A5"/>
    <w:rsid w:val="00C760E2"/>
    <w:rsid w:val="00C77A09"/>
    <w:rsid w:val="00C77A2E"/>
    <w:rsid w:val="00C800E6"/>
    <w:rsid w:val="00C80ACF"/>
    <w:rsid w:val="00C82493"/>
    <w:rsid w:val="00C84C5F"/>
    <w:rsid w:val="00C854FE"/>
    <w:rsid w:val="00C85F7F"/>
    <w:rsid w:val="00C86C8D"/>
    <w:rsid w:val="00C90C5C"/>
    <w:rsid w:val="00C90DFB"/>
    <w:rsid w:val="00C934F9"/>
    <w:rsid w:val="00C949CD"/>
    <w:rsid w:val="00C9746E"/>
    <w:rsid w:val="00CA0826"/>
    <w:rsid w:val="00CA0F93"/>
    <w:rsid w:val="00CA2D3A"/>
    <w:rsid w:val="00CA41EA"/>
    <w:rsid w:val="00CA50C9"/>
    <w:rsid w:val="00CA5A17"/>
    <w:rsid w:val="00CA5A31"/>
    <w:rsid w:val="00CA6E29"/>
    <w:rsid w:val="00CA7534"/>
    <w:rsid w:val="00CB073E"/>
    <w:rsid w:val="00CB13BE"/>
    <w:rsid w:val="00CB16B6"/>
    <w:rsid w:val="00CB2532"/>
    <w:rsid w:val="00CB277B"/>
    <w:rsid w:val="00CB4E6E"/>
    <w:rsid w:val="00CB6176"/>
    <w:rsid w:val="00CB6528"/>
    <w:rsid w:val="00CC14E4"/>
    <w:rsid w:val="00CC19F8"/>
    <w:rsid w:val="00CC2990"/>
    <w:rsid w:val="00CC3C10"/>
    <w:rsid w:val="00CC5B04"/>
    <w:rsid w:val="00CC64DB"/>
    <w:rsid w:val="00CD17A1"/>
    <w:rsid w:val="00CD1D1F"/>
    <w:rsid w:val="00CD20E2"/>
    <w:rsid w:val="00CD25DA"/>
    <w:rsid w:val="00CD282B"/>
    <w:rsid w:val="00CD2C88"/>
    <w:rsid w:val="00CD382F"/>
    <w:rsid w:val="00CD6FC1"/>
    <w:rsid w:val="00CD7E23"/>
    <w:rsid w:val="00CE0599"/>
    <w:rsid w:val="00CE10AF"/>
    <w:rsid w:val="00CE1710"/>
    <w:rsid w:val="00CE34C5"/>
    <w:rsid w:val="00CE40E2"/>
    <w:rsid w:val="00CE471C"/>
    <w:rsid w:val="00CE5FEF"/>
    <w:rsid w:val="00CE7153"/>
    <w:rsid w:val="00CF0F28"/>
    <w:rsid w:val="00CF22C5"/>
    <w:rsid w:val="00CF2E73"/>
    <w:rsid w:val="00CF39E2"/>
    <w:rsid w:val="00CF6318"/>
    <w:rsid w:val="00D01803"/>
    <w:rsid w:val="00D0376E"/>
    <w:rsid w:val="00D046EE"/>
    <w:rsid w:val="00D04CE2"/>
    <w:rsid w:val="00D0687D"/>
    <w:rsid w:val="00D06FF0"/>
    <w:rsid w:val="00D07790"/>
    <w:rsid w:val="00D077C6"/>
    <w:rsid w:val="00D10772"/>
    <w:rsid w:val="00D13ECC"/>
    <w:rsid w:val="00D148EA"/>
    <w:rsid w:val="00D155A9"/>
    <w:rsid w:val="00D16F45"/>
    <w:rsid w:val="00D20AD7"/>
    <w:rsid w:val="00D215B9"/>
    <w:rsid w:val="00D23E4B"/>
    <w:rsid w:val="00D24191"/>
    <w:rsid w:val="00D245E4"/>
    <w:rsid w:val="00D2764E"/>
    <w:rsid w:val="00D3043C"/>
    <w:rsid w:val="00D31FD2"/>
    <w:rsid w:val="00D33476"/>
    <w:rsid w:val="00D339AF"/>
    <w:rsid w:val="00D35C31"/>
    <w:rsid w:val="00D363DB"/>
    <w:rsid w:val="00D368E4"/>
    <w:rsid w:val="00D37433"/>
    <w:rsid w:val="00D37FA6"/>
    <w:rsid w:val="00D40781"/>
    <w:rsid w:val="00D409EE"/>
    <w:rsid w:val="00D41236"/>
    <w:rsid w:val="00D41F35"/>
    <w:rsid w:val="00D42996"/>
    <w:rsid w:val="00D42FCD"/>
    <w:rsid w:val="00D44B7D"/>
    <w:rsid w:val="00D465EA"/>
    <w:rsid w:val="00D468D7"/>
    <w:rsid w:val="00D51100"/>
    <w:rsid w:val="00D51D08"/>
    <w:rsid w:val="00D51E29"/>
    <w:rsid w:val="00D54666"/>
    <w:rsid w:val="00D6003F"/>
    <w:rsid w:val="00D62295"/>
    <w:rsid w:val="00D63DC9"/>
    <w:rsid w:val="00D642EC"/>
    <w:rsid w:val="00D64593"/>
    <w:rsid w:val="00D64ECA"/>
    <w:rsid w:val="00D65105"/>
    <w:rsid w:val="00D66A50"/>
    <w:rsid w:val="00D7054A"/>
    <w:rsid w:val="00D73FCE"/>
    <w:rsid w:val="00D74364"/>
    <w:rsid w:val="00D7534A"/>
    <w:rsid w:val="00D7583D"/>
    <w:rsid w:val="00D75B78"/>
    <w:rsid w:val="00D800BF"/>
    <w:rsid w:val="00D809E3"/>
    <w:rsid w:val="00D80FA1"/>
    <w:rsid w:val="00D8163D"/>
    <w:rsid w:val="00D8188E"/>
    <w:rsid w:val="00D81B1E"/>
    <w:rsid w:val="00D82E56"/>
    <w:rsid w:val="00D8344E"/>
    <w:rsid w:val="00D835B5"/>
    <w:rsid w:val="00D854F8"/>
    <w:rsid w:val="00D8605D"/>
    <w:rsid w:val="00D878F5"/>
    <w:rsid w:val="00D91012"/>
    <w:rsid w:val="00D92CB5"/>
    <w:rsid w:val="00D93680"/>
    <w:rsid w:val="00D9686B"/>
    <w:rsid w:val="00D97D2F"/>
    <w:rsid w:val="00DA3B34"/>
    <w:rsid w:val="00DA724A"/>
    <w:rsid w:val="00DB07B4"/>
    <w:rsid w:val="00DB190A"/>
    <w:rsid w:val="00DB2BEC"/>
    <w:rsid w:val="00DB3F76"/>
    <w:rsid w:val="00DB520E"/>
    <w:rsid w:val="00DB62D7"/>
    <w:rsid w:val="00DB66DB"/>
    <w:rsid w:val="00DB6EF8"/>
    <w:rsid w:val="00DB6F62"/>
    <w:rsid w:val="00DB7C62"/>
    <w:rsid w:val="00DC064E"/>
    <w:rsid w:val="00DC12F3"/>
    <w:rsid w:val="00DC18A5"/>
    <w:rsid w:val="00DC19ED"/>
    <w:rsid w:val="00DC3DE0"/>
    <w:rsid w:val="00DC4523"/>
    <w:rsid w:val="00DC6A39"/>
    <w:rsid w:val="00DC7710"/>
    <w:rsid w:val="00DD1199"/>
    <w:rsid w:val="00DD3432"/>
    <w:rsid w:val="00DD4333"/>
    <w:rsid w:val="00DD5771"/>
    <w:rsid w:val="00DD5A3D"/>
    <w:rsid w:val="00DD61E8"/>
    <w:rsid w:val="00DD77FA"/>
    <w:rsid w:val="00DE0066"/>
    <w:rsid w:val="00DE02A8"/>
    <w:rsid w:val="00DE0469"/>
    <w:rsid w:val="00DE179E"/>
    <w:rsid w:val="00DE274B"/>
    <w:rsid w:val="00DE3BB6"/>
    <w:rsid w:val="00DE43D5"/>
    <w:rsid w:val="00DE64BA"/>
    <w:rsid w:val="00DF0015"/>
    <w:rsid w:val="00DF00EE"/>
    <w:rsid w:val="00DF0C22"/>
    <w:rsid w:val="00DF0D23"/>
    <w:rsid w:val="00DF1F52"/>
    <w:rsid w:val="00DF206F"/>
    <w:rsid w:val="00DF20B9"/>
    <w:rsid w:val="00DF51FF"/>
    <w:rsid w:val="00DF6F0B"/>
    <w:rsid w:val="00DF7B5B"/>
    <w:rsid w:val="00E01048"/>
    <w:rsid w:val="00E018F6"/>
    <w:rsid w:val="00E02B94"/>
    <w:rsid w:val="00E02BFB"/>
    <w:rsid w:val="00E04016"/>
    <w:rsid w:val="00E055E2"/>
    <w:rsid w:val="00E1254D"/>
    <w:rsid w:val="00E12D1C"/>
    <w:rsid w:val="00E14165"/>
    <w:rsid w:val="00E146BD"/>
    <w:rsid w:val="00E14DC5"/>
    <w:rsid w:val="00E15210"/>
    <w:rsid w:val="00E16C51"/>
    <w:rsid w:val="00E232FD"/>
    <w:rsid w:val="00E234CE"/>
    <w:rsid w:val="00E23ECC"/>
    <w:rsid w:val="00E251B4"/>
    <w:rsid w:val="00E25C1D"/>
    <w:rsid w:val="00E26B36"/>
    <w:rsid w:val="00E3066D"/>
    <w:rsid w:val="00E30B83"/>
    <w:rsid w:val="00E3141B"/>
    <w:rsid w:val="00E31793"/>
    <w:rsid w:val="00E36E05"/>
    <w:rsid w:val="00E40EDE"/>
    <w:rsid w:val="00E40F20"/>
    <w:rsid w:val="00E4120E"/>
    <w:rsid w:val="00E413A0"/>
    <w:rsid w:val="00E41C8E"/>
    <w:rsid w:val="00E47547"/>
    <w:rsid w:val="00E50EAC"/>
    <w:rsid w:val="00E54CC3"/>
    <w:rsid w:val="00E57AD6"/>
    <w:rsid w:val="00E614A3"/>
    <w:rsid w:val="00E62D03"/>
    <w:rsid w:val="00E63721"/>
    <w:rsid w:val="00E64ED3"/>
    <w:rsid w:val="00E65FAB"/>
    <w:rsid w:val="00E669FF"/>
    <w:rsid w:val="00E66B60"/>
    <w:rsid w:val="00E67801"/>
    <w:rsid w:val="00E70659"/>
    <w:rsid w:val="00E71A72"/>
    <w:rsid w:val="00E71BDE"/>
    <w:rsid w:val="00E72FD0"/>
    <w:rsid w:val="00E73742"/>
    <w:rsid w:val="00E750A6"/>
    <w:rsid w:val="00E81533"/>
    <w:rsid w:val="00E819C5"/>
    <w:rsid w:val="00E82F9E"/>
    <w:rsid w:val="00E84C12"/>
    <w:rsid w:val="00E85C99"/>
    <w:rsid w:val="00E867D5"/>
    <w:rsid w:val="00E87E77"/>
    <w:rsid w:val="00E9190B"/>
    <w:rsid w:val="00E934B0"/>
    <w:rsid w:val="00E935D6"/>
    <w:rsid w:val="00E93669"/>
    <w:rsid w:val="00E94639"/>
    <w:rsid w:val="00E979E2"/>
    <w:rsid w:val="00EA128C"/>
    <w:rsid w:val="00EA1670"/>
    <w:rsid w:val="00EA2976"/>
    <w:rsid w:val="00EA33F1"/>
    <w:rsid w:val="00EA4986"/>
    <w:rsid w:val="00EA4D8D"/>
    <w:rsid w:val="00EA5E6E"/>
    <w:rsid w:val="00EB1D5C"/>
    <w:rsid w:val="00EB3516"/>
    <w:rsid w:val="00EB3A19"/>
    <w:rsid w:val="00EB4EF0"/>
    <w:rsid w:val="00EB582C"/>
    <w:rsid w:val="00EB641C"/>
    <w:rsid w:val="00EB6548"/>
    <w:rsid w:val="00EC1D19"/>
    <w:rsid w:val="00EC29E1"/>
    <w:rsid w:val="00EC30A2"/>
    <w:rsid w:val="00EC70B1"/>
    <w:rsid w:val="00EC711C"/>
    <w:rsid w:val="00EC71DE"/>
    <w:rsid w:val="00EC7B37"/>
    <w:rsid w:val="00ED15C8"/>
    <w:rsid w:val="00ED16E4"/>
    <w:rsid w:val="00ED1BA8"/>
    <w:rsid w:val="00ED5760"/>
    <w:rsid w:val="00ED6461"/>
    <w:rsid w:val="00ED6652"/>
    <w:rsid w:val="00ED7AE6"/>
    <w:rsid w:val="00ED7BE4"/>
    <w:rsid w:val="00EE074D"/>
    <w:rsid w:val="00EE3C85"/>
    <w:rsid w:val="00EE3F0D"/>
    <w:rsid w:val="00EE4181"/>
    <w:rsid w:val="00EE5AEE"/>
    <w:rsid w:val="00EE5FC4"/>
    <w:rsid w:val="00EF2E3B"/>
    <w:rsid w:val="00EF46DB"/>
    <w:rsid w:val="00F01E10"/>
    <w:rsid w:val="00F02A4A"/>
    <w:rsid w:val="00F0371E"/>
    <w:rsid w:val="00F0403B"/>
    <w:rsid w:val="00F04B00"/>
    <w:rsid w:val="00F058EF"/>
    <w:rsid w:val="00F069E4"/>
    <w:rsid w:val="00F10875"/>
    <w:rsid w:val="00F11120"/>
    <w:rsid w:val="00F11CED"/>
    <w:rsid w:val="00F1412C"/>
    <w:rsid w:val="00F16D54"/>
    <w:rsid w:val="00F175B3"/>
    <w:rsid w:val="00F20A88"/>
    <w:rsid w:val="00F21FCB"/>
    <w:rsid w:val="00F22113"/>
    <w:rsid w:val="00F239E9"/>
    <w:rsid w:val="00F24B65"/>
    <w:rsid w:val="00F25570"/>
    <w:rsid w:val="00F26313"/>
    <w:rsid w:val="00F26428"/>
    <w:rsid w:val="00F2731E"/>
    <w:rsid w:val="00F27560"/>
    <w:rsid w:val="00F30F01"/>
    <w:rsid w:val="00F31E4E"/>
    <w:rsid w:val="00F32907"/>
    <w:rsid w:val="00F33EE0"/>
    <w:rsid w:val="00F34EFD"/>
    <w:rsid w:val="00F36C5C"/>
    <w:rsid w:val="00F40A0F"/>
    <w:rsid w:val="00F42E50"/>
    <w:rsid w:val="00F464A1"/>
    <w:rsid w:val="00F469F8"/>
    <w:rsid w:val="00F46E6D"/>
    <w:rsid w:val="00F50E9B"/>
    <w:rsid w:val="00F50ED2"/>
    <w:rsid w:val="00F516DE"/>
    <w:rsid w:val="00F51800"/>
    <w:rsid w:val="00F51A7C"/>
    <w:rsid w:val="00F52FEF"/>
    <w:rsid w:val="00F53018"/>
    <w:rsid w:val="00F537CC"/>
    <w:rsid w:val="00F54C90"/>
    <w:rsid w:val="00F55286"/>
    <w:rsid w:val="00F56AB3"/>
    <w:rsid w:val="00F604F9"/>
    <w:rsid w:val="00F6080D"/>
    <w:rsid w:val="00F60AE3"/>
    <w:rsid w:val="00F60BD1"/>
    <w:rsid w:val="00F61462"/>
    <w:rsid w:val="00F62472"/>
    <w:rsid w:val="00F62571"/>
    <w:rsid w:val="00F625F2"/>
    <w:rsid w:val="00F62D82"/>
    <w:rsid w:val="00F64317"/>
    <w:rsid w:val="00F67F6C"/>
    <w:rsid w:val="00F70182"/>
    <w:rsid w:val="00F7028E"/>
    <w:rsid w:val="00F70471"/>
    <w:rsid w:val="00F7052D"/>
    <w:rsid w:val="00F70DE9"/>
    <w:rsid w:val="00F711DA"/>
    <w:rsid w:val="00F71E16"/>
    <w:rsid w:val="00F71F1D"/>
    <w:rsid w:val="00F7369E"/>
    <w:rsid w:val="00F74136"/>
    <w:rsid w:val="00F7574C"/>
    <w:rsid w:val="00F75BDB"/>
    <w:rsid w:val="00F76D0E"/>
    <w:rsid w:val="00F80D6B"/>
    <w:rsid w:val="00F834E6"/>
    <w:rsid w:val="00F838F7"/>
    <w:rsid w:val="00F83B41"/>
    <w:rsid w:val="00F848DF"/>
    <w:rsid w:val="00F85794"/>
    <w:rsid w:val="00F8599F"/>
    <w:rsid w:val="00F85E6C"/>
    <w:rsid w:val="00F860C6"/>
    <w:rsid w:val="00F8639E"/>
    <w:rsid w:val="00F86CF7"/>
    <w:rsid w:val="00F8770B"/>
    <w:rsid w:val="00F90282"/>
    <w:rsid w:val="00F90395"/>
    <w:rsid w:val="00F9378F"/>
    <w:rsid w:val="00F93CC8"/>
    <w:rsid w:val="00F955F8"/>
    <w:rsid w:val="00F957C0"/>
    <w:rsid w:val="00F96575"/>
    <w:rsid w:val="00FA006B"/>
    <w:rsid w:val="00FA0847"/>
    <w:rsid w:val="00FA0BF5"/>
    <w:rsid w:val="00FA2575"/>
    <w:rsid w:val="00FA5670"/>
    <w:rsid w:val="00FA6A2C"/>
    <w:rsid w:val="00FA6EF5"/>
    <w:rsid w:val="00FA7817"/>
    <w:rsid w:val="00FB18B1"/>
    <w:rsid w:val="00FB205A"/>
    <w:rsid w:val="00FB3198"/>
    <w:rsid w:val="00FB5D25"/>
    <w:rsid w:val="00FB66FA"/>
    <w:rsid w:val="00FB6F16"/>
    <w:rsid w:val="00FB7A68"/>
    <w:rsid w:val="00FC2FF5"/>
    <w:rsid w:val="00FC40A2"/>
    <w:rsid w:val="00FD0ED1"/>
    <w:rsid w:val="00FD0FC1"/>
    <w:rsid w:val="00FD11ED"/>
    <w:rsid w:val="00FD4285"/>
    <w:rsid w:val="00FD4557"/>
    <w:rsid w:val="00FD5557"/>
    <w:rsid w:val="00FE0907"/>
    <w:rsid w:val="00FE2EFA"/>
    <w:rsid w:val="00FE3A87"/>
    <w:rsid w:val="00FE44D3"/>
    <w:rsid w:val="00FE6555"/>
    <w:rsid w:val="00FF0552"/>
    <w:rsid w:val="00FF0C7F"/>
    <w:rsid w:val="00FF2202"/>
    <w:rsid w:val="00FF298F"/>
    <w:rsid w:val="00FF3B1B"/>
    <w:rsid w:val="00FF3FED"/>
    <w:rsid w:val="00FF4942"/>
    <w:rsid w:val="00FF532D"/>
    <w:rsid w:val="00FF76BC"/>
    <w:rsid w:val="00FF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945BA"/>
  <w15:docId w15:val="{4B7E089D-7093-43DA-B04F-6AD30060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F23"/>
    <w:rPr>
      <w:sz w:val="24"/>
      <w:szCs w:val="24"/>
    </w:rPr>
  </w:style>
  <w:style w:type="paragraph" w:styleId="Heading1">
    <w:name w:val="heading 1"/>
    <w:basedOn w:val="Normal"/>
    <w:next w:val="Normal"/>
    <w:link w:val="Heading1Char"/>
    <w:qFormat/>
    <w:rsid w:val="008062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5C173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CE5FE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25D9C"/>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225D9C"/>
    <w:pPr>
      <w:tabs>
        <w:tab w:val="center" w:pos="4320"/>
        <w:tab w:val="right" w:pos="8640"/>
      </w:tabs>
    </w:pPr>
  </w:style>
  <w:style w:type="paragraph" w:styleId="Footer">
    <w:name w:val="footer"/>
    <w:basedOn w:val="Normal"/>
    <w:link w:val="FooterChar"/>
    <w:uiPriority w:val="99"/>
    <w:rsid w:val="00225D9C"/>
    <w:pPr>
      <w:tabs>
        <w:tab w:val="center" w:pos="4320"/>
        <w:tab w:val="right" w:pos="8640"/>
      </w:tabs>
    </w:pPr>
  </w:style>
  <w:style w:type="character" w:styleId="PageNumber">
    <w:name w:val="page number"/>
    <w:basedOn w:val="DefaultParagraphFont"/>
    <w:rsid w:val="00225D9C"/>
  </w:style>
  <w:style w:type="paragraph" w:styleId="NormalWeb">
    <w:name w:val="Normal (Web)"/>
    <w:basedOn w:val="Normal"/>
    <w:uiPriority w:val="99"/>
    <w:rsid w:val="00225D9C"/>
    <w:pPr>
      <w:spacing w:before="100" w:beforeAutospacing="1" w:after="100" w:afterAutospacing="1"/>
    </w:pPr>
    <w:rPr>
      <w:color w:val="CCCCCC"/>
    </w:rPr>
  </w:style>
  <w:style w:type="paragraph" w:styleId="HTMLPreformatted">
    <w:name w:val="HTML Preformatted"/>
    <w:basedOn w:val="Normal"/>
    <w:rsid w:val="0022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345DAE"/>
    <w:rPr>
      <w:color w:val="0000FF"/>
      <w:u w:val="single"/>
    </w:rPr>
  </w:style>
  <w:style w:type="paragraph" w:styleId="BalloonText">
    <w:name w:val="Balloon Text"/>
    <w:basedOn w:val="Normal"/>
    <w:link w:val="BalloonTextChar"/>
    <w:uiPriority w:val="99"/>
    <w:semiHidden/>
    <w:rsid w:val="00A66385"/>
    <w:rPr>
      <w:rFonts w:ascii="Tahoma" w:hAnsi="Tahoma" w:cs="Tahoma"/>
      <w:sz w:val="16"/>
      <w:szCs w:val="16"/>
    </w:rPr>
  </w:style>
  <w:style w:type="paragraph" w:styleId="FootnoteText">
    <w:name w:val="footnote text"/>
    <w:basedOn w:val="Normal"/>
    <w:semiHidden/>
    <w:rsid w:val="008D1EF1"/>
    <w:rPr>
      <w:sz w:val="20"/>
      <w:szCs w:val="20"/>
    </w:rPr>
  </w:style>
  <w:style w:type="character" w:styleId="FootnoteReference">
    <w:name w:val="footnote reference"/>
    <w:basedOn w:val="DefaultParagraphFont"/>
    <w:semiHidden/>
    <w:rsid w:val="008D1EF1"/>
    <w:rPr>
      <w:vertAlign w:val="superscript"/>
    </w:rPr>
  </w:style>
  <w:style w:type="character" w:customStyle="1" w:styleId="FooterChar">
    <w:name w:val="Footer Char"/>
    <w:basedOn w:val="DefaultParagraphFont"/>
    <w:link w:val="Footer"/>
    <w:uiPriority w:val="99"/>
    <w:rsid w:val="00BC4981"/>
    <w:rPr>
      <w:sz w:val="24"/>
      <w:szCs w:val="24"/>
    </w:rPr>
  </w:style>
  <w:style w:type="paragraph" w:styleId="ListParagraph">
    <w:name w:val="List Paragraph"/>
    <w:basedOn w:val="Normal"/>
    <w:uiPriority w:val="34"/>
    <w:qFormat/>
    <w:rsid w:val="00F516DE"/>
    <w:pPr>
      <w:ind w:left="720"/>
      <w:contextualSpacing/>
    </w:pPr>
  </w:style>
  <w:style w:type="paragraph" w:styleId="EndnoteText">
    <w:name w:val="endnote text"/>
    <w:basedOn w:val="Normal"/>
    <w:link w:val="EndnoteTextChar"/>
    <w:rsid w:val="00BE2BC1"/>
    <w:rPr>
      <w:sz w:val="20"/>
      <w:szCs w:val="20"/>
    </w:rPr>
  </w:style>
  <w:style w:type="character" w:customStyle="1" w:styleId="EndnoteTextChar">
    <w:name w:val="Endnote Text Char"/>
    <w:basedOn w:val="DefaultParagraphFont"/>
    <w:link w:val="EndnoteText"/>
    <w:rsid w:val="00BE2BC1"/>
  </w:style>
  <w:style w:type="character" w:styleId="EndnoteReference">
    <w:name w:val="endnote reference"/>
    <w:basedOn w:val="DefaultParagraphFont"/>
    <w:rsid w:val="00BE2BC1"/>
    <w:rPr>
      <w:vertAlign w:val="superscript"/>
    </w:rPr>
  </w:style>
  <w:style w:type="paragraph" w:styleId="BodyText">
    <w:name w:val="Body Text"/>
    <w:aliases w:val="bt"/>
    <w:basedOn w:val="Normal"/>
    <w:link w:val="BodyTextChar"/>
    <w:rsid w:val="00643402"/>
    <w:pPr>
      <w:spacing w:after="120"/>
    </w:pPr>
    <w:rPr>
      <w:rFonts w:ascii="Arial" w:hAnsi="Arial"/>
    </w:rPr>
  </w:style>
  <w:style w:type="character" w:customStyle="1" w:styleId="BodyTextChar">
    <w:name w:val="Body Text Char"/>
    <w:aliases w:val="bt Char"/>
    <w:basedOn w:val="DefaultParagraphFont"/>
    <w:link w:val="BodyText"/>
    <w:rsid w:val="00643402"/>
    <w:rPr>
      <w:rFonts w:ascii="Arial" w:hAnsi="Arial"/>
      <w:sz w:val="24"/>
      <w:szCs w:val="24"/>
    </w:rPr>
  </w:style>
  <w:style w:type="paragraph" w:customStyle="1" w:styleId="Default">
    <w:name w:val="Default"/>
    <w:rsid w:val="005D097C"/>
    <w:pPr>
      <w:autoSpaceDE w:val="0"/>
      <w:autoSpaceDN w:val="0"/>
      <w:adjustRightInd w:val="0"/>
    </w:pPr>
    <w:rPr>
      <w:rFonts w:ascii="Arial" w:hAnsi="Arial" w:cs="Arial"/>
      <w:color w:val="000000"/>
      <w:sz w:val="24"/>
      <w:szCs w:val="24"/>
    </w:rPr>
  </w:style>
  <w:style w:type="character" w:customStyle="1" w:styleId="BalloonTextChar">
    <w:name w:val="Balloon Text Char"/>
    <w:basedOn w:val="DefaultParagraphFont"/>
    <w:link w:val="BalloonText"/>
    <w:uiPriority w:val="99"/>
    <w:semiHidden/>
    <w:rsid w:val="00803194"/>
    <w:rPr>
      <w:rFonts w:ascii="Tahoma" w:hAnsi="Tahoma" w:cs="Tahoma"/>
      <w:sz w:val="16"/>
      <w:szCs w:val="16"/>
    </w:rPr>
  </w:style>
  <w:style w:type="character" w:styleId="CommentReference">
    <w:name w:val="annotation reference"/>
    <w:basedOn w:val="DefaultParagraphFont"/>
    <w:semiHidden/>
    <w:unhideWhenUsed/>
    <w:rsid w:val="00B20575"/>
    <w:rPr>
      <w:sz w:val="16"/>
      <w:szCs w:val="16"/>
    </w:rPr>
  </w:style>
  <w:style w:type="paragraph" w:styleId="CommentText">
    <w:name w:val="annotation text"/>
    <w:basedOn w:val="Normal"/>
    <w:link w:val="CommentTextChar"/>
    <w:semiHidden/>
    <w:unhideWhenUsed/>
    <w:rsid w:val="00B20575"/>
    <w:rPr>
      <w:sz w:val="20"/>
      <w:szCs w:val="20"/>
    </w:rPr>
  </w:style>
  <w:style w:type="character" w:customStyle="1" w:styleId="CommentTextChar">
    <w:name w:val="Comment Text Char"/>
    <w:basedOn w:val="DefaultParagraphFont"/>
    <w:link w:val="CommentText"/>
    <w:semiHidden/>
    <w:rsid w:val="00B20575"/>
  </w:style>
  <w:style w:type="paragraph" w:styleId="CommentSubject">
    <w:name w:val="annotation subject"/>
    <w:basedOn w:val="CommentText"/>
    <w:next w:val="CommentText"/>
    <w:link w:val="CommentSubjectChar"/>
    <w:semiHidden/>
    <w:unhideWhenUsed/>
    <w:rsid w:val="00B20575"/>
    <w:rPr>
      <w:b/>
      <w:bCs/>
    </w:rPr>
  </w:style>
  <w:style w:type="character" w:customStyle="1" w:styleId="CommentSubjectChar">
    <w:name w:val="Comment Subject Char"/>
    <w:basedOn w:val="CommentTextChar"/>
    <w:link w:val="CommentSubject"/>
    <w:semiHidden/>
    <w:rsid w:val="00B20575"/>
    <w:rPr>
      <w:b/>
      <w:bCs/>
    </w:rPr>
  </w:style>
  <w:style w:type="character" w:customStyle="1" w:styleId="Heading1Char">
    <w:name w:val="Heading 1 Char"/>
    <w:basedOn w:val="DefaultParagraphFont"/>
    <w:link w:val="Heading1"/>
    <w:rsid w:val="008062A9"/>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060659"/>
    <w:pPr>
      <w:widowControl w:val="0"/>
      <w:autoSpaceDE w:val="0"/>
      <w:autoSpaceDN w:val="0"/>
      <w:ind w:left="103"/>
    </w:pPr>
    <w:rPr>
      <w:rFonts w:ascii="Arial" w:eastAsia="Arial" w:hAnsi="Arial" w:cs="Arial"/>
      <w:sz w:val="22"/>
      <w:szCs w:val="22"/>
    </w:rPr>
  </w:style>
  <w:style w:type="character" w:customStyle="1" w:styleId="Heading3Char">
    <w:name w:val="Heading 3 Char"/>
    <w:basedOn w:val="DefaultParagraphFont"/>
    <w:link w:val="Heading3"/>
    <w:rsid w:val="00CE5FEF"/>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1E424C"/>
    <w:rPr>
      <w:color w:val="808080"/>
      <w:shd w:val="clear" w:color="auto" w:fill="E6E6E6"/>
    </w:rPr>
  </w:style>
  <w:style w:type="paragraph" w:styleId="Revision">
    <w:name w:val="Revision"/>
    <w:hidden/>
    <w:uiPriority w:val="99"/>
    <w:semiHidden/>
    <w:rsid w:val="00B36D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5733">
      <w:bodyDiv w:val="1"/>
      <w:marLeft w:val="0"/>
      <w:marRight w:val="0"/>
      <w:marTop w:val="0"/>
      <w:marBottom w:val="0"/>
      <w:divBdr>
        <w:top w:val="none" w:sz="0" w:space="0" w:color="auto"/>
        <w:left w:val="none" w:sz="0" w:space="0" w:color="auto"/>
        <w:bottom w:val="none" w:sz="0" w:space="0" w:color="auto"/>
        <w:right w:val="none" w:sz="0" w:space="0" w:color="auto"/>
      </w:divBdr>
    </w:div>
    <w:div w:id="93597285">
      <w:bodyDiv w:val="1"/>
      <w:marLeft w:val="0"/>
      <w:marRight w:val="0"/>
      <w:marTop w:val="0"/>
      <w:marBottom w:val="0"/>
      <w:divBdr>
        <w:top w:val="none" w:sz="0" w:space="0" w:color="auto"/>
        <w:left w:val="none" w:sz="0" w:space="0" w:color="auto"/>
        <w:bottom w:val="none" w:sz="0" w:space="0" w:color="auto"/>
        <w:right w:val="none" w:sz="0" w:space="0" w:color="auto"/>
      </w:divBdr>
    </w:div>
    <w:div w:id="108815534">
      <w:bodyDiv w:val="1"/>
      <w:marLeft w:val="0"/>
      <w:marRight w:val="0"/>
      <w:marTop w:val="0"/>
      <w:marBottom w:val="0"/>
      <w:divBdr>
        <w:top w:val="none" w:sz="0" w:space="0" w:color="auto"/>
        <w:left w:val="none" w:sz="0" w:space="0" w:color="auto"/>
        <w:bottom w:val="none" w:sz="0" w:space="0" w:color="auto"/>
        <w:right w:val="none" w:sz="0" w:space="0" w:color="auto"/>
      </w:divBdr>
    </w:div>
    <w:div w:id="109402625">
      <w:bodyDiv w:val="1"/>
      <w:marLeft w:val="0"/>
      <w:marRight w:val="0"/>
      <w:marTop w:val="0"/>
      <w:marBottom w:val="0"/>
      <w:divBdr>
        <w:top w:val="none" w:sz="0" w:space="0" w:color="auto"/>
        <w:left w:val="none" w:sz="0" w:space="0" w:color="auto"/>
        <w:bottom w:val="none" w:sz="0" w:space="0" w:color="auto"/>
        <w:right w:val="none" w:sz="0" w:space="0" w:color="auto"/>
      </w:divBdr>
    </w:div>
    <w:div w:id="267279364">
      <w:bodyDiv w:val="1"/>
      <w:marLeft w:val="0"/>
      <w:marRight w:val="0"/>
      <w:marTop w:val="0"/>
      <w:marBottom w:val="0"/>
      <w:divBdr>
        <w:top w:val="none" w:sz="0" w:space="0" w:color="auto"/>
        <w:left w:val="none" w:sz="0" w:space="0" w:color="auto"/>
        <w:bottom w:val="none" w:sz="0" w:space="0" w:color="auto"/>
        <w:right w:val="none" w:sz="0" w:space="0" w:color="auto"/>
      </w:divBdr>
    </w:div>
    <w:div w:id="295110931">
      <w:bodyDiv w:val="1"/>
      <w:marLeft w:val="0"/>
      <w:marRight w:val="0"/>
      <w:marTop w:val="0"/>
      <w:marBottom w:val="0"/>
      <w:divBdr>
        <w:top w:val="none" w:sz="0" w:space="0" w:color="auto"/>
        <w:left w:val="none" w:sz="0" w:space="0" w:color="auto"/>
        <w:bottom w:val="none" w:sz="0" w:space="0" w:color="auto"/>
        <w:right w:val="none" w:sz="0" w:space="0" w:color="auto"/>
      </w:divBdr>
    </w:div>
    <w:div w:id="307167696">
      <w:bodyDiv w:val="1"/>
      <w:marLeft w:val="0"/>
      <w:marRight w:val="0"/>
      <w:marTop w:val="0"/>
      <w:marBottom w:val="0"/>
      <w:divBdr>
        <w:top w:val="none" w:sz="0" w:space="0" w:color="auto"/>
        <w:left w:val="none" w:sz="0" w:space="0" w:color="auto"/>
        <w:bottom w:val="none" w:sz="0" w:space="0" w:color="auto"/>
        <w:right w:val="none" w:sz="0" w:space="0" w:color="auto"/>
      </w:divBdr>
    </w:div>
    <w:div w:id="334574481">
      <w:bodyDiv w:val="1"/>
      <w:marLeft w:val="0"/>
      <w:marRight w:val="0"/>
      <w:marTop w:val="0"/>
      <w:marBottom w:val="0"/>
      <w:divBdr>
        <w:top w:val="none" w:sz="0" w:space="0" w:color="auto"/>
        <w:left w:val="none" w:sz="0" w:space="0" w:color="auto"/>
        <w:bottom w:val="none" w:sz="0" w:space="0" w:color="auto"/>
        <w:right w:val="none" w:sz="0" w:space="0" w:color="auto"/>
      </w:divBdr>
    </w:div>
    <w:div w:id="444858484">
      <w:bodyDiv w:val="1"/>
      <w:marLeft w:val="0"/>
      <w:marRight w:val="0"/>
      <w:marTop w:val="0"/>
      <w:marBottom w:val="0"/>
      <w:divBdr>
        <w:top w:val="none" w:sz="0" w:space="0" w:color="auto"/>
        <w:left w:val="none" w:sz="0" w:space="0" w:color="auto"/>
        <w:bottom w:val="none" w:sz="0" w:space="0" w:color="auto"/>
        <w:right w:val="none" w:sz="0" w:space="0" w:color="auto"/>
      </w:divBdr>
    </w:div>
    <w:div w:id="453981748">
      <w:bodyDiv w:val="1"/>
      <w:marLeft w:val="0"/>
      <w:marRight w:val="0"/>
      <w:marTop w:val="0"/>
      <w:marBottom w:val="0"/>
      <w:divBdr>
        <w:top w:val="none" w:sz="0" w:space="0" w:color="auto"/>
        <w:left w:val="none" w:sz="0" w:space="0" w:color="auto"/>
        <w:bottom w:val="none" w:sz="0" w:space="0" w:color="auto"/>
        <w:right w:val="none" w:sz="0" w:space="0" w:color="auto"/>
      </w:divBdr>
    </w:div>
    <w:div w:id="475799953">
      <w:bodyDiv w:val="1"/>
      <w:marLeft w:val="0"/>
      <w:marRight w:val="0"/>
      <w:marTop w:val="0"/>
      <w:marBottom w:val="0"/>
      <w:divBdr>
        <w:top w:val="none" w:sz="0" w:space="0" w:color="auto"/>
        <w:left w:val="none" w:sz="0" w:space="0" w:color="auto"/>
        <w:bottom w:val="none" w:sz="0" w:space="0" w:color="auto"/>
        <w:right w:val="none" w:sz="0" w:space="0" w:color="auto"/>
      </w:divBdr>
    </w:div>
    <w:div w:id="497581164">
      <w:bodyDiv w:val="1"/>
      <w:marLeft w:val="0"/>
      <w:marRight w:val="0"/>
      <w:marTop w:val="0"/>
      <w:marBottom w:val="0"/>
      <w:divBdr>
        <w:top w:val="none" w:sz="0" w:space="0" w:color="auto"/>
        <w:left w:val="none" w:sz="0" w:space="0" w:color="auto"/>
        <w:bottom w:val="none" w:sz="0" w:space="0" w:color="auto"/>
        <w:right w:val="none" w:sz="0" w:space="0" w:color="auto"/>
      </w:divBdr>
    </w:div>
    <w:div w:id="543567354">
      <w:bodyDiv w:val="1"/>
      <w:marLeft w:val="0"/>
      <w:marRight w:val="0"/>
      <w:marTop w:val="0"/>
      <w:marBottom w:val="0"/>
      <w:divBdr>
        <w:top w:val="none" w:sz="0" w:space="0" w:color="auto"/>
        <w:left w:val="none" w:sz="0" w:space="0" w:color="auto"/>
        <w:bottom w:val="none" w:sz="0" w:space="0" w:color="auto"/>
        <w:right w:val="none" w:sz="0" w:space="0" w:color="auto"/>
      </w:divBdr>
    </w:div>
    <w:div w:id="545220415">
      <w:bodyDiv w:val="1"/>
      <w:marLeft w:val="0"/>
      <w:marRight w:val="0"/>
      <w:marTop w:val="0"/>
      <w:marBottom w:val="0"/>
      <w:divBdr>
        <w:top w:val="none" w:sz="0" w:space="0" w:color="auto"/>
        <w:left w:val="none" w:sz="0" w:space="0" w:color="auto"/>
        <w:bottom w:val="none" w:sz="0" w:space="0" w:color="auto"/>
        <w:right w:val="none" w:sz="0" w:space="0" w:color="auto"/>
      </w:divBdr>
    </w:div>
    <w:div w:id="729959010">
      <w:bodyDiv w:val="1"/>
      <w:marLeft w:val="0"/>
      <w:marRight w:val="0"/>
      <w:marTop w:val="0"/>
      <w:marBottom w:val="0"/>
      <w:divBdr>
        <w:top w:val="none" w:sz="0" w:space="0" w:color="auto"/>
        <w:left w:val="none" w:sz="0" w:space="0" w:color="auto"/>
        <w:bottom w:val="none" w:sz="0" w:space="0" w:color="auto"/>
        <w:right w:val="none" w:sz="0" w:space="0" w:color="auto"/>
      </w:divBdr>
    </w:div>
    <w:div w:id="777942370">
      <w:bodyDiv w:val="1"/>
      <w:marLeft w:val="0"/>
      <w:marRight w:val="0"/>
      <w:marTop w:val="0"/>
      <w:marBottom w:val="0"/>
      <w:divBdr>
        <w:top w:val="none" w:sz="0" w:space="0" w:color="auto"/>
        <w:left w:val="none" w:sz="0" w:space="0" w:color="auto"/>
        <w:bottom w:val="none" w:sz="0" w:space="0" w:color="auto"/>
        <w:right w:val="none" w:sz="0" w:space="0" w:color="auto"/>
      </w:divBdr>
    </w:div>
    <w:div w:id="882134774">
      <w:bodyDiv w:val="1"/>
      <w:marLeft w:val="0"/>
      <w:marRight w:val="0"/>
      <w:marTop w:val="0"/>
      <w:marBottom w:val="0"/>
      <w:divBdr>
        <w:top w:val="none" w:sz="0" w:space="0" w:color="auto"/>
        <w:left w:val="none" w:sz="0" w:space="0" w:color="auto"/>
        <w:bottom w:val="none" w:sz="0" w:space="0" w:color="auto"/>
        <w:right w:val="none" w:sz="0" w:space="0" w:color="auto"/>
      </w:divBdr>
    </w:div>
    <w:div w:id="914978249">
      <w:bodyDiv w:val="1"/>
      <w:marLeft w:val="0"/>
      <w:marRight w:val="0"/>
      <w:marTop w:val="0"/>
      <w:marBottom w:val="0"/>
      <w:divBdr>
        <w:top w:val="none" w:sz="0" w:space="0" w:color="auto"/>
        <w:left w:val="none" w:sz="0" w:space="0" w:color="auto"/>
        <w:bottom w:val="none" w:sz="0" w:space="0" w:color="auto"/>
        <w:right w:val="none" w:sz="0" w:space="0" w:color="auto"/>
      </w:divBdr>
    </w:div>
    <w:div w:id="931427307">
      <w:bodyDiv w:val="1"/>
      <w:marLeft w:val="0"/>
      <w:marRight w:val="0"/>
      <w:marTop w:val="0"/>
      <w:marBottom w:val="0"/>
      <w:divBdr>
        <w:top w:val="none" w:sz="0" w:space="0" w:color="auto"/>
        <w:left w:val="none" w:sz="0" w:space="0" w:color="auto"/>
        <w:bottom w:val="none" w:sz="0" w:space="0" w:color="auto"/>
        <w:right w:val="none" w:sz="0" w:space="0" w:color="auto"/>
      </w:divBdr>
    </w:div>
    <w:div w:id="936602075">
      <w:bodyDiv w:val="1"/>
      <w:marLeft w:val="0"/>
      <w:marRight w:val="0"/>
      <w:marTop w:val="0"/>
      <w:marBottom w:val="0"/>
      <w:divBdr>
        <w:top w:val="none" w:sz="0" w:space="0" w:color="auto"/>
        <w:left w:val="none" w:sz="0" w:space="0" w:color="auto"/>
        <w:bottom w:val="none" w:sz="0" w:space="0" w:color="auto"/>
        <w:right w:val="none" w:sz="0" w:space="0" w:color="auto"/>
      </w:divBdr>
    </w:div>
    <w:div w:id="946811756">
      <w:bodyDiv w:val="1"/>
      <w:marLeft w:val="0"/>
      <w:marRight w:val="0"/>
      <w:marTop w:val="0"/>
      <w:marBottom w:val="0"/>
      <w:divBdr>
        <w:top w:val="none" w:sz="0" w:space="0" w:color="auto"/>
        <w:left w:val="none" w:sz="0" w:space="0" w:color="auto"/>
        <w:bottom w:val="none" w:sz="0" w:space="0" w:color="auto"/>
        <w:right w:val="none" w:sz="0" w:space="0" w:color="auto"/>
      </w:divBdr>
    </w:div>
    <w:div w:id="1085807685">
      <w:bodyDiv w:val="1"/>
      <w:marLeft w:val="0"/>
      <w:marRight w:val="0"/>
      <w:marTop w:val="0"/>
      <w:marBottom w:val="0"/>
      <w:divBdr>
        <w:top w:val="none" w:sz="0" w:space="0" w:color="auto"/>
        <w:left w:val="none" w:sz="0" w:space="0" w:color="auto"/>
        <w:bottom w:val="none" w:sz="0" w:space="0" w:color="auto"/>
        <w:right w:val="none" w:sz="0" w:space="0" w:color="auto"/>
      </w:divBdr>
    </w:div>
    <w:div w:id="1088579725">
      <w:bodyDiv w:val="1"/>
      <w:marLeft w:val="0"/>
      <w:marRight w:val="0"/>
      <w:marTop w:val="0"/>
      <w:marBottom w:val="0"/>
      <w:divBdr>
        <w:top w:val="none" w:sz="0" w:space="0" w:color="auto"/>
        <w:left w:val="none" w:sz="0" w:space="0" w:color="auto"/>
        <w:bottom w:val="none" w:sz="0" w:space="0" w:color="auto"/>
        <w:right w:val="none" w:sz="0" w:space="0" w:color="auto"/>
      </w:divBdr>
    </w:div>
    <w:div w:id="1103455513">
      <w:bodyDiv w:val="1"/>
      <w:marLeft w:val="0"/>
      <w:marRight w:val="0"/>
      <w:marTop w:val="0"/>
      <w:marBottom w:val="0"/>
      <w:divBdr>
        <w:top w:val="none" w:sz="0" w:space="0" w:color="auto"/>
        <w:left w:val="none" w:sz="0" w:space="0" w:color="auto"/>
        <w:bottom w:val="none" w:sz="0" w:space="0" w:color="auto"/>
        <w:right w:val="none" w:sz="0" w:space="0" w:color="auto"/>
      </w:divBdr>
    </w:div>
    <w:div w:id="1141927415">
      <w:bodyDiv w:val="1"/>
      <w:marLeft w:val="0"/>
      <w:marRight w:val="0"/>
      <w:marTop w:val="0"/>
      <w:marBottom w:val="0"/>
      <w:divBdr>
        <w:top w:val="none" w:sz="0" w:space="0" w:color="auto"/>
        <w:left w:val="none" w:sz="0" w:space="0" w:color="auto"/>
        <w:bottom w:val="none" w:sz="0" w:space="0" w:color="auto"/>
        <w:right w:val="none" w:sz="0" w:space="0" w:color="auto"/>
      </w:divBdr>
    </w:div>
    <w:div w:id="1179929968">
      <w:bodyDiv w:val="1"/>
      <w:marLeft w:val="0"/>
      <w:marRight w:val="0"/>
      <w:marTop w:val="0"/>
      <w:marBottom w:val="0"/>
      <w:divBdr>
        <w:top w:val="none" w:sz="0" w:space="0" w:color="auto"/>
        <w:left w:val="none" w:sz="0" w:space="0" w:color="auto"/>
        <w:bottom w:val="none" w:sz="0" w:space="0" w:color="auto"/>
        <w:right w:val="none" w:sz="0" w:space="0" w:color="auto"/>
      </w:divBdr>
    </w:div>
    <w:div w:id="1203711785">
      <w:bodyDiv w:val="1"/>
      <w:marLeft w:val="0"/>
      <w:marRight w:val="0"/>
      <w:marTop w:val="0"/>
      <w:marBottom w:val="0"/>
      <w:divBdr>
        <w:top w:val="none" w:sz="0" w:space="0" w:color="auto"/>
        <w:left w:val="none" w:sz="0" w:space="0" w:color="auto"/>
        <w:bottom w:val="none" w:sz="0" w:space="0" w:color="auto"/>
        <w:right w:val="none" w:sz="0" w:space="0" w:color="auto"/>
      </w:divBdr>
    </w:div>
    <w:div w:id="1318068586">
      <w:bodyDiv w:val="1"/>
      <w:marLeft w:val="0"/>
      <w:marRight w:val="0"/>
      <w:marTop w:val="0"/>
      <w:marBottom w:val="0"/>
      <w:divBdr>
        <w:top w:val="none" w:sz="0" w:space="0" w:color="auto"/>
        <w:left w:val="none" w:sz="0" w:space="0" w:color="auto"/>
        <w:bottom w:val="none" w:sz="0" w:space="0" w:color="auto"/>
        <w:right w:val="none" w:sz="0" w:space="0" w:color="auto"/>
      </w:divBdr>
    </w:div>
    <w:div w:id="1368480716">
      <w:bodyDiv w:val="1"/>
      <w:marLeft w:val="0"/>
      <w:marRight w:val="0"/>
      <w:marTop w:val="0"/>
      <w:marBottom w:val="0"/>
      <w:divBdr>
        <w:top w:val="none" w:sz="0" w:space="0" w:color="auto"/>
        <w:left w:val="none" w:sz="0" w:space="0" w:color="auto"/>
        <w:bottom w:val="none" w:sz="0" w:space="0" w:color="auto"/>
        <w:right w:val="none" w:sz="0" w:space="0" w:color="auto"/>
      </w:divBdr>
    </w:div>
    <w:div w:id="1385370104">
      <w:bodyDiv w:val="1"/>
      <w:marLeft w:val="0"/>
      <w:marRight w:val="0"/>
      <w:marTop w:val="0"/>
      <w:marBottom w:val="0"/>
      <w:divBdr>
        <w:top w:val="none" w:sz="0" w:space="0" w:color="auto"/>
        <w:left w:val="none" w:sz="0" w:space="0" w:color="auto"/>
        <w:bottom w:val="none" w:sz="0" w:space="0" w:color="auto"/>
        <w:right w:val="none" w:sz="0" w:space="0" w:color="auto"/>
      </w:divBdr>
    </w:div>
    <w:div w:id="1396005191">
      <w:bodyDiv w:val="1"/>
      <w:marLeft w:val="0"/>
      <w:marRight w:val="0"/>
      <w:marTop w:val="0"/>
      <w:marBottom w:val="0"/>
      <w:divBdr>
        <w:top w:val="none" w:sz="0" w:space="0" w:color="auto"/>
        <w:left w:val="none" w:sz="0" w:space="0" w:color="auto"/>
        <w:bottom w:val="none" w:sz="0" w:space="0" w:color="auto"/>
        <w:right w:val="none" w:sz="0" w:space="0" w:color="auto"/>
      </w:divBdr>
    </w:div>
    <w:div w:id="1419669837">
      <w:bodyDiv w:val="1"/>
      <w:marLeft w:val="0"/>
      <w:marRight w:val="0"/>
      <w:marTop w:val="0"/>
      <w:marBottom w:val="0"/>
      <w:divBdr>
        <w:top w:val="none" w:sz="0" w:space="0" w:color="auto"/>
        <w:left w:val="none" w:sz="0" w:space="0" w:color="auto"/>
        <w:bottom w:val="none" w:sz="0" w:space="0" w:color="auto"/>
        <w:right w:val="none" w:sz="0" w:space="0" w:color="auto"/>
      </w:divBdr>
    </w:div>
    <w:div w:id="1436558174">
      <w:bodyDiv w:val="1"/>
      <w:marLeft w:val="0"/>
      <w:marRight w:val="0"/>
      <w:marTop w:val="0"/>
      <w:marBottom w:val="0"/>
      <w:divBdr>
        <w:top w:val="none" w:sz="0" w:space="0" w:color="auto"/>
        <w:left w:val="none" w:sz="0" w:space="0" w:color="auto"/>
        <w:bottom w:val="none" w:sz="0" w:space="0" w:color="auto"/>
        <w:right w:val="none" w:sz="0" w:space="0" w:color="auto"/>
      </w:divBdr>
    </w:div>
    <w:div w:id="1637637156">
      <w:bodyDiv w:val="1"/>
      <w:marLeft w:val="0"/>
      <w:marRight w:val="0"/>
      <w:marTop w:val="0"/>
      <w:marBottom w:val="0"/>
      <w:divBdr>
        <w:top w:val="none" w:sz="0" w:space="0" w:color="auto"/>
        <w:left w:val="none" w:sz="0" w:space="0" w:color="auto"/>
        <w:bottom w:val="none" w:sz="0" w:space="0" w:color="auto"/>
        <w:right w:val="none" w:sz="0" w:space="0" w:color="auto"/>
      </w:divBdr>
    </w:div>
    <w:div w:id="1779181083">
      <w:bodyDiv w:val="1"/>
      <w:marLeft w:val="0"/>
      <w:marRight w:val="0"/>
      <w:marTop w:val="0"/>
      <w:marBottom w:val="0"/>
      <w:divBdr>
        <w:top w:val="none" w:sz="0" w:space="0" w:color="auto"/>
        <w:left w:val="none" w:sz="0" w:space="0" w:color="auto"/>
        <w:bottom w:val="none" w:sz="0" w:space="0" w:color="auto"/>
        <w:right w:val="none" w:sz="0" w:space="0" w:color="auto"/>
      </w:divBdr>
    </w:div>
    <w:div w:id="1954287770">
      <w:bodyDiv w:val="1"/>
      <w:marLeft w:val="0"/>
      <w:marRight w:val="0"/>
      <w:marTop w:val="0"/>
      <w:marBottom w:val="0"/>
      <w:divBdr>
        <w:top w:val="none" w:sz="0" w:space="0" w:color="auto"/>
        <w:left w:val="none" w:sz="0" w:space="0" w:color="auto"/>
        <w:bottom w:val="none" w:sz="0" w:space="0" w:color="auto"/>
        <w:right w:val="none" w:sz="0" w:space="0" w:color="auto"/>
      </w:divBdr>
    </w:div>
    <w:div w:id="1963723974">
      <w:bodyDiv w:val="1"/>
      <w:marLeft w:val="0"/>
      <w:marRight w:val="0"/>
      <w:marTop w:val="0"/>
      <w:marBottom w:val="0"/>
      <w:divBdr>
        <w:top w:val="none" w:sz="0" w:space="0" w:color="auto"/>
        <w:left w:val="none" w:sz="0" w:space="0" w:color="auto"/>
        <w:bottom w:val="none" w:sz="0" w:space="0" w:color="auto"/>
        <w:right w:val="none" w:sz="0" w:space="0" w:color="auto"/>
      </w:divBdr>
    </w:div>
    <w:div w:id="1971395694">
      <w:bodyDiv w:val="1"/>
      <w:marLeft w:val="0"/>
      <w:marRight w:val="0"/>
      <w:marTop w:val="0"/>
      <w:marBottom w:val="0"/>
      <w:divBdr>
        <w:top w:val="none" w:sz="0" w:space="0" w:color="auto"/>
        <w:left w:val="none" w:sz="0" w:space="0" w:color="auto"/>
        <w:bottom w:val="none" w:sz="0" w:space="0" w:color="auto"/>
        <w:right w:val="none" w:sz="0" w:space="0" w:color="auto"/>
      </w:divBdr>
      <w:divsChild>
        <w:div w:id="267083702">
          <w:marLeft w:val="0"/>
          <w:marRight w:val="0"/>
          <w:marTop w:val="0"/>
          <w:marBottom w:val="0"/>
          <w:divBdr>
            <w:top w:val="none" w:sz="0" w:space="0" w:color="auto"/>
            <w:left w:val="none" w:sz="0" w:space="0" w:color="auto"/>
            <w:bottom w:val="none" w:sz="0" w:space="0" w:color="auto"/>
            <w:right w:val="none" w:sz="0" w:space="0" w:color="auto"/>
          </w:divBdr>
        </w:div>
      </w:divsChild>
    </w:div>
    <w:div w:id="2002929941">
      <w:bodyDiv w:val="1"/>
      <w:marLeft w:val="0"/>
      <w:marRight w:val="0"/>
      <w:marTop w:val="0"/>
      <w:marBottom w:val="0"/>
      <w:divBdr>
        <w:top w:val="none" w:sz="0" w:space="0" w:color="auto"/>
        <w:left w:val="none" w:sz="0" w:space="0" w:color="auto"/>
        <w:bottom w:val="none" w:sz="0" w:space="0" w:color="auto"/>
        <w:right w:val="none" w:sz="0" w:space="0" w:color="auto"/>
      </w:divBdr>
    </w:div>
    <w:div w:id="2038773337">
      <w:bodyDiv w:val="1"/>
      <w:marLeft w:val="0"/>
      <w:marRight w:val="0"/>
      <w:marTop w:val="0"/>
      <w:marBottom w:val="0"/>
      <w:divBdr>
        <w:top w:val="none" w:sz="0" w:space="0" w:color="auto"/>
        <w:left w:val="none" w:sz="0" w:space="0" w:color="auto"/>
        <w:bottom w:val="none" w:sz="0" w:space="0" w:color="auto"/>
        <w:right w:val="none" w:sz="0" w:space="0" w:color="auto"/>
      </w:divBdr>
    </w:div>
    <w:div w:id="2072382321">
      <w:bodyDiv w:val="1"/>
      <w:marLeft w:val="0"/>
      <w:marRight w:val="0"/>
      <w:marTop w:val="0"/>
      <w:marBottom w:val="0"/>
      <w:divBdr>
        <w:top w:val="none" w:sz="0" w:space="0" w:color="auto"/>
        <w:left w:val="none" w:sz="0" w:space="0" w:color="auto"/>
        <w:bottom w:val="none" w:sz="0" w:space="0" w:color="auto"/>
        <w:right w:val="none" w:sz="0" w:space="0" w:color="auto"/>
      </w:divBdr>
    </w:div>
    <w:div w:id="211007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oursecat.isu.edu/search/?P=ENGL%2011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munivax.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mailto:sattkevi@isu.edu"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coursecat.isu.edu/search/?P=ENGL%2011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6E1D7-5341-4CE2-81DE-688A708E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4052</Words>
  <Characters>24833</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28828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subject/>
  <dc:creator>Anita Hamann</dc:creator>
  <cp:keywords/>
  <dc:description/>
  <cp:lastModifiedBy>Misty Lawrence</cp:lastModifiedBy>
  <cp:revision>5</cp:revision>
  <cp:lastPrinted>2021-11-03T15:46:00Z</cp:lastPrinted>
  <dcterms:created xsi:type="dcterms:W3CDTF">2022-01-03T20:14:00Z</dcterms:created>
  <dcterms:modified xsi:type="dcterms:W3CDTF">2022-06-01T22:13:00Z</dcterms:modified>
</cp:coreProperties>
</file>