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300E" w14:textId="77777777" w:rsidR="00274BE2" w:rsidRPr="00250391" w:rsidRDefault="00274BE2" w:rsidP="00274BE2">
      <w:pPr>
        <w:pStyle w:val="Heading1"/>
        <w:spacing w:before="0" w:after="60"/>
        <w:rPr>
          <w:rFonts w:ascii="Arial" w:hAnsi="Arial" w:cs="Arial"/>
          <w:i/>
          <w:color w:val="000080"/>
          <w:szCs w:val="24"/>
        </w:rPr>
      </w:pPr>
      <w:bookmarkStart w:id="0" w:name="OLE_LINK2"/>
      <w:bookmarkStart w:id="1" w:name="OLE_LINK1"/>
      <w:r w:rsidRPr="00250391">
        <w:rPr>
          <w:rFonts w:ascii="Arial" w:hAnsi="Arial" w:cs="Arial"/>
          <w:i/>
          <w:color w:val="000080"/>
          <w:szCs w:val="24"/>
        </w:rPr>
        <w:t>Part I – Agency Profile</w:t>
      </w:r>
      <w:bookmarkEnd w:id="0"/>
      <w:bookmarkEnd w:id="1"/>
    </w:p>
    <w:p w14:paraId="1C0C4182" w14:textId="77777777" w:rsidR="0001582C" w:rsidRDefault="0001582C" w:rsidP="008D134C">
      <w:pPr>
        <w:rPr>
          <w:rFonts w:ascii="Arial" w:hAnsi="Arial" w:cs="Arial"/>
          <w:b/>
          <w:bCs/>
        </w:rPr>
      </w:pPr>
    </w:p>
    <w:p w14:paraId="1D39E974" w14:textId="77777777" w:rsidR="000E7A16" w:rsidRDefault="000E7A16" w:rsidP="008D13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Agency Overview</w:t>
      </w:r>
    </w:p>
    <w:p w14:paraId="51BDB6B8" w14:textId="2328FA59" w:rsidR="007077CF" w:rsidRDefault="007077CF" w:rsidP="008D13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Lava Hot Springs Foundation was created in 1919 to administer the State property granted to the state by the U.S Government in and around </w:t>
      </w:r>
      <w:r w:rsidR="00805775">
        <w:rPr>
          <w:rFonts w:ascii="Arial" w:hAnsi="Arial" w:cs="Arial"/>
          <w:sz w:val="20"/>
          <w:szCs w:val="20"/>
        </w:rPr>
        <w:t xml:space="preserve">the city of Lava Hot Springs. </w:t>
      </w:r>
      <w:r w:rsidR="006E4730">
        <w:rPr>
          <w:rFonts w:ascii="Arial" w:hAnsi="Arial" w:cs="Arial"/>
          <w:sz w:val="20"/>
          <w:szCs w:val="20"/>
        </w:rPr>
        <w:t>It is governed by a five-</w:t>
      </w:r>
      <w:r>
        <w:rPr>
          <w:rFonts w:ascii="Arial" w:hAnsi="Arial" w:cs="Arial"/>
          <w:sz w:val="20"/>
          <w:szCs w:val="20"/>
        </w:rPr>
        <w:t>member Board of Directors appointed by t</w:t>
      </w:r>
      <w:r w:rsidR="006E4730">
        <w:rPr>
          <w:rFonts w:ascii="Arial" w:hAnsi="Arial" w:cs="Arial"/>
          <w:sz w:val="20"/>
          <w:szCs w:val="20"/>
        </w:rPr>
        <w:t xml:space="preserve">he Governor to six-year terms. </w:t>
      </w:r>
      <w:r w:rsidR="003C36AA">
        <w:rPr>
          <w:rFonts w:ascii="Arial" w:hAnsi="Arial" w:cs="Arial"/>
          <w:sz w:val="20"/>
          <w:szCs w:val="20"/>
        </w:rPr>
        <w:t>Devanee Morrison</w:t>
      </w:r>
      <w:r>
        <w:rPr>
          <w:rFonts w:ascii="Arial" w:hAnsi="Arial" w:cs="Arial"/>
          <w:sz w:val="20"/>
          <w:szCs w:val="20"/>
        </w:rPr>
        <w:t xml:space="preserve"> serves as Executive </w:t>
      </w:r>
      <w:r w:rsidR="006E4730">
        <w:rPr>
          <w:rFonts w:ascii="Arial" w:hAnsi="Arial" w:cs="Arial"/>
          <w:sz w:val="20"/>
          <w:szCs w:val="20"/>
        </w:rPr>
        <w:t xml:space="preserve">Director overseeing the </w:t>
      </w:r>
      <w:r w:rsidR="009429E9">
        <w:rPr>
          <w:rFonts w:ascii="Arial" w:hAnsi="Arial" w:cs="Arial"/>
          <w:sz w:val="20"/>
          <w:szCs w:val="20"/>
        </w:rPr>
        <w:t>17</w:t>
      </w:r>
      <w:r w:rsidR="006E4730">
        <w:rPr>
          <w:rFonts w:ascii="Arial" w:hAnsi="Arial" w:cs="Arial"/>
          <w:sz w:val="20"/>
          <w:szCs w:val="20"/>
        </w:rPr>
        <w:t xml:space="preserve"> full-</w:t>
      </w:r>
      <w:r>
        <w:rPr>
          <w:rFonts w:ascii="Arial" w:hAnsi="Arial" w:cs="Arial"/>
          <w:sz w:val="20"/>
          <w:szCs w:val="20"/>
        </w:rPr>
        <w:t xml:space="preserve">time classified employees and 110 temporary and seasonal workers who operate and maintain </w:t>
      </w:r>
      <w:proofErr w:type="gramStart"/>
      <w:r>
        <w:rPr>
          <w:rFonts w:ascii="Arial" w:hAnsi="Arial" w:cs="Arial"/>
          <w:sz w:val="20"/>
          <w:szCs w:val="20"/>
        </w:rPr>
        <w:t>this world-class hot spri</w:t>
      </w:r>
      <w:r w:rsidR="006E4730">
        <w:rPr>
          <w:rFonts w:ascii="Arial" w:hAnsi="Arial" w:cs="Arial"/>
          <w:sz w:val="20"/>
          <w:szCs w:val="20"/>
        </w:rPr>
        <w:t>ngs and recreational facility</w:t>
      </w:r>
      <w:proofErr w:type="gramEnd"/>
      <w:r w:rsidR="006E473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The revenues generated by ticket sales, rentals</w:t>
      </w:r>
      <w:r w:rsidR="006E473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retail sales provide for the operation and maintenance of the approximately 180 acres deeded to the State by the Federal Government in 1902.</w:t>
      </w:r>
    </w:p>
    <w:p w14:paraId="761797CB" w14:textId="77777777" w:rsidR="004F76FD" w:rsidRPr="008D134C" w:rsidRDefault="004F76FD" w:rsidP="008D134C">
      <w:pPr>
        <w:jc w:val="both"/>
        <w:rPr>
          <w:rFonts w:ascii="Arial" w:hAnsi="Arial" w:cs="Arial"/>
          <w:szCs w:val="20"/>
        </w:rPr>
      </w:pPr>
    </w:p>
    <w:p w14:paraId="0227369E" w14:textId="77777777" w:rsidR="000E7A16" w:rsidRDefault="000E7A16" w:rsidP="008D134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Core Functions/Idaho Code</w:t>
      </w:r>
    </w:p>
    <w:p w14:paraId="35670638" w14:textId="77777777" w:rsidR="000E7A16" w:rsidRDefault="000E7A16" w:rsidP="008D13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Idaho Code, Chapter 67-4401 through 4409 provides for the management of State property i</w:t>
      </w:r>
      <w:r w:rsidR="006E4730">
        <w:rPr>
          <w:rFonts w:ascii="Arial" w:hAnsi="Arial" w:cs="Arial"/>
          <w:sz w:val="20"/>
          <w:szCs w:val="20"/>
        </w:rPr>
        <w:t xml:space="preserve">n and around Lava Hot Springs. </w:t>
      </w:r>
      <w:r w:rsidR="00805775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core function is to ensure that the public has access to healthful, clean</w:t>
      </w:r>
      <w:r w:rsidR="006E473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inviting facilities for recreation and healing purposes.</w:t>
      </w:r>
    </w:p>
    <w:p w14:paraId="4C665C60" w14:textId="77777777" w:rsidR="004F76FD" w:rsidRPr="008D134C" w:rsidRDefault="004F76FD" w:rsidP="008D134C">
      <w:pPr>
        <w:jc w:val="both"/>
        <w:rPr>
          <w:rFonts w:ascii="Arial" w:hAnsi="Arial" w:cs="Arial"/>
          <w:szCs w:val="20"/>
        </w:rPr>
      </w:pPr>
    </w:p>
    <w:p w14:paraId="0DF2AB0A" w14:textId="77777777" w:rsidR="000E7A16" w:rsidRDefault="008D134C" w:rsidP="008D134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Revenue and Expenditures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65"/>
        <w:gridCol w:w="1802"/>
        <w:gridCol w:w="1801"/>
        <w:gridCol w:w="1801"/>
        <w:gridCol w:w="1801"/>
      </w:tblGrid>
      <w:tr w:rsidR="001908E2" w14:paraId="143076E8" w14:textId="77777777" w:rsidTr="001908E2">
        <w:tc>
          <w:tcPr>
            <w:tcW w:w="2865" w:type="dxa"/>
            <w:shd w:val="clear" w:color="auto" w:fill="000080"/>
          </w:tcPr>
          <w:p w14:paraId="31986225" w14:textId="77777777" w:rsidR="001908E2" w:rsidRDefault="001908E2" w:rsidP="001908E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Revenue</w:t>
            </w:r>
          </w:p>
        </w:tc>
        <w:tc>
          <w:tcPr>
            <w:tcW w:w="1802" w:type="dxa"/>
            <w:shd w:val="clear" w:color="auto" w:fill="000080"/>
          </w:tcPr>
          <w:p w14:paraId="3DF9F22B" w14:textId="56A68C0A" w:rsidR="001908E2" w:rsidRDefault="003628AF" w:rsidP="001908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2019</w:t>
            </w:r>
          </w:p>
        </w:tc>
        <w:tc>
          <w:tcPr>
            <w:tcW w:w="1801" w:type="dxa"/>
            <w:shd w:val="clear" w:color="auto" w:fill="000080"/>
          </w:tcPr>
          <w:p w14:paraId="38CC3576" w14:textId="6661B2EB" w:rsidR="001908E2" w:rsidRDefault="003628AF" w:rsidP="001908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2020</w:t>
            </w:r>
          </w:p>
        </w:tc>
        <w:tc>
          <w:tcPr>
            <w:tcW w:w="1801" w:type="dxa"/>
            <w:shd w:val="clear" w:color="auto" w:fill="000080"/>
          </w:tcPr>
          <w:p w14:paraId="0D2BC18B" w14:textId="18E91366" w:rsidR="001908E2" w:rsidRDefault="003628AF" w:rsidP="001908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2021</w:t>
            </w:r>
          </w:p>
        </w:tc>
        <w:tc>
          <w:tcPr>
            <w:tcW w:w="1801" w:type="dxa"/>
            <w:shd w:val="clear" w:color="auto" w:fill="000080"/>
          </w:tcPr>
          <w:p w14:paraId="62ACA485" w14:textId="1DEF398E" w:rsidR="001908E2" w:rsidRDefault="003628AF" w:rsidP="001908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2022</w:t>
            </w:r>
          </w:p>
        </w:tc>
      </w:tr>
      <w:tr w:rsidR="003628AF" w14:paraId="54247F4B" w14:textId="77777777" w:rsidTr="001908E2">
        <w:tc>
          <w:tcPr>
            <w:tcW w:w="2865" w:type="dxa"/>
            <w:vAlign w:val="bottom"/>
          </w:tcPr>
          <w:p w14:paraId="224E6E09" w14:textId="77777777" w:rsidR="003628AF" w:rsidRDefault="003628AF" w:rsidP="003628AF">
            <w:pPr>
              <w:rPr>
                <w:rFonts w:ascii="Arial" w:eastAsia="Arial Unicode MS" w:hAnsi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Public Rec – Lava </w:t>
            </w:r>
          </w:p>
        </w:tc>
        <w:tc>
          <w:tcPr>
            <w:tcW w:w="1802" w:type="dxa"/>
          </w:tcPr>
          <w:p w14:paraId="35E01B3F" w14:textId="176DA8C0" w:rsidR="003628AF" w:rsidRDefault="003628AF" w:rsidP="003628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AA9">
              <w:rPr>
                <w:rFonts w:ascii="Arial" w:hAnsi="Arial" w:cs="Arial"/>
                <w:color w:val="000000"/>
                <w:sz w:val="20"/>
                <w:szCs w:val="20"/>
              </w:rPr>
              <w:t>$ 3,036,200</w:t>
            </w:r>
          </w:p>
        </w:tc>
        <w:tc>
          <w:tcPr>
            <w:tcW w:w="1801" w:type="dxa"/>
          </w:tcPr>
          <w:p w14:paraId="718220C4" w14:textId="64EF93CE" w:rsidR="003628AF" w:rsidRDefault="003628AF" w:rsidP="003628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$2,528,000</w:t>
            </w:r>
          </w:p>
        </w:tc>
        <w:tc>
          <w:tcPr>
            <w:tcW w:w="1801" w:type="dxa"/>
          </w:tcPr>
          <w:p w14:paraId="282FFA16" w14:textId="56063FAB" w:rsidR="003628AF" w:rsidRDefault="003628AF" w:rsidP="003628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$3,727,300</w:t>
            </w:r>
          </w:p>
        </w:tc>
        <w:tc>
          <w:tcPr>
            <w:tcW w:w="1801" w:type="dxa"/>
          </w:tcPr>
          <w:p w14:paraId="5399F3A2" w14:textId="4D78BAD2" w:rsidR="003628AF" w:rsidRPr="00BB5AA9" w:rsidRDefault="003628AF" w:rsidP="00362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628AF" w14:paraId="551E692F" w14:textId="77777777" w:rsidTr="001908E2">
        <w:tc>
          <w:tcPr>
            <w:tcW w:w="2865" w:type="dxa"/>
            <w:vAlign w:val="bottom"/>
          </w:tcPr>
          <w:p w14:paraId="17343A3D" w14:textId="598AC82C" w:rsidR="003628AF" w:rsidRPr="00777CB8" w:rsidRDefault="003628AF" w:rsidP="003628AF">
            <w:pPr>
              <w:rPr>
                <w:rFonts w:ascii="Arial" w:eastAsia="Arial Unicode MS" w:hAnsi="Arial"/>
                <w:color w:val="000000"/>
                <w:sz w:val="20"/>
                <w:szCs w:val="20"/>
                <w:lang w:val="fr-FR"/>
              </w:rPr>
            </w:pPr>
            <w:r w:rsidRPr="00777CB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L.H.S. Capital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7CB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Improvement</w:t>
            </w:r>
            <w:proofErr w:type="spellEnd"/>
            <w:r w:rsidRPr="00777CB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802" w:type="dxa"/>
          </w:tcPr>
          <w:p w14:paraId="49AAEF68" w14:textId="48C56A4C" w:rsidR="003628AF" w:rsidRDefault="003628AF" w:rsidP="003628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$69,400</w:t>
            </w:r>
          </w:p>
        </w:tc>
        <w:tc>
          <w:tcPr>
            <w:tcW w:w="1801" w:type="dxa"/>
          </w:tcPr>
          <w:p w14:paraId="3DAF39EE" w14:textId="588BC405" w:rsidR="003628AF" w:rsidRDefault="003628AF" w:rsidP="003628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$87,200</w:t>
            </w:r>
          </w:p>
        </w:tc>
        <w:tc>
          <w:tcPr>
            <w:tcW w:w="1801" w:type="dxa"/>
          </w:tcPr>
          <w:p w14:paraId="064E2E70" w14:textId="04EBC890" w:rsidR="003628AF" w:rsidRDefault="003628AF" w:rsidP="003628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$15,000</w:t>
            </w:r>
          </w:p>
        </w:tc>
        <w:tc>
          <w:tcPr>
            <w:tcW w:w="1801" w:type="dxa"/>
          </w:tcPr>
          <w:p w14:paraId="00584367" w14:textId="18456F64" w:rsidR="003628AF" w:rsidRDefault="003628AF" w:rsidP="003628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628AF" w14:paraId="505E2416" w14:textId="77777777" w:rsidTr="001908E2">
        <w:tc>
          <w:tcPr>
            <w:tcW w:w="2865" w:type="dxa"/>
            <w:vAlign w:val="bottom"/>
          </w:tcPr>
          <w:p w14:paraId="0AB614B5" w14:textId="77777777" w:rsidR="003628AF" w:rsidRDefault="003628AF" w:rsidP="003628AF">
            <w:pPr>
              <w:jc w:val="right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02" w:type="dxa"/>
          </w:tcPr>
          <w:p w14:paraId="06452372" w14:textId="647A007F" w:rsidR="003628AF" w:rsidRDefault="003628AF" w:rsidP="003628A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$3,105,600</w:t>
            </w:r>
          </w:p>
        </w:tc>
        <w:tc>
          <w:tcPr>
            <w:tcW w:w="1801" w:type="dxa"/>
          </w:tcPr>
          <w:p w14:paraId="256D8F07" w14:textId="3771ED37" w:rsidR="003628AF" w:rsidRDefault="003628AF" w:rsidP="003628A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$2,615,200</w:t>
            </w:r>
          </w:p>
        </w:tc>
        <w:tc>
          <w:tcPr>
            <w:tcW w:w="1801" w:type="dxa"/>
          </w:tcPr>
          <w:p w14:paraId="7714C560" w14:textId="28A63218" w:rsidR="003628AF" w:rsidRDefault="003628AF" w:rsidP="003628A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$3,742,300</w:t>
            </w:r>
          </w:p>
        </w:tc>
        <w:tc>
          <w:tcPr>
            <w:tcW w:w="1801" w:type="dxa"/>
          </w:tcPr>
          <w:p w14:paraId="72E4D8CD" w14:textId="06BC4F9F" w:rsidR="003628AF" w:rsidRDefault="003628AF" w:rsidP="003628A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28AF" w14:paraId="353B822C" w14:textId="77777777" w:rsidTr="001908E2">
        <w:tc>
          <w:tcPr>
            <w:tcW w:w="2865" w:type="dxa"/>
            <w:shd w:val="clear" w:color="auto" w:fill="000080"/>
          </w:tcPr>
          <w:p w14:paraId="469B4452" w14:textId="77777777" w:rsidR="003628AF" w:rsidRDefault="003628AF" w:rsidP="003628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Expenditures</w:t>
            </w:r>
          </w:p>
        </w:tc>
        <w:tc>
          <w:tcPr>
            <w:tcW w:w="1802" w:type="dxa"/>
            <w:shd w:val="clear" w:color="auto" w:fill="000080"/>
          </w:tcPr>
          <w:p w14:paraId="4D98DFF2" w14:textId="04184435" w:rsidR="003628AF" w:rsidRDefault="003628AF" w:rsidP="003628A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1801" w:type="dxa"/>
            <w:shd w:val="clear" w:color="auto" w:fill="000080"/>
          </w:tcPr>
          <w:p w14:paraId="7CD41ECD" w14:textId="714F1FD8" w:rsidR="003628AF" w:rsidRDefault="003628AF" w:rsidP="003628A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2020</w:t>
            </w:r>
          </w:p>
        </w:tc>
        <w:tc>
          <w:tcPr>
            <w:tcW w:w="1801" w:type="dxa"/>
            <w:shd w:val="clear" w:color="auto" w:fill="000080"/>
          </w:tcPr>
          <w:p w14:paraId="70AEA125" w14:textId="6BE2BCC1" w:rsidR="003628AF" w:rsidRDefault="003628AF" w:rsidP="003628A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2021</w:t>
            </w:r>
          </w:p>
        </w:tc>
        <w:tc>
          <w:tcPr>
            <w:tcW w:w="1801" w:type="dxa"/>
            <w:shd w:val="clear" w:color="auto" w:fill="000080"/>
          </w:tcPr>
          <w:p w14:paraId="76690040" w14:textId="2627CC45" w:rsidR="003628AF" w:rsidRDefault="003628AF" w:rsidP="003628A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2022</w:t>
            </w:r>
          </w:p>
        </w:tc>
      </w:tr>
      <w:tr w:rsidR="003628AF" w14:paraId="2658299E" w14:textId="77777777" w:rsidTr="003628AF">
        <w:trPr>
          <w:trHeight w:val="207"/>
        </w:trPr>
        <w:tc>
          <w:tcPr>
            <w:tcW w:w="2865" w:type="dxa"/>
          </w:tcPr>
          <w:p w14:paraId="46FDB39E" w14:textId="77777777" w:rsidR="003628AF" w:rsidRDefault="003628AF" w:rsidP="003628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Personnel Costs</w:t>
            </w:r>
          </w:p>
        </w:tc>
        <w:tc>
          <w:tcPr>
            <w:tcW w:w="1802" w:type="dxa"/>
          </w:tcPr>
          <w:p w14:paraId="0DE081E1" w14:textId="13FB8ED1" w:rsidR="003628AF" w:rsidRDefault="003628AF" w:rsidP="00362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$1,330,700</w:t>
            </w:r>
          </w:p>
        </w:tc>
        <w:tc>
          <w:tcPr>
            <w:tcW w:w="1801" w:type="dxa"/>
          </w:tcPr>
          <w:p w14:paraId="78E3412B" w14:textId="34A2945C" w:rsidR="003628AF" w:rsidRDefault="003628AF" w:rsidP="00362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$1,263,200</w:t>
            </w:r>
          </w:p>
        </w:tc>
        <w:tc>
          <w:tcPr>
            <w:tcW w:w="1801" w:type="dxa"/>
          </w:tcPr>
          <w:p w14:paraId="414803CF" w14:textId="5C225C3F" w:rsidR="003628AF" w:rsidRDefault="003628AF" w:rsidP="00362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$1,307,700</w:t>
            </w:r>
          </w:p>
        </w:tc>
        <w:tc>
          <w:tcPr>
            <w:tcW w:w="1801" w:type="dxa"/>
          </w:tcPr>
          <w:p w14:paraId="02C6F957" w14:textId="1C3CE870" w:rsidR="003628AF" w:rsidRDefault="003628AF" w:rsidP="00362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8AF" w14:paraId="72C3711F" w14:textId="77777777" w:rsidTr="001908E2">
        <w:tc>
          <w:tcPr>
            <w:tcW w:w="2865" w:type="dxa"/>
          </w:tcPr>
          <w:p w14:paraId="1F414FEB" w14:textId="77777777" w:rsidR="003628AF" w:rsidRDefault="003628AF" w:rsidP="003628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Operating Expenditures</w:t>
            </w:r>
          </w:p>
        </w:tc>
        <w:tc>
          <w:tcPr>
            <w:tcW w:w="1802" w:type="dxa"/>
          </w:tcPr>
          <w:p w14:paraId="27A3B9B9" w14:textId="2D39BA06" w:rsidR="003628AF" w:rsidRDefault="003628AF" w:rsidP="00362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$761,600</w:t>
            </w:r>
          </w:p>
        </w:tc>
        <w:tc>
          <w:tcPr>
            <w:tcW w:w="1801" w:type="dxa"/>
          </w:tcPr>
          <w:p w14:paraId="4F18AF65" w14:textId="1AA2498E" w:rsidR="003628AF" w:rsidRDefault="003628AF" w:rsidP="00362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$697,000</w:t>
            </w:r>
          </w:p>
        </w:tc>
        <w:tc>
          <w:tcPr>
            <w:tcW w:w="1801" w:type="dxa"/>
          </w:tcPr>
          <w:p w14:paraId="010D9095" w14:textId="5EEC8A1A" w:rsidR="003628AF" w:rsidRDefault="003628AF" w:rsidP="00362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$752,600</w:t>
            </w:r>
          </w:p>
        </w:tc>
        <w:tc>
          <w:tcPr>
            <w:tcW w:w="1801" w:type="dxa"/>
          </w:tcPr>
          <w:p w14:paraId="00706446" w14:textId="62EBC121" w:rsidR="003628AF" w:rsidRDefault="003628AF" w:rsidP="00362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8AF" w14:paraId="3C6C54E8" w14:textId="77777777" w:rsidTr="001908E2">
        <w:tc>
          <w:tcPr>
            <w:tcW w:w="2865" w:type="dxa"/>
          </w:tcPr>
          <w:p w14:paraId="4ED7B798" w14:textId="77777777" w:rsidR="003628AF" w:rsidRDefault="003628AF" w:rsidP="003628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Capital Outlay</w:t>
            </w:r>
          </w:p>
        </w:tc>
        <w:tc>
          <w:tcPr>
            <w:tcW w:w="1802" w:type="dxa"/>
          </w:tcPr>
          <w:p w14:paraId="44AB2127" w14:textId="337AE628" w:rsidR="003628AF" w:rsidRDefault="003628AF" w:rsidP="00362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$95,000</w:t>
            </w:r>
          </w:p>
        </w:tc>
        <w:tc>
          <w:tcPr>
            <w:tcW w:w="1801" w:type="dxa"/>
          </w:tcPr>
          <w:p w14:paraId="7423B453" w14:textId="0CDC56CA" w:rsidR="003628AF" w:rsidRDefault="003628AF" w:rsidP="00362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$380,600</w:t>
            </w:r>
          </w:p>
        </w:tc>
        <w:tc>
          <w:tcPr>
            <w:tcW w:w="1801" w:type="dxa"/>
          </w:tcPr>
          <w:p w14:paraId="18C9C838" w14:textId="7BFA3714" w:rsidR="003628AF" w:rsidRDefault="003628AF" w:rsidP="00362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$267,100</w:t>
            </w:r>
          </w:p>
        </w:tc>
        <w:tc>
          <w:tcPr>
            <w:tcW w:w="1801" w:type="dxa"/>
          </w:tcPr>
          <w:p w14:paraId="1012CDC2" w14:textId="1F364CA0" w:rsidR="003628AF" w:rsidRDefault="003628AF" w:rsidP="00362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8AF" w14:paraId="090F5B55" w14:textId="77777777" w:rsidTr="001908E2">
        <w:tc>
          <w:tcPr>
            <w:tcW w:w="2865" w:type="dxa"/>
          </w:tcPr>
          <w:p w14:paraId="2302226C" w14:textId="77777777" w:rsidR="003628AF" w:rsidRDefault="003628AF" w:rsidP="003628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Trustee/Benefit Payments</w:t>
            </w:r>
          </w:p>
        </w:tc>
        <w:tc>
          <w:tcPr>
            <w:tcW w:w="1802" w:type="dxa"/>
          </w:tcPr>
          <w:p w14:paraId="23EF506B" w14:textId="77777777" w:rsidR="003628AF" w:rsidRPr="000403E5" w:rsidRDefault="003628AF" w:rsidP="00362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</w:tcPr>
          <w:p w14:paraId="2EECE1C7" w14:textId="77777777" w:rsidR="003628AF" w:rsidRDefault="003628AF" w:rsidP="003628AF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01" w:type="dxa"/>
          </w:tcPr>
          <w:p w14:paraId="509E5F04" w14:textId="77777777" w:rsidR="003628AF" w:rsidRDefault="003628AF" w:rsidP="003628AF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01" w:type="dxa"/>
          </w:tcPr>
          <w:p w14:paraId="66B0007B" w14:textId="77777777" w:rsidR="003628AF" w:rsidRDefault="003628AF" w:rsidP="003628AF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3628AF" w14:paraId="1C34641A" w14:textId="77777777" w:rsidTr="001908E2">
        <w:tc>
          <w:tcPr>
            <w:tcW w:w="2865" w:type="dxa"/>
          </w:tcPr>
          <w:p w14:paraId="2D2F8DE4" w14:textId="77777777" w:rsidR="003628AF" w:rsidRDefault="003628AF" w:rsidP="003628AF">
            <w:pPr>
              <w:ind w:left="2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02" w:type="dxa"/>
          </w:tcPr>
          <w:p w14:paraId="14633EA5" w14:textId="49200735" w:rsidR="003628AF" w:rsidRDefault="003628AF" w:rsidP="003628A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$2,187,300</w:t>
            </w:r>
          </w:p>
        </w:tc>
        <w:tc>
          <w:tcPr>
            <w:tcW w:w="1801" w:type="dxa"/>
          </w:tcPr>
          <w:p w14:paraId="3E66F91D" w14:textId="6CC1495A" w:rsidR="003628AF" w:rsidRDefault="003628AF" w:rsidP="003628A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$2,340,800</w:t>
            </w:r>
          </w:p>
        </w:tc>
        <w:tc>
          <w:tcPr>
            <w:tcW w:w="1801" w:type="dxa"/>
          </w:tcPr>
          <w:p w14:paraId="0F6F97B8" w14:textId="4E27FE60" w:rsidR="003628AF" w:rsidRDefault="003628AF" w:rsidP="003628A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$2,327,400</w:t>
            </w:r>
          </w:p>
        </w:tc>
        <w:tc>
          <w:tcPr>
            <w:tcW w:w="1801" w:type="dxa"/>
          </w:tcPr>
          <w:p w14:paraId="471C1A93" w14:textId="74DBB626" w:rsidR="003628AF" w:rsidRDefault="003628AF" w:rsidP="003628A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0F10619" w14:textId="77777777" w:rsidR="000E7A16" w:rsidRPr="00A0023B" w:rsidRDefault="000E7A16" w:rsidP="008D134C">
      <w:pPr>
        <w:rPr>
          <w:rFonts w:ascii="Arial" w:hAnsi="Arial" w:cs="Arial"/>
        </w:rPr>
      </w:pPr>
    </w:p>
    <w:p w14:paraId="5983BFF4" w14:textId="77777777" w:rsidR="000E7A16" w:rsidRDefault="000E7A16" w:rsidP="008D134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Profile of Cases Managed and/or Key Services Provided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0"/>
        <w:gridCol w:w="1560"/>
        <w:gridCol w:w="1560"/>
        <w:gridCol w:w="1560"/>
        <w:gridCol w:w="1560"/>
      </w:tblGrid>
      <w:tr w:rsidR="001908E2" w14:paraId="2D6366EE" w14:textId="77777777" w:rsidTr="001908E2">
        <w:tc>
          <w:tcPr>
            <w:tcW w:w="3830" w:type="dxa"/>
            <w:shd w:val="clear" w:color="auto" w:fill="000080"/>
          </w:tcPr>
          <w:p w14:paraId="2E67C96F" w14:textId="77777777" w:rsidR="001908E2" w:rsidRDefault="001908E2" w:rsidP="001908E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Cases Managed and/or Key Services Provided</w:t>
            </w:r>
          </w:p>
        </w:tc>
        <w:tc>
          <w:tcPr>
            <w:tcW w:w="1560" w:type="dxa"/>
            <w:shd w:val="clear" w:color="auto" w:fill="000080"/>
            <w:vAlign w:val="bottom"/>
          </w:tcPr>
          <w:p w14:paraId="5EA78056" w14:textId="613E98B7" w:rsidR="001908E2" w:rsidRDefault="003628AF" w:rsidP="001908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2019</w:t>
            </w:r>
          </w:p>
        </w:tc>
        <w:tc>
          <w:tcPr>
            <w:tcW w:w="1560" w:type="dxa"/>
            <w:shd w:val="clear" w:color="auto" w:fill="000080"/>
            <w:vAlign w:val="bottom"/>
          </w:tcPr>
          <w:p w14:paraId="5AF35B5A" w14:textId="36C94A21" w:rsidR="001908E2" w:rsidRDefault="003628AF" w:rsidP="001908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2020</w:t>
            </w:r>
          </w:p>
        </w:tc>
        <w:tc>
          <w:tcPr>
            <w:tcW w:w="1560" w:type="dxa"/>
            <w:shd w:val="clear" w:color="auto" w:fill="000080"/>
            <w:vAlign w:val="bottom"/>
          </w:tcPr>
          <w:p w14:paraId="45046C0E" w14:textId="0FBD3225" w:rsidR="001908E2" w:rsidRDefault="003628AF" w:rsidP="001908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2021</w:t>
            </w:r>
          </w:p>
        </w:tc>
        <w:tc>
          <w:tcPr>
            <w:tcW w:w="1560" w:type="dxa"/>
            <w:shd w:val="clear" w:color="auto" w:fill="000080"/>
            <w:vAlign w:val="bottom"/>
          </w:tcPr>
          <w:p w14:paraId="55B21F30" w14:textId="6E637447" w:rsidR="001908E2" w:rsidRDefault="003628AF" w:rsidP="001908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2022</w:t>
            </w:r>
          </w:p>
        </w:tc>
      </w:tr>
      <w:tr w:rsidR="003628AF" w14:paraId="36AD4FFF" w14:textId="77777777" w:rsidTr="001908E2">
        <w:tc>
          <w:tcPr>
            <w:tcW w:w="3830" w:type="dxa"/>
          </w:tcPr>
          <w:p w14:paraId="597080EA" w14:textId="77777777" w:rsidR="003628AF" w:rsidRDefault="003628AF" w:rsidP="00362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Olympic Swimming Pool Attendance</w:t>
            </w:r>
          </w:p>
        </w:tc>
        <w:tc>
          <w:tcPr>
            <w:tcW w:w="1560" w:type="dxa"/>
          </w:tcPr>
          <w:p w14:paraId="4C0E83A6" w14:textId="5B346A1C" w:rsidR="003628AF" w:rsidRDefault="003628AF" w:rsidP="00362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160,600</w:t>
            </w:r>
          </w:p>
        </w:tc>
        <w:tc>
          <w:tcPr>
            <w:tcW w:w="1560" w:type="dxa"/>
          </w:tcPr>
          <w:p w14:paraId="63DD4DB2" w14:textId="04D7A804" w:rsidR="003628AF" w:rsidRDefault="003628AF" w:rsidP="00362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126,197</w:t>
            </w:r>
          </w:p>
        </w:tc>
        <w:tc>
          <w:tcPr>
            <w:tcW w:w="1560" w:type="dxa"/>
          </w:tcPr>
          <w:p w14:paraId="3BFA9010" w14:textId="60554DE2" w:rsidR="003628AF" w:rsidRDefault="003628AF" w:rsidP="00362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175,361</w:t>
            </w:r>
          </w:p>
        </w:tc>
        <w:tc>
          <w:tcPr>
            <w:tcW w:w="1560" w:type="dxa"/>
          </w:tcPr>
          <w:p w14:paraId="16758CF5" w14:textId="77DACA7A" w:rsidR="003628AF" w:rsidRDefault="003628AF" w:rsidP="00362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8AF" w14:paraId="7D352DDF" w14:textId="77777777" w:rsidTr="001908E2">
        <w:tc>
          <w:tcPr>
            <w:tcW w:w="3830" w:type="dxa"/>
          </w:tcPr>
          <w:p w14:paraId="31E2BDEF" w14:textId="77777777" w:rsidR="003628AF" w:rsidRDefault="003628AF" w:rsidP="00362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World Famous Hot Pool Attendance</w:t>
            </w:r>
          </w:p>
        </w:tc>
        <w:tc>
          <w:tcPr>
            <w:tcW w:w="1560" w:type="dxa"/>
          </w:tcPr>
          <w:p w14:paraId="629D3A8F" w14:textId="4399CC4A" w:rsidR="003628AF" w:rsidRPr="0049670F" w:rsidRDefault="003628AF" w:rsidP="00362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274,768</w:t>
            </w:r>
          </w:p>
        </w:tc>
        <w:tc>
          <w:tcPr>
            <w:tcW w:w="1560" w:type="dxa"/>
          </w:tcPr>
          <w:p w14:paraId="44DC7DC1" w14:textId="7E3F1004" w:rsidR="003628AF" w:rsidRPr="0049670F" w:rsidRDefault="003628AF" w:rsidP="00362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211,491</w:t>
            </w:r>
          </w:p>
        </w:tc>
        <w:tc>
          <w:tcPr>
            <w:tcW w:w="1560" w:type="dxa"/>
          </w:tcPr>
          <w:p w14:paraId="59D12DFA" w14:textId="54566130" w:rsidR="003628AF" w:rsidRPr="0049670F" w:rsidRDefault="003628AF" w:rsidP="00362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315,245</w:t>
            </w:r>
          </w:p>
        </w:tc>
        <w:tc>
          <w:tcPr>
            <w:tcW w:w="1560" w:type="dxa"/>
          </w:tcPr>
          <w:p w14:paraId="48DDB9FE" w14:textId="0FFF83D3" w:rsidR="003628AF" w:rsidRPr="0049670F" w:rsidRDefault="003628AF" w:rsidP="00362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8AF" w14:paraId="18688F40" w14:textId="77777777" w:rsidTr="001908E2">
        <w:tc>
          <w:tcPr>
            <w:tcW w:w="3830" w:type="dxa"/>
          </w:tcPr>
          <w:p w14:paraId="7C2DB3BA" w14:textId="77777777" w:rsidR="003628AF" w:rsidRDefault="003628AF" w:rsidP="00362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attendance</w:t>
            </w:r>
          </w:p>
        </w:tc>
        <w:tc>
          <w:tcPr>
            <w:tcW w:w="1560" w:type="dxa"/>
          </w:tcPr>
          <w:p w14:paraId="0054E02F" w14:textId="10DB5278" w:rsidR="003628AF" w:rsidRPr="0049670F" w:rsidRDefault="003628AF" w:rsidP="00362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435,368</w:t>
            </w:r>
          </w:p>
        </w:tc>
        <w:tc>
          <w:tcPr>
            <w:tcW w:w="1560" w:type="dxa"/>
          </w:tcPr>
          <w:p w14:paraId="5329170E" w14:textId="48F78BE0" w:rsidR="003628AF" w:rsidRPr="0049670F" w:rsidRDefault="003628AF" w:rsidP="00362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337,688</w:t>
            </w:r>
          </w:p>
        </w:tc>
        <w:tc>
          <w:tcPr>
            <w:tcW w:w="1560" w:type="dxa"/>
          </w:tcPr>
          <w:p w14:paraId="6A6665D4" w14:textId="5BBDF8C0" w:rsidR="003628AF" w:rsidRPr="0049670F" w:rsidRDefault="003628AF" w:rsidP="00362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490,606</w:t>
            </w:r>
          </w:p>
        </w:tc>
        <w:tc>
          <w:tcPr>
            <w:tcW w:w="1560" w:type="dxa"/>
          </w:tcPr>
          <w:p w14:paraId="755D53E6" w14:textId="016FA0ED" w:rsidR="003628AF" w:rsidRPr="0049670F" w:rsidRDefault="003628AF" w:rsidP="00362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8AF" w14:paraId="22A369A0" w14:textId="77777777" w:rsidTr="001908E2">
        <w:tc>
          <w:tcPr>
            <w:tcW w:w="3830" w:type="dxa"/>
          </w:tcPr>
          <w:p w14:paraId="7E4C44EA" w14:textId="77777777" w:rsidR="003628AF" w:rsidRDefault="003628AF" w:rsidP="00362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Revenue over expenditures</w:t>
            </w:r>
          </w:p>
        </w:tc>
        <w:tc>
          <w:tcPr>
            <w:tcW w:w="1560" w:type="dxa"/>
          </w:tcPr>
          <w:p w14:paraId="4EFCCDD4" w14:textId="21FCB891" w:rsidR="003628AF" w:rsidRDefault="003628AF" w:rsidP="00362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$918,300</w:t>
            </w:r>
          </w:p>
        </w:tc>
        <w:tc>
          <w:tcPr>
            <w:tcW w:w="1560" w:type="dxa"/>
          </w:tcPr>
          <w:p w14:paraId="53710B91" w14:textId="77414BD8" w:rsidR="003628AF" w:rsidRDefault="003628AF" w:rsidP="00362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$274,400</w:t>
            </w:r>
          </w:p>
        </w:tc>
        <w:tc>
          <w:tcPr>
            <w:tcW w:w="1560" w:type="dxa"/>
          </w:tcPr>
          <w:p w14:paraId="32D59371" w14:textId="1F078E03" w:rsidR="003628AF" w:rsidRDefault="003628AF" w:rsidP="00362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$1,414,900</w:t>
            </w:r>
          </w:p>
        </w:tc>
        <w:tc>
          <w:tcPr>
            <w:tcW w:w="1560" w:type="dxa"/>
          </w:tcPr>
          <w:p w14:paraId="468620C1" w14:textId="44FDFCA8" w:rsidR="003628AF" w:rsidRDefault="003628AF" w:rsidP="003628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667167" w14:textId="67AFE50D" w:rsidR="00C95402" w:rsidRDefault="00C95402">
      <w:pPr>
        <w:rPr>
          <w:rFonts w:ascii="Arial" w:hAnsi="Arial" w:cs="Arial"/>
          <w:color w:val="000080"/>
        </w:rPr>
      </w:pPr>
    </w:p>
    <w:p w14:paraId="62894069" w14:textId="77777777" w:rsidR="00B12921" w:rsidRDefault="00B12921">
      <w:pPr>
        <w:rPr>
          <w:rFonts w:ascii="Arial" w:hAnsi="Arial" w:cs="Arial"/>
          <w:b/>
          <w:bCs/>
        </w:rPr>
      </w:pPr>
    </w:p>
    <w:p w14:paraId="61F317EF" w14:textId="1942588F" w:rsidR="00CE7919" w:rsidRDefault="003628AF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bCs/>
        </w:rPr>
        <w:t>FY 2022</w:t>
      </w:r>
      <w:r w:rsidR="00CE7919">
        <w:rPr>
          <w:rFonts w:ascii="Arial" w:hAnsi="Arial" w:cs="Arial"/>
          <w:b/>
          <w:bCs/>
        </w:rPr>
        <w:t xml:space="preserve"> Performance Highlights </w:t>
      </w:r>
    </w:p>
    <w:p w14:paraId="47B43707" w14:textId="2E9DC8AB" w:rsidR="00CE7919" w:rsidRPr="00417D7E" w:rsidRDefault="00417D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proofErr w:type="gramStart"/>
      <w:r>
        <w:rPr>
          <w:rFonts w:ascii="Arial" w:hAnsi="Arial" w:cs="Arial"/>
          <w:sz w:val="20"/>
          <w:szCs w:val="20"/>
        </w:rPr>
        <w:t>World Famous</w:t>
      </w:r>
      <w:proofErr w:type="gramEnd"/>
      <w:r>
        <w:rPr>
          <w:rFonts w:ascii="Arial" w:hAnsi="Arial" w:cs="Arial"/>
          <w:sz w:val="20"/>
          <w:szCs w:val="20"/>
        </w:rPr>
        <w:t xml:space="preserve"> Hot Pools continue to see increased attendance throughout the year.  The addition of amenities provided in the gift shop have increased revenues significantly.  </w:t>
      </w:r>
    </w:p>
    <w:p w14:paraId="5FE266D7" w14:textId="77777777" w:rsidR="00B12921" w:rsidRPr="00B12921" w:rsidRDefault="00B12921" w:rsidP="00274BE2">
      <w:pPr>
        <w:spacing w:after="60"/>
        <w:jc w:val="both"/>
        <w:outlineLvl w:val="0"/>
        <w:rPr>
          <w:rFonts w:ascii="Arial" w:hAnsi="Arial" w:cs="Arial"/>
          <w:color w:val="000080"/>
        </w:rPr>
      </w:pPr>
    </w:p>
    <w:p w14:paraId="65782A17" w14:textId="1338E8AC" w:rsidR="00274BE2" w:rsidRDefault="00274BE2" w:rsidP="00274BE2">
      <w:pPr>
        <w:spacing w:after="60"/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  <w:r w:rsidRPr="004B2482">
        <w:rPr>
          <w:rFonts w:ascii="Arial" w:hAnsi="Arial" w:cs="Arial"/>
          <w:b/>
          <w:i/>
          <w:color w:val="000080"/>
          <w:sz w:val="28"/>
          <w:szCs w:val="28"/>
        </w:rPr>
        <w:t>Part II – Performance Measures</w:t>
      </w:r>
    </w:p>
    <w:p w14:paraId="74508AB8" w14:textId="77777777" w:rsidR="00DC3E54" w:rsidRPr="00DC3E54" w:rsidRDefault="00DC3E54" w:rsidP="00274BE2">
      <w:pPr>
        <w:spacing w:after="60"/>
        <w:jc w:val="both"/>
        <w:outlineLvl w:val="0"/>
        <w:rPr>
          <w:rFonts w:ascii="Arial" w:hAnsi="Arial" w:cs="Arial"/>
          <w:color w:val="000080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95"/>
        <w:gridCol w:w="1128"/>
        <w:gridCol w:w="1129"/>
        <w:gridCol w:w="1129"/>
        <w:gridCol w:w="1129"/>
        <w:gridCol w:w="1129"/>
        <w:gridCol w:w="1141"/>
      </w:tblGrid>
      <w:tr w:rsidR="00EA6CB1" w14:paraId="0A5BBA8D" w14:textId="77777777" w:rsidTr="00527BE9">
        <w:trPr>
          <w:cantSplit/>
          <w:tblHeader/>
        </w:trPr>
        <w:tc>
          <w:tcPr>
            <w:tcW w:w="4423" w:type="dxa"/>
            <w:gridSpan w:val="2"/>
            <w:shd w:val="clear" w:color="auto" w:fill="000080"/>
            <w:vAlign w:val="bottom"/>
          </w:tcPr>
          <w:p w14:paraId="170FB566" w14:textId="77777777" w:rsidR="00EA6CB1" w:rsidRDefault="00EA6CB1" w:rsidP="00EA6CB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Performance Measure</w:t>
            </w:r>
          </w:p>
        </w:tc>
        <w:tc>
          <w:tcPr>
            <w:tcW w:w="1129" w:type="dxa"/>
            <w:shd w:val="clear" w:color="auto" w:fill="000080"/>
            <w:vAlign w:val="bottom"/>
          </w:tcPr>
          <w:p w14:paraId="50AEBD15" w14:textId="6B568324" w:rsidR="00EA6CB1" w:rsidRDefault="003628AF" w:rsidP="00EA6CB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1129" w:type="dxa"/>
            <w:shd w:val="clear" w:color="auto" w:fill="000080"/>
            <w:vAlign w:val="bottom"/>
          </w:tcPr>
          <w:p w14:paraId="5A989CDA" w14:textId="686A2718" w:rsidR="00EA6CB1" w:rsidRDefault="003628AF" w:rsidP="00EA6CB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1129" w:type="dxa"/>
            <w:shd w:val="clear" w:color="auto" w:fill="000080"/>
            <w:vAlign w:val="bottom"/>
          </w:tcPr>
          <w:p w14:paraId="2BC64950" w14:textId="7E834524" w:rsidR="00EA6CB1" w:rsidRDefault="003628AF" w:rsidP="00EA6CB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129" w:type="dxa"/>
            <w:shd w:val="clear" w:color="auto" w:fill="000080"/>
            <w:vAlign w:val="bottom"/>
          </w:tcPr>
          <w:p w14:paraId="70F74E0A" w14:textId="022A1D3C" w:rsidR="00EA6CB1" w:rsidRDefault="003628AF" w:rsidP="00EA6CB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141" w:type="dxa"/>
            <w:shd w:val="clear" w:color="auto" w:fill="000080"/>
            <w:vAlign w:val="bottom"/>
          </w:tcPr>
          <w:p w14:paraId="5A79B684" w14:textId="6E404E44" w:rsidR="00EA6CB1" w:rsidRDefault="003628AF" w:rsidP="00EA6CB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</w:tr>
      <w:tr w:rsidR="00905C81" w14:paraId="6941A472" w14:textId="77777777" w:rsidTr="002F2B9B">
        <w:trPr>
          <w:cantSplit/>
          <w:trHeight w:val="323"/>
        </w:trPr>
        <w:tc>
          <w:tcPr>
            <w:tcW w:w="10080" w:type="dxa"/>
            <w:gridSpan w:val="7"/>
            <w:shd w:val="clear" w:color="auto" w:fill="DBE5F1" w:themeFill="accent1" w:themeFillTint="33"/>
            <w:vAlign w:val="center"/>
          </w:tcPr>
          <w:p w14:paraId="7C106978" w14:textId="77777777" w:rsidR="00905C81" w:rsidRPr="00E85EE2" w:rsidRDefault="00905C81" w:rsidP="002E7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5EE2">
              <w:rPr>
                <w:rFonts w:ascii="Arial" w:hAnsi="Arial" w:cs="Arial"/>
                <w:b/>
                <w:sz w:val="20"/>
                <w:szCs w:val="20"/>
              </w:rPr>
              <w:t>Goal 1</w:t>
            </w:r>
          </w:p>
          <w:p w14:paraId="1CAB0DEB" w14:textId="77777777" w:rsidR="00905C81" w:rsidRPr="00841C41" w:rsidRDefault="00905C81" w:rsidP="00E85EE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85EE2">
              <w:rPr>
                <w:rFonts w:ascii="Arial" w:hAnsi="Arial" w:cs="Arial"/>
                <w:b/>
                <w:sz w:val="20"/>
                <w:szCs w:val="20"/>
              </w:rPr>
              <w:t>Maintain existing facilities in good repair.</w:t>
            </w:r>
          </w:p>
        </w:tc>
      </w:tr>
      <w:tr w:rsidR="003628AF" w14:paraId="747CD05F" w14:textId="77777777" w:rsidTr="002F2B9B">
        <w:trPr>
          <w:cantSplit/>
          <w:trHeight w:val="288"/>
        </w:trPr>
        <w:tc>
          <w:tcPr>
            <w:tcW w:w="3295" w:type="dxa"/>
            <w:vMerge w:val="restart"/>
          </w:tcPr>
          <w:p w14:paraId="164E8C79" w14:textId="77777777" w:rsidR="003628AF" w:rsidRPr="00646DA1" w:rsidRDefault="003628AF" w:rsidP="003628AF">
            <w:pPr>
              <w:pStyle w:val="ListParagraph"/>
              <w:numPr>
                <w:ilvl w:val="0"/>
                <w:numId w:val="1"/>
              </w:numPr>
              <w:ind w:left="346"/>
              <w:contextualSpacing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Replace decks and/or sidewalks.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5E6FB660" w14:textId="77777777" w:rsidR="003628AF" w:rsidRPr="002D57BD" w:rsidRDefault="003628AF" w:rsidP="00362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7BD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EB47875" w14:textId="3AD35D14" w:rsidR="003628AF" w:rsidRPr="002D57BD" w:rsidRDefault="003628AF" w:rsidP="00362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7B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C7E1CCF" w14:textId="59A698F6" w:rsidR="003628AF" w:rsidRPr="002D57BD" w:rsidRDefault="003628AF" w:rsidP="00362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7B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D24183A" w14:textId="67470742" w:rsidR="003628AF" w:rsidRPr="002D57BD" w:rsidRDefault="003628AF" w:rsidP="00362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7B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CC2399F" w14:textId="2AEE4C6A" w:rsidR="003628AF" w:rsidRPr="002D57BD" w:rsidRDefault="003628AF" w:rsidP="00362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7BD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14:paraId="3229465B" w14:textId="7A017BBD" w:rsidR="003628AF" w:rsidRPr="002D57BD" w:rsidRDefault="003628AF" w:rsidP="00362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8AF" w14:paraId="32B30D8D" w14:textId="77777777" w:rsidTr="002F2B9B">
        <w:trPr>
          <w:cantSplit/>
          <w:trHeight w:val="288"/>
        </w:trPr>
        <w:tc>
          <w:tcPr>
            <w:tcW w:w="3295" w:type="dxa"/>
            <w:vMerge/>
          </w:tcPr>
          <w:p w14:paraId="7352B901" w14:textId="77777777" w:rsidR="003628AF" w:rsidRPr="00646DA1" w:rsidRDefault="003628AF" w:rsidP="003628AF">
            <w:pPr>
              <w:pStyle w:val="ListParagraph"/>
              <w:numPr>
                <w:ilvl w:val="0"/>
                <w:numId w:val="1"/>
              </w:numPr>
              <w:tabs>
                <w:tab w:val="left" w:pos="2985"/>
              </w:tabs>
              <w:ind w:left="342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47905C2A" w14:textId="77777777" w:rsidR="003628AF" w:rsidRPr="002D57BD" w:rsidRDefault="003628AF" w:rsidP="003628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57BD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082C9A64" w14:textId="12F64565" w:rsidR="003628AF" w:rsidRPr="002D57BD" w:rsidRDefault="003628AF" w:rsidP="003628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57BD">
              <w:rPr>
                <w:rFonts w:ascii="Arial" w:hAnsi="Arial" w:cs="Arial"/>
                <w:i/>
                <w:sz w:val="20"/>
                <w:szCs w:val="20"/>
              </w:rPr>
              <w:t>1,000 Sq Ft/</w:t>
            </w:r>
            <w:proofErr w:type="spellStart"/>
            <w:r w:rsidRPr="002D57BD">
              <w:rPr>
                <w:rFonts w:ascii="Arial" w:hAnsi="Arial" w:cs="Arial"/>
                <w:i/>
                <w:sz w:val="20"/>
                <w:szCs w:val="20"/>
              </w:rPr>
              <w:t>Yr</w:t>
            </w:r>
            <w:proofErr w:type="spellEnd"/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322BADB8" w14:textId="0CD0E0BA" w:rsidR="003628AF" w:rsidRPr="002D57BD" w:rsidRDefault="003628AF" w:rsidP="003628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57BD">
              <w:rPr>
                <w:rFonts w:ascii="Arial" w:hAnsi="Arial" w:cs="Arial"/>
                <w:i/>
                <w:sz w:val="20"/>
                <w:szCs w:val="20"/>
              </w:rPr>
              <w:t>1,000 Sq. Ft/</w:t>
            </w:r>
            <w:proofErr w:type="spellStart"/>
            <w:r w:rsidRPr="002D57BD">
              <w:rPr>
                <w:rFonts w:ascii="Arial" w:hAnsi="Arial" w:cs="Arial"/>
                <w:i/>
                <w:sz w:val="20"/>
                <w:szCs w:val="20"/>
              </w:rPr>
              <w:t>Yr</w:t>
            </w:r>
            <w:proofErr w:type="spellEnd"/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50B438F2" w14:textId="4449F96A" w:rsidR="003628AF" w:rsidRPr="002D57BD" w:rsidRDefault="003628AF" w:rsidP="003628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57BD">
              <w:rPr>
                <w:rFonts w:ascii="Arial" w:hAnsi="Arial" w:cs="Arial"/>
                <w:i/>
                <w:sz w:val="20"/>
                <w:szCs w:val="20"/>
              </w:rPr>
              <w:t>1,000 Sq. Ft/</w:t>
            </w:r>
            <w:proofErr w:type="spellStart"/>
            <w:r w:rsidRPr="002D57BD">
              <w:rPr>
                <w:rFonts w:ascii="Arial" w:hAnsi="Arial" w:cs="Arial"/>
                <w:i/>
                <w:sz w:val="20"/>
                <w:szCs w:val="20"/>
              </w:rPr>
              <w:t>Yr</w:t>
            </w:r>
            <w:proofErr w:type="spellEnd"/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2CF9723C" w14:textId="64F23A09" w:rsidR="003628AF" w:rsidRPr="002D57BD" w:rsidRDefault="003628AF" w:rsidP="003628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57BD">
              <w:rPr>
                <w:rFonts w:ascii="Arial" w:hAnsi="Arial" w:cs="Arial"/>
                <w:i/>
                <w:sz w:val="20"/>
                <w:szCs w:val="20"/>
              </w:rPr>
              <w:t>1,000 Sq. Ft/</w:t>
            </w:r>
            <w:proofErr w:type="spellStart"/>
            <w:r w:rsidRPr="002D57BD">
              <w:rPr>
                <w:rFonts w:ascii="Arial" w:hAnsi="Arial" w:cs="Arial"/>
                <w:i/>
                <w:sz w:val="20"/>
                <w:szCs w:val="20"/>
              </w:rPr>
              <w:t>Yr</w:t>
            </w:r>
            <w:proofErr w:type="spellEnd"/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78A024DC" w14:textId="43A2AB47" w:rsidR="003628AF" w:rsidRPr="002D57BD" w:rsidRDefault="003628AF" w:rsidP="003628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628AF" w14:paraId="5F04CC8D" w14:textId="77777777" w:rsidTr="002F2B9B">
        <w:trPr>
          <w:cantSplit/>
          <w:trHeight w:val="288"/>
        </w:trPr>
        <w:tc>
          <w:tcPr>
            <w:tcW w:w="3295" w:type="dxa"/>
            <w:vMerge w:val="restart"/>
          </w:tcPr>
          <w:p w14:paraId="1A1B96FE" w14:textId="77777777" w:rsidR="003628AF" w:rsidRPr="00646DA1" w:rsidRDefault="003628AF" w:rsidP="003628AF">
            <w:pPr>
              <w:pStyle w:val="ListParagraph"/>
              <w:numPr>
                <w:ilvl w:val="0"/>
                <w:numId w:val="1"/>
              </w:numPr>
              <w:ind w:left="342"/>
              <w:contextualSpacing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Repair equipment failures same day as outage.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2F7C4DAA" w14:textId="77777777" w:rsidR="003628AF" w:rsidRPr="002D57BD" w:rsidRDefault="003628AF" w:rsidP="00362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7BD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EBC3FDC" w14:textId="0B078460" w:rsidR="003628AF" w:rsidRPr="002D57BD" w:rsidRDefault="003628AF" w:rsidP="00362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7BD">
              <w:rPr>
                <w:rFonts w:ascii="Arial" w:hAnsi="Arial" w:cs="Arial"/>
                <w:sz w:val="20"/>
                <w:szCs w:val="20"/>
              </w:rPr>
              <w:t>0 hours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6EAB13E" w14:textId="3A6E0EEC" w:rsidR="003628AF" w:rsidRPr="002D57BD" w:rsidRDefault="003628AF" w:rsidP="00362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7BD">
              <w:rPr>
                <w:rFonts w:ascii="Arial" w:hAnsi="Arial" w:cs="Arial"/>
                <w:sz w:val="20"/>
                <w:szCs w:val="20"/>
              </w:rPr>
              <w:t>6 hours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49E5498" w14:textId="2B3F487B" w:rsidR="003628AF" w:rsidRPr="002D57BD" w:rsidRDefault="003628AF" w:rsidP="00362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7BD">
              <w:rPr>
                <w:rFonts w:ascii="Arial" w:hAnsi="Arial" w:cs="Arial"/>
                <w:sz w:val="20"/>
                <w:szCs w:val="20"/>
              </w:rPr>
              <w:t>0 hours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920001F" w14:textId="35CC5ADF" w:rsidR="003628AF" w:rsidRPr="002D57BD" w:rsidRDefault="003628AF" w:rsidP="00362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7BD">
              <w:rPr>
                <w:rFonts w:ascii="Arial" w:hAnsi="Arial" w:cs="Arial"/>
                <w:sz w:val="20"/>
                <w:szCs w:val="20"/>
              </w:rPr>
              <w:t>------------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14:paraId="7BB161E0" w14:textId="1918EDFE" w:rsidR="003628AF" w:rsidRPr="002D57BD" w:rsidRDefault="003628AF" w:rsidP="00362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8AF" w14:paraId="584BBCDA" w14:textId="77777777" w:rsidTr="002F2B9B">
        <w:trPr>
          <w:cantSplit/>
          <w:trHeight w:val="288"/>
        </w:trPr>
        <w:tc>
          <w:tcPr>
            <w:tcW w:w="3295" w:type="dxa"/>
            <w:vMerge/>
          </w:tcPr>
          <w:p w14:paraId="562838EE" w14:textId="77777777" w:rsidR="003628AF" w:rsidRPr="00646DA1" w:rsidRDefault="003628AF" w:rsidP="003628AF">
            <w:pPr>
              <w:pStyle w:val="ListParagraph"/>
              <w:numPr>
                <w:ilvl w:val="0"/>
                <w:numId w:val="1"/>
              </w:numPr>
              <w:tabs>
                <w:tab w:val="left" w:pos="2985"/>
              </w:tabs>
              <w:ind w:left="342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01CD807" w14:textId="77777777" w:rsidR="003628AF" w:rsidRPr="002D57BD" w:rsidRDefault="003628AF" w:rsidP="003628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57BD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4D986F04" w14:textId="7BC6DBB9" w:rsidR="003628AF" w:rsidRPr="002D57BD" w:rsidRDefault="003628AF" w:rsidP="003628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57BD">
              <w:rPr>
                <w:rFonts w:ascii="Arial" w:hAnsi="Arial" w:cs="Arial"/>
                <w:i/>
                <w:sz w:val="20"/>
                <w:szCs w:val="20"/>
              </w:rPr>
              <w:t>4 hours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6BE7CA90" w14:textId="16E849B0" w:rsidR="003628AF" w:rsidRPr="002D57BD" w:rsidRDefault="003628AF" w:rsidP="003628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57BD">
              <w:rPr>
                <w:rFonts w:ascii="Arial" w:hAnsi="Arial" w:cs="Arial"/>
                <w:i/>
                <w:sz w:val="20"/>
                <w:szCs w:val="20"/>
              </w:rPr>
              <w:t>4 hours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3652D58C" w14:textId="685F939E" w:rsidR="003628AF" w:rsidRPr="002D57BD" w:rsidRDefault="003628AF" w:rsidP="003628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57BD">
              <w:rPr>
                <w:rFonts w:ascii="Arial" w:hAnsi="Arial" w:cs="Arial"/>
                <w:i/>
                <w:sz w:val="20"/>
                <w:szCs w:val="20"/>
              </w:rPr>
              <w:t>4 hours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22D7309B" w14:textId="35AEF475" w:rsidR="003628AF" w:rsidRPr="002D57BD" w:rsidRDefault="003628AF" w:rsidP="003628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57BD">
              <w:rPr>
                <w:rFonts w:ascii="Arial" w:hAnsi="Arial" w:cs="Arial"/>
                <w:i/>
                <w:sz w:val="20"/>
                <w:szCs w:val="20"/>
              </w:rPr>
              <w:t>4 hours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34706E7F" w14:textId="73303251" w:rsidR="003628AF" w:rsidRPr="002D57BD" w:rsidRDefault="003628AF" w:rsidP="003628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628AF" w14:paraId="61885A28" w14:textId="77777777" w:rsidTr="002F2B9B">
        <w:trPr>
          <w:cantSplit/>
          <w:trHeight w:val="323"/>
        </w:trPr>
        <w:tc>
          <w:tcPr>
            <w:tcW w:w="10080" w:type="dxa"/>
            <w:gridSpan w:val="7"/>
            <w:shd w:val="clear" w:color="auto" w:fill="DBE5F1" w:themeFill="accent1" w:themeFillTint="33"/>
            <w:vAlign w:val="center"/>
          </w:tcPr>
          <w:p w14:paraId="6C98D24E" w14:textId="77777777" w:rsidR="003628AF" w:rsidRPr="002D57BD" w:rsidRDefault="003628AF" w:rsidP="003628A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7BD">
              <w:rPr>
                <w:rFonts w:ascii="Arial" w:hAnsi="Arial" w:cs="Arial"/>
                <w:b/>
                <w:sz w:val="20"/>
                <w:szCs w:val="20"/>
              </w:rPr>
              <w:t>Goal 2</w:t>
            </w:r>
          </w:p>
          <w:p w14:paraId="3DC8F5BE" w14:textId="77777777" w:rsidR="003628AF" w:rsidRPr="002D57BD" w:rsidRDefault="003628AF" w:rsidP="003628A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7BD">
              <w:rPr>
                <w:rFonts w:ascii="Arial" w:hAnsi="Arial" w:cs="Arial"/>
                <w:b/>
                <w:sz w:val="20"/>
                <w:szCs w:val="20"/>
              </w:rPr>
              <w:t>Expand and maintain facilities to accommodate our current customer base.</w:t>
            </w:r>
          </w:p>
        </w:tc>
      </w:tr>
      <w:tr w:rsidR="003628AF" w14:paraId="34DA616E" w14:textId="77777777" w:rsidTr="002F2B9B">
        <w:trPr>
          <w:cantSplit/>
          <w:trHeight w:val="288"/>
        </w:trPr>
        <w:tc>
          <w:tcPr>
            <w:tcW w:w="3295" w:type="dxa"/>
            <w:vMerge w:val="restart"/>
          </w:tcPr>
          <w:p w14:paraId="46F78C18" w14:textId="77777777" w:rsidR="003628AF" w:rsidRPr="00274BE2" w:rsidRDefault="003628AF" w:rsidP="003628AF">
            <w:pPr>
              <w:pStyle w:val="ListParagraph"/>
              <w:keepNext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</w:rPr>
            </w:pPr>
            <w:r w:rsidRPr="00274BE2">
              <w:rPr>
                <w:rFonts w:ascii="Arial" w:hAnsi="Arial" w:cs="Arial"/>
                <w:sz w:val="20"/>
                <w:szCs w:val="20"/>
              </w:rPr>
              <w:t>Maintain or exceed attendance at the current baseline figure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21C64D36" w14:textId="77777777" w:rsidR="003628AF" w:rsidRPr="002D57BD" w:rsidRDefault="003628AF" w:rsidP="003628A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7BD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F8CD7F3" w14:textId="09773EDD" w:rsidR="003628AF" w:rsidRPr="002D57BD" w:rsidRDefault="003628AF" w:rsidP="003628A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7BD">
              <w:rPr>
                <w:rFonts w:ascii="Arial" w:hAnsi="Arial" w:cs="Arial"/>
                <w:sz w:val="20"/>
                <w:szCs w:val="20"/>
              </w:rPr>
              <w:t>435,368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9455C1E" w14:textId="3EB36CF7" w:rsidR="003628AF" w:rsidRPr="002D57BD" w:rsidRDefault="003628AF" w:rsidP="003628A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7BD">
              <w:rPr>
                <w:rFonts w:ascii="Arial" w:hAnsi="Arial" w:cs="Arial"/>
                <w:sz w:val="20"/>
                <w:szCs w:val="20"/>
              </w:rPr>
              <w:t>337,688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4EBD8BF" w14:textId="046820EB" w:rsidR="003628AF" w:rsidRPr="002D57BD" w:rsidRDefault="003628AF" w:rsidP="003628A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7BD">
              <w:rPr>
                <w:rFonts w:ascii="Arial" w:hAnsi="Arial" w:cs="Arial"/>
                <w:sz w:val="20"/>
                <w:szCs w:val="20"/>
              </w:rPr>
              <w:t>490,606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6E6D5CE" w14:textId="29C37B0A" w:rsidR="003628AF" w:rsidRPr="002D57BD" w:rsidRDefault="003628AF" w:rsidP="003628A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7BD">
              <w:rPr>
                <w:rFonts w:ascii="Arial" w:hAnsi="Arial" w:cs="Arial"/>
                <w:sz w:val="20"/>
                <w:szCs w:val="20"/>
              </w:rPr>
              <w:t>------------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14:paraId="60A4FF13" w14:textId="66266F80" w:rsidR="003628AF" w:rsidRPr="002D57BD" w:rsidRDefault="003628AF" w:rsidP="003628A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8AF" w14:paraId="0D5D0962" w14:textId="77777777" w:rsidTr="002F2B9B">
        <w:trPr>
          <w:cantSplit/>
          <w:trHeight w:val="288"/>
        </w:trPr>
        <w:tc>
          <w:tcPr>
            <w:tcW w:w="3295" w:type="dxa"/>
            <w:vMerge/>
          </w:tcPr>
          <w:p w14:paraId="38D89785" w14:textId="77777777" w:rsidR="003628AF" w:rsidRPr="00646DA1" w:rsidRDefault="003628AF" w:rsidP="003628AF">
            <w:pPr>
              <w:pStyle w:val="ListParagraph"/>
              <w:numPr>
                <w:ilvl w:val="0"/>
                <w:numId w:val="1"/>
              </w:numPr>
              <w:tabs>
                <w:tab w:val="left" w:pos="2985"/>
              </w:tabs>
              <w:ind w:left="342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839ABFF" w14:textId="77777777" w:rsidR="003628AF" w:rsidRPr="002D57BD" w:rsidRDefault="003628AF" w:rsidP="003628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57BD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078837F2" w14:textId="4B53F3CB" w:rsidR="003628AF" w:rsidRPr="002D57BD" w:rsidRDefault="003628AF" w:rsidP="003628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57BD">
              <w:rPr>
                <w:rFonts w:ascii="Arial" w:hAnsi="Arial" w:cs="Arial"/>
                <w:i/>
                <w:sz w:val="20"/>
                <w:szCs w:val="20"/>
              </w:rPr>
              <w:t>440,000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0FD6FE62" w14:textId="6EBC7F52" w:rsidR="003628AF" w:rsidRPr="002D57BD" w:rsidRDefault="003628AF" w:rsidP="003628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57BD">
              <w:rPr>
                <w:rFonts w:ascii="Arial" w:hAnsi="Arial" w:cs="Arial"/>
                <w:i/>
                <w:sz w:val="20"/>
                <w:szCs w:val="20"/>
              </w:rPr>
              <w:t>440,000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45E9A34F" w14:textId="506D5F0E" w:rsidR="003628AF" w:rsidRPr="002D57BD" w:rsidRDefault="003628AF" w:rsidP="003628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57BD">
              <w:rPr>
                <w:rFonts w:ascii="Arial" w:hAnsi="Arial" w:cs="Arial"/>
                <w:i/>
                <w:sz w:val="20"/>
                <w:szCs w:val="20"/>
              </w:rPr>
              <w:t>440,000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2F2ADFE6" w14:textId="0EE47614" w:rsidR="003628AF" w:rsidRPr="002D57BD" w:rsidRDefault="003628AF" w:rsidP="003628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57BD">
              <w:rPr>
                <w:rFonts w:ascii="Arial" w:hAnsi="Arial" w:cs="Arial"/>
                <w:i/>
                <w:sz w:val="20"/>
                <w:szCs w:val="20"/>
              </w:rPr>
              <w:t>500,000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1ADC3800" w14:textId="09D77A3D" w:rsidR="003628AF" w:rsidRPr="002D57BD" w:rsidRDefault="003628AF" w:rsidP="003628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628AF" w14:paraId="1B2AFF4F" w14:textId="77777777" w:rsidTr="002F2B9B">
        <w:trPr>
          <w:cantSplit/>
          <w:trHeight w:val="323"/>
        </w:trPr>
        <w:tc>
          <w:tcPr>
            <w:tcW w:w="10080" w:type="dxa"/>
            <w:gridSpan w:val="7"/>
            <w:shd w:val="clear" w:color="auto" w:fill="DBE5F1" w:themeFill="accent1" w:themeFillTint="33"/>
            <w:vAlign w:val="center"/>
          </w:tcPr>
          <w:p w14:paraId="453D9C9D" w14:textId="77777777" w:rsidR="003628AF" w:rsidRPr="002D57BD" w:rsidRDefault="003628AF" w:rsidP="003628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7BD">
              <w:rPr>
                <w:rFonts w:ascii="Arial" w:hAnsi="Arial" w:cs="Arial"/>
                <w:b/>
                <w:sz w:val="20"/>
                <w:szCs w:val="20"/>
              </w:rPr>
              <w:t>Goal 3</w:t>
            </w:r>
          </w:p>
          <w:p w14:paraId="67AE0CB9" w14:textId="77777777" w:rsidR="003628AF" w:rsidRPr="002D57BD" w:rsidRDefault="003628AF" w:rsidP="003628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7BD">
              <w:rPr>
                <w:rFonts w:ascii="Arial" w:hAnsi="Arial" w:cs="Arial"/>
                <w:b/>
                <w:sz w:val="20"/>
                <w:szCs w:val="20"/>
              </w:rPr>
              <w:t>Expand facilities to attract new / additional customers.</w:t>
            </w:r>
          </w:p>
        </w:tc>
      </w:tr>
      <w:tr w:rsidR="003628AF" w14:paraId="7A4BBC56" w14:textId="77777777" w:rsidTr="002F2B9B">
        <w:trPr>
          <w:cantSplit/>
          <w:trHeight w:val="288"/>
        </w:trPr>
        <w:tc>
          <w:tcPr>
            <w:tcW w:w="3295" w:type="dxa"/>
            <w:vMerge w:val="restart"/>
          </w:tcPr>
          <w:p w14:paraId="5B9134F7" w14:textId="77777777" w:rsidR="003628AF" w:rsidRPr="00274BE2" w:rsidRDefault="003628AF" w:rsidP="003628A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</w:rPr>
            </w:pPr>
            <w:r w:rsidRPr="00274BE2">
              <w:rPr>
                <w:rFonts w:ascii="Arial" w:hAnsi="Arial" w:cs="Arial"/>
                <w:sz w:val="20"/>
                <w:szCs w:val="20"/>
              </w:rPr>
              <w:t>Increase attendance by constructing new features at the Swimming Pool (by CY)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6CA9DB91" w14:textId="77777777" w:rsidR="003628AF" w:rsidRPr="002D57BD" w:rsidRDefault="003628AF" w:rsidP="00362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7BD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B5942D6" w14:textId="6B47D5A5" w:rsidR="003628AF" w:rsidRPr="002D57BD" w:rsidRDefault="003628AF" w:rsidP="00362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7BD">
              <w:rPr>
                <w:rFonts w:ascii="Arial" w:hAnsi="Arial" w:cs="Arial"/>
                <w:sz w:val="20"/>
                <w:szCs w:val="20"/>
              </w:rPr>
              <w:t>129,048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A65DAA4" w14:textId="3DDC11DA" w:rsidR="003628AF" w:rsidRPr="002D57BD" w:rsidRDefault="003628AF" w:rsidP="00362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7BD">
              <w:rPr>
                <w:rFonts w:ascii="Arial" w:hAnsi="Arial" w:cs="Arial"/>
                <w:sz w:val="20"/>
                <w:szCs w:val="20"/>
              </w:rPr>
              <w:t>105,944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081A9AE" w14:textId="3EA5BC3A" w:rsidR="003628AF" w:rsidRPr="002D57BD" w:rsidRDefault="003628AF" w:rsidP="00362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7BD">
              <w:rPr>
                <w:rFonts w:ascii="Arial" w:hAnsi="Arial" w:cs="Arial"/>
                <w:sz w:val="20"/>
                <w:szCs w:val="20"/>
              </w:rPr>
              <w:t>175,361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9576BD3" w14:textId="7732C35A" w:rsidR="003628AF" w:rsidRPr="002D57BD" w:rsidRDefault="003628AF" w:rsidP="00362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7BD">
              <w:rPr>
                <w:rFonts w:ascii="Arial" w:hAnsi="Arial" w:cs="Arial"/>
                <w:sz w:val="20"/>
                <w:szCs w:val="20"/>
              </w:rPr>
              <w:t>------------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14:paraId="69D061FB" w14:textId="0AF9CB04" w:rsidR="003628AF" w:rsidRPr="002D57BD" w:rsidRDefault="003628AF" w:rsidP="00362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8AF" w14:paraId="16507FDC" w14:textId="77777777" w:rsidTr="002F2B9B">
        <w:trPr>
          <w:cantSplit/>
          <w:trHeight w:val="288"/>
        </w:trPr>
        <w:tc>
          <w:tcPr>
            <w:tcW w:w="3295" w:type="dxa"/>
            <w:vMerge/>
          </w:tcPr>
          <w:p w14:paraId="46852D7F" w14:textId="77777777" w:rsidR="003628AF" w:rsidRPr="00646DA1" w:rsidRDefault="003628AF" w:rsidP="003628AF">
            <w:pPr>
              <w:pStyle w:val="ListParagraph"/>
              <w:numPr>
                <w:ilvl w:val="0"/>
                <w:numId w:val="1"/>
              </w:numPr>
              <w:tabs>
                <w:tab w:val="left" w:pos="2985"/>
              </w:tabs>
              <w:ind w:left="342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E2F3D85" w14:textId="77777777" w:rsidR="003628AF" w:rsidRPr="002D57BD" w:rsidRDefault="003628AF" w:rsidP="003628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57BD">
              <w:rPr>
                <w:rFonts w:ascii="Arial" w:hAnsi="Arial" w:cs="Arial"/>
                <w:i/>
                <w:sz w:val="20"/>
                <w:szCs w:val="20"/>
              </w:rPr>
              <w:t xml:space="preserve">target 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75581618" w14:textId="717D3C11" w:rsidR="003628AF" w:rsidRPr="002D57BD" w:rsidRDefault="003628AF" w:rsidP="003628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57BD">
              <w:rPr>
                <w:rFonts w:ascii="Arial" w:hAnsi="Arial" w:cs="Arial"/>
                <w:i/>
                <w:sz w:val="20"/>
                <w:szCs w:val="20"/>
              </w:rPr>
              <w:t>135,000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4F547D72" w14:textId="6C76596D" w:rsidR="003628AF" w:rsidRPr="002D57BD" w:rsidRDefault="003628AF" w:rsidP="003628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57BD">
              <w:rPr>
                <w:rFonts w:ascii="Arial" w:hAnsi="Arial" w:cs="Arial"/>
                <w:i/>
                <w:sz w:val="20"/>
                <w:szCs w:val="20"/>
              </w:rPr>
              <w:t>135,000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775D5973" w14:textId="1351912D" w:rsidR="003628AF" w:rsidRPr="002D57BD" w:rsidRDefault="003628AF" w:rsidP="003628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57BD">
              <w:rPr>
                <w:rFonts w:ascii="Arial" w:hAnsi="Arial" w:cs="Arial"/>
                <w:i/>
                <w:sz w:val="20"/>
                <w:szCs w:val="20"/>
              </w:rPr>
              <w:t>135,000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533D8537" w14:textId="3B3B3873" w:rsidR="003628AF" w:rsidRPr="002D57BD" w:rsidRDefault="003628AF" w:rsidP="003628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57BD">
              <w:rPr>
                <w:rFonts w:ascii="Arial" w:hAnsi="Arial" w:cs="Arial"/>
                <w:i/>
                <w:sz w:val="20"/>
                <w:szCs w:val="20"/>
              </w:rPr>
              <w:t>185,000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7A2C734E" w14:textId="67999302" w:rsidR="003628AF" w:rsidRPr="002D57BD" w:rsidRDefault="003628AF" w:rsidP="003628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945CC9A" w14:textId="77777777" w:rsidR="00CE3C43" w:rsidRDefault="00CE3C43" w:rsidP="008D134C">
      <w:pPr>
        <w:rPr>
          <w:rFonts w:ascii="Arial" w:hAnsi="Arial" w:cs="Arial"/>
          <w:b/>
          <w:bCs/>
        </w:rPr>
      </w:pPr>
    </w:p>
    <w:p w14:paraId="5354354E" w14:textId="33AE9B24" w:rsidR="00EA6CB1" w:rsidRPr="00144FBD" w:rsidRDefault="00EA6CB1" w:rsidP="00EA6CB1">
      <w:pPr>
        <w:rPr>
          <w:rFonts w:ascii="Arial" w:hAnsi="Arial" w:cs="Arial"/>
          <w:i/>
          <w:sz w:val="20"/>
        </w:rPr>
      </w:pPr>
      <w:bookmarkStart w:id="2" w:name="OLE_LINK3"/>
      <w:bookmarkStart w:id="3" w:name="OLE_LINK4"/>
      <w:r w:rsidRPr="00BE41B3">
        <w:rPr>
          <w:rFonts w:ascii="Arial" w:hAnsi="Arial" w:cs="Arial"/>
          <w:b/>
          <w:bCs/>
        </w:rPr>
        <w:t>Performance Measure Explanatory Note</w:t>
      </w:r>
      <w:r>
        <w:rPr>
          <w:rFonts w:ascii="Arial" w:hAnsi="Arial" w:cs="Arial"/>
          <w:b/>
          <w:bCs/>
        </w:rPr>
        <w:t>s</w:t>
      </w:r>
    </w:p>
    <w:bookmarkEnd w:id="2"/>
    <w:bookmarkEnd w:id="3"/>
    <w:p w14:paraId="6C84FB95" w14:textId="381D4343" w:rsidR="007077CF" w:rsidRDefault="007077CF" w:rsidP="0018003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</w:t>
      </w:r>
      <w:r w:rsidR="005264E0">
        <w:rPr>
          <w:rFonts w:ascii="Arial" w:hAnsi="Arial" w:cs="Arial"/>
          <w:bCs/>
          <w:sz w:val="20"/>
          <w:szCs w:val="20"/>
        </w:rPr>
        <w:t xml:space="preserve">benchmarks for both the </w:t>
      </w:r>
      <w:proofErr w:type="gramStart"/>
      <w:r w:rsidR="005264E0">
        <w:rPr>
          <w:rFonts w:ascii="Arial" w:hAnsi="Arial" w:cs="Arial"/>
          <w:bCs/>
          <w:sz w:val="20"/>
          <w:szCs w:val="20"/>
        </w:rPr>
        <w:t>World Famous</w:t>
      </w:r>
      <w:proofErr w:type="gramEnd"/>
      <w:r w:rsidR="005264E0">
        <w:rPr>
          <w:rFonts w:ascii="Arial" w:hAnsi="Arial" w:cs="Arial"/>
          <w:bCs/>
          <w:sz w:val="20"/>
          <w:szCs w:val="20"/>
        </w:rPr>
        <w:t xml:space="preserve"> Hot Pools and Olympic Swimming Pool were changed at the end of FY</w:t>
      </w:r>
      <w:r w:rsidR="009429E9">
        <w:rPr>
          <w:rFonts w:ascii="Arial" w:hAnsi="Arial" w:cs="Arial"/>
          <w:bCs/>
          <w:sz w:val="20"/>
          <w:szCs w:val="20"/>
        </w:rPr>
        <w:t>2</w:t>
      </w:r>
      <w:r w:rsidR="00C44F78">
        <w:rPr>
          <w:rFonts w:ascii="Arial" w:hAnsi="Arial" w:cs="Arial"/>
          <w:bCs/>
          <w:sz w:val="20"/>
          <w:szCs w:val="20"/>
        </w:rPr>
        <w:t>1</w:t>
      </w:r>
      <w:r w:rsidR="005264E0">
        <w:rPr>
          <w:rFonts w:ascii="Arial" w:hAnsi="Arial" w:cs="Arial"/>
          <w:bCs/>
          <w:sz w:val="20"/>
          <w:szCs w:val="20"/>
        </w:rPr>
        <w:t xml:space="preserve"> to reflect the current trends in attendance at the pools and to be in sync with the strategic plan.</w:t>
      </w:r>
    </w:p>
    <w:p w14:paraId="44B46ECD" w14:textId="77777777" w:rsidR="00377E85" w:rsidRPr="00B12921" w:rsidRDefault="00377E85" w:rsidP="008D134C">
      <w:pPr>
        <w:rPr>
          <w:rFonts w:ascii="Arial" w:hAnsi="Arial" w:cs="Arial"/>
          <w:sz w:val="20"/>
          <w:szCs w:val="20"/>
        </w:rPr>
      </w:pPr>
    </w:p>
    <w:p w14:paraId="590B890F" w14:textId="77777777" w:rsidR="00E85EE2" w:rsidRPr="00B12921" w:rsidRDefault="00E85EE2" w:rsidP="008D134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threeDEmboss" w:sz="24" w:space="0" w:color="333399"/>
          <w:left w:val="threeDEmboss" w:sz="24" w:space="0" w:color="333399"/>
          <w:bottom w:val="threeDEmboss" w:sz="24" w:space="0" w:color="333399"/>
          <w:right w:val="threeDEmboss" w:sz="24" w:space="0" w:color="333399"/>
        </w:tblBorders>
        <w:tblLook w:val="0000" w:firstRow="0" w:lastRow="0" w:firstColumn="0" w:lastColumn="0" w:noHBand="0" w:noVBand="0"/>
      </w:tblPr>
      <w:tblGrid>
        <w:gridCol w:w="7680"/>
      </w:tblGrid>
      <w:tr w:rsidR="000E7A16" w:rsidRPr="009429E9" w14:paraId="7C439DB5" w14:textId="77777777" w:rsidTr="00AD590E">
        <w:trPr>
          <w:jc w:val="center"/>
        </w:trPr>
        <w:tc>
          <w:tcPr>
            <w:tcW w:w="7680" w:type="dxa"/>
            <w:tcBorders>
              <w:top w:val="threeDEmboss" w:sz="24" w:space="0" w:color="333399"/>
              <w:bottom w:val="threeDEmboss" w:sz="24" w:space="0" w:color="333399"/>
            </w:tcBorders>
          </w:tcPr>
          <w:p w14:paraId="2A95F571" w14:textId="77777777" w:rsidR="000E7A16" w:rsidRDefault="000E7A16" w:rsidP="008D1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 More Information Contact</w:t>
            </w:r>
          </w:p>
          <w:p w14:paraId="55F5C698" w14:textId="77777777" w:rsidR="000E7A16" w:rsidRDefault="000E7A16" w:rsidP="008D1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D08731" w14:textId="77777777" w:rsidR="000E7A16" w:rsidRDefault="005264E0" w:rsidP="008D134C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Devanee Morrison</w:t>
            </w:r>
            <w:r w:rsidR="000E7A16">
              <w:rPr>
                <w:rFonts w:ascii="Arial" w:hAnsi="Arial" w:cs="Arial"/>
                <w:noProof/>
                <w:sz w:val="20"/>
                <w:szCs w:val="20"/>
              </w:rPr>
              <w:t>, Executive Director</w:t>
            </w:r>
          </w:p>
          <w:p w14:paraId="6ADF31B3" w14:textId="77777777" w:rsidR="000E7A16" w:rsidRDefault="000E7A16" w:rsidP="008D134C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Lava Hot Springs Foundation</w:t>
            </w:r>
          </w:p>
          <w:p w14:paraId="0F828423" w14:textId="77777777" w:rsidR="000E7A16" w:rsidRDefault="000E7A16" w:rsidP="008D134C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430 E. Main Street</w:t>
            </w:r>
          </w:p>
          <w:p w14:paraId="1D13D99B" w14:textId="77777777" w:rsidR="000E7A16" w:rsidRDefault="000E7A16" w:rsidP="008D134C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PO Box 669</w:t>
            </w:r>
          </w:p>
          <w:p w14:paraId="1D8FCD34" w14:textId="77777777" w:rsidR="000E7A16" w:rsidRDefault="000E7A16" w:rsidP="008D134C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Lava Hot Springs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ID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83246</w:t>
            </w:r>
          </w:p>
          <w:p w14:paraId="30BFF8B7" w14:textId="77777777" w:rsidR="000E7A16" w:rsidRPr="009429E9" w:rsidRDefault="00F21C53" w:rsidP="008D134C">
            <w:pPr>
              <w:ind w:left="252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9429E9">
              <w:rPr>
                <w:rFonts w:ascii="Arial" w:hAnsi="Arial" w:cs="Arial"/>
                <w:sz w:val="20"/>
                <w:szCs w:val="20"/>
                <w:lang w:val="fr-FR"/>
              </w:rPr>
              <w:t>Phone:</w:t>
            </w:r>
            <w:proofErr w:type="gramEnd"/>
            <w:r w:rsidRPr="009429E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0E7A16" w:rsidRPr="009429E9">
              <w:rPr>
                <w:rFonts w:ascii="Arial" w:hAnsi="Arial" w:cs="Arial"/>
                <w:sz w:val="20"/>
                <w:szCs w:val="20"/>
                <w:lang w:val="fr-FR"/>
              </w:rPr>
              <w:t xml:space="preserve">(208) 776-5221 </w:t>
            </w:r>
            <w:r w:rsidR="005264E0" w:rsidRPr="009429E9">
              <w:rPr>
                <w:rFonts w:ascii="Arial" w:hAnsi="Arial" w:cs="Arial"/>
                <w:sz w:val="20"/>
                <w:szCs w:val="20"/>
                <w:lang w:val="fr-FR"/>
              </w:rPr>
              <w:t>x101</w:t>
            </w:r>
          </w:p>
          <w:p w14:paraId="3D296743" w14:textId="4D6F9289" w:rsidR="000E7A16" w:rsidRPr="009429E9" w:rsidRDefault="000E7A16" w:rsidP="008D134C">
            <w:pPr>
              <w:ind w:left="252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9429E9">
              <w:rPr>
                <w:rFonts w:ascii="Arial" w:hAnsi="Arial" w:cs="Arial"/>
                <w:sz w:val="20"/>
                <w:szCs w:val="20"/>
                <w:lang w:val="fr-FR"/>
              </w:rPr>
              <w:t>E-</w:t>
            </w:r>
            <w:r w:rsidR="00F21C53" w:rsidRPr="009429E9">
              <w:rPr>
                <w:rFonts w:ascii="Arial" w:hAnsi="Arial" w:cs="Arial"/>
                <w:sz w:val="20"/>
                <w:szCs w:val="20"/>
                <w:lang w:val="fr-FR"/>
              </w:rPr>
              <w:t>mail:</w:t>
            </w:r>
            <w:proofErr w:type="gramEnd"/>
            <w:r w:rsidR="00F21C53" w:rsidRPr="009429E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hyperlink r:id="rId7" w:history="1">
              <w:r w:rsidR="00180036" w:rsidRPr="009429E9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devanee.morrison@lava.idaho.gov</w:t>
              </w:r>
            </w:hyperlink>
          </w:p>
          <w:p w14:paraId="4FB5607E" w14:textId="3EDCF17F" w:rsidR="00180036" w:rsidRPr="009429E9" w:rsidRDefault="00180036" w:rsidP="008D134C">
            <w:pPr>
              <w:ind w:left="25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49062416" w14:textId="77777777" w:rsidR="000E7A16" w:rsidRPr="009429E9" w:rsidRDefault="000E7A16" w:rsidP="002F7C96">
      <w:pPr>
        <w:jc w:val="both"/>
        <w:rPr>
          <w:rFonts w:ascii="Arial" w:hAnsi="Arial" w:cs="Arial"/>
          <w:sz w:val="20"/>
          <w:szCs w:val="20"/>
          <w:lang w:val="fr-FR"/>
        </w:rPr>
      </w:pPr>
    </w:p>
    <w:sectPr w:rsidR="000E7A16" w:rsidRPr="009429E9" w:rsidSect="00B062D8">
      <w:headerReference w:type="default" r:id="rId8"/>
      <w:footerReference w:type="default" r:id="rId9"/>
      <w:type w:val="continuous"/>
      <w:pgSz w:w="12240" w:h="15840" w:code="1"/>
      <w:pgMar w:top="1080" w:right="1080" w:bottom="720" w:left="1080" w:header="108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47DA4" w14:textId="77777777" w:rsidR="00522066" w:rsidRDefault="00522066">
      <w:r>
        <w:separator/>
      </w:r>
    </w:p>
  </w:endnote>
  <w:endnote w:type="continuationSeparator" w:id="0">
    <w:p w14:paraId="5CC3BCCF" w14:textId="77777777" w:rsidR="00522066" w:rsidRDefault="0052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1388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E87A0" w14:textId="77777777" w:rsidR="00522066" w:rsidRPr="0001582C" w:rsidRDefault="00522066" w:rsidP="00B71B55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</w:p>
      <w:p w14:paraId="3A75D5F9" w14:textId="77777777" w:rsidR="00522066" w:rsidRPr="00B71B55" w:rsidRDefault="00522066" w:rsidP="00B71B55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State of Idaho</w: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3393C" w14:textId="77777777" w:rsidR="00522066" w:rsidRDefault="00522066">
      <w:r>
        <w:separator/>
      </w:r>
    </w:p>
  </w:footnote>
  <w:footnote w:type="continuationSeparator" w:id="0">
    <w:p w14:paraId="5766E6FC" w14:textId="77777777" w:rsidR="00522066" w:rsidRDefault="00522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080"/>
    </w:tblGrid>
    <w:tr w:rsidR="00522066" w14:paraId="7130A5E0" w14:textId="77777777" w:rsidTr="001310AC">
      <w:tc>
        <w:tcPr>
          <w:tcW w:w="10080" w:type="dxa"/>
          <w:shd w:val="clear" w:color="auto" w:fill="000080"/>
        </w:tcPr>
        <w:p w14:paraId="1BA3AD00" w14:textId="77777777" w:rsidR="00522066" w:rsidRDefault="00522066" w:rsidP="0001582C">
          <w:pPr>
            <w:tabs>
              <w:tab w:val="right" w:pos="9852"/>
            </w:tabs>
            <w:rPr>
              <w:rFonts w:ascii="Arial" w:hAnsi="Arial" w:cs="Arial"/>
              <w:color w:val="FFFFFF"/>
            </w:rPr>
          </w:pPr>
          <w:r>
            <w:rPr>
              <w:rFonts w:ascii="Arial" w:hAnsi="Arial" w:cs="Arial"/>
              <w:b/>
              <w:bCs/>
              <w:noProof/>
              <w:color w:val="FFFFFF"/>
            </w:rPr>
            <w:t>Lava Hot Springs</w:t>
          </w:r>
          <w:r>
            <w:rPr>
              <w:rFonts w:ascii="Arial" w:hAnsi="Arial" w:cs="Arial"/>
              <w:b/>
              <w:bCs/>
              <w:color w:val="FFFFFF"/>
            </w:rPr>
            <w:tab/>
          </w:r>
          <w:r>
            <w:rPr>
              <w:rFonts w:ascii="Arial" w:hAnsi="Arial" w:cs="Arial"/>
              <w:color w:val="FFFFFF"/>
            </w:rPr>
            <w:t>Performance Report</w:t>
          </w:r>
        </w:p>
      </w:tc>
    </w:tr>
    <w:tr w:rsidR="00522066" w14:paraId="44ED23AC" w14:textId="77777777" w:rsidTr="001310AC">
      <w:trPr>
        <w:trHeight w:hRule="exact" w:val="90"/>
      </w:trPr>
      <w:tc>
        <w:tcPr>
          <w:tcW w:w="10080" w:type="dxa"/>
          <w:tcBorders>
            <w:top w:val="nil"/>
          </w:tcBorders>
        </w:tcPr>
        <w:p w14:paraId="72586A26" w14:textId="77777777" w:rsidR="00522066" w:rsidRDefault="00522066" w:rsidP="00AB2909"/>
      </w:tc>
    </w:tr>
    <w:tr w:rsidR="00522066" w14:paraId="03029027" w14:textId="77777777" w:rsidTr="001310AC">
      <w:tc>
        <w:tcPr>
          <w:tcW w:w="10080" w:type="dxa"/>
          <w:tcBorders>
            <w:bottom w:val="nil"/>
          </w:tcBorders>
          <w:shd w:val="clear" w:color="auto" w:fill="000080"/>
        </w:tcPr>
        <w:p w14:paraId="587E5EAA" w14:textId="77777777" w:rsidR="00522066" w:rsidRDefault="00522066" w:rsidP="00AB2909"/>
      </w:tc>
    </w:tr>
  </w:tbl>
  <w:p w14:paraId="1460ED54" w14:textId="77777777" w:rsidR="00522066" w:rsidRDefault="00522066" w:rsidP="003450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20D3"/>
    <w:multiLevelType w:val="hybridMultilevel"/>
    <w:tmpl w:val="FB942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F0CDF"/>
    <w:multiLevelType w:val="hybridMultilevel"/>
    <w:tmpl w:val="D00ABF22"/>
    <w:lvl w:ilvl="0" w:tplc="17BA82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4281994">
    <w:abstractNumId w:val="1"/>
  </w:num>
  <w:num w:numId="2" w16cid:durableId="3193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66"/>
    <w:rsid w:val="000027CC"/>
    <w:rsid w:val="0001582C"/>
    <w:rsid w:val="00026966"/>
    <w:rsid w:val="000312CD"/>
    <w:rsid w:val="00037AD3"/>
    <w:rsid w:val="000403E5"/>
    <w:rsid w:val="00052878"/>
    <w:rsid w:val="000729E5"/>
    <w:rsid w:val="00082BB7"/>
    <w:rsid w:val="00085228"/>
    <w:rsid w:val="0008542D"/>
    <w:rsid w:val="00087B2E"/>
    <w:rsid w:val="000C1D47"/>
    <w:rsid w:val="000C67E9"/>
    <w:rsid w:val="000D435A"/>
    <w:rsid w:val="000D5E8C"/>
    <w:rsid w:val="000E3E21"/>
    <w:rsid w:val="000E7A16"/>
    <w:rsid w:val="00102DC8"/>
    <w:rsid w:val="00111C50"/>
    <w:rsid w:val="00114D13"/>
    <w:rsid w:val="001310AC"/>
    <w:rsid w:val="00134E66"/>
    <w:rsid w:val="00140234"/>
    <w:rsid w:val="00150F85"/>
    <w:rsid w:val="0016679B"/>
    <w:rsid w:val="0017689E"/>
    <w:rsid w:val="00180036"/>
    <w:rsid w:val="0018757F"/>
    <w:rsid w:val="001908E2"/>
    <w:rsid w:val="001B6915"/>
    <w:rsid w:val="001E1AF7"/>
    <w:rsid w:val="001E1ED7"/>
    <w:rsid w:val="00201F54"/>
    <w:rsid w:val="002067C9"/>
    <w:rsid w:val="00222471"/>
    <w:rsid w:val="00230DAE"/>
    <w:rsid w:val="00234613"/>
    <w:rsid w:val="002404EE"/>
    <w:rsid w:val="00242B0D"/>
    <w:rsid w:val="00274BE2"/>
    <w:rsid w:val="00276818"/>
    <w:rsid w:val="0029509A"/>
    <w:rsid w:val="002A1771"/>
    <w:rsid w:val="002D2892"/>
    <w:rsid w:val="002D57BD"/>
    <w:rsid w:val="002D59CF"/>
    <w:rsid w:val="002E3766"/>
    <w:rsid w:val="002E7806"/>
    <w:rsid w:val="002F2B9B"/>
    <w:rsid w:val="002F7C96"/>
    <w:rsid w:val="003233B0"/>
    <w:rsid w:val="00325A46"/>
    <w:rsid w:val="0033215E"/>
    <w:rsid w:val="00343C73"/>
    <w:rsid w:val="00344B26"/>
    <w:rsid w:val="003450ED"/>
    <w:rsid w:val="003462C2"/>
    <w:rsid w:val="003628AF"/>
    <w:rsid w:val="00377E85"/>
    <w:rsid w:val="003A2EF0"/>
    <w:rsid w:val="003B25B2"/>
    <w:rsid w:val="003B2D54"/>
    <w:rsid w:val="003C36AA"/>
    <w:rsid w:val="003E13E9"/>
    <w:rsid w:val="003F070A"/>
    <w:rsid w:val="003F5E0B"/>
    <w:rsid w:val="00401D71"/>
    <w:rsid w:val="00417D7E"/>
    <w:rsid w:val="0042410D"/>
    <w:rsid w:val="00432FB5"/>
    <w:rsid w:val="004463B7"/>
    <w:rsid w:val="00460DF9"/>
    <w:rsid w:val="00492ED1"/>
    <w:rsid w:val="00496281"/>
    <w:rsid w:val="0049670F"/>
    <w:rsid w:val="004B76C8"/>
    <w:rsid w:val="004C4BDD"/>
    <w:rsid w:val="004E0803"/>
    <w:rsid w:val="004F76FD"/>
    <w:rsid w:val="00522066"/>
    <w:rsid w:val="005264E0"/>
    <w:rsid w:val="00527BE9"/>
    <w:rsid w:val="00533F18"/>
    <w:rsid w:val="00534B8E"/>
    <w:rsid w:val="005535A9"/>
    <w:rsid w:val="005708F4"/>
    <w:rsid w:val="00574E86"/>
    <w:rsid w:val="005A601B"/>
    <w:rsid w:val="005B0697"/>
    <w:rsid w:val="005B66F8"/>
    <w:rsid w:val="005C0D0A"/>
    <w:rsid w:val="005E5F86"/>
    <w:rsid w:val="00636AA7"/>
    <w:rsid w:val="00670485"/>
    <w:rsid w:val="006A6143"/>
    <w:rsid w:val="006A6AA7"/>
    <w:rsid w:val="006A7011"/>
    <w:rsid w:val="006B3C02"/>
    <w:rsid w:val="006B51D0"/>
    <w:rsid w:val="006D205F"/>
    <w:rsid w:val="006E0766"/>
    <w:rsid w:val="006E4730"/>
    <w:rsid w:val="006F334B"/>
    <w:rsid w:val="006F710B"/>
    <w:rsid w:val="007006A8"/>
    <w:rsid w:val="007077CF"/>
    <w:rsid w:val="00711830"/>
    <w:rsid w:val="007264BE"/>
    <w:rsid w:val="007311B1"/>
    <w:rsid w:val="0076358A"/>
    <w:rsid w:val="00764942"/>
    <w:rsid w:val="0076534B"/>
    <w:rsid w:val="00771F2D"/>
    <w:rsid w:val="00775E58"/>
    <w:rsid w:val="00777CB8"/>
    <w:rsid w:val="007C05F7"/>
    <w:rsid w:val="007D78E3"/>
    <w:rsid w:val="00805775"/>
    <w:rsid w:val="00821B31"/>
    <w:rsid w:val="0082681E"/>
    <w:rsid w:val="00836295"/>
    <w:rsid w:val="00847584"/>
    <w:rsid w:val="00856166"/>
    <w:rsid w:val="00857E57"/>
    <w:rsid w:val="008923DD"/>
    <w:rsid w:val="00893416"/>
    <w:rsid w:val="008968F1"/>
    <w:rsid w:val="008A78A1"/>
    <w:rsid w:val="008C4B99"/>
    <w:rsid w:val="008D134C"/>
    <w:rsid w:val="008E1FE7"/>
    <w:rsid w:val="008E49AA"/>
    <w:rsid w:val="008F650F"/>
    <w:rsid w:val="00905C81"/>
    <w:rsid w:val="00910B44"/>
    <w:rsid w:val="00912899"/>
    <w:rsid w:val="00921422"/>
    <w:rsid w:val="009277A1"/>
    <w:rsid w:val="009429E9"/>
    <w:rsid w:val="00950CEC"/>
    <w:rsid w:val="009676B1"/>
    <w:rsid w:val="00970F70"/>
    <w:rsid w:val="009922BC"/>
    <w:rsid w:val="009968AB"/>
    <w:rsid w:val="009B0403"/>
    <w:rsid w:val="009F3635"/>
    <w:rsid w:val="00A0023B"/>
    <w:rsid w:val="00A0472B"/>
    <w:rsid w:val="00A15D33"/>
    <w:rsid w:val="00A2041F"/>
    <w:rsid w:val="00A22108"/>
    <w:rsid w:val="00A22CFF"/>
    <w:rsid w:val="00A562A7"/>
    <w:rsid w:val="00A66F61"/>
    <w:rsid w:val="00A7649A"/>
    <w:rsid w:val="00A93B35"/>
    <w:rsid w:val="00A944F4"/>
    <w:rsid w:val="00AB2909"/>
    <w:rsid w:val="00AB47AE"/>
    <w:rsid w:val="00AB6470"/>
    <w:rsid w:val="00AD590E"/>
    <w:rsid w:val="00AF393D"/>
    <w:rsid w:val="00AF5CC2"/>
    <w:rsid w:val="00B062D8"/>
    <w:rsid w:val="00B12921"/>
    <w:rsid w:val="00B30012"/>
    <w:rsid w:val="00B3352B"/>
    <w:rsid w:val="00B54AD5"/>
    <w:rsid w:val="00B63395"/>
    <w:rsid w:val="00B71B55"/>
    <w:rsid w:val="00B906AA"/>
    <w:rsid w:val="00BB5AA9"/>
    <w:rsid w:val="00BC1480"/>
    <w:rsid w:val="00BE6195"/>
    <w:rsid w:val="00BF15C9"/>
    <w:rsid w:val="00C06778"/>
    <w:rsid w:val="00C44F78"/>
    <w:rsid w:val="00C62AF6"/>
    <w:rsid w:val="00C65CD8"/>
    <w:rsid w:val="00C66FD0"/>
    <w:rsid w:val="00C83251"/>
    <w:rsid w:val="00C849D7"/>
    <w:rsid w:val="00C85A3A"/>
    <w:rsid w:val="00C85ED1"/>
    <w:rsid w:val="00C95402"/>
    <w:rsid w:val="00CB4D9E"/>
    <w:rsid w:val="00CB56B6"/>
    <w:rsid w:val="00CD6EEC"/>
    <w:rsid w:val="00CD7B41"/>
    <w:rsid w:val="00CE1F5F"/>
    <w:rsid w:val="00CE3C43"/>
    <w:rsid w:val="00CE7919"/>
    <w:rsid w:val="00CF5BAF"/>
    <w:rsid w:val="00D279FB"/>
    <w:rsid w:val="00D33052"/>
    <w:rsid w:val="00D33AFD"/>
    <w:rsid w:val="00D36240"/>
    <w:rsid w:val="00D41ED1"/>
    <w:rsid w:val="00D5110A"/>
    <w:rsid w:val="00D65F7C"/>
    <w:rsid w:val="00D82499"/>
    <w:rsid w:val="00D83CE7"/>
    <w:rsid w:val="00D84381"/>
    <w:rsid w:val="00D95A63"/>
    <w:rsid w:val="00DA4403"/>
    <w:rsid w:val="00DB1E8D"/>
    <w:rsid w:val="00DC3E54"/>
    <w:rsid w:val="00DD2348"/>
    <w:rsid w:val="00DE019C"/>
    <w:rsid w:val="00DF603D"/>
    <w:rsid w:val="00E16779"/>
    <w:rsid w:val="00E352B6"/>
    <w:rsid w:val="00E366FC"/>
    <w:rsid w:val="00E45FC3"/>
    <w:rsid w:val="00E50043"/>
    <w:rsid w:val="00E52D57"/>
    <w:rsid w:val="00E541B2"/>
    <w:rsid w:val="00E76A88"/>
    <w:rsid w:val="00E85EE2"/>
    <w:rsid w:val="00EA6CB1"/>
    <w:rsid w:val="00EB196D"/>
    <w:rsid w:val="00EB721C"/>
    <w:rsid w:val="00EE4A14"/>
    <w:rsid w:val="00F05DF5"/>
    <w:rsid w:val="00F104BD"/>
    <w:rsid w:val="00F16FF8"/>
    <w:rsid w:val="00F21C53"/>
    <w:rsid w:val="00F24928"/>
    <w:rsid w:val="00F347C9"/>
    <w:rsid w:val="00F358BE"/>
    <w:rsid w:val="00F5098E"/>
    <w:rsid w:val="00F51730"/>
    <w:rsid w:val="00F729A4"/>
    <w:rsid w:val="00F73260"/>
    <w:rsid w:val="00F87B38"/>
    <w:rsid w:val="00FC13AB"/>
    <w:rsid w:val="00FC485B"/>
    <w:rsid w:val="00FC490C"/>
    <w:rsid w:val="00FC6A21"/>
    <w:rsid w:val="00FD7852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2E3FC312"/>
  <w15:docId w15:val="{4D1EE954-576C-4A3F-A5CE-D706CF5D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B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B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4E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67F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EnvelopeAddress">
    <w:name w:val="envelope address"/>
    <w:basedOn w:val="Normal"/>
    <w:uiPriority w:val="99"/>
    <w:rsid w:val="00CD7B41"/>
    <w:pPr>
      <w:framePr w:w="7920" w:h="1980" w:hRule="exact" w:hSpace="180" w:wrap="auto" w:hAnchor="page" w:xAlign="center" w:yAlign="bottom"/>
      <w:ind w:left="2880"/>
    </w:pPr>
    <w:rPr>
      <w:rFonts w:ascii="Courier New" w:hAnsi="Courier New" w:cs="Courier New"/>
      <w:caps/>
    </w:rPr>
  </w:style>
  <w:style w:type="paragraph" w:styleId="Header">
    <w:name w:val="header"/>
    <w:basedOn w:val="Normal"/>
    <w:link w:val="HeaderChar"/>
    <w:uiPriority w:val="99"/>
    <w:rsid w:val="00CD7B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FD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7B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FDA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D7B41"/>
  </w:style>
  <w:style w:type="paragraph" w:styleId="BalloonText">
    <w:name w:val="Balloon Text"/>
    <w:basedOn w:val="Normal"/>
    <w:link w:val="BalloonTextChar"/>
    <w:uiPriority w:val="99"/>
    <w:semiHidden/>
    <w:unhideWhenUsed/>
    <w:rsid w:val="000D4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3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3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74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800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0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vanee.morrison@lava.idah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504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Purpose</vt:lpstr>
    </vt:vector>
  </TitlesOfParts>
  <Company>Division of Financial Management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Purpose</dc:title>
  <dc:creator>Anita Hamann</dc:creator>
  <cp:lastModifiedBy>Misty Lawrence</cp:lastModifiedBy>
  <cp:revision>4</cp:revision>
  <cp:lastPrinted>2006-12-18T16:40:00Z</cp:lastPrinted>
  <dcterms:created xsi:type="dcterms:W3CDTF">2021-08-24T18:31:00Z</dcterms:created>
  <dcterms:modified xsi:type="dcterms:W3CDTF">2022-06-01T23:17:00Z</dcterms:modified>
</cp:coreProperties>
</file>