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6777" w14:textId="77777777" w:rsidR="002F2669" w:rsidRPr="00487FCD" w:rsidRDefault="002F2669" w:rsidP="00BB7A23">
      <w:pPr>
        <w:pStyle w:val="Heading1"/>
        <w:spacing w:before="0"/>
        <w:rPr>
          <w:rFonts w:ascii="Arial" w:hAnsi="Arial" w:cs="Arial"/>
          <w:i/>
          <w:color w:val="000080"/>
          <w:szCs w:val="24"/>
        </w:rPr>
      </w:pPr>
      <w:r w:rsidRPr="00487FCD">
        <w:rPr>
          <w:rFonts w:ascii="Arial" w:hAnsi="Arial" w:cs="Arial"/>
          <w:i/>
          <w:color w:val="000080"/>
          <w:szCs w:val="24"/>
        </w:rPr>
        <w:t>Part I – Agency Profile</w:t>
      </w:r>
    </w:p>
    <w:p w14:paraId="51A3D4E7" w14:textId="77777777" w:rsidR="003346B1" w:rsidRDefault="003346B1" w:rsidP="00A627B1">
      <w:pPr>
        <w:rPr>
          <w:rFonts w:ascii="Arial" w:hAnsi="Arial" w:cs="Arial"/>
          <w:b/>
          <w:bCs/>
        </w:rPr>
      </w:pPr>
    </w:p>
    <w:p w14:paraId="461E75B2" w14:textId="77777777" w:rsidR="008B4851" w:rsidRPr="006E6B89" w:rsidRDefault="008B4851" w:rsidP="00B63248">
      <w:pPr>
        <w:rPr>
          <w:rFonts w:ascii="Arial" w:hAnsi="Arial" w:cs="Arial"/>
        </w:rPr>
      </w:pPr>
      <w:r>
        <w:rPr>
          <w:rFonts w:ascii="Arial" w:hAnsi="Arial" w:cs="Arial"/>
          <w:b/>
          <w:bCs/>
        </w:rPr>
        <w:t>Agency Overview</w:t>
      </w:r>
    </w:p>
    <w:p w14:paraId="1995F692" w14:textId="77777777" w:rsidR="008B4851" w:rsidRDefault="008B4851" w:rsidP="00BB7A23">
      <w:pPr>
        <w:widowControl w:val="0"/>
        <w:jc w:val="both"/>
        <w:rPr>
          <w:rFonts w:ascii="Arial" w:hAnsi="Arial" w:cs="Arial"/>
          <w:sz w:val="20"/>
        </w:rPr>
      </w:pPr>
      <w:r>
        <w:rPr>
          <w:rFonts w:ascii="Arial" w:hAnsi="Arial" w:cs="Arial"/>
          <w:sz w:val="20"/>
        </w:rPr>
        <w:t xml:space="preserve">The Office of Performance Evaluations (OPE), created in 1994, is a nonpartisan, independent office that serves the Legislature’s information needs by conducting performance evaluations of state agencies and programs. The mission of OPE is to promote confidence and accountability in state government through these evaluations. </w:t>
      </w:r>
      <w:r w:rsidR="00F11653">
        <w:rPr>
          <w:rFonts w:ascii="Arial" w:hAnsi="Arial" w:cs="Arial"/>
          <w:sz w:val="20"/>
        </w:rPr>
        <w:t>F</w:t>
      </w:r>
      <w:r>
        <w:rPr>
          <w:rFonts w:ascii="Arial" w:hAnsi="Arial" w:cs="Arial"/>
          <w:sz w:val="20"/>
        </w:rPr>
        <w:t xml:space="preserve">indings, conclusions, and recommendations </w:t>
      </w:r>
      <w:r w:rsidR="00F11653">
        <w:rPr>
          <w:rFonts w:ascii="Arial" w:hAnsi="Arial" w:cs="Arial"/>
          <w:sz w:val="20"/>
        </w:rPr>
        <w:t xml:space="preserve">from OPE evaluations </w:t>
      </w:r>
      <w:r>
        <w:rPr>
          <w:rFonts w:ascii="Arial" w:hAnsi="Arial" w:cs="Arial"/>
          <w:sz w:val="20"/>
        </w:rPr>
        <w:t>are used by the Legislature to make policy and budget decisions and by agencies to improve performance.</w:t>
      </w:r>
    </w:p>
    <w:p w14:paraId="29210EC4" w14:textId="77777777" w:rsidR="008B4851" w:rsidRDefault="008B4851" w:rsidP="00BB7A23">
      <w:pPr>
        <w:widowControl w:val="0"/>
        <w:jc w:val="both"/>
        <w:rPr>
          <w:rFonts w:ascii="Arial" w:hAnsi="Arial" w:cs="Arial"/>
          <w:sz w:val="20"/>
        </w:rPr>
      </w:pPr>
    </w:p>
    <w:p w14:paraId="744032DE" w14:textId="77777777" w:rsidR="008B4851" w:rsidRDefault="008B4851" w:rsidP="00BB7A23">
      <w:pPr>
        <w:widowControl w:val="0"/>
        <w:jc w:val="both"/>
        <w:rPr>
          <w:rFonts w:ascii="Arial" w:hAnsi="Arial" w:cs="Arial"/>
          <w:sz w:val="20"/>
        </w:rPr>
      </w:pPr>
      <w:r>
        <w:rPr>
          <w:rFonts w:ascii="Arial" w:hAnsi="Arial" w:cs="Arial"/>
          <w:sz w:val="20"/>
        </w:rPr>
        <w:t>Performance evaluations include assessing whether</w:t>
      </w:r>
    </w:p>
    <w:p w14:paraId="5DEC5B4B" w14:textId="77777777" w:rsidR="008B4851" w:rsidRDefault="008B4851" w:rsidP="00BB7A23">
      <w:pPr>
        <w:widowControl w:val="0"/>
        <w:numPr>
          <w:ilvl w:val="0"/>
          <w:numId w:val="1"/>
        </w:numPr>
        <w:tabs>
          <w:tab w:val="clear" w:pos="792"/>
        </w:tabs>
        <w:ind w:left="720" w:hanging="360"/>
        <w:jc w:val="both"/>
        <w:rPr>
          <w:rFonts w:ascii="Arial" w:hAnsi="Arial" w:cs="Arial"/>
          <w:sz w:val="20"/>
        </w:rPr>
      </w:pPr>
      <w:r>
        <w:rPr>
          <w:rFonts w:ascii="Arial" w:hAnsi="Arial" w:cs="Arial"/>
          <w:sz w:val="20"/>
        </w:rPr>
        <w:t xml:space="preserve">agencies or programs are complying with applicable laws and legislative </w:t>
      </w:r>
      <w:proofErr w:type="gramStart"/>
      <w:r>
        <w:rPr>
          <w:rFonts w:ascii="Arial" w:hAnsi="Arial" w:cs="Arial"/>
          <w:sz w:val="20"/>
        </w:rPr>
        <w:t>intent;</w:t>
      </w:r>
      <w:proofErr w:type="gramEnd"/>
    </w:p>
    <w:p w14:paraId="4F7734C5" w14:textId="7D579A43" w:rsidR="008B4851" w:rsidRDefault="008B4851" w:rsidP="00BB7A23">
      <w:pPr>
        <w:widowControl w:val="0"/>
        <w:numPr>
          <w:ilvl w:val="0"/>
          <w:numId w:val="1"/>
        </w:numPr>
        <w:tabs>
          <w:tab w:val="clear" w:pos="792"/>
        </w:tabs>
        <w:ind w:left="720" w:hanging="360"/>
        <w:jc w:val="both"/>
        <w:rPr>
          <w:rFonts w:ascii="Arial" w:hAnsi="Arial" w:cs="Arial"/>
          <w:sz w:val="20"/>
        </w:rPr>
      </w:pPr>
      <w:r>
        <w:rPr>
          <w:rFonts w:ascii="Arial" w:hAnsi="Arial" w:cs="Arial"/>
          <w:sz w:val="20"/>
        </w:rPr>
        <w:t>services are provided efficiently and cost-effectively; and</w:t>
      </w:r>
    </w:p>
    <w:p w14:paraId="2B305251" w14:textId="77777777" w:rsidR="008B4851" w:rsidRDefault="008B4851" w:rsidP="00BB7A23">
      <w:pPr>
        <w:widowControl w:val="0"/>
        <w:numPr>
          <w:ilvl w:val="0"/>
          <w:numId w:val="1"/>
        </w:numPr>
        <w:tabs>
          <w:tab w:val="clear" w:pos="792"/>
        </w:tabs>
        <w:ind w:left="720" w:hanging="360"/>
        <w:jc w:val="both"/>
        <w:rPr>
          <w:rFonts w:ascii="Arial" w:hAnsi="Arial" w:cs="Arial"/>
          <w:sz w:val="20"/>
        </w:rPr>
      </w:pPr>
      <w:r>
        <w:rPr>
          <w:rFonts w:ascii="Arial" w:hAnsi="Arial" w:cs="Arial"/>
          <w:sz w:val="20"/>
        </w:rPr>
        <w:t>programs and services are achieving intended results.</w:t>
      </w:r>
    </w:p>
    <w:p w14:paraId="77D2C4B7" w14:textId="77777777" w:rsidR="008B4851" w:rsidRDefault="008B4851" w:rsidP="00BB7A23">
      <w:pPr>
        <w:widowControl w:val="0"/>
        <w:jc w:val="both"/>
        <w:rPr>
          <w:rFonts w:ascii="Arial" w:hAnsi="Arial" w:cs="Arial"/>
          <w:sz w:val="20"/>
        </w:rPr>
      </w:pPr>
    </w:p>
    <w:p w14:paraId="6BD191C5" w14:textId="05BF0155" w:rsidR="008B4851" w:rsidRDefault="008B4851" w:rsidP="00BB7A23">
      <w:pPr>
        <w:widowControl w:val="0"/>
        <w:jc w:val="both"/>
        <w:rPr>
          <w:rFonts w:ascii="Arial" w:hAnsi="Arial" w:cs="Arial"/>
          <w:sz w:val="20"/>
        </w:rPr>
      </w:pPr>
      <w:r>
        <w:rPr>
          <w:rFonts w:ascii="Arial" w:hAnsi="Arial" w:cs="Arial"/>
          <w:sz w:val="20"/>
        </w:rPr>
        <w:t xml:space="preserve">OPE works under the direction of the bipartisan Joint Legislative Oversight Committee (JLOC). The office </w:t>
      </w:r>
      <w:r w:rsidR="00B805FF">
        <w:rPr>
          <w:rFonts w:ascii="Arial" w:hAnsi="Arial" w:cs="Arial"/>
          <w:sz w:val="20"/>
        </w:rPr>
        <w:t>is authorized</w:t>
      </w:r>
      <w:r>
        <w:rPr>
          <w:rFonts w:ascii="Arial" w:hAnsi="Arial" w:cs="Arial"/>
          <w:sz w:val="20"/>
        </w:rPr>
        <w:t xml:space="preserve"> </w:t>
      </w:r>
      <w:r w:rsidR="00F11653">
        <w:rPr>
          <w:rFonts w:ascii="Arial" w:hAnsi="Arial" w:cs="Arial"/>
          <w:sz w:val="20"/>
        </w:rPr>
        <w:t>eight</w:t>
      </w:r>
      <w:r w:rsidR="009F002A">
        <w:rPr>
          <w:rFonts w:ascii="Arial" w:hAnsi="Arial" w:cs="Arial"/>
          <w:sz w:val="20"/>
        </w:rPr>
        <w:t xml:space="preserve"> full-time </w:t>
      </w:r>
      <w:r w:rsidR="00B805FF">
        <w:rPr>
          <w:rFonts w:ascii="Arial" w:hAnsi="Arial" w:cs="Arial"/>
          <w:sz w:val="20"/>
        </w:rPr>
        <w:t>equivalent</w:t>
      </w:r>
      <w:r w:rsidR="009F002A">
        <w:rPr>
          <w:rFonts w:ascii="Arial" w:hAnsi="Arial" w:cs="Arial"/>
          <w:sz w:val="20"/>
        </w:rPr>
        <w:t xml:space="preserve"> position</w:t>
      </w:r>
      <w:r w:rsidR="008107E7">
        <w:rPr>
          <w:rFonts w:ascii="Arial" w:hAnsi="Arial" w:cs="Arial"/>
          <w:sz w:val="20"/>
        </w:rPr>
        <w:t>s</w:t>
      </w:r>
      <w:r w:rsidR="009F002A" w:rsidRPr="008107E7">
        <w:rPr>
          <w:rFonts w:ascii="Arial" w:hAnsi="Arial" w:cs="Arial"/>
          <w:sz w:val="20"/>
        </w:rPr>
        <w:t>.</w:t>
      </w:r>
    </w:p>
    <w:p w14:paraId="61D224FB" w14:textId="77777777" w:rsidR="008B4851" w:rsidRPr="00C27186" w:rsidRDefault="008B4851" w:rsidP="00B63248">
      <w:pPr>
        <w:rPr>
          <w:rFonts w:ascii="Arial" w:hAnsi="Arial" w:cs="Arial"/>
        </w:rPr>
      </w:pPr>
    </w:p>
    <w:p w14:paraId="55E1991C" w14:textId="77777777" w:rsidR="008B4851" w:rsidRPr="006E6B89" w:rsidRDefault="008B4851" w:rsidP="00B63248">
      <w:pPr>
        <w:rPr>
          <w:rFonts w:ascii="Arial" w:hAnsi="Arial" w:cs="Arial"/>
        </w:rPr>
      </w:pPr>
      <w:r>
        <w:rPr>
          <w:rFonts w:ascii="Arial" w:hAnsi="Arial" w:cs="Arial"/>
          <w:b/>
          <w:bCs/>
        </w:rPr>
        <w:t>Core Functions/Idaho Code</w:t>
      </w:r>
    </w:p>
    <w:p w14:paraId="4ABB9E8A" w14:textId="77777777" w:rsidR="008B4851" w:rsidRDefault="008B4851" w:rsidP="00BB7A23">
      <w:pPr>
        <w:jc w:val="both"/>
        <w:rPr>
          <w:rFonts w:ascii="Arial" w:hAnsi="Arial" w:cs="Arial"/>
          <w:sz w:val="20"/>
        </w:rPr>
      </w:pPr>
      <w:r>
        <w:rPr>
          <w:rFonts w:ascii="Arial" w:hAnsi="Arial" w:cs="Arial"/>
          <w:sz w:val="20"/>
        </w:rPr>
        <w:t>Authorizing statutes: Idaho Code §§ 67-457 through 67-464</w:t>
      </w:r>
    </w:p>
    <w:p w14:paraId="1ABDE608" w14:textId="77777777" w:rsidR="008B4851" w:rsidRDefault="008B4851" w:rsidP="00BB7A23">
      <w:pPr>
        <w:widowControl w:val="0"/>
        <w:numPr>
          <w:ilvl w:val="0"/>
          <w:numId w:val="3"/>
        </w:numPr>
        <w:tabs>
          <w:tab w:val="clear" w:pos="792"/>
        </w:tabs>
        <w:ind w:left="720"/>
        <w:jc w:val="both"/>
        <w:rPr>
          <w:rFonts w:ascii="Arial" w:hAnsi="Arial" w:cs="Arial"/>
          <w:sz w:val="20"/>
        </w:rPr>
      </w:pPr>
      <w:r>
        <w:rPr>
          <w:rFonts w:ascii="Arial" w:hAnsi="Arial" w:cs="Arial"/>
          <w:sz w:val="20"/>
        </w:rPr>
        <w:t>Conduct performance evaluations and report each evaluation to JLOC</w:t>
      </w:r>
    </w:p>
    <w:p w14:paraId="022E88D7" w14:textId="0BBA83AB" w:rsidR="008B4851" w:rsidRDefault="005A2EFC" w:rsidP="00BB7A23">
      <w:pPr>
        <w:widowControl w:val="0"/>
        <w:numPr>
          <w:ilvl w:val="0"/>
          <w:numId w:val="3"/>
        </w:numPr>
        <w:tabs>
          <w:tab w:val="clear" w:pos="792"/>
        </w:tabs>
        <w:ind w:left="720"/>
        <w:jc w:val="both"/>
        <w:rPr>
          <w:rFonts w:ascii="Arial" w:hAnsi="Arial" w:cs="Arial"/>
          <w:sz w:val="20"/>
        </w:rPr>
      </w:pPr>
      <w:r>
        <w:rPr>
          <w:rFonts w:ascii="Arial" w:hAnsi="Arial" w:cs="Arial"/>
          <w:sz w:val="20"/>
        </w:rPr>
        <w:t>Make recommendations to agencies for program improvements</w:t>
      </w:r>
    </w:p>
    <w:p w14:paraId="4E4461F8" w14:textId="77777777" w:rsidR="008B4851" w:rsidRDefault="008B4851" w:rsidP="00BB7A23">
      <w:pPr>
        <w:widowControl w:val="0"/>
        <w:numPr>
          <w:ilvl w:val="0"/>
          <w:numId w:val="3"/>
        </w:numPr>
        <w:tabs>
          <w:tab w:val="clear" w:pos="792"/>
        </w:tabs>
        <w:ind w:left="720"/>
        <w:jc w:val="both"/>
        <w:rPr>
          <w:rFonts w:ascii="Arial" w:hAnsi="Arial" w:cs="Arial"/>
          <w:sz w:val="20"/>
        </w:rPr>
      </w:pPr>
      <w:r>
        <w:rPr>
          <w:rFonts w:ascii="Arial" w:hAnsi="Arial" w:cs="Arial"/>
          <w:sz w:val="20"/>
        </w:rPr>
        <w:t>Provide useful recommendations to assist the Legislature in making policy and budget decisions</w:t>
      </w:r>
    </w:p>
    <w:p w14:paraId="306F33F9" w14:textId="77777777" w:rsidR="008B4851" w:rsidRDefault="008B4851" w:rsidP="00BB7A23">
      <w:pPr>
        <w:widowControl w:val="0"/>
        <w:numPr>
          <w:ilvl w:val="0"/>
          <w:numId w:val="3"/>
        </w:numPr>
        <w:tabs>
          <w:tab w:val="clear" w:pos="792"/>
        </w:tabs>
        <w:ind w:left="720"/>
        <w:jc w:val="both"/>
        <w:rPr>
          <w:rFonts w:ascii="Arial" w:hAnsi="Arial" w:cs="Arial"/>
          <w:sz w:val="20"/>
        </w:rPr>
      </w:pPr>
      <w:r>
        <w:rPr>
          <w:rFonts w:ascii="Arial" w:hAnsi="Arial" w:cs="Arial"/>
          <w:sz w:val="20"/>
        </w:rPr>
        <w:t>Be responsive to the Legislature’s information needs</w:t>
      </w:r>
    </w:p>
    <w:p w14:paraId="3529AFE0" w14:textId="77777777" w:rsidR="00C27186" w:rsidRPr="00A627B1" w:rsidRDefault="00C27186" w:rsidP="00A627B1">
      <w:pPr>
        <w:jc w:val="both"/>
        <w:rPr>
          <w:rFonts w:ascii="Arial" w:hAnsi="Arial" w:cs="Arial"/>
        </w:rPr>
      </w:pPr>
    </w:p>
    <w:p w14:paraId="1B4CE4BE" w14:textId="77777777" w:rsidR="008B4851" w:rsidRDefault="008B4851" w:rsidP="00A627B1">
      <w:pPr>
        <w:jc w:val="both"/>
        <w:rPr>
          <w:rFonts w:ascii="Arial" w:hAnsi="Arial" w:cs="Arial"/>
          <w:b/>
          <w:bCs/>
        </w:rPr>
      </w:pPr>
      <w:r>
        <w:rPr>
          <w:rFonts w:ascii="Arial" w:hAnsi="Arial" w:cs="Arial"/>
          <w:b/>
          <w:bCs/>
        </w:rPr>
        <w:t>Revenue and Expenditures</w:t>
      </w:r>
    </w:p>
    <w:tbl>
      <w:tblPr>
        <w:tblW w:w="1008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68"/>
        <w:gridCol w:w="1803"/>
        <w:gridCol w:w="1803"/>
        <w:gridCol w:w="1803"/>
        <w:gridCol w:w="1803"/>
      </w:tblGrid>
      <w:tr w:rsidR="00353276" w14:paraId="5734A74E" w14:textId="77777777" w:rsidTr="007A5127">
        <w:tc>
          <w:tcPr>
            <w:tcW w:w="2868" w:type="dxa"/>
            <w:shd w:val="clear" w:color="auto" w:fill="000080"/>
          </w:tcPr>
          <w:p w14:paraId="6FF0019F" w14:textId="77777777" w:rsidR="00353276" w:rsidRDefault="00353276" w:rsidP="00353276">
            <w:pPr>
              <w:rPr>
                <w:rFonts w:ascii="Arial" w:hAnsi="Arial" w:cs="Arial"/>
                <w:b/>
                <w:bCs/>
                <w:color w:val="FFFFFF"/>
                <w:sz w:val="20"/>
              </w:rPr>
            </w:pPr>
            <w:r>
              <w:rPr>
                <w:rFonts w:ascii="Arial" w:hAnsi="Arial" w:cs="Arial"/>
                <w:b/>
                <w:bCs/>
                <w:color w:val="FFFFFF"/>
                <w:sz w:val="20"/>
              </w:rPr>
              <w:t>Revenue</w:t>
            </w:r>
          </w:p>
        </w:tc>
        <w:tc>
          <w:tcPr>
            <w:tcW w:w="1803" w:type="dxa"/>
            <w:shd w:val="clear" w:color="auto" w:fill="000080"/>
          </w:tcPr>
          <w:p w14:paraId="5928EF1A" w14:textId="07EC3B42" w:rsidR="00353276" w:rsidRDefault="00087986" w:rsidP="00EF7187">
            <w:pPr>
              <w:jc w:val="right"/>
              <w:rPr>
                <w:rFonts w:ascii="Arial" w:hAnsi="Arial" w:cs="Arial"/>
                <w:b/>
                <w:bCs/>
                <w:color w:val="FFFFFF"/>
                <w:sz w:val="20"/>
              </w:rPr>
            </w:pPr>
            <w:r>
              <w:rPr>
                <w:rFonts w:ascii="Arial" w:hAnsi="Arial" w:cs="Arial"/>
                <w:b/>
                <w:bCs/>
                <w:color w:val="FFFFFF"/>
                <w:sz w:val="20"/>
              </w:rPr>
              <w:t>FY 2019</w:t>
            </w:r>
          </w:p>
        </w:tc>
        <w:tc>
          <w:tcPr>
            <w:tcW w:w="1803" w:type="dxa"/>
            <w:shd w:val="clear" w:color="auto" w:fill="000080"/>
          </w:tcPr>
          <w:p w14:paraId="12699FA0" w14:textId="74D899BE" w:rsidR="00353276" w:rsidRDefault="00087986" w:rsidP="00BB7A23">
            <w:pPr>
              <w:jc w:val="right"/>
              <w:rPr>
                <w:rFonts w:ascii="Arial" w:hAnsi="Arial" w:cs="Arial"/>
                <w:b/>
                <w:bCs/>
                <w:color w:val="FFFFFF"/>
                <w:sz w:val="20"/>
              </w:rPr>
            </w:pPr>
            <w:r>
              <w:rPr>
                <w:rFonts w:ascii="Arial" w:hAnsi="Arial" w:cs="Arial"/>
                <w:b/>
                <w:bCs/>
                <w:color w:val="FFFFFF"/>
                <w:sz w:val="20"/>
              </w:rPr>
              <w:t>FY 2020</w:t>
            </w:r>
          </w:p>
        </w:tc>
        <w:tc>
          <w:tcPr>
            <w:tcW w:w="1803" w:type="dxa"/>
            <w:shd w:val="clear" w:color="auto" w:fill="000080"/>
          </w:tcPr>
          <w:p w14:paraId="791D752B" w14:textId="5ECCE684" w:rsidR="00353276" w:rsidRDefault="00087986" w:rsidP="00BB7A23">
            <w:pPr>
              <w:jc w:val="right"/>
              <w:rPr>
                <w:rFonts w:ascii="Arial" w:hAnsi="Arial" w:cs="Arial"/>
                <w:b/>
                <w:bCs/>
                <w:color w:val="FFFFFF"/>
                <w:sz w:val="20"/>
              </w:rPr>
            </w:pPr>
            <w:r>
              <w:rPr>
                <w:rFonts w:ascii="Arial" w:hAnsi="Arial" w:cs="Arial"/>
                <w:b/>
                <w:bCs/>
                <w:color w:val="FFFFFF"/>
                <w:sz w:val="20"/>
              </w:rPr>
              <w:t>FY 2021</w:t>
            </w:r>
          </w:p>
        </w:tc>
        <w:tc>
          <w:tcPr>
            <w:tcW w:w="1803" w:type="dxa"/>
            <w:shd w:val="clear" w:color="auto" w:fill="000080"/>
          </w:tcPr>
          <w:p w14:paraId="657B1E3B" w14:textId="10474B03" w:rsidR="00353276" w:rsidRDefault="00087986" w:rsidP="00BB7A23">
            <w:pPr>
              <w:jc w:val="right"/>
              <w:rPr>
                <w:rFonts w:ascii="Arial" w:hAnsi="Arial" w:cs="Arial"/>
                <w:b/>
                <w:bCs/>
                <w:color w:val="FFFFFF"/>
                <w:sz w:val="20"/>
              </w:rPr>
            </w:pPr>
            <w:r>
              <w:rPr>
                <w:rFonts w:ascii="Arial" w:hAnsi="Arial" w:cs="Arial"/>
                <w:b/>
                <w:bCs/>
                <w:color w:val="FFFFFF"/>
                <w:sz w:val="20"/>
              </w:rPr>
              <w:t>FY 2022</w:t>
            </w:r>
          </w:p>
        </w:tc>
      </w:tr>
      <w:tr w:rsidR="00087986" w14:paraId="6B03B615" w14:textId="77777777" w:rsidTr="007A5127">
        <w:tc>
          <w:tcPr>
            <w:tcW w:w="2868" w:type="dxa"/>
            <w:vAlign w:val="bottom"/>
          </w:tcPr>
          <w:p w14:paraId="1A032E6F" w14:textId="77777777" w:rsidR="00087986" w:rsidRDefault="00087986" w:rsidP="00087986">
            <w:pPr>
              <w:rPr>
                <w:rFonts w:ascii="Arial" w:hAnsi="Arial" w:cs="Arial"/>
                <w:color w:val="000000"/>
                <w:sz w:val="20"/>
                <w:szCs w:val="20"/>
              </w:rPr>
            </w:pPr>
            <w:r>
              <w:rPr>
                <w:rFonts w:ascii="Arial" w:hAnsi="Arial" w:cs="Arial"/>
                <w:color w:val="000000"/>
                <w:sz w:val="20"/>
                <w:szCs w:val="20"/>
              </w:rPr>
              <w:t>General Fund</w:t>
            </w:r>
          </w:p>
        </w:tc>
        <w:tc>
          <w:tcPr>
            <w:tcW w:w="1803" w:type="dxa"/>
          </w:tcPr>
          <w:p w14:paraId="75C0E331" w14:textId="291B2A35" w:rsidR="00087986" w:rsidRPr="003254BD" w:rsidRDefault="00087986" w:rsidP="00087986">
            <w:pPr>
              <w:jc w:val="right"/>
              <w:rPr>
                <w:rFonts w:ascii="Arial" w:hAnsi="Arial" w:cs="Arial"/>
                <w:color w:val="000000"/>
                <w:sz w:val="20"/>
                <w:szCs w:val="20"/>
              </w:rPr>
            </w:pPr>
            <w:r>
              <w:rPr>
                <w:rFonts w:ascii="Arial" w:hAnsi="Arial" w:cs="Arial"/>
                <w:color w:val="000000"/>
                <w:sz w:val="20"/>
                <w:szCs w:val="20"/>
              </w:rPr>
              <w:t>$899,500</w:t>
            </w:r>
          </w:p>
        </w:tc>
        <w:tc>
          <w:tcPr>
            <w:tcW w:w="1803" w:type="dxa"/>
          </w:tcPr>
          <w:p w14:paraId="03D8BAED" w14:textId="122EF6FE" w:rsidR="00087986" w:rsidRPr="003254BD" w:rsidRDefault="00087986" w:rsidP="00087986">
            <w:pPr>
              <w:jc w:val="right"/>
              <w:rPr>
                <w:rFonts w:ascii="Arial" w:hAnsi="Arial" w:cs="Arial"/>
                <w:color w:val="000000"/>
                <w:sz w:val="20"/>
                <w:szCs w:val="20"/>
              </w:rPr>
            </w:pPr>
            <w:r>
              <w:rPr>
                <w:rFonts w:ascii="Arial" w:hAnsi="Arial" w:cs="Arial"/>
                <w:color w:val="000000"/>
                <w:sz w:val="20"/>
                <w:szCs w:val="20"/>
              </w:rPr>
              <w:t>$942,600</w:t>
            </w:r>
          </w:p>
        </w:tc>
        <w:tc>
          <w:tcPr>
            <w:tcW w:w="1803" w:type="dxa"/>
          </w:tcPr>
          <w:p w14:paraId="2C87CDC5" w14:textId="2EC6298B" w:rsidR="00087986" w:rsidRPr="003254BD" w:rsidRDefault="00087986" w:rsidP="00087986">
            <w:pPr>
              <w:jc w:val="right"/>
              <w:rPr>
                <w:rFonts w:ascii="Arial" w:hAnsi="Arial" w:cs="Arial"/>
                <w:color w:val="000000"/>
                <w:sz w:val="20"/>
                <w:szCs w:val="20"/>
              </w:rPr>
            </w:pPr>
            <w:r>
              <w:rPr>
                <w:rFonts w:ascii="Arial" w:hAnsi="Arial" w:cs="Arial"/>
                <w:color w:val="000000"/>
                <w:sz w:val="20"/>
                <w:szCs w:val="20"/>
              </w:rPr>
              <w:t>$950,200</w:t>
            </w:r>
          </w:p>
        </w:tc>
        <w:tc>
          <w:tcPr>
            <w:tcW w:w="1803" w:type="dxa"/>
          </w:tcPr>
          <w:p w14:paraId="07191CAA" w14:textId="77757EB6" w:rsidR="00087986" w:rsidRPr="003254BD" w:rsidRDefault="00087986" w:rsidP="00087986">
            <w:pPr>
              <w:jc w:val="right"/>
              <w:rPr>
                <w:rFonts w:ascii="Arial" w:hAnsi="Arial" w:cs="Arial"/>
                <w:color w:val="000000"/>
                <w:sz w:val="20"/>
                <w:szCs w:val="20"/>
              </w:rPr>
            </w:pPr>
          </w:p>
        </w:tc>
      </w:tr>
      <w:tr w:rsidR="00087986" w14:paraId="1396CAAC" w14:textId="77777777" w:rsidTr="007A5127">
        <w:tc>
          <w:tcPr>
            <w:tcW w:w="2868" w:type="dxa"/>
            <w:vAlign w:val="bottom"/>
          </w:tcPr>
          <w:p w14:paraId="086D3BBE" w14:textId="77777777" w:rsidR="00087986" w:rsidRDefault="00087986" w:rsidP="00087986">
            <w:pPr>
              <w:rPr>
                <w:rFonts w:ascii="Arial" w:eastAsia="Arial Unicode MS" w:hAnsi="Arial" w:cs="Arial"/>
                <w:color w:val="000000"/>
                <w:sz w:val="20"/>
                <w:szCs w:val="20"/>
              </w:rPr>
            </w:pPr>
            <w:r>
              <w:rPr>
                <w:rFonts w:ascii="Arial" w:eastAsia="Arial Unicode MS" w:hAnsi="Arial" w:cs="Arial"/>
                <w:color w:val="000000"/>
                <w:sz w:val="20"/>
                <w:szCs w:val="20"/>
              </w:rPr>
              <w:t>Dedicated</w:t>
            </w:r>
          </w:p>
        </w:tc>
        <w:tc>
          <w:tcPr>
            <w:tcW w:w="1803" w:type="dxa"/>
          </w:tcPr>
          <w:p w14:paraId="6F57822B" w14:textId="033486FA" w:rsidR="00087986" w:rsidRDefault="00087986" w:rsidP="00087986">
            <w:pPr>
              <w:jc w:val="right"/>
              <w:rPr>
                <w:rFonts w:ascii="Arial" w:hAnsi="Arial" w:cs="Arial"/>
                <w:color w:val="000000"/>
                <w:sz w:val="20"/>
                <w:szCs w:val="20"/>
                <w:u w:val="single"/>
              </w:rPr>
            </w:pPr>
            <w:r>
              <w:rPr>
                <w:rFonts w:ascii="Arial" w:hAnsi="Arial" w:cs="Arial"/>
                <w:color w:val="000000"/>
                <w:sz w:val="20"/>
                <w:szCs w:val="20"/>
                <w:u w:val="single"/>
              </w:rPr>
              <w:t xml:space="preserve">             0</w:t>
            </w:r>
          </w:p>
        </w:tc>
        <w:tc>
          <w:tcPr>
            <w:tcW w:w="1803" w:type="dxa"/>
          </w:tcPr>
          <w:p w14:paraId="0B298EE8" w14:textId="112AD142" w:rsidR="00087986" w:rsidRDefault="00087986" w:rsidP="00087986">
            <w:pPr>
              <w:jc w:val="right"/>
              <w:rPr>
                <w:rFonts w:ascii="Arial" w:hAnsi="Arial" w:cs="Arial"/>
                <w:color w:val="000000"/>
                <w:sz w:val="20"/>
                <w:szCs w:val="20"/>
                <w:u w:val="single"/>
              </w:rPr>
            </w:pPr>
            <w:r>
              <w:rPr>
                <w:rFonts w:ascii="Arial" w:hAnsi="Arial" w:cs="Arial"/>
                <w:color w:val="000000"/>
                <w:sz w:val="20"/>
                <w:szCs w:val="20"/>
                <w:u w:val="single"/>
              </w:rPr>
              <w:t xml:space="preserve">             0</w:t>
            </w:r>
          </w:p>
        </w:tc>
        <w:tc>
          <w:tcPr>
            <w:tcW w:w="1803" w:type="dxa"/>
          </w:tcPr>
          <w:p w14:paraId="545C0151" w14:textId="32AA7971" w:rsidR="00087986" w:rsidRDefault="00087986" w:rsidP="00087986">
            <w:pPr>
              <w:jc w:val="right"/>
              <w:rPr>
                <w:rFonts w:ascii="Arial" w:hAnsi="Arial" w:cs="Arial"/>
                <w:color w:val="000000"/>
                <w:sz w:val="20"/>
                <w:szCs w:val="20"/>
                <w:u w:val="single"/>
              </w:rPr>
            </w:pPr>
            <w:r>
              <w:rPr>
                <w:rFonts w:ascii="Arial" w:hAnsi="Arial" w:cs="Arial"/>
                <w:color w:val="000000"/>
                <w:sz w:val="20"/>
                <w:szCs w:val="20"/>
                <w:u w:val="single"/>
              </w:rPr>
              <w:t xml:space="preserve">              0</w:t>
            </w:r>
          </w:p>
        </w:tc>
        <w:tc>
          <w:tcPr>
            <w:tcW w:w="1803" w:type="dxa"/>
          </w:tcPr>
          <w:p w14:paraId="6199A217" w14:textId="35F2C16D" w:rsidR="00087986" w:rsidRDefault="00087986" w:rsidP="00087986">
            <w:pPr>
              <w:jc w:val="right"/>
              <w:rPr>
                <w:rFonts w:ascii="Arial" w:hAnsi="Arial" w:cs="Arial"/>
                <w:color w:val="000000"/>
                <w:sz w:val="20"/>
                <w:szCs w:val="20"/>
                <w:u w:val="single"/>
              </w:rPr>
            </w:pPr>
          </w:p>
        </w:tc>
      </w:tr>
      <w:tr w:rsidR="00087986" w14:paraId="00E52AE2" w14:textId="77777777" w:rsidTr="007A5127">
        <w:tc>
          <w:tcPr>
            <w:tcW w:w="2868" w:type="dxa"/>
            <w:vAlign w:val="bottom"/>
          </w:tcPr>
          <w:p w14:paraId="1AE9EA46" w14:textId="77777777" w:rsidR="00087986" w:rsidRDefault="00087986" w:rsidP="00087986">
            <w:pPr>
              <w:jc w:val="right"/>
              <w:rPr>
                <w:rFonts w:ascii="Arial" w:eastAsia="Arial Unicode MS" w:hAnsi="Arial" w:cs="Arial"/>
                <w:b/>
                <w:bCs/>
                <w:color w:val="000000"/>
                <w:sz w:val="20"/>
                <w:szCs w:val="20"/>
              </w:rPr>
            </w:pPr>
            <w:r>
              <w:rPr>
                <w:rFonts w:ascii="Arial" w:hAnsi="Arial" w:cs="Arial"/>
                <w:b/>
                <w:bCs/>
                <w:color w:val="000000"/>
                <w:sz w:val="20"/>
                <w:szCs w:val="20"/>
              </w:rPr>
              <w:t>Total</w:t>
            </w:r>
          </w:p>
        </w:tc>
        <w:tc>
          <w:tcPr>
            <w:tcW w:w="1803" w:type="dxa"/>
          </w:tcPr>
          <w:p w14:paraId="1458EA59" w14:textId="5101B1D3" w:rsidR="00087986" w:rsidRPr="00BA7A14" w:rsidRDefault="00087986" w:rsidP="00087986">
            <w:pPr>
              <w:jc w:val="right"/>
              <w:rPr>
                <w:rFonts w:ascii="Arial" w:hAnsi="Arial" w:cs="Arial"/>
                <w:b/>
                <w:color w:val="000000"/>
                <w:sz w:val="20"/>
                <w:szCs w:val="20"/>
              </w:rPr>
            </w:pPr>
            <w:r>
              <w:rPr>
                <w:rFonts w:ascii="Arial" w:hAnsi="Arial" w:cs="Arial"/>
                <w:b/>
                <w:color w:val="000000"/>
                <w:sz w:val="20"/>
                <w:szCs w:val="20"/>
              </w:rPr>
              <w:t>$899,500</w:t>
            </w:r>
          </w:p>
        </w:tc>
        <w:tc>
          <w:tcPr>
            <w:tcW w:w="1803" w:type="dxa"/>
          </w:tcPr>
          <w:p w14:paraId="32230EBB" w14:textId="490FDA52" w:rsidR="00087986" w:rsidRPr="00BA7A14" w:rsidRDefault="00087986" w:rsidP="00087986">
            <w:pPr>
              <w:jc w:val="right"/>
              <w:rPr>
                <w:rFonts w:ascii="Arial" w:hAnsi="Arial" w:cs="Arial"/>
                <w:b/>
                <w:color w:val="000000"/>
                <w:sz w:val="20"/>
                <w:szCs w:val="20"/>
              </w:rPr>
            </w:pPr>
            <w:r>
              <w:rPr>
                <w:rFonts w:ascii="Arial" w:hAnsi="Arial" w:cs="Arial"/>
                <w:b/>
                <w:color w:val="000000"/>
                <w:sz w:val="20"/>
                <w:szCs w:val="20"/>
              </w:rPr>
              <w:t>$942,600</w:t>
            </w:r>
          </w:p>
        </w:tc>
        <w:tc>
          <w:tcPr>
            <w:tcW w:w="1803" w:type="dxa"/>
          </w:tcPr>
          <w:p w14:paraId="05F8F0D5" w14:textId="0037607F" w:rsidR="00087986" w:rsidRPr="00BA7A14" w:rsidRDefault="00087986" w:rsidP="00087986">
            <w:pPr>
              <w:jc w:val="right"/>
              <w:rPr>
                <w:rFonts w:ascii="Arial" w:hAnsi="Arial" w:cs="Arial"/>
                <w:b/>
                <w:color w:val="000000"/>
                <w:sz w:val="20"/>
                <w:szCs w:val="20"/>
              </w:rPr>
            </w:pPr>
            <w:r>
              <w:rPr>
                <w:rFonts w:ascii="Arial" w:hAnsi="Arial" w:cs="Arial"/>
                <w:b/>
                <w:color w:val="000000"/>
                <w:sz w:val="20"/>
                <w:szCs w:val="20"/>
              </w:rPr>
              <w:t>$950,200</w:t>
            </w:r>
          </w:p>
        </w:tc>
        <w:tc>
          <w:tcPr>
            <w:tcW w:w="1803" w:type="dxa"/>
          </w:tcPr>
          <w:p w14:paraId="1ACD4557" w14:textId="64671497" w:rsidR="00087986" w:rsidRPr="00BA7A14" w:rsidRDefault="00087986" w:rsidP="00087986">
            <w:pPr>
              <w:jc w:val="right"/>
              <w:rPr>
                <w:rFonts w:ascii="Arial" w:hAnsi="Arial" w:cs="Arial"/>
                <w:b/>
                <w:color w:val="000000"/>
                <w:sz w:val="20"/>
                <w:szCs w:val="20"/>
              </w:rPr>
            </w:pPr>
          </w:p>
        </w:tc>
      </w:tr>
      <w:tr w:rsidR="00087986" w14:paraId="5E6B7AEE" w14:textId="77777777" w:rsidTr="007A5127">
        <w:tc>
          <w:tcPr>
            <w:tcW w:w="2868" w:type="dxa"/>
            <w:shd w:val="clear" w:color="auto" w:fill="000080"/>
          </w:tcPr>
          <w:p w14:paraId="72AAC0C4" w14:textId="77777777" w:rsidR="00087986" w:rsidRDefault="00087986" w:rsidP="00087986">
            <w:pPr>
              <w:jc w:val="both"/>
              <w:rPr>
                <w:rFonts w:ascii="Arial" w:hAnsi="Arial" w:cs="Arial"/>
                <w:b/>
                <w:bCs/>
                <w:color w:val="FFFFFF"/>
                <w:sz w:val="20"/>
              </w:rPr>
            </w:pPr>
            <w:r>
              <w:rPr>
                <w:rFonts w:ascii="Arial" w:hAnsi="Arial" w:cs="Arial"/>
                <w:b/>
                <w:bCs/>
                <w:color w:val="FFFFFF"/>
                <w:sz w:val="20"/>
              </w:rPr>
              <w:t>Expenditures</w:t>
            </w:r>
          </w:p>
        </w:tc>
        <w:tc>
          <w:tcPr>
            <w:tcW w:w="1803" w:type="dxa"/>
            <w:shd w:val="clear" w:color="auto" w:fill="000080"/>
          </w:tcPr>
          <w:p w14:paraId="2253668E" w14:textId="6BA0E3AE" w:rsidR="00087986" w:rsidRDefault="00087986" w:rsidP="00087986">
            <w:pPr>
              <w:jc w:val="right"/>
              <w:rPr>
                <w:rFonts w:ascii="Arial" w:hAnsi="Arial" w:cs="Arial"/>
                <w:b/>
                <w:bCs/>
                <w:color w:val="FFFFFF"/>
                <w:sz w:val="20"/>
              </w:rPr>
            </w:pPr>
            <w:r>
              <w:rPr>
                <w:rFonts w:ascii="Arial" w:hAnsi="Arial" w:cs="Arial"/>
                <w:b/>
                <w:bCs/>
                <w:color w:val="FFFFFF"/>
                <w:sz w:val="20"/>
              </w:rPr>
              <w:t>FY 2019</w:t>
            </w:r>
          </w:p>
        </w:tc>
        <w:tc>
          <w:tcPr>
            <w:tcW w:w="1803" w:type="dxa"/>
            <w:shd w:val="clear" w:color="auto" w:fill="000080"/>
          </w:tcPr>
          <w:p w14:paraId="74920B15" w14:textId="12665F2E" w:rsidR="00087986" w:rsidRDefault="00087986" w:rsidP="00087986">
            <w:pPr>
              <w:jc w:val="right"/>
              <w:rPr>
                <w:rFonts w:ascii="Arial" w:hAnsi="Arial" w:cs="Arial"/>
                <w:b/>
                <w:bCs/>
                <w:color w:val="FFFFFF"/>
                <w:sz w:val="20"/>
              </w:rPr>
            </w:pPr>
            <w:r>
              <w:rPr>
                <w:rFonts w:ascii="Arial" w:hAnsi="Arial" w:cs="Arial"/>
                <w:b/>
                <w:bCs/>
                <w:color w:val="FFFFFF"/>
                <w:sz w:val="20"/>
              </w:rPr>
              <w:t>FY 2020</w:t>
            </w:r>
          </w:p>
        </w:tc>
        <w:tc>
          <w:tcPr>
            <w:tcW w:w="1803" w:type="dxa"/>
            <w:shd w:val="clear" w:color="auto" w:fill="000080"/>
          </w:tcPr>
          <w:p w14:paraId="21C018FF" w14:textId="1FFCEFED" w:rsidR="00087986" w:rsidRDefault="00087986" w:rsidP="00087986">
            <w:pPr>
              <w:jc w:val="right"/>
              <w:rPr>
                <w:rFonts w:ascii="Arial" w:hAnsi="Arial" w:cs="Arial"/>
                <w:b/>
                <w:bCs/>
                <w:color w:val="FFFFFF"/>
                <w:sz w:val="20"/>
              </w:rPr>
            </w:pPr>
            <w:r>
              <w:rPr>
                <w:rFonts w:ascii="Arial" w:hAnsi="Arial" w:cs="Arial"/>
                <w:b/>
                <w:bCs/>
                <w:color w:val="FFFFFF"/>
                <w:sz w:val="20"/>
              </w:rPr>
              <w:t>FY 2021</w:t>
            </w:r>
          </w:p>
        </w:tc>
        <w:tc>
          <w:tcPr>
            <w:tcW w:w="1803" w:type="dxa"/>
            <w:shd w:val="clear" w:color="auto" w:fill="000080"/>
          </w:tcPr>
          <w:p w14:paraId="1BB226E7" w14:textId="2DEE70F3" w:rsidR="00087986" w:rsidRDefault="00087986" w:rsidP="00087986">
            <w:pPr>
              <w:jc w:val="right"/>
              <w:rPr>
                <w:rFonts w:ascii="Arial" w:hAnsi="Arial" w:cs="Arial"/>
                <w:b/>
                <w:bCs/>
                <w:color w:val="FFFFFF"/>
                <w:sz w:val="20"/>
              </w:rPr>
            </w:pPr>
            <w:r>
              <w:rPr>
                <w:rFonts w:ascii="Arial" w:hAnsi="Arial" w:cs="Arial"/>
                <w:b/>
                <w:bCs/>
                <w:color w:val="FFFFFF"/>
                <w:sz w:val="20"/>
              </w:rPr>
              <w:t>FY 2022</w:t>
            </w:r>
          </w:p>
        </w:tc>
      </w:tr>
      <w:tr w:rsidR="00087986" w14:paraId="506576CB" w14:textId="77777777" w:rsidTr="007A5127">
        <w:tc>
          <w:tcPr>
            <w:tcW w:w="2868" w:type="dxa"/>
          </w:tcPr>
          <w:p w14:paraId="5C57F11F" w14:textId="77777777" w:rsidR="00087986" w:rsidRDefault="00087986" w:rsidP="00087986">
            <w:pPr>
              <w:jc w:val="both"/>
              <w:rPr>
                <w:rFonts w:ascii="Arial" w:hAnsi="Arial" w:cs="Arial"/>
                <w:sz w:val="20"/>
              </w:rPr>
            </w:pPr>
            <w:r>
              <w:rPr>
                <w:rFonts w:ascii="Arial" w:hAnsi="Arial" w:cs="Arial"/>
                <w:sz w:val="20"/>
              </w:rPr>
              <w:t>Personnel Costs</w:t>
            </w:r>
          </w:p>
        </w:tc>
        <w:tc>
          <w:tcPr>
            <w:tcW w:w="1803" w:type="dxa"/>
          </w:tcPr>
          <w:p w14:paraId="455B3E42" w14:textId="39AF1299" w:rsidR="00087986" w:rsidRDefault="00087986" w:rsidP="00087986">
            <w:pPr>
              <w:jc w:val="right"/>
              <w:rPr>
                <w:rFonts w:ascii="Arial" w:hAnsi="Arial" w:cs="Arial"/>
                <w:sz w:val="20"/>
                <w:szCs w:val="20"/>
              </w:rPr>
            </w:pPr>
            <w:r>
              <w:rPr>
                <w:rFonts w:ascii="Arial" w:hAnsi="Arial" w:cs="Arial"/>
                <w:sz w:val="20"/>
                <w:szCs w:val="20"/>
              </w:rPr>
              <w:t>$801,529</w:t>
            </w:r>
          </w:p>
        </w:tc>
        <w:tc>
          <w:tcPr>
            <w:tcW w:w="1803" w:type="dxa"/>
          </w:tcPr>
          <w:p w14:paraId="5870459D" w14:textId="0C694343" w:rsidR="00087986" w:rsidRDefault="00087986" w:rsidP="00087986">
            <w:pPr>
              <w:jc w:val="right"/>
              <w:rPr>
                <w:rFonts w:ascii="Arial" w:hAnsi="Arial" w:cs="Arial"/>
                <w:sz w:val="20"/>
                <w:szCs w:val="20"/>
              </w:rPr>
            </w:pPr>
            <w:r>
              <w:rPr>
                <w:rFonts w:ascii="Arial" w:hAnsi="Arial" w:cs="Arial"/>
                <w:sz w:val="20"/>
                <w:szCs w:val="20"/>
              </w:rPr>
              <w:t>$822,845</w:t>
            </w:r>
          </w:p>
        </w:tc>
        <w:tc>
          <w:tcPr>
            <w:tcW w:w="1803" w:type="dxa"/>
          </w:tcPr>
          <w:p w14:paraId="662B777E" w14:textId="3D462659" w:rsidR="00087986" w:rsidRDefault="00087986" w:rsidP="00087986">
            <w:pPr>
              <w:jc w:val="right"/>
              <w:rPr>
                <w:rFonts w:ascii="Arial" w:hAnsi="Arial" w:cs="Arial"/>
                <w:sz w:val="20"/>
                <w:szCs w:val="20"/>
              </w:rPr>
            </w:pPr>
            <w:r>
              <w:rPr>
                <w:rFonts w:ascii="Arial" w:hAnsi="Arial" w:cs="Arial"/>
                <w:sz w:val="20"/>
                <w:szCs w:val="20"/>
              </w:rPr>
              <w:t>$777,612</w:t>
            </w:r>
          </w:p>
        </w:tc>
        <w:tc>
          <w:tcPr>
            <w:tcW w:w="1803" w:type="dxa"/>
          </w:tcPr>
          <w:p w14:paraId="34CA2B59" w14:textId="40F7B243" w:rsidR="00087986" w:rsidRDefault="00087986" w:rsidP="00087986">
            <w:pPr>
              <w:jc w:val="right"/>
              <w:rPr>
                <w:rFonts w:ascii="Arial" w:hAnsi="Arial" w:cs="Arial"/>
                <w:sz w:val="20"/>
                <w:szCs w:val="20"/>
              </w:rPr>
            </w:pPr>
          </w:p>
        </w:tc>
      </w:tr>
      <w:tr w:rsidR="00087986" w14:paraId="5B5954F3" w14:textId="77777777" w:rsidTr="007A5127">
        <w:tc>
          <w:tcPr>
            <w:tcW w:w="2868" w:type="dxa"/>
          </w:tcPr>
          <w:p w14:paraId="5F8B3D0F" w14:textId="77777777" w:rsidR="00087986" w:rsidRDefault="00087986" w:rsidP="00087986">
            <w:pPr>
              <w:jc w:val="both"/>
              <w:rPr>
                <w:rFonts w:ascii="Arial" w:hAnsi="Arial" w:cs="Arial"/>
                <w:sz w:val="20"/>
              </w:rPr>
            </w:pPr>
            <w:r>
              <w:rPr>
                <w:rFonts w:ascii="Arial" w:hAnsi="Arial" w:cs="Arial"/>
                <w:sz w:val="20"/>
              </w:rPr>
              <w:t>Operating Expenditures*</w:t>
            </w:r>
          </w:p>
        </w:tc>
        <w:tc>
          <w:tcPr>
            <w:tcW w:w="1803" w:type="dxa"/>
          </w:tcPr>
          <w:p w14:paraId="45C45B8C" w14:textId="473A0956" w:rsidR="00087986" w:rsidRDefault="00087986" w:rsidP="00087986">
            <w:pPr>
              <w:jc w:val="right"/>
              <w:rPr>
                <w:rFonts w:ascii="Arial" w:hAnsi="Arial" w:cs="Arial"/>
                <w:sz w:val="20"/>
                <w:szCs w:val="20"/>
              </w:rPr>
            </w:pPr>
            <w:r>
              <w:rPr>
                <w:rFonts w:ascii="Arial" w:hAnsi="Arial" w:cs="Arial"/>
                <w:sz w:val="20"/>
                <w:szCs w:val="20"/>
              </w:rPr>
              <w:t>$71,426</w:t>
            </w:r>
          </w:p>
        </w:tc>
        <w:tc>
          <w:tcPr>
            <w:tcW w:w="1803" w:type="dxa"/>
          </w:tcPr>
          <w:p w14:paraId="18F8F42F" w14:textId="1884FC64" w:rsidR="00087986" w:rsidRDefault="00087986" w:rsidP="00087986">
            <w:pPr>
              <w:jc w:val="right"/>
              <w:rPr>
                <w:rFonts w:ascii="Arial" w:hAnsi="Arial" w:cs="Arial"/>
                <w:sz w:val="20"/>
                <w:szCs w:val="20"/>
              </w:rPr>
            </w:pPr>
            <w:r>
              <w:rPr>
                <w:rFonts w:ascii="Arial" w:hAnsi="Arial" w:cs="Arial"/>
                <w:sz w:val="20"/>
                <w:szCs w:val="20"/>
              </w:rPr>
              <w:t>$87,326</w:t>
            </w:r>
          </w:p>
        </w:tc>
        <w:tc>
          <w:tcPr>
            <w:tcW w:w="1803" w:type="dxa"/>
          </w:tcPr>
          <w:p w14:paraId="21BC7F40" w14:textId="40D33B21" w:rsidR="00087986" w:rsidRDefault="00087986" w:rsidP="00087986">
            <w:pPr>
              <w:jc w:val="right"/>
              <w:rPr>
                <w:rFonts w:ascii="Arial" w:hAnsi="Arial" w:cs="Arial"/>
                <w:sz w:val="20"/>
                <w:szCs w:val="20"/>
              </w:rPr>
            </w:pPr>
            <w:r>
              <w:rPr>
                <w:rFonts w:ascii="Arial" w:hAnsi="Arial" w:cs="Arial"/>
                <w:sz w:val="20"/>
                <w:szCs w:val="20"/>
              </w:rPr>
              <w:t>$76,228</w:t>
            </w:r>
          </w:p>
        </w:tc>
        <w:tc>
          <w:tcPr>
            <w:tcW w:w="1803" w:type="dxa"/>
          </w:tcPr>
          <w:p w14:paraId="7BB25731" w14:textId="098B6D18" w:rsidR="00087986" w:rsidRDefault="00087986" w:rsidP="00087986">
            <w:pPr>
              <w:jc w:val="right"/>
              <w:rPr>
                <w:rFonts w:ascii="Arial" w:hAnsi="Arial" w:cs="Arial"/>
                <w:sz w:val="20"/>
                <w:szCs w:val="20"/>
              </w:rPr>
            </w:pPr>
          </w:p>
        </w:tc>
      </w:tr>
      <w:tr w:rsidR="00087986" w14:paraId="60EF9FB3" w14:textId="77777777" w:rsidTr="007A5127">
        <w:tc>
          <w:tcPr>
            <w:tcW w:w="2868" w:type="dxa"/>
          </w:tcPr>
          <w:p w14:paraId="0D1CE69E" w14:textId="77777777" w:rsidR="00087986" w:rsidRDefault="00087986" w:rsidP="00087986">
            <w:pPr>
              <w:jc w:val="both"/>
              <w:rPr>
                <w:rFonts w:ascii="Arial" w:hAnsi="Arial" w:cs="Arial"/>
                <w:sz w:val="20"/>
              </w:rPr>
            </w:pPr>
            <w:r>
              <w:rPr>
                <w:rFonts w:ascii="Arial" w:hAnsi="Arial" w:cs="Arial"/>
                <w:sz w:val="20"/>
              </w:rPr>
              <w:t>Capital Outlay</w:t>
            </w:r>
          </w:p>
        </w:tc>
        <w:tc>
          <w:tcPr>
            <w:tcW w:w="1803" w:type="dxa"/>
          </w:tcPr>
          <w:p w14:paraId="2B0B72B5" w14:textId="029040AD" w:rsidR="00087986" w:rsidRDefault="00087986" w:rsidP="00087986">
            <w:pPr>
              <w:jc w:val="right"/>
              <w:rPr>
                <w:rFonts w:ascii="Arial" w:hAnsi="Arial" w:cs="Arial"/>
                <w:sz w:val="20"/>
                <w:szCs w:val="20"/>
              </w:rPr>
            </w:pPr>
            <w:r>
              <w:rPr>
                <w:rFonts w:ascii="Arial" w:hAnsi="Arial" w:cs="Arial"/>
                <w:sz w:val="20"/>
                <w:szCs w:val="20"/>
              </w:rPr>
              <w:t>$4,315</w:t>
            </w:r>
          </w:p>
        </w:tc>
        <w:tc>
          <w:tcPr>
            <w:tcW w:w="1803" w:type="dxa"/>
          </w:tcPr>
          <w:p w14:paraId="713C4E03" w14:textId="730DDE99" w:rsidR="00087986" w:rsidRDefault="00087986" w:rsidP="00087986">
            <w:pPr>
              <w:jc w:val="right"/>
              <w:rPr>
                <w:rFonts w:ascii="Arial" w:hAnsi="Arial" w:cs="Arial"/>
                <w:sz w:val="20"/>
                <w:szCs w:val="20"/>
              </w:rPr>
            </w:pPr>
            <w:r>
              <w:rPr>
                <w:rFonts w:ascii="Arial" w:hAnsi="Arial" w:cs="Arial"/>
                <w:sz w:val="20"/>
                <w:szCs w:val="20"/>
              </w:rPr>
              <w:t>$1,879</w:t>
            </w:r>
          </w:p>
        </w:tc>
        <w:tc>
          <w:tcPr>
            <w:tcW w:w="1803" w:type="dxa"/>
          </w:tcPr>
          <w:p w14:paraId="3189B523" w14:textId="762184CC" w:rsidR="00087986" w:rsidRDefault="00087986" w:rsidP="00087986">
            <w:pPr>
              <w:jc w:val="right"/>
              <w:rPr>
                <w:rFonts w:ascii="Arial" w:hAnsi="Arial" w:cs="Arial"/>
                <w:sz w:val="20"/>
                <w:szCs w:val="20"/>
              </w:rPr>
            </w:pPr>
            <w:r>
              <w:rPr>
                <w:rFonts w:ascii="Arial" w:hAnsi="Arial" w:cs="Arial"/>
                <w:sz w:val="20"/>
                <w:szCs w:val="20"/>
              </w:rPr>
              <w:t>$7,175</w:t>
            </w:r>
          </w:p>
        </w:tc>
        <w:tc>
          <w:tcPr>
            <w:tcW w:w="1803" w:type="dxa"/>
          </w:tcPr>
          <w:p w14:paraId="28C7E3F0" w14:textId="11E6EE91" w:rsidR="00087986" w:rsidRDefault="00087986" w:rsidP="00087986">
            <w:pPr>
              <w:jc w:val="right"/>
              <w:rPr>
                <w:rFonts w:ascii="Arial" w:hAnsi="Arial" w:cs="Arial"/>
                <w:sz w:val="20"/>
                <w:szCs w:val="20"/>
              </w:rPr>
            </w:pPr>
          </w:p>
        </w:tc>
      </w:tr>
      <w:tr w:rsidR="00087986" w14:paraId="7B8C9A1C" w14:textId="77777777" w:rsidTr="007A5127">
        <w:tc>
          <w:tcPr>
            <w:tcW w:w="2868" w:type="dxa"/>
          </w:tcPr>
          <w:p w14:paraId="63CE720A" w14:textId="77777777" w:rsidR="00087986" w:rsidRDefault="00087986" w:rsidP="00087986">
            <w:pPr>
              <w:jc w:val="both"/>
              <w:rPr>
                <w:rFonts w:ascii="Arial" w:hAnsi="Arial" w:cs="Arial"/>
                <w:sz w:val="20"/>
              </w:rPr>
            </w:pPr>
            <w:r>
              <w:rPr>
                <w:rFonts w:ascii="Arial" w:hAnsi="Arial" w:cs="Arial"/>
                <w:sz w:val="20"/>
              </w:rPr>
              <w:t>Trustee/Benefit Payments</w:t>
            </w:r>
          </w:p>
        </w:tc>
        <w:tc>
          <w:tcPr>
            <w:tcW w:w="1803" w:type="dxa"/>
          </w:tcPr>
          <w:p w14:paraId="3A97B32C" w14:textId="7EF0888E" w:rsidR="00087986" w:rsidRDefault="00087986" w:rsidP="00087986">
            <w:pPr>
              <w:jc w:val="right"/>
              <w:rPr>
                <w:rFonts w:ascii="Arial" w:hAnsi="Arial" w:cs="Arial"/>
                <w:sz w:val="20"/>
                <w:szCs w:val="20"/>
                <w:u w:val="single"/>
              </w:rPr>
            </w:pPr>
            <w:r>
              <w:rPr>
                <w:rFonts w:ascii="Arial" w:hAnsi="Arial" w:cs="Arial"/>
                <w:sz w:val="20"/>
                <w:szCs w:val="20"/>
                <w:u w:val="single"/>
              </w:rPr>
              <w:t xml:space="preserve">             0</w:t>
            </w:r>
          </w:p>
        </w:tc>
        <w:tc>
          <w:tcPr>
            <w:tcW w:w="1803" w:type="dxa"/>
          </w:tcPr>
          <w:p w14:paraId="68C17B85" w14:textId="6CB3B8ED" w:rsidR="00087986" w:rsidRDefault="00087986" w:rsidP="00087986">
            <w:pPr>
              <w:jc w:val="right"/>
              <w:rPr>
                <w:rFonts w:ascii="Arial" w:hAnsi="Arial" w:cs="Arial"/>
                <w:sz w:val="20"/>
                <w:szCs w:val="20"/>
                <w:u w:val="single"/>
              </w:rPr>
            </w:pPr>
            <w:r>
              <w:rPr>
                <w:rFonts w:ascii="Arial" w:hAnsi="Arial" w:cs="Arial"/>
                <w:sz w:val="20"/>
                <w:szCs w:val="20"/>
                <w:u w:val="single"/>
              </w:rPr>
              <w:t xml:space="preserve">             0</w:t>
            </w:r>
          </w:p>
        </w:tc>
        <w:tc>
          <w:tcPr>
            <w:tcW w:w="1803" w:type="dxa"/>
          </w:tcPr>
          <w:p w14:paraId="61AC83AB" w14:textId="45CA5A5A" w:rsidR="00087986" w:rsidRDefault="00087986" w:rsidP="00087986">
            <w:pPr>
              <w:jc w:val="right"/>
              <w:rPr>
                <w:rFonts w:ascii="Arial" w:hAnsi="Arial" w:cs="Arial"/>
                <w:sz w:val="20"/>
                <w:szCs w:val="20"/>
                <w:u w:val="single"/>
              </w:rPr>
            </w:pPr>
            <w:r>
              <w:rPr>
                <w:rFonts w:ascii="Arial" w:hAnsi="Arial" w:cs="Arial"/>
                <w:sz w:val="20"/>
                <w:szCs w:val="20"/>
                <w:u w:val="single"/>
              </w:rPr>
              <w:t xml:space="preserve">            0   </w:t>
            </w:r>
          </w:p>
        </w:tc>
        <w:tc>
          <w:tcPr>
            <w:tcW w:w="1803" w:type="dxa"/>
          </w:tcPr>
          <w:p w14:paraId="01F9C593" w14:textId="70A25E8E" w:rsidR="00087986" w:rsidRDefault="00087986" w:rsidP="00087986">
            <w:pPr>
              <w:jc w:val="right"/>
              <w:rPr>
                <w:rFonts w:ascii="Arial" w:hAnsi="Arial" w:cs="Arial"/>
                <w:sz w:val="20"/>
                <w:szCs w:val="20"/>
                <w:u w:val="single"/>
              </w:rPr>
            </w:pPr>
          </w:p>
        </w:tc>
      </w:tr>
      <w:tr w:rsidR="00087986" w14:paraId="2383458D" w14:textId="77777777" w:rsidTr="007A5127">
        <w:tc>
          <w:tcPr>
            <w:tcW w:w="2868" w:type="dxa"/>
          </w:tcPr>
          <w:p w14:paraId="5C0115D6" w14:textId="77777777" w:rsidR="00087986" w:rsidRDefault="00087986" w:rsidP="00087986">
            <w:pPr>
              <w:ind w:left="240"/>
              <w:jc w:val="right"/>
              <w:rPr>
                <w:rFonts w:ascii="Arial" w:hAnsi="Arial" w:cs="Arial"/>
                <w:b/>
                <w:bCs/>
                <w:sz w:val="20"/>
              </w:rPr>
            </w:pPr>
            <w:r>
              <w:rPr>
                <w:rFonts w:ascii="Arial" w:hAnsi="Arial" w:cs="Arial"/>
                <w:b/>
                <w:bCs/>
                <w:sz w:val="20"/>
              </w:rPr>
              <w:t>Total</w:t>
            </w:r>
          </w:p>
        </w:tc>
        <w:tc>
          <w:tcPr>
            <w:tcW w:w="1803" w:type="dxa"/>
          </w:tcPr>
          <w:p w14:paraId="78FDB705" w14:textId="7EF90B14" w:rsidR="00087986" w:rsidRPr="00BA7A14" w:rsidRDefault="00087986" w:rsidP="00087986">
            <w:pPr>
              <w:jc w:val="right"/>
              <w:rPr>
                <w:rFonts w:ascii="Arial" w:hAnsi="Arial" w:cs="Arial"/>
                <w:b/>
                <w:sz w:val="20"/>
                <w:szCs w:val="20"/>
              </w:rPr>
            </w:pPr>
            <w:r>
              <w:rPr>
                <w:rFonts w:ascii="Arial" w:hAnsi="Arial" w:cs="Arial"/>
                <w:b/>
                <w:sz w:val="20"/>
                <w:szCs w:val="20"/>
              </w:rPr>
              <w:t>$877,270</w:t>
            </w:r>
          </w:p>
        </w:tc>
        <w:tc>
          <w:tcPr>
            <w:tcW w:w="1803" w:type="dxa"/>
          </w:tcPr>
          <w:p w14:paraId="3863213F" w14:textId="332AFD0C" w:rsidR="00087986" w:rsidRPr="00BA7A14" w:rsidRDefault="00087986" w:rsidP="00087986">
            <w:pPr>
              <w:jc w:val="right"/>
              <w:rPr>
                <w:rFonts w:ascii="Arial" w:hAnsi="Arial" w:cs="Arial"/>
                <w:b/>
                <w:sz w:val="20"/>
                <w:szCs w:val="20"/>
              </w:rPr>
            </w:pPr>
            <w:r>
              <w:rPr>
                <w:rFonts w:ascii="Arial" w:hAnsi="Arial" w:cs="Arial"/>
                <w:b/>
                <w:sz w:val="20"/>
                <w:szCs w:val="20"/>
              </w:rPr>
              <w:t>$912,050</w:t>
            </w:r>
          </w:p>
        </w:tc>
        <w:tc>
          <w:tcPr>
            <w:tcW w:w="1803" w:type="dxa"/>
          </w:tcPr>
          <w:p w14:paraId="4DFF2D0D" w14:textId="133A75BA" w:rsidR="00087986" w:rsidRPr="00BA7A14" w:rsidRDefault="00087986" w:rsidP="00087986">
            <w:pPr>
              <w:jc w:val="right"/>
              <w:rPr>
                <w:rFonts w:ascii="Arial" w:hAnsi="Arial" w:cs="Arial"/>
                <w:b/>
                <w:sz w:val="20"/>
                <w:szCs w:val="20"/>
              </w:rPr>
            </w:pPr>
            <w:r>
              <w:rPr>
                <w:rFonts w:ascii="Arial" w:hAnsi="Arial" w:cs="Arial"/>
                <w:b/>
                <w:sz w:val="20"/>
                <w:szCs w:val="20"/>
              </w:rPr>
              <w:t>$861,015</w:t>
            </w:r>
          </w:p>
        </w:tc>
        <w:tc>
          <w:tcPr>
            <w:tcW w:w="1803" w:type="dxa"/>
          </w:tcPr>
          <w:p w14:paraId="30AFA1B6" w14:textId="3FF139BE" w:rsidR="00087986" w:rsidRPr="00BA7A14" w:rsidRDefault="00087986" w:rsidP="00087986">
            <w:pPr>
              <w:jc w:val="right"/>
              <w:rPr>
                <w:rFonts w:ascii="Arial" w:hAnsi="Arial" w:cs="Arial"/>
                <w:b/>
                <w:sz w:val="20"/>
                <w:szCs w:val="20"/>
              </w:rPr>
            </w:pPr>
          </w:p>
        </w:tc>
      </w:tr>
    </w:tbl>
    <w:p w14:paraId="7E0FFA60" w14:textId="77777777" w:rsidR="00C27186" w:rsidRPr="009A19F1" w:rsidRDefault="009A19F1" w:rsidP="009A19F1">
      <w:pPr>
        <w:rPr>
          <w:rFonts w:ascii="Arial" w:hAnsi="Arial" w:cs="Arial"/>
          <w:sz w:val="20"/>
        </w:rPr>
      </w:pPr>
      <w:r w:rsidRPr="009A19F1">
        <w:rPr>
          <w:rFonts w:ascii="Arial" w:hAnsi="Arial" w:cs="Arial"/>
          <w:sz w:val="20"/>
        </w:rPr>
        <w:t>*</w:t>
      </w:r>
      <w:r>
        <w:rPr>
          <w:rFonts w:ascii="Arial" w:hAnsi="Arial" w:cs="Arial"/>
          <w:sz w:val="20"/>
        </w:rPr>
        <w:t xml:space="preserve"> Some operating expenditures were appropriated in prior fiscal year. </w:t>
      </w:r>
    </w:p>
    <w:p w14:paraId="46053201" w14:textId="77777777" w:rsidR="009A19F1" w:rsidRPr="00C16A16" w:rsidRDefault="009A19F1" w:rsidP="00A627B1">
      <w:pPr>
        <w:rPr>
          <w:rFonts w:ascii="Arial" w:hAnsi="Arial" w:cs="Arial"/>
        </w:rPr>
      </w:pPr>
    </w:p>
    <w:p w14:paraId="505C3764" w14:textId="77777777" w:rsidR="008B4851" w:rsidRDefault="008B4851" w:rsidP="00A627B1">
      <w:pPr>
        <w:jc w:val="both"/>
        <w:rPr>
          <w:rFonts w:ascii="Arial" w:hAnsi="Arial" w:cs="Arial"/>
          <w:b/>
          <w:bCs/>
        </w:rPr>
      </w:pPr>
      <w:r>
        <w:rPr>
          <w:rFonts w:ascii="Arial" w:hAnsi="Arial" w:cs="Arial"/>
          <w:b/>
          <w:bCs/>
        </w:rPr>
        <w:t>Profile of Cases Managed and/or Key Services Provided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260"/>
        <w:gridCol w:w="1260"/>
        <w:gridCol w:w="1260"/>
        <w:gridCol w:w="1170"/>
      </w:tblGrid>
      <w:tr w:rsidR="00353276" w14:paraId="65B1D2B5" w14:textId="77777777" w:rsidTr="007A5127">
        <w:tc>
          <w:tcPr>
            <w:tcW w:w="5130" w:type="dxa"/>
            <w:shd w:val="clear" w:color="auto" w:fill="000080"/>
            <w:vAlign w:val="bottom"/>
          </w:tcPr>
          <w:p w14:paraId="7CC5C7CC" w14:textId="77777777" w:rsidR="00353276" w:rsidRDefault="00353276" w:rsidP="00353276">
            <w:pPr>
              <w:jc w:val="center"/>
              <w:rPr>
                <w:rFonts w:ascii="Arial" w:hAnsi="Arial" w:cs="Arial"/>
                <w:b/>
                <w:bCs/>
                <w:color w:val="FFFFFF"/>
                <w:sz w:val="20"/>
              </w:rPr>
            </w:pPr>
            <w:r>
              <w:rPr>
                <w:rFonts w:ascii="Arial" w:hAnsi="Arial" w:cs="Arial"/>
                <w:b/>
                <w:bCs/>
                <w:color w:val="FFFFFF"/>
                <w:sz w:val="20"/>
              </w:rPr>
              <w:t xml:space="preserve">Cases Managed and/or </w:t>
            </w:r>
            <w:r>
              <w:rPr>
                <w:rFonts w:ascii="Arial" w:hAnsi="Arial" w:cs="Arial"/>
                <w:b/>
                <w:bCs/>
                <w:color w:val="FFFFFF"/>
                <w:sz w:val="20"/>
              </w:rPr>
              <w:br/>
              <w:t>Key Services Provided</w:t>
            </w:r>
          </w:p>
        </w:tc>
        <w:tc>
          <w:tcPr>
            <w:tcW w:w="1260" w:type="dxa"/>
            <w:shd w:val="clear" w:color="auto" w:fill="000080"/>
            <w:vAlign w:val="bottom"/>
          </w:tcPr>
          <w:p w14:paraId="589CA879" w14:textId="63C0D00C" w:rsidR="00353276" w:rsidRDefault="00087986" w:rsidP="00353276">
            <w:pPr>
              <w:jc w:val="center"/>
              <w:rPr>
                <w:rFonts w:ascii="Arial" w:hAnsi="Arial" w:cs="Arial"/>
                <w:b/>
                <w:bCs/>
                <w:color w:val="FFFFFF"/>
                <w:sz w:val="20"/>
              </w:rPr>
            </w:pPr>
            <w:r>
              <w:rPr>
                <w:rFonts w:ascii="Arial" w:hAnsi="Arial" w:cs="Arial"/>
                <w:b/>
                <w:bCs/>
                <w:color w:val="FFFFFF"/>
                <w:sz w:val="20"/>
              </w:rPr>
              <w:t>FY 2019</w:t>
            </w:r>
          </w:p>
        </w:tc>
        <w:tc>
          <w:tcPr>
            <w:tcW w:w="1260" w:type="dxa"/>
            <w:shd w:val="clear" w:color="auto" w:fill="000080"/>
            <w:vAlign w:val="bottom"/>
          </w:tcPr>
          <w:p w14:paraId="0CF7FEEE" w14:textId="12ECCD49" w:rsidR="00353276" w:rsidRDefault="00087986" w:rsidP="00353276">
            <w:pPr>
              <w:jc w:val="center"/>
              <w:rPr>
                <w:rFonts w:ascii="Arial" w:hAnsi="Arial" w:cs="Arial"/>
                <w:b/>
                <w:bCs/>
                <w:color w:val="FFFFFF"/>
                <w:sz w:val="20"/>
              </w:rPr>
            </w:pPr>
            <w:r>
              <w:rPr>
                <w:rFonts w:ascii="Arial" w:hAnsi="Arial" w:cs="Arial"/>
                <w:b/>
                <w:bCs/>
                <w:color w:val="FFFFFF"/>
                <w:sz w:val="20"/>
              </w:rPr>
              <w:t>FY 2020</w:t>
            </w:r>
          </w:p>
        </w:tc>
        <w:tc>
          <w:tcPr>
            <w:tcW w:w="1260" w:type="dxa"/>
            <w:shd w:val="clear" w:color="auto" w:fill="000080"/>
            <w:vAlign w:val="bottom"/>
          </w:tcPr>
          <w:p w14:paraId="20FBA331" w14:textId="2D22B462" w:rsidR="00353276" w:rsidRDefault="00087986" w:rsidP="00353276">
            <w:pPr>
              <w:jc w:val="center"/>
              <w:rPr>
                <w:rFonts w:ascii="Arial" w:hAnsi="Arial" w:cs="Arial"/>
                <w:b/>
                <w:bCs/>
                <w:color w:val="FFFFFF"/>
                <w:sz w:val="20"/>
              </w:rPr>
            </w:pPr>
            <w:r>
              <w:rPr>
                <w:rFonts w:ascii="Arial" w:hAnsi="Arial" w:cs="Arial"/>
                <w:b/>
                <w:bCs/>
                <w:color w:val="FFFFFF"/>
                <w:sz w:val="20"/>
              </w:rPr>
              <w:t>FY 2021</w:t>
            </w:r>
          </w:p>
        </w:tc>
        <w:tc>
          <w:tcPr>
            <w:tcW w:w="1170" w:type="dxa"/>
            <w:shd w:val="clear" w:color="auto" w:fill="000080"/>
            <w:vAlign w:val="bottom"/>
          </w:tcPr>
          <w:p w14:paraId="4A8EE075" w14:textId="25600F4A" w:rsidR="00353276" w:rsidRDefault="00087986" w:rsidP="00353276">
            <w:pPr>
              <w:jc w:val="center"/>
              <w:rPr>
                <w:rFonts w:ascii="Arial" w:hAnsi="Arial" w:cs="Arial"/>
                <w:b/>
                <w:bCs/>
                <w:color w:val="FFFFFF"/>
                <w:sz w:val="20"/>
              </w:rPr>
            </w:pPr>
            <w:r>
              <w:rPr>
                <w:rFonts w:ascii="Arial" w:hAnsi="Arial" w:cs="Arial"/>
                <w:b/>
                <w:bCs/>
                <w:color w:val="FFFFFF"/>
                <w:sz w:val="20"/>
              </w:rPr>
              <w:t>FY 2022</w:t>
            </w:r>
          </w:p>
        </w:tc>
      </w:tr>
      <w:tr w:rsidR="00087986" w14:paraId="37176762" w14:textId="77777777" w:rsidTr="007A5127">
        <w:tc>
          <w:tcPr>
            <w:tcW w:w="5130" w:type="dxa"/>
          </w:tcPr>
          <w:p w14:paraId="71ED6981" w14:textId="77777777" w:rsidR="00087986" w:rsidRDefault="00087986" w:rsidP="00087986">
            <w:pPr>
              <w:rPr>
                <w:rFonts w:ascii="Arial" w:hAnsi="Arial" w:cs="Arial"/>
                <w:sz w:val="20"/>
              </w:rPr>
            </w:pPr>
            <w:r>
              <w:rPr>
                <w:rFonts w:ascii="Arial" w:hAnsi="Arial" w:cs="Arial"/>
                <w:sz w:val="20"/>
              </w:rPr>
              <w:t>Number of performance evaluation projects completed</w:t>
            </w:r>
          </w:p>
        </w:tc>
        <w:tc>
          <w:tcPr>
            <w:tcW w:w="1260" w:type="dxa"/>
            <w:vAlign w:val="center"/>
          </w:tcPr>
          <w:p w14:paraId="34C05168" w14:textId="2E3FBE2D" w:rsidR="00087986" w:rsidRDefault="00087986" w:rsidP="00087986">
            <w:pPr>
              <w:jc w:val="center"/>
              <w:rPr>
                <w:rFonts w:ascii="Arial" w:hAnsi="Arial" w:cs="Arial"/>
                <w:sz w:val="20"/>
              </w:rPr>
            </w:pPr>
            <w:r>
              <w:rPr>
                <w:rFonts w:ascii="Arial" w:hAnsi="Arial" w:cs="Arial"/>
                <w:sz w:val="20"/>
              </w:rPr>
              <w:t>4</w:t>
            </w:r>
          </w:p>
        </w:tc>
        <w:tc>
          <w:tcPr>
            <w:tcW w:w="1260" w:type="dxa"/>
            <w:vAlign w:val="center"/>
          </w:tcPr>
          <w:p w14:paraId="50FFCD56" w14:textId="5E6F8F93" w:rsidR="00087986" w:rsidRDefault="00087986" w:rsidP="00087986">
            <w:pPr>
              <w:jc w:val="center"/>
              <w:rPr>
                <w:rFonts w:ascii="Arial" w:hAnsi="Arial" w:cs="Arial"/>
                <w:sz w:val="20"/>
              </w:rPr>
            </w:pPr>
            <w:r>
              <w:rPr>
                <w:rFonts w:ascii="Arial" w:hAnsi="Arial" w:cs="Arial"/>
                <w:sz w:val="20"/>
              </w:rPr>
              <w:t>3</w:t>
            </w:r>
          </w:p>
        </w:tc>
        <w:tc>
          <w:tcPr>
            <w:tcW w:w="1260" w:type="dxa"/>
            <w:vAlign w:val="center"/>
          </w:tcPr>
          <w:p w14:paraId="00752BD2" w14:textId="78E3E253" w:rsidR="00087986" w:rsidRDefault="00087986" w:rsidP="00087986">
            <w:pPr>
              <w:jc w:val="center"/>
              <w:rPr>
                <w:rFonts w:ascii="Arial" w:hAnsi="Arial" w:cs="Arial"/>
                <w:sz w:val="20"/>
              </w:rPr>
            </w:pPr>
            <w:r>
              <w:rPr>
                <w:rFonts w:ascii="Arial" w:hAnsi="Arial" w:cs="Arial"/>
                <w:sz w:val="20"/>
              </w:rPr>
              <w:t>6</w:t>
            </w:r>
          </w:p>
        </w:tc>
        <w:tc>
          <w:tcPr>
            <w:tcW w:w="1170" w:type="dxa"/>
            <w:vAlign w:val="center"/>
          </w:tcPr>
          <w:p w14:paraId="3BF56E74" w14:textId="0256FB55" w:rsidR="00087986" w:rsidRDefault="00087986" w:rsidP="00087986">
            <w:pPr>
              <w:jc w:val="center"/>
              <w:rPr>
                <w:rFonts w:ascii="Arial" w:hAnsi="Arial" w:cs="Arial"/>
                <w:sz w:val="20"/>
              </w:rPr>
            </w:pPr>
          </w:p>
        </w:tc>
      </w:tr>
      <w:tr w:rsidR="00087986" w14:paraId="4A7804C0" w14:textId="77777777" w:rsidTr="007A5127">
        <w:tc>
          <w:tcPr>
            <w:tcW w:w="5130" w:type="dxa"/>
          </w:tcPr>
          <w:p w14:paraId="17E5F03F" w14:textId="77777777" w:rsidR="00087986" w:rsidRDefault="00087986" w:rsidP="00087986">
            <w:pPr>
              <w:rPr>
                <w:rFonts w:ascii="Arial" w:hAnsi="Arial" w:cs="Arial"/>
                <w:sz w:val="20"/>
              </w:rPr>
            </w:pPr>
            <w:r>
              <w:rPr>
                <w:rFonts w:ascii="Arial" w:hAnsi="Arial" w:cs="Arial"/>
                <w:sz w:val="20"/>
              </w:rPr>
              <w:t>Number of follow-up reviews for previous evaluations completed</w:t>
            </w:r>
          </w:p>
        </w:tc>
        <w:tc>
          <w:tcPr>
            <w:tcW w:w="1260" w:type="dxa"/>
            <w:vAlign w:val="center"/>
          </w:tcPr>
          <w:p w14:paraId="79C5D957" w14:textId="596E87E1" w:rsidR="00087986" w:rsidRDefault="00087986" w:rsidP="00087986">
            <w:pPr>
              <w:jc w:val="center"/>
              <w:rPr>
                <w:rFonts w:ascii="Arial" w:hAnsi="Arial" w:cs="Arial"/>
                <w:sz w:val="20"/>
              </w:rPr>
            </w:pPr>
            <w:r>
              <w:rPr>
                <w:rFonts w:ascii="Arial" w:hAnsi="Arial" w:cs="Arial"/>
                <w:sz w:val="20"/>
              </w:rPr>
              <w:t>2</w:t>
            </w:r>
          </w:p>
        </w:tc>
        <w:tc>
          <w:tcPr>
            <w:tcW w:w="1260" w:type="dxa"/>
            <w:vAlign w:val="center"/>
          </w:tcPr>
          <w:p w14:paraId="362FD1BC" w14:textId="005FBB27" w:rsidR="00087986" w:rsidRDefault="00087986" w:rsidP="00087986">
            <w:pPr>
              <w:jc w:val="center"/>
              <w:rPr>
                <w:rFonts w:ascii="Arial" w:hAnsi="Arial" w:cs="Arial"/>
                <w:sz w:val="20"/>
              </w:rPr>
            </w:pPr>
            <w:r>
              <w:rPr>
                <w:rFonts w:ascii="Arial" w:hAnsi="Arial" w:cs="Arial"/>
                <w:sz w:val="20"/>
              </w:rPr>
              <w:t>1</w:t>
            </w:r>
          </w:p>
        </w:tc>
        <w:tc>
          <w:tcPr>
            <w:tcW w:w="1260" w:type="dxa"/>
            <w:vAlign w:val="center"/>
          </w:tcPr>
          <w:p w14:paraId="638DE366" w14:textId="739B76AB" w:rsidR="00087986" w:rsidRDefault="00087986" w:rsidP="00087986">
            <w:pPr>
              <w:jc w:val="center"/>
              <w:rPr>
                <w:rFonts w:ascii="Arial" w:hAnsi="Arial" w:cs="Arial"/>
                <w:sz w:val="20"/>
              </w:rPr>
            </w:pPr>
            <w:r>
              <w:rPr>
                <w:rFonts w:ascii="Arial" w:hAnsi="Arial" w:cs="Arial"/>
                <w:sz w:val="20"/>
              </w:rPr>
              <w:t>0</w:t>
            </w:r>
          </w:p>
        </w:tc>
        <w:tc>
          <w:tcPr>
            <w:tcW w:w="1170" w:type="dxa"/>
            <w:vAlign w:val="center"/>
          </w:tcPr>
          <w:p w14:paraId="6B3E6BF6" w14:textId="0BEC93A4" w:rsidR="00087986" w:rsidRDefault="00087986" w:rsidP="00087986">
            <w:pPr>
              <w:jc w:val="center"/>
              <w:rPr>
                <w:rFonts w:ascii="Arial" w:hAnsi="Arial" w:cs="Arial"/>
                <w:sz w:val="20"/>
              </w:rPr>
            </w:pPr>
          </w:p>
        </w:tc>
      </w:tr>
    </w:tbl>
    <w:p w14:paraId="795B0A55" w14:textId="2E781D3E" w:rsidR="006A6948" w:rsidRPr="00BB7A23" w:rsidRDefault="008B4851" w:rsidP="00BB7A23">
      <w:pPr>
        <w:rPr>
          <w:rFonts w:ascii="Arial" w:hAnsi="Arial" w:cs="Arial"/>
          <w:sz w:val="20"/>
          <w:szCs w:val="20"/>
        </w:rPr>
      </w:pPr>
      <w:r w:rsidRPr="00BB7A23">
        <w:rPr>
          <w:rFonts w:ascii="Arial" w:hAnsi="Arial" w:cs="Arial"/>
          <w:sz w:val="20"/>
          <w:szCs w:val="20"/>
        </w:rPr>
        <w:t>The OPE workload depends on the number and nature of projects assigned each year by JLOC.</w:t>
      </w:r>
      <w:r w:rsidR="005237AE" w:rsidRPr="00BB7A23">
        <w:rPr>
          <w:rFonts w:ascii="Arial" w:hAnsi="Arial" w:cs="Arial"/>
          <w:sz w:val="20"/>
          <w:szCs w:val="20"/>
        </w:rPr>
        <w:t xml:space="preserve"> </w:t>
      </w:r>
      <w:r w:rsidR="008107E7" w:rsidRPr="00BB7A23">
        <w:rPr>
          <w:rFonts w:ascii="Arial" w:hAnsi="Arial" w:cs="Arial"/>
          <w:sz w:val="20"/>
          <w:szCs w:val="20"/>
        </w:rPr>
        <w:br/>
      </w:r>
      <w:r w:rsidR="005237AE" w:rsidRPr="00BB7A23">
        <w:rPr>
          <w:rFonts w:ascii="Arial" w:hAnsi="Arial" w:cs="Arial"/>
          <w:sz w:val="20"/>
          <w:szCs w:val="20"/>
        </w:rPr>
        <w:t xml:space="preserve">Completed </w:t>
      </w:r>
      <w:r w:rsidR="006A6948" w:rsidRPr="00BB7A23">
        <w:rPr>
          <w:rFonts w:ascii="Arial" w:hAnsi="Arial" w:cs="Arial"/>
          <w:sz w:val="20"/>
          <w:szCs w:val="20"/>
        </w:rPr>
        <w:t xml:space="preserve">reports may be accessed </w:t>
      </w:r>
      <w:r w:rsidR="005237AE" w:rsidRPr="00BB7A23">
        <w:rPr>
          <w:rFonts w:ascii="Arial" w:hAnsi="Arial" w:cs="Arial"/>
          <w:sz w:val="20"/>
          <w:szCs w:val="20"/>
        </w:rPr>
        <w:t>at</w:t>
      </w:r>
      <w:r w:rsidR="006A6948" w:rsidRPr="00BB7A23">
        <w:rPr>
          <w:rFonts w:ascii="Arial" w:hAnsi="Arial" w:cs="Arial"/>
          <w:sz w:val="20"/>
          <w:szCs w:val="20"/>
        </w:rPr>
        <w:t xml:space="preserve"> </w:t>
      </w:r>
      <w:hyperlink r:id="rId11" w:history="1">
        <w:r w:rsidR="001D5B83" w:rsidRPr="00BB7A23">
          <w:rPr>
            <w:rStyle w:val="Hyperlink"/>
            <w:rFonts w:ascii="Arial" w:hAnsi="Arial" w:cs="Arial"/>
            <w:sz w:val="20"/>
            <w:szCs w:val="20"/>
          </w:rPr>
          <w:t>https://legislature.idaho.gov/ope/reports/</w:t>
        </w:r>
      </w:hyperlink>
      <w:r w:rsidR="005237AE" w:rsidRPr="00BB7A23">
        <w:rPr>
          <w:rStyle w:val="Hyperlink"/>
          <w:rFonts w:ascii="Arial" w:hAnsi="Arial" w:cs="Arial"/>
          <w:sz w:val="20"/>
          <w:szCs w:val="20"/>
        </w:rPr>
        <w:t>.</w:t>
      </w:r>
    </w:p>
    <w:p w14:paraId="7DC02A54" w14:textId="37D9DD98" w:rsidR="00BB7A23" w:rsidRDefault="00BB7A23">
      <w:pPr>
        <w:rPr>
          <w:rFonts w:ascii="Arial" w:hAnsi="Arial" w:cs="Arial"/>
          <w:b/>
        </w:rPr>
      </w:pPr>
      <w:r>
        <w:rPr>
          <w:rFonts w:ascii="Arial" w:hAnsi="Arial" w:cs="Arial"/>
          <w:b/>
        </w:rPr>
        <w:br w:type="page"/>
      </w:r>
    </w:p>
    <w:p w14:paraId="16EE0897" w14:textId="56307261" w:rsidR="00B63248" w:rsidRDefault="00EC59B5" w:rsidP="00353276">
      <w:pPr>
        <w:jc w:val="both"/>
        <w:rPr>
          <w:rFonts w:ascii="Arial" w:hAnsi="Arial" w:cs="Arial"/>
          <w:b/>
          <w:i/>
          <w:color w:val="FF0000"/>
        </w:rPr>
      </w:pPr>
      <w:r>
        <w:rPr>
          <w:rFonts w:ascii="Arial" w:hAnsi="Arial" w:cs="Arial"/>
          <w:b/>
          <w:bCs/>
        </w:rPr>
        <w:lastRenderedPageBreak/>
        <w:t>FY 2021</w:t>
      </w:r>
      <w:r w:rsidR="00353276">
        <w:rPr>
          <w:rFonts w:ascii="Arial" w:hAnsi="Arial" w:cs="Arial"/>
          <w:b/>
          <w:bCs/>
        </w:rPr>
        <w:t xml:space="preserve"> Performance Highlights</w:t>
      </w:r>
    </w:p>
    <w:p w14:paraId="1F31220D" w14:textId="44BA269E" w:rsidR="00B63248" w:rsidRDefault="00B63248" w:rsidP="00BB7A23">
      <w:pPr>
        <w:jc w:val="both"/>
        <w:rPr>
          <w:rFonts w:ascii="Arial" w:hAnsi="Arial" w:cs="Arial"/>
          <w:bCs/>
          <w:iCs/>
          <w:sz w:val="20"/>
          <w:szCs w:val="20"/>
        </w:rPr>
      </w:pPr>
      <w:r>
        <w:rPr>
          <w:rFonts w:ascii="Arial" w:hAnsi="Arial" w:cs="Arial"/>
          <w:bCs/>
          <w:iCs/>
          <w:sz w:val="20"/>
          <w:szCs w:val="20"/>
        </w:rPr>
        <w:t>OPE released the following evaluation reports in fiscal year 20</w:t>
      </w:r>
      <w:r w:rsidR="00460211">
        <w:rPr>
          <w:rFonts w:ascii="Arial" w:hAnsi="Arial" w:cs="Arial"/>
          <w:bCs/>
          <w:iCs/>
          <w:sz w:val="20"/>
          <w:szCs w:val="20"/>
        </w:rPr>
        <w:t>2</w:t>
      </w:r>
      <w:r w:rsidR="002A5F1A">
        <w:rPr>
          <w:rFonts w:ascii="Arial" w:hAnsi="Arial" w:cs="Arial"/>
          <w:bCs/>
          <w:iCs/>
          <w:sz w:val="20"/>
          <w:szCs w:val="20"/>
        </w:rPr>
        <w:t>1</w:t>
      </w:r>
      <w:r>
        <w:rPr>
          <w:rFonts w:ascii="Arial" w:hAnsi="Arial" w:cs="Arial"/>
          <w:bCs/>
          <w:iCs/>
          <w:sz w:val="20"/>
          <w:szCs w:val="20"/>
        </w:rPr>
        <w:t>:</w:t>
      </w:r>
    </w:p>
    <w:p w14:paraId="2F8B0F5E" w14:textId="15973526" w:rsidR="00B63248"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Preparedness of Idahoans to Retire: Deciding the State’s Role</w:t>
      </w:r>
    </w:p>
    <w:p w14:paraId="45EEF512" w14:textId="4E0D7065" w:rsidR="00B63248"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State Response to Alzheimer’s Disease and Related Dementias</w:t>
      </w:r>
    </w:p>
    <w:p w14:paraId="6F5ACFD0" w14:textId="27AB5B56" w:rsidR="00B63248"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County Revenues</w:t>
      </w:r>
    </w:p>
    <w:p w14:paraId="02369082" w14:textId="34684F52" w:rsidR="00FC594B"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Driving Authority for Unauthorized Immigrants</w:t>
      </w:r>
    </w:p>
    <w:p w14:paraId="20B7C10D" w14:textId="37526F6C" w:rsidR="002A5F1A"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Designing a Review of Tax Preferences</w:t>
      </w:r>
    </w:p>
    <w:p w14:paraId="70895A59" w14:textId="3C3AABDD" w:rsidR="002A5F1A" w:rsidRDefault="002A5F1A" w:rsidP="00BB7A23">
      <w:pPr>
        <w:pStyle w:val="ListParagraph"/>
        <w:numPr>
          <w:ilvl w:val="0"/>
          <w:numId w:val="31"/>
        </w:numPr>
        <w:jc w:val="both"/>
        <w:rPr>
          <w:rFonts w:ascii="Arial" w:hAnsi="Arial" w:cs="Arial"/>
          <w:bCs/>
          <w:iCs/>
          <w:sz w:val="20"/>
          <w:szCs w:val="20"/>
        </w:rPr>
      </w:pPr>
      <w:r>
        <w:rPr>
          <w:rFonts w:ascii="Arial" w:hAnsi="Arial" w:cs="Arial"/>
          <w:bCs/>
          <w:iCs/>
          <w:sz w:val="20"/>
          <w:szCs w:val="20"/>
        </w:rPr>
        <w:t>Investments in Postsecondary Education</w:t>
      </w:r>
    </w:p>
    <w:p w14:paraId="053F1B1D" w14:textId="6A1FE9F6" w:rsidR="002F2669" w:rsidRDefault="002F2669" w:rsidP="00B63248">
      <w:pPr>
        <w:rPr>
          <w:rFonts w:ascii="Arial" w:hAnsi="Arial" w:cs="Arial"/>
          <w:szCs w:val="20"/>
        </w:rPr>
      </w:pPr>
    </w:p>
    <w:p w14:paraId="60FFD41E" w14:textId="77777777" w:rsidR="002F2669" w:rsidRDefault="002F2669" w:rsidP="00BB7A23">
      <w:pPr>
        <w:jc w:val="both"/>
        <w:outlineLvl w:val="0"/>
        <w:rPr>
          <w:rFonts w:ascii="Arial" w:hAnsi="Arial" w:cs="Arial"/>
          <w:b/>
          <w:i/>
          <w:color w:val="000080"/>
          <w:sz w:val="28"/>
          <w:szCs w:val="28"/>
        </w:rPr>
      </w:pPr>
      <w:r w:rsidRPr="004B2482">
        <w:rPr>
          <w:rFonts w:ascii="Arial" w:hAnsi="Arial" w:cs="Arial"/>
          <w:b/>
          <w:i/>
          <w:color w:val="000080"/>
          <w:sz w:val="28"/>
          <w:szCs w:val="28"/>
        </w:rPr>
        <w:t>Part II – Performance Measures</w:t>
      </w:r>
    </w:p>
    <w:p w14:paraId="51795FA9" w14:textId="77777777" w:rsidR="00C27186" w:rsidRDefault="00C27186" w:rsidP="00A627B1">
      <w:pPr>
        <w:rPr>
          <w:rFonts w:ascii="Arial" w:hAnsi="Arial" w:cs="Arial"/>
          <w:szCs w:val="20"/>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3295"/>
        <w:gridCol w:w="1128"/>
        <w:gridCol w:w="1129"/>
        <w:gridCol w:w="1129"/>
        <w:gridCol w:w="1129"/>
        <w:gridCol w:w="1129"/>
        <w:gridCol w:w="1141"/>
      </w:tblGrid>
      <w:tr w:rsidR="009A18C2" w14:paraId="0F6673EA" w14:textId="77777777" w:rsidTr="613764F8">
        <w:trPr>
          <w:tblHeader/>
        </w:trPr>
        <w:tc>
          <w:tcPr>
            <w:tcW w:w="4423" w:type="dxa"/>
            <w:gridSpan w:val="2"/>
            <w:shd w:val="clear" w:color="auto" w:fill="000080"/>
            <w:vAlign w:val="bottom"/>
          </w:tcPr>
          <w:p w14:paraId="3857AB4A" w14:textId="77777777" w:rsidR="009A18C2" w:rsidRDefault="009A18C2" w:rsidP="009A18C2">
            <w:pPr>
              <w:jc w:val="center"/>
              <w:rPr>
                <w:rFonts w:ascii="Arial" w:hAnsi="Arial" w:cs="Arial"/>
                <w:b/>
                <w:bCs/>
                <w:color w:val="FFFFFF"/>
                <w:sz w:val="20"/>
              </w:rPr>
            </w:pPr>
            <w:r>
              <w:rPr>
                <w:rFonts w:ascii="Arial" w:hAnsi="Arial" w:cs="Arial"/>
                <w:b/>
                <w:bCs/>
                <w:color w:val="FFFFFF"/>
                <w:sz w:val="20"/>
              </w:rPr>
              <w:t>Performance Measure</w:t>
            </w:r>
          </w:p>
        </w:tc>
        <w:tc>
          <w:tcPr>
            <w:tcW w:w="1129" w:type="dxa"/>
            <w:shd w:val="clear" w:color="auto" w:fill="000080"/>
            <w:vAlign w:val="bottom"/>
          </w:tcPr>
          <w:p w14:paraId="16530802" w14:textId="1BA0E116" w:rsidR="009A18C2" w:rsidRDefault="00087986" w:rsidP="009A18C2">
            <w:pPr>
              <w:jc w:val="center"/>
              <w:rPr>
                <w:rFonts w:ascii="Arial" w:hAnsi="Arial" w:cs="Arial"/>
                <w:b/>
                <w:bCs/>
                <w:color w:val="FFFFFF"/>
                <w:sz w:val="20"/>
              </w:rPr>
            </w:pPr>
            <w:r>
              <w:rPr>
                <w:rFonts w:ascii="Arial" w:hAnsi="Arial" w:cs="Arial"/>
                <w:b/>
                <w:bCs/>
                <w:color w:val="FFFFFF"/>
                <w:sz w:val="20"/>
              </w:rPr>
              <w:t>FY 2019</w:t>
            </w:r>
          </w:p>
        </w:tc>
        <w:tc>
          <w:tcPr>
            <w:tcW w:w="1129" w:type="dxa"/>
            <w:shd w:val="clear" w:color="auto" w:fill="000080"/>
            <w:vAlign w:val="bottom"/>
          </w:tcPr>
          <w:p w14:paraId="0A66EB34" w14:textId="44C38684" w:rsidR="009A18C2" w:rsidRDefault="00087986" w:rsidP="009A18C2">
            <w:pPr>
              <w:jc w:val="center"/>
              <w:rPr>
                <w:rFonts w:ascii="Arial" w:hAnsi="Arial" w:cs="Arial"/>
                <w:b/>
                <w:bCs/>
                <w:color w:val="FFFFFF"/>
                <w:sz w:val="20"/>
              </w:rPr>
            </w:pPr>
            <w:r>
              <w:rPr>
                <w:rFonts w:ascii="Arial" w:hAnsi="Arial" w:cs="Arial"/>
                <w:b/>
                <w:bCs/>
                <w:color w:val="FFFFFF"/>
                <w:sz w:val="20"/>
              </w:rPr>
              <w:t>FY 2020</w:t>
            </w:r>
          </w:p>
        </w:tc>
        <w:tc>
          <w:tcPr>
            <w:tcW w:w="1129" w:type="dxa"/>
            <w:shd w:val="clear" w:color="auto" w:fill="000080"/>
            <w:vAlign w:val="bottom"/>
          </w:tcPr>
          <w:p w14:paraId="2959DF64" w14:textId="36F76699" w:rsidR="009A18C2" w:rsidRDefault="00087986" w:rsidP="009A18C2">
            <w:pPr>
              <w:jc w:val="center"/>
              <w:rPr>
                <w:rFonts w:ascii="Arial" w:hAnsi="Arial" w:cs="Arial"/>
                <w:b/>
                <w:bCs/>
                <w:color w:val="FFFFFF"/>
                <w:sz w:val="20"/>
              </w:rPr>
            </w:pPr>
            <w:r>
              <w:rPr>
                <w:rFonts w:ascii="Arial" w:hAnsi="Arial" w:cs="Arial"/>
                <w:b/>
                <w:bCs/>
                <w:color w:val="FFFFFF"/>
                <w:sz w:val="20"/>
              </w:rPr>
              <w:t>FY 2021</w:t>
            </w:r>
          </w:p>
        </w:tc>
        <w:tc>
          <w:tcPr>
            <w:tcW w:w="1129" w:type="dxa"/>
            <w:shd w:val="clear" w:color="auto" w:fill="000080"/>
            <w:vAlign w:val="bottom"/>
          </w:tcPr>
          <w:p w14:paraId="77DBCD53" w14:textId="59F7A81B" w:rsidR="009A18C2" w:rsidRDefault="00087986" w:rsidP="009A18C2">
            <w:pPr>
              <w:jc w:val="center"/>
              <w:rPr>
                <w:rFonts w:ascii="Arial" w:hAnsi="Arial" w:cs="Arial"/>
                <w:b/>
                <w:bCs/>
                <w:color w:val="FFFFFF"/>
                <w:sz w:val="20"/>
              </w:rPr>
            </w:pPr>
            <w:r>
              <w:rPr>
                <w:rFonts w:ascii="Arial" w:hAnsi="Arial" w:cs="Arial"/>
                <w:b/>
                <w:bCs/>
                <w:color w:val="FFFFFF"/>
                <w:sz w:val="20"/>
              </w:rPr>
              <w:t>FY 2022</w:t>
            </w:r>
          </w:p>
        </w:tc>
        <w:tc>
          <w:tcPr>
            <w:tcW w:w="1141" w:type="dxa"/>
            <w:shd w:val="clear" w:color="auto" w:fill="000080"/>
            <w:vAlign w:val="bottom"/>
          </w:tcPr>
          <w:p w14:paraId="4660ECBA" w14:textId="04A853F8" w:rsidR="009A18C2" w:rsidRDefault="00087986" w:rsidP="009A18C2">
            <w:pPr>
              <w:jc w:val="center"/>
              <w:rPr>
                <w:rFonts w:ascii="Arial" w:hAnsi="Arial" w:cs="Arial"/>
                <w:b/>
                <w:bCs/>
                <w:color w:val="FFFFFF"/>
                <w:sz w:val="20"/>
              </w:rPr>
            </w:pPr>
            <w:r>
              <w:rPr>
                <w:rFonts w:ascii="Arial" w:hAnsi="Arial" w:cs="Arial"/>
                <w:b/>
                <w:bCs/>
                <w:color w:val="FFFFFF"/>
                <w:sz w:val="20"/>
              </w:rPr>
              <w:t>FY 2023</w:t>
            </w:r>
          </w:p>
        </w:tc>
      </w:tr>
      <w:tr w:rsidR="00B060BB" w14:paraId="1E7C4A99" w14:textId="77777777" w:rsidTr="613764F8">
        <w:trPr>
          <w:trHeight w:val="323"/>
        </w:trPr>
        <w:tc>
          <w:tcPr>
            <w:tcW w:w="10080" w:type="dxa"/>
            <w:gridSpan w:val="7"/>
            <w:shd w:val="clear" w:color="auto" w:fill="DBE5F1" w:themeFill="accent1" w:themeFillTint="33"/>
            <w:vAlign w:val="center"/>
          </w:tcPr>
          <w:p w14:paraId="68799167" w14:textId="77777777" w:rsidR="00B060BB" w:rsidRDefault="00B060BB" w:rsidP="006C34B0">
            <w:pPr>
              <w:jc w:val="center"/>
              <w:rPr>
                <w:rFonts w:ascii="Arial" w:hAnsi="Arial" w:cs="Arial"/>
                <w:b/>
              </w:rPr>
            </w:pPr>
            <w:r>
              <w:rPr>
                <w:rFonts w:ascii="Arial" w:hAnsi="Arial" w:cs="Arial"/>
                <w:b/>
                <w:sz w:val="20"/>
              </w:rPr>
              <w:t>Goal 1</w:t>
            </w:r>
          </w:p>
          <w:p w14:paraId="1ACBFB81" w14:textId="77777777" w:rsidR="00B060BB" w:rsidRPr="00841C41" w:rsidRDefault="00B060BB" w:rsidP="006C34B0">
            <w:pPr>
              <w:jc w:val="center"/>
              <w:rPr>
                <w:rFonts w:ascii="Arial" w:hAnsi="Arial" w:cs="Arial"/>
                <w:b/>
              </w:rPr>
            </w:pPr>
            <w:r>
              <w:rPr>
                <w:rFonts w:ascii="Arial" w:hAnsi="Arial" w:cs="Arial"/>
                <w:sz w:val="20"/>
              </w:rPr>
              <w:t>Provide useful recommendations to assist the Legislature in making policy and budget decisions.</w:t>
            </w:r>
          </w:p>
        </w:tc>
      </w:tr>
      <w:tr w:rsidR="00087986" w14:paraId="245CAC2F" w14:textId="77777777" w:rsidTr="613764F8">
        <w:trPr>
          <w:trHeight w:val="288"/>
        </w:trPr>
        <w:tc>
          <w:tcPr>
            <w:tcW w:w="3295" w:type="dxa"/>
            <w:vMerge w:val="restart"/>
          </w:tcPr>
          <w:p w14:paraId="2146950B" w14:textId="77777777" w:rsidR="00087986" w:rsidRPr="00646DA1" w:rsidRDefault="00087986" w:rsidP="00087986">
            <w:pPr>
              <w:pStyle w:val="ListParagraph"/>
              <w:numPr>
                <w:ilvl w:val="0"/>
                <w:numId w:val="22"/>
              </w:numPr>
              <w:ind w:left="342"/>
              <w:rPr>
                <w:rFonts w:ascii="Arial" w:hAnsi="Arial" w:cs="Arial"/>
                <w:bCs/>
                <w:sz w:val="20"/>
              </w:rPr>
            </w:pPr>
            <w:r>
              <w:rPr>
                <w:rFonts w:ascii="Arial" w:hAnsi="Arial" w:cs="Arial"/>
                <w:sz w:val="20"/>
              </w:rPr>
              <w:t>Performance is measured by the number of bills and resolutions introduced or enacted in response to OPE recommendations.</w:t>
            </w:r>
          </w:p>
        </w:tc>
        <w:tc>
          <w:tcPr>
            <w:tcW w:w="1128" w:type="dxa"/>
            <w:shd w:val="clear" w:color="auto" w:fill="D9D9D9" w:themeFill="background1" w:themeFillShade="D9"/>
            <w:vAlign w:val="center"/>
          </w:tcPr>
          <w:p w14:paraId="2BD08916" w14:textId="77777777" w:rsidR="00087986" w:rsidRPr="00E51672" w:rsidRDefault="00087986" w:rsidP="00087986">
            <w:pPr>
              <w:jc w:val="center"/>
              <w:rPr>
                <w:rFonts w:ascii="Arial" w:hAnsi="Arial" w:cs="Arial"/>
                <w:sz w:val="20"/>
              </w:rPr>
            </w:pPr>
            <w:r w:rsidRPr="00E51672">
              <w:rPr>
                <w:rFonts w:ascii="Arial" w:hAnsi="Arial" w:cs="Arial"/>
                <w:sz w:val="20"/>
              </w:rPr>
              <w:t>actual</w:t>
            </w:r>
          </w:p>
        </w:tc>
        <w:tc>
          <w:tcPr>
            <w:tcW w:w="1129" w:type="dxa"/>
            <w:shd w:val="clear" w:color="auto" w:fill="D9D9D9" w:themeFill="background1" w:themeFillShade="D9"/>
            <w:vAlign w:val="center"/>
          </w:tcPr>
          <w:p w14:paraId="7A27CC68" w14:textId="74457B63" w:rsidR="00087986" w:rsidRDefault="00087986" w:rsidP="00087986">
            <w:pPr>
              <w:jc w:val="center"/>
              <w:rPr>
                <w:rFonts w:ascii="Arial" w:hAnsi="Arial" w:cs="Arial"/>
                <w:sz w:val="20"/>
              </w:rPr>
            </w:pPr>
            <w:r>
              <w:rPr>
                <w:rFonts w:ascii="Arial" w:hAnsi="Arial" w:cs="Arial"/>
                <w:sz w:val="20"/>
              </w:rPr>
              <w:t>8</w:t>
            </w:r>
          </w:p>
        </w:tc>
        <w:tc>
          <w:tcPr>
            <w:tcW w:w="1129" w:type="dxa"/>
            <w:shd w:val="clear" w:color="auto" w:fill="D9D9D9" w:themeFill="background1" w:themeFillShade="D9"/>
            <w:vAlign w:val="center"/>
          </w:tcPr>
          <w:p w14:paraId="63D9B38E" w14:textId="289B8B76" w:rsidR="00087986" w:rsidRDefault="00087986" w:rsidP="00087986">
            <w:pPr>
              <w:jc w:val="center"/>
              <w:rPr>
                <w:rFonts w:ascii="Arial" w:hAnsi="Arial" w:cs="Arial"/>
                <w:sz w:val="20"/>
              </w:rPr>
            </w:pPr>
            <w:r>
              <w:rPr>
                <w:rFonts w:ascii="Arial" w:hAnsi="Arial" w:cs="Arial"/>
                <w:sz w:val="20"/>
              </w:rPr>
              <w:t>2</w:t>
            </w:r>
          </w:p>
        </w:tc>
        <w:tc>
          <w:tcPr>
            <w:tcW w:w="1129" w:type="dxa"/>
            <w:shd w:val="clear" w:color="auto" w:fill="D9D9D9" w:themeFill="background1" w:themeFillShade="D9"/>
            <w:vAlign w:val="center"/>
          </w:tcPr>
          <w:p w14:paraId="31CA3F81" w14:textId="72420980" w:rsidR="00087986" w:rsidRPr="00610526" w:rsidRDefault="00087986" w:rsidP="00087986">
            <w:pPr>
              <w:jc w:val="center"/>
              <w:rPr>
                <w:rFonts w:ascii="Arial" w:hAnsi="Arial" w:cs="Arial"/>
                <w:sz w:val="20"/>
                <w:highlight w:val="yellow"/>
              </w:rPr>
            </w:pPr>
            <w:r w:rsidRPr="613764F8">
              <w:rPr>
                <w:rFonts w:ascii="Arial" w:hAnsi="Arial" w:cs="Arial"/>
                <w:sz w:val="20"/>
                <w:szCs w:val="20"/>
              </w:rPr>
              <w:t>4</w:t>
            </w:r>
          </w:p>
        </w:tc>
        <w:tc>
          <w:tcPr>
            <w:tcW w:w="1129" w:type="dxa"/>
            <w:shd w:val="clear" w:color="auto" w:fill="D9D9D9" w:themeFill="background1" w:themeFillShade="D9"/>
            <w:vAlign w:val="center"/>
          </w:tcPr>
          <w:p w14:paraId="36F30770" w14:textId="0AF8922C" w:rsidR="00087986" w:rsidRDefault="00087986" w:rsidP="00087986">
            <w:pPr>
              <w:jc w:val="center"/>
              <w:rPr>
                <w:rFonts w:ascii="Arial" w:hAnsi="Arial" w:cs="Arial"/>
                <w:sz w:val="20"/>
                <w:szCs w:val="20"/>
              </w:rPr>
            </w:pPr>
          </w:p>
        </w:tc>
        <w:tc>
          <w:tcPr>
            <w:tcW w:w="1141" w:type="dxa"/>
            <w:shd w:val="clear" w:color="auto" w:fill="D9D9D9" w:themeFill="background1" w:themeFillShade="D9"/>
            <w:vAlign w:val="center"/>
          </w:tcPr>
          <w:p w14:paraId="247129C8" w14:textId="4CB21EDE" w:rsidR="00087986" w:rsidRPr="00E51672" w:rsidRDefault="00087986" w:rsidP="00087986">
            <w:pPr>
              <w:jc w:val="center"/>
              <w:rPr>
                <w:rFonts w:ascii="Arial" w:hAnsi="Arial" w:cs="Arial"/>
                <w:sz w:val="20"/>
              </w:rPr>
            </w:pPr>
          </w:p>
        </w:tc>
      </w:tr>
      <w:tr w:rsidR="00087986" w14:paraId="5488C7E6" w14:textId="77777777" w:rsidTr="613764F8">
        <w:trPr>
          <w:trHeight w:val="288"/>
        </w:trPr>
        <w:tc>
          <w:tcPr>
            <w:tcW w:w="3295" w:type="dxa"/>
            <w:vMerge/>
          </w:tcPr>
          <w:p w14:paraId="12464857" w14:textId="77777777" w:rsidR="00087986" w:rsidRPr="00646DA1" w:rsidRDefault="00087986" w:rsidP="00087986">
            <w:pPr>
              <w:pStyle w:val="ListParagraph"/>
              <w:numPr>
                <w:ilvl w:val="0"/>
                <w:numId w:val="22"/>
              </w:numPr>
              <w:tabs>
                <w:tab w:val="left" w:pos="2985"/>
              </w:tabs>
              <w:ind w:left="342"/>
              <w:rPr>
                <w:rFonts w:ascii="Arial" w:hAnsi="Arial" w:cs="Arial"/>
                <w:sz w:val="20"/>
              </w:rPr>
            </w:pPr>
          </w:p>
        </w:tc>
        <w:tc>
          <w:tcPr>
            <w:tcW w:w="1128" w:type="dxa"/>
            <w:shd w:val="clear" w:color="auto" w:fill="FFFFFF" w:themeFill="background1"/>
            <w:vAlign w:val="center"/>
          </w:tcPr>
          <w:p w14:paraId="2D51ED1A" w14:textId="77777777" w:rsidR="00087986" w:rsidRPr="00E51672" w:rsidRDefault="00087986" w:rsidP="00087986">
            <w:pPr>
              <w:jc w:val="center"/>
              <w:rPr>
                <w:rFonts w:ascii="Arial" w:hAnsi="Arial" w:cs="Arial"/>
                <w:i/>
                <w:sz w:val="16"/>
                <w:szCs w:val="16"/>
              </w:rPr>
            </w:pPr>
            <w:r>
              <w:rPr>
                <w:rFonts w:ascii="Arial" w:hAnsi="Arial" w:cs="Arial"/>
                <w:i/>
                <w:sz w:val="16"/>
                <w:szCs w:val="16"/>
              </w:rPr>
              <w:t>target</w:t>
            </w:r>
          </w:p>
        </w:tc>
        <w:tc>
          <w:tcPr>
            <w:tcW w:w="1129" w:type="dxa"/>
            <w:shd w:val="clear" w:color="auto" w:fill="FFFFFF" w:themeFill="background1"/>
            <w:vAlign w:val="center"/>
          </w:tcPr>
          <w:p w14:paraId="3B01BA77" w14:textId="6A737952"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4C5B2DAA" w14:textId="6B022883"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60F3A2B4" w14:textId="4CD90EBE"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7DB5CC52" w14:textId="69FDA64C" w:rsidR="00087986" w:rsidRPr="00E51672" w:rsidRDefault="00087986" w:rsidP="00087986">
            <w:pPr>
              <w:jc w:val="center"/>
              <w:rPr>
                <w:rFonts w:ascii="Arial" w:hAnsi="Arial" w:cs="Arial"/>
                <w:i/>
                <w:sz w:val="16"/>
                <w:szCs w:val="16"/>
              </w:rPr>
            </w:pPr>
          </w:p>
        </w:tc>
        <w:tc>
          <w:tcPr>
            <w:tcW w:w="1141" w:type="dxa"/>
            <w:shd w:val="clear" w:color="auto" w:fill="FFFFFF" w:themeFill="background1"/>
            <w:vAlign w:val="center"/>
          </w:tcPr>
          <w:p w14:paraId="426C6C6F" w14:textId="2DD2DF61" w:rsidR="00087986" w:rsidRPr="00E51672" w:rsidRDefault="00087986" w:rsidP="00087986">
            <w:pPr>
              <w:jc w:val="center"/>
              <w:rPr>
                <w:rFonts w:ascii="Arial" w:hAnsi="Arial" w:cs="Arial"/>
                <w:i/>
                <w:sz w:val="16"/>
                <w:szCs w:val="16"/>
              </w:rPr>
            </w:pPr>
          </w:p>
        </w:tc>
      </w:tr>
      <w:tr w:rsidR="00087986" w14:paraId="631034D8" w14:textId="77777777" w:rsidTr="613764F8">
        <w:trPr>
          <w:trHeight w:val="305"/>
        </w:trPr>
        <w:tc>
          <w:tcPr>
            <w:tcW w:w="10080" w:type="dxa"/>
            <w:gridSpan w:val="7"/>
            <w:shd w:val="clear" w:color="auto" w:fill="DBE5F1" w:themeFill="accent1" w:themeFillTint="33"/>
          </w:tcPr>
          <w:p w14:paraId="1BB95518" w14:textId="77ACC900" w:rsidR="00087986" w:rsidRDefault="00087986" w:rsidP="00087986">
            <w:pPr>
              <w:jc w:val="center"/>
              <w:rPr>
                <w:rFonts w:ascii="Arial" w:hAnsi="Arial" w:cs="Arial"/>
                <w:b/>
              </w:rPr>
            </w:pPr>
            <w:r>
              <w:rPr>
                <w:rFonts w:ascii="Arial" w:hAnsi="Arial" w:cs="Arial"/>
                <w:b/>
                <w:sz w:val="20"/>
              </w:rPr>
              <w:t>Goal 2</w:t>
            </w:r>
          </w:p>
          <w:p w14:paraId="30024B51" w14:textId="77777777" w:rsidR="00087986" w:rsidRPr="001D59BE" w:rsidRDefault="00087986" w:rsidP="00087986">
            <w:pPr>
              <w:jc w:val="center"/>
              <w:rPr>
                <w:rFonts w:ascii="Arial" w:hAnsi="Arial" w:cs="Arial"/>
                <w:sz w:val="20"/>
              </w:rPr>
            </w:pPr>
            <w:r>
              <w:rPr>
                <w:rFonts w:ascii="Arial" w:hAnsi="Arial" w:cs="Arial"/>
                <w:bCs/>
                <w:sz w:val="20"/>
              </w:rPr>
              <w:t>Respond to the Legislature’s information needs.</w:t>
            </w:r>
          </w:p>
        </w:tc>
      </w:tr>
      <w:tr w:rsidR="00087986" w14:paraId="46102B77" w14:textId="77777777" w:rsidTr="613764F8">
        <w:trPr>
          <w:trHeight w:val="305"/>
        </w:trPr>
        <w:tc>
          <w:tcPr>
            <w:tcW w:w="3295" w:type="dxa"/>
            <w:vMerge w:val="restart"/>
          </w:tcPr>
          <w:p w14:paraId="7FC83B2D" w14:textId="77777777" w:rsidR="00087986" w:rsidRPr="00646DA1" w:rsidRDefault="00087986" w:rsidP="00087986">
            <w:pPr>
              <w:pStyle w:val="ListParagraph"/>
              <w:numPr>
                <w:ilvl w:val="0"/>
                <w:numId w:val="22"/>
              </w:numPr>
              <w:ind w:left="342"/>
              <w:rPr>
                <w:rFonts w:ascii="Arial" w:hAnsi="Arial" w:cs="Arial"/>
                <w:bCs/>
                <w:sz w:val="20"/>
              </w:rPr>
            </w:pPr>
            <w:r>
              <w:rPr>
                <w:rFonts w:ascii="Arial" w:hAnsi="Arial" w:cs="Arial"/>
                <w:bCs/>
                <w:sz w:val="20"/>
              </w:rPr>
              <w:t xml:space="preserve">Performance is measured by the number of </w:t>
            </w:r>
            <w:r w:rsidRPr="00247045">
              <w:rPr>
                <w:rFonts w:ascii="Arial" w:hAnsi="Arial" w:cs="Arial"/>
                <w:bCs/>
                <w:sz w:val="20"/>
              </w:rPr>
              <w:t>“24-hour” limited</w:t>
            </w:r>
            <w:r>
              <w:rPr>
                <w:rFonts w:ascii="Arial" w:hAnsi="Arial" w:cs="Arial"/>
                <w:bCs/>
                <w:sz w:val="20"/>
              </w:rPr>
              <w:t xml:space="preserve"> reviews completed.</w:t>
            </w:r>
          </w:p>
        </w:tc>
        <w:tc>
          <w:tcPr>
            <w:tcW w:w="1128" w:type="dxa"/>
            <w:shd w:val="clear" w:color="auto" w:fill="D9D9D9" w:themeFill="background1" w:themeFillShade="D9"/>
            <w:vAlign w:val="center"/>
          </w:tcPr>
          <w:p w14:paraId="3F931F17" w14:textId="77777777" w:rsidR="00087986" w:rsidRPr="001D59BE" w:rsidRDefault="00087986" w:rsidP="00087986">
            <w:pPr>
              <w:jc w:val="center"/>
              <w:rPr>
                <w:rFonts w:ascii="Arial" w:hAnsi="Arial" w:cs="Arial"/>
                <w:sz w:val="20"/>
              </w:rPr>
            </w:pPr>
            <w:r w:rsidRPr="001D59BE">
              <w:rPr>
                <w:rFonts w:ascii="Arial" w:hAnsi="Arial" w:cs="Arial"/>
                <w:sz w:val="20"/>
              </w:rPr>
              <w:t>actual</w:t>
            </w:r>
          </w:p>
        </w:tc>
        <w:tc>
          <w:tcPr>
            <w:tcW w:w="1129" w:type="dxa"/>
            <w:shd w:val="clear" w:color="auto" w:fill="D9D9D9" w:themeFill="background1" w:themeFillShade="D9"/>
            <w:vAlign w:val="center"/>
          </w:tcPr>
          <w:p w14:paraId="0A1C8502" w14:textId="3A791A04" w:rsidR="00087986" w:rsidRDefault="00087986" w:rsidP="00087986">
            <w:pPr>
              <w:jc w:val="center"/>
              <w:rPr>
                <w:rFonts w:ascii="Arial" w:hAnsi="Arial" w:cs="Arial"/>
                <w:sz w:val="20"/>
              </w:rPr>
            </w:pPr>
            <w:r>
              <w:rPr>
                <w:rFonts w:ascii="Arial" w:hAnsi="Arial" w:cs="Arial"/>
                <w:sz w:val="20"/>
                <w:highlight w:val="lightGray"/>
              </w:rPr>
              <w:t>1</w:t>
            </w:r>
          </w:p>
        </w:tc>
        <w:tc>
          <w:tcPr>
            <w:tcW w:w="1129" w:type="dxa"/>
            <w:shd w:val="clear" w:color="auto" w:fill="D9D9D9" w:themeFill="background1" w:themeFillShade="D9"/>
            <w:vAlign w:val="center"/>
          </w:tcPr>
          <w:p w14:paraId="0327546E" w14:textId="52E7F09B" w:rsidR="00087986" w:rsidRDefault="00087986" w:rsidP="00087986">
            <w:pPr>
              <w:jc w:val="center"/>
              <w:rPr>
                <w:rFonts w:ascii="Arial" w:hAnsi="Arial" w:cs="Arial"/>
                <w:sz w:val="20"/>
              </w:rPr>
            </w:pPr>
            <w:r>
              <w:rPr>
                <w:rFonts w:ascii="Arial" w:hAnsi="Arial" w:cs="Arial"/>
                <w:sz w:val="20"/>
                <w:highlight w:val="lightGray"/>
              </w:rPr>
              <w:t>1</w:t>
            </w:r>
          </w:p>
        </w:tc>
        <w:tc>
          <w:tcPr>
            <w:tcW w:w="1129" w:type="dxa"/>
            <w:shd w:val="clear" w:color="auto" w:fill="D9D9D9" w:themeFill="background1" w:themeFillShade="D9"/>
            <w:vAlign w:val="center"/>
          </w:tcPr>
          <w:p w14:paraId="16DEA401" w14:textId="27064C64" w:rsidR="00087986" w:rsidRPr="00610526" w:rsidRDefault="00087986" w:rsidP="00087986">
            <w:pPr>
              <w:jc w:val="center"/>
              <w:rPr>
                <w:rFonts w:ascii="Arial" w:hAnsi="Arial" w:cs="Arial"/>
                <w:sz w:val="20"/>
                <w:highlight w:val="yellow"/>
              </w:rPr>
            </w:pPr>
            <w:r w:rsidRPr="613764F8">
              <w:rPr>
                <w:rFonts w:ascii="Arial" w:hAnsi="Arial" w:cs="Arial"/>
                <w:sz w:val="20"/>
                <w:szCs w:val="20"/>
              </w:rPr>
              <w:t>0</w:t>
            </w:r>
          </w:p>
        </w:tc>
        <w:tc>
          <w:tcPr>
            <w:tcW w:w="1129" w:type="dxa"/>
            <w:shd w:val="clear" w:color="auto" w:fill="D9D9D9" w:themeFill="background1" w:themeFillShade="D9"/>
            <w:vAlign w:val="center"/>
          </w:tcPr>
          <w:p w14:paraId="76467C00" w14:textId="4BDE82BB" w:rsidR="00087986" w:rsidRDefault="00087986" w:rsidP="00087986">
            <w:pPr>
              <w:jc w:val="center"/>
              <w:rPr>
                <w:rFonts w:ascii="Arial" w:hAnsi="Arial" w:cs="Arial"/>
                <w:sz w:val="20"/>
                <w:szCs w:val="20"/>
                <w:highlight w:val="lightGray"/>
              </w:rPr>
            </w:pPr>
          </w:p>
        </w:tc>
        <w:tc>
          <w:tcPr>
            <w:tcW w:w="1141" w:type="dxa"/>
            <w:shd w:val="clear" w:color="auto" w:fill="D9D9D9" w:themeFill="background1" w:themeFillShade="D9"/>
            <w:vAlign w:val="center"/>
          </w:tcPr>
          <w:p w14:paraId="09100157" w14:textId="5C88C0E8" w:rsidR="00087986" w:rsidRPr="001D59BE" w:rsidRDefault="00087986" w:rsidP="00087986">
            <w:pPr>
              <w:jc w:val="center"/>
              <w:rPr>
                <w:rFonts w:ascii="Arial" w:hAnsi="Arial" w:cs="Arial"/>
                <w:sz w:val="20"/>
              </w:rPr>
            </w:pPr>
          </w:p>
        </w:tc>
      </w:tr>
      <w:tr w:rsidR="00087986" w14:paraId="0D1067B6" w14:textId="77777777" w:rsidTr="613764F8">
        <w:trPr>
          <w:trHeight w:val="288"/>
        </w:trPr>
        <w:tc>
          <w:tcPr>
            <w:tcW w:w="3295" w:type="dxa"/>
            <w:vMerge/>
          </w:tcPr>
          <w:p w14:paraId="75604B4B" w14:textId="77777777" w:rsidR="00087986" w:rsidRPr="00646DA1" w:rsidRDefault="00087986" w:rsidP="00087986">
            <w:pPr>
              <w:pStyle w:val="ListParagraph"/>
              <w:numPr>
                <w:ilvl w:val="0"/>
                <w:numId w:val="22"/>
              </w:numPr>
              <w:tabs>
                <w:tab w:val="left" w:pos="2985"/>
              </w:tabs>
              <w:ind w:left="342"/>
              <w:rPr>
                <w:rFonts w:ascii="Arial" w:hAnsi="Arial" w:cs="Arial"/>
                <w:sz w:val="20"/>
              </w:rPr>
            </w:pPr>
          </w:p>
        </w:tc>
        <w:tc>
          <w:tcPr>
            <w:tcW w:w="1128" w:type="dxa"/>
            <w:shd w:val="clear" w:color="auto" w:fill="FFFFFF" w:themeFill="background1"/>
            <w:vAlign w:val="center"/>
          </w:tcPr>
          <w:p w14:paraId="0A357F00" w14:textId="77777777" w:rsidR="00087986" w:rsidRPr="00E51672" w:rsidRDefault="00087986" w:rsidP="00087986">
            <w:pPr>
              <w:jc w:val="center"/>
              <w:rPr>
                <w:rFonts w:ascii="Arial" w:hAnsi="Arial" w:cs="Arial"/>
                <w:i/>
                <w:sz w:val="16"/>
                <w:szCs w:val="16"/>
              </w:rPr>
            </w:pPr>
            <w:r>
              <w:rPr>
                <w:rFonts w:ascii="Arial" w:hAnsi="Arial" w:cs="Arial"/>
                <w:i/>
                <w:sz w:val="16"/>
                <w:szCs w:val="16"/>
              </w:rPr>
              <w:t>target</w:t>
            </w:r>
          </w:p>
        </w:tc>
        <w:tc>
          <w:tcPr>
            <w:tcW w:w="1129" w:type="dxa"/>
            <w:shd w:val="clear" w:color="auto" w:fill="FFFFFF" w:themeFill="background1"/>
            <w:vAlign w:val="center"/>
          </w:tcPr>
          <w:p w14:paraId="4155D521" w14:textId="37AD6940"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14DE1A53" w14:textId="12AB9CB0"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27A492A2" w14:textId="5CA6B6A5" w:rsidR="00087986" w:rsidRPr="00E51672"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6F9A1855" w14:textId="272354DE" w:rsidR="00087986" w:rsidRPr="00E51672" w:rsidRDefault="00087986" w:rsidP="00087986">
            <w:pPr>
              <w:jc w:val="center"/>
              <w:rPr>
                <w:rFonts w:ascii="Arial" w:hAnsi="Arial" w:cs="Arial"/>
                <w:i/>
                <w:sz w:val="16"/>
                <w:szCs w:val="16"/>
              </w:rPr>
            </w:pPr>
          </w:p>
        </w:tc>
        <w:tc>
          <w:tcPr>
            <w:tcW w:w="1141" w:type="dxa"/>
            <w:shd w:val="clear" w:color="auto" w:fill="FFFFFF" w:themeFill="background1"/>
            <w:vAlign w:val="center"/>
          </w:tcPr>
          <w:p w14:paraId="05A459A9" w14:textId="0DD06362" w:rsidR="00087986" w:rsidRPr="00E51672" w:rsidRDefault="00087986" w:rsidP="00087986">
            <w:pPr>
              <w:jc w:val="center"/>
              <w:rPr>
                <w:rFonts w:ascii="Arial" w:hAnsi="Arial" w:cs="Arial"/>
                <w:i/>
                <w:sz w:val="16"/>
                <w:szCs w:val="16"/>
              </w:rPr>
            </w:pPr>
          </w:p>
        </w:tc>
      </w:tr>
      <w:tr w:rsidR="00087986" w14:paraId="6DB587BA" w14:textId="77777777" w:rsidTr="613764F8">
        <w:trPr>
          <w:trHeight w:val="288"/>
        </w:trPr>
        <w:tc>
          <w:tcPr>
            <w:tcW w:w="3295" w:type="dxa"/>
            <w:vMerge w:val="restart"/>
          </w:tcPr>
          <w:p w14:paraId="49677740" w14:textId="77777777" w:rsidR="00087986" w:rsidRPr="00646DA1" w:rsidRDefault="00087986" w:rsidP="00087986">
            <w:pPr>
              <w:pStyle w:val="ListParagraph"/>
              <w:numPr>
                <w:ilvl w:val="0"/>
                <w:numId w:val="22"/>
              </w:numPr>
              <w:ind w:left="342"/>
              <w:rPr>
                <w:rFonts w:ascii="Arial" w:hAnsi="Arial" w:cs="Arial"/>
                <w:bCs/>
                <w:sz w:val="20"/>
              </w:rPr>
            </w:pPr>
            <w:r>
              <w:rPr>
                <w:rFonts w:ascii="Arial" w:hAnsi="Arial" w:cs="Arial"/>
                <w:bCs/>
                <w:sz w:val="20"/>
              </w:rPr>
              <w:t xml:space="preserve">Performance is measured by the number of evaluation-related presentations made </w:t>
            </w:r>
            <w:r w:rsidRPr="00247045">
              <w:rPr>
                <w:rFonts w:ascii="Arial" w:hAnsi="Arial" w:cs="Arial"/>
                <w:bCs/>
                <w:sz w:val="20"/>
              </w:rPr>
              <w:t xml:space="preserve">to </w:t>
            </w:r>
            <w:r>
              <w:rPr>
                <w:rFonts w:ascii="Arial" w:hAnsi="Arial" w:cs="Arial"/>
                <w:bCs/>
                <w:sz w:val="20"/>
              </w:rPr>
              <w:t>the L</w:t>
            </w:r>
            <w:r w:rsidRPr="00247045">
              <w:rPr>
                <w:rFonts w:ascii="Arial" w:hAnsi="Arial" w:cs="Arial"/>
                <w:bCs/>
                <w:sz w:val="20"/>
              </w:rPr>
              <w:t>egislat</w:t>
            </w:r>
            <w:r>
              <w:rPr>
                <w:rFonts w:ascii="Arial" w:hAnsi="Arial" w:cs="Arial"/>
                <w:bCs/>
                <w:sz w:val="20"/>
              </w:rPr>
              <w:t>ure</w:t>
            </w:r>
            <w:r w:rsidRPr="00247045">
              <w:rPr>
                <w:rFonts w:ascii="Arial" w:hAnsi="Arial" w:cs="Arial"/>
                <w:bCs/>
                <w:sz w:val="20"/>
              </w:rPr>
              <w:t xml:space="preserve"> </w:t>
            </w:r>
            <w:r>
              <w:rPr>
                <w:rFonts w:ascii="Arial" w:hAnsi="Arial" w:cs="Arial"/>
                <w:bCs/>
                <w:sz w:val="20"/>
              </w:rPr>
              <w:t>(does not include presentations to JLOC).</w:t>
            </w:r>
          </w:p>
        </w:tc>
        <w:tc>
          <w:tcPr>
            <w:tcW w:w="1128" w:type="dxa"/>
            <w:shd w:val="clear" w:color="auto" w:fill="D9D9D9" w:themeFill="background1" w:themeFillShade="D9"/>
            <w:vAlign w:val="center"/>
          </w:tcPr>
          <w:p w14:paraId="2156ACB1" w14:textId="77777777" w:rsidR="00087986" w:rsidRPr="001D59BE" w:rsidRDefault="00087986" w:rsidP="00087986">
            <w:pPr>
              <w:jc w:val="center"/>
              <w:rPr>
                <w:rFonts w:ascii="Arial" w:hAnsi="Arial" w:cs="Arial"/>
                <w:sz w:val="20"/>
              </w:rPr>
            </w:pPr>
            <w:r w:rsidRPr="001D59BE">
              <w:rPr>
                <w:rFonts w:ascii="Arial" w:hAnsi="Arial" w:cs="Arial"/>
                <w:sz w:val="20"/>
              </w:rPr>
              <w:t>actual</w:t>
            </w:r>
          </w:p>
        </w:tc>
        <w:tc>
          <w:tcPr>
            <w:tcW w:w="1129" w:type="dxa"/>
            <w:shd w:val="clear" w:color="auto" w:fill="D9D9D9" w:themeFill="background1" w:themeFillShade="D9"/>
            <w:vAlign w:val="center"/>
          </w:tcPr>
          <w:p w14:paraId="152BBEFF" w14:textId="02B9C651" w:rsidR="00087986" w:rsidRDefault="00087986" w:rsidP="00087986">
            <w:pPr>
              <w:jc w:val="center"/>
              <w:rPr>
                <w:rFonts w:ascii="Arial" w:hAnsi="Arial" w:cs="Arial"/>
                <w:sz w:val="20"/>
              </w:rPr>
            </w:pPr>
            <w:r>
              <w:rPr>
                <w:rFonts w:ascii="Arial" w:hAnsi="Arial" w:cs="Arial"/>
                <w:sz w:val="20"/>
                <w:highlight w:val="lightGray"/>
              </w:rPr>
              <w:t>7</w:t>
            </w:r>
          </w:p>
        </w:tc>
        <w:tc>
          <w:tcPr>
            <w:tcW w:w="1129" w:type="dxa"/>
            <w:shd w:val="clear" w:color="auto" w:fill="D9D9D9" w:themeFill="background1" w:themeFillShade="D9"/>
            <w:vAlign w:val="center"/>
          </w:tcPr>
          <w:p w14:paraId="4A4AF50F" w14:textId="2BF9B3E5" w:rsidR="00087986" w:rsidRDefault="00087986" w:rsidP="00087986">
            <w:pPr>
              <w:jc w:val="center"/>
              <w:rPr>
                <w:rFonts w:ascii="Arial" w:hAnsi="Arial" w:cs="Arial"/>
                <w:sz w:val="20"/>
              </w:rPr>
            </w:pPr>
            <w:r>
              <w:rPr>
                <w:rFonts w:ascii="Arial" w:hAnsi="Arial" w:cs="Arial"/>
                <w:sz w:val="20"/>
                <w:highlight w:val="lightGray"/>
              </w:rPr>
              <w:t>2</w:t>
            </w:r>
          </w:p>
        </w:tc>
        <w:tc>
          <w:tcPr>
            <w:tcW w:w="1129" w:type="dxa"/>
            <w:shd w:val="clear" w:color="auto" w:fill="D9D9D9" w:themeFill="background1" w:themeFillShade="D9"/>
            <w:vAlign w:val="center"/>
          </w:tcPr>
          <w:p w14:paraId="38A811AC" w14:textId="257720F3" w:rsidR="00087986" w:rsidRPr="00610526" w:rsidRDefault="00087986" w:rsidP="00087986">
            <w:pPr>
              <w:jc w:val="center"/>
              <w:rPr>
                <w:rFonts w:ascii="Arial" w:hAnsi="Arial" w:cs="Arial"/>
                <w:sz w:val="20"/>
                <w:highlight w:val="yellow"/>
              </w:rPr>
            </w:pPr>
            <w:r>
              <w:rPr>
                <w:rFonts w:ascii="Arial" w:hAnsi="Arial" w:cs="Arial"/>
                <w:sz w:val="20"/>
              </w:rPr>
              <w:t>2</w:t>
            </w:r>
          </w:p>
        </w:tc>
        <w:tc>
          <w:tcPr>
            <w:tcW w:w="1129" w:type="dxa"/>
            <w:shd w:val="clear" w:color="auto" w:fill="D9D9D9" w:themeFill="background1" w:themeFillShade="D9"/>
            <w:vAlign w:val="center"/>
          </w:tcPr>
          <w:p w14:paraId="22BAC96E" w14:textId="0F2553F0" w:rsidR="00087986" w:rsidRDefault="00087986" w:rsidP="00087986">
            <w:pPr>
              <w:jc w:val="center"/>
              <w:rPr>
                <w:rFonts w:ascii="Arial" w:hAnsi="Arial" w:cs="Arial"/>
                <w:sz w:val="20"/>
                <w:highlight w:val="lightGray"/>
              </w:rPr>
            </w:pPr>
          </w:p>
        </w:tc>
        <w:tc>
          <w:tcPr>
            <w:tcW w:w="1141" w:type="dxa"/>
            <w:shd w:val="clear" w:color="auto" w:fill="D9D9D9" w:themeFill="background1" w:themeFillShade="D9"/>
            <w:vAlign w:val="center"/>
          </w:tcPr>
          <w:p w14:paraId="72CE418C" w14:textId="6757B5F2" w:rsidR="00087986" w:rsidRPr="001D59BE" w:rsidRDefault="00087986" w:rsidP="00087986">
            <w:pPr>
              <w:jc w:val="center"/>
              <w:rPr>
                <w:rFonts w:ascii="Arial" w:hAnsi="Arial" w:cs="Arial"/>
                <w:sz w:val="20"/>
              </w:rPr>
            </w:pPr>
          </w:p>
        </w:tc>
      </w:tr>
      <w:tr w:rsidR="00087986" w14:paraId="7A25A3A2" w14:textId="77777777" w:rsidTr="613764F8">
        <w:trPr>
          <w:trHeight w:val="288"/>
        </w:trPr>
        <w:tc>
          <w:tcPr>
            <w:tcW w:w="3295" w:type="dxa"/>
            <w:vMerge/>
          </w:tcPr>
          <w:p w14:paraId="6824CBC0" w14:textId="77777777" w:rsidR="00087986" w:rsidRPr="00646DA1" w:rsidRDefault="00087986" w:rsidP="00087986">
            <w:pPr>
              <w:pStyle w:val="ListParagraph"/>
              <w:numPr>
                <w:ilvl w:val="0"/>
                <w:numId w:val="22"/>
              </w:numPr>
              <w:tabs>
                <w:tab w:val="left" w:pos="2985"/>
              </w:tabs>
              <w:ind w:left="342"/>
              <w:rPr>
                <w:rFonts w:ascii="Arial" w:hAnsi="Arial" w:cs="Arial"/>
                <w:sz w:val="20"/>
              </w:rPr>
            </w:pPr>
          </w:p>
        </w:tc>
        <w:tc>
          <w:tcPr>
            <w:tcW w:w="1128" w:type="dxa"/>
            <w:shd w:val="clear" w:color="auto" w:fill="FFFFFF" w:themeFill="background1"/>
            <w:vAlign w:val="center"/>
          </w:tcPr>
          <w:p w14:paraId="66A97537" w14:textId="77777777" w:rsidR="00087986" w:rsidRDefault="00087986" w:rsidP="00087986">
            <w:pPr>
              <w:jc w:val="center"/>
              <w:rPr>
                <w:rFonts w:ascii="Arial" w:hAnsi="Arial" w:cs="Arial"/>
                <w:sz w:val="20"/>
              </w:rPr>
            </w:pPr>
            <w:r>
              <w:rPr>
                <w:rFonts w:ascii="Arial" w:hAnsi="Arial" w:cs="Arial"/>
                <w:i/>
                <w:sz w:val="16"/>
                <w:szCs w:val="16"/>
              </w:rPr>
              <w:t>target</w:t>
            </w:r>
          </w:p>
        </w:tc>
        <w:tc>
          <w:tcPr>
            <w:tcW w:w="1129" w:type="dxa"/>
            <w:shd w:val="clear" w:color="auto" w:fill="FFFFFF" w:themeFill="background1"/>
            <w:vAlign w:val="center"/>
          </w:tcPr>
          <w:p w14:paraId="0E02B179" w14:textId="6637E311"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185F376A" w14:textId="090EE662"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17DDA9CA" w14:textId="1BA903F6"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2DC75A6A" w14:textId="3290B1ED" w:rsidR="00087986" w:rsidRPr="00FE0C4E" w:rsidRDefault="00087986" w:rsidP="00087986">
            <w:pPr>
              <w:jc w:val="center"/>
              <w:rPr>
                <w:rFonts w:ascii="Arial" w:hAnsi="Arial" w:cs="Arial"/>
                <w:i/>
                <w:sz w:val="16"/>
                <w:szCs w:val="16"/>
              </w:rPr>
            </w:pPr>
          </w:p>
        </w:tc>
        <w:tc>
          <w:tcPr>
            <w:tcW w:w="1141" w:type="dxa"/>
            <w:shd w:val="clear" w:color="auto" w:fill="FFFFFF" w:themeFill="background1"/>
            <w:vAlign w:val="center"/>
          </w:tcPr>
          <w:p w14:paraId="53E4588B" w14:textId="0E816399" w:rsidR="00087986" w:rsidRPr="00FE0C4E" w:rsidRDefault="00087986" w:rsidP="00087986">
            <w:pPr>
              <w:jc w:val="center"/>
              <w:rPr>
                <w:rFonts w:ascii="Arial" w:hAnsi="Arial" w:cs="Arial"/>
                <w:i/>
                <w:sz w:val="16"/>
                <w:szCs w:val="16"/>
              </w:rPr>
            </w:pPr>
          </w:p>
        </w:tc>
      </w:tr>
      <w:tr w:rsidR="00087986" w14:paraId="4D0923B9" w14:textId="77777777" w:rsidTr="613764F8">
        <w:trPr>
          <w:trHeight w:val="288"/>
        </w:trPr>
        <w:tc>
          <w:tcPr>
            <w:tcW w:w="10080" w:type="dxa"/>
            <w:gridSpan w:val="7"/>
            <w:shd w:val="clear" w:color="auto" w:fill="DBE5F1" w:themeFill="accent1" w:themeFillTint="33"/>
          </w:tcPr>
          <w:p w14:paraId="11038793" w14:textId="1471A774" w:rsidR="00087986" w:rsidRDefault="00087986" w:rsidP="00087986">
            <w:pPr>
              <w:jc w:val="center"/>
              <w:rPr>
                <w:rFonts w:ascii="Arial" w:hAnsi="Arial" w:cs="Arial"/>
                <w:b/>
              </w:rPr>
            </w:pPr>
            <w:r>
              <w:rPr>
                <w:rFonts w:ascii="Arial" w:hAnsi="Arial" w:cs="Arial"/>
                <w:b/>
                <w:sz w:val="20"/>
              </w:rPr>
              <w:t>Goal 3</w:t>
            </w:r>
          </w:p>
          <w:p w14:paraId="4F74C07C" w14:textId="77777777" w:rsidR="00087986" w:rsidRPr="001D59BE" w:rsidRDefault="00087986" w:rsidP="00087986">
            <w:pPr>
              <w:jc w:val="center"/>
              <w:rPr>
                <w:rFonts w:ascii="Arial" w:hAnsi="Arial" w:cs="Arial"/>
                <w:sz w:val="20"/>
              </w:rPr>
            </w:pPr>
            <w:r w:rsidRPr="008A6EB8">
              <w:rPr>
                <w:rFonts w:ascii="Arial" w:hAnsi="Arial" w:cs="Arial"/>
                <w:sz w:val="20"/>
                <w:szCs w:val="20"/>
              </w:rPr>
              <w:t>Promote confidence and accountability in state government through education and outreach to interested stakeholders and participatio</w:t>
            </w:r>
            <w:r>
              <w:rPr>
                <w:rFonts w:ascii="Arial" w:hAnsi="Arial" w:cs="Arial"/>
                <w:sz w:val="20"/>
                <w:szCs w:val="20"/>
              </w:rPr>
              <w:t>n in professional associations.</w:t>
            </w:r>
          </w:p>
        </w:tc>
      </w:tr>
      <w:tr w:rsidR="00087986" w14:paraId="2A807334" w14:textId="77777777" w:rsidTr="613764F8">
        <w:trPr>
          <w:trHeight w:val="288"/>
        </w:trPr>
        <w:tc>
          <w:tcPr>
            <w:tcW w:w="3295" w:type="dxa"/>
            <w:vMerge w:val="restart"/>
          </w:tcPr>
          <w:p w14:paraId="72AC3F67" w14:textId="77777777" w:rsidR="00087986" w:rsidRPr="00646DA1" w:rsidRDefault="00087986" w:rsidP="00087986">
            <w:pPr>
              <w:pStyle w:val="ListParagraph"/>
              <w:numPr>
                <w:ilvl w:val="0"/>
                <w:numId w:val="22"/>
              </w:numPr>
              <w:ind w:left="342"/>
              <w:rPr>
                <w:rFonts w:ascii="Arial" w:hAnsi="Arial" w:cs="Arial"/>
                <w:bCs/>
                <w:sz w:val="20"/>
              </w:rPr>
            </w:pPr>
            <w:r w:rsidRPr="008A6EB8">
              <w:rPr>
                <w:rFonts w:ascii="Arial" w:hAnsi="Arial" w:cs="Arial"/>
                <w:sz w:val="20"/>
                <w:szCs w:val="20"/>
              </w:rPr>
              <w:t>Performance is measured by the number of evaluation-related presentations made outside of the Legislature.</w:t>
            </w:r>
          </w:p>
        </w:tc>
        <w:tc>
          <w:tcPr>
            <w:tcW w:w="1128" w:type="dxa"/>
            <w:shd w:val="clear" w:color="auto" w:fill="D9D9D9" w:themeFill="background1" w:themeFillShade="D9"/>
            <w:vAlign w:val="center"/>
          </w:tcPr>
          <w:p w14:paraId="55095265" w14:textId="77777777" w:rsidR="00087986" w:rsidRPr="001D59BE" w:rsidRDefault="00087986" w:rsidP="00087986">
            <w:pPr>
              <w:jc w:val="center"/>
              <w:rPr>
                <w:rFonts w:ascii="Arial" w:hAnsi="Arial" w:cs="Arial"/>
                <w:sz w:val="20"/>
              </w:rPr>
            </w:pPr>
            <w:r w:rsidRPr="001D59BE">
              <w:rPr>
                <w:rFonts w:ascii="Arial" w:hAnsi="Arial" w:cs="Arial"/>
                <w:sz w:val="20"/>
              </w:rPr>
              <w:t>actual</w:t>
            </w:r>
          </w:p>
        </w:tc>
        <w:tc>
          <w:tcPr>
            <w:tcW w:w="1129" w:type="dxa"/>
            <w:shd w:val="clear" w:color="auto" w:fill="D9D9D9" w:themeFill="background1" w:themeFillShade="D9"/>
            <w:vAlign w:val="center"/>
          </w:tcPr>
          <w:p w14:paraId="61AACFD2" w14:textId="2D30745F" w:rsidR="00087986" w:rsidRPr="008A6EB8" w:rsidRDefault="00087986" w:rsidP="00087986">
            <w:pPr>
              <w:jc w:val="center"/>
              <w:rPr>
                <w:rFonts w:ascii="Arial" w:hAnsi="Arial" w:cs="Arial"/>
                <w:sz w:val="20"/>
              </w:rPr>
            </w:pPr>
            <w:r>
              <w:rPr>
                <w:rFonts w:ascii="Arial" w:hAnsi="Arial" w:cs="Arial"/>
                <w:sz w:val="20"/>
              </w:rPr>
              <w:t>11</w:t>
            </w:r>
          </w:p>
        </w:tc>
        <w:tc>
          <w:tcPr>
            <w:tcW w:w="1129" w:type="dxa"/>
            <w:shd w:val="clear" w:color="auto" w:fill="D9D9D9" w:themeFill="background1" w:themeFillShade="D9"/>
            <w:vAlign w:val="center"/>
          </w:tcPr>
          <w:p w14:paraId="70F3910A" w14:textId="36ED2DEA" w:rsidR="00087986" w:rsidRPr="008A6EB8" w:rsidRDefault="00087986" w:rsidP="00087986">
            <w:pPr>
              <w:jc w:val="center"/>
              <w:rPr>
                <w:rFonts w:ascii="Arial" w:hAnsi="Arial" w:cs="Arial"/>
                <w:sz w:val="20"/>
              </w:rPr>
            </w:pPr>
            <w:r>
              <w:rPr>
                <w:rFonts w:ascii="Arial" w:hAnsi="Arial" w:cs="Arial"/>
                <w:sz w:val="20"/>
              </w:rPr>
              <w:t>11</w:t>
            </w:r>
          </w:p>
        </w:tc>
        <w:tc>
          <w:tcPr>
            <w:tcW w:w="1129" w:type="dxa"/>
            <w:shd w:val="clear" w:color="auto" w:fill="D9D9D9" w:themeFill="background1" w:themeFillShade="D9"/>
            <w:vAlign w:val="center"/>
          </w:tcPr>
          <w:p w14:paraId="4B102019" w14:textId="440735D6" w:rsidR="00087986" w:rsidRPr="00610526" w:rsidRDefault="00087986" w:rsidP="00087986">
            <w:pPr>
              <w:jc w:val="center"/>
              <w:rPr>
                <w:rFonts w:ascii="Arial" w:hAnsi="Arial" w:cs="Arial"/>
                <w:sz w:val="20"/>
                <w:highlight w:val="yellow"/>
              </w:rPr>
            </w:pPr>
            <w:r>
              <w:rPr>
                <w:rFonts w:ascii="Arial" w:hAnsi="Arial" w:cs="Arial"/>
                <w:sz w:val="20"/>
              </w:rPr>
              <w:t>4</w:t>
            </w:r>
          </w:p>
        </w:tc>
        <w:tc>
          <w:tcPr>
            <w:tcW w:w="1129" w:type="dxa"/>
            <w:shd w:val="clear" w:color="auto" w:fill="D9D9D9" w:themeFill="background1" w:themeFillShade="D9"/>
            <w:vAlign w:val="center"/>
          </w:tcPr>
          <w:p w14:paraId="44AC3579" w14:textId="7BBBF331" w:rsidR="00087986" w:rsidRPr="008A6EB8" w:rsidRDefault="00087986" w:rsidP="00087986">
            <w:pPr>
              <w:jc w:val="center"/>
              <w:rPr>
                <w:rFonts w:ascii="Arial" w:hAnsi="Arial" w:cs="Arial"/>
                <w:sz w:val="20"/>
              </w:rPr>
            </w:pPr>
          </w:p>
        </w:tc>
        <w:tc>
          <w:tcPr>
            <w:tcW w:w="1141" w:type="dxa"/>
            <w:shd w:val="clear" w:color="auto" w:fill="D9D9D9" w:themeFill="background1" w:themeFillShade="D9"/>
            <w:vAlign w:val="center"/>
          </w:tcPr>
          <w:p w14:paraId="1D8C4D5C" w14:textId="79249DE2" w:rsidR="00087986" w:rsidRPr="001D59BE" w:rsidRDefault="00087986" w:rsidP="00087986">
            <w:pPr>
              <w:jc w:val="center"/>
              <w:rPr>
                <w:rFonts w:ascii="Arial" w:hAnsi="Arial" w:cs="Arial"/>
                <w:sz w:val="20"/>
              </w:rPr>
            </w:pPr>
          </w:p>
        </w:tc>
      </w:tr>
      <w:tr w:rsidR="00087986" w14:paraId="7634A959" w14:textId="77777777" w:rsidTr="613764F8">
        <w:trPr>
          <w:trHeight w:val="288"/>
        </w:trPr>
        <w:tc>
          <w:tcPr>
            <w:tcW w:w="3295" w:type="dxa"/>
            <w:vMerge/>
          </w:tcPr>
          <w:p w14:paraId="1CD04EE2" w14:textId="77777777" w:rsidR="00087986" w:rsidRPr="00646DA1" w:rsidRDefault="00087986" w:rsidP="00087986">
            <w:pPr>
              <w:pStyle w:val="ListParagraph"/>
              <w:numPr>
                <w:ilvl w:val="0"/>
                <w:numId w:val="22"/>
              </w:numPr>
              <w:tabs>
                <w:tab w:val="left" w:pos="2985"/>
              </w:tabs>
              <w:ind w:left="342"/>
              <w:rPr>
                <w:rFonts w:ascii="Arial" w:hAnsi="Arial" w:cs="Arial"/>
                <w:sz w:val="20"/>
              </w:rPr>
            </w:pPr>
          </w:p>
        </w:tc>
        <w:tc>
          <w:tcPr>
            <w:tcW w:w="1128" w:type="dxa"/>
            <w:shd w:val="clear" w:color="auto" w:fill="FFFFFF" w:themeFill="background1"/>
            <w:vAlign w:val="center"/>
          </w:tcPr>
          <w:p w14:paraId="7E6F0864" w14:textId="77777777" w:rsidR="00087986" w:rsidRDefault="00087986" w:rsidP="00087986">
            <w:pPr>
              <w:jc w:val="center"/>
              <w:rPr>
                <w:rFonts w:ascii="Arial" w:hAnsi="Arial" w:cs="Arial"/>
                <w:sz w:val="20"/>
              </w:rPr>
            </w:pPr>
            <w:r>
              <w:rPr>
                <w:rFonts w:ascii="Arial" w:hAnsi="Arial" w:cs="Arial"/>
                <w:i/>
                <w:sz w:val="16"/>
                <w:szCs w:val="16"/>
              </w:rPr>
              <w:t>target</w:t>
            </w:r>
          </w:p>
        </w:tc>
        <w:tc>
          <w:tcPr>
            <w:tcW w:w="1129" w:type="dxa"/>
            <w:shd w:val="clear" w:color="auto" w:fill="FFFFFF" w:themeFill="background1"/>
            <w:vAlign w:val="center"/>
          </w:tcPr>
          <w:p w14:paraId="04A1F1CC" w14:textId="63A925B0"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53C5D030" w14:textId="6B17ADB2"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66D09A4D" w14:textId="066F80ED" w:rsidR="00087986" w:rsidRPr="00FE0C4E" w:rsidRDefault="00087986" w:rsidP="00087986">
            <w:pPr>
              <w:jc w:val="center"/>
              <w:rPr>
                <w:rFonts w:ascii="Arial" w:hAnsi="Arial" w:cs="Arial"/>
                <w:i/>
                <w:sz w:val="16"/>
                <w:szCs w:val="16"/>
              </w:rPr>
            </w:pPr>
            <w:r>
              <w:rPr>
                <w:rFonts w:ascii="Arial" w:hAnsi="Arial" w:cs="Arial"/>
                <w:i/>
                <w:sz w:val="16"/>
                <w:szCs w:val="16"/>
              </w:rPr>
              <w:t>n/a</w:t>
            </w:r>
          </w:p>
        </w:tc>
        <w:tc>
          <w:tcPr>
            <w:tcW w:w="1129" w:type="dxa"/>
            <w:shd w:val="clear" w:color="auto" w:fill="FFFFFF" w:themeFill="background1"/>
            <w:vAlign w:val="center"/>
          </w:tcPr>
          <w:p w14:paraId="6BBC6625" w14:textId="6F3AF3B7" w:rsidR="00087986" w:rsidRPr="00FE0C4E" w:rsidRDefault="00087986" w:rsidP="00087986">
            <w:pPr>
              <w:jc w:val="center"/>
              <w:rPr>
                <w:rFonts w:ascii="Arial" w:hAnsi="Arial" w:cs="Arial"/>
                <w:i/>
                <w:sz w:val="16"/>
                <w:szCs w:val="16"/>
              </w:rPr>
            </w:pPr>
          </w:p>
        </w:tc>
        <w:tc>
          <w:tcPr>
            <w:tcW w:w="1141" w:type="dxa"/>
            <w:shd w:val="clear" w:color="auto" w:fill="FFFFFF" w:themeFill="background1"/>
            <w:vAlign w:val="center"/>
          </w:tcPr>
          <w:p w14:paraId="35A7820B" w14:textId="14D69284" w:rsidR="00087986" w:rsidRPr="00FE0C4E" w:rsidRDefault="00087986" w:rsidP="00087986">
            <w:pPr>
              <w:jc w:val="center"/>
              <w:rPr>
                <w:rFonts w:ascii="Arial" w:hAnsi="Arial" w:cs="Arial"/>
                <w:i/>
                <w:sz w:val="16"/>
                <w:szCs w:val="16"/>
              </w:rPr>
            </w:pPr>
          </w:p>
        </w:tc>
      </w:tr>
    </w:tbl>
    <w:p w14:paraId="42C40377" w14:textId="77777777" w:rsidR="00092DA4" w:rsidRDefault="00092DA4" w:rsidP="00C655E0">
      <w:pPr>
        <w:rPr>
          <w:rFonts w:ascii="Arial" w:hAnsi="Arial" w:cs="Arial"/>
          <w:b/>
          <w:bCs/>
        </w:rPr>
      </w:pPr>
    </w:p>
    <w:p w14:paraId="1FA93E3D" w14:textId="77777777" w:rsidR="00EE2D52" w:rsidRDefault="00EE2D52" w:rsidP="00C655E0">
      <w:pPr>
        <w:rPr>
          <w:rFonts w:ascii="Arial" w:hAnsi="Arial" w:cs="Arial"/>
          <w:b/>
          <w:bCs/>
        </w:rPr>
      </w:pPr>
    </w:p>
    <w:p w14:paraId="0E89F058" w14:textId="71DF5413" w:rsidR="00353276" w:rsidRPr="00144FBD" w:rsidRDefault="00353276" w:rsidP="00C655E0">
      <w:pPr>
        <w:rPr>
          <w:rFonts w:ascii="Arial" w:hAnsi="Arial" w:cs="Arial"/>
          <w:i/>
          <w:sz w:val="20"/>
        </w:rPr>
      </w:pPr>
      <w:r w:rsidRPr="00BE41B3">
        <w:rPr>
          <w:rFonts w:ascii="Arial" w:hAnsi="Arial" w:cs="Arial"/>
          <w:b/>
          <w:bCs/>
        </w:rPr>
        <w:t>Performance Measure Explanatory Note</w:t>
      </w:r>
      <w:r>
        <w:rPr>
          <w:rFonts w:ascii="Arial" w:hAnsi="Arial" w:cs="Arial"/>
          <w:b/>
          <w:bCs/>
        </w:rPr>
        <w:t>s</w:t>
      </w:r>
    </w:p>
    <w:p w14:paraId="138C90B0" w14:textId="3CA18610" w:rsidR="000B73F2" w:rsidRDefault="000B73F2" w:rsidP="00BB7A23">
      <w:pPr>
        <w:jc w:val="both"/>
        <w:rPr>
          <w:rFonts w:ascii="Arial" w:hAnsi="Arial" w:cs="Arial"/>
          <w:b/>
          <w:sz w:val="20"/>
          <w:szCs w:val="20"/>
        </w:rPr>
      </w:pPr>
      <w:r>
        <w:rPr>
          <w:rFonts w:ascii="Arial" w:hAnsi="Arial" w:cs="Arial"/>
          <w:b/>
          <w:sz w:val="20"/>
          <w:szCs w:val="20"/>
          <w:lang w:val="fr-FR"/>
        </w:rPr>
        <w:t>Bills</w:t>
      </w:r>
      <w:r w:rsidRPr="0005658D">
        <w:rPr>
          <w:rFonts w:ascii="Arial" w:hAnsi="Arial" w:cs="Arial"/>
          <w:b/>
          <w:sz w:val="20"/>
          <w:szCs w:val="20"/>
        </w:rPr>
        <w:t xml:space="preserve"> </w:t>
      </w:r>
      <w:r w:rsidR="00460211">
        <w:rPr>
          <w:rFonts w:ascii="Arial" w:hAnsi="Arial" w:cs="Arial"/>
          <w:b/>
          <w:sz w:val="20"/>
          <w:szCs w:val="20"/>
        </w:rPr>
        <w:t>introduced</w:t>
      </w:r>
    </w:p>
    <w:p w14:paraId="1830EE2C" w14:textId="66B9BD8B" w:rsidR="00E05605" w:rsidRPr="00D669D7" w:rsidRDefault="613764F8" w:rsidP="613764F8">
      <w:pPr>
        <w:pStyle w:val="ListParagraph"/>
        <w:numPr>
          <w:ilvl w:val="0"/>
          <w:numId w:val="33"/>
        </w:numPr>
        <w:jc w:val="both"/>
        <w:rPr>
          <w:rFonts w:ascii="Arial" w:hAnsi="Arial" w:cs="Arial"/>
          <w:sz w:val="20"/>
          <w:szCs w:val="20"/>
        </w:rPr>
      </w:pPr>
      <w:r w:rsidRPr="613764F8">
        <w:rPr>
          <w:rFonts w:ascii="Arial" w:hAnsi="Arial" w:cs="Arial"/>
          <w:sz w:val="20"/>
          <w:szCs w:val="20"/>
        </w:rPr>
        <w:t>Senate Bill 1173 was signed by Governor Little on March 15</w:t>
      </w:r>
      <w:r w:rsidRPr="613764F8">
        <w:rPr>
          <w:rFonts w:ascii="Arial" w:hAnsi="Arial" w:cs="Arial"/>
          <w:sz w:val="20"/>
          <w:szCs w:val="20"/>
          <w:vertAlign w:val="superscript"/>
        </w:rPr>
        <w:t>th</w:t>
      </w:r>
      <w:r w:rsidRPr="613764F8">
        <w:rPr>
          <w:rFonts w:ascii="Arial" w:hAnsi="Arial" w:cs="Arial"/>
          <w:sz w:val="20"/>
          <w:szCs w:val="20"/>
        </w:rPr>
        <w:t xml:space="preserve">, </w:t>
      </w:r>
      <w:proofErr w:type="gramStart"/>
      <w:r w:rsidRPr="613764F8">
        <w:rPr>
          <w:rFonts w:ascii="Arial" w:hAnsi="Arial" w:cs="Arial"/>
          <w:sz w:val="20"/>
          <w:szCs w:val="20"/>
        </w:rPr>
        <w:t>2021</w:t>
      </w:r>
      <w:proofErr w:type="gramEnd"/>
      <w:r w:rsidRPr="613764F8">
        <w:rPr>
          <w:rFonts w:ascii="Arial" w:hAnsi="Arial" w:cs="Arial"/>
          <w:sz w:val="20"/>
          <w:szCs w:val="20"/>
        </w:rPr>
        <w:t xml:space="preserve"> and budgeted $275,000 for an Alzheimer’s disease program coordinator based on recommendations from our evaluation </w:t>
      </w:r>
      <w:r w:rsidRPr="613764F8">
        <w:rPr>
          <w:rFonts w:ascii="Arial" w:hAnsi="Arial" w:cs="Arial"/>
          <w:i/>
          <w:iCs/>
          <w:sz w:val="20"/>
          <w:szCs w:val="20"/>
        </w:rPr>
        <w:t>State Response to Alzheimer’s Disease and Related Dementias.</w:t>
      </w:r>
    </w:p>
    <w:p w14:paraId="7DDD6870" w14:textId="4CC9C64B" w:rsidR="613764F8" w:rsidRDefault="613764F8" w:rsidP="613764F8">
      <w:pPr>
        <w:pStyle w:val="ListParagraph"/>
        <w:numPr>
          <w:ilvl w:val="0"/>
          <w:numId w:val="33"/>
        </w:numPr>
        <w:jc w:val="both"/>
        <w:rPr>
          <w:sz w:val="20"/>
          <w:szCs w:val="20"/>
        </w:rPr>
      </w:pPr>
      <w:r w:rsidRPr="613764F8">
        <w:rPr>
          <w:rFonts w:ascii="Arial" w:hAnsi="Arial" w:cs="Arial"/>
          <w:sz w:val="20"/>
          <w:szCs w:val="20"/>
        </w:rPr>
        <w:t xml:space="preserve">House Bill 73 addressed the need for uniform accounting, budgeting, and financial reporting procedures for local governments. This need was identified in two evaluations: </w:t>
      </w:r>
      <w:r w:rsidRPr="613764F8">
        <w:rPr>
          <w:rFonts w:ascii="Arial" w:hAnsi="Arial" w:cs="Arial"/>
          <w:i/>
          <w:iCs/>
          <w:sz w:val="20"/>
          <w:szCs w:val="20"/>
        </w:rPr>
        <w:t>The Impact of State Mandates on County Governments</w:t>
      </w:r>
      <w:r w:rsidRPr="613764F8">
        <w:rPr>
          <w:rFonts w:ascii="Arial" w:hAnsi="Arial" w:cs="Arial"/>
          <w:sz w:val="20"/>
          <w:szCs w:val="20"/>
        </w:rPr>
        <w:t xml:space="preserve"> and </w:t>
      </w:r>
      <w:r w:rsidRPr="613764F8">
        <w:rPr>
          <w:rFonts w:ascii="Arial" w:hAnsi="Arial" w:cs="Arial"/>
          <w:i/>
          <w:iCs/>
          <w:sz w:val="20"/>
          <w:szCs w:val="20"/>
        </w:rPr>
        <w:t>County Revenues</w:t>
      </w:r>
      <w:r w:rsidRPr="613764F8">
        <w:rPr>
          <w:rFonts w:ascii="Arial" w:hAnsi="Arial" w:cs="Arial"/>
          <w:sz w:val="20"/>
          <w:szCs w:val="20"/>
        </w:rPr>
        <w:t xml:space="preserve">.  </w:t>
      </w:r>
    </w:p>
    <w:p w14:paraId="136AEA4D" w14:textId="510D2FB6" w:rsidR="00D669D7" w:rsidRDefault="00D669D7" w:rsidP="00BB7A23">
      <w:pPr>
        <w:pStyle w:val="ListParagraph"/>
        <w:numPr>
          <w:ilvl w:val="0"/>
          <w:numId w:val="33"/>
        </w:numPr>
        <w:jc w:val="both"/>
        <w:rPr>
          <w:rFonts w:ascii="Arial" w:hAnsi="Arial" w:cs="Arial"/>
          <w:bCs/>
          <w:sz w:val="20"/>
          <w:szCs w:val="20"/>
        </w:rPr>
      </w:pPr>
      <w:r>
        <w:rPr>
          <w:rFonts w:ascii="Arial" w:hAnsi="Arial" w:cs="Arial"/>
          <w:bCs/>
          <w:sz w:val="20"/>
          <w:szCs w:val="20"/>
        </w:rPr>
        <w:t xml:space="preserve">House Bill 180 defined itself in its statement of purpose as a response to our evaluation </w:t>
      </w:r>
      <w:r w:rsidRPr="002A5F1A">
        <w:rPr>
          <w:rFonts w:ascii="Arial" w:hAnsi="Arial" w:cs="Arial"/>
          <w:i/>
          <w:iCs/>
          <w:sz w:val="20"/>
          <w:szCs w:val="20"/>
        </w:rPr>
        <w:t>Preparedness of Idahoans to Retire: Deciding the State’s Role</w:t>
      </w:r>
      <w:r>
        <w:rPr>
          <w:rFonts w:ascii="Arial" w:hAnsi="Arial" w:cs="Arial"/>
          <w:bCs/>
          <w:sz w:val="20"/>
          <w:szCs w:val="20"/>
        </w:rPr>
        <w:t>. The bill would have established a voluntary retirement program for Idahoans without a workplace retirement plan.</w:t>
      </w:r>
    </w:p>
    <w:p w14:paraId="237DFBE1" w14:textId="20AA4EEC" w:rsidR="00EE2D52" w:rsidRDefault="00D669D7" w:rsidP="00EE2D52">
      <w:pPr>
        <w:pStyle w:val="ListParagraph"/>
        <w:numPr>
          <w:ilvl w:val="0"/>
          <w:numId w:val="31"/>
        </w:numPr>
        <w:jc w:val="both"/>
        <w:rPr>
          <w:rFonts w:ascii="Arial" w:hAnsi="Arial" w:cs="Arial"/>
          <w:bCs/>
          <w:iCs/>
          <w:sz w:val="20"/>
          <w:szCs w:val="20"/>
        </w:rPr>
      </w:pPr>
      <w:r>
        <w:rPr>
          <w:rFonts w:ascii="Arial" w:hAnsi="Arial" w:cs="Arial"/>
          <w:bCs/>
          <w:sz w:val="20"/>
          <w:szCs w:val="20"/>
        </w:rPr>
        <w:t xml:space="preserve">Senate Concurrent Resolution 107 </w:t>
      </w:r>
      <w:r w:rsidR="00EE2D52">
        <w:rPr>
          <w:rFonts w:ascii="Arial" w:hAnsi="Arial" w:cs="Arial"/>
          <w:bCs/>
          <w:sz w:val="20"/>
          <w:szCs w:val="20"/>
        </w:rPr>
        <w:t xml:space="preserve">would have established an interim committee to research a system for issuance of driver authorization cards in response to our report </w:t>
      </w:r>
      <w:r w:rsidR="00EE2D52" w:rsidRPr="00EE2D52">
        <w:rPr>
          <w:rFonts w:ascii="Arial" w:hAnsi="Arial" w:cs="Arial"/>
          <w:bCs/>
          <w:i/>
          <w:sz w:val="20"/>
          <w:szCs w:val="20"/>
        </w:rPr>
        <w:t>Driving Authority for Unauthorized Immigrants</w:t>
      </w:r>
      <w:r w:rsidR="00EE2D52">
        <w:rPr>
          <w:rFonts w:ascii="Arial" w:hAnsi="Arial" w:cs="Arial"/>
          <w:bCs/>
          <w:i/>
          <w:sz w:val="20"/>
          <w:szCs w:val="20"/>
        </w:rPr>
        <w:t>.</w:t>
      </w:r>
    </w:p>
    <w:p w14:paraId="09586880" w14:textId="375C29C4" w:rsidR="002A5F1A" w:rsidRDefault="002A5F1A" w:rsidP="00EE2D52">
      <w:pPr>
        <w:pStyle w:val="ListParagraph"/>
        <w:jc w:val="both"/>
        <w:rPr>
          <w:rFonts w:ascii="Arial" w:hAnsi="Arial" w:cs="Arial"/>
          <w:bCs/>
          <w:sz w:val="20"/>
          <w:szCs w:val="20"/>
        </w:rPr>
      </w:pPr>
    </w:p>
    <w:p w14:paraId="65BB0A1C" w14:textId="537FC011" w:rsidR="00EE2D52" w:rsidRDefault="00EE2D52" w:rsidP="00EE2D52">
      <w:pPr>
        <w:pStyle w:val="ListParagraph"/>
        <w:jc w:val="both"/>
        <w:rPr>
          <w:rFonts w:ascii="Arial" w:hAnsi="Arial" w:cs="Arial"/>
          <w:bCs/>
          <w:sz w:val="20"/>
          <w:szCs w:val="20"/>
        </w:rPr>
      </w:pPr>
    </w:p>
    <w:p w14:paraId="66F83B98" w14:textId="5C1313E1" w:rsidR="00EE2D52" w:rsidRDefault="00EE2D52" w:rsidP="00EE2D52">
      <w:pPr>
        <w:pStyle w:val="ListParagraph"/>
        <w:jc w:val="both"/>
        <w:rPr>
          <w:rFonts w:ascii="Arial" w:hAnsi="Arial" w:cs="Arial"/>
          <w:bCs/>
          <w:sz w:val="20"/>
          <w:szCs w:val="20"/>
        </w:rPr>
      </w:pPr>
    </w:p>
    <w:p w14:paraId="15CC4419" w14:textId="49597E8B" w:rsidR="000B73F2" w:rsidRPr="0005658D" w:rsidRDefault="000B73F2" w:rsidP="00BB7A23">
      <w:pPr>
        <w:jc w:val="both"/>
        <w:rPr>
          <w:rFonts w:ascii="Arial" w:hAnsi="Arial" w:cs="Arial"/>
          <w:b/>
          <w:sz w:val="20"/>
          <w:szCs w:val="20"/>
        </w:rPr>
      </w:pPr>
      <w:r w:rsidRPr="0005658D">
        <w:rPr>
          <w:rFonts w:ascii="Arial" w:hAnsi="Arial" w:cs="Arial"/>
          <w:b/>
          <w:sz w:val="20"/>
          <w:szCs w:val="20"/>
        </w:rPr>
        <w:t>Legislative presentations</w:t>
      </w:r>
    </w:p>
    <w:p w14:paraId="585D256F" w14:textId="5CB5E686" w:rsidR="000B73F2" w:rsidRPr="0005658D" w:rsidRDefault="000B73F2" w:rsidP="00BB7A23">
      <w:pPr>
        <w:jc w:val="both"/>
        <w:rPr>
          <w:rFonts w:ascii="Arial" w:hAnsi="Arial" w:cs="Arial"/>
          <w:sz w:val="20"/>
          <w:szCs w:val="20"/>
        </w:rPr>
      </w:pPr>
      <w:r w:rsidRPr="0005658D">
        <w:rPr>
          <w:rFonts w:ascii="Arial" w:hAnsi="Arial" w:cs="Arial"/>
          <w:sz w:val="20"/>
          <w:szCs w:val="20"/>
        </w:rPr>
        <w:t xml:space="preserve">Staff made </w:t>
      </w:r>
      <w:r w:rsidR="00092DA4">
        <w:rPr>
          <w:rFonts w:ascii="Arial" w:hAnsi="Arial" w:cs="Arial"/>
          <w:sz w:val="20"/>
          <w:szCs w:val="20"/>
        </w:rPr>
        <w:t>t</w:t>
      </w:r>
      <w:r w:rsidR="002A5F1A">
        <w:rPr>
          <w:rFonts w:ascii="Arial" w:hAnsi="Arial" w:cs="Arial"/>
          <w:sz w:val="20"/>
          <w:szCs w:val="20"/>
        </w:rPr>
        <w:t>hree</w:t>
      </w:r>
      <w:r w:rsidRPr="0005658D">
        <w:rPr>
          <w:rFonts w:ascii="Arial" w:hAnsi="Arial" w:cs="Arial"/>
          <w:sz w:val="20"/>
          <w:szCs w:val="20"/>
        </w:rPr>
        <w:t xml:space="preserve"> presentations to legislative committees, not i</w:t>
      </w:r>
      <w:r>
        <w:rPr>
          <w:rFonts w:ascii="Arial" w:hAnsi="Arial" w:cs="Arial"/>
          <w:sz w:val="20"/>
          <w:szCs w:val="20"/>
        </w:rPr>
        <w:t>ncluding presentations to JLOC:</w:t>
      </w:r>
    </w:p>
    <w:p w14:paraId="3686943C" w14:textId="674F35FF" w:rsidR="002A5F1A" w:rsidRDefault="00092DA4" w:rsidP="00E2659B">
      <w:pPr>
        <w:pStyle w:val="ListParagraph"/>
        <w:numPr>
          <w:ilvl w:val="0"/>
          <w:numId w:val="25"/>
        </w:numPr>
        <w:jc w:val="both"/>
        <w:rPr>
          <w:rFonts w:ascii="Arial" w:hAnsi="Arial" w:cs="Arial"/>
          <w:sz w:val="20"/>
          <w:szCs w:val="20"/>
        </w:rPr>
      </w:pPr>
      <w:r w:rsidRPr="002A5F1A">
        <w:rPr>
          <w:rFonts w:ascii="Arial" w:hAnsi="Arial" w:cs="Arial"/>
          <w:sz w:val="20"/>
          <w:szCs w:val="20"/>
        </w:rPr>
        <w:t>A</w:t>
      </w:r>
      <w:r w:rsidR="002A5F1A">
        <w:rPr>
          <w:rFonts w:ascii="Arial" w:hAnsi="Arial" w:cs="Arial"/>
          <w:sz w:val="20"/>
          <w:szCs w:val="20"/>
        </w:rPr>
        <w:t xml:space="preserve"> presentation of findings from our evaluation </w:t>
      </w:r>
      <w:r w:rsidR="002A5F1A" w:rsidRPr="002A5F1A">
        <w:rPr>
          <w:rFonts w:ascii="Arial" w:hAnsi="Arial" w:cs="Arial"/>
          <w:i/>
          <w:iCs/>
          <w:sz w:val="20"/>
          <w:szCs w:val="20"/>
        </w:rPr>
        <w:t>Preparedness of Idahoans to Retire: Deciding the State’s Role</w:t>
      </w:r>
      <w:r w:rsidR="002A5F1A">
        <w:rPr>
          <w:rFonts w:ascii="Arial" w:hAnsi="Arial" w:cs="Arial"/>
          <w:sz w:val="20"/>
          <w:szCs w:val="20"/>
        </w:rPr>
        <w:t xml:space="preserve"> to the Senate Commerce and Human Resources Committee</w:t>
      </w:r>
    </w:p>
    <w:p w14:paraId="6A4ACF67" w14:textId="0FF9CCF1" w:rsidR="002A5F1A" w:rsidRDefault="002A5F1A" w:rsidP="002A5F1A">
      <w:pPr>
        <w:pStyle w:val="ListParagraph"/>
        <w:numPr>
          <w:ilvl w:val="0"/>
          <w:numId w:val="25"/>
        </w:numPr>
        <w:jc w:val="both"/>
        <w:rPr>
          <w:rFonts w:ascii="Arial" w:hAnsi="Arial" w:cs="Arial"/>
          <w:sz w:val="20"/>
          <w:szCs w:val="20"/>
        </w:rPr>
      </w:pPr>
      <w:r w:rsidRPr="002A5F1A">
        <w:rPr>
          <w:rFonts w:ascii="Arial" w:hAnsi="Arial" w:cs="Arial"/>
          <w:sz w:val="20"/>
          <w:szCs w:val="20"/>
        </w:rPr>
        <w:t>A</w:t>
      </w:r>
      <w:r>
        <w:rPr>
          <w:rFonts w:ascii="Arial" w:hAnsi="Arial" w:cs="Arial"/>
          <w:sz w:val="20"/>
          <w:szCs w:val="20"/>
        </w:rPr>
        <w:t xml:space="preserve"> presentation of findings from our evaluation </w:t>
      </w:r>
      <w:r w:rsidRPr="002A5F1A">
        <w:rPr>
          <w:rFonts w:ascii="Arial" w:hAnsi="Arial" w:cs="Arial"/>
          <w:i/>
          <w:iCs/>
          <w:sz w:val="20"/>
          <w:szCs w:val="20"/>
        </w:rPr>
        <w:t>Preparedness of Idahoans to Retire: Deciding the State’s Role</w:t>
      </w:r>
      <w:r>
        <w:rPr>
          <w:rFonts w:ascii="Arial" w:hAnsi="Arial" w:cs="Arial"/>
          <w:sz w:val="20"/>
          <w:szCs w:val="20"/>
        </w:rPr>
        <w:t xml:space="preserve"> to the House Business Committee</w:t>
      </w:r>
    </w:p>
    <w:p w14:paraId="7D37E741" w14:textId="749DE1CC" w:rsidR="002A5F1A" w:rsidRPr="002A5F1A" w:rsidRDefault="002A5F1A" w:rsidP="002A5F1A">
      <w:pPr>
        <w:pStyle w:val="ListParagraph"/>
        <w:numPr>
          <w:ilvl w:val="0"/>
          <w:numId w:val="25"/>
        </w:numPr>
        <w:jc w:val="both"/>
        <w:rPr>
          <w:rFonts w:ascii="Arial" w:hAnsi="Arial" w:cs="Arial"/>
          <w:sz w:val="20"/>
          <w:szCs w:val="20"/>
        </w:rPr>
      </w:pPr>
      <w:r w:rsidRPr="002A5F1A">
        <w:rPr>
          <w:rFonts w:ascii="Arial" w:hAnsi="Arial" w:cs="Arial"/>
          <w:sz w:val="20"/>
          <w:szCs w:val="20"/>
        </w:rPr>
        <w:t>A</w:t>
      </w:r>
      <w:r>
        <w:rPr>
          <w:rFonts w:ascii="Arial" w:hAnsi="Arial" w:cs="Arial"/>
          <w:sz w:val="20"/>
          <w:szCs w:val="20"/>
        </w:rPr>
        <w:t xml:space="preserve"> presentation of findings from our evaluation</w:t>
      </w:r>
      <w:r w:rsidR="00E05605">
        <w:rPr>
          <w:rFonts w:ascii="Arial" w:hAnsi="Arial" w:cs="Arial"/>
          <w:sz w:val="20"/>
          <w:szCs w:val="20"/>
        </w:rPr>
        <w:t xml:space="preserve"> </w:t>
      </w:r>
      <w:r>
        <w:rPr>
          <w:rFonts w:ascii="Arial" w:hAnsi="Arial" w:cs="Arial"/>
          <w:i/>
          <w:iCs/>
          <w:sz w:val="20"/>
          <w:szCs w:val="20"/>
        </w:rPr>
        <w:t xml:space="preserve">State Response to Alzheimer’s Disease and Related Dementias </w:t>
      </w:r>
      <w:r>
        <w:rPr>
          <w:rFonts w:ascii="Arial" w:hAnsi="Arial" w:cs="Arial"/>
          <w:sz w:val="20"/>
          <w:szCs w:val="20"/>
        </w:rPr>
        <w:t>to the Senate Health and Welfare Committee</w:t>
      </w:r>
    </w:p>
    <w:p w14:paraId="5CD7B3E8" w14:textId="77777777" w:rsidR="000B73F2" w:rsidRPr="0005658D" w:rsidRDefault="000B73F2" w:rsidP="00BB7A23">
      <w:pPr>
        <w:jc w:val="both"/>
        <w:rPr>
          <w:rFonts w:ascii="Arial" w:hAnsi="Arial" w:cs="Arial"/>
          <w:sz w:val="20"/>
          <w:szCs w:val="20"/>
        </w:rPr>
      </w:pPr>
    </w:p>
    <w:p w14:paraId="5A1DBFCB" w14:textId="77777777" w:rsidR="000B73F2" w:rsidRPr="0005658D" w:rsidRDefault="000B73F2" w:rsidP="00BB7A23">
      <w:pPr>
        <w:jc w:val="both"/>
        <w:rPr>
          <w:rFonts w:ascii="Arial" w:hAnsi="Arial" w:cs="Arial"/>
          <w:b/>
          <w:sz w:val="20"/>
          <w:szCs w:val="20"/>
        </w:rPr>
      </w:pPr>
      <w:r w:rsidRPr="0005658D">
        <w:rPr>
          <w:rFonts w:ascii="Arial" w:hAnsi="Arial" w:cs="Arial"/>
          <w:b/>
          <w:sz w:val="20"/>
          <w:szCs w:val="20"/>
        </w:rPr>
        <w:t>Presentations made outside the legislature</w:t>
      </w:r>
    </w:p>
    <w:p w14:paraId="4EC577C0" w14:textId="327166FA" w:rsidR="00A627B1" w:rsidRPr="005258BE" w:rsidRDefault="000B73F2" w:rsidP="00A627B1">
      <w:pPr>
        <w:jc w:val="both"/>
        <w:rPr>
          <w:rFonts w:ascii="Arial" w:hAnsi="Arial" w:cs="Arial"/>
          <w:sz w:val="20"/>
          <w:szCs w:val="20"/>
        </w:rPr>
      </w:pPr>
      <w:r w:rsidRPr="004B0112">
        <w:rPr>
          <w:rFonts w:ascii="Arial" w:hAnsi="Arial" w:cs="Arial"/>
          <w:sz w:val="20"/>
          <w:szCs w:val="20"/>
        </w:rPr>
        <w:t xml:space="preserve">Staff made </w:t>
      </w:r>
      <w:r w:rsidR="002A5F1A">
        <w:rPr>
          <w:rFonts w:ascii="Arial" w:hAnsi="Arial" w:cs="Arial"/>
          <w:sz w:val="20"/>
          <w:szCs w:val="20"/>
        </w:rPr>
        <w:t>4</w:t>
      </w:r>
      <w:r w:rsidRPr="004B0112">
        <w:rPr>
          <w:rFonts w:ascii="Arial" w:hAnsi="Arial" w:cs="Arial"/>
          <w:sz w:val="20"/>
          <w:szCs w:val="20"/>
        </w:rPr>
        <w:t xml:space="preserve"> presentations </w:t>
      </w:r>
      <w:r>
        <w:rPr>
          <w:rFonts w:ascii="Arial" w:hAnsi="Arial" w:cs="Arial"/>
          <w:sz w:val="20"/>
          <w:szCs w:val="20"/>
        </w:rPr>
        <w:t xml:space="preserve">outside of the legislature to </w:t>
      </w:r>
      <w:r w:rsidRPr="00770605">
        <w:rPr>
          <w:rFonts w:ascii="Arial" w:hAnsi="Arial" w:cs="Arial"/>
          <w:sz w:val="20"/>
          <w:szCs w:val="20"/>
        </w:rPr>
        <w:t xml:space="preserve">the </w:t>
      </w:r>
      <w:r>
        <w:rPr>
          <w:rFonts w:ascii="Arial" w:hAnsi="Arial" w:cs="Arial"/>
          <w:sz w:val="20"/>
          <w:szCs w:val="20"/>
        </w:rPr>
        <w:t>following organizations:</w:t>
      </w:r>
      <w:r w:rsidR="00E05605">
        <w:rPr>
          <w:rFonts w:ascii="Arial" w:hAnsi="Arial" w:cs="Arial"/>
          <w:sz w:val="20"/>
          <w:szCs w:val="20"/>
        </w:rPr>
        <w:t xml:space="preserve"> </w:t>
      </w:r>
      <w:r w:rsidR="002A5F1A">
        <w:rPr>
          <w:rFonts w:ascii="Arial" w:hAnsi="Arial" w:cs="Arial"/>
          <w:sz w:val="20"/>
          <w:szCs w:val="20"/>
        </w:rPr>
        <w:t>Dementia Capability Conference</w:t>
      </w:r>
      <w:r w:rsidR="00E05605">
        <w:rPr>
          <w:rFonts w:ascii="Arial" w:hAnsi="Arial" w:cs="Arial"/>
          <w:sz w:val="20"/>
          <w:szCs w:val="20"/>
        </w:rPr>
        <w:t xml:space="preserve">, Idaho Caregiver Alliance, International </w:t>
      </w:r>
      <w:proofErr w:type="spellStart"/>
      <w:r w:rsidR="00E05605">
        <w:rPr>
          <w:rFonts w:ascii="Arial" w:hAnsi="Arial" w:cs="Arial"/>
          <w:sz w:val="20"/>
          <w:szCs w:val="20"/>
        </w:rPr>
        <w:t>EvalYouth</w:t>
      </w:r>
      <w:proofErr w:type="spellEnd"/>
      <w:r w:rsidR="00E05605">
        <w:rPr>
          <w:rFonts w:ascii="Arial" w:hAnsi="Arial" w:cs="Arial"/>
          <w:sz w:val="20"/>
          <w:szCs w:val="20"/>
        </w:rPr>
        <w:t xml:space="preserve"> Virtual Conference, and Arizona Evaluation Network Annual Conference.</w:t>
      </w:r>
    </w:p>
    <w:p w14:paraId="088FE682" w14:textId="77777777" w:rsidR="00C16A16" w:rsidRPr="00BB7A23" w:rsidRDefault="00C16A16" w:rsidP="00A627B1">
      <w:pPr>
        <w:jc w:val="both"/>
        <w:rPr>
          <w:rFonts w:ascii="Arial" w:hAnsi="Arial" w:cs="Arial"/>
          <w:sz w:val="20"/>
          <w:szCs w:val="20"/>
        </w:rPr>
      </w:pPr>
    </w:p>
    <w:tbl>
      <w:tblPr>
        <w:tblW w:w="0" w:type="auto"/>
        <w:jc w:val="center"/>
        <w:tblBorders>
          <w:top w:val="threeDEmboss" w:sz="24" w:space="0" w:color="333399"/>
          <w:left w:val="threeDEmboss" w:sz="24" w:space="0" w:color="333399"/>
          <w:bottom w:val="threeDEmboss" w:sz="24" w:space="0" w:color="333399"/>
          <w:right w:val="threeDEmboss" w:sz="24" w:space="0" w:color="333399"/>
        </w:tblBorders>
        <w:tblLook w:val="0000" w:firstRow="0" w:lastRow="0" w:firstColumn="0" w:lastColumn="0" w:noHBand="0" w:noVBand="0"/>
      </w:tblPr>
      <w:tblGrid>
        <w:gridCol w:w="7680"/>
      </w:tblGrid>
      <w:tr w:rsidR="008B4851" w:rsidRPr="004B40B0" w14:paraId="4070719F" w14:textId="77777777" w:rsidTr="00A9269C">
        <w:trPr>
          <w:trHeight w:val="2697"/>
          <w:jc w:val="center"/>
        </w:trPr>
        <w:tc>
          <w:tcPr>
            <w:tcW w:w="7680" w:type="dxa"/>
            <w:tcBorders>
              <w:top w:val="threeDEmboss" w:sz="24" w:space="0" w:color="333399"/>
              <w:left w:val="threeDEmboss" w:sz="24" w:space="0" w:color="333399"/>
              <w:bottom w:val="threeDEmboss" w:sz="24" w:space="0" w:color="333399"/>
              <w:right w:val="threeDEmboss" w:sz="24" w:space="0" w:color="333399"/>
            </w:tcBorders>
          </w:tcPr>
          <w:p w14:paraId="138AAFF8" w14:textId="77777777" w:rsidR="008B4851" w:rsidRDefault="008B4851" w:rsidP="00A627B1">
            <w:pPr>
              <w:jc w:val="center"/>
              <w:rPr>
                <w:rFonts w:ascii="Arial" w:hAnsi="Arial" w:cs="Arial"/>
                <w:sz w:val="20"/>
              </w:rPr>
            </w:pPr>
            <w:r>
              <w:rPr>
                <w:rFonts w:ascii="Arial" w:hAnsi="Arial" w:cs="Arial"/>
                <w:b/>
                <w:bCs/>
                <w:sz w:val="20"/>
              </w:rPr>
              <w:t>For More Information Contact</w:t>
            </w:r>
          </w:p>
          <w:p w14:paraId="4A8D6D0C" w14:textId="77777777" w:rsidR="008B4851" w:rsidRDefault="008B4851" w:rsidP="00A627B1">
            <w:pPr>
              <w:jc w:val="center"/>
              <w:rPr>
                <w:rFonts w:ascii="Arial" w:hAnsi="Arial" w:cs="Arial"/>
                <w:sz w:val="20"/>
              </w:rPr>
            </w:pPr>
          </w:p>
          <w:p w14:paraId="2E9D48CA" w14:textId="77777777" w:rsidR="008B4851" w:rsidRDefault="008B4851" w:rsidP="00A627B1">
            <w:pPr>
              <w:ind w:left="252"/>
              <w:rPr>
                <w:rFonts w:ascii="Arial" w:hAnsi="Arial" w:cs="Arial"/>
                <w:sz w:val="20"/>
              </w:rPr>
            </w:pPr>
            <w:r>
              <w:rPr>
                <w:rFonts w:ascii="Arial" w:hAnsi="Arial" w:cs="Arial"/>
                <w:noProof/>
                <w:sz w:val="20"/>
              </w:rPr>
              <w:t>Rakesh Mohan, Director</w:t>
            </w:r>
          </w:p>
          <w:p w14:paraId="62FE48A5" w14:textId="77777777" w:rsidR="008B4851" w:rsidRDefault="008B4851" w:rsidP="00A627B1">
            <w:pPr>
              <w:ind w:left="252"/>
              <w:rPr>
                <w:rFonts w:ascii="Arial" w:hAnsi="Arial" w:cs="Arial"/>
                <w:sz w:val="20"/>
              </w:rPr>
            </w:pPr>
            <w:r>
              <w:rPr>
                <w:rFonts w:ascii="Arial" w:hAnsi="Arial" w:cs="Arial"/>
                <w:noProof/>
                <w:sz w:val="20"/>
              </w:rPr>
              <w:t>Office of Performance Evaluations</w:t>
            </w:r>
          </w:p>
          <w:p w14:paraId="5035C4EC" w14:textId="77777777" w:rsidR="008B4851" w:rsidRDefault="008B4851" w:rsidP="00A627B1">
            <w:pPr>
              <w:ind w:left="252"/>
              <w:rPr>
                <w:rFonts w:ascii="Arial" w:hAnsi="Arial" w:cs="Arial"/>
                <w:sz w:val="20"/>
              </w:rPr>
            </w:pPr>
            <w:r>
              <w:rPr>
                <w:rFonts w:ascii="Arial" w:hAnsi="Arial" w:cs="Arial"/>
                <w:noProof/>
                <w:sz w:val="20"/>
              </w:rPr>
              <w:t>Idaho Legislature</w:t>
            </w:r>
          </w:p>
          <w:p w14:paraId="39D0698D" w14:textId="77777777" w:rsidR="008B4851" w:rsidRPr="004B40B0" w:rsidRDefault="008B4851" w:rsidP="00A627B1">
            <w:pPr>
              <w:ind w:left="252"/>
              <w:rPr>
                <w:rFonts w:ascii="Arial" w:hAnsi="Arial" w:cs="Arial"/>
                <w:sz w:val="20"/>
                <w:lang w:val="fr-FR"/>
              </w:rPr>
            </w:pPr>
            <w:r w:rsidRPr="004B40B0">
              <w:rPr>
                <w:rFonts w:ascii="Arial" w:hAnsi="Arial" w:cs="Arial"/>
                <w:noProof/>
                <w:sz w:val="20"/>
                <w:lang w:val="fr-FR"/>
              </w:rPr>
              <w:t>PO Box 83720</w:t>
            </w:r>
          </w:p>
          <w:p w14:paraId="0B6E1B92" w14:textId="77777777" w:rsidR="008B4851" w:rsidRPr="004B40B0" w:rsidRDefault="008B4851" w:rsidP="00A627B1">
            <w:pPr>
              <w:ind w:left="252"/>
              <w:rPr>
                <w:rFonts w:ascii="Arial" w:hAnsi="Arial" w:cs="Arial"/>
                <w:sz w:val="20"/>
                <w:lang w:val="fr-FR"/>
              </w:rPr>
            </w:pPr>
            <w:r w:rsidRPr="004B40B0">
              <w:rPr>
                <w:rFonts w:ascii="Arial" w:hAnsi="Arial" w:cs="Arial"/>
                <w:noProof/>
                <w:sz w:val="20"/>
                <w:lang w:val="fr-FR"/>
              </w:rPr>
              <w:t>Boise</w:t>
            </w:r>
            <w:r w:rsidRPr="004B40B0">
              <w:rPr>
                <w:rFonts w:ascii="Arial" w:hAnsi="Arial" w:cs="Arial"/>
                <w:sz w:val="20"/>
                <w:lang w:val="fr-FR"/>
              </w:rPr>
              <w:t xml:space="preserve">, </w:t>
            </w:r>
            <w:r w:rsidRPr="004B40B0">
              <w:rPr>
                <w:rFonts w:ascii="Arial" w:hAnsi="Arial" w:cs="Arial"/>
                <w:noProof/>
                <w:sz w:val="20"/>
                <w:lang w:val="fr-FR"/>
              </w:rPr>
              <w:t>ID</w:t>
            </w:r>
            <w:r w:rsidRPr="004B40B0">
              <w:rPr>
                <w:rFonts w:ascii="Arial" w:hAnsi="Arial" w:cs="Arial"/>
                <w:sz w:val="20"/>
                <w:lang w:val="fr-FR"/>
              </w:rPr>
              <w:t xml:space="preserve">  </w:t>
            </w:r>
            <w:r w:rsidRPr="004B40B0">
              <w:rPr>
                <w:rFonts w:ascii="Arial" w:hAnsi="Arial" w:cs="Arial"/>
                <w:noProof/>
                <w:sz w:val="20"/>
                <w:lang w:val="fr-FR"/>
              </w:rPr>
              <w:t>83720-0055</w:t>
            </w:r>
          </w:p>
          <w:p w14:paraId="1A245F3F" w14:textId="77777777" w:rsidR="008B4851" w:rsidRPr="004B40B0" w:rsidRDefault="008B4851" w:rsidP="00A627B1">
            <w:pPr>
              <w:ind w:left="252"/>
              <w:rPr>
                <w:rFonts w:ascii="Arial" w:hAnsi="Arial" w:cs="Arial"/>
                <w:sz w:val="20"/>
                <w:szCs w:val="17"/>
                <w:lang w:val="fr-FR"/>
              </w:rPr>
            </w:pPr>
            <w:r w:rsidRPr="004B40B0">
              <w:rPr>
                <w:rFonts w:ascii="Arial" w:hAnsi="Arial" w:cs="Arial"/>
                <w:sz w:val="20"/>
                <w:lang w:val="fr-FR"/>
              </w:rPr>
              <w:t>Phone</w:t>
            </w:r>
            <w:r w:rsidR="00A627B1">
              <w:rPr>
                <w:rFonts w:ascii="Arial" w:hAnsi="Arial" w:cs="Arial"/>
                <w:sz w:val="20"/>
                <w:lang w:val="fr-FR"/>
              </w:rPr>
              <w:t> </w:t>
            </w:r>
            <w:r w:rsidRPr="004B40B0">
              <w:rPr>
                <w:rFonts w:ascii="Arial" w:hAnsi="Arial" w:cs="Arial"/>
                <w:sz w:val="20"/>
                <w:lang w:val="fr-FR"/>
              </w:rPr>
              <w:t>: (208) 33</w:t>
            </w:r>
            <w:r>
              <w:rPr>
                <w:rFonts w:ascii="Arial" w:hAnsi="Arial" w:cs="Arial"/>
                <w:sz w:val="20"/>
                <w:lang w:val="fr-FR"/>
              </w:rPr>
              <w:t>2</w:t>
            </w:r>
            <w:r w:rsidRPr="004B40B0">
              <w:rPr>
                <w:rFonts w:ascii="Arial" w:hAnsi="Arial" w:cs="Arial"/>
                <w:sz w:val="20"/>
                <w:lang w:val="fr-FR"/>
              </w:rPr>
              <w:t>-</w:t>
            </w:r>
            <w:r>
              <w:rPr>
                <w:rFonts w:ascii="Arial" w:hAnsi="Arial" w:cs="Arial"/>
                <w:sz w:val="20"/>
                <w:lang w:val="fr-FR"/>
              </w:rPr>
              <w:t>1470</w:t>
            </w:r>
          </w:p>
          <w:p w14:paraId="0066B800" w14:textId="5F273BA4" w:rsidR="008B4851" w:rsidRDefault="008B4851" w:rsidP="00A627B1">
            <w:pPr>
              <w:ind w:left="259"/>
            </w:pPr>
            <w:proofErr w:type="gramStart"/>
            <w:r w:rsidRPr="004B40B0">
              <w:rPr>
                <w:rFonts w:ascii="Arial" w:hAnsi="Arial" w:cs="Arial"/>
                <w:sz w:val="20"/>
                <w:szCs w:val="17"/>
                <w:lang w:val="fr-FR"/>
              </w:rPr>
              <w:t>E-mail</w:t>
            </w:r>
            <w:proofErr w:type="gramEnd"/>
            <w:r w:rsidR="00A627B1">
              <w:rPr>
                <w:rFonts w:ascii="Arial" w:hAnsi="Arial" w:cs="Arial"/>
                <w:sz w:val="20"/>
                <w:szCs w:val="17"/>
                <w:lang w:val="fr-FR"/>
              </w:rPr>
              <w:t> </w:t>
            </w:r>
            <w:r w:rsidRPr="004B40B0">
              <w:rPr>
                <w:rFonts w:ascii="Arial" w:hAnsi="Arial" w:cs="Arial"/>
                <w:sz w:val="20"/>
                <w:szCs w:val="17"/>
                <w:lang w:val="fr-FR"/>
              </w:rPr>
              <w:t xml:space="preserve">: </w:t>
            </w:r>
            <w:hyperlink r:id="rId12" w:history="1">
              <w:r w:rsidRPr="004B40B0">
                <w:rPr>
                  <w:rStyle w:val="Hyperlink"/>
                  <w:rFonts w:ascii="Arial" w:hAnsi="Arial" w:cs="Arial"/>
                  <w:sz w:val="20"/>
                  <w:szCs w:val="17"/>
                  <w:lang w:val="fr-FR"/>
                </w:rPr>
                <w:t>rmohan@ope.idaho.gov</w:t>
              </w:r>
            </w:hyperlink>
          </w:p>
          <w:p w14:paraId="7FAD8FBE" w14:textId="77777777" w:rsidR="006A6948" w:rsidRPr="004B40B0" w:rsidRDefault="006A6948" w:rsidP="00A627B1">
            <w:pPr>
              <w:ind w:left="259"/>
              <w:rPr>
                <w:rFonts w:ascii="Arial" w:hAnsi="Arial" w:cs="Arial"/>
                <w:sz w:val="20"/>
                <w:lang w:val="fr-FR"/>
              </w:rPr>
            </w:pPr>
            <w:proofErr w:type="spellStart"/>
            <w:r w:rsidRPr="008A6EB8">
              <w:rPr>
                <w:rFonts w:ascii="Arial" w:hAnsi="Arial" w:cs="Arial"/>
                <w:sz w:val="20"/>
                <w:szCs w:val="17"/>
                <w:lang w:val="fr-FR"/>
              </w:rPr>
              <w:t>Website</w:t>
            </w:r>
            <w:proofErr w:type="spellEnd"/>
            <w:r w:rsidR="00A627B1">
              <w:rPr>
                <w:rFonts w:ascii="Arial" w:hAnsi="Arial" w:cs="Arial"/>
                <w:sz w:val="20"/>
                <w:szCs w:val="17"/>
                <w:lang w:val="fr-FR"/>
              </w:rPr>
              <w:t> </w:t>
            </w:r>
            <w:r w:rsidRPr="008A6EB8">
              <w:rPr>
                <w:rFonts w:ascii="Arial" w:hAnsi="Arial" w:cs="Arial"/>
                <w:sz w:val="20"/>
                <w:szCs w:val="17"/>
                <w:lang w:val="fr-FR"/>
              </w:rPr>
              <w:t>:</w:t>
            </w:r>
            <w:r w:rsidRPr="008A6EB8">
              <w:rPr>
                <w:rFonts w:ascii="Arial" w:hAnsi="Arial" w:cs="Arial"/>
                <w:sz w:val="20"/>
                <w:lang w:val="fr-FR"/>
              </w:rPr>
              <w:t xml:space="preserve"> </w:t>
            </w:r>
            <w:hyperlink r:id="rId13" w:history="1">
              <w:r w:rsidRPr="008A6EB8">
                <w:rPr>
                  <w:rStyle w:val="Hyperlink"/>
                  <w:rFonts w:ascii="Arial" w:hAnsi="Arial" w:cs="Arial"/>
                  <w:sz w:val="20"/>
                  <w:lang w:val="fr-FR"/>
                </w:rPr>
                <w:t>www.legislature.idaho.gov</w:t>
              </w:r>
            </w:hyperlink>
            <w:r w:rsidR="00FB5DBB" w:rsidRPr="008A6EB8">
              <w:rPr>
                <w:rStyle w:val="Hyperlink"/>
                <w:rFonts w:ascii="Arial" w:hAnsi="Arial" w:cs="Arial"/>
                <w:sz w:val="20"/>
                <w:lang w:val="fr-FR"/>
              </w:rPr>
              <w:t>/ope</w:t>
            </w:r>
          </w:p>
        </w:tc>
      </w:tr>
    </w:tbl>
    <w:p w14:paraId="34C3C3E5" w14:textId="77777777" w:rsidR="004A12B5" w:rsidRPr="004B40B0" w:rsidRDefault="004A12B5" w:rsidP="00A627B1">
      <w:pPr>
        <w:jc w:val="both"/>
        <w:rPr>
          <w:lang w:val="fr-FR"/>
        </w:rPr>
      </w:pPr>
    </w:p>
    <w:sectPr w:rsidR="004A12B5" w:rsidRPr="004B40B0" w:rsidSect="001F776A">
      <w:headerReference w:type="default" r:id="rId14"/>
      <w:footerReference w:type="default" r:id="rId15"/>
      <w:type w:val="continuous"/>
      <w:pgSz w:w="12240" w:h="15840" w:code="1"/>
      <w:pgMar w:top="1080" w:right="1080" w:bottom="720" w:left="1080" w:header="108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6983" w14:textId="77777777" w:rsidR="00B35C83" w:rsidRDefault="00B35C83">
      <w:r>
        <w:separator/>
      </w:r>
    </w:p>
  </w:endnote>
  <w:endnote w:type="continuationSeparator" w:id="0">
    <w:p w14:paraId="64BD8EE8" w14:textId="77777777" w:rsidR="00B35C83" w:rsidRDefault="00B35C83">
      <w:r>
        <w:continuationSeparator/>
      </w:r>
    </w:p>
  </w:endnote>
  <w:endnote w:type="continuationNotice" w:id="1">
    <w:p w14:paraId="0E984018" w14:textId="77777777" w:rsidR="00B35C83" w:rsidRDefault="00B35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861273056"/>
      <w:docPartObj>
        <w:docPartGallery w:val="Page Numbers (Bottom of Page)"/>
        <w:docPartUnique/>
      </w:docPartObj>
    </w:sdtPr>
    <w:sdtEndPr>
      <w:rPr>
        <w:noProof/>
      </w:rPr>
    </w:sdtEndPr>
    <w:sdtContent>
      <w:p w14:paraId="654ED3F0" w14:textId="77777777" w:rsidR="003346B1" w:rsidRDefault="003346B1" w:rsidP="00080FEF">
        <w:pPr>
          <w:pStyle w:val="Footer"/>
          <w:tabs>
            <w:tab w:val="clear" w:pos="4320"/>
            <w:tab w:val="clear" w:pos="8640"/>
            <w:tab w:val="center" w:pos="4680"/>
            <w:tab w:val="right" w:pos="10080"/>
          </w:tabs>
          <w:rPr>
            <w:rFonts w:ascii="Arial" w:hAnsi="Arial" w:cs="Arial"/>
            <w:sz w:val="20"/>
            <w:szCs w:val="20"/>
          </w:rPr>
        </w:pPr>
      </w:p>
      <w:p w14:paraId="317221C8" w14:textId="6A7101E0" w:rsidR="007E2571" w:rsidRPr="003346B1" w:rsidRDefault="007E2571" w:rsidP="00080FEF">
        <w:pPr>
          <w:pStyle w:val="Footer"/>
          <w:tabs>
            <w:tab w:val="clear" w:pos="4320"/>
            <w:tab w:val="clear" w:pos="8640"/>
            <w:tab w:val="center" w:pos="4680"/>
            <w:tab w:val="right" w:pos="10080"/>
          </w:tabs>
          <w:rPr>
            <w:rFonts w:ascii="Arial" w:hAnsi="Arial" w:cs="Arial"/>
            <w:sz w:val="20"/>
            <w:szCs w:val="20"/>
          </w:rPr>
        </w:pPr>
        <w:r w:rsidRPr="003346B1">
          <w:rPr>
            <w:rFonts w:ascii="Arial" w:hAnsi="Arial" w:cs="Arial"/>
            <w:sz w:val="20"/>
            <w:szCs w:val="20"/>
          </w:rPr>
          <w:t>State of Idaho</w:t>
        </w:r>
        <w:r w:rsidRPr="003346B1">
          <w:rPr>
            <w:rFonts w:ascii="Arial" w:hAnsi="Arial" w:cs="Arial"/>
            <w:sz w:val="20"/>
            <w:szCs w:val="20"/>
          </w:rPr>
          <w:tab/>
        </w:r>
        <w:r w:rsidRPr="003346B1">
          <w:rPr>
            <w:rFonts w:ascii="Arial" w:hAnsi="Arial" w:cs="Arial"/>
            <w:sz w:val="20"/>
            <w:szCs w:val="20"/>
          </w:rPr>
          <w:tab/>
        </w:r>
        <w:r w:rsidRPr="003346B1">
          <w:rPr>
            <w:rFonts w:ascii="Arial" w:hAnsi="Arial" w:cs="Arial"/>
            <w:sz w:val="20"/>
            <w:szCs w:val="20"/>
          </w:rPr>
          <w:fldChar w:fldCharType="begin"/>
        </w:r>
        <w:r w:rsidRPr="003346B1">
          <w:rPr>
            <w:rFonts w:ascii="Arial" w:hAnsi="Arial" w:cs="Arial"/>
            <w:sz w:val="20"/>
            <w:szCs w:val="20"/>
          </w:rPr>
          <w:instrText xml:space="preserve"> PAGE   \* MERGEFORMAT </w:instrText>
        </w:r>
        <w:r w:rsidRPr="003346B1">
          <w:rPr>
            <w:rFonts w:ascii="Arial" w:hAnsi="Arial" w:cs="Arial"/>
            <w:sz w:val="20"/>
            <w:szCs w:val="20"/>
          </w:rPr>
          <w:fldChar w:fldCharType="separate"/>
        </w:r>
        <w:r w:rsidR="0026214B">
          <w:rPr>
            <w:rFonts w:ascii="Arial" w:hAnsi="Arial" w:cs="Arial"/>
            <w:noProof/>
            <w:sz w:val="20"/>
            <w:szCs w:val="20"/>
          </w:rPr>
          <w:t>3</w:t>
        </w:r>
        <w:r w:rsidRPr="003346B1">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F418" w14:textId="77777777" w:rsidR="00B35C83" w:rsidRDefault="00B35C83">
      <w:r>
        <w:separator/>
      </w:r>
    </w:p>
  </w:footnote>
  <w:footnote w:type="continuationSeparator" w:id="0">
    <w:p w14:paraId="0AB84910" w14:textId="77777777" w:rsidR="00B35C83" w:rsidRDefault="00B35C83">
      <w:r>
        <w:continuationSeparator/>
      </w:r>
    </w:p>
  </w:footnote>
  <w:footnote w:type="continuationNotice" w:id="1">
    <w:p w14:paraId="1C5934A3" w14:textId="77777777" w:rsidR="00B35C83" w:rsidRDefault="00B35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Borders>
        <w:insideH w:val="single" w:sz="4" w:space="0" w:color="auto"/>
        <w:insideV w:val="single" w:sz="4" w:space="0" w:color="auto"/>
      </w:tblBorders>
      <w:tblLook w:val="0000" w:firstRow="0" w:lastRow="0" w:firstColumn="0" w:lastColumn="0" w:noHBand="0" w:noVBand="0"/>
    </w:tblPr>
    <w:tblGrid>
      <w:gridCol w:w="10080"/>
    </w:tblGrid>
    <w:tr w:rsidR="007E2571" w14:paraId="15B38F7B" w14:textId="77777777" w:rsidTr="00256D0D">
      <w:tc>
        <w:tcPr>
          <w:tcW w:w="10080" w:type="dxa"/>
          <w:shd w:val="clear" w:color="auto" w:fill="000080"/>
        </w:tcPr>
        <w:p w14:paraId="086E976B" w14:textId="604852F8" w:rsidR="007E2571" w:rsidRDefault="007E2571" w:rsidP="003346B1">
          <w:pPr>
            <w:tabs>
              <w:tab w:val="right" w:pos="9852"/>
            </w:tabs>
            <w:rPr>
              <w:rFonts w:ascii="Arial" w:hAnsi="Arial" w:cs="Arial"/>
              <w:color w:val="FFFFFF"/>
            </w:rPr>
          </w:pPr>
          <w:r>
            <w:rPr>
              <w:rFonts w:ascii="Arial" w:hAnsi="Arial" w:cs="Arial"/>
              <w:b/>
              <w:bCs/>
              <w:noProof/>
              <w:color w:val="FFFFFF"/>
            </w:rPr>
            <w:t>Office of Performance Evaluations</w:t>
          </w:r>
          <w:r>
            <w:rPr>
              <w:rFonts w:ascii="Arial" w:hAnsi="Arial" w:cs="Arial"/>
              <w:b/>
              <w:bCs/>
              <w:color w:val="FFFFFF"/>
            </w:rPr>
            <w:tab/>
          </w:r>
          <w:r>
            <w:rPr>
              <w:rFonts w:ascii="Arial" w:hAnsi="Arial" w:cs="Arial"/>
              <w:color w:val="FFFFFF"/>
            </w:rPr>
            <w:t>Performance Report</w:t>
          </w:r>
        </w:p>
      </w:tc>
    </w:tr>
    <w:tr w:rsidR="007E2571" w14:paraId="6418A83B" w14:textId="77777777" w:rsidTr="00256D0D">
      <w:trPr>
        <w:trHeight w:hRule="exact" w:val="90"/>
      </w:trPr>
      <w:tc>
        <w:tcPr>
          <w:tcW w:w="10080" w:type="dxa"/>
          <w:tcBorders>
            <w:top w:val="nil"/>
            <w:bottom w:val="single" w:sz="4" w:space="0" w:color="auto"/>
          </w:tcBorders>
        </w:tcPr>
        <w:p w14:paraId="24943096" w14:textId="77777777" w:rsidR="007E2571" w:rsidRDefault="007E2571" w:rsidP="006C34B0"/>
      </w:tc>
    </w:tr>
    <w:tr w:rsidR="007E2571" w14:paraId="517F579D" w14:textId="77777777" w:rsidTr="00256D0D">
      <w:tc>
        <w:tcPr>
          <w:tcW w:w="10080" w:type="dxa"/>
          <w:tcBorders>
            <w:top w:val="single" w:sz="4" w:space="0" w:color="auto"/>
            <w:bottom w:val="nil"/>
          </w:tcBorders>
          <w:shd w:val="clear" w:color="auto" w:fill="000080"/>
        </w:tcPr>
        <w:p w14:paraId="20FAD30D" w14:textId="77777777" w:rsidR="007E2571" w:rsidRDefault="007E2571" w:rsidP="006C34B0"/>
      </w:tc>
    </w:tr>
  </w:tbl>
  <w:p w14:paraId="1D50FD3A" w14:textId="77777777" w:rsidR="007E2571" w:rsidRDefault="007E2571" w:rsidP="00BA7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128F"/>
    <w:multiLevelType w:val="multilevel"/>
    <w:tmpl w:val="66F8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A2C"/>
    <w:multiLevelType w:val="hybridMultilevel"/>
    <w:tmpl w:val="2CC0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921F0"/>
    <w:multiLevelType w:val="hybridMultilevel"/>
    <w:tmpl w:val="6AC0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343B6"/>
    <w:multiLevelType w:val="hybridMultilevel"/>
    <w:tmpl w:val="994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66C33"/>
    <w:multiLevelType w:val="multilevel"/>
    <w:tmpl w:val="7A1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A51CF"/>
    <w:multiLevelType w:val="multilevel"/>
    <w:tmpl w:val="7FF2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63FC9"/>
    <w:multiLevelType w:val="hybridMultilevel"/>
    <w:tmpl w:val="70CCA9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D7ADB"/>
    <w:multiLevelType w:val="hybridMultilevel"/>
    <w:tmpl w:val="5B1A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457F6"/>
    <w:multiLevelType w:val="hybridMultilevel"/>
    <w:tmpl w:val="D65886D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4B207F"/>
    <w:multiLevelType w:val="hybridMultilevel"/>
    <w:tmpl w:val="E3282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1291"/>
    <w:multiLevelType w:val="hybridMultilevel"/>
    <w:tmpl w:val="277E72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5944DAEA">
      <w:start w:val="1"/>
      <w:numFmt w:val="bullet"/>
      <w:lvlText w:val=""/>
      <w:lvlJc w:val="left"/>
      <w:pPr>
        <w:ind w:left="2160" w:hanging="180"/>
      </w:pPr>
      <w:rPr>
        <w:rFonts w:ascii="Symbol" w:hAnsi="Symbol" w:hint="default"/>
        <w:u w:color="292929"/>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7744D"/>
    <w:multiLevelType w:val="hybridMultilevel"/>
    <w:tmpl w:val="DA0C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B43AB"/>
    <w:multiLevelType w:val="multilevel"/>
    <w:tmpl w:val="754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10259"/>
    <w:multiLevelType w:val="hybridMultilevel"/>
    <w:tmpl w:val="79646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E65137"/>
    <w:multiLevelType w:val="multilevel"/>
    <w:tmpl w:val="C954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71786"/>
    <w:multiLevelType w:val="multilevel"/>
    <w:tmpl w:val="2AD8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5409C"/>
    <w:multiLevelType w:val="multilevel"/>
    <w:tmpl w:val="B02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93A8D"/>
    <w:multiLevelType w:val="hybridMultilevel"/>
    <w:tmpl w:val="F2E4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CF0CDF"/>
    <w:multiLevelType w:val="hybridMultilevel"/>
    <w:tmpl w:val="1FF2EC70"/>
    <w:lvl w:ilvl="0" w:tplc="17BA825C">
      <w:start w:val="1"/>
      <w:numFmt w:val="decimal"/>
      <w:lvlText w:val="%1."/>
      <w:lvlJc w:val="left"/>
      <w:pPr>
        <w:ind w:left="810" w:hanging="360"/>
      </w:pPr>
      <w:rPr>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BEB1053"/>
    <w:multiLevelType w:val="hybridMultilevel"/>
    <w:tmpl w:val="DB42ECD0"/>
    <w:lvl w:ilvl="0" w:tplc="3D928FA0">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527F36"/>
    <w:multiLevelType w:val="hybridMultilevel"/>
    <w:tmpl w:val="F270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25229"/>
    <w:multiLevelType w:val="hybridMultilevel"/>
    <w:tmpl w:val="45F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90C82"/>
    <w:multiLevelType w:val="hybridMultilevel"/>
    <w:tmpl w:val="02C6E3A6"/>
    <w:lvl w:ilvl="0" w:tplc="0409000F">
      <w:start w:val="1"/>
      <w:numFmt w:val="decimal"/>
      <w:lvlText w:val="%1."/>
      <w:lvlJc w:val="left"/>
      <w:pPr>
        <w:tabs>
          <w:tab w:val="num" w:pos="792"/>
        </w:tabs>
        <w:ind w:left="792" w:hanging="360"/>
      </w:p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15:restartNumberingAfterBreak="0">
    <w:nsid w:val="65442122"/>
    <w:multiLevelType w:val="hybridMultilevel"/>
    <w:tmpl w:val="95BE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5B60FC"/>
    <w:multiLevelType w:val="multilevel"/>
    <w:tmpl w:val="E87E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762A90"/>
    <w:multiLevelType w:val="hybridMultilevel"/>
    <w:tmpl w:val="D65886D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FC76D57"/>
    <w:multiLevelType w:val="hybridMultilevel"/>
    <w:tmpl w:val="CBE81DE2"/>
    <w:lvl w:ilvl="0" w:tplc="5944DAEA">
      <w:start w:val="1"/>
      <w:numFmt w:val="bullet"/>
      <w:lvlText w:val=""/>
      <w:lvlJc w:val="left"/>
      <w:pPr>
        <w:ind w:left="1800" w:hanging="360"/>
      </w:pPr>
      <w:rPr>
        <w:rFonts w:ascii="Symbol" w:hAnsi="Symbol" w:hint="default"/>
        <w:u w:color="292929"/>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7FB1B53"/>
    <w:multiLevelType w:val="multilevel"/>
    <w:tmpl w:val="D57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F154E"/>
    <w:multiLevelType w:val="hybridMultilevel"/>
    <w:tmpl w:val="25A8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950BA"/>
    <w:multiLevelType w:val="hybridMultilevel"/>
    <w:tmpl w:val="4956FDB8"/>
    <w:lvl w:ilvl="0" w:tplc="E1EA87D2">
      <w:start w:val="1"/>
      <w:numFmt w:val="bullet"/>
      <w:lvlText w:val=""/>
      <w:lvlJc w:val="left"/>
      <w:pPr>
        <w:tabs>
          <w:tab w:val="num" w:pos="792"/>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7DFC79E2"/>
    <w:multiLevelType w:val="hybridMultilevel"/>
    <w:tmpl w:val="8C54E1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0C44DD"/>
    <w:multiLevelType w:val="multilevel"/>
    <w:tmpl w:val="33FA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780366">
    <w:abstractNumId w:val="29"/>
  </w:num>
  <w:num w:numId="2" w16cid:durableId="584727253">
    <w:abstractNumId w:val="13"/>
  </w:num>
  <w:num w:numId="3" w16cid:durableId="324166585">
    <w:abstractNumId w:val="22"/>
  </w:num>
  <w:num w:numId="4" w16cid:durableId="1882397023">
    <w:abstractNumId w:val="24"/>
  </w:num>
  <w:num w:numId="5" w16cid:durableId="294919497">
    <w:abstractNumId w:val="5"/>
  </w:num>
  <w:num w:numId="6" w16cid:durableId="446004792">
    <w:abstractNumId w:val="14"/>
  </w:num>
  <w:num w:numId="7" w16cid:durableId="1765489101">
    <w:abstractNumId w:val="0"/>
  </w:num>
  <w:num w:numId="8" w16cid:durableId="780683739">
    <w:abstractNumId w:val="4"/>
  </w:num>
  <w:num w:numId="9" w16cid:durableId="1222523589">
    <w:abstractNumId w:val="15"/>
  </w:num>
  <w:num w:numId="10" w16cid:durableId="2102484750">
    <w:abstractNumId w:val="27"/>
  </w:num>
  <w:num w:numId="11" w16cid:durableId="1586495747">
    <w:abstractNumId w:val="12"/>
  </w:num>
  <w:num w:numId="12" w16cid:durableId="68385321">
    <w:abstractNumId w:val="31"/>
  </w:num>
  <w:num w:numId="13" w16cid:durableId="1184320624">
    <w:abstractNumId w:val="16"/>
  </w:num>
  <w:num w:numId="14" w16cid:durableId="2144999527">
    <w:abstractNumId w:val="8"/>
  </w:num>
  <w:num w:numId="15" w16cid:durableId="1582792593">
    <w:abstractNumId w:val="19"/>
  </w:num>
  <w:num w:numId="16" w16cid:durableId="1090658301">
    <w:abstractNumId w:val="25"/>
  </w:num>
  <w:num w:numId="17" w16cid:durableId="249967063">
    <w:abstractNumId w:val="10"/>
  </w:num>
  <w:num w:numId="18" w16cid:durableId="1376662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4381616">
    <w:abstractNumId w:val="6"/>
  </w:num>
  <w:num w:numId="20" w16cid:durableId="1300300113">
    <w:abstractNumId w:val="30"/>
  </w:num>
  <w:num w:numId="21" w16cid:durableId="670908550">
    <w:abstractNumId w:val="26"/>
  </w:num>
  <w:num w:numId="22" w16cid:durableId="1935625823">
    <w:abstractNumId w:val="18"/>
  </w:num>
  <w:num w:numId="23" w16cid:durableId="966471681">
    <w:abstractNumId w:val="3"/>
  </w:num>
  <w:num w:numId="24" w16cid:durableId="777212894">
    <w:abstractNumId w:val="11"/>
  </w:num>
  <w:num w:numId="25" w16cid:durableId="1239244735">
    <w:abstractNumId w:val="9"/>
  </w:num>
  <w:num w:numId="26" w16cid:durableId="1500537119">
    <w:abstractNumId w:val="1"/>
  </w:num>
  <w:num w:numId="27" w16cid:durableId="2011713852">
    <w:abstractNumId w:val="17"/>
  </w:num>
  <w:num w:numId="28" w16cid:durableId="345448097">
    <w:abstractNumId w:val="21"/>
  </w:num>
  <w:num w:numId="29" w16cid:durableId="444808602">
    <w:abstractNumId w:val="7"/>
  </w:num>
  <w:num w:numId="30" w16cid:durableId="1331252156">
    <w:abstractNumId w:val="20"/>
  </w:num>
  <w:num w:numId="31" w16cid:durableId="1135177664">
    <w:abstractNumId w:val="2"/>
  </w:num>
  <w:num w:numId="32" w16cid:durableId="869301750">
    <w:abstractNumId w:val="23"/>
  </w:num>
  <w:num w:numId="33" w16cid:durableId="56880567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A7"/>
    <w:rsid w:val="000042C7"/>
    <w:rsid w:val="00033F6C"/>
    <w:rsid w:val="0003564F"/>
    <w:rsid w:val="000378BE"/>
    <w:rsid w:val="00040453"/>
    <w:rsid w:val="00050592"/>
    <w:rsid w:val="00055B5C"/>
    <w:rsid w:val="0005658D"/>
    <w:rsid w:val="00071900"/>
    <w:rsid w:val="00080FEF"/>
    <w:rsid w:val="00087986"/>
    <w:rsid w:val="00092DA4"/>
    <w:rsid w:val="00093DE3"/>
    <w:rsid w:val="00096CF2"/>
    <w:rsid w:val="000A2BBC"/>
    <w:rsid w:val="000A346F"/>
    <w:rsid w:val="000A5509"/>
    <w:rsid w:val="000A5F4F"/>
    <w:rsid w:val="000B7013"/>
    <w:rsid w:val="000B73F2"/>
    <w:rsid w:val="000D0A52"/>
    <w:rsid w:val="000D2300"/>
    <w:rsid w:val="000E5D3E"/>
    <w:rsid w:val="0010163B"/>
    <w:rsid w:val="00106933"/>
    <w:rsid w:val="001173E0"/>
    <w:rsid w:val="0011743F"/>
    <w:rsid w:val="001216AA"/>
    <w:rsid w:val="001224F7"/>
    <w:rsid w:val="00130D5A"/>
    <w:rsid w:val="00132DBC"/>
    <w:rsid w:val="00133B2D"/>
    <w:rsid w:val="001400C3"/>
    <w:rsid w:val="0016167A"/>
    <w:rsid w:val="00163575"/>
    <w:rsid w:val="00172881"/>
    <w:rsid w:val="00173D06"/>
    <w:rsid w:val="00174CAF"/>
    <w:rsid w:val="00176ABB"/>
    <w:rsid w:val="00190AD5"/>
    <w:rsid w:val="00193913"/>
    <w:rsid w:val="001A4867"/>
    <w:rsid w:val="001A6586"/>
    <w:rsid w:val="001B618D"/>
    <w:rsid w:val="001B6B6D"/>
    <w:rsid w:val="001C1A55"/>
    <w:rsid w:val="001C4CD2"/>
    <w:rsid w:val="001D32DC"/>
    <w:rsid w:val="001D5B83"/>
    <w:rsid w:val="001E0E4D"/>
    <w:rsid w:val="001F776A"/>
    <w:rsid w:val="0020465E"/>
    <w:rsid w:val="0020765B"/>
    <w:rsid w:val="00211431"/>
    <w:rsid w:val="00220D82"/>
    <w:rsid w:val="0022497C"/>
    <w:rsid w:val="00227040"/>
    <w:rsid w:val="002318BC"/>
    <w:rsid w:val="00247045"/>
    <w:rsid w:val="0025288C"/>
    <w:rsid w:val="00256D0D"/>
    <w:rsid w:val="0026214B"/>
    <w:rsid w:val="0026450E"/>
    <w:rsid w:val="00266172"/>
    <w:rsid w:val="00270B42"/>
    <w:rsid w:val="00274DB2"/>
    <w:rsid w:val="00286E52"/>
    <w:rsid w:val="002940C7"/>
    <w:rsid w:val="00297A75"/>
    <w:rsid w:val="002A5F1A"/>
    <w:rsid w:val="002B2C99"/>
    <w:rsid w:val="002C280E"/>
    <w:rsid w:val="002C5797"/>
    <w:rsid w:val="002E420C"/>
    <w:rsid w:val="002E5EB6"/>
    <w:rsid w:val="002F2669"/>
    <w:rsid w:val="002F4C34"/>
    <w:rsid w:val="0030207B"/>
    <w:rsid w:val="00304315"/>
    <w:rsid w:val="00315639"/>
    <w:rsid w:val="003162E1"/>
    <w:rsid w:val="00317C15"/>
    <w:rsid w:val="003254BD"/>
    <w:rsid w:val="00325F93"/>
    <w:rsid w:val="003346B1"/>
    <w:rsid w:val="00336A2A"/>
    <w:rsid w:val="0034473D"/>
    <w:rsid w:val="00351183"/>
    <w:rsid w:val="00353276"/>
    <w:rsid w:val="003562E4"/>
    <w:rsid w:val="0035642A"/>
    <w:rsid w:val="0035672F"/>
    <w:rsid w:val="0036267D"/>
    <w:rsid w:val="0036274E"/>
    <w:rsid w:val="00375245"/>
    <w:rsid w:val="00375F8C"/>
    <w:rsid w:val="003770A7"/>
    <w:rsid w:val="00393F48"/>
    <w:rsid w:val="003956F9"/>
    <w:rsid w:val="00396568"/>
    <w:rsid w:val="003A510C"/>
    <w:rsid w:val="003A6436"/>
    <w:rsid w:val="003A7386"/>
    <w:rsid w:val="003B0260"/>
    <w:rsid w:val="003B6D1B"/>
    <w:rsid w:val="003C2B5E"/>
    <w:rsid w:val="003C74D8"/>
    <w:rsid w:val="003D1745"/>
    <w:rsid w:val="003D730B"/>
    <w:rsid w:val="003E05A1"/>
    <w:rsid w:val="003F1893"/>
    <w:rsid w:val="003F4C5F"/>
    <w:rsid w:val="003F6225"/>
    <w:rsid w:val="0040640A"/>
    <w:rsid w:val="0041013D"/>
    <w:rsid w:val="00415783"/>
    <w:rsid w:val="004162A3"/>
    <w:rsid w:val="004202CE"/>
    <w:rsid w:val="00423690"/>
    <w:rsid w:val="00432D8F"/>
    <w:rsid w:val="0044051C"/>
    <w:rsid w:val="00442995"/>
    <w:rsid w:val="0045429F"/>
    <w:rsid w:val="00460211"/>
    <w:rsid w:val="00462484"/>
    <w:rsid w:val="00462EAC"/>
    <w:rsid w:val="004743C1"/>
    <w:rsid w:val="004762D5"/>
    <w:rsid w:val="004907BA"/>
    <w:rsid w:val="00495A1A"/>
    <w:rsid w:val="00497D59"/>
    <w:rsid w:val="004A12B5"/>
    <w:rsid w:val="004A1854"/>
    <w:rsid w:val="004A69D9"/>
    <w:rsid w:val="004B0098"/>
    <w:rsid w:val="004B0112"/>
    <w:rsid w:val="004B18DD"/>
    <w:rsid w:val="004B1F0E"/>
    <w:rsid w:val="004B40B0"/>
    <w:rsid w:val="004C1109"/>
    <w:rsid w:val="004C6A1C"/>
    <w:rsid w:val="004D25FF"/>
    <w:rsid w:val="004D5240"/>
    <w:rsid w:val="004D658A"/>
    <w:rsid w:val="004E284E"/>
    <w:rsid w:val="004E66EF"/>
    <w:rsid w:val="004E7164"/>
    <w:rsid w:val="00512812"/>
    <w:rsid w:val="00516B81"/>
    <w:rsid w:val="005237AE"/>
    <w:rsid w:val="005238FD"/>
    <w:rsid w:val="005250DD"/>
    <w:rsid w:val="005258BE"/>
    <w:rsid w:val="00533613"/>
    <w:rsid w:val="0054408F"/>
    <w:rsid w:val="00550536"/>
    <w:rsid w:val="00555DBA"/>
    <w:rsid w:val="00560AE1"/>
    <w:rsid w:val="0056790E"/>
    <w:rsid w:val="00574436"/>
    <w:rsid w:val="00574FC5"/>
    <w:rsid w:val="0058549E"/>
    <w:rsid w:val="00591758"/>
    <w:rsid w:val="005A2433"/>
    <w:rsid w:val="005A2EFC"/>
    <w:rsid w:val="005A3AE0"/>
    <w:rsid w:val="005B3925"/>
    <w:rsid w:val="005B3AAC"/>
    <w:rsid w:val="005C0136"/>
    <w:rsid w:val="005C1620"/>
    <w:rsid w:val="005D3348"/>
    <w:rsid w:val="005D4DAF"/>
    <w:rsid w:val="005E226A"/>
    <w:rsid w:val="005F1D6F"/>
    <w:rsid w:val="005F4592"/>
    <w:rsid w:val="00610526"/>
    <w:rsid w:val="00622F9D"/>
    <w:rsid w:val="00623025"/>
    <w:rsid w:val="006248B6"/>
    <w:rsid w:val="00624F2D"/>
    <w:rsid w:val="00634815"/>
    <w:rsid w:val="00643C77"/>
    <w:rsid w:val="006529C8"/>
    <w:rsid w:val="0065370E"/>
    <w:rsid w:val="006568D2"/>
    <w:rsid w:val="00660734"/>
    <w:rsid w:val="006630BC"/>
    <w:rsid w:val="00667202"/>
    <w:rsid w:val="00670681"/>
    <w:rsid w:val="00671D95"/>
    <w:rsid w:val="0067407C"/>
    <w:rsid w:val="00683437"/>
    <w:rsid w:val="0069351E"/>
    <w:rsid w:val="00696932"/>
    <w:rsid w:val="006A1682"/>
    <w:rsid w:val="006A5CEB"/>
    <w:rsid w:val="006A6948"/>
    <w:rsid w:val="006C34B0"/>
    <w:rsid w:val="006D4073"/>
    <w:rsid w:val="006E227E"/>
    <w:rsid w:val="006E3B64"/>
    <w:rsid w:val="006E40B7"/>
    <w:rsid w:val="006E6B89"/>
    <w:rsid w:val="006F21CC"/>
    <w:rsid w:val="006F3D64"/>
    <w:rsid w:val="006F6B71"/>
    <w:rsid w:val="00707DA5"/>
    <w:rsid w:val="007225BB"/>
    <w:rsid w:val="00727A97"/>
    <w:rsid w:val="00730A89"/>
    <w:rsid w:val="00740B5F"/>
    <w:rsid w:val="00744EF0"/>
    <w:rsid w:val="00757640"/>
    <w:rsid w:val="007654BE"/>
    <w:rsid w:val="00770605"/>
    <w:rsid w:val="00773089"/>
    <w:rsid w:val="0078050C"/>
    <w:rsid w:val="00781354"/>
    <w:rsid w:val="00793544"/>
    <w:rsid w:val="007A0EC9"/>
    <w:rsid w:val="007A104F"/>
    <w:rsid w:val="007A5127"/>
    <w:rsid w:val="007A5850"/>
    <w:rsid w:val="007A5851"/>
    <w:rsid w:val="007B1BE1"/>
    <w:rsid w:val="007D0A92"/>
    <w:rsid w:val="007D72F3"/>
    <w:rsid w:val="007E0B71"/>
    <w:rsid w:val="007E2571"/>
    <w:rsid w:val="007E551D"/>
    <w:rsid w:val="007E5E18"/>
    <w:rsid w:val="007E78E5"/>
    <w:rsid w:val="007F22F5"/>
    <w:rsid w:val="007F4E79"/>
    <w:rsid w:val="008003BB"/>
    <w:rsid w:val="008107E7"/>
    <w:rsid w:val="008113C6"/>
    <w:rsid w:val="00837A75"/>
    <w:rsid w:val="008438AB"/>
    <w:rsid w:val="0085300D"/>
    <w:rsid w:val="008650DB"/>
    <w:rsid w:val="00870441"/>
    <w:rsid w:val="00874205"/>
    <w:rsid w:val="00874605"/>
    <w:rsid w:val="00876026"/>
    <w:rsid w:val="0088621E"/>
    <w:rsid w:val="00896E52"/>
    <w:rsid w:val="008A4E3D"/>
    <w:rsid w:val="008A6EB8"/>
    <w:rsid w:val="008B0D19"/>
    <w:rsid w:val="008B23E0"/>
    <w:rsid w:val="008B4851"/>
    <w:rsid w:val="008B5EA4"/>
    <w:rsid w:val="008C33CB"/>
    <w:rsid w:val="008D0858"/>
    <w:rsid w:val="008D08DA"/>
    <w:rsid w:val="008D4F83"/>
    <w:rsid w:val="008D673D"/>
    <w:rsid w:val="008F4E5A"/>
    <w:rsid w:val="00910F8C"/>
    <w:rsid w:val="0091397F"/>
    <w:rsid w:val="009227FD"/>
    <w:rsid w:val="00927B76"/>
    <w:rsid w:val="00934968"/>
    <w:rsid w:val="00935348"/>
    <w:rsid w:val="00942D29"/>
    <w:rsid w:val="009529F4"/>
    <w:rsid w:val="00953BB6"/>
    <w:rsid w:val="00962491"/>
    <w:rsid w:val="00970A89"/>
    <w:rsid w:val="0098662D"/>
    <w:rsid w:val="0099035F"/>
    <w:rsid w:val="00990B8D"/>
    <w:rsid w:val="00991C82"/>
    <w:rsid w:val="009A05A1"/>
    <w:rsid w:val="009A18C2"/>
    <w:rsid w:val="009A19F1"/>
    <w:rsid w:val="009A3019"/>
    <w:rsid w:val="009A319B"/>
    <w:rsid w:val="009A4E27"/>
    <w:rsid w:val="009D0F51"/>
    <w:rsid w:val="009D17DE"/>
    <w:rsid w:val="009D2FF7"/>
    <w:rsid w:val="009D4470"/>
    <w:rsid w:val="009D4A8C"/>
    <w:rsid w:val="009E520E"/>
    <w:rsid w:val="009E5D25"/>
    <w:rsid w:val="009E65BC"/>
    <w:rsid w:val="009E760A"/>
    <w:rsid w:val="009E7F71"/>
    <w:rsid w:val="009F002A"/>
    <w:rsid w:val="009F2BEB"/>
    <w:rsid w:val="00A0335C"/>
    <w:rsid w:val="00A12E18"/>
    <w:rsid w:val="00A13BF9"/>
    <w:rsid w:val="00A175D6"/>
    <w:rsid w:val="00A35B3A"/>
    <w:rsid w:val="00A42057"/>
    <w:rsid w:val="00A4375F"/>
    <w:rsid w:val="00A47D82"/>
    <w:rsid w:val="00A6095A"/>
    <w:rsid w:val="00A62284"/>
    <w:rsid w:val="00A627B1"/>
    <w:rsid w:val="00A718F0"/>
    <w:rsid w:val="00A72EC8"/>
    <w:rsid w:val="00A76FFF"/>
    <w:rsid w:val="00A80718"/>
    <w:rsid w:val="00A818D9"/>
    <w:rsid w:val="00A9269C"/>
    <w:rsid w:val="00A93B17"/>
    <w:rsid w:val="00A93EE5"/>
    <w:rsid w:val="00AA13E3"/>
    <w:rsid w:val="00AA3D13"/>
    <w:rsid w:val="00AA4899"/>
    <w:rsid w:val="00AA4B33"/>
    <w:rsid w:val="00AA4D63"/>
    <w:rsid w:val="00AB1327"/>
    <w:rsid w:val="00AE0108"/>
    <w:rsid w:val="00AE18B6"/>
    <w:rsid w:val="00AE2E4F"/>
    <w:rsid w:val="00AF2863"/>
    <w:rsid w:val="00AF33B6"/>
    <w:rsid w:val="00B03528"/>
    <w:rsid w:val="00B060BB"/>
    <w:rsid w:val="00B1545F"/>
    <w:rsid w:val="00B20F28"/>
    <w:rsid w:val="00B2281C"/>
    <w:rsid w:val="00B31825"/>
    <w:rsid w:val="00B35C44"/>
    <w:rsid w:val="00B35C83"/>
    <w:rsid w:val="00B369E5"/>
    <w:rsid w:val="00B37256"/>
    <w:rsid w:val="00B522E7"/>
    <w:rsid w:val="00B61783"/>
    <w:rsid w:val="00B63248"/>
    <w:rsid w:val="00B63537"/>
    <w:rsid w:val="00B6386B"/>
    <w:rsid w:val="00B805FF"/>
    <w:rsid w:val="00B8298A"/>
    <w:rsid w:val="00B863A9"/>
    <w:rsid w:val="00B87871"/>
    <w:rsid w:val="00B90C5A"/>
    <w:rsid w:val="00BA180C"/>
    <w:rsid w:val="00BA7A14"/>
    <w:rsid w:val="00BB2698"/>
    <w:rsid w:val="00BB3DCF"/>
    <w:rsid w:val="00BB578A"/>
    <w:rsid w:val="00BB6034"/>
    <w:rsid w:val="00BB7A23"/>
    <w:rsid w:val="00BC4164"/>
    <w:rsid w:val="00BD5089"/>
    <w:rsid w:val="00BE1E5F"/>
    <w:rsid w:val="00C05608"/>
    <w:rsid w:val="00C122D0"/>
    <w:rsid w:val="00C16A16"/>
    <w:rsid w:val="00C201A9"/>
    <w:rsid w:val="00C2625C"/>
    <w:rsid w:val="00C27186"/>
    <w:rsid w:val="00C30E52"/>
    <w:rsid w:val="00C37CB2"/>
    <w:rsid w:val="00C41D55"/>
    <w:rsid w:val="00C42A3F"/>
    <w:rsid w:val="00C43433"/>
    <w:rsid w:val="00C43A61"/>
    <w:rsid w:val="00C55614"/>
    <w:rsid w:val="00C655E0"/>
    <w:rsid w:val="00C7021D"/>
    <w:rsid w:val="00C7476B"/>
    <w:rsid w:val="00C755CF"/>
    <w:rsid w:val="00C8199F"/>
    <w:rsid w:val="00C90834"/>
    <w:rsid w:val="00C9190D"/>
    <w:rsid w:val="00CA5FFC"/>
    <w:rsid w:val="00CA77D1"/>
    <w:rsid w:val="00CA7968"/>
    <w:rsid w:val="00CA7E7C"/>
    <w:rsid w:val="00CB335D"/>
    <w:rsid w:val="00CC5D50"/>
    <w:rsid w:val="00CC6D9D"/>
    <w:rsid w:val="00CD1281"/>
    <w:rsid w:val="00CD4DD3"/>
    <w:rsid w:val="00CD7D7C"/>
    <w:rsid w:val="00CE610E"/>
    <w:rsid w:val="00CE7C24"/>
    <w:rsid w:val="00D02354"/>
    <w:rsid w:val="00D15505"/>
    <w:rsid w:val="00D23675"/>
    <w:rsid w:val="00D266C8"/>
    <w:rsid w:val="00D27E19"/>
    <w:rsid w:val="00D35FC1"/>
    <w:rsid w:val="00D41400"/>
    <w:rsid w:val="00D46E26"/>
    <w:rsid w:val="00D53A02"/>
    <w:rsid w:val="00D5539B"/>
    <w:rsid w:val="00D61283"/>
    <w:rsid w:val="00D635C6"/>
    <w:rsid w:val="00D640C7"/>
    <w:rsid w:val="00D64F5B"/>
    <w:rsid w:val="00D669D7"/>
    <w:rsid w:val="00D71BB1"/>
    <w:rsid w:val="00D71E9B"/>
    <w:rsid w:val="00D77909"/>
    <w:rsid w:val="00D837A7"/>
    <w:rsid w:val="00D85F63"/>
    <w:rsid w:val="00D92474"/>
    <w:rsid w:val="00D94C5C"/>
    <w:rsid w:val="00DA2396"/>
    <w:rsid w:val="00DA2D96"/>
    <w:rsid w:val="00DA5561"/>
    <w:rsid w:val="00DB3683"/>
    <w:rsid w:val="00DC3844"/>
    <w:rsid w:val="00DC6802"/>
    <w:rsid w:val="00DC78E9"/>
    <w:rsid w:val="00DD08A7"/>
    <w:rsid w:val="00DD75C0"/>
    <w:rsid w:val="00DE3DD3"/>
    <w:rsid w:val="00DE5FEE"/>
    <w:rsid w:val="00DF3152"/>
    <w:rsid w:val="00E05605"/>
    <w:rsid w:val="00E0711C"/>
    <w:rsid w:val="00E12794"/>
    <w:rsid w:val="00E16D7F"/>
    <w:rsid w:val="00E17D21"/>
    <w:rsid w:val="00E17F93"/>
    <w:rsid w:val="00E2659B"/>
    <w:rsid w:val="00E2798B"/>
    <w:rsid w:val="00E33D1B"/>
    <w:rsid w:val="00E453B6"/>
    <w:rsid w:val="00E73591"/>
    <w:rsid w:val="00E7505E"/>
    <w:rsid w:val="00E80745"/>
    <w:rsid w:val="00E8448D"/>
    <w:rsid w:val="00E847AA"/>
    <w:rsid w:val="00E938FC"/>
    <w:rsid w:val="00E97092"/>
    <w:rsid w:val="00E97CAD"/>
    <w:rsid w:val="00EA01DF"/>
    <w:rsid w:val="00EB7881"/>
    <w:rsid w:val="00EC2E13"/>
    <w:rsid w:val="00EC3EF5"/>
    <w:rsid w:val="00EC59B5"/>
    <w:rsid w:val="00EE2856"/>
    <w:rsid w:val="00EE2D52"/>
    <w:rsid w:val="00EE4E04"/>
    <w:rsid w:val="00EE556A"/>
    <w:rsid w:val="00EF1782"/>
    <w:rsid w:val="00EF25C5"/>
    <w:rsid w:val="00EF7187"/>
    <w:rsid w:val="00EF7E1D"/>
    <w:rsid w:val="00F11653"/>
    <w:rsid w:val="00F1171F"/>
    <w:rsid w:val="00F12531"/>
    <w:rsid w:val="00F23D18"/>
    <w:rsid w:val="00F320B2"/>
    <w:rsid w:val="00F36330"/>
    <w:rsid w:val="00F3727C"/>
    <w:rsid w:val="00F418F7"/>
    <w:rsid w:val="00F41968"/>
    <w:rsid w:val="00F47983"/>
    <w:rsid w:val="00F55D50"/>
    <w:rsid w:val="00F55E19"/>
    <w:rsid w:val="00F7261C"/>
    <w:rsid w:val="00F72799"/>
    <w:rsid w:val="00F81611"/>
    <w:rsid w:val="00F95D10"/>
    <w:rsid w:val="00FA4E5D"/>
    <w:rsid w:val="00FA5A34"/>
    <w:rsid w:val="00FA677C"/>
    <w:rsid w:val="00FA68CA"/>
    <w:rsid w:val="00FB517A"/>
    <w:rsid w:val="00FB5DBB"/>
    <w:rsid w:val="00FC0403"/>
    <w:rsid w:val="00FC4C36"/>
    <w:rsid w:val="00FC594B"/>
    <w:rsid w:val="00FC73AB"/>
    <w:rsid w:val="00FE0BA5"/>
    <w:rsid w:val="00FF0908"/>
    <w:rsid w:val="00FF1290"/>
    <w:rsid w:val="00FF1BAD"/>
    <w:rsid w:val="00FF32CF"/>
    <w:rsid w:val="00FF65AD"/>
    <w:rsid w:val="00FF6CB2"/>
    <w:rsid w:val="6137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DB3BB8"/>
  <w15:docId w15:val="{35046201-983E-450A-A95E-A11B86946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31"/>
    <w:rPr>
      <w:sz w:val="24"/>
      <w:szCs w:val="24"/>
    </w:rPr>
  </w:style>
  <w:style w:type="paragraph" w:styleId="Heading1">
    <w:name w:val="heading 1"/>
    <w:basedOn w:val="Normal"/>
    <w:next w:val="Normal"/>
    <w:link w:val="Heading1Char"/>
    <w:qFormat/>
    <w:rsid w:val="002F26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DD08A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12531"/>
    <w:pPr>
      <w:framePr w:w="7920" w:h="1980" w:hRule="exact" w:hSpace="180" w:wrap="auto" w:hAnchor="page" w:xAlign="center" w:yAlign="bottom"/>
      <w:ind w:left="2880"/>
    </w:pPr>
    <w:rPr>
      <w:rFonts w:ascii="Courier New" w:hAnsi="Courier New" w:cs="Arial"/>
      <w:caps/>
    </w:rPr>
  </w:style>
  <w:style w:type="paragraph" w:styleId="Header">
    <w:name w:val="header"/>
    <w:basedOn w:val="Normal"/>
    <w:rsid w:val="00F12531"/>
    <w:pPr>
      <w:tabs>
        <w:tab w:val="center" w:pos="4320"/>
        <w:tab w:val="right" w:pos="8640"/>
      </w:tabs>
    </w:pPr>
  </w:style>
  <w:style w:type="paragraph" w:styleId="Footer">
    <w:name w:val="footer"/>
    <w:basedOn w:val="Normal"/>
    <w:link w:val="FooterChar"/>
    <w:uiPriority w:val="99"/>
    <w:rsid w:val="00F12531"/>
    <w:pPr>
      <w:tabs>
        <w:tab w:val="center" w:pos="4320"/>
        <w:tab w:val="right" w:pos="8640"/>
      </w:tabs>
    </w:pPr>
  </w:style>
  <w:style w:type="character" w:styleId="PageNumber">
    <w:name w:val="page number"/>
    <w:basedOn w:val="DefaultParagraphFont"/>
    <w:rsid w:val="00F12531"/>
  </w:style>
  <w:style w:type="character" w:styleId="Hyperlink">
    <w:name w:val="Hyperlink"/>
    <w:basedOn w:val="DefaultParagraphFont"/>
    <w:rsid w:val="00F12531"/>
    <w:rPr>
      <w:color w:val="0000FF"/>
      <w:u w:val="single"/>
    </w:rPr>
  </w:style>
  <w:style w:type="paragraph" w:styleId="BalloonText">
    <w:name w:val="Balloon Text"/>
    <w:basedOn w:val="Normal"/>
    <w:semiHidden/>
    <w:rsid w:val="00286E52"/>
    <w:rPr>
      <w:rFonts w:ascii="Tahoma" w:hAnsi="Tahoma" w:cs="Tahoma"/>
      <w:sz w:val="16"/>
      <w:szCs w:val="16"/>
    </w:rPr>
  </w:style>
  <w:style w:type="character" w:styleId="Emphasis">
    <w:name w:val="Emphasis"/>
    <w:basedOn w:val="DefaultParagraphFont"/>
    <w:qFormat/>
    <w:rsid w:val="00E2798B"/>
    <w:rPr>
      <w:i/>
      <w:iCs/>
    </w:rPr>
  </w:style>
  <w:style w:type="paragraph" w:styleId="HTMLPreformatted">
    <w:name w:val="HTML Preformatted"/>
    <w:basedOn w:val="Normal"/>
    <w:link w:val="HTMLPreformattedChar"/>
    <w:rsid w:val="00C20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201A9"/>
    <w:rPr>
      <w:rFonts w:ascii="Courier New" w:hAnsi="Courier New" w:cs="Courier New"/>
    </w:rPr>
  </w:style>
  <w:style w:type="paragraph" w:styleId="ListParagraph">
    <w:name w:val="List Paragraph"/>
    <w:basedOn w:val="Normal"/>
    <w:uiPriority w:val="34"/>
    <w:qFormat/>
    <w:rsid w:val="00781354"/>
    <w:pPr>
      <w:ind w:left="720"/>
      <w:contextualSpacing/>
    </w:pPr>
  </w:style>
  <w:style w:type="character" w:styleId="FollowedHyperlink">
    <w:name w:val="FollowedHyperlink"/>
    <w:basedOn w:val="DefaultParagraphFont"/>
    <w:uiPriority w:val="99"/>
    <w:semiHidden/>
    <w:unhideWhenUsed/>
    <w:rsid w:val="006A6948"/>
    <w:rPr>
      <w:color w:val="800080" w:themeColor="followedHyperlink"/>
      <w:u w:val="single"/>
    </w:rPr>
  </w:style>
  <w:style w:type="character" w:styleId="CommentReference">
    <w:name w:val="annotation reference"/>
    <w:basedOn w:val="DefaultParagraphFont"/>
    <w:uiPriority w:val="99"/>
    <w:semiHidden/>
    <w:unhideWhenUsed/>
    <w:rsid w:val="00FB5DBB"/>
    <w:rPr>
      <w:sz w:val="16"/>
      <w:szCs w:val="16"/>
    </w:rPr>
  </w:style>
  <w:style w:type="paragraph" w:styleId="CommentText">
    <w:name w:val="annotation text"/>
    <w:basedOn w:val="Normal"/>
    <w:link w:val="CommentTextChar"/>
    <w:uiPriority w:val="99"/>
    <w:semiHidden/>
    <w:unhideWhenUsed/>
    <w:rsid w:val="00FB5DBB"/>
    <w:rPr>
      <w:sz w:val="20"/>
      <w:szCs w:val="20"/>
    </w:rPr>
  </w:style>
  <w:style w:type="character" w:customStyle="1" w:styleId="CommentTextChar">
    <w:name w:val="Comment Text Char"/>
    <w:basedOn w:val="DefaultParagraphFont"/>
    <w:link w:val="CommentText"/>
    <w:uiPriority w:val="99"/>
    <w:semiHidden/>
    <w:rsid w:val="00FB5DBB"/>
  </w:style>
  <w:style w:type="paragraph" w:styleId="CommentSubject">
    <w:name w:val="annotation subject"/>
    <w:basedOn w:val="CommentText"/>
    <w:next w:val="CommentText"/>
    <w:link w:val="CommentSubjectChar"/>
    <w:uiPriority w:val="99"/>
    <w:semiHidden/>
    <w:unhideWhenUsed/>
    <w:rsid w:val="00FB5DBB"/>
    <w:rPr>
      <w:b/>
      <w:bCs/>
    </w:rPr>
  </w:style>
  <w:style w:type="character" w:customStyle="1" w:styleId="CommentSubjectChar">
    <w:name w:val="Comment Subject Char"/>
    <w:basedOn w:val="CommentTextChar"/>
    <w:link w:val="CommentSubject"/>
    <w:uiPriority w:val="99"/>
    <w:semiHidden/>
    <w:rsid w:val="00FB5DBB"/>
    <w:rPr>
      <w:b/>
      <w:bCs/>
    </w:rPr>
  </w:style>
  <w:style w:type="paragraph" w:styleId="Revision">
    <w:name w:val="Revision"/>
    <w:hidden/>
    <w:uiPriority w:val="99"/>
    <w:semiHidden/>
    <w:rsid w:val="00FB5DBB"/>
    <w:rPr>
      <w:sz w:val="24"/>
      <w:szCs w:val="24"/>
    </w:rPr>
  </w:style>
  <w:style w:type="character" w:customStyle="1" w:styleId="FooterChar">
    <w:name w:val="Footer Char"/>
    <w:basedOn w:val="DefaultParagraphFont"/>
    <w:link w:val="Footer"/>
    <w:uiPriority w:val="99"/>
    <w:rsid w:val="00080FEF"/>
    <w:rPr>
      <w:sz w:val="24"/>
      <w:szCs w:val="24"/>
    </w:rPr>
  </w:style>
  <w:style w:type="character" w:customStyle="1" w:styleId="Heading1Char">
    <w:name w:val="Heading 1 Char"/>
    <w:basedOn w:val="DefaultParagraphFont"/>
    <w:link w:val="Heading1"/>
    <w:rsid w:val="002F2669"/>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1D5B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98792">
      <w:bodyDiv w:val="1"/>
      <w:marLeft w:val="0"/>
      <w:marRight w:val="0"/>
      <w:marTop w:val="0"/>
      <w:marBottom w:val="0"/>
      <w:divBdr>
        <w:top w:val="none" w:sz="0" w:space="0" w:color="auto"/>
        <w:left w:val="none" w:sz="0" w:space="0" w:color="auto"/>
        <w:bottom w:val="none" w:sz="0" w:space="0" w:color="auto"/>
        <w:right w:val="none" w:sz="0" w:space="0" w:color="auto"/>
      </w:divBdr>
    </w:div>
    <w:div w:id="288441015">
      <w:bodyDiv w:val="1"/>
      <w:marLeft w:val="0"/>
      <w:marRight w:val="0"/>
      <w:marTop w:val="0"/>
      <w:marBottom w:val="0"/>
      <w:divBdr>
        <w:top w:val="none" w:sz="0" w:space="0" w:color="auto"/>
        <w:left w:val="none" w:sz="0" w:space="0" w:color="auto"/>
        <w:bottom w:val="none" w:sz="0" w:space="0" w:color="auto"/>
        <w:right w:val="none" w:sz="0" w:space="0" w:color="auto"/>
      </w:divBdr>
    </w:div>
    <w:div w:id="391075395">
      <w:bodyDiv w:val="1"/>
      <w:marLeft w:val="0"/>
      <w:marRight w:val="0"/>
      <w:marTop w:val="0"/>
      <w:marBottom w:val="0"/>
      <w:divBdr>
        <w:top w:val="none" w:sz="0" w:space="0" w:color="auto"/>
        <w:left w:val="none" w:sz="0" w:space="0" w:color="auto"/>
        <w:bottom w:val="none" w:sz="0" w:space="0" w:color="auto"/>
        <w:right w:val="none" w:sz="0" w:space="0" w:color="auto"/>
      </w:divBdr>
    </w:div>
    <w:div w:id="408161661">
      <w:bodyDiv w:val="1"/>
      <w:marLeft w:val="0"/>
      <w:marRight w:val="0"/>
      <w:marTop w:val="0"/>
      <w:marBottom w:val="0"/>
      <w:divBdr>
        <w:top w:val="none" w:sz="0" w:space="0" w:color="auto"/>
        <w:left w:val="none" w:sz="0" w:space="0" w:color="auto"/>
        <w:bottom w:val="none" w:sz="0" w:space="0" w:color="auto"/>
        <w:right w:val="none" w:sz="0" w:space="0" w:color="auto"/>
      </w:divBdr>
    </w:div>
    <w:div w:id="891236219">
      <w:bodyDiv w:val="1"/>
      <w:marLeft w:val="0"/>
      <w:marRight w:val="0"/>
      <w:marTop w:val="0"/>
      <w:marBottom w:val="0"/>
      <w:divBdr>
        <w:top w:val="none" w:sz="0" w:space="0" w:color="auto"/>
        <w:left w:val="none" w:sz="0" w:space="0" w:color="auto"/>
        <w:bottom w:val="none" w:sz="0" w:space="0" w:color="auto"/>
        <w:right w:val="none" w:sz="0" w:space="0" w:color="auto"/>
      </w:divBdr>
    </w:div>
    <w:div w:id="917784254">
      <w:bodyDiv w:val="1"/>
      <w:marLeft w:val="0"/>
      <w:marRight w:val="0"/>
      <w:marTop w:val="0"/>
      <w:marBottom w:val="0"/>
      <w:divBdr>
        <w:top w:val="none" w:sz="0" w:space="0" w:color="auto"/>
        <w:left w:val="none" w:sz="0" w:space="0" w:color="auto"/>
        <w:bottom w:val="none" w:sz="0" w:space="0" w:color="auto"/>
        <w:right w:val="none" w:sz="0" w:space="0" w:color="auto"/>
      </w:divBdr>
    </w:div>
    <w:div w:id="947539737">
      <w:bodyDiv w:val="1"/>
      <w:marLeft w:val="0"/>
      <w:marRight w:val="0"/>
      <w:marTop w:val="0"/>
      <w:marBottom w:val="0"/>
      <w:divBdr>
        <w:top w:val="none" w:sz="0" w:space="0" w:color="auto"/>
        <w:left w:val="none" w:sz="0" w:space="0" w:color="auto"/>
        <w:bottom w:val="none" w:sz="0" w:space="0" w:color="auto"/>
        <w:right w:val="none" w:sz="0" w:space="0" w:color="auto"/>
      </w:divBdr>
    </w:div>
    <w:div w:id="1047292568">
      <w:bodyDiv w:val="1"/>
      <w:marLeft w:val="0"/>
      <w:marRight w:val="0"/>
      <w:marTop w:val="0"/>
      <w:marBottom w:val="0"/>
      <w:divBdr>
        <w:top w:val="none" w:sz="0" w:space="0" w:color="auto"/>
        <w:left w:val="none" w:sz="0" w:space="0" w:color="auto"/>
        <w:bottom w:val="none" w:sz="0" w:space="0" w:color="auto"/>
        <w:right w:val="none" w:sz="0" w:space="0" w:color="auto"/>
      </w:divBdr>
    </w:div>
    <w:div w:id="1163469618">
      <w:bodyDiv w:val="1"/>
      <w:marLeft w:val="0"/>
      <w:marRight w:val="0"/>
      <w:marTop w:val="0"/>
      <w:marBottom w:val="0"/>
      <w:divBdr>
        <w:top w:val="none" w:sz="0" w:space="0" w:color="auto"/>
        <w:left w:val="none" w:sz="0" w:space="0" w:color="auto"/>
        <w:bottom w:val="none" w:sz="0" w:space="0" w:color="auto"/>
        <w:right w:val="none" w:sz="0" w:space="0" w:color="auto"/>
      </w:divBdr>
    </w:div>
    <w:div w:id="1221404265">
      <w:bodyDiv w:val="1"/>
      <w:marLeft w:val="0"/>
      <w:marRight w:val="0"/>
      <w:marTop w:val="0"/>
      <w:marBottom w:val="0"/>
      <w:divBdr>
        <w:top w:val="none" w:sz="0" w:space="0" w:color="auto"/>
        <w:left w:val="none" w:sz="0" w:space="0" w:color="auto"/>
        <w:bottom w:val="none" w:sz="0" w:space="0" w:color="auto"/>
        <w:right w:val="none" w:sz="0" w:space="0" w:color="auto"/>
      </w:divBdr>
    </w:div>
    <w:div w:id="1377436111">
      <w:bodyDiv w:val="1"/>
      <w:marLeft w:val="0"/>
      <w:marRight w:val="0"/>
      <w:marTop w:val="0"/>
      <w:marBottom w:val="0"/>
      <w:divBdr>
        <w:top w:val="none" w:sz="0" w:space="0" w:color="auto"/>
        <w:left w:val="none" w:sz="0" w:space="0" w:color="auto"/>
        <w:bottom w:val="none" w:sz="0" w:space="0" w:color="auto"/>
        <w:right w:val="none" w:sz="0" w:space="0" w:color="auto"/>
      </w:divBdr>
    </w:div>
    <w:div w:id="1636334357">
      <w:bodyDiv w:val="1"/>
      <w:marLeft w:val="0"/>
      <w:marRight w:val="0"/>
      <w:marTop w:val="0"/>
      <w:marBottom w:val="0"/>
      <w:divBdr>
        <w:top w:val="none" w:sz="0" w:space="0" w:color="auto"/>
        <w:left w:val="none" w:sz="0" w:space="0" w:color="auto"/>
        <w:bottom w:val="none" w:sz="0" w:space="0" w:color="auto"/>
        <w:right w:val="none" w:sz="0" w:space="0" w:color="auto"/>
      </w:divBdr>
    </w:div>
    <w:div w:id="1638023058">
      <w:bodyDiv w:val="1"/>
      <w:marLeft w:val="0"/>
      <w:marRight w:val="0"/>
      <w:marTop w:val="0"/>
      <w:marBottom w:val="0"/>
      <w:divBdr>
        <w:top w:val="none" w:sz="0" w:space="0" w:color="auto"/>
        <w:left w:val="none" w:sz="0" w:space="0" w:color="auto"/>
        <w:bottom w:val="none" w:sz="0" w:space="0" w:color="auto"/>
        <w:right w:val="none" w:sz="0" w:space="0" w:color="auto"/>
      </w:divBdr>
    </w:div>
    <w:div w:id="1669092815">
      <w:bodyDiv w:val="1"/>
      <w:marLeft w:val="0"/>
      <w:marRight w:val="0"/>
      <w:marTop w:val="0"/>
      <w:marBottom w:val="0"/>
      <w:divBdr>
        <w:top w:val="none" w:sz="0" w:space="0" w:color="auto"/>
        <w:left w:val="none" w:sz="0" w:space="0" w:color="auto"/>
        <w:bottom w:val="none" w:sz="0" w:space="0" w:color="auto"/>
        <w:right w:val="none" w:sz="0" w:space="0" w:color="auto"/>
      </w:divBdr>
    </w:div>
    <w:div w:id="1770616393">
      <w:bodyDiv w:val="1"/>
      <w:marLeft w:val="0"/>
      <w:marRight w:val="0"/>
      <w:marTop w:val="0"/>
      <w:marBottom w:val="0"/>
      <w:divBdr>
        <w:top w:val="none" w:sz="0" w:space="0" w:color="auto"/>
        <w:left w:val="none" w:sz="0" w:space="0" w:color="auto"/>
        <w:bottom w:val="none" w:sz="0" w:space="0" w:color="auto"/>
        <w:right w:val="none" w:sz="0" w:space="0" w:color="auto"/>
      </w:divBdr>
    </w:div>
    <w:div w:id="1789736432">
      <w:bodyDiv w:val="1"/>
      <w:marLeft w:val="0"/>
      <w:marRight w:val="0"/>
      <w:marTop w:val="0"/>
      <w:marBottom w:val="0"/>
      <w:divBdr>
        <w:top w:val="none" w:sz="0" w:space="0" w:color="auto"/>
        <w:left w:val="none" w:sz="0" w:space="0" w:color="auto"/>
        <w:bottom w:val="none" w:sz="0" w:space="0" w:color="auto"/>
        <w:right w:val="none" w:sz="0" w:space="0" w:color="auto"/>
      </w:divBdr>
    </w:div>
    <w:div w:id="1959144528">
      <w:bodyDiv w:val="1"/>
      <w:marLeft w:val="0"/>
      <w:marRight w:val="0"/>
      <w:marTop w:val="0"/>
      <w:marBottom w:val="0"/>
      <w:divBdr>
        <w:top w:val="none" w:sz="0" w:space="0" w:color="auto"/>
        <w:left w:val="none" w:sz="0" w:space="0" w:color="auto"/>
        <w:bottom w:val="none" w:sz="0" w:space="0" w:color="auto"/>
        <w:right w:val="none" w:sz="0" w:space="0" w:color="auto"/>
      </w:divBdr>
    </w:div>
    <w:div w:id="1965578493">
      <w:bodyDiv w:val="1"/>
      <w:marLeft w:val="0"/>
      <w:marRight w:val="0"/>
      <w:marTop w:val="0"/>
      <w:marBottom w:val="0"/>
      <w:divBdr>
        <w:top w:val="none" w:sz="0" w:space="0" w:color="auto"/>
        <w:left w:val="none" w:sz="0" w:space="0" w:color="auto"/>
        <w:bottom w:val="none" w:sz="0" w:space="0" w:color="auto"/>
        <w:right w:val="none" w:sz="0" w:space="0" w:color="auto"/>
      </w:divBdr>
    </w:div>
    <w:div w:id="1988582130">
      <w:bodyDiv w:val="1"/>
      <w:marLeft w:val="0"/>
      <w:marRight w:val="0"/>
      <w:marTop w:val="0"/>
      <w:marBottom w:val="0"/>
      <w:divBdr>
        <w:top w:val="none" w:sz="0" w:space="0" w:color="auto"/>
        <w:left w:val="none" w:sz="0" w:space="0" w:color="auto"/>
        <w:bottom w:val="none" w:sz="0" w:space="0" w:color="auto"/>
        <w:right w:val="none" w:sz="0" w:space="0" w:color="auto"/>
      </w:divBdr>
    </w:div>
    <w:div w:id="205692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ure.idaho.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han@ope.idaho.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ure.idaho.gov/ope/repor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2A7A1F7359F4AB962799642618CDB" ma:contentTypeVersion="13" ma:contentTypeDescription="Create a new document." ma:contentTypeScope="" ma:versionID="11504a94505cf8c951b8328ce87c80fa">
  <xsd:schema xmlns:xsd="http://www.w3.org/2001/XMLSchema" xmlns:xs="http://www.w3.org/2001/XMLSchema" xmlns:p="http://schemas.microsoft.com/office/2006/metadata/properties" xmlns:ns2="be00ca1d-4114-41ef-8921-7fff74208ede" xmlns:ns3="7aab3c86-2bf0-46bd-a2d4-144ee781bdfe" targetNamespace="http://schemas.microsoft.com/office/2006/metadata/properties" ma:root="true" ma:fieldsID="44336da2054c528ef64313e5075b72d8" ns2:_="" ns3:_="">
    <xsd:import namespace="be00ca1d-4114-41ef-8921-7fff74208ede"/>
    <xsd:import namespace="7aab3c86-2bf0-46bd-a2d4-144ee781bd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0ca1d-4114-41ef-8921-7fff74208e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b3c86-2bf0-46bd-a2d4-144ee781bd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1A11-76B0-4B51-BC80-D97F5B9A5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0ca1d-4114-41ef-8921-7fff74208ede"/>
    <ds:schemaRef ds:uri="7aab3c86-2bf0-46bd-a2d4-144ee781b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06E53-A158-45A1-8A72-AB2C1C42CE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D2DE51-B5A8-460E-95E1-270AE170281B}">
  <ds:schemaRefs>
    <ds:schemaRef ds:uri="http://schemas.microsoft.com/sharepoint/v3/contenttype/forms"/>
  </ds:schemaRefs>
</ds:datastoreItem>
</file>

<file path=customXml/itemProps4.xml><?xml version="1.0" encoding="utf-8"?>
<ds:datastoreItem xmlns:ds="http://schemas.openxmlformats.org/officeDocument/2006/customXml" ds:itemID="{AE1DA721-C4B2-4EB7-B471-FA46986B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5149</Characters>
  <Application>Microsoft Office Word</Application>
  <DocSecurity>0</DocSecurity>
  <Lines>42</Lines>
  <Paragraphs>11</Paragraphs>
  <ScaleCrop>false</ScaleCrop>
  <Company>Division of Financial Management</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Purpose</dc:title>
  <dc:subject/>
  <dc:creator>Anita Hamann</dc:creator>
  <cp:keywords/>
  <cp:lastModifiedBy>Theresa Arnold</cp:lastModifiedBy>
  <cp:revision>17</cp:revision>
  <cp:lastPrinted>2019-08-28T19:04:00Z</cp:lastPrinted>
  <dcterms:created xsi:type="dcterms:W3CDTF">2021-08-04T21:47:00Z</dcterms:created>
  <dcterms:modified xsi:type="dcterms:W3CDTF">2022-05-31T18:24:00Z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0x010100D9F2A7A1F7359F4AB962799642618CDB</vt:lpwstr>
  </property>
</Properties>
</file>