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6A23" w14:textId="77777777" w:rsidR="00C868AF" w:rsidRPr="00487FCD" w:rsidRDefault="00C868AF" w:rsidP="00C868AF">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11D67D2F" w14:textId="77777777" w:rsidR="00301D72" w:rsidRDefault="00301D72" w:rsidP="00CB4E6F">
      <w:pPr>
        <w:rPr>
          <w:rFonts w:ascii="Arial" w:hAnsi="Arial" w:cs="Arial"/>
          <w:b/>
        </w:rPr>
      </w:pPr>
    </w:p>
    <w:p w14:paraId="6C8D3DF3" w14:textId="77777777" w:rsidR="00AB3945" w:rsidRPr="00CB4E6F" w:rsidRDefault="00AB3945" w:rsidP="00CB4E6F">
      <w:pPr>
        <w:rPr>
          <w:rFonts w:ascii="Arial" w:hAnsi="Arial" w:cs="Arial"/>
          <w:b/>
        </w:rPr>
      </w:pPr>
      <w:r w:rsidRPr="00CB4E6F">
        <w:rPr>
          <w:rFonts w:ascii="Arial" w:hAnsi="Arial" w:cs="Arial"/>
          <w:b/>
        </w:rPr>
        <w:t>Agency Overview</w:t>
      </w:r>
    </w:p>
    <w:p w14:paraId="018E973B" w14:textId="77777777" w:rsidR="00AB3945" w:rsidRDefault="00AB3945" w:rsidP="00993943">
      <w:pPr>
        <w:jc w:val="both"/>
        <w:rPr>
          <w:rFonts w:ascii="Arial" w:hAnsi="Arial" w:cs="Arial"/>
          <w:sz w:val="20"/>
        </w:rPr>
      </w:pPr>
      <w:r>
        <w:rPr>
          <w:rFonts w:ascii="Arial" w:hAnsi="Arial" w:cs="Arial"/>
          <w:sz w:val="20"/>
        </w:rPr>
        <w:t xml:space="preserve">Under state law, the Idaho Public Utilities Commission supervises and regulates Idaho’s investor-owned utilities - electric, gas, telecommunications and water </w:t>
      </w:r>
      <w:r>
        <w:rPr>
          <w:rFonts w:ascii="Arial" w:hAnsi="Arial" w:cs="Arial"/>
          <w:sz w:val="20"/>
        </w:rPr>
        <w:noBreakHyphen/>
        <w:t xml:space="preserve"> assuring adequate service and affixing just, reasonable and sufficient rates.</w:t>
      </w:r>
    </w:p>
    <w:p w14:paraId="564C60F7" w14:textId="77777777" w:rsidR="00AB3945" w:rsidRDefault="00AB3945" w:rsidP="00993943">
      <w:pPr>
        <w:jc w:val="both"/>
        <w:rPr>
          <w:rFonts w:ascii="Arial" w:hAnsi="Arial" w:cs="Arial"/>
          <w:sz w:val="20"/>
        </w:rPr>
      </w:pPr>
    </w:p>
    <w:p w14:paraId="4B30B5DA" w14:textId="77777777" w:rsidR="00AB3945" w:rsidRDefault="00AB3945" w:rsidP="00993943">
      <w:pPr>
        <w:jc w:val="both"/>
        <w:rPr>
          <w:rFonts w:ascii="Arial" w:hAnsi="Arial" w:cs="Arial"/>
          <w:sz w:val="20"/>
        </w:rPr>
      </w:pPr>
      <w:r>
        <w:rPr>
          <w:rFonts w:ascii="Arial" w:hAnsi="Arial" w:cs="Arial"/>
          <w:sz w:val="20"/>
        </w:rPr>
        <w:t>The commission does not regulate publicly owned, municipal or cooperative utilities.</w:t>
      </w:r>
    </w:p>
    <w:p w14:paraId="26BD547F" w14:textId="77777777" w:rsidR="00AB3945" w:rsidRDefault="00AB3945" w:rsidP="00993943">
      <w:pPr>
        <w:jc w:val="both"/>
        <w:rPr>
          <w:rFonts w:ascii="Arial" w:hAnsi="Arial" w:cs="Arial"/>
          <w:sz w:val="20"/>
        </w:rPr>
      </w:pPr>
    </w:p>
    <w:p w14:paraId="485F5FFB" w14:textId="77777777" w:rsidR="00AB3945" w:rsidRDefault="00AB3945" w:rsidP="00993943">
      <w:pPr>
        <w:jc w:val="both"/>
        <w:rPr>
          <w:rFonts w:ascii="Arial" w:hAnsi="Arial" w:cs="Arial"/>
          <w:sz w:val="20"/>
        </w:rPr>
      </w:pPr>
      <w:r>
        <w:rPr>
          <w:rFonts w:ascii="Arial" w:hAnsi="Arial" w:cs="Arial"/>
          <w:sz w:val="20"/>
        </w:rPr>
        <w:t>In setting rates, the commission must consider the needs of both the utility and its customers. Customers must be ensured of paying a reasonable rate and utilities must be allowed</w:t>
      </w:r>
      <w:r w:rsidR="0080528D">
        <w:rPr>
          <w:rFonts w:ascii="Arial" w:hAnsi="Arial" w:cs="Arial"/>
          <w:sz w:val="20"/>
        </w:rPr>
        <w:t xml:space="preserve"> the opportunity</w:t>
      </w:r>
      <w:r>
        <w:rPr>
          <w:rFonts w:ascii="Arial" w:hAnsi="Arial" w:cs="Arial"/>
          <w:sz w:val="20"/>
        </w:rPr>
        <w:t xml:space="preserve"> to recover their legitimate costs of serving of their customers and earning a fair rate of return. IPUC decisions can be appealed to the Idaho Supreme Court.</w:t>
      </w:r>
    </w:p>
    <w:p w14:paraId="0DF203D7" w14:textId="77777777" w:rsidR="00AB3945" w:rsidRDefault="00AB3945" w:rsidP="00993943">
      <w:pPr>
        <w:jc w:val="both"/>
        <w:rPr>
          <w:rFonts w:ascii="Arial" w:hAnsi="Arial" w:cs="Arial"/>
          <w:sz w:val="20"/>
        </w:rPr>
      </w:pPr>
    </w:p>
    <w:p w14:paraId="188A18EA" w14:textId="77777777" w:rsidR="00AB3945" w:rsidRDefault="00AB3945" w:rsidP="00993943">
      <w:pPr>
        <w:jc w:val="both"/>
        <w:rPr>
          <w:rFonts w:ascii="Arial" w:hAnsi="Arial" w:cs="Arial"/>
          <w:sz w:val="20"/>
        </w:rPr>
      </w:pPr>
      <w:r>
        <w:rPr>
          <w:rFonts w:ascii="Arial" w:hAnsi="Arial" w:cs="Arial"/>
          <w:sz w:val="20"/>
        </w:rPr>
        <w:t>The governor appoints the three commissioners with confirmation by the Idaho Senate. No more than two commissioners may be of the same political party. The commissioners serve staggered six-year terms. Currently serving are</w:t>
      </w:r>
      <w:r w:rsidR="00F90C6B">
        <w:rPr>
          <w:rFonts w:ascii="Arial" w:hAnsi="Arial" w:cs="Arial"/>
          <w:sz w:val="20"/>
        </w:rPr>
        <w:t xml:space="preserve"> Paul Kjellander, Kristine Raper, and </w:t>
      </w:r>
      <w:r w:rsidR="00424E44">
        <w:rPr>
          <w:rFonts w:ascii="Arial" w:hAnsi="Arial" w:cs="Arial"/>
          <w:sz w:val="20"/>
        </w:rPr>
        <w:t>Eric Anderson</w:t>
      </w:r>
      <w:r w:rsidR="00F90C6B">
        <w:rPr>
          <w:rFonts w:ascii="Arial" w:hAnsi="Arial" w:cs="Arial"/>
          <w:sz w:val="20"/>
        </w:rPr>
        <w:t>.</w:t>
      </w:r>
      <w:r>
        <w:rPr>
          <w:rFonts w:ascii="Arial" w:hAnsi="Arial" w:cs="Arial"/>
          <w:sz w:val="20"/>
        </w:rPr>
        <w:t xml:space="preserve"> Vacancies that occur when the Idaho Senate is not in session are filled by gubernatorial appointment subject to confirmation by the Senate upon reconvening in regular session.</w:t>
      </w:r>
    </w:p>
    <w:p w14:paraId="04EA7944" w14:textId="77777777" w:rsidR="00AB3945" w:rsidRDefault="00AB3945" w:rsidP="00993943">
      <w:pPr>
        <w:jc w:val="both"/>
        <w:rPr>
          <w:rFonts w:ascii="Arial" w:hAnsi="Arial" w:cs="Arial"/>
          <w:sz w:val="20"/>
        </w:rPr>
      </w:pPr>
    </w:p>
    <w:p w14:paraId="323AD848" w14:textId="77777777" w:rsidR="00AB3945" w:rsidRDefault="00AB3945" w:rsidP="00993943">
      <w:pPr>
        <w:jc w:val="both"/>
        <w:rPr>
          <w:rFonts w:ascii="Arial" w:hAnsi="Arial" w:cs="Arial"/>
          <w:sz w:val="20"/>
        </w:rPr>
      </w:pPr>
      <w:r>
        <w:rPr>
          <w:rFonts w:ascii="Arial" w:hAnsi="Arial" w:cs="Arial"/>
          <w:sz w:val="20"/>
        </w:rPr>
        <w:t>The governor may remove a commissioner before his/her term has expired for dereliction of duty, corruption or incompetence.</w:t>
      </w:r>
    </w:p>
    <w:p w14:paraId="16880CF0" w14:textId="77777777" w:rsidR="00AB3945" w:rsidRDefault="00AB3945" w:rsidP="00993943">
      <w:pPr>
        <w:jc w:val="both"/>
        <w:rPr>
          <w:rFonts w:ascii="Arial" w:hAnsi="Arial" w:cs="Arial"/>
          <w:sz w:val="20"/>
        </w:rPr>
      </w:pPr>
    </w:p>
    <w:p w14:paraId="7C65114D" w14:textId="77777777" w:rsidR="00AB3945" w:rsidRDefault="00AB3945" w:rsidP="00993943">
      <w:pPr>
        <w:jc w:val="both"/>
        <w:rPr>
          <w:rFonts w:ascii="Arial" w:hAnsi="Arial" w:cs="Arial"/>
          <w:sz w:val="20"/>
        </w:rPr>
      </w:pPr>
      <w:r>
        <w:rPr>
          <w:rFonts w:ascii="Arial" w:hAnsi="Arial" w:cs="Arial"/>
          <w:sz w:val="20"/>
        </w:rPr>
        <w:t xml:space="preserve">The three-member commission was established by the 12th Session of the Idaho Legislature and was organized May 8, 1913 as the Public Utilities Commission of the State of Idaho. In 1951 it was reorganized as the Idaho Public Utilities Commission. Statutory authorities for the commission are established in Idaho Code titles 61 and 62. </w:t>
      </w:r>
    </w:p>
    <w:p w14:paraId="4C55A711" w14:textId="77777777" w:rsidR="00AB3945" w:rsidRDefault="00AB3945" w:rsidP="00993943">
      <w:pPr>
        <w:jc w:val="both"/>
        <w:rPr>
          <w:rFonts w:ascii="Arial" w:hAnsi="Arial" w:cs="Arial"/>
          <w:sz w:val="20"/>
        </w:rPr>
      </w:pPr>
    </w:p>
    <w:p w14:paraId="0CF706D4" w14:textId="77777777" w:rsidR="00AB3945" w:rsidRDefault="00AB3945" w:rsidP="00993943">
      <w:pPr>
        <w:jc w:val="both"/>
        <w:rPr>
          <w:rFonts w:ascii="Arial" w:hAnsi="Arial" w:cs="Arial"/>
          <w:sz w:val="20"/>
        </w:rPr>
      </w:pPr>
      <w:r>
        <w:rPr>
          <w:rFonts w:ascii="Arial" w:hAnsi="Arial" w:cs="Arial"/>
          <w:sz w:val="20"/>
        </w:rPr>
        <w:t xml:space="preserve">The IPUC has quasi-legislative and quasi-judicial </w:t>
      </w:r>
      <w:r w:rsidR="0080528D">
        <w:rPr>
          <w:rFonts w:ascii="Arial" w:hAnsi="Arial" w:cs="Arial"/>
          <w:sz w:val="20"/>
        </w:rPr>
        <w:t xml:space="preserve">duties </w:t>
      </w:r>
      <w:r>
        <w:rPr>
          <w:rFonts w:ascii="Arial" w:hAnsi="Arial" w:cs="Arial"/>
          <w:sz w:val="20"/>
        </w:rPr>
        <w:t xml:space="preserve">as well as executive powers and duties. The Commission is authorized </w:t>
      </w:r>
      <w:r w:rsidR="006B76D3">
        <w:rPr>
          <w:rFonts w:ascii="Arial" w:hAnsi="Arial" w:cs="Arial"/>
          <w:sz w:val="20"/>
        </w:rPr>
        <w:t>49</w:t>
      </w:r>
      <w:r>
        <w:rPr>
          <w:rFonts w:ascii="Arial" w:hAnsi="Arial" w:cs="Arial"/>
          <w:sz w:val="20"/>
        </w:rPr>
        <w:t xml:space="preserve"> FTE and has its main office in Boise, Idaho.  </w:t>
      </w:r>
    </w:p>
    <w:p w14:paraId="7BCDA9B6" w14:textId="77777777" w:rsidR="00AB3945" w:rsidRDefault="00AB3945" w:rsidP="00993943">
      <w:pPr>
        <w:jc w:val="both"/>
        <w:rPr>
          <w:rFonts w:ascii="Arial" w:hAnsi="Arial" w:cs="Arial"/>
          <w:sz w:val="20"/>
        </w:rPr>
      </w:pPr>
    </w:p>
    <w:p w14:paraId="1BF49BE3" w14:textId="77777777" w:rsidR="00AB3945" w:rsidRDefault="00AB3945" w:rsidP="00993943">
      <w:pPr>
        <w:jc w:val="both"/>
        <w:rPr>
          <w:rFonts w:ascii="Arial" w:hAnsi="Arial" w:cs="Arial"/>
          <w:sz w:val="20"/>
        </w:rPr>
      </w:pPr>
      <w:r>
        <w:rPr>
          <w:rFonts w:ascii="Arial" w:hAnsi="Arial" w:cs="Arial"/>
          <w:sz w:val="20"/>
        </w:rPr>
        <w:t xml:space="preserve">In its quasi-legislative capacity, the commission sets rates and makes rules governing utility operations. In its quasi-judicial mode, the commission hears and decides complaints, issues written orders that are similar to court orders and may have its decisions appealed to the Idaho Supreme Court. In its executive capacity, the commission enforces state laws affecting </w:t>
      </w:r>
      <w:r w:rsidR="0080528D">
        <w:rPr>
          <w:rFonts w:ascii="Arial" w:hAnsi="Arial" w:cs="Arial"/>
          <w:sz w:val="20"/>
        </w:rPr>
        <w:t>regulated</w:t>
      </w:r>
      <w:r>
        <w:rPr>
          <w:rFonts w:ascii="Arial" w:hAnsi="Arial" w:cs="Arial"/>
          <w:sz w:val="20"/>
        </w:rPr>
        <w:t xml:space="preserve"> utilities and rail industries.</w:t>
      </w:r>
    </w:p>
    <w:p w14:paraId="120D152E" w14:textId="77777777" w:rsidR="00AB3945" w:rsidRDefault="00AB3945" w:rsidP="00993943">
      <w:pPr>
        <w:jc w:val="both"/>
        <w:rPr>
          <w:rFonts w:ascii="Arial" w:hAnsi="Arial" w:cs="Arial"/>
          <w:sz w:val="20"/>
        </w:rPr>
      </w:pPr>
    </w:p>
    <w:p w14:paraId="1AF244A7" w14:textId="77777777" w:rsidR="00AB3945" w:rsidRDefault="00AB3945" w:rsidP="00993943">
      <w:pPr>
        <w:jc w:val="both"/>
        <w:rPr>
          <w:rFonts w:ascii="Arial" w:hAnsi="Arial" w:cs="Arial"/>
          <w:sz w:val="20"/>
        </w:rPr>
      </w:pPr>
      <w:r>
        <w:rPr>
          <w:rFonts w:ascii="Arial" w:hAnsi="Arial" w:cs="Arial"/>
          <w:sz w:val="20"/>
        </w:rPr>
        <w:t xml:space="preserve">Fees assessed on the utilities and railroads it regulates fund commission operations. Annual assessments are set by the </w:t>
      </w:r>
      <w:r w:rsidR="00F90C6B">
        <w:rPr>
          <w:rFonts w:ascii="Arial" w:hAnsi="Arial" w:cs="Arial"/>
          <w:sz w:val="20"/>
        </w:rPr>
        <w:t>C</w:t>
      </w:r>
      <w:r>
        <w:rPr>
          <w:rFonts w:ascii="Arial" w:hAnsi="Arial" w:cs="Arial"/>
          <w:sz w:val="20"/>
        </w:rPr>
        <w:t>ommission each year in April within limits set by law.</w:t>
      </w:r>
    </w:p>
    <w:p w14:paraId="5B408452" w14:textId="77777777" w:rsidR="00AB3945" w:rsidRDefault="00AB3945" w:rsidP="00993943">
      <w:pPr>
        <w:jc w:val="both"/>
        <w:rPr>
          <w:rFonts w:ascii="Arial" w:hAnsi="Arial" w:cs="Arial"/>
          <w:sz w:val="20"/>
        </w:rPr>
      </w:pPr>
    </w:p>
    <w:p w14:paraId="55212CD5" w14:textId="2F8C87FA" w:rsidR="00AB3945" w:rsidRDefault="00AB3945" w:rsidP="00993943">
      <w:pPr>
        <w:jc w:val="both"/>
        <w:rPr>
          <w:rFonts w:ascii="Arial" w:hAnsi="Arial" w:cs="Arial"/>
          <w:sz w:val="20"/>
        </w:rPr>
      </w:pPr>
      <w:r>
        <w:rPr>
          <w:rFonts w:ascii="Arial" w:hAnsi="Arial" w:cs="Arial"/>
          <w:sz w:val="20"/>
        </w:rPr>
        <w:t xml:space="preserve">At this time, </w:t>
      </w:r>
      <w:r w:rsidR="003930FA">
        <w:rPr>
          <w:rFonts w:ascii="Arial" w:hAnsi="Arial" w:cs="Arial"/>
          <w:sz w:val="20"/>
        </w:rPr>
        <w:t>Paul Kjellander</w:t>
      </w:r>
      <w:r>
        <w:rPr>
          <w:rFonts w:ascii="Arial" w:hAnsi="Arial" w:cs="Arial"/>
          <w:sz w:val="20"/>
        </w:rPr>
        <w:t xml:space="preserve"> is the </w:t>
      </w:r>
      <w:r w:rsidR="00F90C6B">
        <w:rPr>
          <w:rFonts w:ascii="Arial" w:hAnsi="Arial" w:cs="Arial"/>
          <w:sz w:val="20"/>
        </w:rPr>
        <w:t>Co</w:t>
      </w:r>
      <w:r>
        <w:rPr>
          <w:rFonts w:ascii="Arial" w:hAnsi="Arial" w:cs="Arial"/>
          <w:sz w:val="20"/>
        </w:rPr>
        <w:t xml:space="preserve">mmission </w:t>
      </w:r>
      <w:r w:rsidR="00F90C6B">
        <w:rPr>
          <w:rFonts w:ascii="Arial" w:hAnsi="Arial" w:cs="Arial"/>
          <w:sz w:val="20"/>
        </w:rPr>
        <w:t>P</w:t>
      </w:r>
      <w:r>
        <w:rPr>
          <w:rFonts w:ascii="Arial" w:hAnsi="Arial" w:cs="Arial"/>
          <w:sz w:val="20"/>
        </w:rPr>
        <w:t xml:space="preserve">resident. Commissioners meet on the first </w:t>
      </w:r>
      <w:r w:rsidR="001A1FC4">
        <w:rPr>
          <w:rFonts w:ascii="Arial" w:hAnsi="Arial" w:cs="Arial"/>
          <w:sz w:val="20"/>
        </w:rPr>
        <w:t>Tuesday</w:t>
      </w:r>
      <w:r>
        <w:rPr>
          <w:rFonts w:ascii="Arial" w:hAnsi="Arial" w:cs="Arial"/>
          <w:sz w:val="20"/>
        </w:rPr>
        <w:t xml:space="preserve"> in April in odd-numbered years to elect one of their own to a two-year term as president. The </w:t>
      </w:r>
      <w:r w:rsidR="00F90C6B">
        <w:rPr>
          <w:rFonts w:ascii="Arial" w:hAnsi="Arial" w:cs="Arial"/>
          <w:sz w:val="20"/>
        </w:rPr>
        <w:t>p</w:t>
      </w:r>
      <w:r>
        <w:rPr>
          <w:rFonts w:ascii="Arial" w:hAnsi="Arial" w:cs="Arial"/>
          <w:sz w:val="20"/>
        </w:rPr>
        <w:t>resident signs contracts on the commission’s behalf, is the final authority in personnel matters and handles other administrative tasks.</w:t>
      </w:r>
    </w:p>
    <w:p w14:paraId="74C1C88F" w14:textId="77777777" w:rsidR="00AB3945" w:rsidRDefault="00AB3945" w:rsidP="00993943">
      <w:pPr>
        <w:jc w:val="both"/>
        <w:rPr>
          <w:rFonts w:ascii="Arial" w:hAnsi="Arial" w:cs="Arial"/>
          <w:sz w:val="20"/>
        </w:rPr>
      </w:pPr>
    </w:p>
    <w:p w14:paraId="49380657" w14:textId="77777777" w:rsidR="00AB3945" w:rsidRDefault="00AB3945" w:rsidP="00993943">
      <w:pPr>
        <w:jc w:val="both"/>
        <w:rPr>
          <w:rFonts w:ascii="Arial" w:hAnsi="Arial" w:cs="Arial"/>
          <w:sz w:val="20"/>
        </w:rPr>
      </w:pPr>
      <w:r>
        <w:rPr>
          <w:rFonts w:ascii="Arial" w:hAnsi="Arial" w:cs="Arial"/>
          <w:sz w:val="20"/>
        </w:rPr>
        <w:t xml:space="preserve">Chairmanship of individual cases is rotated among all three commissioners. The </w:t>
      </w:r>
      <w:r w:rsidR="00F90C6B">
        <w:rPr>
          <w:rFonts w:ascii="Arial" w:hAnsi="Arial" w:cs="Arial"/>
          <w:sz w:val="20"/>
        </w:rPr>
        <w:t>C</w:t>
      </w:r>
      <w:r>
        <w:rPr>
          <w:rFonts w:ascii="Arial" w:hAnsi="Arial" w:cs="Arial"/>
          <w:sz w:val="20"/>
        </w:rPr>
        <w:t xml:space="preserve">ommission conducts its business in two types of meetings: hearings and decision meetings. </w:t>
      </w:r>
    </w:p>
    <w:p w14:paraId="05582322" w14:textId="77777777" w:rsidR="00AB3945" w:rsidRDefault="00AB3945" w:rsidP="00993943">
      <w:pPr>
        <w:jc w:val="both"/>
        <w:rPr>
          <w:rFonts w:ascii="Arial" w:hAnsi="Arial" w:cs="Arial"/>
          <w:sz w:val="20"/>
        </w:rPr>
      </w:pPr>
    </w:p>
    <w:p w14:paraId="21487591" w14:textId="77777777" w:rsidR="00AB3945" w:rsidRDefault="00AB3945" w:rsidP="00993943">
      <w:pPr>
        <w:jc w:val="both"/>
        <w:rPr>
          <w:rFonts w:ascii="Arial" w:hAnsi="Arial" w:cs="Arial"/>
          <w:sz w:val="20"/>
        </w:rPr>
      </w:pPr>
      <w:r>
        <w:rPr>
          <w:rFonts w:ascii="Arial" w:hAnsi="Arial" w:cs="Arial"/>
          <w:sz w:val="20"/>
        </w:rPr>
        <w:t xml:space="preserve">Formal hearings on utility and railroad issues are held on a case-by-case basis, often in the service area of the utility under consideration to allow maximum public participation. These hearings resemble judicial proceedings and are transcribed by a court reporter. Formal parties to the case under consideration present testimony and evidence subject to cross-examination by attorneys and staff from the other parties and the </w:t>
      </w:r>
      <w:r w:rsidR="00F90C6B">
        <w:rPr>
          <w:rFonts w:ascii="Arial" w:hAnsi="Arial" w:cs="Arial"/>
          <w:sz w:val="20"/>
        </w:rPr>
        <w:t>C</w:t>
      </w:r>
      <w:r>
        <w:rPr>
          <w:rFonts w:ascii="Arial" w:hAnsi="Arial" w:cs="Arial"/>
          <w:sz w:val="20"/>
        </w:rPr>
        <w:t>ommissioners.</w:t>
      </w:r>
    </w:p>
    <w:p w14:paraId="73D30793" w14:textId="77777777" w:rsidR="00AB3945" w:rsidRDefault="00AB3945" w:rsidP="00993943">
      <w:pPr>
        <w:jc w:val="both"/>
        <w:rPr>
          <w:rFonts w:ascii="Arial" w:hAnsi="Arial" w:cs="Arial"/>
          <w:sz w:val="20"/>
        </w:rPr>
      </w:pPr>
    </w:p>
    <w:p w14:paraId="01D692AF" w14:textId="77777777" w:rsidR="00AB3945" w:rsidRDefault="00AB3945" w:rsidP="00993943">
      <w:pPr>
        <w:jc w:val="both"/>
        <w:rPr>
          <w:rFonts w:ascii="Arial" w:hAnsi="Arial" w:cs="Arial"/>
          <w:sz w:val="20"/>
        </w:rPr>
      </w:pPr>
      <w:r>
        <w:rPr>
          <w:rFonts w:ascii="Arial" w:hAnsi="Arial" w:cs="Arial"/>
          <w:sz w:val="20"/>
        </w:rPr>
        <w:t>Members of the general public may testify before the commission at a hearing without prior notice or formal intervention. However, those seeking the full rights of parties - such as the right to cross-examine other witnesses</w:t>
      </w:r>
      <w:r w:rsidR="0080528D">
        <w:rPr>
          <w:rFonts w:ascii="Arial" w:hAnsi="Arial" w:cs="Arial"/>
          <w:sz w:val="20"/>
        </w:rPr>
        <w:t>, make objections,</w:t>
      </w:r>
      <w:r>
        <w:rPr>
          <w:rFonts w:ascii="Arial" w:hAnsi="Arial" w:cs="Arial"/>
          <w:sz w:val="20"/>
        </w:rPr>
        <w:t xml:space="preserve"> or to make and argue motions - must file a petition for “</w:t>
      </w:r>
      <w:r w:rsidR="00084E54">
        <w:rPr>
          <w:rFonts w:ascii="Arial" w:hAnsi="Arial" w:cs="Arial"/>
          <w:sz w:val="20"/>
        </w:rPr>
        <w:t>intervener</w:t>
      </w:r>
      <w:r>
        <w:rPr>
          <w:rFonts w:ascii="Arial" w:hAnsi="Arial" w:cs="Arial"/>
          <w:sz w:val="20"/>
        </w:rPr>
        <w:t>” status.</w:t>
      </w:r>
      <w:r w:rsidR="0080528D">
        <w:rPr>
          <w:rFonts w:ascii="Arial" w:hAnsi="Arial" w:cs="Arial"/>
          <w:sz w:val="20"/>
        </w:rPr>
        <w:t xml:space="preserve"> Partnerships, corporations and other entities must be represented by a licensed attorney.</w:t>
      </w:r>
    </w:p>
    <w:p w14:paraId="1FC5F5DA" w14:textId="77777777" w:rsidR="003A7819" w:rsidRDefault="003A7819" w:rsidP="00993943">
      <w:pPr>
        <w:jc w:val="both"/>
        <w:rPr>
          <w:rFonts w:ascii="Arial" w:hAnsi="Arial" w:cs="Arial"/>
          <w:sz w:val="20"/>
        </w:rPr>
      </w:pPr>
    </w:p>
    <w:p w14:paraId="08758178" w14:textId="3C5DDA64" w:rsidR="00AB3945" w:rsidRDefault="00AB3945" w:rsidP="00993943">
      <w:pPr>
        <w:jc w:val="both"/>
        <w:rPr>
          <w:rFonts w:ascii="Arial" w:hAnsi="Arial" w:cs="Arial"/>
          <w:sz w:val="20"/>
        </w:rPr>
      </w:pPr>
      <w:r>
        <w:rPr>
          <w:rFonts w:ascii="Arial" w:hAnsi="Arial" w:cs="Arial"/>
          <w:sz w:val="20"/>
        </w:rPr>
        <w:lastRenderedPageBreak/>
        <w:t xml:space="preserve">To provide for more public input in a less formal setting, commission staff members </w:t>
      </w:r>
      <w:r w:rsidR="001A1FC4">
        <w:rPr>
          <w:rFonts w:ascii="Arial" w:hAnsi="Arial" w:cs="Arial"/>
          <w:sz w:val="20"/>
        </w:rPr>
        <w:t>will</w:t>
      </w:r>
      <w:r>
        <w:rPr>
          <w:rFonts w:ascii="Arial" w:hAnsi="Arial" w:cs="Arial"/>
          <w:sz w:val="20"/>
        </w:rPr>
        <w:t xml:space="preserve"> travel to areas impacted by potential commission decisions to conduct workshops. Unlike a formal hearing where members of the public testify but cannot ask questions of commissioners, a workshop allows citizens to ask questions and offer suggestions to commission staff.</w:t>
      </w:r>
    </w:p>
    <w:p w14:paraId="1EF497D6" w14:textId="77777777" w:rsidR="00AB3945" w:rsidRDefault="00AB3945" w:rsidP="00993943">
      <w:pPr>
        <w:jc w:val="both"/>
        <w:rPr>
          <w:rFonts w:ascii="Arial" w:hAnsi="Arial" w:cs="Arial"/>
          <w:sz w:val="20"/>
        </w:rPr>
      </w:pPr>
    </w:p>
    <w:p w14:paraId="2871ABE9" w14:textId="529F065B" w:rsidR="00AB3945" w:rsidRDefault="00AB3945" w:rsidP="00993943">
      <w:pPr>
        <w:jc w:val="both"/>
        <w:rPr>
          <w:rFonts w:ascii="Arial" w:hAnsi="Arial" w:cs="Arial"/>
          <w:sz w:val="20"/>
        </w:rPr>
      </w:pPr>
      <w:r>
        <w:rPr>
          <w:rFonts w:ascii="Arial" w:hAnsi="Arial" w:cs="Arial"/>
          <w:sz w:val="20"/>
        </w:rPr>
        <w:t xml:space="preserve">The </w:t>
      </w:r>
      <w:r w:rsidR="00F90C6B">
        <w:rPr>
          <w:rFonts w:ascii="Arial" w:hAnsi="Arial" w:cs="Arial"/>
          <w:sz w:val="20"/>
        </w:rPr>
        <w:t>C</w:t>
      </w:r>
      <w:r>
        <w:rPr>
          <w:rFonts w:ascii="Arial" w:hAnsi="Arial" w:cs="Arial"/>
          <w:sz w:val="20"/>
        </w:rPr>
        <w:t xml:space="preserve">ommission also conducts regular decision meetings to consider issues on an agenda prepared by the commission secretary and posted in advance of the meeting. These meetings are usually held </w:t>
      </w:r>
      <w:r w:rsidR="001A1FC4">
        <w:rPr>
          <w:rFonts w:ascii="Arial" w:hAnsi="Arial" w:cs="Arial"/>
          <w:sz w:val="20"/>
        </w:rPr>
        <w:t>Tuesday</w:t>
      </w:r>
      <w:r>
        <w:rPr>
          <w:rFonts w:ascii="Arial" w:hAnsi="Arial" w:cs="Arial"/>
          <w:sz w:val="20"/>
        </w:rPr>
        <w:t>s at 1:30 p.m., although by law the commission is required to meet only once a month. Members of the public are welcome to attend decision meetings.</w:t>
      </w:r>
    </w:p>
    <w:p w14:paraId="2BDCC1D8" w14:textId="77777777" w:rsidR="00AB3945" w:rsidRDefault="00AB3945" w:rsidP="00993943">
      <w:pPr>
        <w:jc w:val="both"/>
        <w:rPr>
          <w:rFonts w:ascii="Arial" w:hAnsi="Arial" w:cs="Arial"/>
          <w:sz w:val="20"/>
        </w:rPr>
      </w:pPr>
    </w:p>
    <w:p w14:paraId="4F0537C9" w14:textId="77777777" w:rsidR="00AB3945" w:rsidRDefault="00AB3945" w:rsidP="00993943">
      <w:pPr>
        <w:jc w:val="both"/>
        <w:rPr>
          <w:rFonts w:ascii="Arial" w:hAnsi="Arial" w:cs="Arial"/>
          <w:sz w:val="20"/>
        </w:rPr>
      </w:pPr>
      <w:r>
        <w:rPr>
          <w:rFonts w:ascii="Arial" w:hAnsi="Arial" w:cs="Arial"/>
          <w:sz w:val="20"/>
        </w:rPr>
        <w:t xml:space="preserve">Typically, decision meetings consist of the </w:t>
      </w:r>
      <w:r w:rsidR="00F90C6B">
        <w:rPr>
          <w:rFonts w:ascii="Arial" w:hAnsi="Arial" w:cs="Arial"/>
          <w:sz w:val="20"/>
        </w:rPr>
        <w:t>C</w:t>
      </w:r>
      <w:r>
        <w:rPr>
          <w:rFonts w:ascii="Arial" w:hAnsi="Arial" w:cs="Arial"/>
          <w:sz w:val="20"/>
        </w:rPr>
        <w:t xml:space="preserve">ommission’s review of decision memoranda prepared by commission staff. Minutes of the meetings are taken and decisions reached at these meetings are preliminary, becoming final only when issued in a written order signed by a majority of the </w:t>
      </w:r>
      <w:r w:rsidR="00F90C6B">
        <w:rPr>
          <w:rFonts w:ascii="Arial" w:hAnsi="Arial" w:cs="Arial"/>
          <w:sz w:val="20"/>
        </w:rPr>
        <w:t>C</w:t>
      </w:r>
      <w:r>
        <w:rPr>
          <w:rFonts w:ascii="Arial" w:hAnsi="Arial" w:cs="Arial"/>
          <w:sz w:val="20"/>
        </w:rPr>
        <w:t>ommission.</w:t>
      </w:r>
    </w:p>
    <w:p w14:paraId="1639FC54" w14:textId="77777777" w:rsidR="00AB3945" w:rsidRPr="00993943" w:rsidRDefault="00AB3945" w:rsidP="00993943">
      <w:pPr>
        <w:jc w:val="both"/>
        <w:rPr>
          <w:rFonts w:ascii="Arial" w:hAnsi="Arial" w:cs="Arial"/>
        </w:rPr>
      </w:pPr>
    </w:p>
    <w:p w14:paraId="4991E1FB" w14:textId="77777777" w:rsidR="00AB3945" w:rsidRPr="00CB4E6F" w:rsidRDefault="00AB3945" w:rsidP="00CB4E6F">
      <w:pPr>
        <w:rPr>
          <w:rFonts w:ascii="Arial" w:hAnsi="Arial" w:cs="Arial"/>
          <w:b/>
        </w:rPr>
      </w:pPr>
      <w:r w:rsidRPr="00CB4E6F">
        <w:rPr>
          <w:rFonts w:ascii="Arial" w:hAnsi="Arial" w:cs="Arial"/>
          <w:b/>
        </w:rPr>
        <w:t>Core Functions/Idaho Code</w:t>
      </w:r>
    </w:p>
    <w:p w14:paraId="7C972E40" w14:textId="1C3596A1" w:rsidR="00AB3945" w:rsidRDefault="00AB3945" w:rsidP="00993943">
      <w:pPr>
        <w:jc w:val="both"/>
        <w:rPr>
          <w:rFonts w:ascii="Arial" w:hAnsi="Arial" w:cs="Arial"/>
          <w:sz w:val="20"/>
        </w:rPr>
      </w:pPr>
      <w:r>
        <w:rPr>
          <w:rFonts w:ascii="Arial" w:hAnsi="Arial" w:cs="Arial"/>
          <w:sz w:val="20"/>
        </w:rPr>
        <w:t xml:space="preserve">Statutory authorities for the </w:t>
      </w:r>
      <w:r w:rsidR="00F90C6B">
        <w:rPr>
          <w:rFonts w:ascii="Arial" w:hAnsi="Arial" w:cs="Arial"/>
          <w:sz w:val="20"/>
        </w:rPr>
        <w:t>C</w:t>
      </w:r>
      <w:r>
        <w:rPr>
          <w:rFonts w:ascii="Arial" w:hAnsi="Arial" w:cs="Arial"/>
          <w:sz w:val="20"/>
        </w:rPr>
        <w:t>ommission are established in Idaho Code titles 61 and 62. To help ensure its decisions are fair and workable, the commission employs a staff of about 5</w:t>
      </w:r>
      <w:r w:rsidR="00F90C6B">
        <w:rPr>
          <w:rFonts w:ascii="Arial" w:hAnsi="Arial" w:cs="Arial"/>
          <w:sz w:val="20"/>
        </w:rPr>
        <w:t>5</w:t>
      </w:r>
      <w:r>
        <w:rPr>
          <w:rFonts w:ascii="Arial" w:hAnsi="Arial" w:cs="Arial"/>
          <w:sz w:val="20"/>
        </w:rPr>
        <w:t xml:space="preserve"> people</w:t>
      </w:r>
      <w:r w:rsidR="00F90C6B">
        <w:rPr>
          <w:rFonts w:ascii="Arial" w:hAnsi="Arial" w:cs="Arial"/>
          <w:sz w:val="20"/>
        </w:rPr>
        <w:t xml:space="preserve"> </w:t>
      </w:r>
      <w:r>
        <w:rPr>
          <w:rFonts w:ascii="Arial" w:hAnsi="Arial" w:cs="Arial"/>
          <w:sz w:val="20"/>
        </w:rPr>
        <w:t>-</w:t>
      </w:r>
      <w:r w:rsidR="00F90C6B">
        <w:rPr>
          <w:rFonts w:ascii="Arial" w:hAnsi="Arial" w:cs="Arial"/>
          <w:sz w:val="20"/>
        </w:rPr>
        <w:t xml:space="preserve"> </w:t>
      </w:r>
      <w:r>
        <w:rPr>
          <w:rFonts w:ascii="Arial" w:hAnsi="Arial" w:cs="Arial"/>
          <w:sz w:val="20"/>
        </w:rPr>
        <w:t>engineers, rate analysts, attorneys, a</w:t>
      </w:r>
      <w:r w:rsidR="001A1FC4">
        <w:rPr>
          <w:rFonts w:ascii="Arial" w:hAnsi="Arial" w:cs="Arial"/>
          <w:sz w:val="20"/>
        </w:rPr>
        <w:t>uditors</w:t>
      </w:r>
      <w:r>
        <w:rPr>
          <w:rFonts w:ascii="Arial" w:hAnsi="Arial" w:cs="Arial"/>
          <w:sz w:val="20"/>
        </w:rPr>
        <w:t xml:space="preserve">, investigators, economists, </w:t>
      </w:r>
      <w:r w:rsidR="001A1FC4">
        <w:rPr>
          <w:rFonts w:ascii="Arial" w:hAnsi="Arial" w:cs="Arial"/>
          <w:sz w:val="20"/>
        </w:rPr>
        <w:t xml:space="preserve">administrative </w:t>
      </w:r>
      <w:r>
        <w:rPr>
          <w:rFonts w:ascii="Arial" w:hAnsi="Arial" w:cs="Arial"/>
          <w:sz w:val="20"/>
        </w:rPr>
        <w:t xml:space="preserve">and other support personnel. The commission staff is organized in three divisions - </w:t>
      </w:r>
      <w:r w:rsidR="00F90C6B">
        <w:rPr>
          <w:rFonts w:ascii="Arial" w:hAnsi="Arial" w:cs="Arial"/>
          <w:sz w:val="20"/>
        </w:rPr>
        <w:t>A</w:t>
      </w:r>
      <w:r>
        <w:rPr>
          <w:rFonts w:ascii="Arial" w:hAnsi="Arial" w:cs="Arial"/>
          <w:sz w:val="20"/>
        </w:rPr>
        <w:t xml:space="preserve">dministration, </w:t>
      </w:r>
      <w:r w:rsidR="00F90C6B">
        <w:rPr>
          <w:rFonts w:ascii="Arial" w:hAnsi="Arial" w:cs="Arial"/>
          <w:sz w:val="20"/>
        </w:rPr>
        <w:t>L</w:t>
      </w:r>
      <w:r>
        <w:rPr>
          <w:rFonts w:ascii="Arial" w:hAnsi="Arial" w:cs="Arial"/>
          <w:sz w:val="20"/>
        </w:rPr>
        <w:t xml:space="preserve">egal and </w:t>
      </w:r>
      <w:r w:rsidR="00F90C6B">
        <w:rPr>
          <w:rFonts w:ascii="Arial" w:hAnsi="Arial" w:cs="Arial"/>
          <w:sz w:val="20"/>
        </w:rPr>
        <w:t>U</w:t>
      </w:r>
      <w:r>
        <w:rPr>
          <w:rFonts w:ascii="Arial" w:hAnsi="Arial" w:cs="Arial"/>
          <w:sz w:val="20"/>
        </w:rPr>
        <w:t>tilities.</w:t>
      </w:r>
    </w:p>
    <w:p w14:paraId="4ED645CF" w14:textId="77777777" w:rsidR="00AB3945" w:rsidRDefault="00AB3945" w:rsidP="00993943">
      <w:pPr>
        <w:jc w:val="both"/>
        <w:rPr>
          <w:rFonts w:ascii="Arial" w:hAnsi="Arial" w:cs="Arial"/>
          <w:sz w:val="20"/>
        </w:rPr>
      </w:pPr>
    </w:p>
    <w:p w14:paraId="0D40FA15" w14:textId="77777777" w:rsidR="00AB3945" w:rsidRDefault="00AB3945" w:rsidP="00993943">
      <w:pPr>
        <w:pStyle w:val="PlainText"/>
        <w:jc w:val="both"/>
        <w:rPr>
          <w:rFonts w:ascii="Arial" w:hAnsi="Arial" w:cs="Arial"/>
          <w:szCs w:val="24"/>
        </w:rPr>
      </w:pPr>
      <w:r>
        <w:rPr>
          <w:rFonts w:ascii="Arial" w:hAnsi="Arial" w:cs="Arial"/>
          <w:szCs w:val="24"/>
        </w:rPr>
        <w:t xml:space="preserve">The staff analyzes each petition, complaint, rate increase request or application for an operating certificate received by the </w:t>
      </w:r>
      <w:r w:rsidR="00F90C6B">
        <w:rPr>
          <w:rFonts w:ascii="Arial" w:hAnsi="Arial" w:cs="Arial"/>
          <w:szCs w:val="24"/>
        </w:rPr>
        <w:t>C</w:t>
      </w:r>
      <w:r>
        <w:rPr>
          <w:rFonts w:ascii="Arial" w:hAnsi="Arial" w:cs="Arial"/>
          <w:szCs w:val="24"/>
        </w:rPr>
        <w:t xml:space="preserve">ommission. In formal proceedings before the </w:t>
      </w:r>
      <w:r w:rsidR="00F90C6B">
        <w:rPr>
          <w:rFonts w:ascii="Arial" w:hAnsi="Arial" w:cs="Arial"/>
          <w:szCs w:val="24"/>
        </w:rPr>
        <w:t>C</w:t>
      </w:r>
      <w:r>
        <w:rPr>
          <w:rFonts w:ascii="Arial" w:hAnsi="Arial" w:cs="Arial"/>
          <w:szCs w:val="24"/>
        </w:rPr>
        <w:t xml:space="preserve">ommission, the staff acts as a separate party to the case, presenting its own testimony, evidence and expert witnesses. The </w:t>
      </w:r>
      <w:r w:rsidR="00F90C6B">
        <w:rPr>
          <w:rFonts w:ascii="Arial" w:hAnsi="Arial" w:cs="Arial"/>
          <w:szCs w:val="24"/>
        </w:rPr>
        <w:t>C</w:t>
      </w:r>
      <w:r>
        <w:rPr>
          <w:rFonts w:ascii="Arial" w:hAnsi="Arial" w:cs="Arial"/>
          <w:szCs w:val="24"/>
        </w:rPr>
        <w:t>ommission considers staff recommendations along with those of other participants in each case - including utilities, public, agricultural, industrial, business and consumer groups.</w:t>
      </w:r>
    </w:p>
    <w:p w14:paraId="10C6AFFA" w14:textId="77777777" w:rsidR="00AB3945" w:rsidRDefault="00AB3945" w:rsidP="00993943">
      <w:pPr>
        <w:pStyle w:val="PlainText"/>
        <w:jc w:val="both"/>
        <w:rPr>
          <w:rFonts w:ascii="Arial" w:hAnsi="Arial" w:cs="Arial"/>
          <w:szCs w:val="24"/>
        </w:rPr>
      </w:pPr>
    </w:p>
    <w:p w14:paraId="3159D413" w14:textId="77777777" w:rsidR="00AB3945" w:rsidRDefault="00AB3945" w:rsidP="00993943">
      <w:pPr>
        <w:pStyle w:val="PlainText"/>
        <w:jc w:val="both"/>
        <w:rPr>
          <w:rFonts w:ascii="Arial" w:hAnsi="Arial" w:cs="Arial"/>
          <w:b/>
          <w:bCs/>
          <w:szCs w:val="36"/>
          <w:u w:val="single"/>
        </w:rPr>
      </w:pPr>
      <w:r>
        <w:rPr>
          <w:rFonts w:ascii="Arial" w:hAnsi="Arial" w:cs="Arial"/>
          <w:b/>
          <w:bCs/>
          <w:szCs w:val="36"/>
          <w:u w:val="single"/>
        </w:rPr>
        <w:t>Utilities Division</w:t>
      </w:r>
    </w:p>
    <w:p w14:paraId="5E29B6F7" w14:textId="2F804EF6" w:rsidR="00AB3945" w:rsidRDefault="00AB3945" w:rsidP="00993943">
      <w:pPr>
        <w:pStyle w:val="PlainText"/>
        <w:jc w:val="both"/>
        <w:rPr>
          <w:rFonts w:ascii="Arial" w:hAnsi="Arial" w:cs="Arial"/>
          <w:szCs w:val="24"/>
        </w:rPr>
      </w:pPr>
      <w:r>
        <w:rPr>
          <w:rFonts w:ascii="Arial" w:hAnsi="Arial" w:cs="Arial"/>
          <w:szCs w:val="24"/>
        </w:rPr>
        <w:t xml:space="preserve">The Utilities Division, responsible for technical analysis of utility matters before the </w:t>
      </w:r>
      <w:r w:rsidR="00F90C6B">
        <w:rPr>
          <w:rFonts w:ascii="Arial" w:hAnsi="Arial" w:cs="Arial"/>
          <w:szCs w:val="24"/>
        </w:rPr>
        <w:t>C</w:t>
      </w:r>
      <w:r>
        <w:rPr>
          <w:rFonts w:ascii="Arial" w:hAnsi="Arial" w:cs="Arial"/>
          <w:szCs w:val="24"/>
        </w:rPr>
        <w:t xml:space="preserve">ommission, is divided into </w:t>
      </w:r>
      <w:r w:rsidR="003C2B3D">
        <w:rPr>
          <w:rFonts w:ascii="Arial" w:hAnsi="Arial" w:cs="Arial"/>
          <w:szCs w:val="24"/>
        </w:rPr>
        <w:t xml:space="preserve">four </w:t>
      </w:r>
      <w:r>
        <w:rPr>
          <w:rFonts w:ascii="Arial" w:hAnsi="Arial" w:cs="Arial"/>
          <w:szCs w:val="24"/>
        </w:rPr>
        <w:t xml:space="preserve">sections. </w:t>
      </w:r>
    </w:p>
    <w:p w14:paraId="015D0850" w14:textId="77777777" w:rsidR="00AB3945" w:rsidRDefault="00AB3945" w:rsidP="00993943">
      <w:pPr>
        <w:pStyle w:val="PlainText"/>
        <w:jc w:val="both"/>
        <w:rPr>
          <w:rFonts w:ascii="Arial" w:hAnsi="Arial" w:cs="Arial"/>
          <w:szCs w:val="24"/>
        </w:rPr>
      </w:pPr>
    </w:p>
    <w:p w14:paraId="69148BB9" w14:textId="69E3E591" w:rsidR="00AB3945" w:rsidRDefault="00AB3945" w:rsidP="00993943">
      <w:pPr>
        <w:pStyle w:val="PlainText"/>
        <w:jc w:val="both"/>
        <w:rPr>
          <w:rFonts w:ascii="Arial" w:hAnsi="Arial" w:cs="Arial"/>
          <w:szCs w:val="24"/>
        </w:rPr>
      </w:pPr>
      <w:r>
        <w:rPr>
          <w:rFonts w:ascii="Arial" w:hAnsi="Arial" w:cs="Arial"/>
          <w:szCs w:val="24"/>
        </w:rPr>
        <w:t xml:space="preserve">The </w:t>
      </w:r>
      <w:r w:rsidRPr="00DC5E74">
        <w:rPr>
          <w:rFonts w:ascii="Arial" w:hAnsi="Arial" w:cs="Arial"/>
          <w:szCs w:val="24"/>
        </w:rPr>
        <w:t>A</w:t>
      </w:r>
      <w:r w:rsidR="00A77B49" w:rsidRPr="00DC5E74">
        <w:rPr>
          <w:rFonts w:ascii="Arial" w:hAnsi="Arial" w:cs="Arial"/>
          <w:szCs w:val="24"/>
        </w:rPr>
        <w:t>udit</w:t>
      </w:r>
      <w:r w:rsidRPr="00DC5E74">
        <w:rPr>
          <w:rFonts w:ascii="Arial" w:hAnsi="Arial" w:cs="Arial"/>
          <w:szCs w:val="24"/>
        </w:rPr>
        <w:t xml:space="preserve"> Section</w:t>
      </w:r>
      <w:r w:rsidR="00A77B49">
        <w:rPr>
          <w:rFonts w:ascii="Arial" w:hAnsi="Arial" w:cs="Arial"/>
          <w:iCs/>
          <w:szCs w:val="24"/>
        </w:rPr>
        <w:t xml:space="preserve"> </w:t>
      </w:r>
      <w:r w:rsidRPr="00F90C6B">
        <w:rPr>
          <w:rFonts w:ascii="Arial" w:hAnsi="Arial" w:cs="Arial"/>
          <w:szCs w:val="24"/>
        </w:rPr>
        <w:t>audits u</w:t>
      </w:r>
      <w:r>
        <w:rPr>
          <w:rFonts w:ascii="Arial" w:hAnsi="Arial" w:cs="Arial"/>
          <w:szCs w:val="24"/>
        </w:rPr>
        <w:t>tility books and records to verify reported revenue, expenses and compliance with commission orders. Staff auditors present the results of their findings in audit reports as well as in formal testimony and exhibits.  When a utility requests a rate increase, cost-of-capital studies are performed to determine a recommended rate of return. Revenues, expenses and investments are analyzed to determine the amount needed for the utility to earn the recommended return on its investment.</w:t>
      </w:r>
    </w:p>
    <w:p w14:paraId="54412DEB" w14:textId="77777777" w:rsidR="00AB3945" w:rsidRDefault="00AB3945" w:rsidP="00993943">
      <w:pPr>
        <w:pStyle w:val="PlainText"/>
        <w:jc w:val="both"/>
        <w:rPr>
          <w:rFonts w:ascii="Arial" w:hAnsi="Arial" w:cs="Arial"/>
          <w:szCs w:val="24"/>
        </w:rPr>
      </w:pPr>
    </w:p>
    <w:p w14:paraId="638B8362" w14:textId="63986EEA" w:rsidR="00AB3945" w:rsidRDefault="00AB3945" w:rsidP="00993943">
      <w:pPr>
        <w:pStyle w:val="PlainText"/>
        <w:jc w:val="both"/>
        <w:rPr>
          <w:rFonts w:ascii="Arial" w:hAnsi="Arial" w:cs="Arial"/>
          <w:szCs w:val="24"/>
        </w:rPr>
      </w:pPr>
      <w:r w:rsidRPr="00DC5E74">
        <w:rPr>
          <w:rFonts w:ascii="Arial" w:hAnsi="Arial" w:cs="Arial"/>
          <w:szCs w:val="24"/>
        </w:rPr>
        <w:t>The Engineering Section</w:t>
      </w:r>
      <w:r>
        <w:rPr>
          <w:rFonts w:ascii="Arial" w:hAnsi="Arial" w:cs="Arial"/>
          <w:b/>
          <w:bCs/>
          <w:szCs w:val="24"/>
        </w:rPr>
        <w:t xml:space="preserve"> </w:t>
      </w:r>
      <w:r w:rsidR="000F233D">
        <w:rPr>
          <w:rFonts w:ascii="Arial" w:hAnsi="Arial" w:cs="Arial"/>
          <w:szCs w:val="24"/>
        </w:rPr>
        <w:t>reviews</w:t>
      </w:r>
      <w:r>
        <w:rPr>
          <w:rFonts w:ascii="Arial" w:hAnsi="Arial" w:cs="Arial"/>
          <w:szCs w:val="24"/>
        </w:rPr>
        <w:t xml:space="preserve"> the physical operations of utilities. Staff engineers determine the cost of serving various types of customers, design utility rates and allocate costs between Idaho and the other states served by Idaho utilities. They determine the cost effectiveness of conservation and co-generation programs, evaluate the adequacy of utility services and frequently help resolve customer complaints. The group develops computer models of utility operations and reviews utility forecasts of energy usage and the need for new facilities.</w:t>
      </w:r>
    </w:p>
    <w:p w14:paraId="7A3C3FD5" w14:textId="77777777" w:rsidR="00F90C6B" w:rsidRDefault="00F90C6B" w:rsidP="00993943">
      <w:pPr>
        <w:pStyle w:val="PlainText"/>
        <w:jc w:val="both"/>
        <w:rPr>
          <w:rFonts w:ascii="Arial" w:hAnsi="Arial" w:cs="Arial"/>
          <w:szCs w:val="24"/>
        </w:rPr>
      </w:pPr>
    </w:p>
    <w:p w14:paraId="7469CA88" w14:textId="3C27F2BF" w:rsidR="00AB3945" w:rsidRDefault="006B5815" w:rsidP="00993943">
      <w:pPr>
        <w:pStyle w:val="PlainText"/>
        <w:jc w:val="both"/>
        <w:rPr>
          <w:rFonts w:ascii="Arial" w:hAnsi="Arial" w:cs="Arial"/>
          <w:szCs w:val="24"/>
        </w:rPr>
      </w:pPr>
      <w:r>
        <w:rPr>
          <w:rFonts w:ascii="Arial" w:hAnsi="Arial" w:cs="Arial"/>
          <w:szCs w:val="24"/>
        </w:rPr>
        <w:t xml:space="preserve">The </w:t>
      </w:r>
      <w:r w:rsidRPr="00DC5E74">
        <w:rPr>
          <w:rFonts w:ascii="Arial" w:hAnsi="Arial" w:cs="Arial"/>
          <w:iCs/>
          <w:szCs w:val="24"/>
        </w:rPr>
        <w:t>Technical Analysis Section</w:t>
      </w:r>
      <w:r>
        <w:rPr>
          <w:rFonts w:ascii="Arial" w:hAnsi="Arial" w:cs="Arial"/>
          <w:i/>
          <w:szCs w:val="24"/>
        </w:rPr>
        <w:t xml:space="preserve"> </w:t>
      </w:r>
      <w:r w:rsidR="006D54BE" w:rsidRPr="006D54BE">
        <w:rPr>
          <w:rFonts w:ascii="Arial" w:hAnsi="Arial" w:cs="Arial"/>
          <w:szCs w:val="24"/>
        </w:rPr>
        <w:t>determines the cost effectiveness of all Demand Side Management (DSM) programs including energy efficiency and demand response. They identify potential for new DSM programs and track the impact on utility revenues. They review utility forecasts of energy, water and natural gas usage with focu</w:t>
      </w:r>
      <w:r w:rsidR="006D54BE">
        <w:rPr>
          <w:rFonts w:ascii="Arial" w:hAnsi="Arial" w:cs="Arial"/>
          <w:szCs w:val="24"/>
        </w:rPr>
        <w:t>s on residential self-</w:t>
      </w:r>
      <w:r w:rsidR="006D54BE" w:rsidRPr="006D54BE">
        <w:rPr>
          <w:rFonts w:ascii="Arial" w:hAnsi="Arial" w:cs="Arial"/>
          <w:szCs w:val="24"/>
        </w:rPr>
        <w:t>generation and rate design</w:t>
      </w:r>
      <w:r w:rsidR="006D54BE">
        <w:rPr>
          <w:rFonts w:ascii="Arial" w:hAnsi="Arial" w:cs="Arial"/>
          <w:szCs w:val="24"/>
        </w:rPr>
        <w:t>.</w:t>
      </w:r>
    </w:p>
    <w:p w14:paraId="198BC2DD" w14:textId="77777777" w:rsidR="006D54BE" w:rsidRDefault="006D54BE" w:rsidP="00993943">
      <w:pPr>
        <w:pStyle w:val="PlainText"/>
        <w:jc w:val="both"/>
        <w:rPr>
          <w:rFonts w:ascii="Arial" w:hAnsi="Arial" w:cs="Arial"/>
          <w:szCs w:val="24"/>
        </w:rPr>
      </w:pPr>
    </w:p>
    <w:p w14:paraId="5D993582" w14:textId="3ED8B459" w:rsidR="00AB3945" w:rsidRDefault="00AB3945" w:rsidP="00993943">
      <w:pPr>
        <w:pStyle w:val="PlainText"/>
        <w:jc w:val="both"/>
        <w:rPr>
          <w:rFonts w:ascii="Arial" w:hAnsi="Arial" w:cs="Arial"/>
          <w:szCs w:val="24"/>
        </w:rPr>
      </w:pPr>
      <w:r>
        <w:rPr>
          <w:rFonts w:ascii="Arial" w:hAnsi="Arial" w:cs="Arial"/>
          <w:szCs w:val="24"/>
        </w:rPr>
        <w:t xml:space="preserve">The </w:t>
      </w:r>
      <w:r w:rsidRPr="00DC5E74">
        <w:rPr>
          <w:rFonts w:ascii="Arial" w:hAnsi="Arial" w:cs="Arial"/>
          <w:szCs w:val="24"/>
        </w:rPr>
        <w:t>Consumer Assistance Section</w:t>
      </w:r>
      <w:r>
        <w:rPr>
          <w:rFonts w:ascii="Arial" w:hAnsi="Arial" w:cs="Arial"/>
          <w:szCs w:val="24"/>
        </w:rPr>
        <w:t xml:space="preserve"> </w:t>
      </w:r>
      <w:r w:rsidR="001A1FC4">
        <w:rPr>
          <w:rFonts w:ascii="Arial" w:hAnsi="Arial" w:cs="Arial"/>
          <w:szCs w:val="24"/>
        </w:rPr>
        <w:t xml:space="preserve">investigate and work to </w:t>
      </w:r>
      <w:r>
        <w:rPr>
          <w:rFonts w:ascii="Arial" w:hAnsi="Arial" w:cs="Arial"/>
          <w:szCs w:val="24"/>
        </w:rPr>
        <w:t xml:space="preserve">resolve conflicts between utilities and their customers. Customers faced with service disconnections often seek help in negotiating payment arrangements. Consumer Assistance may mediate disputes over billing, deposits, line extensions and other service problems. </w:t>
      </w:r>
    </w:p>
    <w:p w14:paraId="59A6AB92" w14:textId="77777777" w:rsidR="00AB3945" w:rsidRDefault="00AB3945" w:rsidP="00993943">
      <w:pPr>
        <w:pStyle w:val="PlainText"/>
        <w:jc w:val="both"/>
        <w:rPr>
          <w:rFonts w:ascii="Arial" w:hAnsi="Arial" w:cs="Arial"/>
          <w:szCs w:val="24"/>
        </w:rPr>
      </w:pPr>
    </w:p>
    <w:p w14:paraId="6A10D6BB" w14:textId="77777777" w:rsidR="00AB3945" w:rsidRDefault="00AB3945" w:rsidP="00993943">
      <w:pPr>
        <w:pStyle w:val="PlainText"/>
        <w:jc w:val="both"/>
        <w:rPr>
          <w:rFonts w:ascii="Arial" w:hAnsi="Arial" w:cs="Arial"/>
          <w:szCs w:val="24"/>
        </w:rPr>
      </w:pPr>
      <w:r>
        <w:rPr>
          <w:rFonts w:ascii="Arial" w:hAnsi="Arial" w:cs="Arial"/>
          <w:szCs w:val="24"/>
        </w:rPr>
        <w:t xml:space="preserve">Consumer Assistance monitors Idaho utilities to verify they are complying with </w:t>
      </w:r>
      <w:r w:rsidR="00F61855">
        <w:rPr>
          <w:rFonts w:ascii="Arial" w:hAnsi="Arial" w:cs="Arial"/>
          <w:szCs w:val="24"/>
        </w:rPr>
        <w:t>C</w:t>
      </w:r>
      <w:r>
        <w:rPr>
          <w:rFonts w:ascii="Arial" w:hAnsi="Arial" w:cs="Arial"/>
          <w:szCs w:val="24"/>
        </w:rPr>
        <w:t xml:space="preserve">ommission orders and regulations. Investigators participate in general rate and policy cases when rate design and customer service issues are brought before the </w:t>
      </w:r>
      <w:r w:rsidR="00F61855">
        <w:rPr>
          <w:rFonts w:ascii="Arial" w:hAnsi="Arial" w:cs="Arial"/>
          <w:szCs w:val="24"/>
        </w:rPr>
        <w:t>C</w:t>
      </w:r>
      <w:r>
        <w:rPr>
          <w:rFonts w:ascii="Arial" w:hAnsi="Arial" w:cs="Arial"/>
          <w:szCs w:val="24"/>
        </w:rPr>
        <w:t>ommission.</w:t>
      </w:r>
    </w:p>
    <w:p w14:paraId="230AA3D8" w14:textId="77777777" w:rsidR="00AB3945" w:rsidRDefault="00AB3945" w:rsidP="00993943">
      <w:pPr>
        <w:pStyle w:val="PlainText"/>
        <w:jc w:val="both"/>
        <w:rPr>
          <w:rFonts w:ascii="Arial" w:hAnsi="Arial" w:cs="Arial"/>
          <w:szCs w:val="24"/>
        </w:rPr>
      </w:pPr>
    </w:p>
    <w:p w14:paraId="6A3C5C20" w14:textId="77777777" w:rsidR="00AB3945" w:rsidRDefault="00AB3945" w:rsidP="00993943">
      <w:pPr>
        <w:pStyle w:val="PlainText"/>
        <w:jc w:val="both"/>
        <w:rPr>
          <w:rFonts w:ascii="Arial" w:hAnsi="Arial" w:cs="Arial"/>
          <w:szCs w:val="24"/>
        </w:rPr>
      </w:pPr>
      <w:r>
        <w:rPr>
          <w:rFonts w:ascii="Arial" w:hAnsi="Arial" w:cs="Arial"/>
          <w:szCs w:val="24"/>
        </w:rPr>
        <w:lastRenderedPageBreak/>
        <w:t xml:space="preserve">Most consumers contact the </w:t>
      </w:r>
      <w:r w:rsidR="006D54BE">
        <w:rPr>
          <w:rFonts w:ascii="Arial" w:hAnsi="Arial" w:cs="Arial"/>
          <w:szCs w:val="24"/>
        </w:rPr>
        <w:t>C</w:t>
      </w:r>
      <w:r>
        <w:rPr>
          <w:rFonts w:ascii="Arial" w:hAnsi="Arial" w:cs="Arial"/>
          <w:szCs w:val="24"/>
        </w:rPr>
        <w:t xml:space="preserve">ommission by telephone or by e-mail, via the </w:t>
      </w:r>
      <w:r w:rsidR="006D54BE">
        <w:rPr>
          <w:rFonts w:ascii="Arial" w:hAnsi="Arial" w:cs="Arial"/>
          <w:szCs w:val="24"/>
        </w:rPr>
        <w:t>C</w:t>
      </w:r>
      <w:r>
        <w:rPr>
          <w:rFonts w:ascii="Arial" w:hAnsi="Arial" w:cs="Arial"/>
          <w:szCs w:val="24"/>
        </w:rPr>
        <w:t>ommission’s Website. Staff members may negotiate payment arrangements with utilities on behalf of consumers and, when appropriate, refer clients to social service agencies, financial aid programs or budget counseling services.</w:t>
      </w:r>
    </w:p>
    <w:p w14:paraId="28A71C7B" w14:textId="77777777" w:rsidR="00AB3945" w:rsidRDefault="00AB3945" w:rsidP="00993943">
      <w:pPr>
        <w:pStyle w:val="PlainText"/>
        <w:jc w:val="both"/>
        <w:rPr>
          <w:rFonts w:ascii="Arial" w:hAnsi="Arial" w:cs="Arial"/>
          <w:szCs w:val="24"/>
        </w:rPr>
      </w:pPr>
    </w:p>
    <w:p w14:paraId="2DFC60E5" w14:textId="77777777" w:rsidR="00AB3945" w:rsidRDefault="00AB3945" w:rsidP="00993943">
      <w:pPr>
        <w:pStyle w:val="PlainText"/>
        <w:jc w:val="both"/>
        <w:rPr>
          <w:rFonts w:ascii="Arial" w:hAnsi="Arial" w:cs="Arial"/>
          <w:szCs w:val="24"/>
        </w:rPr>
      </w:pPr>
      <w:r>
        <w:rPr>
          <w:rFonts w:ascii="Arial" w:hAnsi="Arial" w:cs="Arial"/>
          <w:szCs w:val="24"/>
        </w:rPr>
        <w:t>As traditionally regulated services become deregulated, the Consumer Assistance Section’s role of educating consumers and mitigating complaints with non-regulated utilities has increased.  The increase in companies providing services equates to an increase in consumer inquiries and complaints.  Also on the increase are disputes between companies providing services, especially among telecommunications providers.</w:t>
      </w:r>
    </w:p>
    <w:p w14:paraId="461DEC3C" w14:textId="77777777" w:rsidR="00AB3945" w:rsidRDefault="00AB3945" w:rsidP="00993943">
      <w:pPr>
        <w:pStyle w:val="PlainText"/>
        <w:jc w:val="both"/>
        <w:rPr>
          <w:rFonts w:ascii="Arial" w:hAnsi="Arial" w:cs="Arial"/>
          <w:szCs w:val="24"/>
        </w:rPr>
      </w:pPr>
    </w:p>
    <w:p w14:paraId="04FC98BC" w14:textId="77777777" w:rsidR="00AB3945" w:rsidRDefault="00AB3945" w:rsidP="00993943">
      <w:pPr>
        <w:pStyle w:val="PlainText"/>
        <w:jc w:val="both"/>
        <w:rPr>
          <w:rFonts w:ascii="Arial" w:hAnsi="Arial" w:cs="Arial"/>
          <w:szCs w:val="24"/>
        </w:rPr>
      </w:pPr>
      <w:r>
        <w:rPr>
          <w:rFonts w:ascii="Arial" w:hAnsi="Arial" w:cs="Arial"/>
          <w:szCs w:val="24"/>
        </w:rPr>
        <w:t>The Consumer Assistance Section is also responsible for conducting quality of service</w:t>
      </w:r>
      <w:r w:rsidR="00181AA3">
        <w:rPr>
          <w:rFonts w:ascii="Arial" w:hAnsi="Arial" w:cs="Arial"/>
          <w:szCs w:val="24"/>
        </w:rPr>
        <w:t xml:space="preserve"> and compliance investigations</w:t>
      </w:r>
      <w:r>
        <w:rPr>
          <w:rFonts w:ascii="Arial" w:hAnsi="Arial" w:cs="Arial"/>
          <w:szCs w:val="24"/>
        </w:rPr>
        <w:t>.</w:t>
      </w:r>
    </w:p>
    <w:p w14:paraId="697C1D17" w14:textId="77777777" w:rsidR="00AB3945" w:rsidRDefault="00AB3945" w:rsidP="00993943">
      <w:pPr>
        <w:pStyle w:val="PlainText"/>
        <w:jc w:val="both"/>
        <w:rPr>
          <w:rFonts w:ascii="Arial" w:hAnsi="Arial" w:cs="Arial"/>
          <w:szCs w:val="24"/>
        </w:rPr>
      </w:pPr>
    </w:p>
    <w:p w14:paraId="5974EF6B" w14:textId="77777777" w:rsidR="00AB3945" w:rsidRDefault="00AB3945" w:rsidP="00993943">
      <w:pPr>
        <w:pStyle w:val="PlainText"/>
        <w:jc w:val="both"/>
        <w:rPr>
          <w:rFonts w:ascii="Arial" w:hAnsi="Arial" w:cs="Arial"/>
          <w:b/>
          <w:bCs/>
          <w:szCs w:val="36"/>
          <w:u w:val="single"/>
        </w:rPr>
      </w:pPr>
      <w:r>
        <w:rPr>
          <w:rFonts w:ascii="Arial" w:hAnsi="Arial" w:cs="Arial"/>
          <w:b/>
          <w:bCs/>
          <w:szCs w:val="36"/>
          <w:u w:val="single"/>
        </w:rPr>
        <w:t>Administration</w:t>
      </w:r>
    </w:p>
    <w:p w14:paraId="7611C392" w14:textId="77777777" w:rsidR="00AB3945" w:rsidRDefault="00AB3945" w:rsidP="00993943">
      <w:pPr>
        <w:pStyle w:val="PlainText"/>
        <w:jc w:val="both"/>
        <w:rPr>
          <w:rFonts w:ascii="Arial" w:hAnsi="Arial" w:cs="Arial"/>
          <w:szCs w:val="24"/>
        </w:rPr>
      </w:pPr>
      <w:r>
        <w:rPr>
          <w:rFonts w:ascii="Arial" w:hAnsi="Arial" w:cs="Arial"/>
          <w:szCs w:val="24"/>
        </w:rPr>
        <w:t>The Administrative Division is responsible for coordinating overall IPUC activities. The division includes the three commissioners,</w:t>
      </w:r>
      <w:r w:rsidR="006B76D3">
        <w:rPr>
          <w:rFonts w:ascii="Arial" w:hAnsi="Arial" w:cs="Arial"/>
          <w:szCs w:val="24"/>
        </w:rPr>
        <w:t xml:space="preserve"> three </w:t>
      </w:r>
      <w:r w:rsidR="00F61855">
        <w:rPr>
          <w:rFonts w:ascii="Arial" w:hAnsi="Arial" w:cs="Arial"/>
          <w:szCs w:val="24"/>
        </w:rPr>
        <w:t>P</w:t>
      </w:r>
      <w:r>
        <w:rPr>
          <w:rFonts w:ascii="Arial" w:hAnsi="Arial" w:cs="Arial"/>
          <w:szCs w:val="24"/>
        </w:rPr>
        <w:t xml:space="preserve">olicy </w:t>
      </w:r>
      <w:r w:rsidR="00F61855">
        <w:rPr>
          <w:rFonts w:ascii="Arial" w:hAnsi="Arial" w:cs="Arial"/>
          <w:szCs w:val="24"/>
        </w:rPr>
        <w:t>S</w:t>
      </w:r>
      <w:r>
        <w:rPr>
          <w:rFonts w:ascii="Arial" w:hAnsi="Arial" w:cs="Arial"/>
          <w:szCs w:val="24"/>
        </w:rPr>
        <w:t xml:space="preserve">trategists, a </w:t>
      </w:r>
      <w:r w:rsidR="00F61855">
        <w:rPr>
          <w:rFonts w:ascii="Arial" w:hAnsi="Arial" w:cs="Arial"/>
          <w:szCs w:val="24"/>
        </w:rPr>
        <w:t>Commission S</w:t>
      </w:r>
      <w:r>
        <w:rPr>
          <w:rFonts w:ascii="Arial" w:hAnsi="Arial" w:cs="Arial"/>
          <w:szCs w:val="24"/>
        </w:rPr>
        <w:t>ecretary, an</w:t>
      </w:r>
      <w:r w:rsidR="00F61855">
        <w:rPr>
          <w:rFonts w:ascii="Arial" w:hAnsi="Arial" w:cs="Arial"/>
          <w:szCs w:val="24"/>
        </w:rPr>
        <w:t xml:space="preserve"> E</w:t>
      </w:r>
      <w:r>
        <w:rPr>
          <w:rFonts w:ascii="Arial" w:hAnsi="Arial" w:cs="Arial"/>
          <w:szCs w:val="24"/>
        </w:rPr>
        <w:t xml:space="preserve">xecutive </w:t>
      </w:r>
      <w:r w:rsidR="006B76D3">
        <w:rPr>
          <w:rFonts w:ascii="Arial" w:hAnsi="Arial" w:cs="Arial"/>
          <w:szCs w:val="24"/>
        </w:rPr>
        <w:t>Director</w:t>
      </w:r>
      <w:r>
        <w:rPr>
          <w:rFonts w:ascii="Arial" w:hAnsi="Arial" w:cs="Arial"/>
          <w:szCs w:val="24"/>
        </w:rPr>
        <w:t>, a</w:t>
      </w:r>
      <w:r w:rsidR="006B76D3">
        <w:rPr>
          <w:rFonts w:ascii="Arial" w:hAnsi="Arial" w:cs="Arial"/>
          <w:szCs w:val="24"/>
        </w:rPr>
        <w:t xml:space="preserve"> Public Information Officer, a</w:t>
      </w:r>
      <w:r>
        <w:rPr>
          <w:rFonts w:ascii="Arial" w:hAnsi="Arial" w:cs="Arial"/>
          <w:szCs w:val="24"/>
        </w:rPr>
        <w:t xml:space="preserve">n </w:t>
      </w:r>
      <w:r w:rsidR="00F61855">
        <w:rPr>
          <w:rFonts w:ascii="Arial" w:hAnsi="Arial" w:cs="Arial"/>
          <w:szCs w:val="24"/>
        </w:rPr>
        <w:t>Executive A</w:t>
      </w:r>
      <w:r>
        <w:rPr>
          <w:rFonts w:ascii="Arial" w:hAnsi="Arial" w:cs="Arial"/>
          <w:szCs w:val="24"/>
        </w:rPr>
        <w:t>ssistant, and support personnel.</w:t>
      </w:r>
    </w:p>
    <w:p w14:paraId="2288A0DE" w14:textId="77777777" w:rsidR="00AB3945" w:rsidRDefault="00AB3945" w:rsidP="00993943">
      <w:pPr>
        <w:pStyle w:val="PlainText"/>
        <w:jc w:val="both"/>
        <w:rPr>
          <w:rFonts w:ascii="Arial" w:hAnsi="Arial" w:cs="Arial"/>
          <w:szCs w:val="24"/>
        </w:rPr>
      </w:pPr>
    </w:p>
    <w:p w14:paraId="6E901C9E" w14:textId="77777777" w:rsidR="00AB3945" w:rsidRDefault="00AB3945" w:rsidP="00993943">
      <w:pPr>
        <w:pStyle w:val="PlainText"/>
        <w:jc w:val="both"/>
        <w:rPr>
          <w:rFonts w:ascii="Arial" w:hAnsi="Arial" w:cs="Arial"/>
          <w:szCs w:val="24"/>
        </w:rPr>
      </w:pPr>
      <w:r>
        <w:rPr>
          <w:rFonts w:ascii="Arial" w:hAnsi="Arial" w:cs="Arial"/>
          <w:szCs w:val="24"/>
        </w:rPr>
        <w:t xml:space="preserve">The </w:t>
      </w:r>
      <w:r w:rsidR="006B76D3">
        <w:rPr>
          <w:rFonts w:ascii="Arial" w:hAnsi="Arial" w:cs="Arial"/>
          <w:szCs w:val="24"/>
        </w:rPr>
        <w:t>three</w:t>
      </w:r>
      <w:r>
        <w:rPr>
          <w:rFonts w:ascii="Arial" w:hAnsi="Arial" w:cs="Arial"/>
          <w:i/>
          <w:iCs/>
          <w:szCs w:val="24"/>
        </w:rPr>
        <w:t xml:space="preserve"> </w:t>
      </w:r>
      <w:r w:rsidR="006D54BE">
        <w:rPr>
          <w:rFonts w:ascii="Arial" w:hAnsi="Arial" w:cs="Arial"/>
          <w:i/>
          <w:iCs/>
          <w:szCs w:val="24"/>
        </w:rPr>
        <w:t>P</w:t>
      </w:r>
      <w:r>
        <w:rPr>
          <w:rFonts w:ascii="Arial" w:hAnsi="Arial" w:cs="Arial"/>
          <w:i/>
          <w:iCs/>
          <w:szCs w:val="24"/>
        </w:rPr>
        <w:t xml:space="preserve">olicy </w:t>
      </w:r>
      <w:r w:rsidR="006D54BE">
        <w:rPr>
          <w:rFonts w:ascii="Arial" w:hAnsi="Arial" w:cs="Arial"/>
          <w:i/>
          <w:iCs/>
          <w:szCs w:val="24"/>
        </w:rPr>
        <w:t>S</w:t>
      </w:r>
      <w:r>
        <w:rPr>
          <w:rFonts w:ascii="Arial" w:hAnsi="Arial" w:cs="Arial"/>
          <w:i/>
          <w:iCs/>
          <w:szCs w:val="24"/>
        </w:rPr>
        <w:t>trategists</w:t>
      </w:r>
      <w:r>
        <w:rPr>
          <w:rFonts w:ascii="Arial" w:hAnsi="Arial" w:cs="Arial"/>
          <w:szCs w:val="24"/>
        </w:rPr>
        <w:t xml:space="preserve"> are executive level positions reporting directly to the </w:t>
      </w:r>
      <w:r w:rsidR="006D54BE">
        <w:rPr>
          <w:rFonts w:ascii="Arial" w:hAnsi="Arial" w:cs="Arial"/>
          <w:szCs w:val="24"/>
        </w:rPr>
        <w:t>C</w:t>
      </w:r>
      <w:r>
        <w:rPr>
          <w:rFonts w:ascii="Arial" w:hAnsi="Arial" w:cs="Arial"/>
          <w:szCs w:val="24"/>
        </w:rPr>
        <w:t xml:space="preserve">ommissioners with policy and technical consultation and research support regarding major regulatory issues in the areas of electricity, telecommunications, water and natural gas. Strategists are also charged with developing comprehensive policy strategy, providing assistance and advice on major litigation before the commission and acting as liaison between the </w:t>
      </w:r>
      <w:r w:rsidR="006D54BE">
        <w:rPr>
          <w:rFonts w:ascii="Arial" w:hAnsi="Arial" w:cs="Arial"/>
          <w:szCs w:val="24"/>
        </w:rPr>
        <w:t>C</w:t>
      </w:r>
      <w:r>
        <w:rPr>
          <w:rFonts w:ascii="Arial" w:hAnsi="Arial" w:cs="Arial"/>
          <w:szCs w:val="24"/>
        </w:rPr>
        <w:t>ommission and its staff, utility representatives, public officials and public agencies and organizations.</w:t>
      </w:r>
    </w:p>
    <w:p w14:paraId="29A6CD8A" w14:textId="77777777" w:rsidR="00AB3945" w:rsidRDefault="00AB3945" w:rsidP="00993943">
      <w:pPr>
        <w:pStyle w:val="PlainText"/>
        <w:jc w:val="both"/>
        <w:rPr>
          <w:rFonts w:ascii="Arial" w:hAnsi="Arial" w:cs="Arial"/>
          <w:szCs w:val="24"/>
        </w:rPr>
      </w:pPr>
    </w:p>
    <w:p w14:paraId="7F27EF96" w14:textId="77777777" w:rsidR="00AB3945" w:rsidRDefault="00AB3945" w:rsidP="00993943">
      <w:pPr>
        <w:pStyle w:val="PlainText"/>
        <w:jc w:val="both"/>
        <w:rPr>
          <w:rFonts w:ascii="Arial" w:hAnsi="Arial" w:cs="Arial"/>
          <w:szCs w:val="24"/>
        </w:rPr>
      </w:pPr>
      <w:r>
        <w:rPr>
          <w:rFonts w:ascii="Arial" w:hAnsi="Arial" w:cs="Arial"/>
          <w:szCs w:val="24"/>
        </w:rPr>
        <w:t xml:space="preserve">The </w:t>
      </w:r>
      <w:r w:rsidR="006D54BE">
        <w:rPr>
          <w:rFonts w:ascii="Arial" w:hAnsi="Arial" w:cs="Arial"/>
          <w:szCs w:val="24"/>
        </w:rPr>
        <w:t>C</w:t>
      </w:r>
      <w:r>
        <w:rPr>
          <w:rFonts w:ascii="Arial" w:hAnsi="Arial" w:cs="Arial"/>
          <w:i/>
          <w:iCs/>
          <w:szCs w:val="24"/>
        </w:rPr>
        <w:t xml:space="preserve">ommission </w:t>
      </w:r>
      <w:r w:rsidR="006D54BE">
        <w:rPr>
          <w:rFonts w:ascii="Arial" w:hAnsi="Arial" w:cs="Arial"/>
          <w:i/>
          <w:iCs/>
          <w:szCs w:val="24"/>
        </w:rPr>
        <w:t>S</w:t>
      </w:r>
      <w:r>
        <w:rPr>
          <w:rFonts w:ascii="Arial" w:hAnsi="Arial" w:cs="Arial"/>
          <w:i/>
          <w:iCs/>
          <w:szCs w:val="24"/>
        </w:rPr>
        <w:t>ecretary</w:t>
      </w:r>
      <w:r>
        <w:rPr>
          <w:rFonts w:ascii="Arial" w:hAnsi="Arial" w:cs="Arial"/>
          <w:szCs w:val="24"/>
        </w:rPr>
        <w:t>, a post established by Idaho law, keeps a precise public record of a</w:t>
      </w:r>
      <w:r w:rsidR="006D54BE">
        <w:rPr>
          <w:rFonts w:ascii="Arial" w:hAnsi="Arial" w:cs="Arial"/>
          <w:szCs w:val="24"/>
        </w:rPr>
        <w:t>ll Commission proceedings. The S</w:t>
      </w:r>
      <w:r>
        <w:rPr>
          <w:rFonts w:ascii="Arial" w:hAnsi="Arial" w:cs="Arial"/>
          <w:szCs w:val="24"/>
        </w:rPr>
        <w:t>ecretary issues notices, orders and other documents to the proper parties and is the official custodian of documents issued by and filed with the commission. Most of these documents are public records.</w:t>
      </w:r>
    </w:p>
    <w:p w14:paraId="3A1F4022" w14:textId="77777777" w:rsidR="00AB3945" w:rsidRDefault="00AB3945" w:rsidP="00993943">
      <w:pPr>
        <w:pStyle w:val="PlainText"/>
        <w:jc w:val="both"/>
        <w:rPr>
          <w:rFonts w:ascii="Arial" w:hAnsi="Arial" w:cs="Arial"/>
          <w:szCs w:val="24"/>
        </w:rPr>
      </w:pPr>
    </w:p>
    <w:p w14:paraId="5BEC2EE4" w14:textId="77777777" w:rsidR="00AB3945" w:rsidRDefault="00AB3945" w:rsidP="00993943">
      <w:pPr>
        <w:pStyle w:val="PlainText"/>
        <w:jc w:val="both"/>
        <w:rPr>
          <w:rFonts w:ascii="Arial" w:hAnsi="Arial" w:cs="Arial"/>
          <w:szCs w:val="24"/>
        </w:rPr>
      </w:pPr>
      <w:r>
        <w:rPr>
          <w:rFonts w:ascii="Arial" w:hAnsi="Arial" w:cs="Arial"/>
          <w:szCs w:val="24"/>
        </w:rPr>
        <w:t xml:space="preserve">The </w:t>
      </w:r>
      <w:r w:rsidR="006D54BE">
        <w:rPr>
          <w:rFonts w:ascii="Arial" w:hAnsi="Arial" w:cs="Arial"/>
          <w:i/>
          <w:iCs/>
          <w:szCs w:val="24"/>
        </w:rPr>
        <w:t>E</w:t>
      </w:r>
      <w:r>
        <w:rPr>
          <w:rFonts w:ascii="Arial" w:hAnsi="Arial" w:cs="Arial"/>
          <w:i/>
          <w:iCs/>
          <w:szCs w:val="24"/>
        </w:rPr>
        <w:t xml:space="preserve">xecutive </w:t>
      </w:r>
      <w:r w:rsidR="006B76D3">
        <w:rPr>
          <w:rFonts w:ascii="Arial" w:hAnsi="Arial" w:cs="Arial"/>
          <w:i/>
          <w:iCs/>
          <w:szCs w:val="24"/>
        </w:rPr>
        <w:t>Directo</w:t>
      </w:r>
      <w:r>
        <w:rPr>
          <w:rFonts w:ascii="Arial" w:hAnsi="Arial" w:cs="Arial"/>
          <w:i/>
          <w:iCs/>
          <w:szCs w:val="24"/>
        </w:rPr>
        <w:t>r</w:t>
      </w:r>
      <w:r>
        <w:rPr>
          <w:rFonts w:ascii="Arial" w:hAnsi="Arial" w:cs="Arial"/>
          <w:szCs w:val="24"/>
        </w:rPr>
        <w:t xml:space="preserve"> has primary responsibility for the commission’s fiscal and administrative operations, preparing the commission budget and supervising fiscal, administration, public information, personnel, information systems, rail section operations and pipeline safety.  The </w:t>
      </w:r>
      <w:r w:rsidR="006D54BE">
        <w:rPr>
          <w:rFonts w:ascii="Arial" w:hAnsi="Arial" w:cs="Arial"/>
          <w:szCs w:val="24"/>
        </w:rPr>
        <w:t xml:space="preserve">Executive </w:t>
      </w:r>
      <w:r w:rsidR="006B76D3">
        <w:rPr>
          <w:rFonts w:ascii="Arial" w:hAnsi="Arial" w:cs="Arial"/>
          <w:szCs w:val="24"/>
        </w:rPr>
        <w:t>Director</w:t>
      </w:r>
      <w:r>
        <w:rPr>
          <w:rFonts w:ascii="Arial" w:hAnsi="Arial" w:cs="Arial"/>
          <w:szCs w:val="24"/>
        </w:rPr>
        <w:t xml:space="preserve"> also serves as a liaison between the </w:t>
      </w:r>
      <w:r w:rsidR="006D54BE">
        <w:rPr>
          <w:rFonts w:ascii="Arial" w:hAnsi="Arial" w:cs="Arial"/>
          <w:szCs w:val="24"/>
        </w:rPr>
        <w:t>C</w:t>
      </w:r>
      <w:r>
        <w:rPr>
          <w:rFonts w:ascii="Arial" w:hAnsi="Arial" w:cs="Arial"/>
          <w:szCs w:val="24"/>
        </w:rPr>
        <w:t xml:space="preserve">ommission and other state agencies and the Legislature. </w:t>
      </w:r>
    </w:p>
    <w:p w14:paraId="0ECFD92B" w14:textId="77777777" w:rsidR="00AB3945" w:rsidRDefault="00AB3945" w:rsidP="00993943">
      <w:pPr>
        <w:pStyle w:val="PlainText"/>
        <w:jc w:val="both"/>
        <w:rPr>
          <w:rFonts w:ascii="Arial" w:hAnsi="Arial" w:cs="Arial"/>
          <w:szCs w:val="24"/>
        </w:rPr>
      </w:pPr>
    </w:p>
    <w:p w14:paraId="56CAEF28" w14:textId="476B3C1B" w:rsidR="00AB3945" w:rsidRDefault="00AB3945" w:rsidP="00993943">
      <w:pPr>
        <w:pStyle w:val="PlainText"/>
        <w:jc w:val="both"/>
        <w:rPr>
          <w:rFonts w:ascii="Arial" w:hAnsi="Arial" w:cs="Arial"/>
          <w:szCs w:val="24"/>
        </w:rPr>
      </w:pPr>
      <w:r>
        <w:rPr>
          <w:rFonts w:ascii="Arial" w:hAnsi="Arial" w:cs="Arial"/>
          <w:szCs w:val="24"/>
        </w:rPr>
        <w:t xml:space="preserve">The </w:t>
      </w:r>
      <w:r w:rsidR="006B76D3" w:rsidRPr="006B76D3">
        <w:rPr>
          <w:rFonts w:ascii="Arial" w:hAnsi="Arial" w:cs="Arial"/>
          <w:i/>
          <w:szCs w:val="24"/>
        </w:rPr>
        <w:t>Public Information Officer</w:t>
      </w:r>
      <w:r>
        <w:rPr>
          <w:rFonts w:ascii="Arial" w:hAnsi="Arial" w:cs="Arial"/>
          <w:szCs w:val="24"/>
        </w:rPr>
        <w:t xml:space="preserve"> is responsible for informing the public and the media of commission decisions, meetings and activities; responding to requests for information; coordinating public hearings</w:t>
      </w:r>
      <w:r w:rsidR="002E5EEF">
        <w:rPr>
          <w:rFonts w:ascii="Arial" w:hAnsi="Arial" w:cs="Arial"/>
          <w:szCs w:val="24"/>
        </w:rPr>
        <w:t>;</w:t>
      </w:r>
      <w:r>
        <w:rPr>
          <w:rFonts w:ascii="Arial" w:hAnsi="Arial" w:cs="Arial"/>
          <w:szCs w:val="24"/>
        </w:rPr>
        <w:t xml:space="preserve"> preparing materials that allow for effective public participation in IPUC proceedings</w:t>
      </w:r>
      <w:r w:rsidR="002E5EEF">
        <w:rPr>
          <w:rFonts w:ascii="Arial" w:hAnsi="Arial" w:cs="Arial"/>
          <w:szCs w:val="24"/>
        </w:rPr>
        <w:t>;</w:t>
      </w:r>
      <w:r>
        <w:rPr>
          <w:rFonts w:ascii="Arial" w:hAnsi="Arial" w:cs="Arial"/>
          <w:szCs w:val="24"/>
        </w:rPr>
        <w:t xml:space="preserve"> and preparing the annual report.</w:t>
      </w:r>
      <w:r w:rsidR="00304A6A" w:rsidRPr="00304A6A">
        <w:rPr>
          <w:rFonts w:ascii="Arial" w:hAnsi="Arial" w:cs="Arial"/>
          <w:szCs w:val="24"/>
        </w:rPr>
        <w:t xml:space="preserve"> </w:t>
      </w:r>
      <w:r w:rsidR="00304A6A">
        <w:rPr>
          <w:rFonts w:ascii="Arial" w:hAnsi="Arial" w:cs="Arial"/>
          <w:szCs w:val="24"/>
        </w:rPr>
        <w:t xml:space="preserve">In addition </w:t>
      </w:r>
      <w:proofErr w:type="gramStart"/>
      <w:r w:rsidR="00304A6A">
        <w:rPr>
          <w:rFonts w:ascii="Arial" w:hAnsi="Arial" w:cs="Arial"/>
          <w:szCs w:val="24"/>
        </w:rPr>
        <w:t xml:space="preserve">the </w:t>
      </w:r>
      <w:r w:rsidR="00DC5E74">
        <w:rPr>
          <w:rFonts w:ascii="Arial" w:hAnsi="Arial" w:cs="Arial"/>
          <w:szCs w:val="24"/>
        </w:rPr>
        <w:t>this</w:t>
      </w:r>
      <w:proofErr w:type="gramEnd"/>
      <w:r w:rsidR="00DC5E74">
        <w:rPr>
          <w:rFonts w:ascii="Arial" w:hAnsi="Arial" w:cs="Arial"/>
          <w:szCs w:val="24"/>
        </w:rPr>
        <w:t xml:space="preserve"> position</w:t>
      </w:r>
      <w:r w:rsidR="00304A6A">
        <w:rPr>
          <w:rFonts w:ascii="Arial" w:hAnsi="Arial" w:cs="Arial"/>
          <w:szCs w:val="24"/>
        </w:rPr>
        <w:t xml:space="preserve"> is responsible for other special projects assigned by the commissioners. </w:t>
      </w:r>
    </w:p>
    <w:p w14:paraId="4245B5A3" w14:textId="77777777" w:rsidR="00AB3945" w:rsidRDefault="00AB3945" w:rsidP="00993943">
      <w:pPr>
        <w:pStyle w:val="PlainText"/>
        <w:ind w:right="-288"/>
        <w:jc w:val="both"/>
        <w:rPr>
          <w:rFonts w:ascii="Arial" w:hAnsi="Arial" w:cs="Arial"/>
          <w:b/>
          <w:bCs/>
          <w:szCs w:val="24"/>
        </w:rPr>
      </w:pPr>
    </w:p>
    <w:p w14:paraId="0755FB78" w14:textId="77777777" w:rsidR="00AB3945" w:rsidRDefault="00AB3945" w:rsidP="00993943">
      <w:pPr>
        <w:pStyle w:val="utilitybycity"/>
        <w:tabs>
          <w:tab w:val="clear" w:pos="3420"/>
          <w:tab w:val="clear" w:pos="5175"/>
          <w:tab w:val="clear" w:pos="7031"/>
        </w:tabs>
        <w:autoSpaceDE/>
        <w:autoSpaceDN/>
        <w:adjustRightInd/>
        <w:jc w:val="both"/>
        <w:rPr>
          <w:rFonts w:ascii="Arial" w:hAnsi="Arial" w:cs="Arial"/>
          <w:b/>
          <w:bCs/>
          <w:sz w:val="20"/>
          <w:u w:val="single"/>
        </w:rPr>
      </w:pPr>
      <w:r>
        <w:rPr>
          <w:rFonts w:ascii="Arial" w:hAnsi="Arial" w:cs="Arial"/>
          <w:b/>
          <w:bCs/>
          <w:sz w:val="20"/>
          <w:u w:val="single"/>
        </w:rPr>
        <w:t>Rail Section</w:t>
      </w:r>
    </w:p>
    <w:p w14:paraId="089CE87D" w14:textId="5FC9DD4D" w:rsidR="00AB3945" w:rsidRDefault="00AB3945" w:rsidP="00993943">
      <w:pPr>
        <w:pStyle w:val="PlainText"/>
        <w:jc w:val="both"/>
        <w:rPr>
          <w:rFonts w:ascii="Arial" w:hAnsi="Arial" w:cs="Arial"/>
          <w:szCs w:val="24"/>
        </w:rPr>
      </w:pPr>
      <w:r>
        <w:rPr>
          <w:rFonts w:ascii="Arial" w:hAnsi="Arial" w:cs="Arial"/>
          <w:szCs w:val="24"/>
        </w:rPr>
        <w:t>The</w:t>
      </w:r>
      <w:r w:rsidR="00DC5E74">
        <w:rPr>
          <w:rFonts w:ascii="Arial" w:hAnsi="Arial" w:cs="Arial"/>
          <w:szCs w:val="24"/>
        </w:rPr>
        <w:t xml:space="preserve"> rail safety inspection conducts inspections of rail cars carrying hazardous materials, as well as other safety components as identified in both the Federal Railroad Administration and State of Idaho safety regulations.  In addition, they</w:t>
      </w:r>
      <w:r w:rsidR="006D54BE" w:rsidRPr="00F61855">
        <w:rPr>
          <w:rFonts w:ascii="Arial" w:hAnsi="Arial" w:cs="Arial"/>
          <w:iCs/>
          <w:szCs w:val="24"/>
        </w:rPr>
        <w:t xml:space="preserve"> </w:t>
      </w:r>
      <w:r>
        <w:rPr>
          <w:rFonts w:ascii="Arial" w:hAnsi="Arial" w:cs="Arial"/>
          <w:szCs w:val="24"/>
        </w:rPr>
        <w:t xml:space="preserve">inspect </w:t>
      </w:r>
      <w:r w:rsidR="00DB4001">
        <w:rPr>
          <w:rFonts w:ascii="Arial" w:hAnsi="Arial" w:cs="Arial"/>
        </w:rPr>
        <w:t>railroad</w:t>
      </w:r>
      <w:r w:rsidR="00DB4001">
        <w:rPr>
          <w:rFonts w:ascii="Arial" w:hAnsi="Arial" w:cs="Arial"/>
          <w:color w:val="1F497D"/>
        </w:rPr>
        <w:t>s</w:t>
      </w:r>
      <w:r w:rsidR="00DB4001">
        <w:rPr>
          <w:rFonts w:ascii="Arial" w:hAnsi="Arial" w:cs="Arial"/>
        </w:rPr>
        <w:t xml:space="preserve"> </w:t>
      </w:r>
      <w:r w:rsidR="00DB4001" w:rsidRPr="00DB4001">
        <w:rPr>
          <w:rFonts w:ascii="Arial" w:hAnsi="Arial" w:cs="Arial"/>
          <w:color w:val="000000" w:themeColor="text1"/>
        </w:rPr>
        <w:t>grade crossings when the Commission receives reports of maintenance deficiencies</w:t>
      </w:r>
      <w:r w:rsidR="00DB4001">
        <w:rPr>
          <w:rFonts w:ascii="Arial" w:hAnsi="Arial" w:cs="Arial"/>
        </w:rPr>
        <w:t>.</w:t>
      </w:r>
      <w:r>
        <w:rPr>
          <w:rFonts w:ascii="Arial" w:hAnsi="Arial" w:cs="Arial"/>
          <w:szCs w:val="24"/>
        </w:rPr>
        <w:t xml:space="preserve"> </w:t>
      </w:r>
      <w:r w:rsidR="00DB4001" w:rsidRPr="00DB4001">
        <w:rPr>
          <w:rFonts w:ascii="Arial" w:hAnsi="Arial" w:cs="Arial"/>
          <w:color w:val="000000" w:themeColor="text1"/>
          <w:szCs w:val="24"/>
        </w:rPr>
        <w:t>T</w:t>
      </w:r>
      <w:r w:rsidR="00DB4001" w:rsidRPr="00DB4001">
        <w:rPr>
          <w:rFonts w:ascii="Arial" w:hAnsi="Arial" w:cs="Arial"/>
          <w:color w:val="000000" w:themeColor="text1"/>
        </w:rPr>
        <w:t>he Rail Section is part of the multi-agency safety team that investigates all railroad-crossing accidents and makes recommendations for safety improvements to crossings</w:t>
      </w:r>
      <w:r>
        <w:rPr>
          <w:rFonts w:ascii="Arial" w:hAnsi="Arial" w:cs="Arial"/>
          <w:szCs w:val="24"/>
        </w:rPr>
        <w:t>.</w:t>
      </w:r>
    </w:p>
    <w:p w14:paraId="068FB83D" w14:textId="77777777" w:rsidR="00AB3945" w:rsidRDefault="00AB3945" w:rsidP="00993943">
      <w:pPr>
        <w:pStyle w:val="PlainText"/>
        <w:jc w:val="both"/>
        <w:rPr>
          <w:rFonts w:ascii="Arial" w:hAnsi="Arial" w:cs="Arial"/>
          <w:szCs w:val="24"/>
        </w:rPr>
      </w:pPr>
    </w:p>
    <w:p w14:paraId="529BB1CF" w14:textId="77777777" w:rsidR="00AB3945" w:rsidRDefault="00AB3945" w:rsidP="00993943">
      <w:pPr>
        <w:pStyle w:val="PlainText"/>
        <w:jc w:val="both"/>
        <w:rPr>
          <w:rFonts w:ascii="Arial" w:hAnsi="Arial" w:cs="Arial"/>
          <w:szCs w:val="24"/>
        </w:rPr>
      </w:pPr>
      <w:r>
        <w:rPr>
          <w:rFonts w:ascii="Arial" w:hAnsi="Arial" w:cs="Arial"/>
          <w:szCs w:val="24"/>
        </w:rPr>
        <w:t xml:space="preserve">As part of its regulatory authority, the </w:t>
      </w:r>
      <w:r w:rsidR="006D54BE">
        <w:rPr>
          <w:rFonts w:ascii="Arial" w:hAnsi="Arial" w:cs="Arial"/>
          <w:szCs w:val="24"/>
        </w:rPr>
        <w:t>C</w:t>
      </w:r>
      <w:r>
        <w:rPr>
          <w:rFonts w:ascii="Arial" w:hAnsi="Arial" w:cs="Arial"/>
          <w:szCs w:val="24"/>
        </w:rPr>
        <w:t xml:space="preserve">ommission evaluates the discontinuance and abandonment of railroad service in Idaho by conducting an independent evaluation of each case to determine whether the abandonment of a particular railroad line would adversely affect Idaho shippers and whether the line has any profit potential. Should the </w:t>
      </w:r>
      <w:r w:rsidR="006D54BE">
        <w:rPr>
          <w:rFonts w:ascii="Arial" w:hAnsi="Arial" w:cs="Arial"/>
          <w:szCs w:val="24"/>
        </w:rPr>
        <w:t>C</w:t>
      </w:r>
      <w:r>
        <w:rPr>
          <w:rFonts w:ascii="Arial" w:hAnsi="Arial" w:cs="Arial"/>
          <w:szCs w:val="24"/>
        </w:rPr>
        <w:t xml:space="preserve">ommission determine abandonment would be harmful to Idaho </w:t>
      </w:r>
      <w:r w:rsidR="00084E54">
        <w:rPr>
          <w:rFonts w:ascii="Arial" w:hAnsi="Arial" w:cs="Arial"/>
          <w:szCs w:val="24"/>
        </w:rPr>
        <w:t>interests;</w:t>
      </w:r>
      <w:r>
        <w:rPr>
          <w:rFonts w:ascii="Arial" w:hAnsi="Arial" w:cs="Arial"/>
          <w:szCs w:val="24"/>
        </w:rPr>
        <w:t xml:space="preserve"> it then represents the state before the federal Surface Transportation Board, which has authority to grant or deny line abandonment.</w:t>
      </w:r>
      <w:r w:rsidR="00AE2ADC">
        <w:rPr>
          <w:rFonts w:ascii="Arial" w:hAnsi="Arial" w:cs="Arial"/>
          <w:szCs w:val="24"/>
        </w:rPr>
        <w:t xml:space="preserve"> </w:t>
      </w:r>
      <w:r w:rsidR="00AE2ADC" w:rsidRPr="00AE2ADC">
        <w:rPr>
          <w:rFonts w:ascii="Arial" w:hAnsi="Arial" w:cs="Arial"/>
          <w:color w:val="000000" w:themeColor="text1"/>
        </w:rPr>
        <w:t>The Commission also conducts hearings and issues orders concerning the elimination or alteration of grade crossings.</w:t>
      </w:r>
    </w:p>
    <w:p w14:paraId="3A012E23" w14:textId="77777777" w:rsidR="00AB3945" w:rsidRDefault="00AB3945" w:rsidP="00993943">
      <w:pPr>
        <w:pStyle w:val="PlainText"/>
        <w:jc w:val="both"/>
        <w:rPr>
          <w:rFonts w:ascii="Arial" w:hAnsi="Arial" w:cs="Arial"/>
          <w:szCs w:val="24"/>
        </w:rPr>
      </w:pPr>
    </w:p>
    <w:p w14:paraId="5A53C9AF" w14:textId="77777777" w:rsidR="00AB3945" w:rsidRDefault="00AB3945" w:rsidP="00993943">
      <w:pPr>
        <w:pStyle w:val="PlainText"/>
        <w:jc w:val="both"/>
        <w:rPr>
          <w:rFonts w:ascii="Arial" w:hAnsi="Arial" w:cs="Arial"/>
          <w:b/>
          <w:bCs/>
          <w:szCs w:val="36"/>
          <w:u w:val="single"/>
        </w:rPr>
      </w:pPr>
      <w:r>
        <w:rPr>
          <w:rFonts w:ascii="Arial" w:hAnsi="Arial" w:cs="Arial"/>
          <w:b/>
          <w:bCs/>
          <w:szCs w:val="36"/>
          <w:u w:val="single"/>
        </w:rPr>
        <w:t>Pipeline Safety Program</w:t>
      </w:r>
    </w:p>
    <w:p w14:paraId="5B6D17AA" w14:textId="77777777" w:rsidR="00AB3945" w:rsidRDefault="00AB3945" w:rsidP="00993943">
      <w:pPr>
        <w:pStyle w:val="PlainText"/>
        <w:jc w:val="both"/>
        <w:rPr>
          <w:rFonts w:ascii="Arial" w:hAnsi="Arial" w:cs="Arial"/>
          <w:szCs w:val="24"/>
        </w:rPr>
      </w:pPr>
      <w:r>
        <w:rPr>
          <w:rFonts w:ascii="Arial" w:hAnsi="Arial" w:cs="Arial"/>
          <w:szCs w:val="24"/>
        </w:rPr>
        <w:t>The pipeline safety section oversees the safe operation of the intrastate natural gas pipelines and facilities in Idaho.</w:t>
      </w:r>
    </w:p>
    <w:p w14:paraId="0331AD7A" w14:textId="77777777" w:rsidR="00AB3945" w:rsidRDefault="00AB3945" w:rsidP="00993943">
      <w:pPr>
        <w:pStyle w:val="PlainText"/>
        <w:jc w:val="both"/>
        <w:rPr>
          <w:rFonts w:ascii="Arial" w:hAnsi="Arial" w:cs="Arial"/>
          <w:szCs w:val="24"/>
        </w:rPr>
      </w:pPr>
    </w:p>
    <w:p w14:paraId="23D8D732" w14:textId="77777777" w:rsidR="00AB3945" w:rsidRDefault="00AB3945" w:rsidP="00993943">
      <w:pPr>
        <w:pStyle w:val="PlainText"/>
        <w:jc w:val="both"/>
        <w:rPr>
          <w:rFonts w:ascii="Arial" w:hAnsi="Arial" w:cs="Arial"/>
          <w:szCs w:val="24"/>
        </w:rPr>
      </w:pPr>
      <w:r>
        <w:rPr>
          <w:rFonts w:ascii="Arial" w:hAnsi="Arial" w:cs="Arial"/>
          <w:szCs w:val="24"/>
        </w:rPr>
        <w:t xml:space="preserve">The </w:t>
      </w:r>
      <w:r w:rsidR="00F61855">
        <w:rPr>
          <w:rFonts w:ascii="Arial" w:hAnsi="Arial" w:cs="Arial"/>
          <w:szCs w:val="24"/>
        </w:rPr>
        <w:t>C</w:t>
      </w:r>
      <w:r>
        <w:rPr>
          <w:rFonts w:ascii="Arial" w:hAnsi="Arial" w:cs="Arial"/>
          <w:szCs w:val="24"/>
        </w:rPr>
        <w:t xml:space="preserve">ommission’s </w:t>
      </w:r>
      <w:r w:rsidR="006D54BE">
        <w:rPr>
          <w:rFonts w:ascii="Arial" w:hAnsi="Arial" w:cs="Arial"/>
          <w:szCs w:val="24"/>
        </w:rPr>
        <w:t>Safety Inspectors</w:t>
      </w:r>
      <w:r w:rsidR="00F61855">
        <w:rPr>
          <w:rFonts w:ascii="Arial" w:hAnsi="Arial" w:cs="Arial"/>
          <w:szCs w:val="24"/>
        </w:rPr>
        <w:t>-</w:t>
      </w:r>
      <w:r w:rsidR="006D54BE">
        <w:rPr>
          <w:rFonts w:ascii="Arial" w:hAnsi="Arial" w:cs="Arial"/>
          <w:szCs w:val="24"/>
        </w:rPr>
        <w:t xml:space="preserve">Regulated Utilities </w:t>
      </w:r>
      <w:r>
        <w:rPr>
          <w:rFonts w:ascii="Arial" w:hAnsi="Arial" w:cs="Arial"/>
          <w:szCs w:val="24"/>
        </w:rPr>
        <w:t xml:space="preserve">verify compliance of state and federal regulations by on-site inspections of intrastate gas distribution systems operating in the state. Part of the inspection process includes </w:t>
      </w:r>
      <w:r>
        <w:rPr>
          <w:rFonts w:ascii="Arial" w:hAnsi="Arial" w:cs="Arial"/>
          <w:szCs w:val="24"/>
        </w:rPr>
        <w:lastRenderedPageBreak/>
        <w:t>a review of record-keeping practices and compliance with design, construction, operation, maintenance and drug/alcohol abuse regulations.</w:t>
      </w:r>
      <w:r w:rsidR="00AA08B7">
        <w:rPr>
          <w:rFonts w:ascii="Arial" w:hAnsi="Arial" w:cs="Arial"/>
          <w:szCs w:val="24"/>
        </w:rPr>
        <w:t xml:space="preserve"> </w:t>
      </w:r>
      <w:r>
        <w:rPr>
          <w:rFonts w:ascii="Arial" w:hAnsi="Arial" w:cs="Arial"/>
          <w:szCs w:val="24"/>
        </w:rPr>
        <w:t xml:space="preserve">All reportable accidents </w:t>
      </w:r>
      <w:r w:rsidR="00AA08B7">
        <w:rPr>
          <w:rFonts w:ascii="Arial" w:hAnsi="Arial" w:cs="Arial"/>
          <w:szCs w:val="24"/>
        </w:rPr>
        <w:t>are</w:t>
      </w:r>
      <w:r>
        <w:rPr>
          <w:rFonts w:ascii="Arial" w:hAnsi="Arial" w:cs="Arial"/>
          <w:szCs w:val="24"/>
        </w:rPr>
        <w:t xml:space="preserve"> investigated and appropriate reports filed with the U.S. Department of Transportation.</w:t>
      </w:r>
    </w:p>
    <w:p w14:paraId="50C463A5" w14:textId="77777777" w:rsidR="00AB3945" w:rsidRDefault="00AB3945" w:rsidP="00993943">
      <w:pPr>
        <w:pStyle w:val="PlainText"/>
        <w:jc w:val="both"/>
        <w:rPr>
          <w:rFonts w:ascii="Arial" w:hAnsi="Arial" w:cs="Arial"/>
          <w:szCs w:val="24"/>
        </w:rPr>
      </w:pPr>
    </w:p>
    <w:p w14:paraId="192F908D" w14:textId="77777777" w:rsidR="00AB3945" w:rsidRDefault="00AB3945" w:rsidP="00993943">
      <w:pPr>
        <w:pStyle w:val="PlainText"/>
        <w:jc w:val="both"/>
        <w:rPr>
          <w:rFonts w:ascii="Arial" w:hAnsi="Arial" w:cs="Arial"/>
          <w:b/>
          <w:bCs/>
          <w:szCs w:val="36"/>
          <w:u w:val="single"/>
        </w:rPr>
      </w:pPr>
      <w:r>
        <w:rPr>
          <w:rFonts w:ascii="Arial" w:hAnsi="Arial" w:cs="Arial"/>
          <w:b/>
          <w:bCs/>
          <w:szCs w:val="36"/>
          <w:u w:val="single"/>
        </w:rPr>
        <w:t>Legal Division</w:t>
      </w:r>
    </w:p>
    <w:p w14:paraId="50C9425F" w14:textId="77777777" w:rsidR="00AB3945" w:rsidRDefault="00AB3945" w:rsidP="00993943">
      <w:pPr>
        <w:pStyle w:val="PlainText"/>
        <w:jc w:val="both"/>
        <w:rPr>
          <w:rFonts w:ascii="Arial" w:hAnsi="Arial" w:cs="Arial"/>
          <w:szCs w:val="24"/>
        </w:rPr>
      </w:pPr>
      <w:r w:rsidRPr="006D54BE">
        <w:rPr>
          <w:rFonts w:ascii="Arial" w:hAnsi="Arial" w:cs="Arial"/>
          <w:iCs/>
          <w:szCs w:val="24"/>
        </w:rPr>
        <w:t xml:space="preserve">Five </w:t>
      </w:r>
      <w:r w:rsidR="006D54BE" w:rsidRPr="006D54BE">
        <w:rPr>
          <w:rFonts w:ascii="Arial" w:hAnsi="Arial" w:cs="Arial"/>
          <w:iCs/>
          <w:szCs w:val="24"/>
        </w:rPr>
        <w:t>D</w:t>
      </w:r>
      <w:r w:rsidRPr="006D54BE">
        <w:rPr>
          <w:rFonts w:ascii="Arial" w:hAnsi="Arial" w:cs="Arial"/>
          <w:iCs/>
          <w:szCs w:val="24"/>
        </w:rPr>
        <w:t xml:space="preserve">eputy </w:t>
      </w:r>
      <w:r w:rsidR="006D54BE" w:rsidRPr="006D54BE">
        <w:rPr>
          <w:rFonts w:ascii="Arial" w:hAnsi="Arial" w:cs="Arial"/>
          <w:iCs/>
          <w:szCs w:val="24"/>
        </w:rPr>
        <w:t>A</w:t>
      </w:r>
      <w:r w:rsidRPr="006D54BE">
        <w:rPr>
          <w:rFonts w:ascii="Arial" w:hAnsi="Arial" w:cs="Arial"/>
          <w:iCs/>
          <w:szCs w:val="24"/>
        </w:rPr>
        <w:t xml:space="preserve">ttorneys </w:t>
      </w:r>
      <w:r w:rsidR="006D54BE" w:rsidRPr="006D54BE">
        <w:rPr>
          <w:rFonts w:ascii="Arial" w:hAnsi="Arial" w:cs="Arial"/>
          <w:iCs/>
          <w:szCs w:val="24"/>
        </w:rPr>
        <w:t>G</w:t>
      </w:r>
      <w:r w:rsidRPr="006D54BE">
        <w:rPr>
          <w:rFonts w:ascii="Arial" w:hAnsi="Arial" w:cs="Arial"/>
          <w:iCs/>
          <w:szCs w:val="24"/>
        </w:rPr>
        <w:t>eneral</w:t>
      </w:r>
      <w:r w:rsidR="006D54BE">
        <w:rPr>
          <w:rFonts w:ascii="Arial" w:hAnsi="Arial" w:cs="Arial"/>
          <w:szCs w:val="24"/>
        </w:rPr>
        <w:t xml:space="preserve"> are assigned to the C</w:t>
      </w:r>
      <w:r>
        <w:rPr>
          <w:rFonts w:ascii="Arial" w:hAnsi="Arial" w:cs="Arial"/>
          <w:szCs w:val="24"/>
        </w:rPr>
        <w:t xml:space="preserve">ommission from the Office of the Attorney General and have permanent offices at IPUC headquarters. The IPUC attorneys represent the staff in all matters before the </w:t>
      </w:r>
      <w:r w:rsidR="006D54BE">
        <w:rPr>
          <w:rFonts w:ascii="Arial" w:hAnsi="Arial" w:cs="Arial"/>
          <w:szCs w:val="24"/>
        </w:rPr>
        <w:t>C</w:t>
      </w:r>
      <w:r>
        <w:rPr>
          <w:rFonts w:ascii="Arial" w:hAnsi="Arial" w:cs="Arial"/>
          <w:szCs w:val="24"/>
        </w:rPr>
        <w:t>ommission, working closely with staff accountants, engineers, investigators and economists as they develop their recommendations for rate case and policy proceedings.</w:t>
      </w:r>
    </w:p>
    <w:p w14:paraId="5404057C" w14:textId="77777777" w:rsidR="00AB3945" w:rsidRDefault="00AB3945" w:rsidP="00993943">
      <w:pPr>
        <w:pStyle w:val="PlainText"/>
        <w:jc w:val="both"/>
        <w:rPr>
          <w:rFonts w:ascii="Arial" w:hAnsi="Arial" w:cs="Arial"/>
          <w:szCs w:val="24"/>
        </w:rPr>
      </w:pPr>
    </w:p>
    <w:p w14:paraId="3953511F" w14:textId="77777777" w:rsidR="00AB3945" w:rsidRDefault="00AB3945" w:rsidP="00993943">
      <w:pPr>
        <w:pStyle w:val="PlainText"/>
        <w:jc w:val="both"/>
        <w:rPr>
          <w:rFonts w:ascii="Arial" w:hAnsi="Arial" w:cs="Arial"/>
          <w:szCs w:val="24"/>
        </w:rPr>
      </w:pPr>
      <w:r>
        <w:rPr>
          <w:rFonts w:ascii="Arial" w:hAnsi="Arial" w:cs="Arial"/>
          <w:szCs w:val="24"/>
        </w:rPr>
        <w:t xml:space="preserve">In the hearing room, IPUC attorneys coordinate the presentation of the staff’s case and cross-examine other parties who submit testimony. The attorneys also represent the </w:t>
      </w:r>
      <w:r w:rsidR="006D54BE">
        <w:rPr>
          <w:rFonts w:ascii="Arial" w:hAnsi="Arial" w:cs="Arial"/>
          <w:szCs w:val="24"/>
        </w:rPr>
        <w:t>C</w:t>
      </w:r>
      <w:r>
        <w:rPr>
          <w:rFonts w:ascii="Arial" w:hAnsi="Arial" w:cs="Arial"/>
          <w:szCs w:val="24"/>
        </w:rPr>
        <w:t>ommission itself in state and federal courts and before other state or federal regulatory agencies.</w:t>
      </w:r>
    </w:p>
    <w:p w14:paraId="4C5BDB64" w14:textId="77777777" w:rsidR="008A59D3" w:rsidRPr="00993943" w:rsidRDefault="008A59D3" w:rsidP="00993943">
      <w:pPr>
        <w:jc w:val="both"/>
        <w:rPr>
          <w:rFonts w:ascii="Arial" w:hAnsi="Arial" w:cs="Arial"/>
        </w:rPr>
      </w:pPr>
    </w:p>
    <w:p w14:paraId="7AFC6FF4" w14:textId="77777777" w:rsidR="00AB3945" w:rsidRPr="00CB4E6F" w:rsidRDefault="00AB3945" w:rsidP="00CB4E6F">
      <w:pPr>
        <w:rPr>
          <w:rFonts w:ascii="Arial" w:hAnsi="Arial" w:cs="Arial"/>
          <w:b/>
        </w:rPr>
      </w:pPr>
      <w:r w:rsidRPr="00CB4E6F">
        <w:rPr>
          <w:rFonts w:ascii="Arial" w:hAnsi="Arial" w:cs="Arial"/>
          <w:b/>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754459" w14:paraId="5CF09E6C" w14:textId="77777777" w:rsidTr="00D55C4B">
        <w:tc>
          <w:tcPr>
            <w:tcW w:w="2868" w:type="dxa"/>
            <w:shd w:val="clear" w:color="auto" w:fill="000080"/>
          </w:tcPr>
          <w:p w14:paraId="415FE1AC" w14:textId="77777777" w:rsidR="00754459" w:rsidRDefault="00754459" w:rsidP="00754459">
            <w:pPr>
              <w:rPr>
                <w:rFonts w:ascii="Arial" w:hAnsi="Arial" w:cs="Arial"/>
                <w:b/>
                <w:bCs/>
                <w:color w:val="FFFFFF"/>
                <w:sz w:val="20"/>
              </w:rPr>
            </w:pPr>
            <w:r>
              <w:rPr>
                <w:rFonts w:ascii="Arial" w:hAnsi="Arial" w:cs="Arial"/>
                <w:b/>
                <w:bCs/>
                <w:color w:val="FFFFFF"/>
                <w:sz w:val="20"/>
              </w:rPr>
              <w:t>Revenue</w:t>
            </w:r>
          </w:p>
        </w:tc>
        <w:tc>
          <w:tcPr>
            <w:tcW w:w="1803" w:type="dxa"/>
            <w:shd w:val="clear" w:color="auto" w:fill="000080"/>
          </w:tcPr>
          <w:p w14:paraId="16614B0B" w14:textId="2D9E4224" w:rsidR="00754459" w:rsidRDefault="00144CDA" w:rsidP="00754459">
            <w:pPr>
              <w:jc w:val="right"/>
              <w:rPr>
                <w:rFonts w:ascii="Arial" w:hAnsi="Arial" w:cs="Arial"/>
                <w:b/>
                <w:bCs/>
                <w:color w:val="FFFFFF"/>
                <w:sz w:val="20"/>
              </w:rPr>
            </w:pPr>
            <w:r>
              <w:rPr>
                <w:rFonts w:ascii="Arial" w:hAnsi="Arial" w:cs="Arial"/>
                <w:b/>
                <w:bCs/>
                <w:color w:val="FFFFFF"/>
                <w:sz w:val="20"/>
              </w:rPr>
              <w:t>FY 2019</w:t>
            </w:r>
          </w:p>
        </w:tc>
        <w:tc>
          <w:tcPr>
            <w:tcW w:w="1803" w:type="dxa"/>
            <w:shd w:val="clear" w:color="auto" w:fill="000080"/>
          </w:tcPr>
          <w:p w14:paraId="2D88AA62" w14:textId="0E1D740C" w:rsidR="00754459" w:rsidRDefault="00144CDA" w:rsidP="00754459">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tcPr>
          <w:p w14:paraId="6EFD2CB8" w14:textId="05CBF688" w:rsidR="00754459" w:rsidRDefault="00144CDA" w:rsidP="00754459">
            <w:pPr>
              <w:jc w:val="right"/>
              <w:rPr>
                <w:rFonts w:ascii="Arial" w:hAnsi="Arial" w:cs="Arial"/>
                <w:b/>
                <w:bCs/>
                <w:color w:val="FFFFFF"/>
                <w:sz w:val="20"/>
              </w:rPr>
            </w:pPr>
            <w:r>
              <w:rPr>
                <w:rFonts w:ascii="Arial" w:hAnsi="Arial" w:cs="Arial"/>
                <w:b/>
                <w:bCs/>
                <w:color w:val="FFFFFF"/>
                <w:sz w:val="20"/>
              </w:rPr>
              <w:t>FY 2021</w:t>
            </w:r>
          </w:p>
        </w:tc>
        <w:tc>
          <w:tcPr>
            <w:tcW w:w="1803" w:type="dxa"/>
            <w:shd w:val="clear" w:color="auto" w:fill="000080"/>
          </w:tcPr>
          <w:p w14:paraId="01A974C0" w14:textId="20A57442" w:rsidR="00754459" w:rsidRDefault="00144CDA" w:rsidP="00754459">
            <w:pPr>
              <w:jc w:val="right"/>
              <w:rPr>
                <w:rFonts w:ascii="Arial" w:hAnsi="Arial" w:cs="Arial"/>
                <w:b/>
                <w:bCs/>
                <w:color w:val="FFFFFF"/>
                <w:sz w:val="20"/>
              </w:rPr>
            </w:pPr>
            <w:r>
              <w:rPr>
                <w:rFonts w:ascii="Arial" w:hAnsi="Arial" w:cs="Arial"/>
                <w:b/>
                <w:bCs/>
                <w:color w:val="FFFFFF"/>
                <w:sz w:val="20"/>
              </w:rPr>
              <w:t>FY 2022</w:t>
            </w:r>
          </w:p>
        </w:tc>
      </w:tr>
      <w:tr w:rsidR="00144CDA" w14:paraId="4DA03CD6" w14:textId="77777777" w:rsidTr="00D55C4B">
        <w:tc>
          <w:tcPr>
            <w:tcW w:w="2868" w:type="dxa"/>
            <w:vAlign w:val="bottom"/>
          </w:tcPr>
          <w:p w14:paraId="15FA89AD" w14:textId="77777777" w:rsidR="00144CDA" w:rsidRDefault="00144CDA" w:rsidP="00144CDA">
            <w:pPr>
              <w:rPr>
                <w:rFonts w:ascii="Arial" w:eastAsia="Arial Unicode MS" w:hAnsi="Arial" w:cs="Arial"/>
                <w:color w:val="000000"/>
                <w:sz w:val="20"/>
                <w:szCs w:val="20"/>
              </w:rPr>
            </w:pPr>
            <w:r>
              <w:rPr>
                <w:rFonts w:ascii="Arial" w:hAnsi="Arial" w:cs="Arial"/>
                <w:color w:val="000000"/>
                <w:sz w:val="20"/>
                <w:szCs w:val="20"/>
              </w:rPr>
              <w:t>Public Utilities Comm.</w:t>
            </w:r>
          </w:p>
        </w:tc>
        <w:tc>
          <w:tcPr>
            <w:tcW w:w="1803" w:type="dxa"/>
          </w:tcPr>
          <w:p w14:paraId="47807B21" w14:textId="61E18ED3" w:rsidR="00144CDA" w:rsidRDefault="00144CDA" w:rsidP="00144CDA">
            <w:pPr>
              <w:jc w:val="right"/>
              <w:rPr>
                <w:rFonts w:ascii="Arial" w:hAnsi="Arial" w:cs="Arial"/>
                <w:color w:val="000000"/>
                <w:sz w:val="20"/>
                <w:szCs w:val="20"/>
              </w:rPr>
            </w:pPr>
            <w:r>
              <w:rPr>
                <w:rFonts w:ascii="Arial" w:hAnsi="Arial" w:cs="Arial"/>
                <w:color w:val="000000"/>
                <w:sz w:val="20"/>
                <w:szCs w:val="20"/>
              </w:rPr>
              <w:t>$5,770,200</w:t>
            </w:r>
          </w:p>
        </w:tc>
        <w:tc>
          <w:tcPr>
            <w:tcW w:w="1803" w:type="dxa"/>
          </w:tcPr>
          <w:p w14:paraId="27006D31" w14:textId="25310E45" w:rsidR="00144CDA" w:rsidRDefault="00144CDA" w:rsidP="00144CDA">
            <w:pPr>
              <w:jc w:val="right"/>
              <w:rPr>
                <w:rFonts w:ascii="Arial" w:hAnsi="Arial" w:cs="Arial"/>
                <w:color w:val="000000"/>
                <w:sz w:val="20"/>
                <w:szCs w:val="20"/>
              </w:rPr>
            </w:pPr>
            <w:r>
              <w:rPr>
                <w:rFonts w:ascii="Arial" w:hAnsi="Arial" w:cs="Arial"/>
                <w:color w:val="000000"/>
                <w:sz w:val="20"/>
                <w:szCs w:val="20"/>
              </w:rPr>
              <w:t>$6,031,700</w:t>
            </w:r>
          </w:p>
        </w:tc>
        <w:tc>
          <w:tcPr>
            <w:tcW w:w="1803" w:type="dxa"/>
          </w:tcPr>
          <w:p w14:paraId="5669C039" w14:textId="65FD29D5" w:rsidR="00144CDA" w:rsidRDefault="00144CDA" w:rsidP="00144CDA">
            <w:pPr>
              <w:jc w:val="right"/>
              <w:rPr>
                <w:rFonts w:ascii="Arial" w:hAnsi="Arial" w:cs="Arial"/>
                <w:color w:val="000000"/>
                <w:sz w:val="20"/>
                <w:szCs w:val="20"/>
              </w:rPr>
            </w:pPr>
            <w:r>
              <w:rPr>
                <w:rFonts w:ascii="Arial" w:hAnsi="Arial" w:cs="Arial"/>
                <w:color w:val="000000"/>
                <w:sz w:val="20"/>
                <w:szCs w:val="20"/>
              </w:rPr>
              <w:t>$4,507,200</w:t>
            </w:r>
          </w:p>
        </w:tc>
        <w:tc>
          <w:tcPr>
            <w:tcW w:w="1803" w:type="dxa"/>
          </w:tcPr>
          <w:p w14:paraId="3200393A" w14:textId="72C6F45B" w:rsidR="00144CDA" w:rsidRDefault="00144CDA" w:rsidP="00144CDA">
            <w:pPr>
              <w:jc w:val="right"/>
              <w:rPr>
                <w:rFonts w:ascii="Arial" w:hAnsi="Arial" w:cs="Arial"/>
                <w:color w:val="000000"/>
                <w:sz w:val="20"/>
                <w:szCs w:val="20"/>
              </w:rPr>
            </w:pPr>
          </w:p>
        </w:tc>
      </w:tr>
      <w:tr w:rsidR="00144CDA" w14:paraId="1E20CFAB" w14:textId="77777777" w:rsidTr="00D55C4B">
        <w:tc>
          <w:tcPr>
            <w:tcW w:w="2868" w:type="dxa"/>
            <w:vAlign w:val="bottom"/>
          </w:tcPr>
          <w:p w14:paraId="174AC49F" w14:textId="77777777" w:rsidR="00144CDA" w:rsidRDefault="00144CDA" w:rsidP="00144CDA">
            <w:pPr>
              <w:rPr>
                <w:rFonts w:ascii="Arial" w:hAnsi="Arial" w:cs="Arial"/>
                <w:color w:val="000000"/>
                <w:sz w:val="20"/>
                <w:szCs w:val="20"/>
              </w:rPr>
            </w:pPr>
            <w:r>
              <w:rPr>
                <w:rFonts w:ascii="Arial" w:hAnsi="Arial" w:cs="Arial"/>
                <w:color w:val="000000"/>
                <w:sz w:val="20"/>
                <w:szCs w:val="20"/>
              </w:rPr>
              <w:t>Indirect Fund</w:t>
            </w:r>
          </w:p>
        </w:tc>
        <w:tc>
          <w:tcPr>
            <w:tcW w:w="1803" w:type="dxa"/>
          </w:tcPr>
          <w:p w14:paraId="2A65CA4D" w14:textId="3C3AB622" w:rsidR="00144CDA" w:rsidRDefault="00144CDA" w:rsidP="00144CDA">
            <w:pPr>
              <w:jc w:val="right"/>
              <w:rPr>
                <w:rFonts w:ascii="Arial" w:hAnsi="Arial" w:cs="Arial"/>
                <w:color w:val="000000"/>
                <w:sz w:val="20"/>
                <w:szCs w:val="20"/>
              </w:rPr>
            </w:pPr>
            <w:r>
              <w:rPr>
                <w:rFonts w:ascii="Arial" w:hAnsi="Arial" w:cs="Arial"/>
                <w:color w:val="000000"/>
                <w:sz w:val="20"/>
                <w:szCs w:val="20"/>
              </w:rPr>
              <w:t>$38,900</w:t>
            </w:r>
          </w:p>
        </w:tc>
        <w:tc>
          <w:tcPr>
            <w:tcW w:w="1803" w:type="dxa"/>
          </w:tcPr>
          <w:p w14:paraId="1E0EAAD7" w14:textId="336A0374" w:rsidR="00144CDA" w:rsidRDefault="00144CDA" w:rsidP="00144CDA">
            <w:pPr>
              <w:jc w:val="right"/>
              <w:rPr>
                <w:rFonts w:ascii="Arial" w:hAnsi="Arial" w:cs="Arial"/>
                <w:color w:val="000000"/>
                <w:sz w:val="20"/>
                <w:szCs w:val="20"/>
              </w:rPr>
            </w:pPr>
            <w:r>
              <w:rPr>
                <w:rFonts w:ascii="Arial" w:hAnsi="Arial" w:cs="Arial"/>
                <w:color w:val="000000"/>
                <w:sz w:val="20"/>
                <w:szCs w:val="20"/>
              </w:rPr>
              <w:t>$38,200</w:t>
            </w:r>
          </w:p>
        </w:tc>
        <w:tc>
          <w:tcPr>
            <w:tcW w:w="1803" w:type="dxa"/>
          </w:tcPr>
          <w:p w14:paraId="33BCBCCB" w14:textId="05134F76" w:rsidR="00144CDA" w:rsidRDefault="00144CDA" w:rsidP="00144CDA">
            <w:pPr>
              <w:jc w:val="right"/>
              <w:rPr>
                <w:rFonts w:ascii="Arial" w:hAnsi="Arial" w:cs="Arial"/>
                <w:color w:val="000000"/>
                <w:sz w:val="20"/>
                <w:szCs w:val="20"/>
              </w:rPr>
            </w:pPr>
            <w:r>
              <w:rPr>
                <w:rFonts w:ascii="Arial" w:hAnsi="Arial" w:cs="Arial"/>
                <w:color w:val="000000"/>
                <w:sz w:val="20"/>
                <w:szCs w:val="20"/>
              </w:rPr>
              <w:t>$65,600</w:t>
            </w:r>
          </w:p>
        </w:tc>
        <w:tc>
          <w:tcPr>
            <w:tcW w:w="1803" w:type="dxa"/>
          </w:tcPr>
          <w:p w14:paraId="6AA3848C" w14:textId="3AAFA429" w:rsidR="00144CDA" w:rsidRDefault="00144CDA" w:rsidP="00144CDA">
            <w:pPr>
              <w:jc w:val="right"/>
              <w:rPr>
                <w:rFonts w:ascii="Arial" w:hAnsi="Arial" w:cs="Arial"/>
                <w:color w:val="000000"/>
                <w:sz w:val="20"/>
                <w:szCs w:val="20"/>
              </w:rPr>
            </w:pPr>
          </w:p>
        </w:tc>
      </w:tr>
      <w:tr w:rsidR="00144CDA" w14:paraId="7CADEF66" w14:textId="77777777" w:rsidTr="00D55C4B">
        <w:tc>
          <w:tcPr>
            <w:tcW w:w="2868" w:type="dxa"/>
            <w:vAlign w:val="bottom"/>
          </w:tcPr>
          <w:p w14:paraId="4A4FB1E1" w14:textId="77777777" w:rsidR="00144CDA" w:rsidRDefault="00144CDA" w:rsidP="00144CDA">
            <w:pPr>
              <w:rPr>
                <w:rFonts w:ascii="Arial" w:eastAsia="Arial Unicode MS" w:hAnsi="Arial" w:cs="Arial"/>
                <w:color w:val="000000"/>
                <w:sz w:val="20"/>
                <w:szCs w:val="20"/>
              </w:rPr>
            </w:pPr>
            <w:r>
              <w:rPr>
                <w:rFonts w:ascii="Arial" w:hAnsi="Arial" w:cs="Arial"/>
                <w:color w:val="000000"/>
                <w:sz w:val="20"/>
                <w:szCs w:val="20"/>
              </w:rPr>
              <w:t>Federal Grant</w:t>
            </w:r>
          </w:p>
        </w:tc>
        <w:tc>
          <w:tcPr>
            <w:tcW w:w="1803" w:type="dxa"/>
          </w:tcPr>
          <w:p w14:paraId="6E67DD60" w14:textId="50DC1EEF" w:rsidR="00144CDA" w:rsidRPr="00544BF8" w:rsidRDefault="00144CDA" w:rsidP="00144CDA">
            <w:pPr>
              <w:jc w:val="right"/>
              <w:rPr>
                <w:rFonts w:ascii="Arial" w:hAnsi="Arial" w:cs="Arial"/>
                <w:color w:val="000000"/>
                <w:sz w:val="20"/>
                <w:szCs w:val="20"/>
                <w:u w:val="single"/>
              </w:rPr>
            </w:pPr>
            <w:r>
              <w:rPr>
                <w:rFonts w:ascii="Arial" w:hAnsi="Arial" w:cs="Arial"/>
                <w:color w:val="000000"/>
                <w:sz w:val="20"/>
                <w:szCs w:val="20"/>
                <w:u w:val="single"/>
              </w:rPr>
              <w:t>$212,400</w:t>
            </w:r>
          </w:p>
        </w:tc>
        <w:tc>
          <w:tcPr>
            <w:tcW w:w="1803" w:type="dxa"/>
          </w:tcPr>
          <w:p w14:paraId="21A4A782" w14:textId="279B9217" w:rsidR="00144CDA" w:rsidRPr="00B61C4C" w:rsidRDefault="00144CDA" w:rsidP="00144CDA">
            <w:pPr>
              <w:jc w:val="right"/>
              <w:rPr>
                <w:rFonts w:ascii="Arial" w:hAnsi="Arial" w:cs="Arial"/>
                <w:color w:val="000000"/>
                <w:sz w:val="20"/>
                <w:szCs w:val="20"/>
                <w:u w:val="single"/>
              </w:rPr>
            </w:pPr>
            <w:r>
              <w:rPr>
                <w:rFonts w:ascii="Arial" w:hAnsi="Arial" w:cs="Arial"/>
                <w:color w:val="000000"/>
                <w:sz w:val="20"/>
                <w:szCs w:val="20"/>
                <w:u w:val="single"/>
              </w:rPr>
              <w:t>$242,000</w:t>
            </w:r>
          </w:p>
        </w:tc>
        <w:tc>
          <w:tcPr>
            <w:tcW w:w="1803" w:type="dxa"/>
          </w:tcPr>
          <w:p w14:paraId="44BAF4FA" w14:textId="164038FA" w:rsidR="00144CDA" w:rsidRPr="00B33CAD" w:rsidRDefault="00144CDA" w:rsidP="00144CDA">
            <w:pPr>
              <w:jc w:val="right"/>
              <w:rPr>
                <w:rFonts w:ascii="Arial" w:hAnsi="Arial" w:cs="Arial"/>
                <w:color w:val="000000"/>
                <w:sz w:val="20"/>
                <w:szCs w:val="20"/>
                <w:u w:val="single"/>
              </w:rPr>
            </w:pPr>
            <w:r>
              <w:rPr>
                <w:rFonts w:ascii="Arial" w:hAnsi="Arial" w:cs="Arial"/>
                <w:color w:val="000000"/>
                <w:sz w:val="20"/>
                <w:szCs w:val="20"/>
                <w:u w:val="single"/>
              </w:rPr>
              <w:t>$284,400</w:t>
            </w:r>
          </w:p>
        </w:tc>
        <w:tc>
          <w:tcPr>
            <w:tcW w:w="1803" w:type="dxa"/>
          </w:tcPr>
          <w:p w14:paraId="5354F0FD" w14:textId="10BC4D74" w:rsidR="00144CDA" w:rsidRPr="00B33CAD" w:rsidRDefault="00144CDA" w:rsidP="00144CDA">
            <w:pPr>
              <w:jc w:val="right"/>
              <w:rPr>
                <w:rFonts w:ascii="Arial" w:hAnsi="Arial" w:cs="Arial"/>
                <w:color w:val="000000"/>
                <w:sz w:val="20"/>
                <w:szCs w:val="20"/>
                <w:u w:val="single"/>
              </w:rPr>
            </w:pPr>
          </w:p>
        </w:tc>
      </w:tr>
      <w:tr w:rsidR="00144CDA" w14:paraId="6EE84D09" w14:textId="77777777" w:rsidTr="00D55C4B">
        <w:tc>
          <w:tcPr>
            <w:tcW w:w="2868" w:type="dxa"/>
            <w:vAlign w:val="bottom"/>
          </w:tcPr>
          <w:p w14:paraId="37C625EC" w14:textId="77777777" w:rsidR="00144CDA" w:rsidRDefault="00144CDA" w:rsidP="00144CDA">
            <w:pPr>
              <w:jc w:val="right"/>
              <w:rPr>
                <w:rFonts w:ascii="Arial" w:eastAsia="Arial Unicode MS" w:hAnsi="Arial" w:cs="Arial"/>
                <w:b/>
                <w:bCs/>
                <w:sz w:val="20"/>
                <w:szCs w:val="20"/>
              </w:rPr>
            </w:pPr>
            <w:r>
              <w:rPr>
                <w:rFonts w:ascii="Arial" w:hAnsi="Arial" w:cs="Arial"/>
                <w:b/>
                <w:bCs/>
                <w:sz w:val="20"/>
                <w:szCs w:val="20"/>
              </w:rPr>
              <w:t>Total</w:t>
            </w:r>
          </w:p>
        </w:tc>
        <w:tc>
          <w:tcPr>
            <w:tcW w:w="1803" w:type="dxa"/>
          </w:tcPr>
          <w:p w14:paraId="47A9B0F7" w14:textId="38D68046" w:rsidR="00144CDA" w:rsidRDefault="00144CDA" w:rsidP="00144CDA">
            <w:pPr>
              <w:jc w:val="right"/>
              <w:rPr>
                <w:rFonts w:ascii="Arial" w:hAnsi="Arial" w:cs="Arial"/>
                <w:b/>
                <w:bCs/>
                <w:sz w:val="20"/>
                <w:szCs w:val="20"/>
              </w:rPr>
            </w:pPr>
            <w:r>
              <w:rPr>
                <w:rFonts w:ascii="Arial" w:hAnsi="Arial" w:cs="Arial"/>
                <w:b/>
                <w:bCs/>
                <w:sz w:val="20"/>
                <w:szCs w:val="20"/>
              </w:rPr>
              <w:t>$6,021,500</w:t>
            </w:r>
          </w:p>
        </w:tc>
        <w:tc>
          <w:tcPr>
            <w:tcW w:w="1803" w:type="dxa"/>
          </w:tcPr>
          <w:p w14:paraId="53F6D297" w14:textId="1803D2C7" w:rsidR="00144CDA" w:rsidRDefault="00144CDA" w:rsidP="00144CDA">
            <w:pPr>
              <w:jc w:val="right"/>
              <w:rPr>
                <w:rFonts w:ascii="Arial" w:hAnsi="Arial" w:cs="Arial"/>
                <w:b/>
                <w:bCs/>
                <w:sz w:val="20"/>
                <w:szCs w:val="20"/>
              </w:rPr>
            </w:pPr>
            <w:r>
              <w:rPr>
                <w:rFonts w:ascii="Arial" w:hAnsi="Arial" w:cs="Arial"/>
                <w:b/>
                <w:bCs/>
                <w:sz w:val="20"/>
                <w:szCs w:val="20"/>
              </w:rPr>
              <w:t>$6,311,300</w:t>
            </w:r>
          </w:p>
        </w:tc>
        <w:tc>
          <w:tcPr>
            <w:tcW w:w="1803" w:type="dxa"/>
          </w:tcPr>
          <w:p w14:paraId="3EF9C30C" w14:textId="65B9CB7F" w:rsidR="00144CDA" w:rsidRDefault="00144CDA" w:rsidP="00144CDA">
            <w:pPr>
              <w:jc w:val="right"/>
              <w:rPr>
                <w:rFonts w:ascii="Arial" w:hAnsi="Arial" w:cs="Arial"/>
                <w:b/>
                <w:bCs/>
                <w:sz w:val="20"/>
                <w:szCs w:val="20"/>
              </w:rPr>
            </w:pPr>
            <w:r>
              <w:rPr>
                <w:rFonts w:ascii="Arial" w:hAnsi="Arial" w:cs="Arial"/>
                <w:b/>
                <w:bCs/>
                <w:sz w:val="20"/>
                <w:szCs w:val="20"/>
              </w:rPr>
              <w:t>$4,857,200</w:t>
            </w:r>
          </w:p>
        </w:tc>
        <w:tc>
          <w:tcPr>
            <w:tcW w:w="1803" w:type="dxa"/>
          </w:tcPr>
          <w:p w14:paraId="0EBC752F" w14:textId="2D597199" w:rsidR="00144CDA" w:rsidRDefault="00144CDA" w:rsidP="00144CDA">
            <w:pPr>
              <w:jc w:val="right"/>
              <w:rPr>
                <w:rFonts w:ascii="Arial" w:hAnsi="Arial" w:cs="Arial"/>
                <w:b/>
                <w:bCs/>
                <w:sz w:val="20"/>
                <w:szCs w:val="20"/>
              </w:rPr>
            </w:pPr>
          </w:p>
        </w:tc>
      </w:tr>
      <w:tr w:rsidR="00144CDA" w14:paraId="2C3D978F" w14:textId="77777777" w:rsidTr="00D55C4B">
        <w:tc>
          <w:tcPr>
            <w:tcW w:w="2868" w:type="dxa"/>
            <w:shd w:val="clear" w:color="auto" w:fill="000080"/>
          </w:tcPr>
          <w:p w14:paraId="60E03E9D" w14:textId="77777777" w:rsidR="00144CDA" w:rsidRDefault="00144CDA" w:rsidP="00144CDA">
            <w:pPr>
              <w:jc w:val="both"/>
              <w:rPr>
                <w:rFonts w:ascii="Arial" w:hAnsi="Arial" w:cs="Arial"/>
                <w:b/>
                <w:bCs/>
                <w:color w:val="FFFFFF"/>
                <w:sz w:val="20"/>
              </w:rPr>
            </w:pPr>
            <w:r>
              <w:rPr>
                <w:rFonts w:ascii="Arial" w:hAnsi="Arial" w:cs="Arial"/>
                <w:b/>
                <w:bCs/>
                <w:color w:val="FFFFFF"/>
                <w:sz w:val="20"/>
              </w:rPr>
              <w:t>Expenditures</w:t>
            </w:r>
          </w:p>
        </w:tc>
        <w:tc>
          <w:tcPr>
            <w:tcW w:w="1803" w:type="dxa"/>
            <w:shd w:val="clear" w:color="auto" w:fill="000080"/>
          </w:tcPr>
          <w:p w14:paraId="15CF000E" w14:textId="7EF53F0A" w:rsidR="00144CDA" w:rsidRDefault="00144CDA" w:rsidP="00144CDA">
            <w:pPr>
              <w:jc w:val="right"/>
              <w:rPr>
                <w:rFonts w:ascii="Arial" w:hAnsi="Arial" w:cs="Arial"/>
                <w:b/>
                <w:bCs/>
                <w:color w:val="FFFFFF"/>
                <w:sz w:val="20"/>
              </w:rPr>
            </w:pPr>
            <w:r>
              <w:rPr>
                <w:rFonts w:ascii="Arial" w:hAnsi="Arial" w:cs="Arial"/>
                <w:b/>
                <w:bCs/>
                <w:color w:val="FFFFFF"/>
                <w:sz w:val="20"/>
              </w:rPr>
              <w:t>FY 2019</w:t>
            </w:r>
          </w:p>
        </w:tc>
        <w:tc>
          <w:tcPr>
            <w:tcW w:w="1803" w:type="dxa"/>
            <w:shd w:val="clear" w:color="auto" w:fill="000080"/>
          </w:tcPr>
          <w:p w14:paraId="4141C598" w14:textId="105A35EA" w:rsidR="00144CDA" w:rsidRDefault="00144CDA" w:rsidP="00144CDA">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tcPr>
          <w:p w14:paraId="13462E04" w14:textId="7FAD321E" w:rsidR="00144CDA" w:rsidRDefault="00144CDA" w:rsidP="00144CDA">
            <w:pPr>
              <w:jc w:val="right"/>
              <w:rPr>
                <w:rFonts w:ascii="Arial" w:hAnsi="Arial" w:cs="Arial"/>
                <w:b/>
                <w:bCs/>
                <w:color w:val="FFFFFF"/>
                <w:sz w:val="20"/>
              </w:rPr>
            </w:pPr>
            <w:r>
              <w:rPr>
                <w:rFonts w:ascii="Arial" w:hAnsi="Arial" w:cs="Arial"/>
                <w:b/>
                <w:bCs/>
                <w:color w:val="FFFFFF"/>
                <w:sz w:val="20"/>
              </w:rPr>
              <w:t>FY 2021</w:t>
            </w:r>
          </w:p>
        </w:tc>
        <w:tc>
          <w:tcPr>
            <w:tcW w:w="1803" w:type="dxa"/>
            <w:shd w:val="clear" w:color="auto" w:fill="000080"/>
          </w:tcPr>
          <w:p w14:paraId="0660021C" w14:textId="18C9459C" w:rsidR="00144CDA" w:rsidRDefault="00144CDA" w:rsidP="00144CDA">
            <w:pPr>
              <w:jc w:val="right"/>
              <w:rPr>
                <w:rFonts w:ascii="Arial" w:hAnsi="Arial" w:cs="Arial"/>
                <w:b/>
                <w:bCs/>
                <w:color w:val="FFFFFF"/>
                <w:sz w:val="20"/>
              </w:rPr>
            </w:pPr>
            <w:r>
              <w:rPr>
                <w:rFonts w:ascii="Arial" w:hAnsi="Arial" w:cs="Arial"/>
                <w:b/>
                <w:bCs/>
                <w:color w:val="FFFFFF"/>
                <w:sz w:val="20"/>
              </w:rPr>
              <w:t>FY 2022</w:t>
            </w:r>
          </w:p>
        </w:tc>
      </w:tr>
      <w:tr w:rsidR="00144CDA" w14:paraId="5C0B6EC6" w14:textId="77777777" w:rsidTr="00D55C4B">
        <w:tc>
          <w:tcPr>
            <w:tcW w:w="2868" w:type="dxa"/>
          </w:tcPr>
          <w:p w14:paraId="51EC02F1" w14:textId="77777777" w:rsidR="00144CDA" w:rsidRDefault="00144CDA" w:rsidP="00144CDA">
            <w:pPr>
              <w:jc w:val="both"/>
              <w:rPr>
                <w:rFonts w:ascii="Arial" w:hAnsi="Arial" w:cs="Arial"/>
                <w:sz w:val="20"/>
              </w:rPr>
            </w:pPr>
            <w:r>
              <w:rPr>
                <w:rFonts w:ascii="Arial" w:hAnsi="Arial" w:cs="Arial"/>
                <w:sz w:val="20"/>
              </w:rPr>
              <w:t>Personnel Costs</w:t>
            </w:r>
          </w:p>
        </w:tc>
        <w:tc>
          <w:tcPr>
            <w:tcW w:w="1803" w:type="dxa"/>
          </w:tcPr>
          <w:p w14:paraId="6639C804" w14:textId="1FEEDA5B" w:rsidR="00144CDA" w:rsidRDefault="00144CDA" w:rsidP="00144CDA">
            <w:pPr>
              <w:jc w:val="right"/>
              <w:rPr>
                <w:rFonts w:ascii="Arial" w:hAnsi="Arial" w:cs="Arial"/>
                <w:sz w:val="20"/>
                <w:szCs w:val="20"/>
              </w:rPr>
            </w:pPr>
            <w:r>
              <w:rPr>
                <w:rFonts w:ascii="Arial" w:hAnsi="Arial" w:cs="Arial"/>
                <w:sz w:val="20"/>
                <w:szCs w:val="20"/>
              </w:rPr>
              <w:t>$4,132,700</w:t>
            </w:r>
          </w:p>
        </w:tc>
        <w:tc>
          <w:tcPr>
            <w:tcW w:w="1803" w:type="dxa"/>
          </w:tcPr>
          <w:p w14:paraId="51BB33F1" w14:textId="293B9F2A" w:rsidR="00144CDA" w:rsidRDefault="00144CDA" w:rsidP="00144CDA">
            <w:pPr>
              <w:jc w:val="right"/>
              <w:rPr>
                <w:rFonts w:ascii="Arial" w:hAnsi="Arial" w:cs="Arial"/>
                <w:sz w:val="20"/>
                <w:szCs w:val="20"/>
              </w:rPr>
            </w:pPr>
            <w:r>
              <w:rPr>
                <w:rFonts w:ascii="Arial" w:hAnsi="Arial" w:cs="Arial"/>
                <w:sz w:val="20"/>
                <w:szCs w:val="20"/>
              </w:rPr>
              <w:t>$3,671,200</w:t>
            </w:r>
          </w:p>
        </w:tc>
        <w:tc>
          <w:tcPr>
            <w:tcW w:w="1803" w:type="dxa"/>
          </w:tcPr>
          <w:p w14:paraId="15C4935F" w14:textId="6F55DA62" w:rsidR="00144CDA" w:rsidRDefault="00144CDA" w:rsidP="00144CDA">
            <w:pPr>
              <w:jc w:val="right"/>
              <w:rPr>
                <w:rFonts w:ascii="Arial" w:hAnsi="Arial" w:cs="Arial"/>
                <w:sz w:val="20"/>
                <w:szCs w:val="20"/>
              </w:rPr>
            </w:pPr>
            <w:r>
              <w:rPr>
                <w:rFonts w:ascii="Arial" w:hAnsi="Arial" w:cs="Arial"/>
                <w:sz w:val="20"/>
                <w:szCs w:val="20"/>
              </w:rPr>
              <w:t>$3,614,100</w:t>
            </w:r>
          </w:p>
        </w:tc>
        <w:tc>
          <w:tcPr>
            <w:tcW w:w="1803" w:type="dxa"/>
          </w:tcPr>
          <w:p w14:paraId="31566FCA" w14:textId="788A4E69" w:rsidR="00144CDA" w:rsidRDefault="00144CDA" w:rsidP="00144CDA">
            <w:pPr>
              <w:jc w:val="right"/>
              <w:rPr>
                <w:rFonts w:ascii="Arial" w:hAnsi="Arial" w:cs="Arial"/>
                <w:sz w:val="20"/>
                <w:szCs w:val="20"/>
              </w:rPr>
            </w:pPr>
          </w:p>
        </w:tc>
      </w:tr>
      <w:tr w:rsidR="00144CDA" w14:paraId="1BA1F8B6" w14:textId="77777777" w:rsidTr="00D55C4B">
        <w:tc>
          <w:tcPr>
            <w:tcW w:w="2868" w:type="dxa"/>
          </w:tcPr>
          <w:p w14:paraId="3DA58C54" w14:textId="77777777" w:rsidR="00144CDA" w:rsidRDefault="00144CDA" w:rsidP="00144CDA">
            <w:pPr>
              <w:jc w:val="both"/>
              <w:rPr>
                <w:rFonts w:ascii="Arial" w:hAnsi="Arial" w:cs="Arial"/>
                <w:sz w:val="20"/>
              </w:rPr>
            </w:pPr>
            <w:r>
              <w:rPr>
                <w:rFonts w:ascii="Arial" w:hAnsi="Arial" w:cs="Arial"/>
                <w:sz w:val="20"/>
              </w:rPr>
              <w:t>Operating Expenditures</w:t>
            </w:r>
          </w:p>
        </w:tc>
        <w:tc>
          <w:tcPr>
            <w:tcW w:w="1803" w:type="dxa"/>
          </w:tcPr>
          <w:p w14:paraId="130549A9" w14:textId="4BA7D06C" w:rsidR="00144CDA" w:rsidRDefault="00144CDA" w:rsidP="00144CDA">
            <w:pPr>
              <w:jc w:val="right"/>
              <w:rPr>
                <w:rFonts w:ascii="Arial" w:hAnsi="Arial" w:cs="Arial"/>
                <w:sz w:val="20"/>
                <w:szCs w:val="20"/>
              </w:rPr>
            </w:pPr>
            <w:r>
              <w:rPr>
                <w:rFonts w:ascii="Arial" w:hAnsi="Arial" w:cs="Arial"/>
                <w:sz w:val="20"/>
                <w:szCs w:val="20"/>
              </w:rPr>
              <w:t>$2,755,900</w:t>
            </w:r>
          </w:p>
        </w:tc>
        <w:tc>
          <w:tcPr>
            <w:tcW w:w="1803" w:type="dxa"/>
          </w:tcPr>
          <w:p w14:paraId="4CE79563" w14:textId="7FF38B95" w:rsidR="00144CDA" w:rsidRDefault="00144CDA" w:rsidP="00144CDA">
            <w:pPr>
              <w:jc w:val="right"/>
              <w:rPr>
                <w:rFonts w:ascii="Arial" w:hAnsi="Arial" w:cs="Arial"/>
                <w:sz w:val="20"/>
                <w:szCs w:val="20"/>
              </w:rPr>
            </w:pPr>
            <w:r>
              <w:rPr>
                <w:rFonts w:ascii="Arial" w:hAnsi="Arial" w:cs="Arial"/>
                <w:sz w:val="20"/>
                <w:szCs w:val="20"/>
              </w:rPr>
              <w:t>$2,271,600</w:t>
            </w:r>
          </w:p>
        </w:tc>
        <w:tc>
          <w:tcPr>
            <w:tcW w:w="1803" w:type="dxa"/>
          </w:tcPr>
          <w:p w14:paraId="6B5ACB42" w14:textId="3D3ED6DA" w:rsidR="00144CDA" w:rsidRDefault="00144CDA" w:rsidP="00144CDA">
            <w:pPr>
              <w:jc w:val="right"/>
              <w:rPr>
                <w:rFonts w:ascii="Arial" w:hAnsi="Arial" w:cs="Arial"/>
                <w:sz w:val="20"/>
                <w:szCs w:val="20"/>
              </w:rPr>
            </w:pPr>
            <w:r>
              <w:rPr>
                <w:rFonts w:ascii="Arial" w:hAnsi="Arial" w:cs="Arial"/>
                <w:sz w:val="20"/>
                <w:szCs w:val="20"/>
              </w:rPr>
              <w:t>$1,213,500</w:t>
            </w:r>
          </w:p>
        </w:tc>
        <w:tc>
          <w:tcPr>
            <w:tcW w:w="1803" w:type="dxa"/>
          </w:tcPr>
          <w:p w14:paraId="15348A15" w14:textId="105D0119" w:rsidR="00144CDA" w:rsidRDefault="00144CDA" w:rsidP="00144CDA">
            <w:pPr>
              <w:jc w:val="right"/>
              <w:rPr>
                <w:rFonts w:ascii="Arial" w:hAnsi="Arial" w:cs="Arial"/>
                <w:sz w:val="20"/>
                <w:szCs w:val="20"/>
              </w:rPr>
            </w:pPr>
          </w:p>
        </w:tc>
      </w:tr>
      <w:tr w:rsidR="00144CDA" w14:paraId="111978F2" w14:textId="77777777" w:rsidTr="00D55C4B">
        <w:tc>
          <w:tcPr>
            <w:tcW w:w="2868" w:type="dxa"/>
          </w:tcPr>
          <w:p w14:paraId="2FCF109F" w14:textId="77777777" w:rsidR="00144CDA" w:rsidRDefault="00144CDA" w:rsidP="00144CDA">
            <w:pPr>
              <w:jc w:val="both"/>
              <w:rPr>
                <w:rFonts w:ascii="Arial" w:hAnsi="Arial" w:cs="Arial"/>
                <w:sz w:val="20"/>
              </w:rPr>
            </w:pPr>
            <w:r>
              <w:rPr>
                <w:rFonts w:ascii="Arial" w:hAnsi="Arial" w:cs="Arial"/>
                <w:sz w:val="20"/>
              </w:rPr>
              <w:t>Capital Outlay</w:t>
            </w:r>
          </w:p>
        </w:tc>
        <w:tc>
          <w:tcPr>
            <w:tcW w:w="1803" w:type="dxa"/>
          </w:tcPr>
          <w:p w14:paraId="35BD6793" w14:textId="2EC54FA0" w:rsidR="00144CDA" w:rsidRDefault="00144CDA" w:rsidP="00144CDA">
            <w:pPr>
              <w:jc w:val="right"/>
              <w:rPr>
                <w:rFonts w:ascii="Arial" w:hAnsi="Arial" w:cs="Arial"/>
                <w:sz w:val="20"/>
                <w:szCs w:val="20"/>
              </w:rPr>
            </w:pPr>
            <w:r>
              <w:rPr>
                <w:rFonts w:ascii="Arial" w:hAnsi="Arial" w:cs="Arial"/>
                <w:sz w:val="20"/>
                <w:szCs w:val="20"/>
              </w:rPr>
              <w:t>$55,600</w:t>
            </w:r>
          </w:p>
        </w:tc>
        <w:tc>
          <w:tcPr>
            <w:tcW w:w="1803" w:type="dxa"/>
          </w:tcPr>
          <w:p w14:paraId="3E3B34A4" w14:textId="628C6C36" w:rsidR="00144CDA" w:rsidRDefault="00144CDA" w:rsidP="00144CDA">
            <w:pPr>
              <w:jc w:val="right"/>
              <w:rPr>
                <w:rFonts w:ascii="Arial" w:hAnsi="Arial" w:cs="Arial"/>
                <w:sz w:val="20"/>
                <w:szCs w:val="20"/>
              </w:rPr>
            </w:pPr>
            <w:r>
              <w:rPr>
                <w:rFonts w:ascii="Arial" w:hAnsi="Arial" w:cs="Arial"/>
                <w:sz w:val="20"/>
                <w:szCs w:val="20"/>
              </w:rPr>
              <w:t>$166,100</w:t>
            </w:r>
          </w:p>
        </w:tc>
        <w:tc>
          <w:tcPr>
            <w:tcW w:w="1803" w:type="dxa"/>
          </w:tcPr>
          <w:p w14:paraId="005F40F0" w14:textId="40205192" w:rsidR="00144CDA" w:rsidRDefault="00144CDA" w:rsidP="00144CDA">
            <w:pPr>
              <w:jc w:val="right"/>
              <w:rPr>
                <w:rFonts w:ascii="Arial" w:hAnsi="Arial" w:cs="Arial"/>
                <w:sz w:val="20"/>
                <w:szCs w:val="20"/>
              </w:rPr>
            </w:pPr>
            <w:r>
              <w:rPr>
                <w:rFonts w:ascii="Arial" w:hAnsi="Arial" w:cs="Arial"/>
                <w:sz w:val="20"/>
                <w:szCs w:val="20"/>
              </w:rPr>
              <w:t>$29,600</w:t>
            </w:r>
          </w:p>
        </w:tc>
        <w:tc>
          <w:tcPr>
            <w:tcW w:w="1803" w:type="dxa"/>
          </w:tcPr>
          <w:p w14:paraId="614AE3FE" w14:textId="6EF02643" w:rsidR="00144CDA" w:rsidRDefault="00144CDA" w:rsidP="00144CDA">
            <w:pPr>
              <w:jc w:val="right"/>
              <w:rPr>
                <w:rFonts w:ascii="Arial" w:hAnsi="Arial" w:cs="Arial"/>
                <w:sz w:val="20"/>
                <w:szCs w:val="20"/>
              </w:rPr>
            </w:pPr>
          </w:p>
        </w:tc>
      </w:tr>
      <w:tr w:rsidR="00144CDA" w14:paraId="3A316B9B" w14:textId="77777777" w:rsidTr="00D55C4B">
        <w:tc>
          <w:tcPr>
            <w:tcW w:w="2868" w:type="dxa"/>
          </w:tcPr>
          <w:p w14:paraId="19418C78" w14:textId="77777777" w:rsidR="00144CDA" w:rsidRDefault="00144CDA" w:rsidP="00144CDA">
            <w:pPr>
              <w:jc w:val="both"/>
              <w:rPr>
                <w:rFonts w:ascii="Arial" w:hAnsi="Arial" w:cs="Arial"/>
                <w:sz w:val="20"/>
              </w:rPr>
            </w:pPr>
            <w:r>
              <w:rPr>
                <w:rFonts w:ascii="Arial" w:hAnsi="Arial" w:cs="Arial"/>
                <w:sz w:val="20"/>
              </w:rPr>
              <w:t>Trustee/Benefit Payments</w:t>
            </w:r>
          </w:p>
        </w:tc>
        <w:tc>
          <w:tcPr>
            <w:tcW w:w="1803" w:type="dxa"/>
          </w:tcPr>
          <w:p w14:paraId="02B6A60C" w14:textId="32E634D8" w:rsidR="00144CDA" w:rsidRPr="00544BF8" w:rsidRDefault="00144CDA" w:rsidP="00144CDA">
            <w:pPr>
              <w:jc w:val="right"/>
              <w:rPr>
                <w:rFonts w:ascii="Arial" w:hAnsi="Arial" w:cs="Arial"/>
                <w:sz w:val="20"/>
                <w:szCs w:val="20"/>
                <w:u w:val="single"/>
              </w:rPr>
            </w:pPr>
            <w:r>
              <w:rPr>
                <w:rFonts w:ascii="Arial" w:hAnsi="Arial" w:cs="Arial"/>
                <w:sz w:val="20"/>
                <w:szCs w:val="20"/>
                <w:u w:val="single"/>
              </w:rPr>
              <w:t>$0.00</w:t>
            </w:r>
          </w:p>
        </w:tc>
        <w:tc>
          <w:tcPr>
            <w:tcW w:w="1803" w:type="dxa"/>
          </w:tcPr>
          <w:p w14:paraId="340CD4A8" w14:textId="4485FE09" w:rsidR="00144CDA" w:rsidRDefault="00144CDA" w:rsidP="00144CDA">
            <w:pPr>
              <w:jc w:val="right"/>
              <w:rPr>
                <w:rFonts w:ascii="Arial" w:hAnsi="Arial" w:cs="Arial"/>
                <w:sz w:val="20"/>
                <w:szCs w:val="20"/>
                <w:u w:val="single"/>
              </w:rPr>
            </w:pPr>
            <w:r>
              <w:rPr>
                <w:rFonts w:ascii="Arial" w:hAnsi="Arial" w:cs="Arial"/>
                <w:sz w:val="20"/>
                <w:szCs w:val="20"/>
                <w:u w:val="single"/>
              </w:rPr>
              <w:t>0.00</w:t>
            </w:r>
          </w:p>
        </w:tc>
        <w:tc>
          <w:tcPr>
            <w:tcW w:w="1803" w:type="dxa"/>
          </w:tcPr>
          <w:p w14:paraId="6B46F0A5" w14:textId="636F889E" w:rsidR="00144CDA" w:rsidRDefault="00144CDA" w:rsidP="00144CDA">
            <w:pPr>
              <w:jc w:val="right"/>
              <w:rPr>
                <w:rFonts w:ascii="Arial" w:hAnsi="Arial" w:cs="Arial"/>
                <w:sz w:val="20"/>
                <w:szCs w:val="20"/>
                <w:u w:val="single"/>
              </w:rPr>
            </w:pPr>
            <w:r>
              <w:rPr>
                <w:rFonts w:ascii="Arial" w:hAnsi="Arial" w:cs="Arial"/>
                <w:sz w:val="20"/>
                <w:szCs w:val="20"/>
                <w:u w:val="single"/>
              </w:rPr>
              <w:t>0.00</w:t>
            </w:r>
          </w:p>
        </w:tc>
        <w:tc>
          <w:tcPr>
            <w:tcW w:w="1803" w:type="dxa"/>
          </w:tcPr>
          <w:p w14:paraId="1B8AE2F4" w14:textId="2BFB775F" w:rsidR="00144CDA" w:rsidRDefault="00144CDA" w:rsidP="00144CDA">
            <w:pPr>
              <w:jc w:val="right"/>
              <w:rPr>
                <w:rFonts w:ascii="Arial" w:hAnsi="Arial" w:cs="Arial"/>
                <w:sz w:val="20"/>
                <w:szCs w:val="20"/>
                <w:u w:val="single"/>
              </w:rPr>
            </w:pPr>
          </w:p>
        </w:tc>
      </w:tr>
      <w:tr w:rsidR="00144CDA" w14:paraId="4F4AB4FA" w14:textId="77777777" w:rsidTr="00D55C4B">
        <w:tc>
          <w:tcPr>
            <w:tcW w:w="2868" w:type="dxa"/>
          </w:tcPr>
          <w:p w14:paraId="14F9DF4B" w14:textId="77777777" w:rsidR="00144CDA" w:rsidRDefault="00144CDA" w:rsidP="00144CDA">
            <w:pPr>
              <w:ind w:left="240"/>
              <w:jc w:val="right"/>
              <w:rPr>
                <w:rFonts w:ascii="Arial" w:hAnsi="Arial" w:cs="Arial"/>
                <w:b/>
                <w:bCs/>
                <w:sz w:val="20"/>
              </w:rPr>
            </w:pPr>
            <w:r>
              <w:rPr>
                <w:rFonts w:ascii="Arial" w:hAnsi="Arial" w:cs="Arial"/>
                <w:b/>
                <w:bCs/>
                <w:sz w:val="20"/>
              </w:rPr>
              <w:t>Total</w:t>
            </w:r>
          </w:p>
        </w:tc>
        <w:tc>
          <w:tcPr>
            <w:tcW w:w="1803" w:type="dxa"/>
          </w:tcPr>
          <w:p w14:paraId="50F80CBF" w14:textId="48D8FE13" w:rsidR="00144CDA" w:rsidRDefault="00144CDA" w:rsidP="00144CDA">
            <w:pPr>
              <w:jc w:val="right"/>
              <w:rPr>
                <w:rFonts w:ascii="Arial" w:hAnsi="Arial" w:cs="Arial"/>
                <w:b/>
                <w:bCs/>
                <w:sz w:val="20"/>
                <w:szCs w:val="20"/>
              </w:rPr>
            </w:pPr>
            <w:r>
              <w:rPr>
                <w:rFonts w:ascii="Arial" w:hAnsi="Arial" w:cs="Arial"/>
                <w:b/>
                <w:bCs/>
                <w:sz w:val="20"/>
                <w:szCs w:val="20"/>
              </w:rPr>
              <w:t>$7,026,100</w:t>
            </w:r>
          </w:p>
        </w:tc>
        <w:tc>
          <w:tcPr>
            <w:tcW w:w="1803" w:type="dxa"/>
          </w:tcPr>
          <w:p w14:paraId="570DE6AF" w14:textId="4797EF3A" w:rsidR="00144CDA" w:rsidRDefault="00144CDA" w:rsidP="00144CDA">
            <w:pPr>
              <w:jc w:val="right"/>
              <w:rPr>
                <w:rFonts w:ascii="Arial" w:hAnsi="Arial" w:cs="Arial"/>
                <w:b/>
                <w:bCs/>
                <w:sz w:val="20"/>
                <w:szCs w:val="20"/>
              </w:rPr>
            </w:pPr>
            <w:r>
              <w:rPr>
                <w:rFonts w:ascii="Arial" w:hAnsi="Arial" w:cs="Arial"/>
                <w:b/>
                <w:bCs/>
                <w:sz w:val="20"/>
                <w:szCs w:val="20"/>
              </w:rPr>
              <w:t>$6,108,900</w:t>
            </w:r>
          </w:p>
        </w:tc>
        <w:tc>
          <w:tcPr>
            <w:tcW w:w="1803" w:type="dxa"/>
          </w:tcPr>
          <w:p w14:paraId="4B57A59C" w14:textId="2AC1531F" w:rsidR="00144CDA" w:rsidRDefault="00144CDA" w:rsidP="00144CDA">
            <w:pPr>
              <w:jc w:val="right"/>
              <w:rPr>
                <w:rFonts w:ascii="Arial" w:hAnsi="Arial" w:cs="Arial"/>
                <w:b/>
                <w:bCs/>
                <w:sz w:val="20"/>
                <w:szCs w:val="20"/>
              </w:rPr>
            </w:pPr>
            <w:r>
              <w:rPr>
                <w:rFonts w:ascii="Arial" w:hAnsi="Arial" w:cs="Arial"/>
                <w:b/>
                <w:bCs/>
                <w:sz w:val="20"/>
                <w:szCs w:val="20"/>
              </w:rPr>
              <w:t>$4,857,200</w:t>
            </w:r>
          </w:p>
        </w:tc>
        <w:tc>
          <w:tcPr>
            <w:tcW w:w="1803" w:type="dxa"/>
          </w:tcPr>
          <w:p w14:paraId="7C7929EF" w14:textId="7F4159FD" w:rsidR="00144CDA" w:rsidRDefault="00144CDA" w:rsidP="00144CDA">
            <w:pPr>
              <w:jc w:val="right"/>
              <w:rPr>
                <w:rFonts w:ascii="Arial" w:hAnsi="Arial" w:cs="Arial"/>
                <w:b/>
                <w:bCs/>
                <w:sz w:val="20"/>
                <w:szCs w:val="20"/>
              </w:rPr>
            </w:pPr>
          </w:p>
        </w:tc>
      </w:tr>
    </w:tbl>
    <w:p w14:paraId="000DBE1B" w14:textId="77777777" w:rsidR="00D55C4B" w:rsidRDefault="00D55C4B" w:rsidP="00CB4E6F">
      <w:pPr>
        <w:rPr>
          <w:rFonts w:ascii="Arial" w:hAnsi="Arial" w:cs="Arial"/>
        </w:rPr>
      </w:pPr>
    </w:p>
    <w:p w14:paraId="2A42B8C6" w14:textId="77777777" w:rsidR="00AB3945" w:rsidRPr="00CB4E6F" w:rsidRDefault="00AB3945" w:rsidP="00301D72">
      <w:pPr>
        <w:tabs>
          <w:tab w:val="left" w:pos="6885"/>
        </w:tabs>
        <w:rPr>
          <w:rFonts w:ascii="Arial" w:hAnsi="Arial" w:cs="Arial"/>
          <w:b/>
        </w:rPr>
      </w:pPr>
      <w:r w:rsidRPr="00CB4E6F">
        <w:rPr>
          <w:rFonts w:ascii="Arial" w:hAnsi="Arial" w:cs="Arial"/>
          <w:b/>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7"/>
        <w:gridCol w:w="1260"/>
        <w:gridCol w:w="1260"/>
        <w:gridCol w:w="1263"/>
        <w:gridCol w:w="1260"/>
      </w:tblGrid>
      <w:tr w:rsidR="00754459" w14:paraId="11A6C9A2" w14:textId="77777777" w:rsidTr="00175A7F">
        <w:trPr>
          <w:cantSplit/>
          <w:trHeight w:val="188"/>
          <w:tblHeader/>
        </w:trPr>
        <w:tc>
          <w:tcPr>
            <w:tcW w:w="5037" w:type="dxa"/>
            <w:shd w:val="clear" w:color="auto" w:fill="000080"/>
            <w:vAlign w:val="bottom"/>
          </w:tcPr>
          <w:p w14:paraId="5CB748CA" w14:textId="77777777" w:rsidR="00754459" w:rsidRDefault="00754459" w:rsidP="00754459">
            <w:pPr>
              <w:jc w:val="center"/>
              <w:rPr>
                <w:rFonts w:ascii="Arial" w:hAnsi="Arial" w:cs="Arial"/>
                <w:b/>
                <w:bCs/>
                <w:color w:val="FFFFFF"/>
                <w:sz w:val="20"/>
              </w:rPr>
            </w:pPr>
            <w:r>
              <w:rPr>
                <w:rFonts w:ascii="Arial" w:hAnsi="Arial" w:cs="Arial"/>
                <w:b/>
                <w:bCs/>
                <w:color w:val="FFFFFF"/>
                <w:sz w:val="20"/>
              </w:rPr>
              <w:t>Cases Managed and/or Key Services Provided</w:t>
            </w:r>
          </w:p>
        </w:tc>
        <w:tc>
          <w:tcPr>
            <w:tcW w:w="1260" w:type="dxa"/>
            <w:shd w:val="clear" w:color="auto" w:fill="000080"/>
            <w:vAlign w:val="bottom"/>
          </w:tcPr>
          <w:p w14:paraId="7E705215" w14:textId="148537B3" w:rsidR="00754459" w:rsidRDefault="00144CDA" w:rsidP="00754459">
            <w:pPr>
              <w:jc w:val="center"/>
              <w:rPr>
                <w:rFonts w:ascii="Arial" w:hAnsi="Arial" w:cs="Arial"/>
                <w:b/>
                <w:bCs/>
                <w:color w:val="FFFFFF"/>
                <w:sz w:val="20"/>
              </w:rPr>
            </w:pPr>
            <w:r>
              <w:rPr>
                <w:rFonts w:ascii="Arial" w:hAnsi="Arial" w:cs="Arial"/>
                <w:b/>
                <w:bCs/>
                <w:color w:val="FFFFFF"/>
                <w:sz w:val="20"/>
              </w:rPr>
              <w:t>FY 2019</w:t>
            </w:r>
          </w:p>
        </w:tc>
        <w:tc>
          <w:tcPr>
            <w:tcW w:w="1260" w:type="dxa"/>
            <w:shd w:val="clear" w:color="auto" w:fill="000080"/>
            <w:vAlign w:val="bottom"/>
          </w:tcPr>
          <w:p w14:paraId="3609F4A1" w14:textId="00136CC1" w:rsidR="00754459" w:rsidRDefault="00144CDA" w:rsidP="00754459">
            <w:pPr>
              <w:jc w:val="center"/>
              <w:rPr>
                <w:rFonts w:ascii="Arial" w:hAnsi="Arial" w:cs="Arial"/>
                <w:b/>
                <w:bCs/>
                <w:color w:val="FFFFFF"/>
                <w:sz w:val="20"/>
              </w:rPr>
            </w:pPr>
            <w:r>
              <w:rPr>
                <w:rFonts w:ascii="Arial" w:hAnsi="Arial" w:cs="Arial"/>
                <w:b/>
                <w:bCs/>
                <w:color w:val="FFFFFF"/>
                <w:sz w:val="20"/>
              </w:rPr>
              <w:t>FY 2020</w:t>
            </w:r>
          </w:p>
        </w:tc>
        <w:tc>
          <w:tcPr>
            <w:tcW w:w="1263" w:type="dxa"/>
            <w:shd w:val="clear" w:color="auto" w:fill="000080"/>
            <w:vAlign w:val="bottom"/>
          </w:tcPr>
          <w:p w14:paraId="36FA87DA" w14:textId="69A6CF4C" w:rsidR="00754459" w:rsidRDefault="00144CDA" w:rsidP="00754459">
            <w:pPr>
              <w:jc w:val="center"/>
              <w:rPr>
                <w:rFonts w:ascii="Arial" w:hAnsi="Arial" w:cs="Arial"/>
                <w:b/>
                <w:bCs/>
                <w:color w:val="FFFFFF"/>
                <w:sz w:val="20"/>
              </w:rPr>
            </w:pPr>
            <w:r>
              <w:rPr>
                <w:rFonts w:ascii="Arial" w:hAnsi="Arial" w:cs="Arial"/>
                <w:b/>
                <w:bCs/>
                <w:color w:val="FFFFFF"/>
                <w:sz w:val="20"/>
              </w:rPr>
              <w:t>FY 2021</w:t>
            </w:r>
          </w:p>
        </w:tc>
        <w:tc>
          <w:tcPr>
            <w:tcW w:w="1260" w:type="dxa"/>
            <w:shd w:val="clear" w:color="auto" w:fill="000080"/>
            <w:vAlign w:val="bottom"/>
          </w:tcPr>
          <w:p w14:paraId="443A74FC" w14:textId="7F55BD9D" w:rsidR="00754459" w:rsidRDefault="00144CDA" w:rsidP="00754459">
            <w:pPr>
              <w:jc w:val="center"/>
              <w:rPr>
                <w:rFonts w:ascii="Arial" w:hAnsi="Arial" w:cs="Arial"/>
                <w:b/>
                <w:bCs/>
                <w:color w:val="FFFFFF"/>
                <w:sz w:val="20"/>
              </w:rPr>
            </w:pPr>
            <w:r>
              <w:rPr>
                <w:rFonts w:ascii="Arial" w:hAnsi="Arial" w:cs="Arial"/>
                <w:b/>
                <w:bCs/>
                <w:color w:val="FFFFFF"/>
                <w:sz w:val="20"/>
              </w:rPr>
              <w:t>FY 2022</w:t>
            </w:r>
          </w:p>
        </w:tc>
      </w:tr>
      <w:tr w:rsidR="00144CDA" w14:paraId="2195EBE8" w14:textId="77777777" w:rsidTr="00C91D60">
        <w:trPr>
          <w:cantSplit/>
          <w:trHeight w:val="170"/>
        </w:trPr>
        <w:tc>
          <w:tcPr>
            <w:tcW w:w="5037" w:type="dxa"/>
          </w:tcPr>
          <w:p w14:paraId="4691F669"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Number of cases older than one year closed in this fiscal year.</w:t>
            </w:r>
          </w:p>
        </w:tc>
        <w:tc>
          <w:tcPr>
            <w:tcW w:w="1260" w:type="dxa"/>
            <w:vAlign w:val="center"/>
          </w:tcPr>
          <w:p w14:paraId="68A6FA93" w14:textId="19E3678A" w:rsidR="00144CDA" w:rsidRDefault="00144CDA" w:rsidP="00144CDA">
            <w:pPr>
              <w:jc w:val="center"/>
              <w:rPr>
                <w:rFonts w:ascii="Arial" w:hAnsi="Arial" w:cs="Arial"/>
                <w:sz w:val="20"/>
              </w:rPr>
            </w:pPr>
            <w:r>
              <w:rPr>
                <w:rFonts w:ascii="Arial" w:hAnsi="Arial" w:cs="Arial"/>
                <w:sz w:val="20"/>
              </w:rPr>
              <w:t>9</w:t>
            </w:r>
          </w:p>
        </w:tc>
        <w:tc>
          <w:tcPr>
            <w:tcW w:w="1260" w:type="dxa"/>
            <w:vAlign w:val="center"/>
          </w:tcPr>
          <w:p w14:paraId="68E7D0D6" w14:textId="4407D081" w:rsidR="00144CDA" w:rsidRDefault="00144CDA" w:rsidP="00144CDA">
            <w:pPr>
              <w:jc w:val="center"/>
              <w:rPr>
                <w:rFonts w:ascii="Arial" w:hAnsi="Arial" w:cs="Arial"/>
                <w:sz w:val="20"/>
              </w:rPr>
            </w:pPr>
            <w:r>
              <w:rPr>
                <w:rFonts w:ascii="Arial" w:hAnsi="Arial" w:cs="Arial"/>
                <w:sz w:val="20"/>
              </w:rPr>
              <w:t>40</w:t>
            </w:r>
          </w:p>
        </w:tc>
        <w:tc>
          <w:tcPr>
            <w:tcW w:w="1263" w:type="dxa"/>
            <w:vAlign w:val="center"/>
          </w:tcPr>
          <w:p w14:paraId="2043901D" w14:textId="7AD6C79E" w:rsidR="00144CDA" w:rsidRDefault="00144CDA" w:rsidP="00144CDA">
            <w:pPr>
              <w:jc w:val="center"/>
              <w:rPr>
                <w:rFonts w:ascii="Arial" w:hAnsi="Arial" w:cs="Arial"/>
                <w:sz w:val="20"/>
              </w:rPr>
            </w:pPr>
            <w:r>
              <w:rPr>
                <w:rFonts w:ascii="Arial" w:hAnsi="Arial" w:cs="Arial"/>
                <w:sz w:val="20"/>
              </w:rPr>
              <w:t>49</w:t>
            </w:r>
          </w:p>
        </w:tc>
        <w:tc>
          <w:tcPr>
            <w:tcW w:w="1260" w:type="dxa"/>
            <w:vAlign w:val="center"/>
          </w:tcPr>
          <w:p w14:paraId="5AFC715D" w14:textId="3F30C2D9" w:rsidR="00144CDA" w:rsidRDefault="00144CDA" w:rsidP="00144CDA">
            <w:pPr>
              <w:jc w:val="center"/>
              <w:rPr>
                <w:rFonts w:ascii="Arial" w:hAnsi="Arial" w:cs="Arial"/>
                <w:sz w:val="20"/>
              </w:rPr>
            </w:pPr>
          </w:p>
        </w:tc>
      </w:tr>
      <w:tr w:rsidR="00144CDA" w14:paraId="3DFC29BD" w14:textId="77777777" w:rsidTr="00C91D60">
        <w:trPr>
          <w:cantSplit/>
          <w:trHeight w:val="107"/>
        </w:trPr>
        <w:tc>
          <w:tcPr>
            <w:tcW w:w="5037" w:type="dxa"/>
          </w:tcPr>
          <w:p w14:paraId="0F87E512" w14:textId="77777777" w:rsidR="00144CDA" w:rsidRPr="00301D72" w:rsidRDefault="00144CDA" w:rsidP="00144CDA">
            <w:pPr>
              <w:pStyle w:val="ListParagraph"/>
              <w:numPr>
                <w:ilvl w:val="0"/>
                <w:numId w:val="4"/>
              </w:numPr>
              <w:ind w:left="342"/>
              <w:rPr>
                <w:rFonts w:ascii="Arial" w:hAnsi="Arial" w:cs="Arial"/>
                <w:sz w:val="20"/>
              </w:rPr>
            </w:pPr>
            <w:bookmarkStart w:id="0" w:name="_Hlk80345326"/>
            <w:r w:rsidRPr="00301D72">
              <w:rPr>
                <w:rFonts w:ascii="Arial" w:hAnsi="Arial" w:cs="Arial"/>
                <w:sz w:val="20"/>
              </w:rPr>
              <w:t>Number of comprehensive audits completed annually.</w:t>
            </w:r>
          </w:p>
        </w:tc>
        <w:tc>
          <w:tcPr>
            <w:tcW w:w="1260" w:type="dxa"/>
            <w:vAlign w:val="center"/>
          </w:tcPr>
          <w:p w14:paraId="6B6BA972" w14:textId="1CB4E1AD" w:rsidR="00144CDA" w:rsidRDefault="00144CDA" w:rsidP="00144CDA">
            <w:pPr>
              <w:jc w:val="center"/>
              <w:rPr>
                <w:rFonts w:ascii="Arial" w:hAnsi="Arial" w:cs="Arial"/>
                <w:sz w:val="20"/>
              </w:rPr>
            </w:pPr>
            <w:r>
              <w:rPr>
                <w:rFonts w:ascii="Arial" w:hAnsi="Arial" w:cs="Arial"/>
                <w:sz w:val="20"/>
              </w:rPr>
              <w:t>22</w:t>
            </w:r>
          </w:p>
        </w:tc>
        <w:tc>
          <w:tcPr>
            <w:tcW w:w="1260" w:type="dxa"/>
            <w:vAlign w:val="center"/>
          </w:tcPr>
          <w:p w14:paraId="1C506650" w14:textId="62426544" w:rsidR="00144CDA" w:rsidRDefault="00144CDA" w:rsidP="00144CDA">
            <w:pPr>
              <w:jc w:val="center"/>
              <w:rPr>
                <w:rFonts w:ascii="Arial" w:hAnsi="Arial" w:cs="Arial"/>
                <w:sz w:val="20"/>
              </w:rPr>
            </w:pPr>
            <w:r>
              <w:rPr>
                <w:rFonts w:ascii="Arial" w:hAnsi="Arial" w:cs="Arial"/>
                <w:sz w:val="20"/>
              </w:rPr>
              <w:t>27</w:t>
            </w:r>
          </w:p>
        </w:tc>
        <w:tc>
          <w:tcPr>
            <w:tcW w:w="1263" w:type="dxa"/>
            <w:vAlign w:val="center"/>
          </w:tcPr>
          <w:p w14:paraId="5371D41E" w14:textId="2833BD1E" w:rsidR="00144CDA" w:rsidRDefault="00144CDA" w:rsidP="00144CDA">
            <w:pPr>
              <w:jc w:val="center"/>
              <w:rPr>
                <w:rFonts w:ascii="Arial" w:hAnsi="Arial" w:cs="Arial"/>
                <w:sz w:val="20"/>
              </w:rPr>
            </w:pPr>
            <w:r>
              <w:rPr>
                <w:rFonts w:ascii="Arial" w:hAnsi="Arial" w:cs="Arial"/>
                <w:sz w:val="20"/>
              </w:rPr>
              <w:t>25</w:t>
            </w:r>
          </w:p>
        </w:tc>
        <w:tc>
          <w:tcPr>
            <w:tcW w:w="1260" w:type="dxa"/>
            <w:vAlign w:val="center"/>
          </w:tcPr>
          <w:p w14:paraId="50E3608F" w14:textId="5DD9530C" w:rsidR="00144CDA" w:rsidRDefault="00144CDA" w:rsidP="00144CDA">
            <w:pPr>
              <w:jc w:val="center"/>
              <w:rPr>
                <w:rFonts w:ascii="Arial" w:hAnsi="Arial" w:cs="Arial"/>
                <w:sz w:val="20"/>
              </w:rPr>
            </w:pPr>
          </w:p>
        </w:tc>
      </w:tr>
      <w:tr w:rsidR="00144CDA" w14:paraId="1A6162C6" w14:textId="77777777" w:rsidTr="00C91D60">
        <w:trPr>
          <w:cantSplit/>
          <w:trHeight w:val="143"/>
        </w:trPr>
        <w:tc>
          <w:tcPr>
            <w:tcW w:w="5037" w:type="dxa"/>
          </w:tcPr>
          <w:p w14:paraId="0DD9FEB2"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Number of utility annual reports reviewed annually.</w:t>
            </w:r>
          </w:p>
        </w:tc>
        <w:tc>
          <w:tcPr>
            <w:tcW w:w="1260" w:type="dxa"/>
            <w:vAlign w:val="center"/>
          </w:tcPr>
          <w:p w14:paraId="7F0CADA1" w14:textId="63EAF273" w:rsidR="00144CDA" w:rsidRDefault="00144CDA" w:rsidP="00144CDA">
            <w:pPr>
              <w:jc w:val="center"/>
              <w:rPr>
                <w:rFonts w:ascii="Arial" w:hAnsi="Arial" w:cs="Arial"/>
                <w:sz w:val="20"/>
              </w:rPr>
            </w:pPr>
            <w:r>
              <w:rPr>
                <w:rFonts w:ascii="Arial" w:hAnsi="Arial" w:cs="Arial"/>
                <w:sz w:val="20"/>
              </w:rPr>
              <w:t>21</w:t>
            </w:r>
          </w:p>
        </w:tc>
        <w:tc>
          <w:tcPr>
            <w:tcW w:w="1260" w:type="dxa"/>
            <w:vAlign w:val="center"/>
          </w:tcPr>
          <w:p w14:paraId="246DF7D2" w14:textId="47641BB7" w:rsidR="00144CDA" w:rsidRDefault="00144CDA" w:rsidP="00144CDA">
            <w:pPr>
              <w:jc w:val="center"/>
              <w:rPr>
                <w:rFonts w:ascii="Arial" w:hAnsi="Arial" w:cs="Arial"/>
                <w:sz w:val="20"/>
              </w:rPr>
            </w:pPr>
            <w:r>
              <w:rPr>
                <w:rFonts w:ascii="Arial" w:hAnsi="Arial" w:cs="Arial"/>
                <w:sz w:val="20"/>
              </w:rPr>
              <w:t>22</w:t>
            </w:r>
          </w:p>
        </w:tc>
        <w:tc>
          <w:tcPr>
            <w:tcW w:w="1263" w:type="dxa"/>
            <w:vAlign w:val="center"/>
          </w:tcPr>
          <w:p w14:paraId="29C8F05B" w14:textId="66881192" w:rsidR="00144CDA" w:rsidRDefault="00144CDA" w:rsidP="00144CDA">
            <w:pPr>
              <w:jc w:val="center"/>
              <w:rPr>
                <w:rFonts w:ascii="Arial" w:hAnsi="Arial" w:cs="Arial"/>
                <w:sz w:val="20"/>
              </w:rPr>
            </w:pPr>
            <w:r>
              <w:rPr>
                <w:rFonts w:ascii="Arial" w:hAnsi="Arial" w:cs="Arial"/>
                <w:sz w:val="20"/>
              </w:rPr>
              <w:t>23</w:t>
            </w:r>
          </w:p>
        </w:tc>
        <w:tc>
          <w:tcPr>
            <w:tcW w:w="1260" w:type="dxa"/>
            <w:vAlign w:val="center"/>
          </w:tcPr>
          <w:p w14:paraId="1CB9AE53" w14:textId="3F24AB96" w:rsidR="00144CDA" w:rsidRDefault="00144CDA" w:rsidP="00144CDA">
            <w:pPr>
              <w:jc w:val="center"/>
              <w:rPr>
                <w:rFonts w:ascii="Arial" w:hAnsi="Arial" w:cs="Arial"/>
                <w:sz w:val="20"/>
              </w:rPr>
            </w:pPr>
          </w:p>
        </w:tc>
      </w:tr>
      <w:bookmarkEnd w:id="0"/>
      <w:tr w:rsidR="00144CDA" w14:paraId="393CFF98" w14:textId="77777777" w:rsidTr="00C91D60">
        <w:trPr>
          <w:cantSplit/>
          <w:trHeight w:val="80"/>
        </w:trPr>
        <w:tc>
          <w:tcPr>
            <w:tcW w:w="5037" w:type="dxa"/>
          </w:tcPr>
          <w:p w14:paraId="2516F762"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Number of formal complaints received by the commission.</w:t>
            </w:r>
          </w:p>
        </w:tc>
        <w:tc>
          <w:tcPr>
            <w:tcW w:w="1260" w:type="dxa"/>
            <w:vAlign w:val="center"/>
          </w:tcPr>
          <w:p w14:paraId="7D1D3FF1" w14:textId="0D1702EE" w:rsidR="00144CDA" w:rsidRDefault="00144CDA" w:rsidP="00144CDA">
            <w:pPr>
              <w:jc w:val="center"/>
              <w:rPr>
                <w:rFonts w:ascii="Arial" w:hAnsi="Arial" w:cs="Arial"/>
                <w:sz w:val="20"/>
              </w:rPr>
            </w:pPr>
            <w:r>
              <w:rPr>
                <w:rFonts w:ascii="Arial" w:hAnsi="Arial" w:cs="Arial"/>
                <w:sz w:val="20"/>
              </w:rPr>
              <w:t>2</w:t>
            </w:r>
          </w:p>
        </w:tc>
        <w:tc>
          <w:tcPr>
            <w:tcW w:w="1260" w:type="dxa"/>
            <w:vAlign w:val="center"/>
          </w:tcPr>
          <w:p w14:paraId="662AFC7B" w14:textId="46D825B9" w:rsidR="00144CDA" w:rsidRDefault="00144CDA" w:rsidP="00144CDA">
            <w:pPr>
              <w:jc w:val="center"/>
              <w:rPr>
                <w:rFonts w:ascii="Arial" w:hAnsi="Arial" w:cs="Arial"/>
                <w:sz w:val="20"/>
              </w:rPr>
            </w:pPr>
            <w:r>
              <w:rPr>
                <w:rFonts w:ascii="Arial" w:hAnsi="Arial" w:cs="Arial"/>
                <w:sz w:val="20"/>
              </w:rPr>
              <w:t>3</w:t>
            </w:r>
          </w:p>
        </w:tc>
        <w:tc>
          <w:tcPr>
            <w:tcW w:w="1263" w:type="dxa"/>
            <w:vAlign w:val="center"/>
          </w:tcPr>
          <w:p w14:paraId="1A24E54F" w14:textId="6D2C0C10" w:rsidR="00144CDA" w:rsidRDefault="00144CDA" w:rsidP="00144CDA">
            <w:pPr>
              <w:jc w:val="center"/>
              <w:rPr>
                <w:rFonts w:ascii="Arial" w:hAnsi="Arial" w:cs="Arial"/>
                <w:sz w:val="20"/>
              </w:rPr>
            </w:pPr>
            <w:r>
              <w:rPr>
                <w:rFonts w:ascii="Arial" w:hAnsi="Arial" w:cs="Arial"/>
                <w:sz w:val="20"/>
              </w:rPr>
              <w:t>1</w:t>
            </w:r>
          </w:p>
        </w:tc>
        <w:tc>
          <w:tcPr>
            <w:tcW w:w="1260" w:type="dxa"/>
            <w:vAlign w:val="center"/>
          </w:tcPr>
          <w:p w14:paraId="147DCD63" w14:textId="5E115E48" w:rsidR="00144CDA" w:rsidRDefault="00144CDA" w:rsidP="00144CDA">
            <w:pPr>
              <w:jc w:val="center"/>
              <w:rPr>
                <w:rFonts w:ascii="Arial" w:hAnsi="Arial" w:cs="Arial"/>
                <w:sz w:val="20"/>
              </w:rPr>
            </w:pPr>
          </w:p>
        </w:tc>
      </w:tr>
      <w:tr w:rsidR="00144CDA" w14:paraId="51FA2960" w14:textId="77777777" w:rsidTr="00C91D60">
        <w:trPr>
          <w:cantSplit/>
          <w:trHeight w:val="70"/>
        </w:trPr>
        <w:tc>
          <w:tcPr>
            <w:tcW w:w="5037" w:type="dxa"/>
          </w:tcPr>
          <w:p w14:paraId="74263FA2"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Number of informal complaints received by the commission.</w:t>
            </w:r>
          </w:p>
        </w:tc>
        <w:tc>
          <w:tcPr>
            <w:tcW w:w="1260" w:type="dxa"/>
            <w:vAlign w:val="center"/>
          </w:tcPr>
          <w:p w14:paraId="7A642CC0" w14:textId="4DD7A431" w:rsidR="00144CDA" w:rsidRDefault="00144CDA" w:rsidP="00144CDA">
            <w:pPr>
              <w:jc w:val="center"/>
              <w:rPr>
                <w:rFonts w:ascii="Arial" w:hAnsi="Arial" w:cs="Arial"/>
                <w:sz w:val="20"/>
              </w:rPr>
            </w:pPr>
            <w:r>
              <w:rPr>
                <w:rFonts w:ascii="Arial" w:hAnsi="Arial" w:cs="Arial"/>
                <w:sz w:val="20"/>
              </w:rPr>
              <w:t>625</w:t>
            </w:r>
          </w:p>
        </w:tc>
        <w:tc>
          <w:tcPr>
            <w:tcW w:w="1260" w:type="dxa"/>
            <w:vAlign w:val="center"/>
          </w:tcPr>
          <w:p w14:paraId="7015A82D" w14:textId="64C2D8AB" w:rsidR="00144CDA" w:rsidRDefault="00144CDA" w:rsidP="00144CDA">
            <w:pPr>
              <w:jc w:val="center"/>
              <w:rPr>
                <w:rFonts w:ascii="Arial" w:hAnsi="Arial" w:cs="Arial"/>
                <w:sz w:val="20"/>
              </w:rPr>
            </w:pPr>
            <w:r>
              <w:rPr>
                <w:rFonts w:ascii="Arial" w:hAnsi="Arial" w:cs="Arial"/>
                <w:sz w:val="20"/>
              </w:rPr>
              <w:t>772</w:t>
            </w:r>
          </w:p>
        </w:tc>
        <w:tc>
          <w:tcPr>
            <w:tcW w:w="1263" w:type="dxa"/>
            <w:vAlign w:val="center"/>
          </w:tcPr>
          <w:p w14:paraId="09E1ABE1" w14:textId="21FF1567" w:rsidR="00144CDA" w:rsidRDefault="00144CDA" w:rsidP="00144CDA">
            <w:pPr>
              <w:jc w:val="center"/>
              <w:rPr>
                <w:rFonts w:ascii="Arial" w:hAnsi="Arial" w:cs="Arial"/>
                <w:sz w:val="20"/>
              </w:rPr>
            </w:pPr>
            <w:r>
              <w:rPr>
                <w:rFonts w:ascii="Arial" w:hAnsi="Arial" w:cs="Arial"/>
                <w:sz w:val="20"/>
              </w:rPr>
              <w:t>657</w:t>
            </w:r>
          </w:p>
        </w:tc>
        <w:tc>
          <w:tcPr>
            <w:tcW w:w="1260" w:type="dxa"/>
            <w:vAlign w:val="center"/>
          </w:tcPr>
          <w:p w14:paraId="318B8F03" w14:textId="03EA645B" w:rsidR="00144CDA" w:rsidRDefault="00144CDA" w:rsidP="00144CDA">
            <w:pPr>
              <w:jc w:val="center"/>
              <w:rPr>
                <w:rFonts w:ascii="Arial" w:hAnsi="Arial" w:cs="Arial"/>
                <w:sz w:val="20"/>
              </w:rPr>
            </w:pPr>
          </w:p>
        </w:tc>
      </w:tr>
      <w:tr w:rsidR="00144CDA" w14:paraId="2874B7FF" w14:textId="77777777" w:rsidTr="00C91D60">
        <w:trPr>
          <w:cantSplit/>
          <w:trHeight w:val="70"/>
        </w:trPr>
        <w:tc>
          <w:tcPr>
            <w:tcW w:w="5037" w:type="dxa"/>
          </w:tcPr>
          <w:p w14:paraId="05122610"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Number of Inquiries received by the commission.</w:t>
            </w:r>
          </w:p>
        </w:tc>
        <w:tc>
          <w:tcPr>
            <w:tcW w:w="1260" w:type="dxa"/>
            <w:vAlign w:val="center"/>
          </w:tcPr>
          <w:p w14:paraId="244AF3A7" w14:textId="51E4DEDE" w:rsidR="00144CDA" w:rsidRDefault="00144CDA" w:rsidP="00144CDA">
            <w:pPr>
              <w:jc w:val="center"/>
              <w:rPr>
                <w:rFonts w:ascii="Arial" w:hAnsi="Arial" w:cs="Arial"/>
                <w:sz w:val="20"/>
              </w:rPr>
            </w:pPr>
            <w:r>
              <w:rPr>
                <w:rFonts w:ascii="Arial" w:hAnsi="Arial" w:cs="Arial"/>
                <w:sz w:val="20"/>
              </w:rPr>
              <w:t>212</w:t>
            </w:r>
          </w:p>
        </w:tc>
        <w:tc>
          <w:tcPr>
            <w:tcW w:w="1260" w:type="dxa"/>
            <w:vAlign w:val="center"/>
          </w:tcPr>
          <w:p w14:paraId="6A721E37" w14:textId="5446CB4E" w:rsidR="00144CDA" w:rsidRDefault="00144CDA" w:rsidP="00144CDA">
            <w:pPr>
              <w:jc w:val="center"/>
              <w:rPr>
                <w:rFonts w:ascii="Arial" w:hAnsi="Arial" w:cs="Arial"/>
                <w:sz w:val="20"/>
              </w:rPr>
            </w:pPr>
            <w:r>
              <w:rPr>
                <w:rFonts w:ascii="Arial" w:hAnsi="Arial" w:cs="Arial"/>
                <w:sz w:val="20"/>
              </w:rPr>
              <w:t>396</w:t>
            </w:r>
          </w:p>
        </w:tc>
        <w:tc>
          <w:tcPr>
            <w:tcW w:w="1263" w:type="dxa"/>
            <w:vAlign w:val="center"/>
          </w:tcPr>
          <w:p w14:paraId="36FE07F0" w14:textId="3AF25550" w:rsidR="00144CDA" w:rsidRDefault="00144CDA" w:rsidP="00144CDA">
            <w:pPr>
              <w:jc w:val="center"/>
              <w:rPr>
                <w:rFonts w:ascii="Arial" w:hAnsi="Arial" w:cs="Arial"/>
                <w:sz w:val="20"/>
              </w:rPr>
            </w:pPr>
            <w:r>
              <w:rPr>
                <w:rFonts w:ascii="Arial" w:hAnsi="Arial" w:cs="Arial"/>
                <w:sz w:val="20"/>
              </w:rPr>
              <w:t>429</w:t>
            </w:r>
          </w:p>
        </w:tc>
        <w:tc>
          <w:tcPr>
            <w:tcW w:w="1260" w:type="dxa"/>
            <w:vAlign w:val="center"/>
          </w:tcPr>
          <w:p w14:paraId="4A834180" w14:textId="2D4A0AA5" w:rsidR="00144CDA" w:rsidRDefault="00144CDA" w:rsidP="00144CDA">
            <w:pPr>
              <w:jc w:val="center"/>
              <w:rPr>
                <w:rFonts w:ascii="Arial" w:hAnsi="Arial" w:cs="Arial"/>
                <w:sz w:val="20"/>
              </w:rPr>
            </w:pPr>
          </w:p>
        </w:tc>
      </w:tr>
      <w:tr w:rsidR="00144CDA" w14:paraId="56EFC433" w14:textId="77777777" w:rsidTr="00C91D60">
        <w:trPr>
          <w:cantSplit/>
          <w:trHeight w:val="170"/>
        </w:trPr>
        <w:tc>
          <w:tcPr>
            <w:tcW w:w="5037" w:type="dxa"/>
          </w:tcPr>
          <w:p w14:paraId="20C38C14"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Average number of days needed to respond to inquiries and resolve complaints.</w:t>
            </w:r>
          </w:p>
        </w:tc>
        <w:tc>
          <w:tcPr>
            <w:tcW w:w="1260" w:type="dxa"/>
            <w:vAlign w:val="center"/>
          </w:tcPr>
          <w:p w14:paraId="08E197F6" w14:textId="7DBFC011" w:rsidR="00144CDA" w:rsidRDefault="00144CDA" w:rsidP="00144CDA">
            <w:pPr>
              <w:jc w:val="center"/>
              <w:rPr>
                <w:rFonts w:ascii="Arial" w:hAnsi="Arial" w:cs="Arial"/>
                <w:sz w:val="20"/>
              </w:rPr>
            </w:pPr>
            <w:r>
              <w:rPr>
                <w:rFonts w:ascii="Arial" w:hAnsi="Arial" w:cs="Arial"/>
                <w:sz w:val="20"/>
              </w:rPr>
              <w:t>6</w:t>
            </w:r>
          </w:p>
        </w:tc>
        <w:tc>
          <w:tcPr>
            <w:tcW w:w="1260" w:type="dxa"/>
            <w:vAlign w:val="center"/>
          </w:tcPr>
          <w:p w14:paraId="518F70CA" w14:textId="40383C7E" w:rsidR="00144CDA" w:rsidRDefault="00144CDA" w:rsidP="00144CDA">
            <w:pPr>
              <w:jc w:val="center"/>
              <w:rPr>
                <w:rFonts w:ascii="Arial" w:hAnsi="Arial" w:cs="Arial"/>
                <w:sz w:val="20"/>
              </w:rPr>
            </w:pPr>
            <w:r>
              <w:rPr>
                <w:rFonts w:ascii="Arial" w:hAnsi="Arial" w:cs="Arial"/>
                <w:sz w:val="20"/>
              </w:rPr>
              <w:t>7</w:t>
            </w:r>
          </w:p>
        </w:tc>
        <w:tc>
          <w:tcPr>
            <w:tcW w:w="1263" w:type="dxa"/>
            <w:vAlign w:val="center"/>
          </w:tcPr>
          <w:p w14:paraId="06E6C69C" w14:textId="48759267" w:rsidR="00144CDA" w:rsidRDefault="00144CDA" w:rsidP="00144CDA">
            <w:pPr>
              <w:jc w:val="center"/>
              <w:rPr>
                <w:rFonts w:ascii="Arial" w:hAnsi="Arial" w:cs="Arial"/>
                <w:sz w:val="20"/>
              </w:rPr>
            </w:pPr>
            <w:r>
              <w:rPr>
                <w:rFonts w:ascii="Arial" w:hAnsi="Arial" w:cs="Arial"/>
                <w:sz w:val="20"/>
              </w:rPr>
              <w:t>7</w:t>
            </w:r>
          </w:p>
        </w:tc>
        <w:tc>
          <w:tcPr>
            <w:tcW w:w="1260" w:type="dxa"/>
            <w:vAlign w:val="center"/>
          </w:tcPr>
          <w:p w14:paraId="5E5DFE40" w14:textId="112791DE" w:rsidR="00144CDA" w:rsidRDefault="00144CDA" w:rsidP="00144CDA">
            <w:pPr>
              <w:jc w:val="center"/>
              <w:rPr>
                <w:rFonts w:ascii="Arial" w:hAnsi="Arial" w:cs="Arial"/>
                <w:sz w:val="20"/>
              </w:rPr>
            </w:pPr>
          </w:p>
        </w:tc>
      </w:tr>
      <w:tr w:rsidR="00144CDA" w14:paraId="05DA30AD" w14:textId="77777777" w:rsidTr="00C91D60">
        <w:trPr>
          <w:cantSplit/>
          <w:trHeight w:val="152"/>
        </w:trPr>
        <w:tc>
          <w:tcPr>
            <w:tcW w:w="5037" w:type="dxa"/>
          </w:tcPr>
          <w:p w14:paraId="4746C865" w14:textId="77777777" w:rsidR="00144CDA" w:rsidRPr="00301D72" w:rsidRDefault="00144CDA" w:rsidP="00144CDA">
            <w:pPr>
              <w:pStyle w:val="ListParagraph"/>
              <w:numPr>
                <w:ilvl w:val="0"/>
                <w:numId w:val="4"/>
              </w:numPr>
              <w:tabs>
                <w:tab w:val="right" w:pos="4464"/>
              </w:tabs>
              <w:ind w:left="342"/>
              <w:rPr>
                <w:rFonts w:ascii="Arial" w:hAnsi="Arial" w:cs="Arial"/>
                <w:sz w:val="20"/>
              </w:rPr>
            </w:pPr>
            <w:r w:rsidRPr="00301D72">
              <w:rPr>
                <w:rFonts w:ascii="Arial" w:hAnsi="Arial" w:cs="Arial"/>
                <w:sz w:val="20"/>
              </w:rPr>
              <w:t>Number inspection units audited per year.</w:t>
            </w:r>
            <w:r w:rsidRPr="00301D72">
              <w:rPr>
                <w:rFonts w:ascii="Arial" w:hAnsi="Arial" w:cs="Arial"/>
                <w:sz w:val="20"/>
              </w:rPr>
              <w:tab/>
            </w:r>
          </w:p>
        </w:tc>
        <w:tc>
          <w:tcPr>
            <w:tcW w:w="1260" w:type="dxa"/>
            <w:vAlign w:val="center"/>
          </w:tcPr>
          <w:p w14:paraId="0182ABCD" w14:textId="617E5115" w:rsidR="00144CDA" w:rsidRDefault="00144CDA" w:rsidP="00144CDA">
            <w:pPr>
              <w:jc w:val="center"/>
              <w:rPr>
                <w:rFonts w:ascii="Arial" w:hAnsi="Arial" w:cs="Arial"/>
                <w:sz w:val="20"/>
              </w:rPr>
            </w:pPr>
            <w:r>
              <w:rPr>
                <w:rFonts w:ascii="Arial" w:hAnsi="Arial" w:cs="Arial"/>
                <w:sz w:val="20"/>
              </w:rPr>
              <w:t>50</w:t>
            </w:r>
          </w:p>
        </w:tc>
        <w:tc>
          <w:tcPr>
            <w:tcW w:w="1260" w:type="dxa"/>
            <w:vAlign w:val="center"/>
          </w:tcPr>
          <w:p w14:paraId="0D059A89" w14:textId="45F98066" w:rsidR="00144CDA" w:rsidRDefault="00144CDA" w:rsidP="00144CDA">
            <w:pPr>
              <w:jc w:val="center"/>
              <w:rPr>
                <w:rFonts w:ascii="Arial" w:hAnsi="Arial" w:cs="Arial"/>
                <w:sz w:val="20"/>
              </w:rPr>
            </w:pPr>
            <w:r>
              <w:rPr>
                <w:rFonts w:ascii="Arial" w:hAnsi="Arial" w:cs="Arial"/>
                <w:sz w:val="20"/>
              </w:rPr>
              <w:t>110</w:t>
            </w:r>
          </w:p>
        </w:tc>
        <w:tc>
          <w:tcPr>
            <w:tcW w:w="1263" w:type="dxa"/>
            <w:vAlign w:val="center"/>
          </w:tcPr>
          <w:p w14:paraId="2B06430D" w14:textId="0FBFA6DE" w:rsidR="00144CDA" w:rsidRDefault="00144CDA" w:rsidP="00144CDA">
            <w:pPr>
              <w:jc w:val="center"/>
              <w:rPr>
                <w:rFonts w:ascii="Arial" w:hAnsi="Arial" w:cs="Arial"/>
                <w:sz w:val="20"/>
              </w:rPr>
            </w:pPr>
            <w:r>
              <w:rPr>
                <w:rFonts w:ascii="Arial" w:hAnsi="Arial" w:cs="Arial"/>
                <w:sz w:val="20"/>
              </w:rPr>
              <w:t>160</w:t>
            </w:r>
          </w:p>
        </w:tc>
        <w:tc>
          <w:tcPr>
            <w:tcW w:w="1260" w:type="dxa"/>
            <w:vAlign w:val="center"/>
          </w:tcPr>
          <w:p w14:paraId="2A47216E" w14:textId="3414BCCF" w:rsidR="00144CDA" w:rsidRDefault="00144CDA" w:rsidP="00144CDA">
            <w:pPr>
              <w:jc w:val="center"/>
              <w:rPr>
                <w:rFonts w:ascii="Arial" w:hAnsi="Arial" w:cs="Arial"/>
                <w:sz w:val="20"/>
              </w:rPr>
            </w:pPr>
          </w:p>
        </w:tc>
      </w:tr>
      <w:tr w:rsidR="00144CDA" w14:paraId="027F57FB" w14:textId="77777777" w:rsidTr="00C91D60">
        <w:trPr>
          <w:cantSplit/>
          <w:trHeight w:val="98"/>
        </w:trPr>
        <w:tc>
          <w:tcPr>
            <w:tcW w:w="5037" w:type="dxa"/>
          </w:tcPr>
          <w:p w14:paraId="1E89FF0E"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Number of inspection days completed.</w:t>
            </w:r>
          </w:p>
        </w:tc>
        <w:tc>
          <w:tcPr>
            <w:tcW w:w="1260" w:type="dxa"/>
            <w:vAlign w:val="center"/>
          </w:tcPr>
          <w:p w14:paraId="2F0A7FA3" w14:textId="46715602" w:rsidR="00144CDA" w:rsidRDefault="00144CDA" w:rsidP="00144CDA">
            <w:pPr>
              <w:jc w:val="center"/>
              <w:rPr>
                <w:rFonts w:ascii="Arial" w:hAnsi="Arial" w:cs="Arial"/>
                <w:sz w:val="20"/>
              </w:rPr>
            </w:pPr>
            <w:r>
              <w:rPr>
                <w:rFonts w:ascii="Arial" w:hAnsi="Arial" w:cs="Arial"/>
                <w:sz w:val="20"/>
              </w:rPr>
              <w:t>403.5</w:t>
            </w:r>
          </w:p>
        </w:tc>
        <w:tc>
          <w:tcPr>
            <w:tcW w:w="1260" w:type="dxa"/>
            <w:vAlign w:val="center"/>
          </w:tcPr>
          <w:p w14:paraId="40CF4D3F" w14:textId="04FD6FE2" w:rsidR="00144CDA" w:rsidRDefault="00144CDA" w:rsidP="00144CDA">
            <w:pPr>
              <w:jc w:val="center"/>
              <w:rPr>
                <w:rFonts w:ascii="Arial" w:hAnsi="Arial" w:cs="Arial"/>
                <w:sz w:val="20"/>
              </w:rPr>
            </w:pPr>
            <w:r>
              <w:rPr>
                <w:rFonts w:ascii="Arial" w:hAnsi="Arial" w:cs="Arial"/>
                <w:sz w:val="20"/>
              </w:rPr>
              <w:t>326.5</w:t>
            </w:r>
          </w:p>
        </w:tc>
        <w:tc>
          <w:tcPr>
            <w:tcW w:w="1263" w:type="dxa"/>
            <w:vAlign w:val="center"/>
          </w:tcPr>
          <w:p w14:paraId="6BD32E7B" w14:textId="09B9ECD3" w:rsidR="00144CDA" w:rsidRDefault="00144CDA" w:rsidP="00144CDA">
            <w:pPr>
              <w:jc w:val="center"/>
              <w:rPr>
                <w:rFonts w:ascii="Arial" w:hAnsi="Arial" w:cs="Arial"/>
                <w:sz w:val="20"/>
              </w:rPr>
            </w:pPr>
            <w:r>
              <w:rPr>
                <w:rFonts w:ascii="Arial" w:hAnsi="Arial" w:cs="Arial"/>
                <w:sz w:val="20"/>
              </w:rPr>
              <w:t>400.5</w:t>
            </w:r>
          </w:p>
        </w:tc>
        <w:tc>
          <w:tcPr>
            <w:tcW w:w="1260" w:type="dxa"/>
            <w:vAlign w:val="center"/>
          </w:tcPr>
          <w:p w14:paraId="1FAB1CDF" w14:textId="52C7D5A9" w:rsidR="00144CDA" w:rsidRDefault="00144CDA" w:rsidP="00144CDA">
            <w:pPr>
              <w:jc w:val="center"/>
              <w:rPr>
                <w:rFonts w:ascii="Arial" w:hAnsi="Arial" w:cs="Arial"/>
                <w:sz w:val="20"/>
              </w:rPr>
            </w:pPr>
          </w:p>
        </w:tc>
      </w:tr>
      <w:tr w:rsidR="00144CDA" w14:paraId="24D32882" w14:textId="77777777" w:rsidTr="00C91D60">
        <w:trPr>
          <w:cantSplit/>
          <w:trHeight w:val="125"/>
        </w:trPr>
        <w:tc>
          <w:tcPr>
            <w:tcW w:w="5037" w:type="dxa"/>
          </w:tcPr>
          <w:p w14:paraId="6A5ED7CD"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Number of rail hazardous material inspections.</w:t>
            </w:r>
          </w:p>
        </w:tc>
        <w:tc>
          <w:tcPr>
            <w:tcW w:w="1260" w:type="dxa"/>
            <w:vAlign w:val="center"/>
          </w:tcPr>
          <w:p w14:paraId="5389C657" w14:textId="3CBF0536" w:rsidR="00144CDA" w:rsidRDefault="00144CDA" w:rsidP="00144CDA">
            <w:pPr>
              <w:jc w:val="center"/>
              <w:rPr>
                <w:rFonts w:ascii="Arial" w:hAnsi="Arial" w:cs="Arial"/>
                <w:sz w:val="20"/>
              </w:rPr>
            </w:pPr>
            <w:r>
              <w:rPr>
                <w:rFonts w:ascii="Arial" w:hAnsi="Arial" w:cs="Arial"/>
                <w:sz w:val="20"/>
              </w:rPr>
              <w:t>216</w:t>
            </w:r>
          </w:p>
        </w:tc>
        <w:tc>
          <w:tcPr>
            <w:tcW w:w="1260" w:type="dxa"/>
            <w:vAlign w:val="center"/>
          </w:tcPr>
          <w:p w14:paraId="678AD38A" w14:textId="0737C90E" w:rsidR="00144CDA" w:rsidRDefault="00144CDA" w:rsidP="00144CDA">
            <w:pPr>
              <w:jc w:val="center"/>
              <w:rPr>
                <w:rFonts w:ascii="Arial" w:hAnsi="Arial" w:cs="Arial"/>
                <w:sz w:val="20"/>
              </w:rPr>
            </w:pPr>
            <w:r>
              <w:rPr>
                <w:rFonts w:ascii="Arial" w:hAnsi="Arial" w:cs="Arial"/>
                <w:sz w:val="20"/>
              </w:rPr>
              <w:t>332</w:t>
            </w:r>
          </w:p>
        </w:tc>
        <w:tc>
          <w:tcPr>
            <w:tcW w:w="1263" w:type="dxa"/>
            <w:vAlign w:val="center"/>
          </w:tcPr>
          <w:p w14:paraId="53E25077" w14:textId="0228C8CD" w:rsidR="00144CDA" w:rsidRDefault="00144CDA" w:rsidP="00144CDA">
            <w:pPr>
              <w:jc w:val="center"/>
              <w:rPr>
                <w:rFonts w:ascii="Arial" w:hAnsi="Arial" w:cs="Arial"/>
                <w:sz w:val="20"/>
              </w:rPr>
            </w:pPr>
            <w:r>
              <w:rPr>
                <w:rFonts w:ascii="Arial" w:hAnsi="Arial" w:cs="Arial"/>
                <w:sz w:val="20"/>
              </w:rPr>
              <w:t>343</w:t>
            </w:r>
          </w:p>
        </w:tc>
        <w:tc>
          <w:tcPr>
            <w:tcW w:w="1260" w:type="dxa"/>
            <w:vAlign w:val="center"/>
          </w:tcPr>
          <w:p w14:paraId="2C35BE52" w14:textId="3A3C2686" w:rsidR="00144CDA" w:rsidRDefault="00144CDA" w:rsidP="00144CDA">
            <w:pPr>
              <w:jc w:val="center"/>
              <w:rPr>
                <w:rFonts w:ascii="Arial" w:hAnsi="Arial" w:cs="Arial"/>
                <w:sz w:val="20"/>
              </w:rPr>
            </w:pPr>
          </w:p>
        </w:tc>
      </w:tr>
      <w:tr w:rsidR="00144CDA" w14:paraId="0CB2A6A8" w14:textId="77777777" w:rsidTr="00C91D60">
        <w:trPr>
          <w:cantSplit/>
          <w:trHeight w:val="70"/>
        </w:trPr>
        <w:tc>
          <w:tcPr>
            <w:tcW w:w="5037" w:type="dxa"/>
          </w:tcPr>
          <w:p w14:paraId="53C5B919" w14:textId="77777777" w:rsidR="00144CDA" w:rsidRPr="00301D72" w:rsidRDefault="00144CDA" w:rsidP="00144CDA">
            <w:pPr>
              <w:pStyle w:val="ListParagraph"/>
              <w:numPr>
                <w:ilvl w:val="0"/>
                <w:numId w:val="4"/>
              </w:numPr>
              <w:ind w:left="342"/>
              <w:rPr>
                <w:rFonts w:ascii="Arial" w:hAnsi="Arial" w:cs="Arial"/>
                <w:sz w:val="20"/>
              </w:rPr>
            </w:pPr>
            <w:r w:rsidRPr="00301D72">
              <w:rPr>
                <w:rFonts w:ascii="Arial" w:hAnsi="Arial" w:cs="Arial"/>
                <w:sz w:val="20"/>
              </w:rPr>
              <w:t>Number of rail abandonment investigations.</w:t>
            </w:r>
          </w:p>
        </w:tc>
        <w:tc>
          <w:tcPr>
            <w:tcW w:w="1260" w:type="dxa"/>
            <w:vAlign w:val="center"/>
          </w:tcPr>
          <w:p w14:paraId="635AE4EC" w14:textId="71AC021D" w:rsidR="00144CDA" w:rsidRDefault="00144CDA" w:rsidP="00144CDA">
            <w:pPr>
              <w:jc w:val="center"/>
              <w:rPr>
                <w:rFonts w:ascii="Arial" w:hAnsi="Arial" w:cs="Arial"/>
                <w:sz w:val="20"/>
              </w:rPr>
            </w:pPr>
            <w:r>
              <w:rPr>
                <w:rFonts w:ascii="Arial" w:hAnsi="Arial" w:cs="Arial"/>
                <w:sz w:val="20"/>
              </w:rPr>
              <w:t>0</w:t>
            </w:r>
          </w:p>
        </w:tc>
        <w:tc>
          <w:tcPr>
            <w:tcW w:w="1260" w:type="dxa"/>
            <w:vAlign w:val="center"/>
          </w:tcPr>
          <w:p w14:paraId="310D20B4" w14:textId="6EDA01BB" w:rsidR="00144CDA" w:rsidRDefault="00144CDA" w:rsidP="00144CDA">
            <w:pPr>
              <w:jc w:val="center"/>
              <w:rPr>
                <w:rFonts w:ascii="Arial" w:hAnsi="Arial" w:cs="Arial"/>
                <w:sz w:val="20"/>
              </w:rPr>
            </w:pPr>
            <w:r>
              <w:rPr>
                <w:rFonts w:ascii="Arial" w:hAnsi="Arial" w:cs="Arial"/>
                <w:sz w:val="20"/>
              </w:rPr>
              <w:t>1</w:t>
            </w:r>
          </w:p>
        </w:tc>
        <w:tc>
          <w:tcPr>
            <w:tcW w:w="1263" w:type="dxa"/>
            <w:vAlign w:val="center"/>
          </w:tcPr>
          <w:p w14:paraId="5FAC739A" w14:textId="3C8142C4" w:rsidR="00144CDA" w:rsidRDefault="00144CDA" w:rsidP="00144CDA">
            <w:pPr>
              <w:jc w:val="center"/>
              <w:rPr>
                <w:rFonts w:ascii="Arial" w:hAnsi="Arial" w:cs="Arial"/>
                <w:sz w:val="20"/>
              </w:rPr>
            </w:pPr>
            <w:r>
              <w:rPr>
                <w:rFonts w:ascii="Arial" w:hAnsi="Arial" w:cs="Arial"/>
                <w:sz w:val="20"/>
              </w:rPr>
              <w:t>0</w:t>
            </w:r>
          </w:p>
        </w:tc>
        <w:tc>
          <w:tcPr>
            <w:tcW w:w="1260" w:type="dxa"/>
            <w:vAlign w:val="center"/>
          </w:tcPr>
          <w:p w14:paraId="75DBCF75" w14:textId="766237E5" w:rsidR="00144CDA" w:rsidRDefault="00144CDA" w:rsidP="00144CDA">
            <w:pPr>
              <w:jc w:val="center"/>
              <w:rPr>
                <w:rFonts w:ascii="Arial" w:hAnsi="Arial" w:cs="Arial"/>
                <w:sz w:val="20"/>
              </w:rPr>
            </w:pPr>
          </w:p>
        </w:tc>
      </w:tr>
    </w:tbl>
    <w:p w14:paraId="3CB024EB" w14:textId="77777777" w:rsidR="00993943" w:rsidRDefault="00993943" w:rsidP="00993943">
      <w:pPr>
        <w:rPr>
          <w:rFonts w:ascii="Arial" w:hAnsi="Arial" w:cs="Arial"/>
        </w:rPr>
      </w:pPr>
    </w:p>
    <w:p w14:paraId="4974E87F" w14:textId="77777777" w:rsidR="008D3986" w:rsidRDefault="008D3986" w:rsidP="00993943">
      <w:pPr>
        <w:rPr>
          <w:rFonts w:ascii="Arial" w:hAnsi="Arial" w:cs="Arial"/>
          <w:b/>
          <w:bCs/>
        </w:rPr>
      </w:pPr>
      <w:bookmarkStart w:id="1" w:name="_Hlk11134680"/>
    </w:p>
    <w:bookmarkEnd w:id="1"/>
    <w:p w14:paraId="3C51C7F3" w14:textId="77777777" w:rsidR="00144CDA" w:rsidRDefault="00144CDA" w:rsidP="0093056D">
      <w:pPr>
        <w:spacing w:after="60"/>
        <w:jc w:val="both"/>
        <w:outlineLvl w:val="0"/>
        <w:rPr>
          <w:rFonts w:ascii="Arial" w:hAnsi="Arial" w:cs="Arial"/>
          <w:b/>
          <w:i/>
          <w:color w:val="000080"/>
          <w:sz w:val="28"/>
          <w:szCs w:val="28"/>
        </w:rPr>
      </w:pPr>
    </w:p>
    <w:p w14:paraId="7DCE0A7E" w14:textId="77777777" w:rsidR="00144CDA" w:rsidRDefault="00144CDA" w:rsidP="0093056D">
      <w:pPr>
        <w:spacing w:after="60"/>
        <w:jc w:val="both"/>
        <w:outlineLvl w:val="0"/>
        <w:rPr>
          <w:rFonts w:ascii="Arial" w:hAnsi="Arial" w:cs="Arial"/>
          <w:b/>
          <w:i/>
          <w:color w:val="000080"/>
          <w:sz w:val="28"/>
          <w:szCs w:val="28"/>
        </w:rPr>
      </w:pPr>
    </w:p>
    <w:p w14:paraId="0D2F2A28" w14:textId="77777777" w:rsidR="00144CDA" w:rsidRDefault="00144CDA" w:rsidP="0093056D">
      <w:pPr>
        <w:spacing w:after="60"/>
        <w:jc w:val="both"/>
        <w:outlineLvl w:val="0"/>
        <w:rPr>
          <w:rFonts w:ascii="Arial" w:hAnsi="Arial" w:cs="Arial"/>
          <w:b/>
          <w:i/>
          <w:color w:val="000080"/>
          <w:sz w:val="28"/>
          <w:szCs w:val="28"/>
        </w:rPr>
      </w:pPr>
    </w:p>
    <w:p w14:paraId="25082B54" w14:textId="64759056" w:rsidR="0093056D" w:rsidRDefault="0093056D" w:rsidP="0093056D">
      <w:pPr>
        <w:spacing w:after="60"/>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4572EB2A" w14:textId="77777777" w:rsidR="00E963F7" w:rsidRDefault="00E963F7" w:rsidP="00993943">
      <w:pPr>
        <w:rPr>
          <w:rFonts w:ascii="Arial" w:hAnsi="Arial" w:cs="Arial"/>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446"/>
        <w:gridCol w:w="716"/>
        <w:gridCol w:w="969"/>
        <w:gridCol w:w="1054"/>
        <w:gridCol w:w="969"/>
        <w:gridCol w:w="969"/>
        <w:gridCol w:w="947"/>
      </w:tblGrid>
      <w:tr w:rsidR="00B74FB1" w14:paraId="33569337" w14:textId="2D2FE778" w:rsidTr="00B74FB1">
        <w:tc>
          <w:tcPr>
            <w:tcW w:w="5162" w:type="dxa"/>
            <w:gridSpan w:val="2"/>
            <w:shd w:val="clear" w:color="auto" w:fill="000080"/>
            <w:vAlign w:val="bottom"/>
          </w:tcPr>
          <w:p w14:paraId="64B48631" w14:textId="77777777" w:rsidR="00B74FB1" w:rsidRDefault="00B74FB1" w:rsidP="00DA1D4D">
            <w:pPr>
              <w:jc w:val="center"/>
              <w:rPr>
                <w:rFonts w:ascii="Arial" w:hAnsi="Arial" w:cs="Arial"/>
                <w:b/>
                <w:bCs/>
                <w:color w:val="FFFFFF"/>
                <w:sz w:val="20"/>
              </w:rPr>
            </w:pPr>
            <w:r>
              <w:rPr>
                <w:rFonts w:ascii="Arial" w:hAnsi="Arial" w:cs="Arial"/>
                <w:b/>
                <w:bCs/>
                <w:color w:val="FFFFFF"/>
                <w:sz w:val="20"/>
              </w:rPr>
              <w:t>Performance Measure</w:t>
            </w:r>
          </w:p>
        </w:tc>
        <w:tc>
          <w:tcPr>
            <w:tcW w:w="969" w:type="dxa"/>
            <w:shd w:val="clear" w:color="auto" w:fill="000080"/>
            <w:vAlign w:val="bottom"/>
          </w:tcPr>
          <w:p w14:paraId="7C8D0121" w14:textId="24DF546A" w:rsidR="00B74FB1" w:rsidRDefault="00144CDA" w:rsidP="00DA1D4D">
            <w:pPr>
              <w:jc w:val="center"/>
              <w:rPr>
                <w:rFonts w:ascii="Arial" w:hAnsi="Arial" w:cs="Arial"/>
                <w:b/>
                <w:bCs/>
                <w:color w:val="FFFFFF"/>
                <w:sz w:val="20"/>
              </w:rPr>
            </w:pPr>
            <w:r>
              <w:rPr>
                <w:rFonts w:ascii="Arial" w:hAnsi="Arial" w:cs="Arial"/>
                <w:b/>
                <w:bCs/>
                <w:color w:val="FFFFFF"/>
                <w:sz w:val="20"/>
              </w:rPr>
              <w:t>FY 2019</w:t>
            </w:r>
          </w:p>
        </w:tc>
        <w:tc>
          <w:tcPr>
            <w:tcW w:w="1054" w:type="dxa"/>
            <w:shd w:val="clear" w:color="auto" w:fill="000080"/>
            <w:vAlign w:val="bottom"/>
          </w:tcPr>
          <w:p w14:paraId="48714E71" w14:textId="66D8E436" w:rsidR="00B74FB1" w:rsidRDefault="00144CDA" w:rsidP="00DA1D4D">
            <w:pPr>
              <w:jc w:val="center"/>
              <w:rPr>
                <w:rFonts w:ascii="Arial" w:hAnsi="Arial" w:cs="Arial"/>
                <w:b/>
                <w:bCs/>
                <w:color w:val="FFFFFF"/>
                <w:sz w:val="20"/>
              </w:rPr>
            </w:pPr>
            <w:r>
              <w:rPr>
                <w:rFonts w:ascii="Arial" w:hAnsi="Arial" w:cs="Arial"/>
                <w:b/>
                <w:bCs/>
                <w:color w:val="FFFFFF"/>
                <w:sz w:val="20"/>
              </w:rPr>
              <w:t>FY 2020</w:t>
            </w:r>
          </w:p>
        </w:tc>
        <w:tc>
          <w:tcPr>
            <w:tcW w:w="969" w:type="dxa"/>
            <w:shd w:val="clear" w:color="auto" w:fill="000080"/>
            <w:vAlign w:val="bottom"/>
          </w:tcPr>
          <w:p w14:paraId="3DDB1DD7" w14:textId="40996E21" w:rsidR="00B74FB1" w:rsidRDefault="00144CDA" w:rsidP="00DA1D4D">
            <w:pPr>
              <w:jc w:val="center"/>
              <w:rPr>
                <w:rFonts w:ascii="Arial" w:hAnsi="Arial" w:cs="Arial"/>
                <w:b/>
                <w:bCs/>
                <w:color w:val="FFFFFF"/>
                <w:sz w:val="20"/>
              </w:rPr>
            </w:pPr>
            <w:r>
              <w:rPr>
                <w:rFonts w:ascii="Arial" w:hAnsi="Arial" w:cs="Arial"/>
                <w:b/>
                <w:bCs/>
                <w:color w:val="FFFFFF"/>
                <w:sz w:val="20"/>
              </w:rPr>
              <w:t>FY 2021</w:t>
            </w:r>
          </w:p>
        </w:tc>
        <w:tc>
          <w:tcPr>
            <w:tcW w:w="969" w:type="dxa"/>
            <w:shd w:val="clear" w:color="auto" w:fill="000080"/>
            <w:vAlign w:val="bottom"/>
          </w:tcPr>
          <w:p w14:paraId="1A14A450" w14:textId="47EDE719" w:rsidR="00B74FB1" w:rsidRDefault="00144CDA" w:rsidP="00DA1D4D">
            <w:pPr>
              <w:jc w:val="center"/>
              <w:rPr>
                <w:rFonts w:ascii="Arial" w:hAnsi="Arial" w:cs="Arial"/>
                <w:b/>
                <w:bCs/>
                <w:color w:val="FFFFFF"/>
                <w:sz w:val="20"/>
              </w:rPr>
            </w:pPr>
            <w:r>
              <w:rPr>
                <w:rFonts w:ascii="Arial" w:hAnsi="Arial" w:cs="Arial"/>
                <w:b/>
                <w:bCs/>
                <w:color w:val="FFFFFF"/>
                <w:sz w:val="20"/>
              </w:rPr>
              <w:t>FY 2022</w:t>
            </w:r>
          </w:p>
        </w:tc>
        <w:tc>
          <w:tcPr>
            <w:tcW w:w="947" w:type="dxa"/>
            <w:shd w:val="clear" w:color="auto" w:fill="000080"/>
          </w:tcPr>
          <w:p w14:paraId="21CFB0DA" w14:textId="16622D01" w:rsidR="00B74FB1" w:rsidRDefault="00144CDA" w:rsidP="00DA1D4D">
            <w:pPr>
              <w:jc w:val="center"/>
              <w:rPr>
                <w:rFonts w:ascii="Arial" w:hAnsi="Arial" w:cs="Arial"/>
                <w:b/>
                <w:bCs/>
                <w:color w:val="FFFFFF"/>
                <w:sz w:val="20"/>
              </w:rPr>
            </w:pPr>
            <w:r>
              <w:rPr>
                <w:rFonts w:ascii="Arial" w:hAnsi="Arial" w:cs="Arial"/>
                <w:b/>
                <w:bCs/>
                <w:color w:val="FFFFFF"/>
                <w:sz w:val="20"/>
              </w:rPr>
              <w:t>FY 2023</w:t>
            </w:r>
          </w:p>
        </w:tc>
      </w:tr>
      <w:tr w:rsidR="00144CDA" w14:paraId="30290546" w14:textId="37C04EE6" w:rsidTr="003558BF">
        <w:trPr>
          <w:trHeight w:val="161"/>
        </w:trPr>
        <w:tc>
          <w:tcPr>
            <w:tcW w:w="4446" w:type="dxa"/>
            <w:vMerge w:val="restart"/>
          </w:tcPr>
          <w:p w14:paraId="40A3CA59" w14:textId="77777777" w:rsidR="00144CDA" w:rsidRPr="00646DA1" w:rsidRDefault="00144CDA" w:rsidP="00144CDA">
            <w:pPr>
              <w:pStyle w:val="ListParagraph"/>
              <w:numPr>
                <w:ilvl w:val="0"/>
                <w:numId w:val="3"/>
              </w:numPr>
              <w:ind w:left="342"/>
              <w:rPr>
                <w:rFonts w:ascii="Arial" w:hAnsi="Arial" w:cs="Arial"/>
                <w:bCs/>
                <w:sz w:val="20"/>
              </w:rPr>
            </w:pPr>
            <w:r>
              <w:rPr>
                <w:rFonts w:ascii="Arial" w:hAnsi="Arial" w:cs="Arial"/>
                <w:b/>
                <w:bCs/>
                <w:sz w:val="20"/>
              </w:rPr>
              <w:t>Percent</w:t>
            </w:r>
            <w:r>
              <w:rPr>
                <w:rFonts w:ascii="Arial" w:hAnsi="Arial" w:cs="Arial"/>
                <w:sz w:val="20"/>
              </w:rPr>
              <w:t xml:space="preserve"> of all cases open for more than one year that were closed in this fiscal year.</w:t>
            </w:r>
          </w:p>
        </w:tc>
        <w:tc>
          <w:tcPr>
            <w:tcW w:w="716" w:type="dxa"/>
            <w:shd w:val="clear" w:color="auto" w:fill="D9D9D9" w:themeFill="background1" w:themeFillShade="D9"/>
            <w:vAlign w:val="center"/>
          </w:tcPr>
          <w:p w14:paraId="66969D42" w14:textId="77777777" w:rsidR="00144CDA" w:rsidRPr="00E51672" w:rsidRDefault="00144CDA" w:rsidP="00144CDA">
            <w:pPr>
              <w:jc w:val="center"/>
              <w:rPr>
                <w:rFonts w:ascii="Arial" w:hAnsi="Arial" w:cs="Arial"/>
                <w:sz w:val="20"/>
              </w:rPr>
            </w:pPr>
            <w:r w:rsidRPr="00E51672">
              <w:rPr>
                <w:rFonts w:ascii="Arial" w:hAnsi="Arial" w:cs="Arial"/>
                <w:sz w:val="20"/>
              </w:rPr>
              <w:t>actual</w:t>
            </w:r>
          </w:p>
        </w:tc>
        <w:tc>
          <w:tcPr>
            <w:tcW w:w="969" w:type="dxa"/>
            <w:shd w:val="clear" w:color="auto" w:fill="D9D9D9" w:themeFill="background1" w:themeFillShade="D9"/>
            <w:vAlign w:val="center"/>
          </w:tcPr>
          <w:p w14:paraId="3B1BE084" w14:textId="4F333C1E" w:rsidR="00144CDA" w:rsidRDefault="00144CDA" w:rsidP="00144CDA">
            <w:pPr>
              <w:jc w:val="center"/>
              <w:rPr>
                <w:rFonts w:ascii="Arial" w:hAnsi="Arial" w:cs="Arial"/>
                <w:sz w:val="20"/>
              </w:rPr>
            </w:pPr>
            <w:r>
              <w:rPr>
                <w:rFonts w:ascii="Arial" w:hAnsi="Arial" w:cs="Arial"/>
                <w:sz w:val="20"/>
              </w:rPr>
              <w:t>25</w:t>
            </w:r>
          </w:p>
        </w:tc>
        <w:tc>
          <w:tcPr>
            <w:tcW w:w="1054" w:type="dxa"/>
            <w:shd w:val="clear" w:color="auto" w:fill="D9D9D9" w:themeFill="background1" w:themeFillShade="D9"/>
            <w:vAlign w:val="center"/>
          </w:tcPr>
          <w:p w14:paraId="3781053D" w14:textId="7B96343F" w:rsidR="00144CDA" w:rsidRPr="00E51672" w:rsidRDefault="00144CDA" w:rsidP="00144CDA">
            <w:pPr>
              <w:jc w:val="center"/>
              <w:rPr>
                <w:rFonts w:ascii="Arial" w:hAnsi="Arial" w:cs="Arial"/>
                <w:sz w:val="20"/>
              </w:rPr>
            </w:pPr>
            <w:r>
              <w:rPr>
                <w:rFonts w:ascii="Arial" w:hAnsi="Arial" w:cs="Arial"/>
                <w:sz w:val="20"/>
              </w:rPr>
              <w:t>23</w:t>
            </w:r>
          </w:p>
        </w:tc>
        <w:tc>
          <w:tcPr>
            <w:tcW w:w="969" w:type="dxa"/>
            <w:shd w:val="clear" w:color="auto" w:fill="D9D9D9" w:themeFill="background1" w:themeFillShade="D9"/>
          </w:tcPr>
          <w:p w14:paraId="6BB2D477" w14:textId="4C5F3D90" w:rsidR="00144CDA" w:rsidRPr="00E51672" w:rsidRDefault="00144CDA" w:rsidP="00144CDA">
            <w:pPr>
              <w:jc w:val="center"/>
              <w:rPr>
                <w:rFonts w:ascii="Arial" w:hAnsi="Arial" w:cs="Arial"/>
                <w:sz w:val="20"/>
              </w:rPr>
            </w:pPr>
            <w:r>
              <w:rPr>
                <w:rFonts w:ascii="Arial" w:hAnsi="Arial" w:cs="Arial"/>
                <w:sz w:val="20"/>
              </w:rPr>
              <w:t>27</w:t>
            </w:r>
          </w:p>
        </w:tc>
        <w:tc>
          <w:tcPr>
            <w:tcW w:w="969" w:type="dxa"/>
            <w:shd w:val="clear" w:color="auto" w:fill="D9D9D9" w:themeFill="background1" w:themeFillShade="D9"/>
          </w:tcPr>
          <w:p w14:paraId="468DDB3B" w14:textId="071B887D" w:rsidR="00144CDA" w:rsidRPr="00E51672" w:rsidRDefault="00144CDA" w:rsidP="00144CDA">
            <w:pPr>
              <w:jc w:val="center"/>
              <w:rPr>
                <w:rFonts w:ascii="Arial" w:hAnsi="Arial" w:cs="Arial"/>
                <w:sz w:val="20"/>
              </w:rPr>
            </w:pPr>
          </w:p>
        </w:tc>
        <w:tc>
          <w:tcPr>
            <w:tcW w:w="947" w:type="dxa"/>
            <w:shd w:val="clear" w:color="auto" w:fill="D9D9D9" w:themeFill="background1" w:themeFillShade="D9"/>
          </w:tcPr>
          <w:p w14:paraId="679F8DC4" w14:textId="77777777" w:rsidR="00144CDA" w:rsidRDefault="00144CDA" w:rsidP="00144CDA">
            <w:pPr>
              <w:jc w:val="center"/>
              <w:rPr>
                <w:rFonts w:ascii="Arial" w:hAnsi="Arial" w:cs="Arial"/>
                <w:sz w:val="20"/>
              </w:rPr>
            </w:pPr>
          </w:p>
        </w:tc>
      </w:tr>
      <w:tr w:rsidR="00144CDA" w14:paraId="35C9FAFD" w14:textId="6F0E8B97" w:rsidTr="003558BF">
        <w:trPr>
          <w:trHeight w:val="288"/>
        </w:trPr>
        <w:tc>
          <w:tcPr>
            <w:tcW w:w="4446" w:type="dxa"/>
            <w:vMerge/>
          </w:tcPr>
          <w:p w14:paraId="30BC2187" w14:textId="77777777" w:rsidR="00144CDA" w:rsidRPr="00646DA1" w:rsidRDefault="00144CDA" w:rsidP="00144CDA">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3C5EFC61" w14:textId="77777777" w:rsidR="00144CDA" w:rsidRPr="00E51672" w:rsidRDefault="00144CDA" w:rsidP="00144CDA">
            <w:pPr>
              <w:jc w:val="center"/>
              <w:rPr>
                <w:rFonts w:ascii="Arial" w:hAnsi="Arial" w:cs="Arial"/>
                <w:i/>
                <w:sz w:val="16"/>
                <w:szCs w:val="16"/>
              </w:rPr>
            </w:pPr>
            <w:r>
              <w:rPr>
                <w:rFonts w:ascii="Arial" w:hAnsi="Arial" w:cs="Arial"/>
                <w:i/>
                <w:sz w:val="16"/>
                <w:szCs w:val="16"/>
              </w:rPr>
              <w:t>target</w:t>
            </w:r>
          </w:p>
        </w:tc>
        <w:tc>
          <w:tcPr>
            <w:tcW w:w="969" w:type="dxa"/>
            <w:shd w:val="clear" w:color="auto" w:fill="FFFFFF" w:themeFill="background1"/>
            <w:vAlign w:val="center"/>
          </w:tcPr>
          <w:p w14:paraId="2304E1E4" w14:textId="7CC98DB5" w:rsidR="00144CDA" w:rsidRPr="00E51672" w:rsidRDefault="00144CDA" w:rsidP="00144CDA">
            <w:pPr>
              <w:jc w:val="center"/>
              <w:rPr>
                <w:rFonts w:ascii="Arial" w:hAnsi="Arial" w:cs="Arial"/>
                <w:i/>
                <w:sz w:val="16"/>
                <w:szCs w:val="16"/>
              </w:rPr>
            </w:pPr>
            <w:r>
              <w:rPr>
                <w:rFonts w:ascii="Arial" w:hAnsi="Arial" w:cs="Arial"/>
                <w:i/>
                <w:sz w:val="16"/>
                <w:szCs w:val="16"/>
              </w:rPr>
              <w:t>20</w:t>
            </w:r>
          </w:p>
        </w:tc>
        <w:tc>
          <w:tcPr>
            <w:tcW w:w="1054" w:type="dxa"/>
            <w:shd w:val="clear" w:color="auto" w:fill="FFFFFF" w:themeFill="background1"/>
            <w:vAlign w:val="center"/>
          </w:tcPr>
          <w:p w14:paraId="0D5ABAB4" w14:textId="5B4E5522" w:rsidR="00144CDA" w:rsidRPr="00E51672" w:rsidRDefault="00144CDA" w:rsidP="00144CDA">
            <w:pPr>
              <w:jc w:val="center"/>
              <w:rPr>
                <w:rFonts w:ascii="Arial" w:hAnsi="Arial" w:cs="Arial"/>
                <w:i/>
                <w:sz w:val="16"/>
                <w:szCs w:val="16"/>
              </w:rPr>
            </w:pPr>
            <w:r>
              <w:rPr>
                <w:rFonts w:ascii="Arial" w:hAnsi="Arial" w:cs="Arial"/>
                <w:i/>
                <w:sz w:val="16"/>
                <w:szCs w:val="16"/>
              </w:rPr>
              <w:t>20</w:t>
            </w:r>
          </w:p>
        </w:tc>
        <w:tc>
          <w:tcPr>
            <w:tcW w:w="969" w:type="dxa"/>
            <w:shd w:val="clear" w:color="auto" w:fill="FFFFFF" w:themeFill="background1"/>
          </w:tcPr>
          <w:p w14:paraId="6CB93AD1" w14:textId="6724E745" w:rsidR="00144CDA" w:rsidRPr="00E51672" w:rsidRDefault="00144CDA" w:rsidP="00144CDA">
            <w:pPr>
              <w:jc w:val="center"/>
              <w:rPr>
                <w:rFonts w:ascii="Arial" w:hAnsi="Arial" w:cs="Arial"/>
                <w:i/>
                <w:sz w:val="16"/>
                <w:szCs w:val="16"/>
              </w:rPr>
            </w:pPr>
            <w:r>
              <w:rPr>
                <w:rFonts w:ascii="Arial" w:hAnsi="Arial" w:cs="Arial"/>
                <w:i/>
                <w:sz w:val="16"/>
                <w:szCs w:val="16"/>
              </w:rPr>
              <w:t>20</w:t>
            </w:r>
          </w:p>
        </w:tc>
        <w:tc>
          <w:tcPr>
            <w:tcW w:w="969" w:type="dxa"/>
            <w:shd w:val="clear" w:color="auto" w:fill="FFFFFF" w:themeFill="background1"/>
          </w:tcPr>
          <w:p w14:paraId="1912634E" w14:textId="0DC92DD1" w:rsidR="00144CDA" w:rsidRPr="00E51672" w:rsidRDefault="00144CDA" w:rsidP="00144CDA">
            <w:pPr>
              <w:jc w:val="center"/>
              <w:rPr>
                <w:rFonts w:ascii="Arial" w:hAnsi="Arial" w:cs="Arial"/>
                <w:i/>
                <w:sz w:val="16"/>
                <w:szCs w:val="16"/>
              </w:rPr>
            </w:pPr>
            <w:r>
              <w:rPr>
                <w:rFonts w:ascii="Arial" w:hAnsi="Arial" w:cs="Arial"/>
                <w:i/>
                <w:sz w:val="16"/>
                <w:szCs w:val="16"/>
              </w:rPr>
              <w:t>20</w:t>
            </w:r>
          </w:p>
        </w:tc>
        <w:tc>
          <w:tcPr>
            <w:tcW w:w="947" w:type="dxa"/>
            <w:shd w:val="clear" w:color="auto" w:fill="FFFFFF" w:themeFill="background1"/>
          </w:tcPr>
          <w:p w14:paraId="1C0E1592" w14:textId="2E950CF4" w:rsidR="00144CDA" w:rsidRDefault="00144CDA" w:rsidP="00144CDA">
            <w:pPr>
              <w:jc w:val="center"/>
              <w:rPr>
                <w:rFonts w:ascii="Arial" w:hAnsi="Arial" w:cs="Arial"/>
                <w:i/>
                <w:sz w:val="16"/>
                <w:szCs w:val="16"/>
              </w:rPr>
            </w:pPr>
          </w:p>
        </w:tc>
      </w:tr>
      <w:tr w:rsidR="00144CDA" w14:paraId="0BBC3627" w14:textId="635E434D" w:rsidTr="003558BF">
        <w:trPr>
          <w:trHeight w:val="288"/>
        </w:trPr>
        <w:tc>
          <w:tcPr>
            <w:tcW w:w="4446" w:type="dxa"/>
            <w:vMerge w:val="restart"/>
          </w:tcPr>
          <w:p w14:paraId="20AE862B" w14:textId="77777777" w:rsidR="00144CDA" w:rsidRPr="00646DA1" w:rsidRDefault="00144CDA" w:rsidP="00144CDA">
            <w:pPr>
              <w:pStyle w:val="ListParagraph"/>
              <w:numPr>
                <w:ilvl w:val="0"/>
                <w:numId w:val="3"/>
              </w:numPr>
              <w:ind w:left="342"/>
              <w:rPr>
                <w:rFonts w:ascii="Arial" w:hAnsi="Arial" w:cs="Arial"/>
                <w:bCs/>
                <w:sz w:val="20"/>
              </w:rPr>
            </w:pPr>
            <w:r>
              <w:rPr>
                <w:rFonts w:ascii="Arial" w:hAnsi="Arial" w:cs="Arial"/>
                <w:bCs/>
                <w:sz w:val="20"/>
              </w:rPr>
              <w:t>Number of comprehensive audits completed this fiscal year.</w:t>
            </w:r>
          </w:p>
        </w:tc>
        <w:tc>
          <w:tcPr>
            <w:tcW w:w="716" w:type="dxa"/>
            <w:shd w:val="clear" w:color="auto" w:fill="D9D9D9" w:themeFill="background1" w:themeFillShade="D9"/>
            <w:vAlign w:val="center"/>
          </w:tcPr>
          <w:p w14:paraId="625DD352" w14:textId="77777777" w:rsidR="00144CDA" w:rsidRPr="00E51672" w:rsidRDefault="00144CDA" w:rsidP="00144CDA">
            <w:pPr>
              <w:jc w:val="center"/>
              <w:rPr>
                <w:rFonts w:ascii="Arial" w:hAnsi="Arial" w:cs="Arial"/>
                <w:sz w:val="20"/>
              </w:rPr>
            </w:pPr>
            <w:r w:rsidRPr="00E51672">
              <w:rPr>
                <w:rFonts w:ascii="Arial" w:hAnsi="Arial" w:cs="Arial"/>
                <w:sz w:val="20"/>
              </w:rPr>
              <w:t>actual</w:t>
            </w:r>
          </w:p>
        </w:tc>
        <w:tc>
          <w:tcPr>
            <w:tcW w:w="969" w:type="dxa"/>
            <w:shd w:val="clear" w:color="auto" w:fill="D9D9D9" w:themeFill="background1" w:themeFillShade="D9"/>
            <w:vAlign w:val="center"/>
          </w:tcPr>
          <w:p w14:paraId="4480D75E" w14:textId="79EF660A" w:rsidR="00144CDA" w:rsidRDefault="00144CDA" w:rsidP="00144CDA">
            <w:pPr>
              <w:jc w:val="center"/>
              <w:rPr>
                <w:rFonts w:ascii="Arial" w:hAnsi="Arial" w:cs="Arial"/>
                <w:sz w:val="20"/>
                <w:highlight w:val="lightGray"/>
              </w:rPr>
            </w:pPr>
            <w:r>
              <w:rPr>
                <w:rFonts w:ascii="Arial" w:hAnsi="Arial" w:cs="Arial"/>
                <w:sz w:val="20"/>
              </w:rPr>
              <w:t>22</w:t>
            </w:r>
          </w:p>
        </w:tc>
        <w:tc>
          <w:tcPr>
            <w:tcW w:w="1054" w:type="dxa"/>
            <w:shd w:val="clear" w:color="auto" w:fill="D9D9D9" w:themeFill="background1" w:themeFillShade="D9"/>
            <w:vAlign w:val="center"/>
          </w:tcPr>
          <w:p w14:paraId="1DD2FE2D" w14:textId="702A99E5" w:rsidR="00144CDA" w:rsidRPr="00E51672" w:rsidRDefault="00144CDA" w:rsidP="00144CDA">
            <w:pPr>
              <w:jc w:val="center"/>
              <w:rPr>
                <w:rFonts w:ascii="Arial" w:hAnsi="Arial" w:cs="Arial"/>
                <w:sz w:val="20"/>
              </w:rPr>
            </w:pPr>
            <w:r>
              <w:rPr>
                <w:rFonts w:ascii="Arial" w:hAnsi="Arial" w:cs="Arial"/>
                <w:sz w:val="20"/>
              </w:rPr>
              <w:t>22</w:t>
            </w:r>
          </w:p>
        </w:tc>
        <w:tc>
          <w:tcPr>
            <w:tcW w:w="969" w:type="dxa"/>
            <w:shd w:val="clear" w:color="auto" w:fill="D9D9D9" w:themeFill="background1" w:themeFillShade="D9"/>
          </w:tcPr>
          <w:p w14:paraId="426DD3B2" w14:textId="2D5EE798" w:rsidR="00144CDA" w:rsidRPr="00E51672" w:rsidRDefault="00144CDA" w:rsidP="00144CDA">
            <w:pPr>
              <w:jc w:val="center"/>
              <w:rPr>
                <w:rFonts w:ascii="Arial" w:hAnsi="Arial" w:cs="Arial"/>
                <w:sz w:val="20"/>
              </w:rPr>
            </w:pPr>
            <w:r>
              <w:rPr>
                <w:rFonts w:ascii="Arial" w:hAnsi="Arial" w:cs="Arial"/>
                <w:sz w:val="20"/>
              </w:rPr>
              <w:t>25</w:t>
            </w:r>
          </w:p>
        </w:tc>
        <w:tc>
          <w:tcPr>
            <w:tcW w:w="969" w:type="dxa"/>
            <w:shd w:val="clear" w:color="auto" w:fill="D9D9D9" w:themeFill="background1" w:themeFillShade="D9"/>
          </w:tcPr>
          <w:p w14:paraId="0A5F3B38" w14:textId="19A3825A" w:rsidR="00144CDA" w:rsidRPr="00E51672" w:rsidRDefault="00144CDA" w:rsidP="00144CDA">
            <w:pPr>
              <w:jc w:val="center"/>
              <w:rPr>
                <w:rFonts w:ascii="Arial" w:hAnsi="Arial" w:cs="Arial"/>
                <w:sz w:val="20"/>
              </w:rPr>
            </w:pPr>
          </w:p>
        </w:tc>
        <w:tc>
          <w:tcPr>
            <w:tcW w:w="947" w:type="dxa"/>
            <w:shd w:val="clear" w:color="auto" w:fill="D9D9D9" w:themeFill="background1" w:themeFillShade="D9"/>
          </w:tcPr>
          <w:p w14:paraId="3248C2D5" w14:textId="77777777" w:rsidR="00144CDA" w:rsidRPr="00E51672" w:rsidRDefault="00144CDA" w:rsidP="00144CDA">
            <w:pPr>
              <w:jc w:val="center"/>
              <w:rPr>
                <w:rFonts w:ascii="Arial" w:hAnsi="Arial" w:cs="Arial"/>
                <w:sz w:val="20"/>
              </w:rPr>
            </w:pPr>
          </w:p>
        </w:tc>
      </w:tr>
      <w:tr w:rsidR="00144CDA" w14:paraId="0684862F" w14:textId="2C672166" w:rsidTr="003558BF">
        <w:trPr>
          <w:trHeight w:val="288"/>
        </w:trPr>
        <w:tc>
          <w:tcPr>
            <w:tcW w:w="4446" w:type="dxa"/>
            <w:vMerge/>
          </w:tcPr>
          <w:p w14:paraId="4E763C3A" w14:textId="77777777" w:rsidR="00144CDA" w:rsidRPr="00646DA1" w:rsidRDefault="00144CDA" w:rsidP="00144CDA">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28F16789" w14:textId="77777777" w:rsidR="00144CDA" w:rsidRPr="00E51672" w:rsidRDefault="00144CDA" w:rsidP="00144CDA">
            <w:pPr>
              <w:jc w:val="center"/>
              <w:rPr>
                <w:rFonts w:ascii="Arial" w:hAnsi="Arial" w:cs="Arial"/>
                <w:i/>
                <w:sz w:val="20"/>
              </w:rPr>
            </w:pPr>
            <w:r>
              <w:rPr>
                <w:rFonts w:ascii="Arial" w:hAnsi="Arial" w:cs="Arial"/>
                <w:i/>
                <w:sz w:val="16"/>
                <w:szCs w:val="16"/>
              </w:rPr>
              <w:t>target</w:t>
            </w:r>
          </w:p>
        </w:tc>
        <w:tc>
          <w:tcPr>
            <w:tcW w:w="969" w:type="dxa"/>
            <w:shd w:val="clear" w:color="auto" w:fill="FFFFFF" w:themeFill="background1"/>
            <w:vAlign w:val="center"/>
          </w:tcPr>
          <w:p w14:paraId="501DC198" w14:textId="2CE7805F" w:rsidR="00144CDA" w:rsidRPr="00E51672" w:rsidRDefault="00144CDA" w:rsidP="00144CDA">
            <w:pPr>
              <w:jc w:val="center"/>
              <w:rPr>
                <w:rFonts w:ascii="Arial" w:hAnsi="Arial" w:cs="Arial"/>
                <w:i/>
                <w:sz w:val="16"/>
                <w:szCs w:val="16"/>
              </w:rPr>
            </w:pPr>
            <w:r>
              <w:rPr>
                <w:rFonts w:ascii="Arial" w:hAnsi="Arial" w:cs="Arial"/>
                <w:i/>
                <w:sz w:val="16"/>
                <w:szCs w:val="16"/>
              </w:rPr>
              <w:t>7</w:t>
            </w:r>
          </w:p>
        </w:tc>
        <w:tc>
          <w:tcPr>
            <w:tcW w:w="1054" w:type="dxa"/>
            <w:shd w:val="clear" w:color="auto" w:fill="FFFFFF" w:themeFill="background1"/>
            <w:vAlign w:val="center"/>
          </w:tcPr>
          <w:p w14:paraId="2098C15B" w14:textId="4834814C" w:rsidR="00144CDA" w:rsidRPr="00E51672" w:rsidRDefault="00144CDA" w:rsidP="00144CDA">
            <w:pPr>
              <w:jc w:val="center"/>
              <w:rPr>
                <w:rFonts w:ascii="Arial" w:hAnsi="Arial" w:cs="Arial"/>
                <w:i/>
                <w:sz w:val="16"/>
                <w:szCs w:val="16"/>
              </w:rPr>
            </w:pPr>
            <w:r>
              <w:rPr>
                <w:rFonts w:ascii="Arial" w:hAnsi="Arial" w:cs="Arial"/>
                <w:i/>
                <w:sz w:val="16"/>
                <w:szCs w:val="16"/>
              </w:rPr>
              <w:t>7</w:t>
            </w:r>
          </w:p>
        </w:tc>
        <w:tc>
          <w:tcPr>
            <w:tcW w:w="969" w:type="dxa"/>
            <w:shd w:val="clear" w:color="auto" w:fill="FFFFFF" w:themeFill="background1"/>
          </w:tcPr>
          <w:p w14:paraId="1F3E916F" w14:textId="215110B6" w:rsidR="00144CDA" w:rsidRPr="00E51672" w:rsidRDefault="00144CDA" w:rsidP="00144CDA">
            <w:pPr>
              <w:jc w:val="center"/>
              <w:rPr>
                <w:rFonts w:ascii="Arial" w:hAnsi="Arial" w:cs="Arial"/>
                <w:i/>
                <w:sz w:val="16"/>
                <w:szCs w:val="16"/>
              </w:rPr>
            </w:pPr>
            <w:r w:rsidRPr="00CC71C1">
              <w:rPr>
                <w:rFonts w:ascii="Arial" w:hAnsi="Arial" w:cs="Arial"/>
                <w:i/>
                <w:sz w:val="16"/>
                <w:szCs w:val="16"/>
              </w:rPr>
              <w:t>7</w:t>
            </w:r>
          </w:p>
        </w:tc>
        <w:tc>
          <w:tcPr>
            <w:tcW w:w="969" w:type="dxa"/>
            <w:shd w:val="clear" w:color="auto" w:fill="FFFFFF" w:themeFill="background1"/>
          </w:tcPr>
          <w:p w14:paraId="3E5E0CD7" w14:textId="3DFAD043" w:rsidR="00144CDA" w:rsidRPr="00E51672" w:rsidRDefault="00144CDA" w:rsidP="00144CDA">
            <w:pPr>
              <w:jc w:val="center"/>
              <w:rPr>
                <w:rFonts w:ascii="Arial" w:hAnsi="Arial" w:cs="Arial"/>
                <w:i/>
                <w:sz w:val="16"/>
                <w:szCs w:val="16"/>
              </w:rPr>
            </w:pPr>
            <w:r w:rsidRPr="00CC71C1">
              <w:rPr>
                <w:rFonts w:ascii="Arial" w:hAnsi="Arial" w:cs="Arial"/>
                <w:i/>
                <w:sz w:val="16"/>
                <w:szCs w:val="16"/>
              </w:rPr>
              <w:t>7</w:t>
            </w:r>
          </w:p>
        </w:tc>
        <w:tc>
          <w:tcPr>
            <w:tcW w:w="947" w:type="dxa"/>
            <w:shd w:val="clear" w:color="auto" w:fill="FFFFFF" w:themeFill="background1"/>
          </w:tcPr>
          <w:p w14:paraId="0B790C7E" w14:textId="4CF0780B" w:rsidR="00144CDA" w:rsidRDefault="00144CDA" w:rsidP="00144CDA">
            <w:pPr>
              <w:jc w:val="center"/>
              <w:rPr>
                <w:rFonts w:ascii="Arial" w:hAnsi="Arial" w:cs="Arial"/>
                <w:i/>
                <w:sz w:val="16"/>
                <w:szCs w:val="16"/>
              </w:rPr>
            </w:pPr>
          </w:p>
        </w:tc>
      </w:tr>
      <w:tr w:rsidR="00144CDA" w14:paraId="6ABFFD50" w14:textId="3DE0E75C" w:rsidTr="003558BF">
        <w:trPr>
          <w:trHeight w:val="305"/>
        </w:trPr>
        <w:tc>
          <w:tcPr>
            <w:tcW w:w="4446" w:type="dxa"/>
            <w:vMerge w:val="restart"/>
          </w:tcPr>
          <w:p w14:paraId="251C6CC7" w14:textId="77777777" w:rsidR="00144CDA" w:rsidRPr="00646DA1" w:rsidRDefault="00144CDA" w:rsidP="00144CDA">
            <w:pPr>
              <w:pStyle w:val="ListParagraph"/>
              <w:numPr>
                <w:ilvl w:val="0"/>
                <w:numId w:val="3"/>
              </w:numPr>
              <w:ind w:left="342"/>
              <w:rPr>
                <w:rFonts w:ascii="Arial" w:hAnsi="Arial" w:cs="Arial"/>
                <w:bCs/>
                <w:sz w:val="20"/>
              </w:rPr>
            </w:pPr>
            <w:r>
              <w:rPr>
                <w:rFonts w:ascii="Arial" w:hAnsi="Arial" w:cs="Arial"/>
                <w:bCs/>
                <w:sz w:val="20"/>
              </w:rPr>
              <w:t>Number of annual reports reviewed this fiscal year</w:t>
            </w:r>
          </w:p>
        </w:tc>
        <w:tc>
          <w:tcPr>
            <w:tcW w:w="716" w:type="dxa"/>
            <w:shd w:val="clear" w:color="auto" w:fill="D9D9D9" w:themeFill="background1" w:themeFillShade="D9"/>
            <w:vAlign w:val="center"/>
          </w:tcPr>
          <w:p w14:paraId="4E85CE82" w14:textId="77777777" w:rsidR="00144CDA" w:rsidRPr="001D59BE" w:rsidRDefault="00144CDA" w:rsidP="00144CDA">
            <w:pPr>
              <w:jc w:val="center"/>
              <w:rPr>
                <w:rFonts w:ascii="Arial" w:hAnsi="Arial" w:cs="Arial"/>
                <w:sz w:val="20"/>
              </w:rPr>
            </w:pPr>
            <w:r w:rsidRPr="001D59BE">
              <w:rPr>
                <w:rFonts w:ascii="Arial" w:hAnsi="Arial" w:cs="Arial"/>
                <w:sz w:val="20"/>
              </w:rPr>
              <w:t>actual</w:t>
            </w:r>
          </w:p>
        </w:tc>
        <w:tc>
          <w:tcPr>
            <w:tcW w:w="969" w:type="dxa"/>
            <w:shd w:val="clear" w:color="auto" w:fill="D9D9D9" w:themeFill="background1" w:themeFillShade="D9"/>
            <w:vAlign w:val="center"/>
          </w:tcPr>
          <w:p w14:paraId="7E501E40" w14:textId="5A147261" w:rsidR="00144CDA" w:rsidRDefault="00144CDA" w:rsidP="00144CDA">
            <w:pPr>
              <w:jc w:val="center"/>
              <w:rPr>
                <w:rFonts w:ascii="Arial" w:hAnsi="Arial" w:cs="Arial"/>
                <w:sz w:val="20"/>
                <w:highlight w:val="lightGray"/>
              </w:rPr>
            </w:pPr>
            <w:r>
              <w:rPr>
                <w:rFonts w:ascii="Arial" w:hAnsi="Arial" w:cs="Arial"/>
                <w:sz w:val="20"/>
              </w:rPr>
              <w:t>21</w:t>
            </w:r>
          </w:p>
        </w:tc>
        <w:tc>
          <w:tcPr>
            <w:tcW w:w="1054" w:type="dxa"/>
            <w:shd w:val="clear" w:color="auto" w:fill="D9D9D9" w:themeFill="background1" w:themeFillShade="D9"/>
            <w:vAlign w:val="center"/>
          </w:tcPr>
          <w:p w14:paraId="62A572F6" w14:textId="5D74DD7C" w:rsidR="00144CDA" w:rsidRPr="001D59BE" w:rsidRDefault="00144CDA" w:rsidP="00144CDA">
            <w:pPr>
              <w:jc w:val="center"/>
              <w:rPr>
                <w:rFonts w:ascii="Arial" w:hAnsi="Arial" w:cs="Arial"/>
                <w:sz w:val="20"/>
              </w:rPr>
            </w:pPr>
            <w:r>
              <w:rPr>
                <w:rFonts w:ascii="Arial" w:hAnsi="Arial" w:cs="Arial"/>
                <w:sz w:val="20"/>
              </w:rPr>
              <w:t>21</w:t>
            </w:r>
          </w:p>
        </w:tc>
        <w:tc>
          <w:tcPr>
            <w:tcW w:w="969" w:type="dxa"/>
            <w:shd w:val="clear" w:color="auto" w:fill="D9D9D9" w:themeFill="background1" w:themeFillShade="D9"/>
          </w:tcPr>
          <w:p w14:paraId="00382EFF" w14:textId="6761CD9D" w:rsidR="00144CDA" w:rsidRPr="001D59BE" w:rsidRDefault="00144CDA" w:rsidP="00144CDA">
            <w:pPr>
              <w:jc w:val="center"/>
              <w:rPr>
                <w:rFonts w:ascii="Arial" w:hAnsi="Arial" w:cs="Arial"/>
                <w:sz w:val="20"/>
              </w:rPr>
            </w:pPr>
            <w:r>
              <w:rPr>
                <w:rFonts w:ascii="Arial" w:hAnsi="Arial" w:cs="Arial"/>
                <w:sz w:val="20"/>
              </w:rPr>
              <w:t>23</w:t>
            </w:r>
          </w:p>
        </w:tc>
        <w:tc>
          <w:tcPr>
            <w:tcW w:w="969" w:type="dxa"/>
            <w:shd w:val="clear" w:color="auto" w:fill="D9D9D9" w:themeFill="background1" w:themeFillShade="D9"/>
          </w:tcPr>
          <w:p w14:paraId="066FA822" w14:textId="34F722D6" w:rsidR="00144CDA" w:rsidRPr="00E51672" w:rsidRDefault="00144CDA" w:rsidP="00144CDA">
            <w:pPr>
              <w:jc w:val="center"/>
              <w:rPr>
                <w:rFonts w:ascii="Arial" w:hAnsi="Arial" w:cs="Arial"/>
                <w:sz w:val="20"/>
              </w:rPr>
            </w:pPr>
          </w:p>
        </w:tc>
        <w:tc>
          <w:tcPr>
            <w:tcW w:w="947" w:type="dxa"/>
            <w:shd w:val="clear" w:color="auto" w:fill="D9D9D9" w:themeFill="background1" w:themeFillShade="D9"/>
          </w:tcPr>
          <w:p w14:paraId="781886FD" w14:textId="77777777" w:rsidR="00144CDA" w:rsidRPr="00E51672" w:rsidRDefault="00144CDA" w:rsidP="00144CDA">
            <w:pPr>
              <w:jc w:val="center"/>
              <w:rPr>
                <w:rFonts w:ascii="Arial" w:hAnsi="Arial" w:cs="Arial"/>
                <w:sz w:val="20"/>
              </w:rPr>
            </w:pPr>
          </w:p>
        </w:tc>
      </w:tr>
      <w:tr w:rsidR="00144CDA" w14:paraId="5736401D" w14:textId="5FFF9E8E" w:rsidTr="003558BF">
        <w:trPr>
          <w:trHeight w:val="288"/>
        </w:trPr>
        <w:tc>
          <w:tcPr>
            <w:tcW w:w="4446" w:type="dxa"/>
            <w:vMerge/>
          </w:tcPr>
          <w:p w14:paraId="6265E70E" w14:textId="77777777" w:rsidR="00144CDA" w:rsidRPr="00646DA1" w:rsidRDefault="00144CDA" w:rsidP="00144CDA">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7A5DECFB" w14:textId="77777777" w:rsidR="00144CDA" w:rsidRPr="00E51672" w:rsidRDefault="00144CDA" w:rsidP="00144CDA">
            <w:pPr>
              <w:jc w:val="center"/>
              <w:rPr>
                <w:rFonts w:ascii="Arial" w:hAnsi="Arial" w:cs="Arial"/>
                <w:i/>
                <w:sz w:val="16"/>
                <w:szCs w:val="16"/>
              </w:rPr>
            </w:pPr>
            <w:r>
              <w:rPr>
                <w:rFonts w:ascii="Arial" w:hAnsi="Arial" w:cs="Arial"/>
                <w:i/>
                <w:sz w:val="16"/>
                <w:szCs w:val="16"/>
              </w:rPr>
              <w:t>target</w:t>
            </w:r>
          </w:p>
        </w:tc>
        <w:tc>
          <w:tcPr>
            <w:tcW w:w="969" w:type="dxa"/>
            <w:shd w:val="clear" w:color="auto" w:fill="FFFFFF" w:themeFill="background1"/>
            <w:vAlign w:val="center"/>
          </w:tcPr>
          <w:p w14:paraId="005964C7" w14:textId="2E19EBA2" w:rsidR="00144CDA" w:rsidRPr="00E51672" w:rsidRDefault="00144CDA" w:rsidP="00144CDA">
            <w:pPr>
              <w:jc w:val="center"/>
              <w:rPr>
                <w:rFonts w:ascii="Arial" w:hAnsi="Arial" w:cs="Arial"/>
                <w:i/>
                <w:sz w:val="16"/>
                <w:szCs w:val="16"/>
              </w:rPr>
            </w:pPr>
            <w:r>
              <w:rPr>
                <w:rFonts w:ascii="Arial" w:hAnsi="Arial" w:cs="Arial"/>
                <w:i/>
                <w:sz w:val="16"/>
                <w:szCs w:val="16"/>
              </w:rPr>
              <w:t>20</w:t>
            </w:r>
          </w:p>
        </w:tc>
        <w:tc>
          <w:tcPr>
            <w:tcW w:w="1054" w:type="dxa"/>
            <w:shd w:val="clear" w:color="auto" w:fill="FFFFFF" w:themeFill="background1"/>
            <w:vAlign w:val="center"/>
          </w:tcPr>
          <w:p w14:paraId="007BE90F" w14:textId="33717966" w:rsidR="00144CDA" w:rsidRPr="00E51672" w:rsidRDefault="00144CDA" w:rsidP="00144CDA">
            <w:pPr>
              <w:jc w:val="center"/>
              <w:rPr>
                <w:rFonts w:ascii="Arial" w:hAnsi="Arial" w:cs="Arial"/>
                <w:i/>
                <w:sz w:val="16"/>
                <w:szCs w:val="16"/>
              </w:rPr>
            </w:pPr>
            <w:r>
              <w:rPr>
                <w:rFonts w:ascii="Arial" w:hAnsi="Arial" w:cs="Arial"/>
                <w:i/>
                <w:sz w:val="16"/>
                <w:szCs w:val="16"/>
              </w:rPr>
              <w:t>20</w:t>
            </w:r>
          </w:p>
        </w:tc>
        <w:tc>
          <w:tcPr>
            <w:tcW w:w="969" w:type="dxa"/>
            <w:shd w:val="clear" w:color="auto" w:fill="FFFFFF" w:themeFill="background1"/>
          </w:tcPr>
          <w:p w14:paraId="2CA891DC" w14:textId="234B05D7" w:rsidR="00144CDA" w:rsidRPr="00E51672" w:rsidRDefault="00144CDA" w:rsidP="00144CDA">
            <w:pPr>
              <w:jc w:val="center"/>
              <w:rPr>
                <w:rFonts w:ascii="Arial" w:hAnsi="Arial" w:cs="Arial"/>
                <w:i/>
                <w:sz w:val="16"/>
                <w:szCs w:val="16"/>
              </w:rPr>
            </w:pPr>
            <w:r w:rsidRPr="00533D81">
              <w:rPr>
                <w:rFonts w:ascii="Arial" w:hAnsi="Arial" w:cs="Arial"/>
                <w:i/>
                <w:sz w:val="16"/>
                <w:szCs w:val="16"/>
              </w:rPr>
              <w:t>20</w:t>
            </w:r>
          </w:p>
        </w:tc>
        <w:tc>
          <w:tcPr>
            <w:tcW w:w="969" w:type="dxa"/>
            <w:shd w:val="clear" w:color="auto" w:fill="FFFFFF" w:themeFill="background1"/>
          </w:tcPr>
          <w:p w14:paraId="59F0699E" w14:textId="102BBD09" w:rsidR="00144CDA" w:rsidRPr="00E51672" w:rsidRDefault="00144CDA" w:rsidP="00144CDA">
            <w:pPr>
              <w:jc w:val="center"/>
              <w:rPr>
                <w:rFonts w:ascii="Arial" w:hAnsi="Arial" w:cs="Arial"/>
                <w:i/>
                <w:sz w:val="16"/>
                <w:szCs w:val="16"/>
              </w:rPr>
            </w:pPr>
            <w:r w:rsidRPr="00533D81">
              <w:rPr>
                <w:rFonts w:ascii="Arial" w:hAnsi="Arial" w:cs="Arial"/>
                <w:i/>
                <w:sz w:val="16"/>
                <w:szCs w:val="16"/>
              </w:rPr>
              <w:t>20</w:t>
            </w:r>
          </w:p>
        </w:tc>
        <w:tc>
          <w:tcPr>
            <w:tcW w:w="947" w:type="dxa"/>
            <w:shd w:val="clear" w:color="auto" w:fill="FFFFFF" w:themeFill="background1"/>
          </w:tcPr>
          <w:p w14:paraId="6C729728" w14:textId="014120C1" w:rsidR="00144CDA" w:rsidRDefault="00144CDA" w:rsidP="00144CDA">
            <w:pPr>
              <w:jc w:val="center"/>
              <w:rPr>
                <w:rFonts w:ascii="Arial" w:hAnsi="Arial" w:cs="Arial"/>
                <w:i/>
                <w:sz w:val="16"/>
                <w:szCs w:val="16"/>
              </w:rPr>
            </w:pPr>
          </w:p>
        </w:tc>
      </w:tr>
      <w:tr w:rsidR="00144CDA" w14:paraId="5C95C084" w14:textId="031DD71D" w:rsidTr="003558BF">
        <w:trPr>
          <w:trHeight w:val="288"/>
        </w:trPr>
        <w:tc>
          <w:tcPr>
            <w:tcW w:w="4446" w:type="dxa"/>
            <w:vMerge w:val="restart"/>
          </w:tcPr>
          <w:p w14:paraId="57467CDD" w14:textId="77777777" w:rsidR="00144CDA" w:rsidRPr="00646DA1" w:rsidRDefault="00144CDA" w:rsidP="00144CDA">
            <w:pPr>
              <w:pStyle w:val="ListParagraph"/>
              <w:numPr>
                <w:ilvl w:val="0"/>
                <w:numId w:val="3"/>
              </w:numPr>
              <w:ind w:left="342"/>
              <w:rPr>
                <w:rFonts w:ascii="Arial" w:hAnsi="Arial" w:cs="Arial"/>
                <w:bCs/>
                <w:sz w:val="20"/>
              </w:rPr>
            </w:pPr>
            <w:r>
              <w:rPr>
                <w:rFonts w:ascii="Arial" w:hAnsi="Arial" w:cs="Arial"/>
                <w:bCs/>
                <w:sz w:val="20"/>
              </w:rPr>
              <w:t>Average number of days needed to respond to inquiries and resolve informal complaints</w:t>
            </w:r>
          </w:p>
        </w:tc>
        <w:tc>
          <w:tcPr>
            <w:tcW w:w="716" w:type="dxa"/>
            <w:shd w:val="clear" w:color="auto" w:fill="D9D9D9" w:themeFill="background1" w:themeFillShade="D9"/>
            <w:vAlign w:val="center"/>
          </w:tcPr>
          <w:p w14:paraId="46310C71" w14:textId="77777777" w:rsidR="00144CDA" w:rsidRPr="001D59BE" w:rsidRDefault="00144CDA" w:rsidP="00144CDA">
            <w:pPr>
              <w:jc w:val="center"/>
              <w:rPr>
                <w:rFonts w:ascii="Arial" w:hAnsi="Arial" w:cs="Arial"/>
                <w:sz w:val="20"/>
              </w:rPr>
            </w:pPr>
            <w:r w:rsidRPr="001D59BE">
              <w:rPr>
                <w:rFonts w:ascii="Arial" w:hAnsi="Arial" w:cs="Arial"/>
                <w:sz w:val="20"/>
              </w:rPr>
              <w:t>actual</w:t>
            </w:r>
          </w:p>
        </w:tc>
        <w:tc>
          <w:tcPr>
            <w:tcW w:w="969" w:type="dxa"/>
            <w:shd w:val="clear" w:color="auto" w:fill="D9D9D9" w:themeFill="background1" w:themeFillShade="D9"/>
            <w:vAlign w:val="center"/>
          </w:tcPr>
          <w:p w14:paraId="62B722F1" w14:textId="78FFB106" w:rsidR="00144CDA" w:rsidRDefault="00144CDA" w:rsidP="00144CDA">
            <w:pPr>
              <w:jc w:val="center"/>
              <w:rPr>
                <w:rFonts w:ascii="Arial" w:hAnsi="Arial" w:cs="Arial"/>
                <w:sz w:val="20"/>
                <w:highlight w:val="lightGray"/>
              </w:rPr>
            </w:pPr>
            <w:r>
              <w:rPr>
                <w:rFonts w:ascii="Arial" w:hAnsi="Arial" w:cs="Arial"/>
                <w:sz w:val="20"/>
              </w:rPr>
              <w:t>5</w:t>
            </w:r>
          </w:p>
        </w:tc>
        <w:tc>
          <w:tcPr>
            <w:tcW w:w="1054" w:type="dxa"/>
            <w:shd w:val="clear" w:color="auto" w:fill="D9D9D9" w:themeFill="background1" w:themeFillShade="D9"/>
            <w:vAlign w:val="center"/>
          </w:tcPr>
          <w:p w14:paraId="26C453DD" w14:textId="04371A36" w:rsidR="00144CDA" w:rsidRPr="001D59BE" w:rsidRDefault="00144CDA" w:rsidP="00144CDA">
            <w:pPr>
              <w:jc w:val="center"/>
              <w:rPr>
                <w:rFonts w:ascii="Arial" w:hAnsi="Arial" w:cs="Arial"/>
                <w:sz w:val="20"/>
              </w:rPr>
            </w:pPr>
            <w:r>
              <w:rPr>
                <w:rFonts w:ascii="Arial" w:hAnsi="Arial" w:cs="Arial"/>
                <w:sz w:val="20"/>
              </w:rPr>
              <w:t>7</w:t>
            </w:r>
          </w:p>
        </w:tc>
        <w:tc>
          <w:tcPr>
            <w:tcW w:w="969" w:type="dxa"/>
            <w:shd w:val="clear" w:color="auto" w:fill="D9D9D9" w:themeFill="background1" w:themeFillShade="D9"/>
          </w:tcPr>
          <w:p w14:paraId="54D216BB" w14:textId="50F533CD" w:rsidR="00144CDA" w:rsidRPr="001D59BE" w:rsidRDefault="00144CDA" w:rsidP="00144CDA">
            <w:pPr>
              <w:jc w:val="center"/>
              <w:rPr>
                <w:rFonts w:ascii="Arial" w:hAnsi="Arial" w:cs="Arial"/>
                <w:sz w:val="20"/>
              </w:rPr>
            </w:pPr>
            <w:r>
              <w:rPr>
                <w:rFonts w:ascii="Arial" w:hAnsi="Arial" w:cs="Arial"/>
                <w:sz w:val="20"/>
              </w:rPr>
              <w:t>7</w:t>
            </w:r>
          </w:p>
        </w:tc>
        <w:tc>
          <w:tcPr>
            <w:tcW w:w="969" w:type="dxa"/>
            <w:shd w:val="clear" w:color="auto" w:fill="D9D9D9" w:themeFill="background1" w:themeFillShade="D9"/>
          </w:tcPr>
          <w:p w14:paraId="1ABEEEC9" w14:textId="46686647" w:rsidR="00144CDA" w:rsidRPr="00E51672" w:rsidRDefault="00144CDA" w:rsidP="00144CDA">
            <w:pPr>
              <w:jc w:val="center"/>
              <w:rPr>
                <w:rFonts w:ascii="Arial" w:hAnsi="Arial" w:cs="Arial"/>
                <w:sz w:val="20"/>
              </w:rPr>
            </w:pPr>
          </w:p>
        </w:tc>
        <w:tc>
          <w:tcPr>
            <w:tcW w:w="947" w:type="dxa"/>
            <w:shd w:val="clear" w:color="auto" w:fill="D9D9D9" w:themeFill="background1" w:themeFillShade="D9"/>
          </w:tcPr>
          <w:p w14:paraId="2AD2377F" w14:textId="77777777" w:rsidR="00144CDA" w:rsidRPr="00E51672" w:rsidRDefault="00144CDA" w:rsidP="00144CDA">
            <w:pPr>
              <w:jc w:val="center"/>
              <w:rPr>
                <w:rFonts w:ascii="Arial" w:hAnsi="Arial" w:cs="Arial"/>
                <w:sz w:val="20"/>
              </w:rPr>
            </w:pPr>
          </w:p>
        </w:tc>
      </w:tr>
      <w:tr w:rsidR="00144CDA" w14:paraId="2F6C5A07" w14:textId="5DA7D350" w:rsidTr="00C92336">
        <w:trPr>
          <w:trHeight w:val="288"/>
        </w:trPr>
        <w:tc>
          <w:tcPr>
            <w:tcW w:w="4446" w:type="dxa"/>
            <w:vMerge/>
          </w:tcPr>
          <w:p w14:paraId="78075E7E" w14:textId="77777777" w:rsidR="00144CDA" w:rsidRPr="00646DA1" w:rsidRDefault="00144CDA" w:rsidP="00144CDA">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4DC1001C" w14:textId="77777777" w:rsidR="00144CDA" w:rsidRDefault="00144CDA" w:rsidP="00144CDA">
            <w:pPr>
              <w:jc w:val="center"/>
              <w:rPr>
                <w:rFonts w:ascii="Arial" w:hAnsi="Arial" w:cs="Arial"/>
                <w:sz w:val="20"/>
              </w:rPr>
            </w:pPr>
            <w:r>
              <w:rPr>
                <w:rFonts w:ascii="Arial" w:hAnsi="Arial" w:cs="Arial"/>
                <w:i/>
                <w:sz w:val="16"/>
                <w:szCs w:val="16"/>
              </w:rPr>
              <w:t>target</w:t>
            </w:r>
          </w:p>
        </w:tc>
        <w:tc>
          <w:tcPr>
            <w:tcW w:w="969" w:type="dxa"/>
            <w:shd w:val="clear" w:color="auto" w:fill="FFFFFF" w:themeFill="background1"/>
            <w:vAlign w:val="center"/>
          </w:tcPr>
          <w:p w14:paraId="002E013A" w14:textId="69D1236D" w:rsidR="00144CDA" w:rsidRPr="00FE0C4E" w:rsidRDefault="00144CDA" w:rsidP="00144CDA">
            <w:pPr>
              <w:jc w:val="center"/>
              <w:rPr>
                <w:rFonts w:ascii="Arial" w:hAnsi="Arial" w:cs="Arial"/>
                <w:i/>
                <w:sz w:val="16"/>
                <w:szCs w:val="16"/>
              </w:rPr>
            </w:pPr>
            <w:r>
              <w:rPr>
                <w:rFonts w:ascii="Arial" w:hAnsi="Arial" w:cs="Arial"/>
                <w:i/>
                <w:sz w:val="16"/>
                <w:szCs w:val="16"/>
              </w:rPr>
              <w:t>5</w:t>
            </w:r>
          </w:p>
        </w:tc>
        <w:tc>
          <w:tcPr>
            <w:tcW w:w="1054" w:type="dxa"/>
            <w:shd w:val="clear" w:color="auto" w:fill="FFFFFF" w:themeFill="background1"/>
            <w:vAlign w:val="center"/>
          </w:tcPr>
          <w:p w14:paraId="7FF1B362" w14:textId="1748F247" w:rsidR="00144CDA" w:rsidRPr="00FE0C4E" w:rsidRDefault="00144CDA" w:rsidP="00144CDA">
            <w:pPr>
              <w:jc w:val="center"/>
              <w:rPr>
                <w:rFonts w:ascii="Arial" w:hAnsi="Arial" w:cs="Arial"/>
                <w:i/>
                <w:sz w:val="16"/>
                <w:szCs w:val="16"/>
              </w:rPr>
            </w:pPr>
            <w:r>
              <w:rPr>
                <w:rFonts w:ascii="Arial" w:hAnsi="Arial" w:cs="Arial"/>
                <w:i/>
                <w:sz w:val="16"/>
                <w:szCs w:val="16"/>
              </w:rPr>
              <w:t>5</w:t>
            </w:r>
          </w:p>
        </w:tc>
        <w:tc>
          <w:tcPr>
            <w:tcW w:w="969" w:type="dxa"/>
            <w:shd w:val="clear" w:color="auto" w:fill="FFFFFF" w:themeFill="background1"/>
            <w:vAlign w:val="center"/>
          </w:tcPr>
          <w:p w14:paraId="767BA1F9" w14:textId="648353ED" w:rsidR="00144CDA" w:rsidRPr="00FE0C4E" w:rsidRDefault="00144CDA" w:rsidP="00144CDA">
            <w:pPr>
              <w:jc w:val="center"/>
              <w:rPr>
                <w:rFonts w:ascii="Arial" w:hAnsi="Arial" w:cs="Arial"/>
                <w:i/>
                <w:sz w:val="16"/>
                <w:szCs w:val="16"/>
              </w:rPr>
            </w:pPr>
            <w:r>
              <w:rPr>
                <w:rFonts w:ascii="Arial" w:hAnsi="Arial" w:cs="Arial"/>
                <w:i/>
                <w:sz w:val="16"/>
                <w:szCs w:val="16"/>
              </w:rPr>
              <w:t>5</w:t>
            </w:r>
          </w:p>
        </w:tc>
        <w:tc>
          <w:tcPr>
            <w:tcW w:w="969" w:type="dxa"/>
            <w:shd w:val="clear" w:color="auto" w:fill="FFFFFF" w:themeFill="background1"/>
            <w:vAlign w:val="center"/>
          </w:tcPr>
          <w:p w14:paraId="0001C0ED" w14:textId="1D37858A" w:rsidR="00144CDA" w:rsidRPr="00FE0C4E" w:rsidRDefault="00144CDA" w:rsidP="00144CDA">
            <w:pPr>
              <w:jc w:val="center"/>
              <w:rPr>
                <w:rFonts w:ascii="Arial" w:hAnsi="Arial" w:cs="Arial"/>
                <w:i/>
                <w:sz w:val="16"/>
                <w:szCs w:val="16"/>
              </w:rPr>
            </w:pPr>
            <w:r>
              <w:rPr>
                <w:rFonts w:ascii="Arial" w:hAnsi="Arial" w:cs="Arial"/>
                <w:i/>
                <w:sz w:val="16"/>
                <w:szCs w:val="16"/>
              </w:rPr>
              <w:t>5</w:t>
            </w:r>
          </w:p>
        </w:tc>
        <w:tc>
          <w:tcPr>
            <w:tcW w:w="947" w:type="dxa"/>
            <w:shd w:val="clear" w:color="auto" w:fill="FFFFFF" w:themeFill="background1"/>
            <w:vAlign w:val="center"/>
          </w:tcPr>
          <w:p w14:paraId="0A627C2F" w14:textId="3CC12BF0" w:rsidR="00144CDA" w:rsidRDefault="00144CDA" w:rsidP="00144CDA">
            <w:pPr>
              <w:jc w:val="center"/>
              <w:rPr>
                <w:rFonts w:ascii="Arial" w:hAnsi="Arial" w:cs="Arial"/>
                <w:i/>
                <w:sz w:val="16"/>
                <w:szCs w:val="16"/>
              </w:rPr>
            </w:pPr>
          </w:p>
        </w:tc>
      </w:tr>
      <w:tr w:rsidR="00144CDA" w14:paraId="216CFB44" w14:textId="7F42BB90" w:rsidTr="003558BF">
        <w:trPr>
          <w:trHeight w:val="288"/>
        </w:trPr>
        <w:tc>
          <w:tcPr>
            <w:tcW w:w="4446" w:type="dxa"/>
            <w:vMerge w:val="restart"/>
          </w:tcPr>
          <w:p w14:paraId="6AC67D2E" w14:textId="00E496A6" w:rsidR="00144CDA" w:rsidRPr="00646DA1" w:rsidRDefault="00144CDA" w:rsidP="00144CDA">
            <w:pPr>
              <w:pStyle w:val="ListParagraph"/>
              <w:numPr>
                <w:ilvl w:val="0"/>
                <w:numId w:val="3"/>
              </w:numPr>
              <w:ind w:left="342"/>
              <w:rPr>
                <w:rFonts w:ascii="Arial" w:hAnsi="Arial" w:cs="Arial"/>
                <w:bCs/>
                <w:sz w:val="20"/>
              </w:rPr>
            </w:pPr>
            <w:r>
              <w:rPr>
                <w:rFonts w:ascii="Arial" w:hAnsi="Arial" w:cs="Arial"/>
                <w:bCs/>
                <w:sz w:val="20"/>
              </w:rPr>
              <w:t>Number of inspection units (districts) audited.</w:t>
            </w:r>
          </w:p>
        </w:tc>
        <w:tc>
          <w:tcPr>
            <w:tcW w:w="716" w:type="dxa"/>
            <w:shd w:val="clear" w:color="auto" w:fill="D9D9D9" w:themeFill="background1" w:themeFillShade="D9"/>
            <w:vAlign w:val="center"/>
          </w:tcPr>
          <w:p w14:paraId="5BBD4838" w14:textId="77777777" w:rsidR="00144CDA" w:rsidRPr="001D59BE" w:rsidRDefault="00144CDA" w:rsidP="00144CDA">
            <w:pPr>
              <w:jc w:val="center"/>
              <w:rPr>
                <w:rFonts w:ascii="Arial" w:hAnsi="Arial" w:cs="Arial"/>
                <w:sz w:val="20"/>
              </w:rPr>
            </w:pPr>
            <w:r w:rsidRPr="001D59BE">
              <w:rPr>
                <w:rFonts w:ascii="Arial" w:hAnsi="Arial" w:cs="Arial"/>
                <w:sz w:val="20"/>
              </w:rPr>
              <w:t>actual</w:t>
            </w:r>
          </w:p>
        </w:tc>
        <w:tc>
          <w:tcPr>
            <w:tcW w:w="969" w:type="dxa"/>
            <w:shd w:val="clear" w:color="auto" w:fill="D9D9D9" w:themeFill="background1" w:themeFillShade="D9"/>
            <w:vAlign w:val="center"/>
          </w:tcPr>
          <w:p w14:paraId="07886596" w14:textId="760ABBD2" w:rsidR="00144CDA" w:rsidRDefault="00144CDA" w:rsidP="00144CDA">
            <w:pPr>
              <w:jc w:val="center"/>
              <w:rPr>
                <w:rFonts w:ascii="Arial" w:hAnsi="Arial" w:cs="Arial"/>
                <w:sz w:val="20"/>
                <w:highlight w:val="lightGray"/>
              </w:rPr>
            </w:pPr>
            <w:r>
              <w:rPr>
                <w:rFonts w:ascii="Arial" w:hAnsi="Arial" w:cs="Arial"/>
                <w:sz w:val="20"/>
              </w:rPr>
              <w:t>52</w:t>
            </w:r>
          </w:p>
        </w:tc>
        <w:tc>
          <w:tcPr>
            <w:tcW w:w="1054" w:type="dxa"/>
            <w:shd w:val="clear" w:color="auto" w:fill="D9D9D9" w:themeFill="background1" w:themeFillShade="D9"/>
            <w:vAlign w:val="center"/>
          </w:tcPr>
          <w:p w14:paraId="16ADEBC9" w14:textId="14D46C71" w:rsidR="00144CDA" w:rsidRPr="001D59BE" w:rsidRDefault="00144CDA" w:rsidP="00144CDA">
            <w:pPr>
              <w:jc w:val="center"/>
              <w:rPr>
                <w:rFonts w:ascii="Arial" w:hAnsi="Arial" w:cs="Arial"/>
                <w:sz w:val="20"/>
              </w:rPr>
            </w:pPr>
            <w:r>
              <w:rPr>
                <w:rFonts w:ascii="Arial" w:hAnsi="Arial" w:cs="Arial"/>
                <w:sz w:val="20"/>
              </w:rPr>
              <w:t>95</w:t>
            </w:r>
          </w:p>
        </w:tc>
        <w:tc>
          <w:tcPr>
            <w:tcW w:w="969" w:type="dxa"/>
            <w:shd w:val="clear" w:color="auto" w:fill="D9D9D9" w:themeFill="background1" w:themeFillShade="D9"/>
          </w:tcPr>
          <w:p w14:paraId="293B2BA7" w14:textId="3450D5FC" w:rsidR="00144CDA" w:rsidRPr="001D59BE" w:rsidRDefault="00144CDA" w:rsidP="00144CDA">
            <w:pPr>
              <w:jc w:val="center"/>
              <w:rPr>
                <w:rFonts w:ascii="Arial" w:hAnsi="Arial" w:cs="Arial"/>
                <w:sz w:val="20"/>
              </w:rPr>
            </w:pPr>
            <w:r>
              <w:rPr>
                <w:rFonts w:ascii="Arial" w:hAnsi="Arial" w:cs="Arial"/>
                <w:sz w:val="20"/>
              </w:rPr>
              <w:t>115</w:t>
            </w:r>
          </w:p>
        </w:tc>
        <w:tc>
          <w:tcPr>
            <w:tcW w:w="969" w:type="dxa"/>
            <w:shd w:val="clear" w:color="auto" w:fill="D9D9D9" w:themeFill="background1" w:themeFillShade="D9"/>
          </w:tcPr>
          <w:p w14:paraId="5E0670E5" w14:textId="6595A618" w:rsidR="00144CDA" w:rsidRPr="00E51672" w:rsidRDefault="00144CDA" w:rsidP="00144CDA">
            <w:pPr>
              <w:jc w:val="center"/>
              <w:rPr>
                <w:rFonts w:ascii="Arial" w:hAnsi="Arial" w:cs="Arial"/>
                <w:sz w:val="20"/>
              </w:rPr>
            </w:pPr>
          </w:p>
        </w:tc>
        <w:tc>
          <w:tcPr>
            <w:tcW w:w="947" w:type="dxa"/>
            <w:shd w:val="clear" w:color="auto" w:fill="D9D9D9" w:themeFill="background1" w:themeFillShade="D9"/>
          </w:tcPr>
          <w:p w14:paraId="3E226EC3" w14:textId="77777777" w:rsidR="00144CDA" w:rsidRPr="00E51672" w:rsidRDefault="00144CDA" w:rsidP="00144CDA">
            <w:pPr>
              <w:jc w:val="center"/>
              <w:rPr>
                <w:rFonts w:ascii="Arial" w:hAnsi="Arial" w:cs="Arial"/>
                <w:sz w:val="20"/>
              </w:rPr>
            </w:pPr>
          </w:p>
        </w:tc>
      </w:tr>
      <w:tr w:rsidR="00144CDA" w14:paraId="5F6930F5" w14:textId="49FFF499" w:rsidTr="00DB243B">
        <w:trPr>
          <w:trHeight w:val="288"/>
        </w:trPr>
        <w:tc>
          <w:tcPr>
            <w:tcW w:w="4446" w:type="dxa"/>
            <w:vMerge/>
          </w:tcPr>
          <w:p w14:paraId="6CF03199" w14:textId="77777777" w:rsidR="00144CDA" w:rsidRPr="00646DA1" w:rsidRDefault="00144CDA" w:rsidP="00144CDA">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55ABA8E0" w14:textId="77777777" w:rsidR="00144CDA" w:rsidRDefault="00144CDA" w:rsidP="00144CDA">
            <w:pPr>
              <w:jc w:val="center"/>
              <w:rPr>
                <w:rFonts w:ascii="Arial" w:hAnsi="Arial" w:cs="Arial"/>
                <w:sz w:val="20"/>
              </w:rPr>
            </w:pPr>
            <w:r>
              <w:rPr>
                <w:rFonts w:ascii="Arial" w:hAnsi="Arial" w:cs="Arial"/>
                <w:i/>
                <w:sz w:val="16"/>
                <w:szCs w:val="16"/>
              </w:rPr>
              <w:t>target</w:t>
            </w:r>
          </w:p>
        </w:tc>
        <w:tc>
          <w:tcPr>
            <w:tcW w:w="969" w:type="dxa"/>
            <w:shd w:val="clear" w:color="auto" w:fill="FFFFFF" w:themeFill="background1"/>
            <w:vAlign w:val="center"/>
          </w:tcPr>
          <w:p w14:paraId="357A819A" w14:textId="1C2E0176" w:rsidR="00144CDA" w:rsidRPr="00FE0C4E" w:rsidRDefault="00144CDA" w:rsidP="00144CDA">
            <w:pPr>
              <w:jc w:val="center"/>
              <w:rPr>
                <w:rFonts w:ascii="Arial" w:hAnsi="Arial" w:cs="Arial"/>
                <w:i/>
                <w:sz w:val="16"/>
                <w:szCs w:val="16"/>
              </w:rPr>
            </w:pPr>
            <w:r>
              <w:rPr>
                <w:rFonts w:ascii="Arial" w:hAnsi="Arial" w:cs="Arial"/>
                <w:i/>
                <w:sz w:val="16"/>
                <w:szCs w:val="16"/>
              </w:rPr>
              <w:t>15</w:t>
            </w:r>
          </w:p>
        </w:tc>
        <w:tc>
          <w:tcPr>
            <w:tcW w:w="1054" w:type="dxa"/>
            <w:shd w:val="clear" w:color="auto" w:fill="FFFFFF" w:themeFill="background1"/>
            <w:vAlign w:val="center"/>
          </w:tcPr>
          <w:p w14:paraId="37CABDD3" w14:textId="2BFAC856" w:rsidR="00144CDA" w:rsidRPr="00FE0C4E" w:rsidRDefault="00144CDA" w:rsidP="00144CDA">
            <w:pPr>
              <w:jc w:val="center"/>
              <w:rPr>
                <w:rFonts w:ascii="Arial" w:hAnsi="Arial" w:cs="Arial"/>
                <w:i/>
                <w:sz w:val="16"/>
                <w:szCs w:val="16"/>
              </w:rPr>
            </w:pPr>
            <w:r>
              <w:rPr>
                <w:rFonts w:ascii="Arial" w:hAnsi="Arial" w:cs="Arial"/>
                <w:i/>
                <w:sz w:val="16"/>
                <w:szCs w:val="16"/>
              </w:rPr>
              <w:t>16</w:t>
            </w:r>
          </w:p>
        </w:tc>
        <w:tc>
          <w:tcPr>
            <w:tcW w:w="969" w:type="dxa"/>
            <w:shd w:val="clear" w:color="auto" w:fill="FFFFFF" w:themeFill="background1"/>
            <w:vAlign w:val="center"/>
          </w:tcPr>
          <w:p w14:paraId="77E10910" w14:textId="4EE4551F" w:rsidR="00144CDA" w:rsidRPr="00FE0C4E" w:rsidRDefault="00144CDA" w:rsidP="00144CDA">
            <w:pPr>
              <w:jc w:val="center"/>
              <w:rPr>
                <w:rFonts w:ascii="Arial" w:hAnsi="Arial" w:cs="Arial"/>
                <w:i/>
                <w:sz w:val="16"/>
                <w:szCs w:val="16"/>
              </w:rPr>
            </w:pPr>
            <w:r>
              <w:rPr>
                <w:rFonts w:ascii="Arial" w:hAnsi="Arial" w:cs="Arial"/>
                <w:i/>
                <w:sz w:val="16"/>
                <w:szCs w:val="16"/>
              </w:rPr>
              <w:t>16</w:t>
            </w:r>
          </w:p>
        </w:tc>
        <w:tc>
          <w:tcPr>
            <w:tcW w:w="969" w:type="dxa"/>
            <w:shd w:val="clear" w:color="auto" w:fill="FFFFFF" w:themeFill="background1"/>
            <w:vAlign w:val="center"/>
          </w:tcPr>
          <w:p w14:paraId="0F259A9C" w14:textId="28A263D9" w:rsidR="00144CDA" w:rsidRPr="00FE0C4E" w:rsidRDefault="00144CDA" w:rsidP="00144CDA">
            <w:pPr>
              <w:jc w:val="center"/>
              <w:rPr>
                <w:rFonts w:ascii="Arial" w:hAnsi="Arial" w:cs="Arial"/>
                <w:i/>
                <w:sz w:val="16"/>
                <w:szCs w:val="16"/>
              </w:rPr>
            </w:pPr>
            <w:r>
              <w:rPr>
                <w:rFonts w:ascii="Arial" w:hAnsi="Arial" w:cs="Arial"/>
                <w:i/>
                <w:sz w:val="16"/>
                <w:szCs w:val="16"/>
              </w:rPr>
              <w:t>17</w:t>
            </w:r>
          </w:p>
        </w:tc>
        <w:tc>
          <w:tcPr>
            <w:tcW w:w="947" w:type="dxa"/>
            <w:shd w:val="clear" w:color="auto" w:fill="FFFFFF" w:themeFill="background1"/>
            <w:vAlign w:val="center"/>
          </w:tcPr>
          <w:p w14:paraId="7B576F8A" w14:textId="198979FA" w:rsidR="00144CDA" w:rsidRDefault="00144CDA" w:rsidP="00144CDA">
            <w:pPr>
              <w:jc w:val="center"/>
              <w:rPr>
                <w:rFonts w:ascii="Arial" w:hAnsi="Arial" w:cs="Arial"/>
                <w:i/>
                <w:sz w:val="16"/>
                <w:szCs w:val="16"/>
              </w:rPr>
            </w:pPr>
          </w:p>
        </w:tc>
      </w:tr>
      <w:tr w:rsidR="00144CDA" w14:paraId="20248106" w14:textId="645EF8CB" w:rsidTr="003558BF">
        <w:trPr>
          <w:trHeight w:val="288"/>
        </w:trPr>
        <w:tc>
          <w:tcPr>
            <w:tcW w:w="4446" w:type="dxa"/>
            <w:vMerge w:val="restart"/>
          </w:tcPr>
          <w:p w14:paraId="61881645" w14:textId="77777777" w:rsidR="00144CDA" w:rsidRPr="00646DA1" w:rsidRDefault="00144CDA" w:rsidP="00144CDA">
            <w:pPr>
              <w:pStyle w:val="ListParagraph"/>
              <w:numPr>
                <w:ilvl w:val="0"/>
                <w:numId w:val="3"/>
              </w:numPr>
              <w:ind w:left="342"/>
              <w:rPr>
                <w:rFonts w:ascii="Arial" w:hAnsi="Arial" w:cs="Arial"/>
                <w:bCs/>
                <w:sz w:val="20"/>
              </w:rPr>
            </w:pPr>
            <w:r>
              <w:rPr>
                <w:rFonts w:ascii="Arial" w:hAnsi="Arial" w:cs="Arial"/>
                <w:bCs/>
                <w:sz w:val="20"/>
              </w:rPr>
              <w:t>Number of inspection days this fiscal year</w:t>
            </w:r>
          </w:p>
        </w:tc>
        <w:tc>
          <w:tcPr>
            <w:tcW w:w="716" w:type="dxa"/>
            <w:shd w:val="clear" w:color="auto" w:fill="D9D9D9" w:themeFill="background1" w:themeFillShade="D9"/>
            <w:vAlign w:val="center"/>
          </w:tcPr>
          <w:p w14:paraId="3CCB4B27" w14:textId="77777777" w:rsidR="00144CDA" w:rsidRPr="001D59BE" w:rsidRDefault="00144CDA" w:rsidP="00144CDA">
            <w:pPr>
              <w:jc w:val="center"/>
              <w:rPr>
                <w:rFonts w:ascii="Arial" w:hAnsi="Arial" w:cs="Arial"/>
                <w:sz w:val="20"/>
              </w:rPr>
            </w:pPr>
            <w:r w:rsidRPr="001D59BE">
              <w:rPr>
                <w:rFonts w:ascii="Arial" w:hAnsi="Arial" w:cs="Arial"/>
                <w:sz w:val="20"/>
              </w:rPr>
              <w:t>actual</w:t>
            </w:r>
          </w:p>
        </w:tc>
        <w:tc>
          <w:tcPr>
            <w:tcW w:w="969" w:type="dxa"/>
            <w:shd w:val="clear" w:color="auto" w:fill="D9D9D9" w:themeFill="background1" w:themeFillShade="D9"/>
            <w:vAlign w:val="center"/>
          </w:tcPr>
          <w:p w14:paraId="5E0EFB32" w14:textId="78DD50A6" w:rsidR="00144CDA" w:rsidRDefault="00144CDA" w:rsidP="00144CDA">
            <w:pPr>
              <w:jc w:val="center"/>
              <w:rPr>
                <w:rFonts w:ascii="Arial" w:hAnsi="Arial" w:cs="Arial"/>
                <w:sz w:val="20"/>
                <w:highlight w:val="lightGray"/>
              </w:rPr>
            </w:pPr>
            <w:r>
              <w:rPr>
                <w:rFonts w:ascii="Arial" w:hAnsi="Arial" w:cs="Arial"/>
                <w:sz w:val="20"/>
              </w:rPr>
              <w:t>403.5</w:t>
            </w:r>
          </w:p>
        </w:tc>
        <w:tc>
          <w:tcPr>
            <w:tcW w:w="1054" w:type="dxa"/>
            <w:shd w:val="clear" w:color="auto" w:fill="D9D9D9" w:themeFill="background1" w:themeFillShade="D9"/>
            <w:vAlign w:val="center"/>
          </w:tcPr>
          <w:p w14:paraId="7FC799CE" w14:textId="5D6BE1D2" w:rsidR="00144CDA" w:rsidRPr="001D59BE" w:rsidRDefault="00144CDA" w:rsidP="00144CDA">
            <w:pPr>
              <w:jc w:val="center"/>
              <w:rPr>
                <w:rFonts w:ascii="Arial" w:hAnsi="Arial" w:cs="Arial"/>
                <w:sz w:val="20"/>
              </w:rPr>
            </w:pPr>
            <w:r>
              <w:rPr>
                <w:rFonts w:ascii="Arial" w:hAnsi="Arial" w:cs="Arial"/>
                <w:sz w:val="20"/>
              </w:rPr>
              <w:t>326.5</w:t>
            </w:r>
          </w:p>
        </w:tc>
        <w:tc>
          <w:tcPr>
            <w:tcW w:w="969" w:type="dxa"/>
            <w:shd w:val="clear" w:color="auto" w:fill="D9D9D9" w:themeFill="background1" w:themeFillShade="D9"/>
          </w:tcPr>
          <w:p w14:paraId="27648293" w14:textId="0EC31653" w:rsidR="00144CDA" w:rsidRPr="001D59BE" w:rsidRDefault="00144CDA" w:rsidP="00144CDA">
            <w:pPr>
              <w:jc w:val="center"/>
              <w:rPr>
                <w:rFonts w:ascii="Arial" w:hAnsi="Arial" w:cs="Arial"/>
                <w:sz w:val="20"/>
              </w:rPr>
            </w:pPr>
            <w:r>
              <w:rPr>
                <w:rFonts w:ascii="Arial" w:hAnsi="Arial" w:cs="Arial"/>
                <w:sz w:val="20"/>
              </w:rPr>
              <w:t>400.5</w:t>
            </w:r>
          </w:p>
        </w:tc>
        <w:tc>
          <w:tcPr>
            <w:tcW w:w="969" w:type="dxa"/>
            <w:shd w:val="clear" w:color="auto" w:fill="D9D9D9" w:themeFill="background1" w:themeFillShade="D9"/>
          </w:tcPr>
          <w:p w14:paraId="55F21C4A" w14:textId="5EF9810B" w:rsidR="00144CDA" w:rsidRPr="00E51672" w:rsidRDefault="00144CDA" w:rsidP="00144CDA">
            <w:pPr>
              <w:jc w:val="center"/>
              <w:rPr>
                <w:rFonts w:ascii="Arial" w:hAnsi="Arial" w:cs="Arial"/>
                <w:sz w:val="20"/>
              </w:rPr>
            </w:pPr>
          </w:p>
        </w:tc>
        <w:tc>
          <w:tcPr>
            <w:tcW w:w="947" w:type="dxa"/>
            <w:shd w:val="clear" w:color="auto" w:fill="D9D9D9" w:themeFill="background1" w:themeFillShade="D9"/>
          </w:tcPr>
          <w:p w14:paraId="2A7B60BC" w14:textId="77777777" w:rsidR="00144CDA" w:rsidRPr="00E51672" w:rsidRDefault="00144CDA" w:rsidP="00144CDA">
            <w:pPr>
              <w:jc w:val="center"/>
              <w:rPr>
                <w:rFonts w:ascii="Arial" w:hAnsi="Arial" w:cs="Arial"/>
                <w:sz w:val="20"/>
              </w:rPr>
            </w:pPr>
          </w:p>
        </w:tc>
      </w:tr>
      <w:tr w:rsidR="00144CDA" w14:paraId="13B77F8F" w14:textId="5A3ACFBB" w:rsidTr="00860723">
        <w:trPr>
          <w:trHeight w:val="288"/>
        </w:trPr>
        <w:tc>
          <w:tcPr>
            <w:tcW w:w="4446" w:type="dxa"/>
            <w:vMerge/>
          </w:tcPr>
          <w:p w14:paraId="337696A7" w14:textId="77777777" w:rsidR="00144CDA" w:rsidRPr="00646DA1" w:rsidRDefault="00144CDA" w:rsidP="00144CDA">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677E457B" w14:textId="77777777" w:rsidR="00144CDA" w:rsidRDefault="00144CDA" w:rsidP="00144CDA">
            <w:pPr>
              <w:jc w:val="center"/>
              <w:rPr>
                <w:rFonts w:ascii="Arial" w:hAnsi="Arial" w:cs="Arial"/>
                <w:sz w:val="20"/>
              </w:rPr>
            </w:pPr>
            <w:r>
              <w:rPr>
                <w:rFonts w:ascii="Arial" w:hAnsi="Arial" w:cs="Arial"/>
                <w:i/>
                <w:sz w:val="16"/>
                <w:szCs w:val="16"/>
              </w:rPr>
              <w:t>target</w:t>
            </w:r>
          </w:p>
        </w:tc>
        <w:tc>
          <w:tcPr>
            <w:tcW w:w="969" w:type="dxa"/>
            <w:shd w:val="clear" w:color="auto" w:fill="FFFFFF" w:themeFill="background1"/>
            <w:vAlign w:val="center"/>
          </w:tcPr>
          <w:p w14:paraId="723C5E17" w14:textId="6D3C2A3E" w:rsidR="00144CDA" w:rsidRPr="0089244D" w:rsidRDefault="00144CDA" w:rsidP="00144CDA">
            <w:pPr>
              <w:jc w:val="center"/>
              <w:rPr>
                <w:rFonts w:ascii="Arial" w:hAnsi="Arial" w:cs="Arial"/>
                <w:i/>
                <w:sz w:val="16"/>
                <w:szCs w:val="16"/>
              </w:rPr>
            </w:pPr>
            <w:r>
              <w:rPr>
                <w:rFonts w:ascii="Arial" w:hAnsi="Arial" w:cs="Arial"/>
                <w:i/>
                <w:sz w:val="16"/>
                <w:szCs w:val="16"/>
              </w:rPr>
              <w:t>325</w:t>
            </w:r>
          </w:p>
        </w:tc>
        <w:tc>
          <w:tcPr>
            <w:tcW w:w="1054" w:type="dxa"/>
            <w:shd w:val="clear" w:color="auto" w:fill="FFFFFF" w:themeFill="background1"/>
            <w:vAlign w:val="center"/>
          </w:tcPr>
          <w:p w14:paraId="10F29377" w14:textId="382D804A" w:rsidR="00144CDA" w:rsidRPr="0089244D" w:rsidRDefault="00144CDA" w:rsidP="00144CDA">
            <w:pPr>
              <w:jc w:val="center"/>
              <w:rPr>
                <w:rFonts w:ascii="Arial" w:hAnsi="Arial" w:cs="Arial"/>
                <w:i/>
                <w:sz w:val="16"/>
                <w:szCs w:val="16"/>
              </w:rPr>
            </w:pPr>
            <w:r>
              <w:rPr>
                <w:rFonts w:ascii="Arial" w:hAnsi="Arial" w:cs="Arial"/>
                <w:i/>
                <w:sz w:val="16"/>
                <w:szCs w:val="16"/>
              </w:rPr>
              <w:t>292</w:t>
            </w:r>
          </w:p>
        </w:tc>
        <w:tc>
          <w:tcPr>
            <w:tcW w:w="969" w:type="dxa"/>
            <w:shd w:val="clear" w:color="auto" w:fill="FFFFFF" w:themeFill="background1"/>
            <w:vAlign w:val="center"/>
          </w:tcPr>
          <w:p w14:paraId="4510007D" w14:textId="449F62C9" w:rsidR="00144CDA" w:rsidRPr="0089244D" w:rsidRDefault="00144CDA" w:rsidP="00144CDA">
            <w:pPr>
              <w:jc w:val="center"/>
              <w:rPr>
                <w:rFonts w:ascii="Arial" w:hAnsi="Arial" w:cs="Arial"/>
                <w:i/>
                <w:sz w:val="16"/>
                <w:szCs w:val="16"/>
              </w:rPr>
            </w:pPr>
            <w:r>
              <w:rPr>
                <w:rFonts w:ascii="Arial" w:hAnsi="Arial" w:cs="Arial"/>
                <w:i/>
                <w:sz w:val="16"/>
                <w:szCs w:val="16"/>
              </w:rPr>
              <w:t>285</w:t>
            </w:r>
          </w:p>
        </w:tc>
        <w:tc>
          <w:tcPr>
            <w:tcW w:w="969" w:type="dxa"/>
            <w:shd w:val="clear" w:color="auto" w:fill="FFFFFF" w:themeFill="background1"/>
            <w:vAlign w:val="center"/>
          </w:tcPr>
          <w:p w14:paraId="11EFA776" w14:textId="319D92EF" w:rsidR="00144CDA" w:rsidRPr="0089244D" w:rsidRDefault="00144CDA" w:rsidP="00144CDA">
            <w:pPr>
              <w:jc w:val="center"/>
              <w:rPr>
                <w:rFonts w:ascii="Arial" w:hAnsi="Arial" w:cs="Arial"/>
                <w:i/>
                <w:sz w:val="16"/>
                <w:szCs w:val="16"/>
              </w:rPr>
            </w:pPr>
            <w:r>
              <w:rPr>
                <w:rFonts w:ascii="Arial" w:hAnsi="Arial" w:cs="Arial"/>
                <w:i/>
                <w:sz w:val="16"/>
                <w:szCs w:val="16"/>
              </w:rPr>
              <w:t>323</w:t>
            </w:r>
          </w:p>
        </w:tc>
        <w:tc>
          <w:tcPr>
            <w:tcW w:w="947" w:type="dxa"/>
            <w:shd w:val="clear" w:color="auto" w:fill="FFFFFF" w:themeFill="background1"/>
            <w:vAlign w:val="center"/>
          </w:tcPr>
          <w:p w14:paraId="1D40250F" w14:textId="429075DE" w:rsidR="00144CDA" w:rsidRDefault="00144CDA" w:rsidP="00144CDA">
            <w:pPr>
              <w:jc w:val="center"/>
              <w:rPr>
                <w:rFonts w:ascii="Arial" w:hAnsi="Arial" w:cs="Arial"/>
                <w:i/>
                <w:sz w:val="16"/>
                <w:szCs w:val="16"/>
              </w:rPr>
            </w:pPr>
          </w:p>
        </w:tc>
      </w:tr>
      <w:tr w:rsidR="00144CDA" w:rsidRPr="00301D72" w14:paraId="2C717609" w14:textId="40DA680C" w:rsidTr="003558BF">
        <w:trPr>
          <w:trHeight w:val="278"/>
        </w:trPr>
        <w:tc>
          <w:tcPr>
            <w:tcW w:w="4446" w:type="dxa"/>
            <w:vMerge w:val="restart"/>
          </w:tcPr>
          <w:p w14:paraId="01A54720" w14:textId="77777777" w:rsidR="00144CDA" w:rsidRPr="00301D72" w:rsidRDefault="00144CDA" w:rsidP="00144CDA">
            <w:pPr>
              <w:pStyle w:val="ListParagraph"/>
              <w:numPr>
                <w:ilvl w:val="0"/>
                <w:numId w:val="3"/>
              </w:numPr>
              <w:tabs>
                <w:tab w:val="left" w:pos="2985"/>
              </w:tabs>
              <w:ind w:left="342"/>
              <w:rPr>
                <w:rFonts w:ascii="Arial" w:hAnsi="Arial" w:cs="Arial"/>
                <w:sz w:val="20"/>
              </w:rPr>
            </w:pPr>
            <w:r w:rsidRPr="00301D72">
              <w:rPr>
                <w:rFonts w:ascii="Arial" w:hAnsi="Arial" w:cs="Arial"/>
                <w:bCs/>
                <w:sz w:val="20"/>
              </w:rPr>
              <w:t>HAZMAT inspections conducted this fiscal year</w:t>
            </w:r>
          </w:p>
        </w:tc>
        <w:tc>
          <w:tcPr>
            <w:tcW w:w="716" w:type="dxa"/>
            <w:shd w:val="clear" w:color="auto" w:fill="D9D9D9" w:themeFill="background1" w:themeFillShade="D9"/>
            <w:vAlign w:val="center"/>
          </w:tcPr>
          <w:p w14:paraId="3CA6569D" w14:textId="77777777" w:rsidR="00144CDA" w:rsidRPr="00301D72" w:rsidRDefault="00144CDA" w:rsidP="00144CDA">
            <w:pPr>
              <w:jc w:val="center"/>
              <w:rPr>
                <w:rFonts w:ascii="Arial" w:hAnsi="Arial" w:cs="Arial"/>
                <w:sz w:val="20"/>
              </w:rPr>
            </w:pPr>
            <w:r w:rsidRPr="00301D72">
              <w:rPr>
                <w:rFonts w:ascii="Arial" w:hAnsi="Arial" w:cs="Arial"/>
                <w:sz w:val="20"/>
              </w:rPr>
              <w:t>actual</w:t>
            </w:r>
          </w:p>
        </w:tc>
        <w:tc>
          <w:tcPr>
            <w:tcW w:w="969" w:type="dxa"/>
            <w:shd w:val="clear" w:color="auto" w:fill="D9D9D9" w:themeFill="background1" w:themeFillShade="D9"/>
            <w:vAlign w:val="center"/>
          </w:tcPr>
          <w:p w14:paraId="5455A385" w14:textId="051AB378" w:rsidR="00144CDA" w:rsidRPr="00301D72" w:rsidRDefault="00144CDA" w:rsidP="00144CDA">
            <w:pPr>
              <w:jc w:val="center"/>
              <w:rPr>
                <w:rFonts w:ascii="Arial" w:hAnsi="Arial" w:cs="Arial"/>
                <w:sz w:val="20"/>
                <w:highlight w:val="lightGray"/>
              </w:rPr>
            </w:pPr>
            <w:r>
              <w:rPr>
                <w:rFonts w:ascii="Arial" w:hAnsi="Arial" w:cs="Arial"/>
                <w:sz w:val="20"/>
              </w:rPr>
              <w:t>216</w:t>
            </w:r>
          </w:p>
        </w:tc>
        <w:tc>
          <w:tcPr>
            <w:tcW w:w="1054" w:type="dxa"/>
            <w:shd w:val="clear" w:color="auto" w:fill="D9D9D9" w:themeFill="background1" w:themeFillShade="D9"/>
            <w:vAlign w:val="center"/>
          </w:tcPr>
          <w:p w14:paraId="746F0C7D" w14:textId="6C63B17F" w:rsidR="00144CDA" w:rsidRPr="00301D72" w:rsidRDefault="00144CDA" w:rsidP="00144CDA">
            <w:pPr>
              <w:jc w:val="center"/>
              <w:rPr>
                <w:rFonts w:ascii="Arial" w:hAnsi="Arial" w:cs="Arial"/>
                <w:sz w:val="20"/>
              </w:rPr>
            </w:pPr>
            <w:r>
              <w:rPr>
                <w:rFonts w:ascii="Arial" w:hAnsi="Arial" w:cs="Arial"/>
                <w:sz w:val="20"/>
              </w:rPr>
              <w:t>332</w:t>
            </w:r>
          </w:p>
        </w:tc>
        <w:tc>
          <w:tcPr>
            <w:tcW w:w="969" w:type="dxa"/>
            <w:shd w:val="clear" w:color="auto" w:fill="D9D9D9" w:themeFill="background1" w:themeFillShade="D9"/>
          </w:tcPr>
          <w:p w14:paraId="633F1C2E" w14:textId="479D4A1A" w:rsidR="00144CDA" w:rsidRPr="00301D72" w:rsidRDefault="00144CDA" w:rsidP="00144CDA">
            <w:pPr>
              <w:jc w:val="center"/>
              <w:rPr>
                <w:rFonts w:ascii="Arial" w:hAnsi="Arial" w:cs="Arial"/>
                <w:sz w:val="20"/>
              </w:rPr>
            </w:pPr>
            <w:r>
              <w:rPr>
                <w:rFonts w:ascii="Arial" w:hAnsi="Arial" w:cs="Arial"/>
                <w:sz w:val="20"/>
              </w:rPr>
              <w:t>343</w:t>
            </w:r>
          </w:p>
        </w:tc>
        <w:tc>
          <w:tcPr>
            <w:tcW w:w="969" w:type="dxa"/>
            <w:shd w:val="clear" w:color="auto" w:fill="D9D9D9" w:themeFill="background1" w:themeFillShade="D9"/>
          </w:tcPr>
          <w:p w14:paraId="07290BD2" w14:textId="714A803F" w:rsidR="00144CDA" w:rsidRPr="00E51672" w:rsidRDefault="00144CDA" w:rsidP="00144CDA">
            <w:pPr>
              <w:jc w:val="center"/>
              <w:rPr>
                <w:rFonts w:ascii="Arial" w:hAnsi="Arial" w:cs="Arial"/>
                <w:sz w:val="20"/>
              </w:rPr>
            </w:pPr>
          </w:p>
        </w:tc>
        <w:tc>
          <w:tcPr>
            <w:tcW w:w="947" w:type="dxa"/>
            <w:shd w:val="clear" w:color="auto" w:fill="D9D9D9" w:themeFill="background1" w:themeFillShade="D9"/>
          </w:tcPr>
          <w:p w14:paraId="15D665A9" w14:textId="77777777" w:rsidR="00144CDA" w:rsidRPr="00E51672" w:rsidRDefault="00144CDA" w:rsidP="00144CDA">
            <w:pPr>
              <w:jc w:val="center"/>
              <w:rPr>
                <w:rFonts w:ascii="Arial" w:hAnsi="Arial" w:cs="Arial"/>
                <w:sz w:val="20"/>
              </w:rPr>
            </w:pPr>
          </w:p>
        </w:tc>
      </w:tr>
      <w:tr w:rsidR="00144CDA" w:rsidRPr="00301D72" w14:paraId="2ED5B466" w14:textId="5D06BAF1" w:rsidTr="00FD7011">
        <w:trPr>
          <w:trHeight w:val="288"/>
        </w:trPr>
        <w:tc>
          <w:tcPr>
            <w:tcW w:w="4446" w:type="dxa"/>
            <w:vMerge/>
          </w:tcPr>
          <w:p w14:paraId="17CA1263" w14:textId="77777777" w:rsidR="00144CDA" w:rsidRPr="00301D72" w:rsidRDefault="00144CDA" w:rsidP="00144CDA">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3E300EA5" w14:textId="77777777" w:rsidR="00144CDA" w:rsidRPr="00301D72" w:rsidRDefault="00144CDA" w:rsidP="00144CDA">
            <w:pPr>
              <w:jc w:val="center"/>
              <w:rPr>
                <w:rFonts w:ascii="Arial" w:hAnsi="Arial" w:cs="Arial"/>
                <w:sz w:val="20"/>
              </w:rPr>
            </w:pPr>
            <w:r w:rsidRPr="00301D72">
              <w:rPr>
                <w:rFonts w:ascii="Arial" w:hAnsi="Arial" w:cs="Arial"/>
                <w:i/>
                <w:sz w:val="16"/>
                <w:szCs w:val="16"/>
              </w:rPr>
              <w:t>target</w:t>
            </w:r>
          </w:p>
        </w:tc>
        <w:tc>
          <w:tcPr>
            <w:tcW w:w="969" w:type="dxa"/>
            <w:shd w:val="clear" w:color="auto" w:fill="FFFFFF" w:themeFill="background1"/>
            <w:vAlign w:val="center"/>
          </w:tcPr>
          <w:p w14:paraId="54AEB000" w14:textId="78308FBF" w:rsidR="00144CDA" w:rsidRPr="00301D72" w:rsidRDefault="00144CDA" w:rsidP="00144CDA">
            <w:pPr>
              <w:jc w:val="center"/>
              <w:rPr>
                <w:rFonts w:ascii="Arial" w:hAnsi="Arial" w:cs="Arial"/>
                <w:i/>
                <w:sz w:val="16"/>
                <w:szCs w:val="16"/>
              </w:rPr>
            </w:pPr>
            <w:r>
              <w:rPr>
                <w:rFonts w:ascii="Arial" w:hAnsi="Arial" w:cs="Arial"/>
                <w:i/>
                <w:sz w:val="16"/>
                <w:szCs w:val="16"/>
              </w:rPr>
              <w:t>100</w:t>
            </w:r>
          </w:p>
        </w:tc>
        <w:tc>
          <w:tcPr>
            <w:tcW w:w="1054" w:type="dxa"/>
            <w:shd w:val="clear" w:color="auto" w:fill="FFFFFF" w:themeFill="background1"/>
            <w:vAlign w:val="center"/>
          </w:tcPr>
          <w:p w14:paraId="4CA2C498" w14:textId="7A079D73" w:rsidR="00144CDA" w:rsidRPr="00301D72" w:rsidRDefault="00144CDA" w:rsidP="00144CDA">
            <w:pPr>
              <w:jc w:val="center"/>
              <w:rPr>
                <w:rFonts w:ascii="Arial" w:hAnsi="Arial" w:cs="Arial"/>
                <w:i/>
                <w:sz w:val="16"/>
                <w:szCs w:val="16"/>
              </w:rPr>
            </w:pPr>
            <w:r>
              <w:rPr>
                <w:rFonts w:ascii="Arial" w:hAnsi="Arial" w:cs="Arial"/>
                <w:i/>
                <w:sz w:val="16"/>
                <w:szCs w:val="16"/>
              </w:rPr>
              <w:t>100</w:t>
            </w:r>
          </w:p>
        </w:tc>
        <w:tc>
          <w:tcPr>
            <w:tcW w:w="969" w:type="dxa"/>
            <w:shd w:val="clear" w:color="auto" w:fill="FFFFFF" w:themeFill="background1"/>
            <w:vAlign w:val="center"/>
          </w:tcPr>
          <w:p w14:paraId="1B5CD7D5" w14:textId="113049C7" w:rsidR="00144CDA" w:rsidRPr="00301D72" w:rsidRDefault="00144CDA" w:rsidP="00144CDA">
            <w:pPr>
              <w:jc w:val="center"/>
              <w:rPr>
                <w:rFonts w:ascii="Arial" w:hAnsi="Arial" w:cs="Arial"/>
                <w:i/>
                <w:sz w:val="16"/>
                <w:szCs w:val="16"/>
              </w:rPr>
            </w:pPr>
            <w:r>
              <w:rPr>
                <w:rFonts w:ascii="Arial" w:hAnsi="Arial" w:cs="Arial"/>
                <w:i/>
                <w:sz w:val="16"/>
                <w:szCs w:val="16"/>
              </w:rPr>
              <w:t>100</w:t>
            </w:r>
          </w:p>
        </w:tc>
        <w:tc>
          <w:tcPr>
            <w:tcW w:w="969" w:type="dxa"/>
            <w:shd w:val="clear" w:color="auto" w:fill="FFFFFF" w:themeFill="background1"/>
            <w:vAlign w:val="center"/>
          </w:tcPr>
          <w:p w14:paraId="53D0CD56" w14:textId="048B1AA8" w:rsidR="00144CDA" w:rsidRPr="00301D72" w:rsidRDefault="00144CDA" w:rsidP="00144CDA">
            <w:pPr>
              <w:jc w:val="center"/>
              <w:rPr>
                <w:rFonts w:ascii="Arial" w:hAnsi="Arial" w:cs="Arial"/>
                <w:i/>
                <w:sz w:val="16"/>
                <w:szCs w:val="16"/>
              </w:rPr>
            </w:pPr>
            <w:r>
              <w:rPr>
                <w:rFonts w:ascii="Arial" w:hAnsi="Arial" w:cs="Arial"/>
                <w:i/>
                <w:sz w:val="16"/>
                <w:szCs w:val="16"/>
              </w:rPr>
              <w:t>100</w:t>
            </w:r>
          </w:p>
        </w:tc>
        <w:tc>
          <w:tcPr>
            <w:tcW w:w="947" w:type="dxa"/>
            <w:shd w:val="clear" w:color="auto" w:fill="FFFFFF" w:themeFill="background1"/>
            <w:vAlign w:val="center"/>
          </w:tcPr>
          <w:p w14:paraId="663E9261" w14:textId="581936C7" w:rsidR="00144CDA" w:rsidRDefault="00144CDA" w:rsidP="00144CDA">
            <w:pPr>
              <w:jc w:val="center"/>
              <w:rPr>
                <w:rFonts w:ascii="Arial" w:hAnsi="Arial" w:cs="Arial"/>
                <w:i/>
                <w:sz w:val="16"/>
                <w:szCs w:val="16"/>
              </w:rPr>
            </w:pPr>
          </w:p>
        </w:tc>
      </w:tr>
      <w:tr w:rsidR="00144CDA" w:rsidRPr="00301D72" w14:paraId="221A7AFF" w14:textId="0982837C" w:rsidTr="003558BF">
        <w:trPr>
          <w:trHeight w:val="288"/>
        </w:trPr>
        <w:tc>
          <w:tcPr>
            <w:tcW w:w="4446" w:type="dxa"/>
            <w:vMerge w:val="restart"/>
          </w:tcPr>
          <w:p w14:paraId="57766998" w14:textId="77777777" w:rsidR="00144CDA" w:rsidRPr="00301D72" w:rsidRDefault="00144CDA" w:rsidP="00144CDA">
            <w:pPr>
              <w:pStyle w:val="ListParagraph"/>
              <w:numPr>
                <w:ilvl w:val="0"/>
                <w:numId w:val="3"/>
              </w:numPr>
              <w:ind w:left="342"/>
              <w:rPr>
                <w:rFonts w:ascii="Arial" w:hAnsi="Arial" w:cs="Arial"/>
                <w:bCs/>
                <w:sz w:val="20"/>
              </w:rPr>
            </w:pPr>
            <w:r w:rsidRPr="00301D72">
              <w:rPr>
                <w:rFonts w:ascii="Arial" w:hAnsi="Arial" w:cs="Arial"/>
                <w:b/>
                <w:sz w:val="20"/>
              </w:rPr>
              <w:t>Percent</w:t>
            </w:r>
            <w:r w:rsidRPr="00301D72">
              <w:rPr>
                <w:rFonts w:ascii="Arial" w:hAnsi="Arial" w:cs="Arial"/>
                <w:sz w:val="20"/>
              </w:rPr>
              <w:t xml:space="preserve"> </w:t>
            </w:r>
            <w:r w:rsidRPr="00301D72">
              <w:rPr>
                <w:rFonts w:ascii="Arial" w:hAnsi="Arial" w:cs="Arial"/>
                <w:bCs/>
                <w:sz w:val="20"/>
              </w:rPr>
              <w:t>of proposed rail abandonments investigated</w:t>
            </w:r>
          </w:p>
        </w:tc>
        <w:tc>
          <w:tcPr>
            <w:tcW w:w="716" w:type="dxa"/>
            <w:shd w:val="clear" w:color="auto" w:fill="D9D9D9" w:themeFill="background1" w:themeFillShade="D9"/>
            <w:vAlign w:val="center"/>
          </w:tcPr>
          <w:p w14:paraId="74BDE36D" w14:textId="77777777" w:rsidR="00144CDA" w:rsidRPr="00301D72" w:rsidRDefault="00144CDA" w:rsidP="00144CDA">
            <w:pPr>
              <w:jc w:val="center"/>
              <w:rPr>
                <w:rFonts w:ascii="Arial" w:hAnsi="Arial" w:cs="Arial"/>
                <w:sz w:val="20"/>
              </w:rPr>
            </w:pPr>
            <w:r w:rsidRPr="00301D72">
              <w:rPr>
                <w:rFonts w:ascii="Arial" w:hAnsi="Arial" w:cs="Arial"/>
                <w:sz w:val="20"/>
              </w:rPr>
              <w:t>actual</w:t>
            </w:r>
          </w:p>
        </w:tc>
        <w:tc>
          <w:tcPr>
            <w:tcW w:w="969" w:type="dxa"/>
            <w:shd w:val="clear" w:color="auto" w:fill="D9D9D9" w:themeFill="background1" w:themeFillShade="D9"/>
            <w:vAlign w:val="center"/>
          </w:tcPr>
          <w:p w14:paraId="33CACC6D" w14:textId="678A5DD2" w:rsidR="00144CDA" w:rsidRPr="00301D72" w:rsidRDefault="00144CDA" w:rsidP="00144CDA">
            <w:pPr>
              <w:jc w:val="center"/>
              <w:rPr>
                <w:rFonts w:ascii="Arial" w:hAnsi="Arial" w:cs="Arial"/>
                <w:sz w:val="20"/>
                <w:highlight w:val="lightGray"/>
              </w:rPr>
            </w:pPr>
            <w:r>
              <w:rPr>
                <w:rFonts w:ascii="Arial" w:hAnsi="Arial" w:cs="Arial"/>
                <w:sz w:val="20"/>
              </w:rPr>
              <w:t>100</w:t>
            </w:r>
          </w:p>
        </w:tc>
        <w:tc>
          <w:tcPr>
            <w:tcW w:w="1054" w:type="dxa"/>
            <w:shd w:val="clear" w:color="auto" w:fill="D9D9D9" w:themeFill="background1" w:themeFillShade="D9"/>
            <w:vAlign w:val="center"/>
          </w:tcPr>
          <w:p w14:paraId="061146F2" w14:textId="423E235F" w:rsidR="00144CDA" w:rsidRPr="00301D72" w:rsidRDefault="00144CDA" w:rsidP="00144CDA">
            <w:pPr>
              <w:jc w:val="center"/>
              <w:rPr>
                <w:rFonts w:ascii="Arial" w:hAnsi="Arial" w:cs="Arial"/>
                <w:sz w:val="20"/>
              </w:rPr>
            </w:pPr>
            <w:r>
              <w:rPr>
                <w:rFonts w:ascii="Arial" w:hAnsi="Arial" w:cs="Arial"/>
                <w:sz w:val="20"/>
              </w:rPr>
              <w:t>100</w:t>
            </w:r>
          </w:p>
        </w:tc>
        <w:tc>
          <w:tcPr>
            <w:tcW w:w="969" w:type="dxa"/>
            <w:shd w:val="clear" w:color="auto" w:fill="D9D9D9" w:themeFill="background1" w:themeFillShade="D9"/>
          </w:tcPr>
          <w:p w14:paraId="5FDB611E" w14:textId="64DFC46F" w:rsidR="00144CDA" w:rsidRPr="00301D72" w:rsidRDefault="00144CDA" w:rsidP="00144CDA">
            <w:pPr>
              <w:jc w:val="center"/>
              <w:rPr>
                <w:rFonts w:ascii="Arial" w:hAnsi="Arial" w:cs="Arial"/>
                <w:sz w:val="20"/>
              </w:rPr>
            </w:pPr>
            <w:r>
              <w:rPr>
                <w:rFonts w:ascii="Arial" w:hAnsi="Arial" w:cs="Arial"/>
                <w:sz w:val="20"/>
              </w:rPr>
              <w:t>100</w:t>
            </w:r>
          </w:p>
        </w:tc>
        <w:tc>
          <w:tcPr>
            <w:tcW w:w="969" w:type="dxa"/>
            <w:shd w:val="clear" w:color="auto" w:fill="D9D9D9" w:themeFill="background1" w:themeFillShade="D9"/>
          </w:tcPr>
          <w:p w14:paraId="7E29A65E" w14:textId="75CDF560" w:rsidR="00144CDA" w:rsidRPr="00E51672" w:rsidRDefault="00144CDA" w:rsidP="00144CDA">
            <w:pPr>
              <w:jc w:val="center"/>
              <w:rPr>
                <w:rFonts w:ascii="Arial" w:hAnsi="Arial" w:cs="Arial"/>
                <w:sz w:val="20"/>
              </w:rPr>
            </w:pPr>
          </w:p>
        </w:tc>
        <w:tc>
          <w:tcPr>
            <w:tcW w:w="947" w:type="dxa"/>
            <w:shd w:val="clear" w:color="auto" w:fill="D9D9D9" w:themeFill="background1" w:themeFillShade="D9"/>
          </w:tcPr>
          <w:p w14:paraId="6EFAE344" w14:textId="77777777" w:rsidR="00144CDA" w:rsidRPr="00E51672" w:rsidRDefault="00144CDA" w:rsidP="00144CDA">
            <w:pPr>
              <w:jc w:val="center"/>
              <w:rPr>
                <w:rFonts w:ascii="Arial" w:hAnsi="Arial" w:cs="Arial"/>
                <w:sz w:val="20"/>
              </w:rPr>
            </w:pPr>
          </w:p>
        </w:tc>
      </w:tr>
      <w:tr w:rsidR="00144CDA" w:rsidRPr="00301D72" w14:paraId="5EF98EB3" w14:textId="29EDA2E3" w:rsidTr="00006FAC">
        <w:trPr>
          <w:trHeight w:val="288"/>
        </w:trPr>
        <w:tc>
          <w:tcPr>
            <w:tcW w:w="4446" w:type="dxa"/>
            <w:vMerge/>
          </w:tcPr>
          <w:p w14:paraId="6CED5D4E" w14:textId="77777777" w:rsidR="00144CDA" w:rsidRPr="00301D72" w:rsidRDefault="00144CDA" w:rsidP="00144CDA">
            <w:pPr>
              <w:pStyle w:val="ListParagraph"/>
              <w:numPr>
                <w:ilvl w:val="0"/>
                <w:numId w:val="3"/>
              </w:numPr>
              <w:ind w:left="342"/>
              <w:rPr>
                <w:rFonts w:ascii="Arial" w:hAnsi="Arial" w:cs="Arial"/>
                <w:bCs/>
                <w:sz w:val="20"/>
              </w:rPr>
            </w:pPr>
          </w:p>
        </w:tc>
        <w:tc>
          <w:tcPr>
            <w:tcW w:w="716" w:type="dxa"/>
            <w:shd w:val="clear" w:color="auto" w:fill="FFFFFF" w:themeFill="background1"/>
            <w:vAlign w:val="center"/>
          </w:tcPr>
          <w:p w14:paraId="69215CEA" w14:textId="77777777" w:rsidR="00144CDA" w:rsidRPr="00301D72" w:rsidRDefault="00144CDA" w:rsidP="00144CDA">
            <w:pPr>
              <w:jc w:val="center"/>
              <w:rPr>
                <w:rFonts w:ascii="Arial" w:hAnsi="Arial" w:cs="Arial"/>
                <w:sz w:val="20"/>
              </w:rPr>
            </w:pPr>
            <w:r w:rsidRPr="00301D72">
              <w:rPr>
                <w:rFonts w:ascii="Arial" w:hAnsi="Arial" w:cs="Arial"/>
                <w:i/>
                <w:sz w:val="16"/>
                <w:szCs w:val="16"/>
              </w:rPr>
              <w:t>target</w:t>
            </w:r>
          </w:p>
        </w:tc>
        <w:tc>
          <w:tcPr>
            <w:tcW w:w="969" w:type="dxa"/>
            <w:shd w:val="clear" w:color="auto" w:fill="FFFFFF" w:themeFill="background1"/>
            <w:vAlign w:val="center"/>
          </w:tcPr>
          <w:p w14:paraId="3FF66648" w14:textId="777FB6C1" w:rsidR="00144CDA" w:rsidRPr="00301D72" w:rsidRDefault="00144CDA" w:rsidP="00144CDA">
            <w:pPr>
              <w:jc w:val="center"/>
              <w:rPr>
                <w:rFonts w:ascii="Arial" w:hAnsi="Arial" w:cs="Arial"/>
                <w:i/>
                <w:sz w:val="16"/>
                <w:szCs w:val="16"/>
              </w:rPr>
            </w:pPr>
            <w:r>
              <w:rPr>
                <w:rFonts w:ascii="Arial" w:hAnsi="Arial" w:cs="Arial"/>
                <w:i/>
                <w:sz w:val="16"/>
                <w:szCs w:val="16"/>
              </w:rPr>
              <w:t>100</w:t>
            </w:r>
          </w:p>
        </w:tc>
        <w:tc>
          <w:tcPr>
            <w:tcW w:w="1054" w:type="dxa"/>
            <w:shd w:val="clear" w:color="auto" w:fill="FFFFFF" w:themeFill="background1"/>
            <w:vAlign w:val="center"/>
          </w:tcPr>
          <w:p w14:paraId="6ABEB9DC" w14:textId="7993018C" w:rsidR="00144CDA" w:rsidRPr="00301D72" w:rsidRDefault="00144CDA" w:rsidP="00144CDA">
            <w:pPr>
              <w:jc w:val="center"/>
              <w:rPr>
                <w:rFonts w:ascii="Arial" w:hAnsi="Arial" w:cs="Arial"/>
                <w:i/>
                <w:sz w:val="16"/>
                <w:szCs w:val="16"/>
              </w:rPr>
            </w:pPr>
            <w:r>
              <w:rPr>
                <w:rFonts w:ascii="Arial" w:hAnsi="Arial" w:cs="Arial"/>
                <w:i/>
                <w:sz w:val="16"/>
                <w:szCs w:val="16"/>
              </w:rPr>
              <w:t>100</w:t>
            </w:r>
          </w:p>
        </w:tc>
        <w:tc>
          <w:tcPr>
            <w:tcW w:w="969" w:type="dxa"/>
            <w:shd w:val="clear" w:color="auto" w:fill="FFFFFF" w:themeFill="background1"/>
            <w:vAlign w:val="center"/>
          </w:tcPr>
          <w:p w14:paraId="31ED27BB" w14:textId="17AF4662" w:rsidR="00144CDA" w:rsidRPr="00301D72" w:rsidRDefault="00144CDA" w:rsidP="00144CDA">
            <w:pPr>
              <w:jc w:val="center"/>
              <w:rPr>
                <w:rFonts w:ascii="Arial" w:hAnsi="Arial" w:cs="Arial"/>
                <w:i/>
                <w:sz w:val="16"/>
                <w:szCs w:val="16"/>
              </w:rPr>
            </w:pPr>
            <w:r>
              <w:rPr>
                <w:rFonts w:ascii="Arial" w:hAnsi="Arial" w:cs="Arial"/>
                <w:i/>
                <w:sz w:val="16"/>
                <w:szCs w:val="16"/>
              </w:rPr>
              <w:t>100</w:t>
            </w:r>
          </w:p>
        </w:tc>
        <w:tc>
          <w:tcPr>
            <w:tcW w:w="969" w:type="dxa"/>
            <w:shd w:val="clear" w:color="auto" w:fill="FFFFFF" w:themeFill="background1"/>
            <w:vAlign w:val="center"/>
          </w:tcPr>
          <w:p w14:paraId="7219FF9B" w14:textId="3A2BCE15" w:rsidR="00144CDA" w:rsidRPr="00301D72" w:rsidRDefault="00144CDA" w:rsidP="00144CDA">
            <w:pPr>
              <w:jc w:val="center"/>
              <w:rPr>
                <w:rFonts w:ascii="Arial" w:hAnsi="Arial" w:cs="Arial"/>
                <w:i/>
                <w:sz w:val="16"/>
                <w:szCs w:val="16"/>
              </w:rPr>
            </w:pPr>
            <w:r>
              <w:rPr>
                <w:rFonts w:ascii="Arial" w:hAnsi="Arial" w:cs="Arial"/>
                <w:i/>
                <w:sz w:val="16"/>
                <w:szCs w:val="16"/>
              </w:rPr>
              <w:t>100</w:t>
            </w:r>
          </w:p>
        </w:tc>
        <w:tc>
          <w:tcPr>
            <w:tcW w:w="947" w:type="dxa"/>
            <w:shd w:val="clear" w:color="auto" w:fill="FFFFFF" w:themeFill="background1"/>
            <w:vAlign w:val="center"/>
          </w:tcPr>
          <w:p w14:paraId="1C8EA99F" w14:textId="557F571E" w:rsidR="00144CDA" w:rsidRDefault="00144CDA" w:rsidP="00144CDA">
            <w:pPr>
              <w:jc w:val="center"/>
              <w:rPr>
                <w:rFonts w:ascii="Arial" w:hAnsi="Arial" w:cs="Arial"/>
                <w:i/>
                <w:sz w:val="16"/>
                <w:szCs w:val="16"/>
              </w:rPr>
            </w:pPr>
          </w:p>
        </w:tc>
      </w:tr>
    </w:tbl>
    <w:p w14:paraId="17BCB575" w14:textId="77777777" w:rsidR="00B737E4" w:rsidRDefault="00B737E4">
      <w:pPr>
        <w:rPr>
          <w:rFonts w:ascii="Arial" w:hAnsi="Arial" w:cs="Arial"/>
          <w:sz w:val="20"/>
          <w:szCs w:val="20"/>
        </w:rPr>
      </w:pPr>
    </w:p>
    <w:p w14:paraId="3D89F5F0" w14:textId="2C229CF8" w:rsidR="00405A6E" w:rsidRDefault="00405A6E" w:rsidP="00993943">
      <w:pPr>
        <w:jc w:val="both"/>
        <w:rPr>
          <w:rFonts w:ascii="Arial" w:hAnsi="Arial" w:cs="Arial"/>
        </w:rPr>
      </w:pPr>
    </w:p>
    <w:p w14:paraId="46EC99D4" w14:textId="77777777" w:rsidR="00DA1D4D" w:rsidRPr="00993943" w:rsidRDefault="00DA1D4D" w:rsidP="00993943">
      <w:pPr>
        <w:jc w:val="both"/>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AB3945" w14:paraId="69EADE9A" w14:textId="77777777" w:rsidTr="00C91D60">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70ACC702" w14:textId="77777777" w:rsidR="00AB3945" w:rsidRDefault="00AB3945" w:rsidP="00993943">
            <w:pPr>
              <w:jc w:val="center"/>
              <w:rPr>
                <w:rFonts w:ascii="Arial" w:hAnsi="Arial" w:cs="Arial"/>
                <w:b/>
                <w:bCs/>
                <w:sz w:val="20"/>
              </w:rPr>
            </w:pPr>
            <w:r>
              <w:rPr>
                <w:rFonts w:ascii="Arial" w:hAnsi="Arial" w:cs="Arial"/>
                <w:b/>
                <w:bCs/>
                <w:sz w:val="20"/>
              </w:rPr>
              <w:t>For More Information Contact</w:t>
            </w:r>
          </w:p>
          <w:p w14:paraId="2F5B9B3A" w14:textId="77777777" w:rsidR="003D67EB" w:rsidRDefault="003D67EB" w:rsidP="00993943">
            <w:pPr>
              <w:jc w:val="center"/>
              <w:rPr>
                <w:rFonts w:ascii="Arial" w:hAnsi="Arial" w:cs="Arial"/>
                <w:sz w:val="20"/>
              </w:rPr>
            </w:pPr>
          </w:p>
          <w:p w14:paraId="685ED184" w14:textId="77777777" w:rsidR="00AB3945" w:rsidRDefault="00AE3685" w:rsidP="00993943">
            <w:pPr>
              <w:ind w:left="252"/>
              <w:rPr>
                <w:rFonts w:ascii="Arial" w:hAnsi="Arial" w:cs="Arial"/>
                <w:sz w:val="20"/>
              </w:rPr>
            </w:pPr>
            <w:r w:rsidRPr="00AE3685">
              <w:rPr>
                <w:rFonts w:ascii="Arial" w:hAnsi="Arial" w:cs="Arial"/>
                <w:sz w:val="20"/>
              </w:rPr>
              <w:t>Maria Barratt-Riley</w:t>
            </w:r>
          </w:p>
          <w:p w14:paraId="18989FCE" w14:textId="77777777" w:rsidR="00AE3685" w:rsidRDefault="00AE3685" w:rsidP="00993943">
            <w:pPr>
              <w:ind w:left="252"/>
              <w:rPr>
                <w:rFonts w:ascii="Arial" w:hAnsi="Arial" w:cs="Arial"/>
                <w:noProof/>
                <w:sz w:val="20"/>
              </w:rPr>
            </w:pPr>
            <w:r>
              <w:rPr>
                <w:rFonts w:ascii="Arial" w:hAnsi="Arial" w:cs="Arial"/>
                <w:noProof/>
                <w:sz w:val="20"/>
              </w:rPr>
              <w:t>Executive Director</w:t>
            </w:r>
          </w:p>
          <w:p w14:paraId="32375610" w14:textId="77777777" w:rsidR="00AB3945" w:rsidRDefault="00AB3945" w:rsidP="00993943">
            <w:pPr>
              <w:ind w:left="252"/>
              <w:rPr>
                <w:rFonts w:ascii="Arial" w:hAnsi="Arial" w:cs="Arial"/>
                <w:sz w:val="20"/>
              </w:rPr>
            </w:pPr>
            <w:r>
              <w:rPr>
                <w:rFonts w:ascii="Arial" w:hAnsi="Arial" w:cs="Arial"/>
                <w:noProof/>
                <w:sz w:val="20"/>
              </w:rPr>
              <w:t>Public Utilities Commission</w:t>
            </w:r>
          </w:p>
          <w:p w14:paraId="0FED6E72" w14:textId="77777777" w:rsidR="00F9226B" w:rsidRDefault="00AB3945" w:rsidP="00993943">
            <w:pPr>
              <w:ind w:left="252"/>
              <w:rPr>
                <w:rFonts w:ascii="Arial" w:hAnsi="Arial" w:cs="Arial"/>
                <w:noProof/>
                <w:sz w:val="20"/>
              </w:rPr>
            </w:pPr>
            <w:r>
              <w:rPr>
                <w:rFonts w:ascii="Arial" w:hAnsi="Arial" w:cs="Arial"/>
                <w:noProof/>
                <w:sz w:val="20"/>
              </w:rPr>
              <w:t>PO Box 83720</w:t>
            </w:r>
          </w:p>
          <w:p w14:paraId="22B2BB98" w14:textId="77777777" w:rsidR="00AB3945" w:rsidRDefault="00AB3945" w:rsidP="00993943">
            <w:pPr>
              <w:ind w:left="252"/>
              <w:rPr>
                <w:rFonts w:ascii="Arial" w:hAnsi="Arial" w:cs="Arial"/>
                <w:sz w:val="20"/>
              </w:rPr>
            </w:pPr>
            <w:r>
              <w:rPr>
                <w:rFonts w:ascii="Arial" w:hAnsi="Arial" w:cs="Arial"/>
                <w:noProof/>
                <w:sz w:val="20"/>
              </w:rPr>
              <w:t>Boise</w:t>
            </w:r>
            <w:r>
              <w:rPr>
                <w:rFonts w:ascii="Arial" w:hAnsi="Arial" w:cs="Arial"/>
                <w:sz w:val="20"/>
              </w:rPr>
              <w:t xml:space="preserve">, </w:t>
            </w:r>
            <w:r>
              <w:rPr>
                <w:rFonts w:ascii="Arial" w:hAnsi="Arial" w:cs="Arial"/>
                <w:noProof/>
                <w:sz w:val="20"/>
              </w:rPr>
              <w:t>ID</w:t>
            </w:r>
            <w:r>
              <w:rPr>
                <w:rFonts w:ascii="Arial" w:hAnsi="Arial" w:cs="Arial"/>
                <w:sz w:val="20"/>
              </w:rPr>
              <w:t xml:space="preserve">  </w:t>
            </w:r>
            <w:r>
              <w:rPr>
                <w:rFonts w:ascii="Arial" w:hAnsi="Arial" w:cs="Arial"/>
                <w:noProof/>
                <w:sz w:val="20"/>
              </w:rPr>
              <w:t>83720-0074</w:t>
            </w:r>
          </w:p>
          <w:p w14:paraId="3DD38831" w14:textId="77777777" w:rsidR="00D4781B" w:rsidRDefault="00AB3945" w:rsidP="00993943">
            <w:pPr>
              <w:ind w:left="252"/>
              <w:rPr>
                <w:rFonts w:ascii="Arial" w:hAnsi="Arial" w:cs="Arial"/>
                <w:sz w:val="20"/>
              </w:rPr>
            </w:pPr>
            <w:r>
              <w:rPr>
                <w:rFonts w:ascii="Arial" w:hAnsi="Arial" w:cs="Arial"/>
                <w:sz w:val="20"/>
              </w:rPr>
              <w:t>Phone:  (208) 334-03</w:t>
            </w:r>
            <w:r w:rsidR="001151FD">
              <w:rPr>
                <w:rFonts w:ascii="Arial" w:hAnsi="Arial" w:cs="Arial"/>
                <w:sz w:val="20"/>
              </w:rPr>
              <w:t>3</w:t>
            </w:r>
            <w:r w:rsidR="00246E24">
              <w:rPr>
                <w:rFonts w:ascii="Arial" w:hAnsi="Arial" w:cs="Arial"/>
                <w:sz w:val="20"/>
              </w:rPr>
              <w:t>0</w:t>
            </w:r>
          </w:p>
          <w:p w14:paraId="771C8EB2" w14:textId="77777777" w:rsidR="003A2378" w:rsidRDefault="00AB3945" w:rsidP="00993943">
            <w:pPr>
              <w:ind w:left="252"/>
              <w:rPr>
                <w:rFonts w:ascii="Arial" w:hAnsi="Arial" w:cs="Arial"/>
                <w:sz w:val="20"/>
                <w:szCs w:val="17"/>
                <w:lang w:val="fr-FR"/>
              </w:rPr>
            </w:pPr>
            <w:r>
              <w:rPr>
                <w:rFonts w:ascii="Arial" w:hAnsi="Arial" w:cs="Arial"/>
                <w:sz w:val="20"/>
                <w:szCs w:val="17"/>
                <w:lang w:val="fr-FR"/>
              </w:rPr>
              <w:t>E-mail</w:t>
            </w:r>
            <w:r w:rsidR="00574844">
              <w:rPr>
                <w:rFonts w:ascii="Arial" w:hAnsi="Arial" w:cs="Arial"/>
                <w:sz w:val="20"/>
                <w:szCs w:val="17"/>
                <w:lang w:val="fr-FR"/>
              </w:rPr>
              <w:t xml:space="preserve">: </w:t>
            </w:r>
            <w:r w:rsidR="00AE3685">
              <w:rPr>
                <w:rStyle w:val="Hyperlink"/>
                <w:rFonts w:ascii="Arial" w:hAnsi="Arial" w:cs="Arial"/>
                <w:sz w:val="20"/>
                <w:szCs w:val="17"/>
                <w:lang w:val="fr-FR"/>
              </w:rPr>
              <w:t>maria.barratt-riley@puc.idaho.gov</w:t>
            </w:r>
          </w:p>
          <w:p w14:paraId="1D9B4D22" w14:textId="77777777" w:rsidR="001851D9" w:rsidRDefault="001851D9" w:rsidP="00993943">
            <w:pPr>
              <w:ind w:left="252"/>
              <w:rPr>
                <w:rFonts w:ascii="Arial" w:hAnsi="Arial" w:cs="Arial"/>
                <w:sz w:val="20"/>
                <w:lang w:val="fr-FR"/>
              </w:rPr>
            </w:pPr>
          </w:p>
        </w:tc>
      </w:tr>
    </w:tbl>
    <w:p w14:paraId="726A9E32" w14:textId="03E26666" w:rsidR="00AB3945" w:rsidRDefault="00AB3945" w:rsidP="00DA1D4D">
      <w:pPr>
        <w:jc w:val="both"/>
        <w:rPr>
          <w:rFonts w:ascii="Arial" w:hAnsi="Arial" w:cs="Arial"/>
          <w:sz w:val="20"/>
          <w:lang w:val="fr-FR"/>
        </w:rPr>
      </w:pPr>
    </w:p>
    <w:sectPr w:rsidR="00AB3945" w:rsidSect="00D55C4B">
      <w:headerReference w:type="default" r:id="rId8"/>
      <w:footerReference w:type="default" r:id="rId9"/>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500C" w14:textId="77777777" w:rsidR="00297700" w:rsidRDefault="00297700">
      <w:r>
        <w:separator/>
      </w:r>
    </w:p>
  </w:endnote>
  <w:endnote w:type="continuationSeparator" w:id="0">
    <w:p w14:paraId="499FA2AF" w14:textId="77777777" w:rsidR="00297700" w:rsidRDefault="002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63434376"/>
      <w:docPartObj>
        <w:docPartGallery w:val="Page Numbers (Bottom of Page)"/>
        <w:docPartUnique/>
      </w:docPartObj>
    </w:sdtPr>
    <w:sdtEndPr>
      <w:rPr>
        <w:rFonts w:ascii="Times New Roman" w:hAnsi="Times New Roman" w:cs="Times New Roman"/>
        <w:noProof/>
        <w:sz w:val="24"/>
        <w:szCs w:val="24"/>
      </w:rPr>
    </w:sdtEndPr>
    <w:sdtContent>
      <w:p w14:paraId="729D2E2F" w14:textId="77777777" w:rsidR="00301D72" w:rsidRPr="00301D72" w:rsidRDefault="00301D72" w:rsidP="00D14A39">
        <w:pPr>
          <w:pStyle w:val="Footer"/>
          <w:tabs>
            <w:tab w:val="clear" w:pos="4320"/>
            <w:tab w:val="clear" w:pos="8640"/>
            <w:tab w:val="center" w:pos="4680"/>
            <w:tab w:val="right" w:pos="10080"/>
          </w:tabs>
          <w:rPr>
            <w:rFonts w:ascii="Arial" w:hAnsi="Arial" w:cs="Arial"/>
            <w:sz w:val="20"/>
            <w:szCs w:val="20"/>
          </w:rPr>
        </w:pPr>
      </w:p>
      <w:p w14:paraId="1301C361" w14:textId="77777777" w:rsidR="00D14A39" w:rsidRPr="00D14A39" w:rsidRDefault="00D14A39" w:rsidP="00D14A39">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24491">
          <w:rPr>
            <w:rFonts w:ascii="Arial" w:hAnsi="Arial" w:cs="Arial"/>
            <w:noProof/>
            <w:sz w:val="20"/>
            <w:szCs w:val="20"/>
          </w:rPr>
          <w:t>6</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E5B6" w14:textId="77777777" w:rsidR="00297700" w:rsidRDefault="00297700">
      <w:r>
        <w:separator/>
      </w:r>
    </w:p>
  </w:footnote>
  <w:footnote w:type="continuationSeparator" w:id="0">
    <w:p w14:paraId="5AD492A8" w14:textId="77777777" w:rsidR="00297700" w:rsidRDefault="002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861D9C" w14:paraId="0A5C5A03" w14:textId="77777777" w:rsidTr="00D55C4B">
      <w:tc>
        <w:tcPr>
          <w:tcW w:w="10080" w:type="dxa"/>
          <w:shd w:val="clear" w:color="auto" w:fill="000080"/>
        </w:tcPr>
        <w:p w14:paraId="4C2D8BE3" w14:textId="77777777" w:rsidR="00861D9C" w:rsidRDefault="00861D9C" w:rsidP="00301D72">
          <w:pPr>
            <w:tabs>
              <w:tab w:val="right" w:pos="9852"/>
            </w:tabs>
            <w:rPr>
              <w:rFonts w:ascii="Arial" w:hAnsi="Arial" w:cs="Arial"/>
              <w:color w:val="FFFFFF"/>
            </w:rPr>
          </w:pPr>
          <w:r>
            <w:rPr>
              <w:rFonts w:ascii="Arial" w:hAnsi="Arial" w:cs="Arial"/>
              <w:b/>
              <w:bCs/>
              <w:noProof/>
              <w:color w:val="FFFFFF"/>
            </w:rPr>
            <w:t>Public Utilities Commission</w:t>
          </w:r>
          <w:r>
            <w:rPr>
              <w:rFonts w:ascii="Arial" w:hAnsi="Arial" w:cs="Arial"/>
              <w:b/>
              <w:bCs/>
              <w:color w:val="FFFFFF"/>
            </w:rPr>
            <w:tab/>
          </w:r>
          <w:r>
            <w:rPr>
              <w:rFonts w:ascii="Arial" w:hAnsi="Arial" w:cs="Arial"/>
              <w:color w:val="FFFFFF"/>
            </w:rPr>
            <w:t>Performance Report</w:t>
          </w:r>
        </w:p>
      </w:tc>
    </w:tr>
    <w:tr w:rsidR="00861D9C" w14:paraId="585431ED" w14:textId="77777777" w:rsidTr="00D55C4B">
      <w:trPr>
        <w:trHeight w:hRule="exact" w:val="90"/>
      </w:trPr>
      <w:tc>
        <w:tcPr>
          <w:tcW w:w="10080" w:type="dxa"/>
          <w:tcBorders>
            <w:top w:val="nil"/>
            <w:bottom w:val="single" w:sz="4" w:space="0" w:color="auto"/>
          </w:tcBorders>
        </w:tcPr>
        <w:p w14:paraId="13F5D0B3" w14:textId="77777777" w:rsidR="00861D9C" w:rsidRDefault="00861D9C" w:rsidP="00BB65B8"/>
      </w:tc>
    </w:tr>
  </w:tbl>
  <w:p w14:paraId="10D41E56" w14:textId="77777777" w:rsidR="00861D9C" w:rsidRDefault="00861D9C" w:rsidP="00861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030"/>
    <w:multiLevelType w:val="hybridMultilevel"/>
    <w:tmpl w:val="60F63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55FF3"/>
    <w:multiLevelType w:val="hybridMultilevel"/>
    <w:tmpl w:val="1E6A17D2"/>
    <w:lvl w:ilvl="0" w:tplc="4CF2521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E294E24"/>
    <w:multiLevelType w:val="hybridMultilevel"/>
    <w:tmpl w:val="99E0A49C"/>
    <w:lvl w:ilvl="0" w:tplc="425AFE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410788">
    <w:abstractNumId w:val="1"/>
  </w:num>
  <w:num w:numId="2" w16cid:durableId="1999113511">
    <w:abstractNumId w:val="3"/>
  </w:num>
  <w:num w:numId="3" w16cid:durableId="1437948369">
    <w:abstractNumId w:val="2"/>
  </w:num>
  <w:num w:numId="4" w16cid:durableId="83815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45"/>
    <w:rsid w:val="00004F9D"/>
    <w:rsid w:val="00015F51"/>
    <w:rsid w:val="00021D3C"/>
    <w:rsid w:val="00026F8C"/>
    <w:rsid w:val="00030870"/>
    <w:rsid w:val="000369C2"/>
    <w:rsid w:val="00050E51"/>
    <w:rsid w:val="0005490C"/>
    <w:rsid w:val="00057F50"/>
    <w:rsid w:val="00061FB3"/>
    <w:rsid w:val="00064ECC"/>
    <w:rsid w:val="000825F7"/>
    <w:rsid w:val="00084E54"/>
    <w:rsid w:val="00093EAB"/>
    <w:rsid w:val="0009647B"/>
    <w:rsid w:val="000B2D05"/>
    <w:rsid w:val="000B4556"/>
    <w:rsid w:val="000C2307"/>
    <w:rsid w:val="000F233D"/>
    <w:rsid w:val="00102B11"/>
    <w:rsid w:val="0010627A"/>
    <w:rsid w:val="001151FD"/>
    <w:rsid w:val="00134C53"/>
    <w:rsid w:val="00142A0C"/>
    <w:rsid w:val="00144CDA"/>
    <w:rsid w:val="00175A7F"/>
    <w:rsid w:val="00181AA3"/>
    <w:rsid w:val="001851D9"/>
    <w:rsid w:val="0018674A"/>
    <w:rsid w:val="001907FA"/>
    <w:rsid w:val="001A1FC4"/>
    <w:rsid w:val="001B0E9C"/>
    <w:rsid w:val="001C500C"/>
    <w:rsid w:val="001C6819"/>
    <w:rsid w:val="001D7A89"/>
    <w:rsid w:val="001E6720"/>
    <w:rsid w:val="001F1F0C"/>
    <w:rsid w:val="001F26BF"/>
    <w:rsid w:val="00210F7D"/>
    <w:rsid w:val="00213208"/>
    <w:rsid w:val="00232BCA"/>
    <w:rsid w:val="00234B6D"/>
    <w:rsid w:val="00243255"/>
    <w:rsid w:val="00246E24"/>
    <w:rsid w:val="002510F4"/>
    <w:rsid w:val="002614A5"/>
    <w:rsid w:val="0026463E"/>
    <w:rsid w:val="00281755"/>
    <w:rsid w:val="00297700"/>
    <w:rsid w:val="002B1231"/>
    <w:rsid w:val="002E5EEF"/>
    <w:rsid w:val="002F013E"/>
    <w:rsid w:val="002F66DE"/>
    <w:rsid w:val="00300D7A"/>
    <w:rsid w:val="00301D72"/>
    <w:rsid w:val="003048D9"/>
    <w:rsid w:val="00304A6A"/>
    <w:rsid w:val="00315686"/>
    <w:rsid w:val="003157F4"/>
    <w:rsid w:val="00317D24"/>
    <w:rsid w:val="00344A87"/>
    <w:rsid w:val="00351263"/>
    <w:rsid w:val="00351DEE"/>
    <w:rsid w:val="0036235B"/>
    <w:rsid w:val="00380A2D"/>
    <w:rsid w:val="003930FA"/>
    <w:rsid w:val="00396AEB"/>
    <w:rsid w:val="003A2378"/>
    <w:rsid w:val="003A7819"/>
    <w:rsid w:val="003B0DAD"/>
    <w:rsid w:val="003C2B3D"/>
    <w:rsid w:val="003D1756"/>
    <w:rsid w:val="003D5420"/>
    <w:rsid w:val="003D58AE"/>
    <w:rsid w:val="003D67EB"/>
    <w:rsid w:val="003E5F0C"/>
    <w:rsid w:val="00405A6E"/>
    <w:rsid w:val="00414869"/>
    <w:rsid w:val="00422684"/>
    <w:rsid w:val="00424E44"/>
    <w:rsid w:val="004317C9"/>
    <w:rsid w:val="00454D44"/>
    <w:rsid w:val="00464DC8"/>
    <w:rsid w:val="00476A27"/>
    <w:rsid w:val="0049085F"/>
    <w:rsid w:val="00490953"/>
    <w:rsid w:val="004A2F9A"/>
    <w:rsid w:val="004A5871"/>
    <w:rsid w:val="004C0E01"/>
    <w:rsid w:val="004E0CC7"/>
    <w:rsid w:val="004F4AD5"/>
    <w:rsid w:val="004F4B1D"/>
    <w:rsid w:val="004F5433"/>
    <w:rsid w:val="0050209B"/>
    <w:rsid w:val="00517387"/>
    <w:rsid w:val="00517C07"/>
    <w:rsid w:val="00530789"/>
    <w:rsid w:val="0053561A"/>
    <w:rsid w:val="00537EDE"/>
    <w:rsid w:val="0054121D"/>
    <w:rsid w:val="00544BF8"/>
    <w:rsid w:val="00574844"/>
    <w:rsid w:val="005A6B62"/>
    <w:rsid w:val="005A7FB1"/>
    <w:rsid w:val="005C2204"/>
    <w:rsid w:val="005C591D"/>
    <w:rsid w:val="005C663D"/>
    <w:rsid w:val="005D194F"/>
    <w:rsid w:val="005D3C58"/>
    <w:rsid w:val="005E710A"/>
    <w:rsid w:val="00613992"/>
    <w:rsid w:val="0062158E"/>
    <w:rsid w:val="00637801"/>
    <w:rsid w:val="006835B4"/>
    <w:rsid w:val="006A6A88"/>
    <w:rsid w:val="006B5815"/>
    <w:rsid w:val="006B76D3"/>
    <w:rsid w:val="006C4170"/>
    <w:rsid w:val="006D14A9"/>
    <w:rsid w:val="006D54BE"/>
    <w:rsid w:val="006E4B57"/>
    <w:rsid w:val="006F05D9"/>
    <w:rsid w:val="00727AC0"/>
    <w:rsid w:val="00732EE8"/>
    <w:rsid w:val="007341F7"/>
    <w:rsid w:val="007505A5"/>
    <w:rsid w:val="00754459"/>
    <w:rsid w:val="00756F15"/>
    <w:rsid w:val="0076478D"/>
    <w:rsid w:val="00765A86"/>
    <w:rsid w:val="007668DB"/>
    <w:rsid w:val="007772BE"/>
    <w:rsid w:val="007943E7"/>
    <w:rsid w:val="007A3B5F"/>
    <w:rsid w:val="007C0848"/>
    <w:rsid w:val="007E7527"/>
    <w:rsid w:val="007F2BBA"/>
    <w:rsid w:val="007F62C9"/>
    <w:rsid w:val="007F6F0F"/>
    <w:rsid w:val="00801FD1"/>
    <w:rsid w:val="00803E0F"/>
    <w:rsid w:val="0080528D"/>
    <w:rsid w:val="008351DD"/>
    <w:rsid w:val="008407B1"/>
    <w:rsid w:val="008419D2"/>
    <w:rsid w:val="0084794F"/>
    <w:rsid w:val="00847D30"/>
    <w:rsid w:val="00854873"/>
    <w:rsid w:val="00861D9C"/>
    <w:rsid w:val="00867CC6"/>
    <w:rsid w:val="00867DD6"/>
    <w:rsid w:val="008771CB"/>
    <w:rsid w:val="00883C57"/>
    <w:rsid w:val="0089268B"/>
    <w:rsid w:val="008935B4"/>
    <w:rsid w:val="008A0933"/>
    <w:rsid w:val="008A59D3"/>
    <w:rsid w:val="008B0F67"/>
    <w:rsid w:val="008B7CD7"/>
    <w:rsid w:val="008C01DE"/>
    <w:rsid w:val="008C591D"/>
    <w:rsid w:val="008D3986"/>
    <w:rsid w:val="008F33A6"/>
    <w:rsid w:val="00906137"/>
    <w:rsid w:val="00911EF4"/>
    <w:rsid w:val="0093056D"/>
    <w:rsid w:val="009573C3"/>
    <w:rsid w:val="00957C09"/>
    <w:rsid w:val="00961CD4"/>
    <w:rsid w:val="00972B95"/>
    <w:rsid w:val="00977B39"/>
    <w:rsid w:val="00985B0E"/>
    <w:rsid w:val="00992126"/>
    <w:rsid w:val="00993943"/>
    <w:rsid w:val="00993BFD"/>
    <w:rsid w:val="00993DDD"/>
    <w:rsid w:val="009A043C"/>
    <w:rsid w:val="009B2173"/>
    <w:rsid w:val="009E66C5"/>
    <w:rsid w:val="009F6D6A"/>
    <w:rsid w:val="00A0425A"/>
    <w:rsid w:val="00A120CB"/>
    <w:rsid w:val="00A36918"/>
    <w:rsid w:val="00A47185"/>
    <w:rsid w:val="00A741E3"/>
    <w:rsid w:val="00A77B49"/>
    <w:rsid w:val="00A92E5E"/>
    <w:rsid w:val="00AA08B7"/>
    <w:rsid w:val="00AA6721"/>
    <w:rsid w:val="00AB3945"/>
    <w:rsid w:val="00AD0C4F"/>
    <w:rsid w:val="00AD2987"/>
    <w:rsid w:val="00AE233B"/>
    <w:rsid w:val="00AE2ADC"/>
    <w:rsid w:val="00AE2B74"/>
    <w:rsid w:val="00AE3685"/>
    <w:rsid w:val="00AF4A6D"/>
    <w:rsid w:val="00AF7AC0"/>
    <w:rsid w:val="00B0487B"/>
    <w:rsid w:val="00B14004"/>
    <w:rsid w:val="00B25DFD"/>
    <w:rsid w:val="00B2693B"/>
    <w:rsid w:val="00B276AB"/>
    <w:rsid w:val="00B31C8D"/>
    <w:rsid w:val="00B33CAD"/>
    <w:rsid w:val="00B61C4C"/>
    <w:rsid w:val="00B737E4"/>
    <w:rsid w:val="00B74FB1"/>
    <w:rsid w:val="00B77B35"/>
    <w:rsid w:val="00B94A3D"/>
    <w:rsid w:val="00BB65B8"/>
    <w:rsid w:val="00BB70E0"/>
    <w:rsid w:val="00BC2873"/>
    <w:rsid w:val="00BE20B0"/>
    <w:rsid w:val="00BF06CB"/>
    <w:rsid w:val="00C03275"/>
    <w:rsid w:val="00C17B57"/>
    <w:rsid w:val="00C37936"/>
    <w:rsid w:val="00C47F41"/>
    <w:rsid w:val="00C868AF"/>
    <w:rsid w:val="00C9029C"/>
    <w:rsid w:val="00C91D60"/>
    <w:rsid w:val="00C92373"/>
    <w:rsid w:val="00C93515"/>
    <w:rsid w:val="00CA6689"/>
    <w:rsid w:val="00CB4E6F"/>
    <w:rsid w:val="00CC31E0"/>
    <w:rsid w:val="00CD4E1F"/>
    <w:rsid w:val="00D14A39"/>
    <w:rsid w:val="00D2614B"/>
    <w:rsid w:val="00D33313"/>
    <w:rsid w:val="00D34694"/>
    <w:rsid w:val="00D366FA"/>
    <w:rsid w:val="00D4781B"/>
    <w:rsid w:val="00D47B1C"/>
    <w:rsid w:val="00D47BA4"/>
    <w:rsid w:val="00D47D17"/>
    <w:rsid w:val="00D52CC4"/>
    <w:rsid w:val="00D55C4B"/>
    <w:rsid w:val="00D5631A"/>
    <w:rsid w:val="00D57FBE"/>
    <w:rsid w:val="00D62601"/>
    <w:rsid w:val="00D72CF9"/>
    <w:rsid w:val="00DA1C8A"/>
    <w:rsid w:val="00DA1D4D"/>
    <w:rsid w:val="00DA5105"/>
    <w:rsid w:val="00DB4001"/>
    <w:rsid w:val="00DC5DD4"/>
    <w:rsid w:val="00DC5E74"/>
    <w:rsid w:val="00DD382A"/>
    <w:rsid w:val="00DE695E"/>
    <w:rsid w:val="00E24491"/>
    <w:rsid w:val="00E30DA0"/>
    <w:rsid w:val="00E37372"/>
    <w:rsid w:val="00E73E92"/>
    <w:rsid w:val="00E753C3"/>
    <w:rsid w:val="00E963F7"/>
    <w:rsid w:val="00EA3C11"/>
    <w:rsid w:val="00EB1AF4"/>
    <w:rsid w:val="00EB30F9"/>
    <w:rsid w:val="00EB326F"/>
    <w:rsid w:val="00EE033F"/>
    <w:rsid w:val="00EE35B4"/>
    <w:rsid w:val="00EF69F6"/>
    <w:rsid w:val="00F10ACB"/>
    <w:rsid w:val="00F13E5B"/>
    <w:rsid w:val="00F15725"/>
    <w:rsid w:val="00F16F53"/>
    <w:rsid w:val="00F230DF"/>
    <w:rsid w:val="00F25D66"/>
    <w:rsid w:val="00F27E6E"/>
    <w:rsid w:val="00F31877"/>
    <w:rsid w:val="00F40758"/>
    <w:rsid w:val="00F4574C"/>
    <w:rsid w:val="00F5100A"/>
    <w:rsid w:val="00F60446"/>
    <w:rsid w:val="00F61855"/>
    <w:rsid w:val="00F62C1C"/>
    <w:rsid w:val="00F8593A"/>
    <w:rsid w:val="00F86BA3"/>
    <w:rsid w:val="00F90C6B"/>
    <w:rsid w:val="00F9226B"/>
    <w:rsid w:val="00FB2B50"/>
    <w:rsid w:val="00FB323D"/>
    <w:rsid w:val="00FB3ACD"/>
    <w:rsid w:val="00FC6AD2"/>
    <w:rsid w:val="00FD29C7"/>
    <w:rsid w:val="00FD5EF8"/>
    <w:rsid w:val="00FE50BC"/>
    <w:rsid w:val="00FF6D3C"/>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ACA8933"/>
  <w15:docId w15:val="{533E94A5-C433-4D21-94B2-2D58F153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9A"/>
    <w:rPr>
      <w:sz w:val="24"/>
      <w:szCs w:val="24"/>
    </w:rPr>
  </w:style>
  <w:style w:type="paragraph" w:styleId="Heading1">
    <w:name w:val="heading 1"/>
    <w:basedOn w:val="Normal"/>
    <w:next w:val="Normal"/>
    <w:link w:val="Heading1Char"/>
    <w:qFormat/>
    <w:rsid w:val="00C86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A2F9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4A2F9A"/>
    <w:pPr>
      <w:framePr w:w="7920" w:h="1980" w:hRule="exact" w:hSpace="180" w:wrap="auto" w:hAnchor="page" w:xAlign="center" w:yAlign="bottom"/>
      <w:ind w:left="2880"/>
    </w:pPr>
    <w:rPr>
      <w:rFonts w:ascii="Courier New" w:hAnsi="Courier New" w:cs="Arial"/>
      <w:caps/>
    </w:rPr>
  </w:style>
  <w:style w:type="paragraph" w:styleId="Header">
    <w:name w:val="header"/>
    <w:basedOn w:val="Normal"/>
    <w:semiHidden/>
    <w:rsid w:val="004A2F9A"/>
    <w:pPr>
      <w:tabs>
        <w:tab w:val="center" w:pos="4320"/>
        <w:tab w:val="right" w:pos="8640"/>
      </w:tabs>
    </w:pPr>
  </w:style>
  <w:style w:type="paragraph" w:styleId="Footer">
    <w:name w:val="footer"/>
    <w:basedOn w:val="Normal"/>
    <w:link w:val="FooterChar"/>
    <w:uiPriority w:val="99"/>
    <w:rsid w:val="004A2F9A"/>
    <w:pPr>
      <w:tabs>
        <w:tab w:val="center" w:pos="4320"/>
        <w:tab w:val="right" w:pos="8640"/>
      </w:tabs>
    </w:pPr>
  </w:style>
  <w:style w:type="character" w:styleId="PageNumber">
    <w:name w:val="page number"/>
    <w:basedOn w:val="DefaultParagraphFont"/>
    <w:semiHidden/>
    <w:rsid w:val="004A2F9A"/>
  </w:style>
  <w:style w:type="paragraph" w:styleId="DocumentMap">
    <w:name w:val="Document Map"/>
    <w:basedOn w:val="Normal"/>
    <w:semiHidden/>
    <w:rsid w:val="004A2F9A"/>
    <w:pPr>
      <w:shd w:val="clear" w:color="auto" w:fill="000080"/>
    </w:pPr>
    <w:rPr>
      <w:rFonts w:ascii="Tahoma" w:hAnsi="Tahoma" w:cs="Tahoma"/>
    </w:rPr>
  </w:style>
  <w:style w:type="paragraph" w:customStyle="1" w:styleId="Headline30">
    <w:name w:val="Headline 30"/>
    <w:rsid w:val="004A2F9A"/>
    <w:pPr>
      <w:autoSpaceDE w:val="0"/>
      <w:autoSpaceDN w:val="0"/>
      <w:adjustRightInd w:val="0"/>
    </w:pPr>
    <w:rPr>
      <w:b/>
      <w:bCs/>
      <w:color w:val="000000"/>
      <w:sz w:val="60"/>
      <w:szCs w:val="60"/>
    </w:rPr>
  </w:style>
  <w:style w:type="paragraph" w:styleId="BlockText">
    <w:name w:val="Block Text"/>
    <w:basedOn w:val="Normal"/>
    <w:semiHidden/>
    <w:rsid w:val="004A2F9A"/>
    <w:pPr>
      <w:ind w:left="1872" w:right="-288"/>
      <w:jc w:val="center"/>
    </w:pPr>
  </w:style>
  <w:style w:type="paragraph" w:customStyle="1" w:styleId="utilitybycity">
    <w:name w:val="utility by city"/>
    <w:basedOn w:val="Normal"/>
    <w:next w:val="Normal"/>
    <w:rsid w:val="004A2F9A"/>
    <w:pPr>
      <w:tabs>
        <w:tab w:val="right" w:pos="3420"/>
        <w:tab w:val="right" w:pos="5175"/>
        <w:tab w:val="right" w:pos="7031"/>
      </w:tabs>
      <w:autoSpaceDE w:val="0"/>
      <w:autoSpaceDN w:val="0"/>
      <w:adjustRightInd w:val="0"/>
    </w:pPr>
  </w:style>
  <w:style w:type="paragraph" w:styleId="PlainText">
    <w:name w:val="Plain Text"/>
    <w:basedOn w:val="Normal"/>
    <w:semiHidden/>
    <w:rsid w:val="004A2F9A"/>
    <w:pPr>
      <w:autoSpaceDE w:val="0"/>
      <w:autoSpaceDN w:val="0"/>
      <w:adjustRightInd w:val="0"/>
    </w:pPr>
    <w:rPr>
      <w:rFonts w:ascii="Courier New" w:hAnsi="Courier New" w:cs="Courier New"/>
      <w:sz w:val="20"/>
      <w:szCs w:val="20"/>
    </w:rPr>
  </w:style>
  <w:style w:type="paragraph" w:customStyle="1" w:styleId="CenteredBodyText">
    <w:name w:val="Centered Body Text"/>
    <w:basedOn w:val="Normal"/>
    <w:rsid w:val="004A2F9A"/>
    <w:pPr>
      <w:tabs>
        <w:tab w:val="right" w:pos="326"/>
        <w:tab w:val="left" w:pos="720"/>
        <w:tab w:val="right" w:pos="7031"/>
      </w:tabs>
      <w:autoSpaceDE w:val="0"/>
      <w:autoSpaceDN w:val="0"/>
      <w:adjustRightInd w:val="0"/>
      <w:jc w:val="center"/>
    </w:pPr>
    <w:rPr>
      <w:b/>
      <w:bCs/>
    </w:rPr>
  </w:style>
  <w:style w:type="character" w:styleId="Hyperlink">
    <w:name w:val="Hyperlink"/>
    <w:basedOn w:val="DefaultParagraphFont"/>
    <w:semiHidden/>
    <w:rsid w:val="004A2F9A"/>
    <w:rPr>
      <w:color w:val="0000FF"/>
      <w:u w:val="single"/>
    </w:rPr>
  </w:style>
  <w:style w:type="paragraph" w:styleId="BalloonText">
    <w:name w:val="Balloon Text"/>
    <w:basedOn w:val="Normal"/>
    <w:link w:val="BalloonTextChar"/>
    <w:uiPriority w:val="99"/>
    <w:semiHidden/>
    <w:unhideWhenUsed/>
    <w:rsid w:val="00AB3945"/>
    <w:rPr>
      <w:rFonts w:ascii="Tahoma" w:hAnsi="Tahoma" w:cs="Tahoma"/>
      <w:sz w:val="16"/>
      <w:szCs w:val="16"/>
    </w:rPr>
  </w:style>
  <w:style w:type="character" w:customStyle="1" w:styleId="BalloonTextChar">
    <w:name w:val="Balloon Text Char"/>
    <w:basedOn w:val="DefaultParagraphFont"/>
    <w:link w:val="BalloonText"/>
    <w:uiPriority w:val="99"/>
    <w:semiHidden/>
    <w:rsid w:val="00AB3945"/>
    <w:rPr>
      <w:rFonts w:ascii="Tahoma" w:hAnsi="Tahoma" w:cs="Tahoma"/>
      <w:sz w:val="16"/>
      <w:szCs w:val="16"/>
    </w:rPr>
  </w:style>
  <w:style w:type="character" w:customStyle="1" w:styleId="FooterChar">
    <w:name w:val="Footer Char"/>
    <w:basedOn w:val="DefaultParagraphFont"/>
    <w:link w:val="Footer"/>
    <w:uiPriority w:val="99"/>
    <w:rsid w:val="003D5420"/>
    <w:rPr>
      <w:sz w:val="24"/>
      <w:szCs w:val="24"/>
    </w:rPr>
  </w:style>
  <w:style w:type="paragraph" w:styleId="ListParagraph">
    <w:name w:val="List Paragraph"/>
    <w:basedOn w:val="Normal"/>
    <w:uiPriority w:val="34"/>
    <w:qFormat/>
    <w:rsid w:val="00015F51"/>
    <w:pPr>
      <w:ind w:left="720"/>
      <w:contextualSpacing/>
    </w:pPr>
  </w:style>
  <w:style w:type="paragraph" w:customStyle="1" w:styleId="Default">
    <w:name w:val="Default"/>
    <w:rsid w:val="00004F9D"/>
    <w:pPr>
      <w:autoSpaceDE w:val="0"/>
      <w:autoSpaceDN w:val="0"/>
      <w:adjustRightInd w:val="0"/>
    </w:pPr>
    <w:rPr>
      <w:color w:val="000000"/>
      <w:sz w:val="24"/>
      <w:szCs w:val="24"/>
    </w:rPr>
  </w:style>
  <w:style w:type="character" w:customStyle="1" w:styleId="Heading1Char">
    <w:name w:val="Heading 1 Char"/>
    <w:basedOn w:val="DefaultParagraphFont"/>
    <w:link w:val="Heading1"/>
    <w:rsid w:val="00C868A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44C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68031">
      <w:bodyDiv w:val="1"/>
      <w:marLeft w:val="0"/>
      <w:marRight w:val="0"/>
      <w:marTop w:val="0"/>
      <w:marBottom w:val="0"/>
      <w:divBdr>
        <w:top w:val="none" w:sz="0" w:space="0" w:color="auto"/>
        <w:left w:val="none" w:sz="0" w:space="0" w:color="auto"/>
        <w:bottom w:val="none" w:sz="0" w:space="0" w:color="auto"/>
        <w:right w:val="none" w:sz="0" w:space="0" w:color="auto"/>
      </w:divBdr>
    </w:div>
    <w:div w:id="9600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9F1E-F77A-4759-9FDE-9C2E5456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5</Pages>
  <Words>2282</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15650</CharactersWithSpaces>
  <SharedDoc>false</SharedDoc>
  <HLinks>
    <vt:vector size="6" baseType="variant">
      <vt:variant>
        <vt:i4>7995405</vt:i4>
      </vt:variant>
      <vt:variant>
        <vt:i4>0</vt:i4>
      </vt:variant>
      <vt:variant>
        <vt:i4>0</vt:i4>
      </vt:variant>
      <vt:variant>
        <vt:i4>5</vt:i4>
      </vt:variant>
      <vt:variant>
        <vt:lpwstr>C:\Documents and Settings\dhattaw\Local Settings\Temporary Internet Files\AgencyProfiles07\david.hattaway@puc.idaho.gov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11</cp:revision>
  <cp:lastPrinted>2021-07-07T00:03:00Z</cp:lastPrinted>
  <dcterms:created xsi:type="dcterms:W3CDTF">2021-07-14T19:53:00Z</dcterms:created>
  <dcterms:modified xsi:type="dcterms:W3CDTF">2022-05-31T19:05:00Z</dcterms:modified>
</cp:coreProperties>
</file>