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CBA1" w14:textId="77777777" w:rsidR="00F5071B" w:rsidRPr="00487FCD" w:rsidRDefault="00F5071B" w:rsidP="00F5071B">
      <w:pPr>
        <w:pStyle w:val="Heading1"/>
        <w:spacing w:before="0" w:after="60"/>
        <w:rPr>
          <w:rFonts w:ascii="Arial" w:hAnsi="Arial" w:cs="Arial"/>
          <w:i/>
          <w:color w:val="000080"/>
          <w:szCs w:val="24"/>
        </w:rPr>
      </w:pPr>
      <w:r w:rsidRPr="00487FCD">
        <w:rPr>
          <w:rFonts w:ascii="Arial" w:hAnsi="Arial" w:cs="Arial"/>
          <w:i/>
          <w:color w:val="000080"/>
          <w:szCs w:val="24"/>
        </w:rPr>
        <w:t>Part I – Agency Profile</w:t>
      </w:r>
    </w:p>
    <w:p w14:paraId="5E9CC7B6" w14:textId="77777777" w:rsidR="00202AAE" w:rsidRDefault="00202AAE" w:rsidP="00536D53">
      <w:pPr>
        <w:tabs>
          <w:tab w:val="left" w:pos="2805"/>
        </w:tabs>
        <w:rPr>
          <w:rFonts w:ascii="Arial" w:hAnsi="Arial" w:cs="Arial"/>
          <w:b/>
          <w:bCs/>
        </w:rPr>
      </w:pPr>
    </w:p>
    <w:p w14:paraId="3FA6845B" w14:textId="77777777" w:rsidR="001E0739" w:rsidRDefault="001E0739" w:rsidP="00536D53">
      <w:pPr>
        <w:tabs>
          <w:tab w:val="left" w:pos="2805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Agency Overview</w:t>
      </w:r>
    </w:p>
    <w:p w14:paraId="72307ED5" w14:textId="77777777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4A1C">
        <w:rPr>
          <w:rFonts w:ascii="Arial" w:hAnsi="Arial" w:cs="Arial"/>
          <w:sz w:val="20"/>
          <w:szCs w:val="20"/>
        </w:rPr>
        <w:t>The Idaho Small Business Development Center (I</w:t>
      </w:r>
      <w:r w:rsidR="001A694F" w:rsidRPr="001F4A1C">
        <w:rPr>
          <w:rFonts w:ascii="Arial" w:hAnsi="Arial" w:cs="Arial"/>
          <w:sz w:val="20"/>
          <w:szCs w:val="20"/>
        </w:rPr>
        <w:t xml:space="preserve">daho </w:t>
      </w:r>
      <w:r w:rsidRPr="001F4A1C">
        <w:rPr>
          <w:rFonts w:ascii="Arial" w:hAnsi="Arial" w:cs="Arial"/>
          <w:sz w:val="20"/>
          <w:szCs w:val="20"/>
        </w:rPr>
        <w:t>SBDC) was established in 1986 as a partnership between the U.S. Small Business Administration</w:t>
      </w:r>
      <w:r w:rsidR="007E296C">
        <w:rPr>
          <w:rFonts w:ascii="Arial" w:hAnsi="Arial" w:cs="Arial"/>
          <w:sz w:val="20"/>
          <w:szCs w:val="20"/>
        </w:rPr>
        <w:t xml:space="preserve">, the State of Idaho, and </w:t>
      </w:r>
      <w:r w:rsidR="00D8622D">
        <w:rPr>
          <w:rFonts w:ascii="Arial" w:hAnsi="Arial" w:cs="Arial"/>
          <w:sz w:val="20"/>
          <w:szCs w:val="20"/>
        </w:rPr>
        <w:t xml:space="preserve">Idaho’s </w:t>
      </w:r>
      <w:r w:rsidR="007E296C">
        <w:rPr>
          <w:rFonts w:ascii="Arial" w:hAnsi="Arial" w:cs="Arial"/>
          <w:sz w:val="20"/>
          <w:szCs w:val="20"/>
        </w:rPr>
        <w:t xml:space="preserve">institutions of higher education.  </w:t>
      </w:r>
      <w:r w:rsidRPr="001F4A1C">
        <w:rPr>
          <w:rFonts w:ascii="Arial" w:hAnsi="Arial" w:cs="Arial"/>
          <w:sz w:val="20"/>
          <w:szCs w:val="20"/>
        </w:rPr>
        <w:t>The I</w:t>
      </w:r>
      <w:r w:rsidR="001A694F" w:rsidRPr="001F4A1C">
        <w:rPr>
          <w:rFonts w:ascii="Arial" w:hAnsi="Arial" w:cs="Arial"/>
          <w:sz w:val="20"/>
          <w:szCs w:val="20"/>
        </w:rPr>
        <w:t xml:space="preserve">daho </w:t>
      </w:r>
      <w:r w:rsidRPr="001F4A1C">
        <w:rPr>
          <w:rFonts w:ascii="Arial" w:hAnsi="Arial" w:cs="Arial"/>
          <w:sz w:val="20"/>
          <w:szCs w:val="20"/>
        </w:rPr>
        <w:t xml:space="preserve">SBDC provides </w:t>
      </w:r>
      <w:r w:rsidR="007E296C">
        <w:rPr>
          <w:rFonts w:ascii="Arial" w:hAnsi="Arial" w:cs="Arial"/>
          <w:sz w:val="20"/>
          <w:szCs w:val="20"/>
        </w:rPr>
        <w:t xml:space="preserve">no-cost </w:t>
      </w:r>
      <w:r w:rsidRPr="001F4A1C">
        <w:rPr>
          <w:rFonts w:ascii="Arial" w:hAnsi="Arial" w:cs="Arial"/>
          <w:sz w:val="20"/>
          <w:szCs w:val="20"/>
        </w:rPr>
        <w:t xml:space="preserve">business consulting and </w:t>
      </w:r>
      <w:r w:rsidR="007E296C">
        <w:rPr>
          <w:rFonts w:ascii="Arial" w:hAnsi="Arial" w:cs="Arial"/>
          <w:sz w:val="20"/>
          <w:szCs w:val="20"/>
        </w:rPr>
        <w:t xml:space="preserve">affordable </w:t>
      </w:r>
      <w:r w:rsidRPr="001F4A1C">
        <w:rPr>
          <w:rFonts w:ascii="Arial" w:hAnsi="Arial" w:cs="Arial"/>
          <w:sz w:val="20"/>
          <w:szCs w:val="20"/>
        </w:rPr>
        <w:t xml:space="preserve">training to </w:t>
      </w:r>
      <w:r w:rsidR="007E296C">
        <w:rPr>
          <w:rFonts w:ascii="Arial" w:hAnsi="Arial" w:cs="Arial"/>
          <w:sz w:val="20"/>
          <w:szCs w:val="20"/>
        </w:rPr>
        <w:t>help entrepreneurs and small business owners start and grow successful businesses.</w:t>
      </w:r>
      <w:r w:rsidRPr="001F4A1C">
        <w:rPr>
          <w:rFonts w:ascii="Arial" w:hAnsi="Arial" w:cs="Arial"/>
          <w:sz w:val="20"/>
          <w:szCs w:val="20"/>
        </w:rPr>
        <w:t xml:space="preserve">  </w:t>
      </w:r>
      <w:r w:rsidR="007E296C">
        <w:rPr>
          <w:rFonts w:ascii="Arial" w:hAnsi="Arial" w:cs="Arial"/>
          <w:sz w:val="20"/>
          <w:szCs w:val="20"/>
        </w:rPr>
        <w:t>Nationally, as in Idaho, over 7</w:t>
      </w:r>
      <w:r w:rsidRPr="001F4A1C">
        <w:rPr>
          <w:rFonts w:ascii="Arial" w:hAnsi="Arial" w:cs="Arial"/>
          <w:sz w:val="20"/>
          <w:szCs w:val="20"/>
        </w:rPr>
        <w:t xml:space="preserve">0% of </w:t>
      </w:r>
      <w:r w:rsidR="007E296C">
        <w:rPr>
          <w:rFonts w:ascii="Arial" w:hAnsi="Arial" w:cs="Arial"/>
          <w:sz w:val="20"/>
          <w:szCs w:val="20"/>
        </w:rPr>
        <w:t xml:space="preserve">net </w:t>
      </w:r>
      <w:r w:rsidRPr="001F4A1C">
        <w:rPr>
          <w:rFonts w:ascii="Arial" w:hAnsi="Arial" w:cs="Arial"/>
          <w:sz w:val="20"/>
          <w:szCs w:val="20"/>
        </w:rPr>
        <w:t xml:space="preserve">new jobs are being created by the small business sector.  </w:t>
      </w:r>
    </w:p>
    <w:p w14:paraId="497EA12C" w14:textId="77777777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9F9EF20" w14:textId="77777777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4A1C">
        <w:rPr>
          <w:rFonts w:ascii="Arial" w:hAnsi="Arial" w:cs="Arial"/>
          <w:sz w:val="20"/>
          <w:szCs w:val="20"/>
        </w:rPr>
        <w:t>The I</w:t>
      </w:r>
      <w:r w:rsidR="001A694F" w:rsidRPr="001F4A1C">
        <w:rPr>
          <w:rFonts w:ascii="Arial" w:hAnsi="Arial" w:cs="Arial"/>
          <w:sz w:val="20"/>
          <w:szCs w:val="20"/>
        </w:rPr>
        <w:t xml:space="preserve">daho </w:t>
      </w:r>
      <w:r w:rsidRPr="001F4A1C">
        <w:rPr>
          <w:rFonts w:ascii="Arial" w:hAnsi="Arial" w:cs="Arial"/>
          <w:sz w:val="20"/>
          <w:szCs w:val="20"/>
        </w:rPr>
        <w:t>SBDC is a network of business consultants that operates</w:t>
      </w:r>
      <w:r w:rsidR="00402D72">
        <w:rPr>
          <w:rFonts w:ascii="Arial" w:hAnsi="Arial" w:cs="Arial"/>
          <w:sz w:val="20"/>
          <w:szCs w:val="20"/>
        </w:rPr>
        <w:t xml:space="preserve"> under the umbrella of</w:t>
      </w:r>
      <w:r w:rsidRPr="001F4A1C">
        <w:rPr>
          <w:rFonts w:ascii="Arial" w:hAnsi="Arial" w:cs="Arial"/>
          <w:sz w:val="20"/>
          <w:szCs w:val="20"/>
        </w:rPr>
        <w:t xml:space="preserve"> the state’s colleges and universities.  Boise State University’s College of Business</w:t>
      </w:r>
      <w:r w:rsidR="001A694F" w:rsidRPr="001F4A1C">
        <w:rPr>
          <w:rFonts w:ascii="Arial" w:hAnsi="Arial" w:cs="Arial"/>
          <w:sz w:val="20"/>
          <w:szCs w:val="20"/>
        </w:rPr>
        <w:t xml:space="preserve"> and Economics</w:t>
      </w:r>
      <w:r w:rsidR="00D8622D">
        <w:rPr>
          <w:rFonts w:ascii="Arial" w:hAnsi="Arial" w:cs="Arial"/>
          <w:sz w:val="20"/>
          <w:szCs w:val="20"/>
        </w:rPr>
        <w:t xml:space="preserve"> </w:t>
      </w:r>
      <w:r w:rsidRPr="001F4A1C">
        <w:rPr>
          <w:rFonts w:ascii="Arial" w:hAnsi="Arial" w:cs="Arial"/>
          <w:sz w:val="20"/>
          <w:szCs w:val="20"/>
        </w:rPr>
        <w:t>serves as the State Office with administrative responsibility for directing the type and quality of services across the state.  Regional offices in the following locations are funded under sub-contracts with the host institutions</w:t>
      </w:r>
      <w:r w:rsidR="00402D72">
        <w:rPr>
          <w:rFonts w:ascii="Arial" w:hAnsi="Arial" w:cs="Arial"/>
          <w:sz w:val="20"/>
          <w:szCs w:val="20"/>
        </w:rPr>
        <w:t>.</w:t>
      </w:r>
    </w:p>
    <w:p w14:paraId="245765CF" w14:textId="77777777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7E97F1B" w14:textId="5A100C54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4A1C">
        <w:rPr>
          <w:rFonts w:ascii="Arial" w:hAnsi="Arial" w:cs="Arial"/>
          <w:sz w:val="20"/>
          <w:szCs w:val="20"/>
        </w:rPr>
        <w:tab/>
        <w:t xml:space="preserve">North Idaho College </w:t>
      </w:r>
      <w:r w:rsidR="001353E3">
        <w:rPr>
          <w:rFonts w:ascii="Arial" w:hAnsi="Arial" w:cs="Arial"/>
          <w:sz w:val="20"/>
          <w:szCs w:val="20"/>
        </w:rPr>
        <w:t>–</w:t>
      </w:r>
      <w:r w:rsidRPr="001F4A1C">
        <w:rPr>
          <w:rFonts w:ascii="Arial" w:hAnsi="Arial" w:cs="Arial"/>
          <w:sz w:val="20"/>
          <w:szCs w:val="20"/>
        </w:rPr>
        <w:t xml:space="preserve"> </w:t>
      </w:r>
      <w:r w:rsidR="00CA4660">
        <w:rPr>
          <w:rFonts w:ascii="Arial" w:hAnsi="Arial" w:cs="Arial"/>
          <w:sz w:val="20"/>
          <w:szCs w:val="20"/>
        </w:rPr>
        <w:t>Coeur d’Alene</w:t>
      </w:r>
    </w:p>
    <w:p w14:paraId="63BDFE88" w14:textId="77777777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4A1C">
        <w:rPr>
          <w:rFonts w:ascii="Arial" w:hAnsi="Arial" w:cs="Arial"/>
          <w:sz w:val="20"/>
          <w:szCs w:val="20"/>
        </w:rPr>
        <w:tab/>
        <w:t>Lewis-Clark State College - Lewiston</w:t>
      </w:r>
    </w:p>
    <w:p w14:paraId="0ADA8B70" w14:textId="77777777" w:rsidR="00666D5E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4A1C">
        <w:rPr>
          <w:rFonts w:ascii="Arial" w:hAnsi="Arial" w:cs="Arial"/>
          <w:sz w:val="20"/>
          <w:szCs w:val="20"/>
        </w:rPr>
        <w:tab/>
        <w:t xml:space="preserve">Boise State University </w:t>
      </w:r>
      <w:r w:rsidR="007E296C">
        <w:rPr>
          <w:rFonts w:ascii="Arial" w:hAnsi="Arial" w:cs="Arial"/>
          <w:sz w:val="20"/>
          <w:szCs w:val="20"/>
        </w:rPr>
        <w:t>–</w:t>
      </w:r>
      <w:r w:rsidRPr="001F4A1C">
        <w:rPr>
          <w:rFonts w:ascii="Arial" w:hAnsi="Arial" w:cs="Arial"/>
          <w:sz w:val="20"/>
          <w:szCs w:val="20"/>
        </w:rPr>
        <w:t xml:space="preserve"> Boise</w:t>
      </w:r>
      <w:r w:rsidR="007A072A">
        <w:rPr>
          <w:rFonts w:ascii="Arial" w:hAnsi="Arial" w:cs="Arial"/>
          <w:sz w:val="20"/>
          <w:szCs w:val="20"/>
        </w:rPr>
        <w:t xml:space="preserve"> and Nampa</w:t>
      </w:r>
    </w:p>
    <w:p w14:paraId="7D240DF8" w14:textId="77777777" w:rsidR="00666D5E" w:rsidRPr="001F4A1C" w:rsidRDefault="007E296C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66D5E" w:rsidRPr="001F4A1C">
        <w:rPr>
          <w:rFonts w:ascii="Arial" w:hAnsi="Arial" w:cs="Arial"/>
          <w:sz w:val="20"/>
          <w:szCs w:val="20"/>
        </w:rPr>
        <w:t>College of Southern Idaho - Twin Falls</w:t>
      </w:r>
    </w:p>
    <w:p w14:paraId="6B38CB77" w14:textId="77777777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4A1C">
        <w:rPr>
          <w:rFonts w:ascii="Arial" w:hAnsi="Arial" w:cs="Arial"/>
          <w:sz w:val="20"/>
          <w:szCs w:val="20"/>
        </w:rPr>
        <w:tab/>
        <w:t>Idaho State University - Pocatello</w:t>
      </w:r>
    </w:p>
    <w:p w14:paraId="7CE2957A" w14:textId="77777777" w:rsidR="00666D5E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4A1C">
        <w:rPr>
          <w:rFonts w:ascii="Arial" w:hAnsi="Arial" w:cs="Arial"/>
          <w:sz w:val="20"/>
          <w:szCs w:val="20"/>
        </w:rPr>
        <w:tab/>
        <w:t>Idaho State University - Idaho Falls</w:t>
      </w:r>
    </w:p>
    <w:p w14:paraId="1B8D7643" w14:textId="77777777" w:rsidR="007E296C" w:rsidRDefault="007E296C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CFEB572" w14:textId="77777777" w:rsidR="007E296C" w:rsidRPr="001F4A1C" w:rsidRDefault="007E296C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Idaho SBDC also manages two business </w:t>
      </w:r>
      <w:r w:rsidR="007A072A">
        <w:rPr>
          <w:rFonts w:ascii="Arial" w:hAnsi="Arial" w:cs="Arial"/>
          <w:sz w:val="20"/>
          <w:szCs w:val="20"/>
        </w:rPr>
        <w:t>accelerators – one in Nampa and one in downtown Boise.</w:t>
      </w:r>
      <w:r>
        <w:rPr>
          <w:rFonts w:ascii="Arial" w:hAnsi="Arial" w:cs="Arial"/>
          <w:sz w:val="20"/>
          <w:szCs w:val="20"/>
        </w:rPr>
        <w:t xml:space="preserve">  The</w:t>
      </w:r>
      <w:r w:rsidR="005021BE">
        <w:rPr>
          <w:rFonts w:ascii="Arial" w:hAnsi="Arial" w:cs="Arial"/>
          <w:sz w:val="20"/>
          <w:szCs w:val="20"/>
        </w:rPr>
        <w:t xml:space="preserve"> accelerators are physical l</w:t>
      </w:r>
      <w:r>
        <w:rPr>
          <w:rFonts w:ascii="Arial" w:hAnsi="Arial" w:cs="Arial"/>
          <w:sz w:val="20"/>
          <w:szCs w:val="20"/>
        </w:rPr>
        <w:t xml:space="preserve">ocations that provide space and programs to help early-stage companies accelerate their growth.  </w:t>
      </w:r>
    </w:p>
    <w:p w14:paraId="7283865E" w14:textId="77777777" w:rsidR="001E0739" w:rsidRPr="001C5BA8" w:rsidRDefault="001E0739" w:rsidP="008F7992">
      <w:pPr>
        <w:jc w:val="both"/>
        <w:rPr>
          <w:rFonts w:ascii="Arial" w:hAnsi="Arial" w:cs="Arial"/>
          <w:szCs w:val="20"/>
        </w:rPr>
      </w:pPr>
    </w:p>
    <w:p w14:paraId="3AC6A794" w14:textId="77777777" w:rsidR="001E0739" w:rsidRDefault="001E0739" w:rsidP="008F7992">
      <w:pPr>
        <w:jc w:val="both"/>
        <w:rPr>
          <w:rFonts w:ascii="Arial" w:hAnsi="Arial" w:cs="Arial"/>
          <w:b/>
          <w:bCs/>
        </w:rPr>
      </w:pPr>
      <w:r w:rsidRPr="006C51EC">
        <w:rPr>
          <w:rFonts w:ascii="Arial" w:hAnsi="Arial" w:cs="Arial"/>
          <w:b/>
          <w:bCs/>
        </w:rPr>
        <w:t>Core Functions/Idaho Code</w:t>
      </w:r>
    </w:p>
    <w:p w14:paraId="7217B41A" w14:textId="77777777" w:rsidR="007B230E" w:rsidRDefault="007B230E" w:rsidP="008F7992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Pursuant to Title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15 U.S.C. § 648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authorizes the State Board of Education to outline requirements in order to provide assistance towards small business development.</w:t>
      </w:r>
    </w:p>
    <w:p w14:paraId="12653366" w14:textId="77777777" w:rsidR="007B230E" w:rsidRPr="00202AAE" w:rsidRDefault="007B230E" w:rsidP="008F7992">
      <w:pPr>
        <w:jc w:val="both"/>
        <w:rPr>
          <w:rFonts w:ascii="Arial" w:hAnsi="Arial" w:cs="Arial"/>
          <w:b/>
          <w:bCs/>
          <w:sz w:val="20"/>
        </w:rPr>
      </w:pPr>
    </w:p>
    <w:p w14:paraId="4F717D89" w14:textId="77777777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4A1C">
        <w:rPr>
          <w:rFonts w:ascii="Arial" w:hAnsi="Arial" w:cs="Arial"/>
          <w:sz w:val="20"/>
          <w:szCs w:val="20"/>
        </w:rPr>
        <w:t>The Idaho Small Business Development Center has two basic functions—</w:t>
      </w:r>
      <w:r w:rsidR="007E296C">
        <w:rPr>
          <w:rFonts w:ascii="Arial" w:hAnsi="Arial" w:cs="Arial"/>
          <w:sz w:val="20"/>
          <w:szCs w:val="20"/>
        </w:rPr>
        <w:t>coaching/</w:t>
      </w:r>
      <w:r w:rsidRPr="001F4A1C">
        <w:rPr>
          <w:rFonts w:ascii="Arial" w:hAnsi="Arial" w:cs="Arial"/>
          <w:sz w:val="20"/>
          <w:szCs w:val="20"/>
        </w:rPr>
        <w:t xml:space="preserve">consulting and training.  </w:t>
      </w:r>
    </w:p>
    <w:p w14:paraId="4FE9D46C" w14:textId="77777777" w:rsidR="00666D5E" w:rsidRPr="001F4A1C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8872367" w14:textId="77777777" w:rsidR="00256051" w:rsidRDefault="007E296C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Coaching/Consulting - T</w:t>
      </w:r>
      <w:r w:rsidR="00666D5E" w:rsidRPr="001F4A1C">
        <w:rPr>
          <w:rFonts w:ascii="Arial" w:hAnsi="Arial" w:cs="Arial"/>
          <w:sz w:val="20"/>
          <w:szCs w:val="20"/>
        </w:rPr>
        <w:t>he I</w:t>
      </w:r>
      <w:r w:rsidR="001A694F" w:rsidRPr="001F4A1C">
        <w:rPr>
          <w:rFonts w:ascii="Arial" w:hAnsi="Arial" w:cs="Arial"/>
          <w:sz w:val="20"/>
          <w:szCs w:val="20"/>
        </w:rPr>
        <w:t xml:space="preserve">daho </w:t>
      </w:r>
      <w:r w:rsidR="00666D5E" w:rsidRPr="001F4A1C">
        <w:rPr>
          <w:rFonts w:ascii="Arial" w:hAnsi="Arial" w:cs="Arial"/>
          <w:sz w:val="20"/>
          <w:szCs w:val="20"/>
        </w:rPr>
        <w:t xml:space="preserve">SBDC provides </w:t>
      </w:r>
      <w:r>
        <w:rPr>
          <w:rFonts w:ascii="Arial" w:hAnsi="Arial" w:cs="Arial"/>
          <w:sz w:val="20"/>
          <w:szCs w:val="20"/>
        </w:rPr>
        <w:t>confidential, no-cost</w:t>
      </w:r>
      <w:r w:rsidR="00256051">
        <w:rPr>
          <w:rFonts w:ascii="Arial" w:hAnsi="Arial" w:cs="Arial"/>
          <w:sz w:val="20"/>
          <w:szCs w:val="20"/>
        </w:rPr>
        <w:t>, i</w:t>
      </w:r>
      <w:r w:rsidR="00256051" w:rsidRPr="001F4A1C">
        <w:rPr>
          <w:rFonts w:ascii="Arial" w:hAnsi="Arial" w:cs="Arial"/>
          <w:sz w:val="20"/>
          <w:szCs w:val="20"/>
        </w:rPr>
        <w:t>ndividualized</w:t>
      </w:r>
      <w:r w:rsidR="00666D5E" w:rsidRPr="001F4A1C">
        <w:rPr>
          <w:rFonts w:ascii="Arial" w:hAnsi="Arial" w:cs="Arial"/>
          <w:sz w:val="20"/>
          <w:szCs w:val="20"/>
        </w:rPr>
        <w:t xml:space="preserve"> business consulting</w:t>
      </w:r>
      <w:r>
        <w:rPr>
          <w:rFonts w:ascii="Arial" w:hAnsi="Arial" w:cs="Arial"/>
          <w:sz w:val="20"/>
          <w:szCs w:val="20"/>
        </w:rPr>
        <w:t xml:space="preserve"> and coaching</w:t>
      </w:r>
      <w:r w:rsidR="00666D5E" w:rsidRPr="001F4A1C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help </w:t>
      </w:r>
      <w:r w:rsidR="00666D5E" w:rsidRPr="001F4A1C">
        <w:rPr>
          <w:rFonts w:ascii="Arial" w:hAnsi="Arial" w:cs="Arial"/>
          <w:sz w:val="20"/>
          <w:szCs w:val="20"/>
        </w:rPr>
        <w:t>small business owners and entrepreneurs</w:t>
      </w:r>
      <w:r>
        <w:rPr>
          <w:rFonts w:ascii="Arial" w:hAnsi="Arial" w:cs="Arial"/>
          <w:sz w:val="20"/>
          <w:szCs w:val="20"/>
        </w:rPr>
        <w:t xml:space="preserve"> increase their knowledge, skills, and abilities for running a successful business</w:t>
      </w:r>
      <w:r w:rsidR="00666D5E" w:rsidRPr="00256051">
        <w:rPr>
          <w:rFonts w:ascii="Arial" w:hAnsi="Arial" w:cs="Arial"/>
          <w:sz w:val="20"/>
          <w:szCs w:val="20"/>
        </w:rPr>
        <w:t>.  Primary consulting is accomplished with a small core staff of professionals</w:t>
      </w:r>
      <w:r w:rsidRPr="00256051">
        <w:rPr>
          <w:rFonts w:ascii="Arial" w:hAnsi="Arial" w:cs="Arial"/>
          <w:sz w:val="20"/>
          <w:szCs w:val="20"/>
        </w:rPr>
        <w:t>, mo</w:t>
      </w:r>
      <w:r w:rsidR="00666D5E" w:rsidRPr="00256051">
        <w:rPr>
          <w:rFonts w:ascii="Arial" w:hAnsi="Arial" w:cs="Arial"/>
          <w:sz w:val="20"/>
          <w:szCs w:val="20"/>
        </w:rPr>
        <w:t xml:space="preserve">st </w:t>
      </w:r>
      <w:r w:rsidRPr="00256051">
        <w:rPr>
          <w:rFonts w:ascii="Arial" w:hAnsi="Arial" w:cs="Arial"/>
          <w:sz w:val="20"/>
          <w:szCs w:val="20"/>
        </w:rPr>
        <w:t>with</w:t>
      </w:r>
      <w:r w:rsidR="00666D5E" w:rsidRPr="00256051">
        <w:rPr>
          <w:rFonts w:ascii="Arial" w:hAnsi="Arial" w:cs="Arial"/>
          <w:sz w:val="20"/>
          <w:szCs w:val="20"/>
        </w:rPr>
        <w:t xml:space="preserve"> advanced degrees and five years or more of small business ownership/management experience.  Business </w:t>
      </w:r>
      <w:r w:rsidRPr="00256051">
        <w:rPr>
          <w:rFonts w:ascii="Arial" w:hAnsi="Arial" w:cs="Arial"/>
          <w:sz w:val="20"/>
          <w:szCs w:val="20"/>
        </w:rPr>
        <w:t>coaching/consulting</w:t>
      </w:r>
      <w:r w:rsidR="00666D5E" w:rsidRPr="00256051">
        <w:rPr>
          <w:rFonts w:ascii="Arial" w:hAnsi="Arial" w:cs="Arial"/>
          <w:sz w:val="20"/>
          <w:szCs w:val="20"/>
        </w:rPr>
        <w:t xml:space="preserve"> is designed to provide in-depth business assistance in areas such as marketing, finance, management, production</w:t>
      </w:r>
      <w:r w:rsidR="00D8622D">
        <w:rPr>
          <w:rFonts w:ascii="Arial" w:hAnsi="Arial" w:cs="Arial"/>
          <w:sz w:val="20"/>
          <w:szCs w:val="20"/>
        </w:rPr>
        <w:t>, innovation, government contracting</w:t>
      </w:r>
      <w:r w:rsidR="00666D5E" w:rsidRPr="00256051">
        <w:rPr>
          <w:rFonts w:ascii="Arial" w:hAnsi="Arial" w:cs="Arial"/>
          <w:sz w:val="20"/>
          <w:szCs w:val="20"/>
        </w:rPr>
        <w:t xml:space="preserve"> and overall business planning.  </w:t>
      </w:r>
    </w:p>
    <w:p w14:paraId="5365FD09" w14:textId="77777777" w:rsidR="00D8622D" w:rsidRDefault="00D8622D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AA91B37" w14:textId="77777777" w:rsidR="00666D5E" w:rsidRPr="00256051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256051">
        <w:rPr>
          <w:rFonts w:ascii="Arial" w:hAnsi="Arial" w:cs="Arial"/>
          <w:sz w:val="20"/>
          <w:szCs w:val="20"/>
        </w:rPr>
        <w:t>Faculty and students at each institution expand the Center’s k</w:t>
      </w:r>
      <w:r w:rsidR="001353E3" w:rsidRPr="00256051">
        <w:rPr>
          <w:rFonts w:ascii="Arial" w:hAnsi="Arial" w:cs="Arial"/>
          <w:sz w:val="20"/>
          <w:szCs w:val="20"/>
        </w:rPr>
        <w:t>nowledge and resource base and</w:t>
      </w:r>
      <w:r w:rsidRPr="00256051">
        <w:rPr>
          <w:rFonts w:ascii="Arial" w:hAnsi="Arial" w:cs="Arial"/>
          <w:sz w:val="20"/>
          <w:szCs w:val="20"/>
        </w:rPr>
        <w:t xml:space="preserve"> provide direct assistance in appropriate cases</w:t>
      </w:r>
      <w:r w:rsidR="003D3F19" w:rsidRPr="00256051">
        <w:rPr>
          <w:rFonts w:ascii="Arial" w:hAnsi="Arial" w:cs="Arial"/>
          <w:sz w:val="20"/>
          <w:szCs w:val="20"/>
        </w:rPr>
        <w:t xml:space="preserve"> working directly with business owners and entrepreneurs on specific projects.  </w:t>
      </w:r>
      <w:r w:rsidRPr="00256051">
        <w:rPr>
          <w:rFonts w:ascii="Arial" w:hAnsi="Arial" w:cs="Arial"/>
          <w:sz w:val="20"/>
          <w:szCs w:val="20"/>
        </w:rPr>
        <w:t xml:space="preserve">The </w:t>
      </w:r>
      <w:r w:rsidR="00652026" w:rsidRPr="00256051">
        <w:rPr>
          <w:rFonts w:ascii="Arial" w:hAnsi="Arial" w:cs="Arial"/>
          <w:sz w:val="20"/>
          <w:szCs w:val="20"/>
        </w:rPr>
        <w:t>students are</w:t>
      </w:r>
      <w:r w:rsidRPr="00256051">
        <w:rPr>
          <w:rFonts w:ascii="Arial" w:hAnsi="Arial" w:cs="Arial"/>
          <w:sz w:val="20"/>
          <w:szCs w:val="20"/>
        </w:rPr>
        <w:t xml:space="preserve"> provided the opportunity, under the direction of professional staff and faculty, to apply classroom learning in real-world situations.  ‘Real-world’ laboratory experience for our college and university faculty and students provides long-term benefits to the business community and helps the academic institutions remain current on needs, problems, and opportunities of Idaho’s business sector.</w:t>
      </w:r>
    </w:p>
    <w:p w14:paraId="1485B166" w14:textId="77777777" w:rsidR="00666D5E" w:rsidRPr="00256051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7F3542B" w14:textId="77777777" w:rsidR="00666D5E" w:rsidRDefault="00666D5E" w:rsidP="008F7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256051">
        <w:rPr>
          <w:rFonts w:ascii="Arial" w:hAnsi="Arial" w:cs="Arial"/>
          <w:sz w:val="20"/>
          <w:szCs w:val="20"/>
        </w:rPr>
        <w:t>The I</w:t>
      </w:r>
      <w:r w:rsidR="001A694F" w:rsidRPr="00256051">
        <w:rPr>
          <w:rFonts w:ascii="Arial" w:hAnsi="Arial" w:cs="Arial"/>
          <w:sz w:val="20"/>
          <w:szCs w:val="20"/>
        </w:rPr>
        <w:t xml:space="preserve">daho </w:t>
      </w:r>
      <w:r w:rsidRPr="00256051">
        <w:rPr>
          <w:rFonts w:ascii="Arial" w:hAnsi="Arial" w:cs="Arial"/>
          <w:sz w:val="20"/>
          <w:szCs w:val="20"/>
        </w:rPr>
        <w:t>SBDC also provides low-cost, non-credit training</w:t>
      </w:r>
      <w:r w:rsidRPr="002560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56051">
        <w:rPr>
          <w:rFonts w:ascii="Arial" w:hAnsi="Arial" w:cs="Arial"/>
          <w:sz w:val="20"/>
          <w:szCs w:val="20"/>
        </w:rPr>
        <w:t xml:space="preserve">to improve business skills.  </w:t>
      </w:r>
      <w:r w:rsidR="00FA5457" w:rsidRPr="00256051">
        <w:rPr>
          <w:rFonts w:ascii="Arial" w:hAnsi="Arial" w:cs="Arial"/>
          <w:sz w:val="20"/>
          <w:szCs w:val="20"/>
        </w:rPr>
        <w:t>Workshops, primarily directed at busines</w:t>
      </w:r>
      <w:r w:rsidR="007B1582" w:rsidRPr="00256051">
        <w:rPr>
          <w:rFonts w:ascii="Arial" w:hAnsi="Arial" w:cs="Arial"/>
          <w:sz w:val="20"/>
          <w:szCs w:val="20"/>
        </w:rPr>
        <w:t xml:space="preserve">s owners, are typically </w:t>
      </w:r>
      <w:r w:rsidR="000B4C7E">
        <w:rPr>
          <w:rFonts w:ascii="Arial" w:hAnsi="Arial" w:cs="Arial"/>
          <w:sz w:val="20"/>
          <w:szCs w:val="20"/>
        </w:rPr>
        <w:t>2</w:t>
      </w:r>
      <w:r w:rsidR="007B1582" w:rsidRPr="00256051">
        <w:rPr>
          <w:rFonts w:ascii="Arial" w:hAnsi="Arial" w:cs="Arial"/>
          <w:sz w:val="20"/>
          <w:szCs w:val="20"/>
        </w:rPr>
        <w:t xml:space="preserve"> – 4 hours in length and attended by 1</w:t>
      </w:r>
      <w:r w:rsidR="000B4C7E">
        <w:rPr>
          <w:rFonts w:ascii="Arial" w:hAnsi="Arial" w:cs="Arial"/>
          <w:sz w:val="20"/>
          <w:szCs w:val="20"/>
        </w:rPr>
        <w:t>0</w:t>
      </w:r>
      <w:r w:rsidR="007B1582" w:rsidRPr="00256051">
        <w:rPr>
          <w:rFonts w:ascii="Arial" w:hAnsi="Arial" w:cs="Arial"/>
          <w:sz w:val="20"/>
          <w:szCs w:val="20"/>
        </w:rPr>
        <w:t xml:space="preserve"> – </w:t>
      </w:r>
      <w:r w:rsidR="000B4C7E">
        <w:rPr>
          <w:rFonts w:ascii="Arial" w:hAnsi="Arial" w:cs="Arial"/>
          <w:sz w:val="20"/>
          <w:szCs w:val="20"/>
        </w:rPr>
        <w:t>25</w:t>
      </w:r>
      <w:r w:rsidR="007B1582" w:rsidRPr="00256051">
        <w:rPr>
          <w:rFonts w:ascii="Arial" w:hAnsi="Arial" w:cs="Arial"/>
          <w:sz w:val="20"/>
          <w:szCs w:val="20"/>
        </w:rPr>
        <w:t xml:space="preserve"> particip</w:t>
      </w:r>
      <w:r w:rsidRPr="00256051">
        <w:rPr>
          <w:rFonts w:ascii="Arial" w:hAnsi="Arial" w:cs="Arial"/>
          <w:sz w:val="20"/>
          <w:szCs w:val="20"/>
        </w:rPr>
        <w:t>ants</w:t>
      </w:r>
      <w:r w:rsidR="007B1582" w:rsidRPr="00256051">
        <w:rPr>
          <w:rFonts w:ascii="Arial" w:hAnsi="Arial" w:cs="Arial"/>
          <w:sz w:val="20"/>
          <w:szCs w:val="20"/>
        </w:rPr>
        <w:t xml:space="preserve">.  Training </w:t>
      </w:r>
      <w:r w:rsidRPr="00256051">
        <w:rPr>
          <w:rFonts w:ascii="Arial" w:hAnsi="Arial" w:cs="Arial"/>
          <w:sz w:val="20"/>
          <w:szCs w:val="20"/>
        </w:rPr>
        <w:t>cover</w:t>
      </w:r>
      <w:r w:rsidR="007B1582" w:rsidRPr="00256051">
        <w:rPr>
          <w:rFonts w:ascii="Arial" w:hAnsi="Arial" w:cs="Arial"/>
          <w:sz w:val="20"/>
          <w:szCs w:val="20"/>
        </w:rPr>
        <w:t>s</w:t>
      </w:r>
      <w:r w:rsidRPr="00256051">
        <w:rPr>
          <w:rFonts w:ascii="Arial" w:hAnsi="Arial" w:cs="Arial"/>
          <w:sz w:val="20"/>
          <w:szCs w:val="20"/>
        </w:rPr>
        <w:t xml:space="preserve"> topics such as marketing, accounting, management, finance, </w:t>
      </w:r>
      <w:r w:rsidR="00256051">
        <w:rPr>
          <w:rFonts w:ascii="Arial" w:hAnsi="Arial" w:cs="Arial"/>
          <w:sz w:val="20"/>
          <w:szCs w:val="20"/>
        </w:rPr>
        <w:t xml:space="preserve">social media, </w:t>
      </w:r>
      <w:r w:rsidRPr="00256051">
        <w:rPr>
          <w:rFonts w:ascii="Arial" w:hAnsi="Arial" w:cs="Arial"/>
          <w:sz w:val="20"/>
          <w:szCs w:val="20"/>
        </w:rPr>
        <w:t xml:space="preserve">etc.  A variety of faculty, staff and private sector experts are used to ensure timely, useful material </w:t>
      </w:r>
      <w:r w:rsidR="00256051">
        <w:rPr>
          <w:rFonts w:ascii="Arial" w:hAnsi="Arial" w:cs="Arial"/>
          <w:sz w:val="20"/>
          <w:szCs w:val="20"/>
        </w:rPr>
        <w:t>is</w:t>
      </w:r>
      <w:r w:rsidRPr="00256051">
        <w:rPr>
          <w:rFonts w:ascii="Arial" w:hAnsi="Arial" w:cs="Arial"/>
          <w:sz w:val="20"/>
          <w:szCs w:val="20"/>
        </w:rPr>
        <w:t xml:space="preserve"> presented by a subject-matter expert</w:t>
      </w:r>
      <w:r w:rsidR="003D3F19" w:rsidRPr="00256051">
        <w:rPr>
          <w:rFonts w:ascii="Arial" w:hAnsi="Arial" w:cs="Arial"/>
          <w:sz w:val="20"/>
          <w:szCs w:val="20"/>
        </w:rPr>
        <w:t>.</w:t>
      </w:r>
      <w:r w:rsidRPr="00256051">
        <w:rPr>
          <w:rFonts w:ascii="Arial" w:hAnsi="Arial" w:cs="Arial"/>
          <w:sz w:val="20"/>
          <w:szCs w:val="20"/>
        </w:rPr>
        <w:t xml:space="preserve"> A standard training format allows the I</w:t>
      </w:r>
      <w:r w:rsidR="001A694F" w:rsidRPr="00256051">
        <w:rPr>
          <w:rFonts w:ascii="Arial" w:hAnsi="Arial" w:cs="Arial"/>
          <w:sz w:val="20"/>
          <w:szCs w:val="20"/>
        </w:rPr>
        <w:t xml:space="preserve">daho </w:t>
      </w:r>
      <w:r w:rsidRPr="00256051">
        <w:rPr>
          <w:rFonts w:ascii="Arial" w:hAnsi="Arial" w:cs="Arial"/>
          <w:sz w:val="20"/>
          <w:szCs w:val="20"/>
        </w:rPr>
        <w:t>SBDC to provide consistent, cost-effective training throughout the state.</w:t>
      </w:r>
    </w:p>
    <w:p w14:paraId="7CF0E5B6" w14:textId="77777777" w:rsidR="00D8622D" w:rsidRDefault="00D8622D" w:rsidP="001C5BA8">
      <w:pPr>
        <w:jc w:val="both"/>
        <w:rPr>
          <w:rFonts w:ascii="Arial" w:hAnsi="Arial" w:cs="Arial"/>
          <w:b/>
          <w:bCs/>
        </w:rPr>
      </w:pPr>
    </w:p>
    <w:p w14:paraId="40A96D21" w14:textId="77777777" w:rsidR="001E0739" w:rsidRPr="00C21992" w:rsidRDefault="00DA6FBC" w:rsidP="001C5BA8">
      <w:pPr>
        <w:jc w:val="both"/>
        <w:rPr>
          <w:rFonts w:ascii="Arial" w:hAnsi="Arial" w:cs="Arial"/>
          <w:b/>
          <w:bCs/>
        </w:rPr>
      </w:pPr>
      <w:r w:rsidRPr="00C21992">
        <w:rPr>
          <w:rFonts w:ascii="Arial" w:hAnsi="Arial" w:cs="Arial"/>
          <w:b/>
          <w:bCs/>
        </w:rPr>
        <w:lastRenderedPageBreak/>
        <w:t>Revenue and Expenditures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6"/>
        <w:gridCol w:w="1801"/>
        <w:gridCol w:w="1801"/>
        <w:gridCol w:w="1801"/>
        <w:gridCol w:w="1801"/>
      </w:tblGrid>
      <w:tr w:rsidR="00D91C89" w:rsidRPr="00C21992" w14:paraId="684C7D27" w14:textId="77777777" w:rsidTr="0091509B">
        <w:tc>
          <w:tcPr>
            <w:tcW w:w="2866" w:type="dxa"/>
            <w:shd w:val="clear" w:color="auto" w:fill="000080"/>
          </w:tcPr>
          <w:p w14:paraId="3ECC6820" w14:textId="77777777" w:rsidR="00D91C89" w:rsidRPr="00C21992" w:rsidRDefault="00D91C89" w:rsidP="00D91C89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0" w:name="OLE_LINK3"/>
            <w:bookmarkStart w:id="1" w:name="OLE_LINK4"/>
            <w:r w:rsidRPr="00C21992"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1" w:type="dxa"/>
            <w:shd w:val="clear" w:color="auto" w:fill="000080"/>
          </w:tcPr>
          <w:p w14:paraId="42C364FF" w14:textId="5FC8E581" w:rsidR="00D91C89" w:rsidRPr="00C21992" w:rsidRDefault="00161126" w:rsidP="00D91C8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801" w:type="dxa"/>
            <w:shd w:val="clear" w:color="auto" w:fill="000080"/>
          </w:tcPr>
          <w:p w14:paraId="5D066E84" w14:textId="497AEC51" w:rsidR="00D91C89" w:rsidRPr="00C21992" w:rsidRDefault="00161126" w:rsidP="00D91C8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01" w:type="dxa"/>
            <w:shd w:val="clear" w:color="auto" w:fill="000080"/>
          </w:tcPr>
          <w:p w14:paraId="5ACA9CA9" w14:textId="75B11505" w:rsidR="00D91C89" w:rsidRPr="00C21992" w:rsidRDefault="00161126" w:rsidP="00D91C8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801" w:type="dxa"/>
            <w:shd w:val="clear" w:color="auto" w:fill="002774"/>
          </w:tcPr>
          <w:p w14:paraId="29E8F003" w14:textId="51784025" w:rsidR="00D91C89" w:rsidRPr="000E39D9" w:rsidRDefault="00161126" w:rsidP="00D91C8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FY 2022</w:t>
            </w:r>
          </w:p>
        </w:tc>
      </w:tr>
      <w:tr w:rsidR="00161126" w:rsidRPr="00C21992" w14:paraId="01B0DBF5" w14:textId="77777777" w:rsidTr="001D1BE1">
        <w:tc>
          <w:tcPr>
            <w:tcW w:w="2866" w:type="dxa"/>
            <w:vAlign w:val="bottom"/>
          </w:tcPr>
          <w:p w14:paraId="596A27BE" w14:textId="77777777" w:rsidR="00161126" w:rsidRPr="00C21992" w:rsidRDefault="00161126" w:rsidP="00161126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2199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Revenue</w:t>
            </w:r>
          </w:p>
        </w:tc>
        <w:tc>
          <w:tcPr>
            <w:tcW w:w="1801" w:type="dxa"/>
          </w:tcPr>
          <w:p w14:paraId="58839769" w14:textId="2A9CEB96" w:rsidR="00161126" w:rsidRPr="00C21992" w:rsidRDefault="00161126" w:rsidP="00161126">
            <w:pPr>
              <w:tabs>
                <w:tab w:val="center" w:pos="793"/>
                <w:tab w:val="right" w:pos="1587"/>
              </w:tabs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u w:val="single"/>
              </w:rPr>
            </w:pPr>
            <w:r w:rsidRPr="00C21992">
              <w:rPr>
                <w:rFonts w:ascii="Arial" w:eastAsia="Arial Unicode MS" w:hAnsi="Arial" w:cs="Arial"/>
                <w:color w:val="000000"/>
                <w:sz w:val="20"/>
                <w:szCs w:val="20"/>
                <w:u w:val="single"/>
              </w:rPr>
              <w:t>$6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val="single"/>
              </w:rPr>
              <w:t>73,000</w:t>
            </w:r>
          </w:p>
        </w:tc>
        <w:tc>
          <w:tcPr>
            <w:tcW w:w="1801" w:type="dxa"/>
          </w:tcPr>
          <w:p w14:paraId="4B548CDB" w14:textId="61069A27" w:rsidR="00161126" w:rsidRPr="00C21992" w:rsidRDefault="00161126" w:rsidP="00161126">
            <w:pPr>
              <w:tabs>
                <w:tab w:val="center" w:pos="793"/>
                <w:tab w:val="right" w:pos="1587"/>
              </w:tabs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val="single"/>
              </w:rPr>
              <w:t>$686,700</w:t>
            </w:r>
          </w:p>
        </w:tc>
        <w:tc>
          <w:tcPr>
            <w:tcW w:w="1801" w:type="dxa"/>
            <w:shd w:val="clear" w:color="auto" w:fill="auto"/>
          </w:tcPr>
          <w:p w14:paraId="05AC951D" w14:textId="5554C101" w:rsidR="00161126" w:rsidRPr="00C21992" w:rsidRDefault="00161126" w:rsidP="00161126">
            <w:pPr>
              <w:tabs>
                <w:tab w:val="center" w:pos="793"/>
                <w:tab w:val="right" w:pos="1587"/>
              </w:tabs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u w:val="single"/>
              </w:rPr>
            </w:pPr>
            <w:r w:rsidRPr="000E39D9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$</w:t>
            </w:r>
            <w:r>
              <w:rPr>
                <w:rFonts w:ascii="Arial" w:eastAsia="Arial Unicode MS" w:hAnsi="Arial" w:cs="Arial"/>
                <w:sz w:val="20"/>
                <w:szCs w:val="20"/>
                <w:u w:val="single"/>
              </w:rPr>
              <w:t>647,300</w:t>
            </w:r>
          </w:p>
        </w:tc>
        <w:tc>
          <w:tcPr>
            <w:tcW w:w="1801" w:type="dxa"/>
            <w:shd w:val="clear" w:color="auto" w:fill="auto"/>
          </w:tcPr>
          <w:p w14:paraId="48E12E0F" w14:textId="4C164B6C" w:rsidR="00161126" w:rsidRPr="000E39D9" w:rsidRDefault="00161126" w:rsidP="00161126">
            <w:pPr>
              <w:tabs>
                <w:tab w:val="center" w:pos="793"/>
                <w:tab w:val="right" w:pos="1587"/>
              </w:tabs>
              <w:jc w:val="right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</w:p>
        </w:tc>
      </w:tr>
      <w:tr w:rsidR="00161126" w:rsidRPr="00C21992" w14:paraId="6078BF07" w14:textId="77777777" w:rsidTr="001D1BE1">
        <w:tc>
          <w:tcPr>
            <w:tcW w:w="2866" w:type="dxa"/>
            <w:vAlign w:val="bottom"/>
          </w:tcPr>
          <w:p w14:paraId="78F2E5B2" w14:textId="77777777" w:rsidR="00161126" w:rsidRPr="00C21992" w:rsidRDefault="00161126" w:rsidP="00161126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C2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1" w:type="dxa"/>
          </w:tcPr>
          <w:p w14:paraId="1962D781" w14:textId="2F7D205A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73,000</w:t>
            </w:r>
          </w:p>
        </w:tc>
        <w:tc>
          <w:tcPr>
            <w:tcW w:w="1801" w:type="dxa"/>
          </w:tcPr>
          <w:p w14:paraId="7FF22163" w14:textId="6E4EE021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$686,700</w:t>
            </w:r>
          </w:p>
        </w:tc>
        <w:tc>
          <w:tcPr>
            <w:tcW w:w="1801" w:type="dxa"/>
            <w:shd w:val="clear" w:color="auto" w:fill="auto"/>
          </w:tcPr>
          <w:p w14:paraId="06F7D5A5" w14:textId="62F93E1C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39D9">
              <w:rPr>
                <w:rFonts w:ascii="Arial" w:hAnsi="Arial" w:cs="Arial"/>
                <w:b/>
                <w:bCs/>
                <w:sz w:val="20"/>
                <w:szCs w:val="20"/>
              </w:rPr>
              <w:t>$6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47,300</w:t>
            </w:r>
          </w:p>
        </w:tc>
        <w:tc>
          <w:tcPr>
            <w:tcW w:w="1801" w:type="dxa"/>
            <w:shd w:val="clear" w:color="auto" w:fill="auto"/>
          </w:tcPr>
          <w:p w14:paraId="6CCBC606" w14:textId="4466538D" w:rsidR="00161126" w:rsidRPr="000E39D9" w:rsidRDefault="00161126" w:rsidP="001611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126" w:rsidRPr="00C21992" w14:paraId="3DCBFF9C" w14:textId="77777777" w:rsidTr="0091509B">
        <w:tc>
          <w:tcPr>
            <w:tcW w:w="2866" w:type="dxa"/>
            <w:shd w:val="clear" w:color="auto" w:fill="000080"/>
          </w:tcPr>
          <w:p w14:paraId="13454A49" w14:textId="77777777" w:rsidR="00161126" w:rsidRPr="00C21992" w:rsidRDefault="00161126" w:rsidP="0016112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21992"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801" w:type="dxa"/>
            <w:shd w:val="clear" w:color="auto" w:fill="000080"/>
          </w:tcPr>
          <w:p w14:paraId="643F84B8" w14:textId="1DFAA83F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801" w:type="dxa"/>
            <w:shd w:val="clear" w:color="auto" w:fill="000080"/>
          </w:tcPr>
          <w:p w14:paraId="73D37B81" w14:textId="2C253226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01" w:type="dxa"/>
            <w:shd w:val="clear" w:color="auto" w:fill="000080"/>
          </w:tcPr>
          <w:p w14:paraId="1335FCF3" w14:textId="45BE351A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801" w:type="dxa"/>
            <w:shd w:val="clear" w:color="auto" w:fill="002774"/>
          </w:tcPr>
          <w:p w14:paraId="1935BE23" w14:textId="2A9F6AA2" w:rsidR="00161126" w:rsidRPr="000E39D9" w:rsidRDefault="00161126" w:rsidP="00161126">
            <w:pPr>
              <w:tabs>
                <w:tab w:val="left" w:pos="245"/>
                <w:tab w:val="right" w:pos="1585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FY 2022</w:t>
            </w:r>
          </w:p>
        </w:tc>
      </w:tr>
      <w:tr w:rsidR="00161126" w:rsidRPr="00C21992" w14:paraId="04E16467" w14:textId="77777777" w:rsidTr="00F97CFA">
        <w:tc>
          <w:tcPr>
            <w:tcW w:w="2866" w:type="dxa"/>
          </w:tcPr>
          <w:p w14:paraId="5619D4AB" w14:textId="7BD27F4A" w:rsidR="00161126" w:rsidRPr="00C21992" w:rsidRDefault="00161126" w:rsidP="00161126">
            <w:pPr>
              <w:jc w:val="both"/>
              <w:rPr>
                <w:rFonts w:ascii="Arial" w:hAnsi="Arial" w:cs="Arial"/>
                <w:sz w:val="20"/>
              </w:rPr>
            </w:pPr>
            <w:r w:rsidRPr="00C21992">
              <w:rPr>
                <w:rFonts w:ascii="Arial" w:hAnsi="Arial" w:cs="Arial"/>
                <w:sz w:val="20"/>
              </w:rPr>
              <w:t>Personnel Costs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01" w:type="dxa"/>
          </w:tcPr>
          <w:p w14:paraId="38008B86" w14:textId="66BC7A9D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$661,300</w:t>
            </w:r>
          </w:p>
        </w:tc>
        <w:tc>
          <w:tcPr>
            <w:tcW w:w="1801" w:type="dxa"/>
          </w:tcPr>
          <w:p w14:paraId="07F560A3" w14:textId="67B8CBC0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$678,700</w:t>
            </w:r>
          </w:p>
        </w:tc>
        <w:tc>
          <w:tcPr>
            <w:tcW w:w="1801" w:type="dxa"/>
            <w:shd w:val="clear" w:color="auto" w:fill="auto"/>
          </w:tcPr>
          <w:p w14:paraId="6B88EF3B" w14:textId="376D621D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9D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639,500</w:t>
            </w:r>
          </w:p>
        </w:tc>
        <w:tc>
          <w:tcPr>
            <w:tcW w:w="1801" w:type="dxa"/>
            <w:shd w:val="clear" w:color="auto" w:fill="auto"/>
          </w:tcPr>
          <w:p w14:paraId="7F4E961A" w14:textId="222059C2" w:rsidR="00161126" w:rsidRPr="000E39D9" w:rsidRDefault="00161126" w:rsidP="0016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26" w:rsidRPr="00C21992" w14:paraId="5989B1AB" w14:textId="77777777" w:rsidTr="00F97CFA">
        <w:tc>
          <w:tcPr>
            <w:tcW w:w="2866" w:type="dxa"/>
          </w:tcPr>
          <w:p w14:paraId="55D567C2" w14:textId="556A3331" w:rsidR="00161126" w:rsidRPr="00C21992" w:rsidRDefault="00161126" w:rsidP="00161126">
            <w:pPr>
              <w:jc w:val="both"/>
              <w:rPr>
                <w:rFonts w:ascii="Arial" w:hAnsi="Arial" w:cs="Arial"/>
                <w:sz w:val="20"/>
              </w:rPr>
            </w:pPr>
            <w:r w:rsidRPr="00C21992"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801" w:type="dxa"/>
          </w:tcPr>
          <w:p w14:paraId="76FA5AFC" w14:textId="7A59B272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$8,000</w:t>
            </w:r>
          </w:p>
        </w:tc>
        <w:tc>
          <w:tcPr>
            <w:tcW w:w="1801" w:type="dxa"/>
          </w:tcPr>
          <w:p w14:paraId="7D8169C2" w14:textId="5E1FBD4B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$8,000</w:t>
            </w:r>
          </w:p>
        </w:tc>
        <w:tc>
          <w:tcPr>
            <w:tcW w:w="1801" w:type="dxa"/>
            <w:shd w:val="clear" w:color="auto" w:fill="auto"/>
          </w:tcPr>
          <w:p w14:paraId="68C32D30" w14:textId="02ADC615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9D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801" w:type="dxa"/>
            <w:shd w:val="clear" w:color="auto" w:fill="auto"/>
          </w:tcPr>
          <w:p w14:paraId="22A97211" w14:textId="2AF807CA" w:rsidR="00161126" w:rsidRPr="000E39D9" w:rsidRDefault="00161126" w:rsidP="0016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26" w:rsidRPr="00C21992" w14:paraId="6D8B9A14" w14:textId="77777777" w:rsidTr="00F97CFA">
        <w:tc>
          <w:tcPr>
            <w:tcW w:w="2866" w:type="dxa"/>
          </w:tcPr>
          <w:p w14:paraId="1271CF81" w14:textId="77777777" w:rsidR="00161126" w:rsidRPr="00C21992" w:rsidRDefault="00161126" w:rsidP="00161126">
            <w:pPr>
              <w:jc w:val="both"/>
              <w:rPr>
                <w:rFonts w:ascii="Arial" w:hAnsi="Arial" w:cs="Arial"/>
                <w:sz w:val="20"/>
              </w:rPr>
            </w:pPr>
            <w:r w:rsidRPr="00C21992"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1" w:type="dxa"/>
          </w:tcPr>
          <w:p w14:paraId="33324E4C" w14:textId="5F94D351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$3,700</w:t>
            </w:r>
          </w:p>
        </w:tc>
        <w:tc>
          <w:tcPr>
            <w:tcW w:w="1801" w:type="dxa"/>
          </w:tcPr>
          <w:p w14:paraId="2BF2898F" w14:textId="6B7BB366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01" w:type="dxa"/>
            <w:shd w:val="clear" w:color="auto" w:fill="auto"/>
          </w:tcPr>
          <w:p w14:paraId="12940586" w14:textId="039E5342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9D9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1" w:type="dxa"/>
            <w:shd w:val="clear" w:color="auto" w:fill="auto"/>
          </w:tcPr>
          <w:p w14:paraId="53A49F99" w14:textId="7E377E36" w:rsidR="00161126" w:rsidRPr="000E39D9" w:rsidRDefault="00161126" w:rsidP="0016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26" w:rsidRPr="00C21992" w14:paraId="3B990472" w14:textId="77777777" w:rsidTr="00F97CFA">
        <w:tc>
          <w:tcPr>
            <w:tcW w:w="2866" w:type="dxa"/>
          </w:tcPr>
          <w:p w14:paraId="1FA2E7E1" w14:textId="77777777" w:rsidR="00161126" w:rsidRPr="00C21992" w:rsidRDefault="00161126" w:rsidP="00161126">
            <w:pPr>
              <w:jc w:val="both"/>
              <w:rPr>
                <w:rFonts w:ascii="Arial" w:hAnsi="Arial" w:cs="Arial"/>
                <w:sz w:val="20"/>
              </w:rPr>
            </w:pPr>
            <w:r w:rsidRPr="00C21992"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1" w:type="dxa"/>
          </w:tcPr>
          <w:p w14:paraId="47A66AE5" w14:textId="6BECC08C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$0</w:t>
            </w:r>
          </w:p>
        </w:tc>
        <w:tc>
          <w:tcPr>
            <w:tcW w:w="1801" w:type="dxa"/>
          </w:tcPr>
          <w:p w14:paraId="565FA9F5" w14:textId="74A3B630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$0</w:t>
            </w:r>
          </w:p>
        </w:tc>
        <w:tc>
          <w:tcPr>
            <w:tcW w:w="1801" w:type="dxa"/>
            <w:shd w:val="clear" w:color="auto" w:fill="auto"/>
          </w:tcPr>
          <w:p w14:paraId="2F0802E2" w14:textId="47914F0A" w:rsidR="00161126" w:rsidRPr="00C21992" w:rsidRDefault="00161126" w:rsidP="00161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39D9">
              <w:rPr>
                <w:rFonts w:ascii="Arial" w:hAnsi="Arial" w:cs="Arial"/>
                <w:sz w:val="20"/>
                <w:szCs w:val="20"/>
                <w:u w:val="single"/>
              </w:rPr>
              <w:t>$0</w:t>
            </w:r>
          </w:p>
        </w:tc>
        <w:tc>
          <w:tcPr>
            <w:tcW w:w="1801" w:type="dxa"/>
            <w:shd w:val="clear" w:color="auto" w:fill="auto"/>
          </w:tcPr>
          <w:p w14:paraId="61635AA3" w14:textId="7CAC896D" w:rsidR="00161126" w:rsidRPr="000E39D9" w:rsidRDefault="00161126" w:rsidP="0016112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61126" w:rsidRPr="00C21992" w14:paraId="6C03224A" w14:textId="77777777" w:rsidTr="00F97CFA">
        <w:tc>
          <w:tcPr>
            <w:tcW w:w="2866" w:type="dxa"/>
          </w:tcPr>
          <w:p w14:paraId="784C4C19" w14:textId="77777777" w:rsidR="00161126" w:rsidRPr="00C21992" w:rsidRDefault="00161126" w:rsidP="00161126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1992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1" w:type="dxa"/>
          </w:tcPr>
          <w:p w14:paraId="22104E40" w14:textId="2C92195C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73,000</w:t>
            </w:r>
          </w:p>
        </w:tc>
        <w:tc>
          <w:tcPr>
            <w:tcW w:w="1801" w:type="dxa"/>
          </w:tcPr>
          <w:p w14:paraId="6696A7C4" w14:textId="7BE3B962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$686,700</w:t>
            </w:r>
          </w:p>
        </w:tc>
        <w:tc>
          <w:tcPr>
            <w:tcW w:w="1801" w:type="dxa"/>
            <w:shd w:val="clear" w:color="auto" w:fill="auto"/>
          </w:tcPr>
          <w:p w14:paraId="3CAF0516" w14:textId="6A4BD212" w:rsidR="00161126" w:rsidRPr="00C21992" w:rsidRDefault="00161126" w:rsidP="001611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39D9">
              <w:rPr>
                <w:rFonts w:ascii="Arial" w:hAnsi="Arial" w:cs="Arial"/>
                <w:b/>
                <w:bCs/>
                <w:sz w:val="20"/>
                <w:szCs w:val="20"/>
              </w:rPr>
              <w:t>$6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47,300</w:t>
            </w:r>
          </w:p>
        </w:tc>
        <w:tc>
          <w:tcPr>
            <w:tcW w:w="1801" w:type="dxa"/>
            <w:shd w:val="clear" w:color="auto" w:fill="auto"/>
          </w:tcPr>
          <w:p w14:paraId="2162F2A3" w14:textId="7EB5D7BA" w:rsidR="00161126" w:rsidRPr="000E39D9" w:rsidRDefault="00161126" w:rsidP="001611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0"/>
    <w:bookmarkEnd w:id="1"/>
    <w:p w14:paraId="03B2D1D5" w14:textId="7D570838" w:rsidR="004C582C" w:rsidRPr="00B46283" w:rsidRDefault="003D3F19" w:rsidP="001C5BA8">
      <w:pPr>
        <w:jc w:val="both"/>
        <w:rPr>
          <w:rFonts w:ascii="Arial" w:hAnsi="Arial" w:cs="Arial"/>
          <w:sz w:val="18"/>
          <w:szCs w:val="18"/>
        </w:rPr>
      </w:pPr>
      <w:r w:rsidRPr="00B46283">
        <w:rPr>
          <w:rFonts w:ascii="Arial" w:hAnsi="Arial" w:cs="Arial"/>
          <w:sz w:val="18"/>
          <w:szCs w:val="18"/>
        </w:rPr>
        <w:t>*</w:t>
      </w:r>
      <w:r w:rsidR="004C582C" w:rsidRPr="00B46283">
        <w:rPr>
          <w:rFonts w:ascii="Arial" w:hAnsi="Arial" w:cs="Arial"/>
          <w:sz w:val="18"/>
          <w:szCs w:val="18"/>
        </w:rPr>
        <w:t xml:space="preserve">Includes personnel costs under subcontracts with other host universities and colleges </w:t>
      </w:r>
    </w:p>
    <w:p w14:paraId="02CFEA7C" w14:textId="77777777" w:rsidR="00CC33DB" w:rsidRPr="00C21992" w:rsidRDefault="00CC33DB" w:rsidP="001C5BA8">
      <w:pPr>
        <w:tabs>
          <w:tab w:val="left" w:pos="3000"/>
        </w:tabs>
        <w:rPr>
          <w:rFonts w:ascii="Arial" w:hAnsi="Arial" w:cs="Arial"/>
        </w:rPr>
      </w:pPr>
    </w:p>
    <w:p w14:paraId="7D6348CC" w14:textId="77777777" w:rsidR="001E0739" w:rsidRPr="00C21992" w:rsidRDefault="001E0739" w:rsidP="001C5BA8">
      <w:pPr>
        <w:jc w:val="both"/>
        <w:rPr>
          <w:rFonts w:ascii="Arial" w:hAnsi="Arial" w:cs="Arial"/>
          <w:b/>
          <w:bCs/>
        </w:rPr>
      </w:pPr>
      <w:r w:rsidRPr="00C21992"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0"/>
        <w:gridCol w:w="1560"/>
        <w:gridCol w:w="1560"/>
        <w:gridCol w:w="1560"/>
        <w:gridCol w:w="1560"/>
      </w:tblGrid>
      <w:tr w:rsidR="00D91C89" w:rsidRPr="00C21992" w14:paraId="7AB5320F" w14:textId="77777777" w:rsidTr="0091509B">
        <w:tc>
          <w:tcPr>
            <w:tcW w:w="3830" w:type="dxa"/>
            <w:shd w:val="clear" w:color="auto" w:fill="000080"/>
            <w:vAlign w:val="bottom"/>
          </w:tcPr>
          <w:p w14:paraId="64ECAB54" w14:textId="77777777" w:rsidR="00D91C89" w:rsidRPr="00C21992" w:rsidRDefault="00D91C89" w:rsidP="00D91C8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21992"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6675919A" w14:textId="3D4EF8B6" w:rsidR="00D91C89" w:rsidRPr="00C21992" w:rsidRDefault="00161126" w:rsidP="00D91C8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475FA3DA" w14:textId="16E688E8" w:rsidR="00D91C89" w:rsidRPr="00C21992" w:rsidRDefault="00161126" w:rsidP="00D91C8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3B1DB30B" w14:textId="75BE22E2" w:rsidR="00D91C89" w:rsidRPr="00C21992" w:rsidRDefault="00161126" w:rsidP="00D91C8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560" w:type="dxa"/>
            <w:shd w:val="clear" w:color="auto" w:fill="002A7E"/>
            <w:vAlign w:val="bottom"/>
          </w:tcPr>
          <w:p w14:paraId="7D6A8675" w14:textId="5A5E7001" w:rsidR="00D91C89" w:rsidRPr="00C21992" w:rsidRDefault="00161126" w:rsidP="00D91C8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161126" w:rsidRPr="00C21992" w14:paraId="0C0200A0" w14:textId="77777777" w:rsidTr="00084119">
        <w:tc>
          <w:tcPr>
            <w:tcW w:w="3830" w:type="dxa"/>
          </w:tcPr>
          <w:p w14:paraId="144E5786" w14:textId="77777777" w:rsidR="00161126" w:rsidRPr="00C21992" w:rsidRDefault="00161126" w:rsidP="00161126">
            <w:pPr>
              <w:rPr>
                <w:rFonts w:ascii="Arial" w:hAnsi="Arial" w:cs="Arial"/>
                <w:sz w:val="20"/>
              </w:rPr>
            </w:pPr>
            <w:r w:rsidRPr="00C21992">
              <w:rPr>
                <w:rFonts w:ascii="Arial" w:hAnsi="Arial" w:cs="Arial"/>
                <w:sz w:val="20"/>
              </w:rPr>
              <w:t>Number of Small Businesses Receiving Consulting</w:t>
            </w:r>
          </w:p>
        </w:tc>
        <w:tc>
          <w:tcPr>
            <w:tcW w:w="1560" w:type="dxa"/>
          </w:tcPr>
          <w:p w14:paraId="1C805CB7" w14:textId="210918CA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1,791</w:t>
            </w:r>
          </w:p>
        </w:tc>
        <w:tc>
          <w:tcPr>
            <w:tcW w:w="1560" w:type="dxa"/>
          </w:tcPr>
          <w:p w14:paraId="03719254" w14:textId="7508B1AE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2,057</w:t>
            </w:r>
          </w:p>
        </w:tc>
        <w:tc>
          <w:tcPr>
            <w:tcW w:w="1560" w:type="dxa"/>
            <w:shd w:val="clear" w:color="auto" w:fill="auto"/>
          </w:tcPr>
          <w:p w14:paraId="37075CAF" w14:textId="6995582B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2,120</w:t>
            </w:r>
          </w:p>
        </w:tc>
        <w:tc>
          <w:tcPr>
            <w:tcW w:w="1560" w:type="dxa"/>
            <w:shd w:val="clear" w:color="auto" w:fill="auto"/>
          </w:tcPr>
          <w:p w14:paraId="307B79F2" w14:textId="2F663A3B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1126" w:rsidRPr="00C21992" w14:paraId="37EB07B7" w14:textId="77777777" w:rsidTr="00084119">
        <w:tc>
          <w:tcPr>
            <w:tcW w:w="3830" w:type="dxa"/>
          </w:tcPr>
          <w:p w14:paraId="43DEA715" w14:textId="77777777" w:rsidR="00161126" w:rsidRPr="00C21992" w:rsidRDefault="00161126" w:rsidP="00161126">
            <w:pPr>
              <w:rPr>
                <w:rFonts w:ascii="Arial" w:hAnsi="Arial" w:cs="Arial"/>
                <w:sz w:val="20"/>
              </w:rPr>
            </w:pPr>
            <w:r w:rsidRPr="00C21992">
              <w:rPr>
                <w:rFonts w:ascii="Arial" w:hAnsi="Arial" w:cs="Arial"/>
                <w:sz w:val="20"/>
              </w:rPr>
              <w:t>Average Hours of Consulting Per Client</w:t>
            </w:r>
          </w:p>
        </w:tc>
        <w:tc>
          <w:tcPr>
            <w:tcW w:w="1560" w:type="dxa"/>
          </w:tcPr>
          <w:p w14:paraId="4FBCA9DE" w14:textId="2164627C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</w:t>
            </w:r>
          </w:p>
        </w:tc>
        <w:tc>
          <w:tcPr>
            <w:tcW w:w="1560" w:type="dxa"/>
          </w:tcPr>
          <w:p w14:paraId="13CD904E" w14:textId="2322E200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11.8</w:t>
            </w:r>
          </w:p>
        </w:tc>
        <w:tc>
          <w:tcPr>
            <w:tcW w:w="1560" w:type="dxa"/>
            <w:shd w:val="clear" w:color="auto" w:fill="auto"/>
          </w:tcPr>
          <w:p w14:paraId="5025ADF7" w14:textId="0C44E143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</w:t>
            </w:r>
          </w:p>
        </w:tc>
        <w:tc>
          <w:tcPr>
            <w:tcW w:w="1560" w:type="dxa"/>
            <w:shd w:val="clear" w:color="auto" w:fill="auto"/>
          </w:tcPr>
          <w:p w14:paraId="508FCE52" w14:textId="29D8B79B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1126" w:rsidRPr="00C21992" w14:paraId="6C7A5601" w14:textId="77777777" w:rsidTr="00084119">
        <w:tc>
          <w:tcPr>
            <w:tcW w:w="3830" w:type="dxa"/>
          </w:tcPr>
          <w:p w14:paraId="4E93CED9" w14:textId="77777777" w:rsidR="00161126" w:rsidRPr="00C21992" w:rsidRDefault="00161126" w:rsidP="00161126">
            <w:pPr>
              <w:rPr>
                <w:rFonts w:ascii="Arial" w:hAnsi="Arial" w:cs="Arial"/>
                <w:sz w:val="20"/>
              </w:rPr>
            </w:pPr>
            <w:r w:rsidRPr="00C21992">
              <w:rPr>
                <w:rFonts w:ascii="Arial" w:hAnsi="Arial" w:cs="Arial"/>
                <w:sz w:val="20"/>
              </w:rPr>
              <w:t>Number of Small Businesses Trained</w:t>
            </w:r>
          </w:p>
        </w:tc>
        <w:tc>
          <w:tcPr>
            <w:tcW w:w="1560" w:type="dxa"/>
          </w:tcPr>
          <w:p w14:paraId="17732CBB" w14:textId="498270DA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3,066</w:t>
            </w:r>
          </w:p>
        </w:tc>
        <w:tc>
          <w:tcPr>
            <w:tcW w:w="1560" w:type="dxa"/>
          </w:tcPr>
          <w:p w14:paraId="3887C9DE" w14:textId="2C3026CD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3,400</w:t>
            </w:r>
          </w:p>
        </w:tc>
        <w:tc>
          <w:tcPr>
            <w:tcW w:w="1560" w:type="dxa"/>
            <w:shd w:val="clear" w:color="auto" w:fill="auto"/>
          </w:tcPr>
          <w:p w14:paraId="4C580B83" w14:textId="4E4D4483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4,209</w:t>
            </w:r>
          </w:p>
        </w:tc>
        <w:tc>
          <w:tcPr>
            <w:tcW w:w="1560" w:type="dxa"/>
            <w:shd w:val="clear" w:color="auto" w:fill="auto"/>
          </w:tcPr>
          <w:p w14:paraId="68BE6D77" w14:textId="5E9946D2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1126" w:rsidRPr="00C21992" w14:paraId="54C04EBB" w14:textId="77777777" w:rsidTr="00084119">
        <w:tc>
          <w:tcPr>
            <w:tcW w:w="3830" w:type="dxa"/>
          </w:tcPr>
          <w:p w14:paraId="2C425428" w14:textId="77777777" w:rsidR="00161126" w:rsidRPr="00C21992" w:rsidRDefault="00161126" w:rsidP="00161126">
            <w:pPr>
              <w:rPr>
                <w:rFonts w:ascii="Arial" w:hAnsi="Arial" w:cs="Arial"/>
                <w:sz w:val="20"/>
              </w:rPr>
            </w:pPr>
            <w:r w:rsidRPr="00C21992">
              <w:rPr>
                <w:rFonts w:ascii="Arial" w:hAnsi="Arial" w:cs="Arial"/>
                <w:sz w:val="20"/>
              </w:rPr>
              <w:t>Number of Consulting Hours (annual)</w:t>
            </w:r>
          </w:p>
        </w:tc>
        <w:tc>
          <w:tcPr>
            <w:tcW w:w="1560" w:type="dxa"/>
          </w:tcPr>
          <w:p w14:paraId="07A35CAC" w14:textId="054A3EB8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20,923</w:t>
            </w:r>
          </w:p>
        </w:tc>
        <w:tc>
          <w:tcPr>
            <w:tcW w:w="1560" w:type="dxa"/>
          </w:tcPr>
          <w:p w14:paraId="2126F9AB" w14:textId="0C54C641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24,294</w:t>
            </w:r>
          </w:p>
        </w:tc>
        <w:tc>
          <w:tcPr>
            <w:tcW w:w="1560" w:type="dxa"/>
            <w:shd w:val="clear" w:color="auto" w:fill="auto"/>
          </w:tcPr>
          <w:p w14:paraId="6F44DE06" w14:textId="2B4661F0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24,354</w:t>
            </w:r>
          </w:p>
        </w:tc>
        <w:tc>
          <w:tcPr>
            <w:tcW w:w="1560" w:type="dxa"/>
            <w:shd w:val="clear" w:color="auto" w:fill="auto"/>
          </w:tcPr>
          <w:p w14:paraId="40068244" w14:textId="520ED9D0" w:rsidR="00161126" w:rsidRPr="00C21992" w:rsidRDefault="00161126" w:rsidP="0016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94894" w14:textId="77777777" w:rsidR="001E0739" w:rsidRPr="00C21992" w:rsidRDefault="001E0739" w:rsidP="001C5BA8">
      <w:pPr>
        <w:rPr>
          <w:rFonts w:ascii="Arial" w:hAnsi="Arial" w:cs="Arial"/>
        </w:rPr>
      </w:pPr>
    </w:p>
    <w:p w14:paraId="4D158AE7" w14:textId="77777777" w:rsidR="00D91C89" w:rsidRPr="007F4752" w:rsidRDefault="00D91C89" w:rsidP="008F7992">
      <w:pPr>
        <w:spacing w:after="60"/>
        <w:jc w:val="both"/>
        <w:outlineLvl w:val="0"/>
        <w:rPr>
          <w:rFonts w:ascii="Arial" w:hAnsi="Arial" w:cs="Arial"/>
          <w:color w:val="000080"/>
          <w:sz w:val="18"/>
          <w:szCs w:val="18"/>
        </w:rPr>
      </w:pPr>
      <w:bookmarkStart w:id="2" w:name="OLE_LINK5"/>
      <w:bookmarkStart w:id="3" w:name="OLE_LINK6"/>
    </w:p>
    <w:p w14:paraId="4E7E8D78" w14:textId="77777777" w:rsidR="008F7992" w:rsidRPr="00C21992" w:rsidRDefault="008F7992" w:rsidP="008F7992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C2199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68060E5B" w14:textId="77777777" w:rsidR="00536D53" w:rsidRPr="00C21992" w:rsidRDefault="00536D53" w:rsidP="00536D5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475"/>
        <w:gridCol w:w="994"/>
        <w:gridCol w:w="1196"/>
        <w:gridCol w:w="1080"/>
        <w:gridCol w:w="1260"/>
        <w:gridCol w:w="981"/>
        <w:gridCol w:w="1084"/>
      </w:tblGrid>
      <w:tr w:rsidR="00151183" w:rsidRPr="00C21992" w14:paraId="77A040CA" w14:textId="77777777" w:rsidTr="00813009">
        <w:trPr>
          <w:tblHeader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  <w:hideMark/>
          </w:tcPr>
          <w:p w14:paraId="4B61AA20" w14:textId="77777777" w:rsidR="00151183" w:rsidRPr="00C21992" w:rsidRDefault="00151183" w:rsidP="008F79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4" w:name="_Hlk80265148"/>
            <w:bookmarkEnd w:id="2"/>
            <w:bookmarkEnd w:id="3"/>
            <w:r w:rsidRPr="00C21992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7CC86B22" w14:textId="65B3E0F5" w:rsidR="00151183" w:rsidRPr="00C21992" w:rsidRDefault="00161126" w:rsidP="00982EE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2FC2EB91" w14:textId="2B52D478" w:rsidR="00151183" w:rsidRPr="00C21992" w:rsidRDefault="00161126" w:rsidP="00982EE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63D3E906" w14:textId="1DE08C65" w:rsidR="00151183" w:rsidRPr="00C21992" w:rsidRDefault="00161126" w:rsidP="00982EE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539F72BB" w14:textId="1AFF5CEB" w:rsidR="00151183" w:rsidRPr="00C21992" w:rsidRDefault="00161126" w:rsidP="00982EE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27014AD3" w14:textId="1488630E" w:rsidR="00151183" w:rsidRPr="00C21992" w:rsidRDefault="00161126" w:rsidP="008F79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151183" w:rsidRPr="00C21992" w14:paraId="059EDA63" w14:textId="77777777" w:rsidTr="00DE6D5E">
        <w:trPr>
          <w:trHeight w:val="323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E271CE" w14:textId="5E268108" w:rsidR="00151183" w:rsidRDefault="00151183" w:rsidP="003547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4F02">
              <w:rPr>
                <w:rFonts w:ascii="Arial" w:hAnsi="Arial" w:cs="Arial"/>
                <w:b/>
                <w:sz w:val="20"/>
              </w:rPr>
              <w:t xml:space="preserve">Goal 1 – </w:t>
            </w:r>
            <w:r w:rsidR="00EA4BAF" w:rsidRPr="00254F02">
              <w:rPr>
                <w:rFonts w:ascii="Arial" w:hAnsi="Arial" w:cs="Arial"/>
                <w:b/>
                <w:sz w:val="20"/>
              </w:rPr>
              <w:t>Network Reach</w:t>
            </w:r>
          </w:p>
          <w:p w14:paraId="69B29716" w14:textId="77777777" w:rsidR="00254F02" w:rsidRPr="007F4752" w:rsidRDefault="00254F02" w:rsidP="007F4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752">
              <w:rPr>
                <w:rFonts w:ascii="Arial" w:hAnsi="Arial" w:cs="Arial"/>
                <w:sz w:val="20"/>
                <w:szCs w:val="20"/>
              </w:rPr>
              <w:t>Focus time on clients with the highest potential for creating economic impact.</w:t>
            </w:r>
          </w:p>
          <w:p w14:paraId="59A56A39" w14:textId="5691469E" w:rsidR="00254F02" w:rsidRPr="007F4752" w:rsidRDefault="00254F02" w:rsidP="007F475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23224">
              <w:rPr>
                <w:rFonts w:ascii="Arial" w:hAnsi="Arial" w:cs="Arial"/>
                <w:b/>
                <w:sz w:val="20"/>
                <w:szCs w:val="20"/>
              </w:rPr>
              <w:t>Objective:</w:t>
            </w:r>
            <w:r w:rsidRPr="007F475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F4752">
              <w:rPr>
                <w:rFonts w:ascii="Arial" w:hAnsi="Arial" w:cs="Arial"/>
                <w:sz w:val="20"/>
                <w:szCs w:val="20"/>
              </w:rPr>
              <w:t>Develop long-term relationships with potential and existing growth and impact clients.</w:t>
            </w:r>
          </w:p>
          <w:p w14:paraId="5F34BF61" w14:textId="494951BB" w:rsidR="00151183" w:rsidRPr="00254F02" w:rsidRDefault="00151183" w:rsidP="00A232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161126" w:rsidRPr="00C21992" w14:paraId="665D96F1" w14:textId="77777777" w:rsidTr="00B4164D">
        <w:trPr>
          <w:trHeight w:val="28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1171" w14:textId="40DADC5E" w:rsidR="00161126" w:rsidRPr="00254F02" w:rsidRDefault="00161126" w:rsidP="00161126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254F02">
              <w:rPr>
                <w:rFonts w:ascii="Arial" w:hAnsi="Arial" w:cs="Arial"/>
                <w:bCs/>
                <w:sz w:val="20"/>
              </w:rPr>
              <w:t>Capital raised by clients</w:t>
            </w:r>
            <w:r w:rsidRPr="00254F02">
              <w:rPr>
                <w:rFonts w:ascii="Arial" w:hAnsi="Arial" w:cs="Arial"/>
                <w:bCs/>
                <w:sz w:val="20"/>
                <w:vertAlign w:val="superscript"/>
              </w:rPr>
              <w:t xml:space="preserve"> </w:t>
            </w:r>
            <w:r w:rsidRPr="00254F02">
              <w:rPr>
                <w:rFonts w:ascii="Arial" w:hAnsi="Arial" w:cs="Arial"/>
                <w:bCs/>
                <w:sz w:val="20"/>
              </w:rPr>
              <w:t>in millions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4D00E" w14:textId="77777777" w:rsidR="00161126" w:rsidRPr="00C21992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99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5ECF" w14:textId="0E63680E" w:rsidR="00161126" w:rsidRPr="00C21992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1F2A8" w14:textId="169B995C" w:rsidR="00161126" w:rsidRPr="00C21992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$79.9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6F080" w14:textId="6A5721B5" w:rsidR="00161126" w:rsidRPr="00C21992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$55.8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50D55" w14:textId="2BB4FAF1" w:rsidR="00161126" w:rsidRPr="00CC07B0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992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D3D82" w14:textId="285C1BF2" w:rsidR="00161126" w:rsidRPr="00C21992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26" w:rsidRPr="00C21992" w14:paraId="2C9869FF" w14:textId="77777777" w:rsidTr="00B4164D">
        <w:trPr>
          <w:trHeight w:val="288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78EA" w14:textId="77777777" w:rsidR="00161126" w:rsidRPr="00C21992" w:rsidRDefault="00161126" w:rsidP="00161126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68EC" w14:textId="77777777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D40" w14:textId="590BAF63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6015" w14:textId="30545FE1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EBAF" w14:textId="2FEEF855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5B2F" w14:textId="7DB99431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0646" w14:textId="3915CCE2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61126" w:rsidRPr="00C21992" w14:paraId="055628B0" w14:textId="77777777" w:rsidTr="00B4164D">
        <w:trPr>
          <w:trHeight w:val="28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28CF" w14:textId="4B449735" w:rsidR="00161126" w:rsidRPr="00C21992" w:rsidRDefault="00161126" w:rsidP="00161126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254F02">
              <w:rPr>
                <w:rFonts w:ascii="Arial" w:hAnsi="Arial" w:cs="Arial"/>
                <w:bCs/>
                <w:sz w:val="20"/>
                <w:szCs w:val="20"/>
              </w:rPr>
              <w:t>Client sales growth</w:t>
            </w:r>
            <w:r w:rsidRPr="00254F0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254F02">
              <w:rPr>
                <w:rFonts w:ascii="Arial" w:hAnsi="Arial" w:cs="Arial"/>
                <w:bCs/>
                <w:sz w:val="20"/>
                <w:szCs w:val="20"/>
              </w:rPr>
              <w:t>in millions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590D8" w14:textId="77777777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2B437" w14:textId="5377084C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$60.0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884A9" w14:textId="1886260D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$47.3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629B3" w14:textId="6D6E7D6A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$67.7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A9DDB" w14:textId="42CE2A4B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6AEA2" w14:textId="131AA73C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26" w:rsidRPr="00C21992" w14:paraId="537B087B" w14:textId="77777777" w:rsidTr="00B4164D">
        <w:trPr>
          <w:trHeight w:val="288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A561" w14:textId="77777777" w:rsidR="00161126" w:rsidRPr="00C21992" w:rsidRDefault="00161126" w:rsidP="00161126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51FA" w14:textId="77777777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D88F" w14:textId="7A39508A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BFCA" w14:textId="03D3C169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7A0D" w14:textId="6DAF959C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447A" w14:textId="040B71EB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CA9F" w14:textId="20848717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61126" w:rsidRPr="00C21992" w14:paraId="5597650E" w14:textId="77777777" w:rsidTr="00B4164D">
        <w:trPr>
          <w:trHeight w:val="28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4E7" w14:textId="5E5659B8" w:rsidR="00161126" w:rsidRPr="002718AF" w:rsidRDefault="00161126" w:rsidP="00161126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254F02">
              <w:rPr>
                <w:rFonts w:ascii="Arial" w:hAnsi="Arial" w:cs="Arial"/>
                <w:bCs/>
                <w:sz w:val="20"/>
              </w:rPr>
              <w:t>Jobs created by clients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D332C" w14:textId="77777777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11658" w14:textId="461DFBBE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1,021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1573" w14:textId="074F8AC8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A8A68" w14:textId="118BDD92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A95F" w14:textId="3DBFE562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A8970" w14:textId="5C8F4E1E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26" w:rsidRPr="00C21992" w14:paraId="354050F6" w14:textId="77777777" w:rsidTr="004F5D67">
        <w:trPr>
          <w:trHeight w:val="288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BFC" w14:textId="77777777" w:rsidR="00161126" w:rsidRPr="00C21992" w:rsidRDefault="00161126" w:rsidP="0016112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8DA7A" w14:textId="77777777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2628D" w14:textId="05CFB50D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430F2" w14:textId="0C615C0A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795F" w14:textId="0E149479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19F6" w14:textId="46909935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892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D44D" w14:textId="07F059B3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61126" w:rsidRPr="00C21992" w14:paraId="29AD6DEB" w14:textId="77777777" w:rsidTr="00DE6D5E">
        <w:trPr>
          <w:trHeight w:val="323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5E2CD5" w14:textId="142E93FE" w:rsidR="00161126" w:rsidRPr="00B46283" w:rsidRDefault="00161126" w:rsidP="001611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62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Goal 2 – Network Sustainability</w:t>
            </w:r>
          </w:p>
          <w:p w14:paraId="294B6F35" w14:textId="6B28A018" w:rsidR="00161126" w:rsidRPr="00B46283" w:rsidRDefault="00161126" w:rsidP="001611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6283">
              <w:rPr>
                <w:rFonts w:ascii="Arial" w:hAnsi="Arial" w:cs="Arial"/>
                <w:color w:val="000000" w:themeColor="text1"/>
                <w:sz w:val="20"/>
                <w:szCs w:val="20"/>
              </w:rPr>
              <w:t>Increase funding and consulting hours to create economic impact through increased client performance.</w:t>
            </w:r>
          </w:p>
          <w:p w14:paraId="3FEAB1A2" w14:textId="349DE2DF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462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Objective: </w:t>
            </w:r>
            <w:r w:rsidRPr="00B46283">
              <w:rPr>
                <w:rFonts w:ascii="Arial" w:hAnsi="Arial" w:cs="Arial"/>
                <w:color w:val="000000" w:themeColor="text1"/>
                <w:sz w:val="20"/>
                <w:szCs w:val="20"/>
              </w:rPr>
              <w:t>Increase overall network funding and assist regional offices in pursuit of local opportunities.</w:t>
            </w:r>
          </w:p>
        </w:tc>
      </w:tr>
      <w:tr w:rsidR="00161126" w:rsidRPr="00C21992" w14:paraId="5349CA22" w14:textId="77777777" w:rsidTr="000F1295">
        <w:trPr>
          <w:trHeight w:val="323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9095" w14:textId="443A3890" w:rsidR="00161126" w:rsidRPr="00C21992" w:rsidRDefault="00161126" w:rsidP="00161126">
            <w:pPr>
              <w:pStyle w:val="ListParagraph"/>
              <w:numPr>
                <w:ilvl w:val="0"/>
                <w:numId w:val="19"/>
              </w:numPr>
              <w:ind w:left="338"/>
              <w:rPr>
                <w:rFonts w:ascii="Arial" w:hAnsi="Arial" w:cs="Arial"/>
                <w:sz w:val="20"/>
              </w:rPr>
            </w:pPr>
            <w:r w:rsidRPr="00F257FA">
              <w:rPr>
                <w:rFonts w:ascii="Arial" w:hAnsi="Arial" w:cs="Arial"/>
                <w:sz w:val="20"/>
              </w:rPr>
              <w:t>Amount of funding</w:t>
            </w:r>
            <w:r>
              <w:rPr>
                <w:rFonts w:ascii="Arial" w:hAnsi="Arial" w:cs="Arial"/>
                <w:sz w:val="20"/>
              </w:rPr>
              <w:t xml:space="preserve"> increase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D9785" w14:textId="2392D410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A98AA" w14:textId="010D864D" w:rsidR="00161126" w:rsidRPr="00B46283" w:rsidRDefault="00161126" w:rsidP="001611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$74,000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F994F" w14:textId="7EE5E0A8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$1,366,503</w:t>
            </w:r>
            <w:r w:rsidRPr="00B4628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94697" w14:textId="53E87F13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$122,701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5CEFF" w14:textId="195FCC74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283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2D2B1" w14:textId="5CD02E47" w:rsidR="00161126" w:rsidRPr="00B46283" w:rsidRDefault="00161126" w:rsidP="0016112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161126" w:rsidRPr="00C21992" w14:paraId="22FD1125" w14:textId="77777777" w:rsidTr="000F1295">
        <w:trPr>
          <w:trHeight w:val="323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6187" w14:textId="77777777" w:rsidR="00161126" w:rsidRPr="00C21992" w:rsidRDefault="00161126" w:rsidP="001611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5674" w14:textId="36001BA2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74E2" w14:textId="0B333BBC" w:rsidR="00161126" w:rsidRPr="00B46283" w:rsidRDefault="00161126" w:rsidP="001611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ECA7" w14:textId="47875A9C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8189" w14:textId="2EABFF2B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$225,000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776" w14:textId="1768EF10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6283">
              <w:rPr>
                <w:rFonts w:ascii="Arial" w:hAnsi="Arial" w:cs="Arial"/>
                <w:i/>
                <w:sz w:val="20"/>
                <w:szCs w:val="20"/>
              </w:rPr>
              <w:t>$250,000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804E" w14:textId="0440AAFC" w:rsidR="00161126" w:rsidRPr="00B46283" w:rsidRDefault="00161126" w:rsidP="001611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End w:id="4"/>
    </w:tbl>
    <w:p w14:paraId="1D4E173A" w14:textId="77777777" w:rsidR="007F317D" w:rsidRPr="002D742D" w:rsidRDefault="007F317D" w:rsidP="001C5BA8">
      <w:pPr>
        <w:jc w:val="both"/>
        <w:rPr>
          <w:rFonts w:ascii="Arial" w:hAnsi="Arial" w:cs="Arial"/>
          <w:sz w:val="20"/>
          <w:szCs w:val="20"/>
        </w:rPr>
      </w:pPr>
    </w:p>
    <w:p w14:paraId="57DDD1AD" w14:textId="53323295" w:rsidR="00EA697E" w:rsidRPr="00B46283" w:rsidRDefault="00EA697E" w:rsidP="001C5BA8">
      <w:pPr>
        <w:jc w:val="both"/>
        <w:rPr>
          <w:rFonts w:ascii="Arial" w:hAnsi="Arial" w:cs="Arial"/>
          <w:sz w:val="18"/>
          <w:szCs w:val="18"/>
        </w:rPr>
      </w:pPr>
      <w:r w:rsidRPr="00B46283">
        <w:rPr>
          <w:rFonts w:ascii="Arial" w:hAnsi="Arial" w:cs="Arial"/>
          <w:sz w:val="18"/>
          <w:szCs w:val="18"/>
        </w:rPr>
        <w:t xml:space="preserve">The Idaho SBDC </w:t>
      </w:r>
      <w:r w:rsidR="00CD3BEE" w:rsidRPr="00B46283">
        <w:rPr>
          <w:rFonts w:ascii="Arial" w:hAnsi="Arial" w:cs="Arial"/>
          <w:sz w:val="18"/>
          <w:szCs w:val="18"/>
        </w:rPr>
        <w:t>continues to align</w:t>
      </w:r>
      <w:r w:rsidRPr="00B46283">
        <w:rPr>
          <w:rFonts w:ascii="Arial" w:hAnsi="Arial" w:cs="Arial"/>
          <w:sz w:val="18"/>
          <w:szCs w:val="18"/>
        </w:rPr>
        <w:t xml:space="preserve"> the strategic plan and metrics with other funder requirements.  Going forward, we will be using client verified data from the MIS system as consistent with SBA.</w:t>
      </w:r>
    </w:p>
    <w:p w14:paraId="73C1D03B" w14:textId="77777777" w:rsidR="00E94348" w:rsidRDefault="00E94348" w:rsidP="008F7992">
      <w:pPr>
        <w:jc w:val="both"/>
        <w:rPr>
          <w:rFonts w:ascii="Arial" w:hAnsi="Arial" w:cs="Arial"/>
          <w:b/>
          <w:bCs/>
        </w:rPr>
      </w:pPr>
      <w:bookmarkStart w:id="5" w:name="OLE_LINK7"/>
    </w:p>
    <w:p w14:paraId="6D5E6755" w14:textId="5F726E1F" w:rsidR="008F7992" w:rsidRPr="00E82F3D" w:rsidRDefault="00AC7BDA" w:rsidP="008F7992">
      <w:pPr>
        <w:jc w:val="both"/>
        <w:rPr>
          <w:rFonts w:ascii="Arial" w:hAnsi="Arial" w:cs="Arial"/>
          <w:b/>
          <w:bCs/>
          <w:i/>
        </w:rPr>
      </w:pPr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 xml:space="preserve">s </w:t>
      </w:r>
    </w:p>
    <w:bookmarkEnd w:id="5"/>
    <w:p w14:paraId="18791EA8" w14:textId="18AA1EC1" w:rsidR="008A5252" w:rsidRPr="00B46283" w:rsidRDefault="00533BF5" w:rsidP="008A5252">
      <w:pPr>
        <w:ind w:left="360"/>
        <w:jc w:val="both"/>
        <w:rPr>
          <w:rFonts w:ascii="Arial" w:hAnsi="Arial" w:cs="Arial"/>
          <w:sz w:val="18"/>
          <w:szCs w:val="18"/>
        </w:rPr>
      </w:pPr>
      <w:r w:rsidRPr="00B46283">
        <w:rPr>
          <w:rFonts w:ascii="Arial" w:hAnsi="Arial" w:cs="Arial"/>
          <w:sz w:val="18"/>
          <w:szCs w:val="18"/>
          <w:vertAlign w:val="superscript"/>
        </w:rPr>
        <w:t>1</w:t>
      </w:r>
      <w:r w:rsidR="008A5252" w:rsidRPr="00B46283">
        <w:rPr>
          <w:rFonts w:ascii="Arial" w:hAnsi="Arial" w:cs="Arial"/>
          <w:sz w:val="18"/>
          <w:szCs w:val="18"/>
        </w:rPr>
        <w:t xml:space="preserve"> Includes one-time funding of $1,280,000 from CARES Act to support pandemic response </w:t>
      </w:r>
      <w:r w:rsidR="005F5ED0" w:rsidRPr="00B46283">
        <w:rPr>
          <w:rFonts w:ascii="Arial" w:hAnsi="Arial" w:cs="Arial"/>
          <w:sz w:val="18"/>
          <w:szCs w:val="18"/>
        </w:rPr>
        <w:t>in</w:t>
      </w:r>
      <w:r w:rsidR="008A5252" w:rsidRPr="00B46283">
        <w:rPr>
          <w:rFonts w:ascii="Arial" w:hAnsi="Arial" w:cs="Arial"/>
          <w:sz w:val="18"/>
          <w:szCs w:val="18"/>
        </w:rPr>
        <w:t xml:space="preserve"> 2020</w:t>
      </w:r>
      <w:r w:rsidR="00FA4672" w:rsidRPr="00B46283">
        <w:rPr>
          <w:rFonts w:ascii="Arial" w:hAnsi="Arial" w:cs="Arial"/>
          <w:sz w:val="18"/>
          <w:szCs w:val="18"/>
        </w:rPr>
        <w:t>.</w:t>
      </w:r>
    </w:p>
    <w:p w14:paraId="3BD7726C" w14:textId="77777777" w:rsidR="00CD3BEE" w:rsidRDefault="00CD3BEE" w:rsidP="00CB5C8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35F3CDA" w14:textId="77777777" w:rsidR="00D542E0" w:rsidRPr="009C5876" w:rsidRDefault="00D542E0" w:rsidP="00CB5C8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B08DC64" w14:textId="77777777" w:rsidR="00873B6B" w:rsidRDefault="00873B6B" w:rsidP="00536D53">
      <w:pPr>
        <w:jc w:val="both"/>
        <w:rPr>
          <w:rFonts w:ascii="Arial" w:hAnsi="Arial" w:cs="Arial"/>
        </w:rPr>
      </w:pPr>
    </w:p>
    <w:p w14:paraId="2DFBB6DB" w14:textId="77777777" w:rsidR="00A04C9E" w:rsidRDefault="00A04C9E" w:rsidP="00536D53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1E0739" w14:paraId="52F8FC22" w14:textId="77777777" w:rsidTr="00AC2733">
        <w:trPr>
          <w:jc w:val="center"/>
        </w:trPr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2CA2B0D3" w14:textId="77777777" w:rsidR="001E0739" w:rsidRDefault="00A57641" w:rsidP="00FA40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lastRenderedPageBreak/>
              <w:br w:type="page"/>
            </w:r>
            <w:r w:rsidR="001E0739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78664A24" w14:textId="77777777" w:rsidR="009B6C28" w:rsidRDefault="009B6C28" w:rsidP="001C5BA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374FD3" w14:textId="77777777" w:rsidR="001E0739" w:rsidRDefault="00176D5F" w:rsidP="001C5BA8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Doug Covey</w:t>
            </w:r>
            <w:r w:rsidR="0021723D">
              <w:rPr>
                <w:rFonts w:ascii="Arial" w:hAnsi="Arial" w:cs="Arial"/>
                <w:sz w:val="20"/>
              </w:rPr>
              <w:t>, State Director</w:t>
            </w:r>
          </w:p>
          <w:p w14:paraId="6FFE1828" w14:textId="77777777" w:rsidR="001E0739" w:rsidRDefault="001E0739" w:rsidP="001C5BA8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Special Programs, </w:t>
            </w:r>
            <w:r w:rsidR="007B1671">
              <w:rPr>
                <w:rFonts w:ascii="Arial" w:hAnsi="Arial" w:cs="Arial"/>
                <w:noProof/>
                <w:sz w:val="20"/>
              </w:rPr>
              <w:t xml:space="preserve">Idaho </w:t>
            </w:r>
            <w:r>
              <w:rPr>
                <w:rFonts w:ascii="Arial" w:hAnsi="Arial" w:cs="Arial"/>
                <w:noProof/>
                <w:sz w:val="20"/>
              </w:rPr>
              <w:t>Small Business Development Center</w:t>
            </w:r>
          </w:p>
          <w:p w14:paraId="01F1B3D1" w14:textId="77777777" w:rsidR="0028082A" w:rsidRDefault="002D713A" w:rsidP="001C5BA8">
            <w:pPr>
              <w:ind w:left="252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1910 University Dr</w:t>
            </w:r>
          </w:p>
          <w:p w14:paraId="308C0104" w14:textId="77777777" w:rsidR="001E0739" w:rsidRDefault="002D713A" w:rsidP="001C5BA8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Boise, ID 83725</w:t>
            </w:r>
            <w:r w:rsidR="007476F4">
              <w:rPr>
                <w:rFonts w:ascii="Arial" w:hAnsi="Arial" w:cs="Arial"/>
                <w:noProof/>
                <w:sz w:val="20"/>
              </w:rPr>
              <w:t>-1655</w:t>
            </w:r>
          </w:p>
          <w:p w14:paraId="060FB0C1" w14:textId="77777777" w:rsidR="001E0739" w:rsidRDefault="001E0739" w:rsidP="001C5BA8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</w:rPr>
              <w:t xml:space="preserve">Phone: </w:t>
            </w:r>
            <w:r w:rsidR="002D713A">
              <w:rPr>
                <w:rFonts w:ascii="Arial" w:hAnsi="Arial" w:cs="Arial"/>
                <w:sz w:val="20"/>
              </w:rPr>
              <w:t>208.426.</w:t>
            </w:r>
            <w:r w:rsidR="00176D5F">
              <w:rPr>
                <w:rFonts w:ascii="Arial" w:hAnsi="Arial" w:cs="Arial"/>
                <w:sz w:val="20"/>
              </w:rPr>
              <w:t>1839</w:t>
            </w:r>
          </w:p>
          <w:p w14:paraId="22FC8C5F" w14:textId="77777777" w:rsidR="001E0739" w:rsidRDefault="001E0739" w:rsidP="00176D5F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E-mail:  </w:t>
            </w:r>
            <w:hyperlink r:id="rId8" w:history="1">
              <w:r w:rsidR="00FA40F0" w:rsidRPr="0045682B">
                <w:rPr>
                  <w:rStyle w:val="Hyperlink"/>
                  <w:rFonts w:ascii="Arial" w:hAnsi="Arial" w:cs="Arial"/>
                  <w:sz w:val="20"/>
                  <w:szCs w:val="17"/>
                </w:rPr>
                <w:t>dougcovey@boisestate.edu</w:t>
              </w:r>
            </w:hyperlink>
          </w:p>
          <w:p w14:paraId="4DA1CB16" w14:textId="77777777" w:rsidR="00FA40F0" w:rsidRDefault="00FA40F0" w:rsidP="00176D5F">
            <w:pPr>
              <w:ind w:left="252"/>
              <w:rPr>
                <w:rFonts w:ascii="Arial" w:hAnsi="Arial" w:cs="Arial"/>
                <w:sz w:val="20"/>
              </w:rPr>
            </w:pPr>
          </w:p>
        </w:tc>
      </w:tr>
    </w:tbl>
    <w:p w14:paraId="34ED88D5" w14:textId="77777777" w:rsidR="001E0739" w:rsidRDefault="001E0739" w:rsidP="001C5BA8">
      <w:pPr>
        <w:jc w:val="both"/>
      </w:pPr>
    </w:p>
    <w:sectPr w:rsidR="001E0739" w:rsidSect="00B90B42">
      <w:headerReference w:type="default" r:id="rId9"/>
      <w:footerReference w:type="default" r:id="rId10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6EAD" w14:textId="77777777" w:rsidR="00E629FD" w:rsidRDefault="00E629FD">
      <w:r>
        <w:separator/>
      </w:r>
    </w:p>
  </w:endnote>
  <w:endnote w:type="continuationSeparator" w:id="0">
    <w:p w14:paraId="16805008" w14:textId="77777777" w:rsidR="00E629FD" w:rsidRDefault="00E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804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B0CD0" w14:textId="77777777" w:rsidR="00982EEC" w:rsidRPr="00202AAE" w:rsidRDefault="00982EEC" w:rsidP="00E039C8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64674E4B" w14:textId="0ED7FF9A" w:rsidR="00982EEC" w:rsidRPr="00E039C8" w:rsidRDefault="00982EEC" w:rsidP="00E039C8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A20234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19D8" w14:textId="77777777" w:rsidR="00E629FD" w:rsidRDefault="00E629FD">
      <w:r>
        <w:separator/>
      </w:r>
    </w:p>
  </w:footnote>
  <w:footnote w:type="continuationSeparator" w:id="0">
    <w:p w14:paraId="25E961FB" w14:textId="77777777" w:rsidR="00E629FD" w:rsidRDefault="00E6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982EEC" w14:paraId="2D591C83" w14:textId="77777777" w:rsidTr="00FA40F0">
      <w:tc>
        <w:tcPr>
          <w:tcW w:w="10080" w:type="dxa"/>
          <w:shd w:val="clear" w:color="auto" w:fill="000080"/>
        </w:tcPr>
        <w:p w14:paraId="37114A38" w14:textId="77777777" w:rsidR="00982EEC" w:rsidRPr="00202AAE" w:rsidRDefault="00982EEC" w:rsidP="00202AAE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 w:rsidRPr="0070719E">
            <w:rPr>
              <w:rFonts w:ascii="Arial" w:hAnsi="Arial" w:cs="Arial"/>
              <w:b/>
              <w:bCs/>
              <w:noProof/>
              <w:color w:val="FFFFFF"/>
              <w:sz w:val="22"/>
              <w:szCs w:val="22"/>
            </w:rPr>
            <w:t>Special Programs –</w:t>
          </w:r>
          <w:r w:rsidRPr="0070719E">
            <w:rPr>
              <w:rFonts w:ascii="Arial" w:hAnsi="Arial" w:cs="Arial"/>
              <w:b/>
              <w:bCs/>
              <w:noProof/>
              <w:color w:val="FFFFFF"/>
            </w:rPr>
            <w:t xml:space="preserve"> </w:t>
          </w:r>
          <w:r w:rsidRPr="0070719E">
            <w:rPr>
              <w:rFonts w:ascii="Arial" w:hAnsi="Arial" w:cs="Arial"/>
              <w:b/>
              <w:bCs/>
              <w:noProof/>
              <w:color w:val="FFFFFF"/>
              <w:sz w:val="22"/>
              <w:szCs w:val="22"/>
            </w:rPr>
            <w:t>Small Business Development Centers</w:t>
          </w:r>
          <w:r w:rsidRPr="00202AAE">
            <w:rPr>
              <w:rFonts w:ascii="Arial" w:hAnsi="Arial" w:cs="Arial"/>
              <w:bCs/>
              <w:color w:val="FFFFFF"/>
            </w:rPr>
            <w:tab/>
          </w:r>
          <w:r w:rsidRPr="00202AAE">
            <w:rPr>
              <w:rFonts w:ascii="Arial" w:hAnsi="Arial" w:cs="Arial"/>
              <w:color w:val="FFFFFF"/>
              <w:sz w:val="22"/>
              <w:szCs w:val="22"/>
            </w:rPr>
            <w:t>Performance Report</w:t>
          </w:r>
        </w:p>
      </w:tc>
    </w:tr>
    <w:tr w:rsidR="00982EEC" w14:paraId="10284023" w14:textId="77777777" w:rsidTr="00FA40F0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4EA7A315" w14:textId="77777777" w:rsidR="00982EEC" w:rsidRDefault="00982EEC" w:rsidP="007E785A"/>
      </w:tc>
    </w:tr>
    <w:tr w:rsidR="00982EEC" w14:paraId="42A144FD" w14:textId="77777777" w:rsidTr="00FA40F0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73313A94" w14:textId="77777777" w:rsidR="00982EEC" w:rsidRDefault="00982EEC" w:rsidP="007E785A"/>
      </w:tc>
    </w:tr>
  </w:tbl>
  <w:p w14:paraId="3FE07640" w14:textId="77777777" w:rsidR="00982EEC" w:rsidRDefault="00982EEC" w:rsidP="00DA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8C0"/>
    <w:multiLevelType w:val="hybridMultilevel"/>
    <w:tmpl w:val="088A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0185"/>
    <w:multiLevelType w:val="hybridMultilevel"/>
    <w:tmpl w:val="0C8219E6"/>
    <w:lvl w:ilvl="0" w:tplc="4DAE9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F55"/>
    <w:multiLevelType w:val="hybridMultilevel"/>
    <w:tmpl w:val="E4FC4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4BA6"/>
    <w:multiLevelType w:val="hybridMultilevel"/>
    <w:tmpl w:val="6D2C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877"/>
    <w:multiLevelType w:val="hybridMultilevel"/>
    <w:tmpl w:val="706C4D42"/>
    <w:lvl w:ilvl="0" w:tplc="A4F6DD9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E4E87"/>
    <w:multiLevelType w:val="hybridMultilevel"/>
    <w:tmpl w:val="9B2A3C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325"/>
    <w:multiLevelType w:val="hybridMultilevel"/>
    <w:tmpl w:val="F3DAB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871F2"/>
    <w:multiLevelType w:val="hybridMultilevel"/>
    <w:tmpl w:val="5F665C5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D6CD6"/>
    <w:multiLevelType w:val="hybridMultilevel"/>
    <w:tmpl w:val="2DAEE4AA"/>
    <w:lvl w:ilvl="0" w:tplc="162E27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6C66"/>
    <w:multiLevelType w:val="hybridMultilevel"/>
    <w:tmpl w:val="C6C0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4AD1"/>
    <w:multiLevelType w:val="hybridMultilevel"/>
    <w:tmpl w:val="CF883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654711"/>
    <w:multiLevelType w:val="hybridMultilevel"/>
    <w:tmpl w:val="16D2BF5C"/>
    <w:lvl w:ilvl="0" w:tplc="29064D7A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331EB"/>
    <w:multiLevelType w:val="hybridMultilevel"/>
    <w:tmpl w:val="5C2C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2967"/>
    <w:multiLevelType w:val="hybridMultilevel"/>
    <w:tmpl w:val="F48AE788"/>
    <w:lvl w:ilvl="0" w:tplc="6D1C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503AB"/>
    <w:multiLevelType w:val="hybridMultilevel"/>
    <w:tmpl w:val="BA1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D5462"/>
    <w:multiLevelType w:val="hybridMultilevel"/>
    <w:tmpl w:val="F780AA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5D3A29"/>
    <w:multiLevelType w:val="hybridMultilevel"/>
    <w:tmpl w:val="FA3C8F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4D66807"/>
    <w:multiLevelType w:val="hybridMultilevel"/>
    <w:tmpl w:val="50D0A4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F8D"/>
    <w:multiLevelType w:val="hybridMultilevel"/>
    <w:tmpl w:val="C5D88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17CE2"/>
    <w:multiLevelType w:val="hybridMultilevel"/>
    <w:tmpl w:val="07663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84210"/>
    <w:multiLevelType w:val="hybridMultilevel"/>
    <w:tmpl w:val="343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64F77"/>
    <w:multiLevelType w:val="hybridMultilevel"/>
    <w:tmpl w:val="AF94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DD1283"/>
    <w:multiLevelType w:val="hybridMultilevel"/>
    <w:tmpl w:val="7CB6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50246">
    <w:abstractNumId w:val="11"/>
  </w:num>
  <w:num w:numId="2" w16cid:durableId="1045254876">
    <w:abstractNumId w:val="18"/>
  </w:num>
  <w:num w:numId="3" w16cid:durableId="13464231">
    <w:abstractNumId w:val="5"/>
  </w:num>
  <w:num w:numId="4" w16cid:durableId="2053921699">
    <w:abstractNumId w:val="3"/>
  </w:num>
  <w:num w:numId="5" w16cid:durableId="446317672">
    <w:abstractNumId w:val="23"/>
  </w:num>
  <w:num w:numId="6" w16cid:durableId="1304506977">
    <w:abstractNumId w:val="13"/>
  </w:num>
  <w:num w:numId="7" w16cid:durableId="490828271">
    <w:abstractNumId w:val="12"/>
  </w:num>
  <w:num w:numId="8" w16cid:durableId="167137715">
    <w:abstractNumId w:val="2"/>
  </w:num>
  <w:num w:numId="9" w16cid:durableId="1850483467">
    <w:abstractNumId w:val="8"/>
  </w:num>
  <w:num w:numId="10" w16cid:durableId="602567582">
    <w:abstractNumId w:val="4"/>
  </w:num>
  <w:num w:numId="11" w16cid:durableId="448088988">
    <w:abstractNumId w:val="10"/>
  </w:num>
  <w:num w:numId="12" w16cid:durableId="1616935986">
    <w:abstractNumId w:val="15"/>
  </w:num>
  <w:num w:numId="13" w16cid:durableId="2060395914">
    <w:abstractNumId w:val="22"/>
  </w:num>
  <w:num w:numId="14" w16cid:durableId="1602958437">
    <w:abstractNumId w:val="1"/>
  </w:num>
  <w:num w:numId="15" w16cid:durableId="1226836077">
    <w:abstractNumId w:val="14"/>
  </w:num>
  <w:num w:numId="16" w16cid:durableId="58864555">
    <w:abstractNumId w:val="0"/>
  </w:num>
  <w:num w:numId="17" w16cid:durableId="1372998743">
    <w:abstractNumId w:val="9"/>
  </w:num>
  <w:num w:numId="18" w16cid:durableId="367149404">
    <w:abstractNumId w:val="21"/>
  </w:num>
  <w:num w:numId="19" w16cid:durableId="573667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1662190">
    <w:abstractNumId w:val="6"/>
  </w:num>
  <w:num w:numId="21" w16cid:durableId="1003051031">
    <w:abstractNumId w:val="19"/>
  </w:num>
  <w:num w:numId="22" w16cid:durableId="120996843">
    <w:abstractNumId w:val="20"/>
  </w:num>
  <w:num w:numId="23" w16cid:durableId="1311520862">
    <w:abstractNumId w:val="16"/>
  </w:num>
  <w:num w:numId="24" w16cid:durableId="536816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tTQyNTa3MDQwtzBR0lEKTi0uzszPAykwqgUAvArqhywAAAA="/>
  </w:docVars>
  <w:rsids>
    <w:rsidRoot w:val="00536E85"/>
    <w:rsid w:val="000106F6"/>
    <w:rsid w:val="000179BC"/>
    <w:rsid w:val="000207B9"/>
    <w:rsid w:val="00023224"/>
    <w:rsid w:val="000259F5"/>
    <w:rsid w:val="0003125D"/>
    <w:rsid w:val="000315F1"/>
    <w:rsid w:val="00044F4C"/>
    <w:rsid w:val="000557D1"/>
    <w:rsid w:val="000623F8"/>
    <w:rsid w:val="00083201"/>
    <w:rsid w:val="00084AE0"/>
    <w:rsid w:val="000873BC"/>
    <w:rsid w:val="000969D2"/>
    <w:rsid w:val="000B1B4B"/>
    <w:rsid w:val="000B4C7E"/>
    <w:rsid w:val="000D23F6"/>
    <w:rsid w:val="000E14E2"/>
    <w:rsid w:val="000E39D9"/>
    <w:rsid w:val="000E49FE"/>
    <w:rsid w:val="000E5413"/>
    <w:rsid w:val="000E787E"/>
    <w:rsid w:val="000F662F"/>
    <w:rsid w:val="000F778F"/>
    <w:rsid w:val="001030F5"/>
    <w:rsid w:val="00103D24"/>
    <w:rsid w:val="00107CA4"/>
    <w:rsid w:val="001148A8"/>
    <w:rsid w:val="0012145E"/>
    <w:rsid w:val="001245D9"/>
    <w:rsid w:val="001263B2"/>
    <w:rsid w:val="00126853"/>
    <w:rsid w:val="00132EA9"/>
    <w:rsid w:val="001353E3"/>
    <w:rsid w:val="001359E3"/>
    <w:rsid w:val="001428A6"/>
    <w:rsid w:val="0014346D"/>
    <w:rsid w:val="00146A84"/>
    <w:rsid w:val="00151183"/>
    <w:rsid w:val="00157F21"/>
    <w:rsid w:val="00161126"/>
    <w:rsid w:val="00163B4D"/>
    <w:rsid w:val="0017371F"/>
    <w:rsid w:val="00176D5F"/>
    <w:rsid w:val="0018021A"/>
    <w:rsid w:val="00181CD0"/>
    <w:rsid w:val="001A0D9F"/>
    <w:rsid w:val="001A1021"/>
    <w:rsid w:val="001A115F"/>
    <w:rsid w:val="001A529B"/>
    <w:rsid w:val="001A694F"/>
    <w:rsid w:val="001B1FAA"/>
    <w:rsid w:val="001B3543"/>
    <w:rsid w:val="001B520D"/>
    <w:rsid w:val="001B52BB"/>
    <w:rsid w:val="001C0EDA"/>
    <w:rsid w:val="001C44B3"/>
    <w:rsid w:val="001C5BA8"/>
    <w:rsid w:val="001C60E4"/>
    <w:rsid w:val="001C664D"/>
    <w:rsid w:val="001C7CB0"/>
    <w:rsid w:val="001E0739"/>
    <w:rsid w:val="001F4A1C"/>
    <w:rsid w:val="00202AAE"/>
    <w:rsid w:val="00205E71"/>
    <w:rsid w:val="00207415"/>
    <w:rsid w:val="0021723D"/>
    <w:rsid w:val="00230122"/>
    <w:rsid w:val="00232C8A"/>
    <w:rsid w:val="00237115"/>
    <w:rsid w:val="0023760C"/>
    <w:rsid w:val="00237B99"/>
    <w:rsid w:val="00247F7B"/>
    <w:rsid w:val="00252C09"/>
    <w:rsid w:val="00254F02"/>
    <w:rsid w:val="00255753"/>
    <w:rsid w:val="00256051"/>
    <w:rsid w:val="00256FC0"/>
    <w:rsid w:val="00257A69"/>
    <w:rsid w:val="00264133"/>
    <w:rsid w:val="002675DA"/>
    <w:rsid w:val="00270824"/>
    <w:rsid w:val="00271503"/>
    <w:rsid w:val="002718AF"/>
    <w:rsid w:val="0027373E"/>
    <w:rsid w:val="002742AF"/>
    <w:rsid w:val="00276733"/>
    <w:rsid w:val="0028082A"/>
    <w:rsid w:val="00293015"/>
    <w:rsid w:val="002974D7"/>
    <w:rsid w:val="002A1F67"/>
    <w:rsid w:val="002A542E"/>
    <w:rsid w:val="002A5C32"/>
    <w:rsid w:val="002A7654"/>
    <w:rsid w:val="002B0307"/>
    <w:rsid w:val="002B0E81"/>
    <w:rsid w:val="002B2297"/>
    <w:rsid w:val="002D1737"/>
    <w:rsid w:val="002D3576"/>
    <w:rsid w:val="002D713A"/>
    <w:rsid w:val="002D742D"/>
    <w:rsid w:val="002E46FF"/>
    <w:rsid w:val="002F152B"/>
    <w:rsid w:val="003014D2"/>
    <w:rsid w:val="00301983"/>
    <w:rsid w:val="003022D3"/>
    <w:rsid w:val="00302937"/>
    <w:rsid w:val="003034C0"/>
    <w:rsid w:val="00304E6C"/>
    <w:rsid w:val="0030552C"/>
    <w:rsid w:val="00313001"/>
    <w:rsid w:val="00333129"/>
    <w:rsid w:val="003449B7"/>
    <w:rsid w:val="00345399"/>
    <w:rsid w:val="00352FBD"/>
    <w:rsid w:val="00354276"/>
    <w:rsid w:val="0035470B"/>
    <w:rsid w:val="003621EF"/>
    <w:rsid w:val="00365471"/>
    <w:rsid w:val="0036715F"/>
    <w:rsid w:val="00385967"/>
    <w:rsid w:val="00397CCC"/>
    <w:rsid w:val="003A43AB"/>
    <w:rsid w:val="003A537E"/>
    <w:rsid w:val="003B67E6"/>
    <w:rsid w:val="003C47CF"/>
    <w:rsid w:val="003C6DCA"/>
    <w:rsid w:val="003D3315"/>
    <w:rsid w:val="003D3F19"/>
    <w:rsid w:val="003F1CD4"/>
    <w:rsid w:val="003F2CEE"/>
    <w:rsid w:val="003F541D"/>
    <w:rsid w:val="00402D72"/>
    <w:rsid w:val="00411960"/>
    <w:rsid w:val="004123E3"/>
    <w:rsid w:val="004146F4"/>
    <w:rsid w:val="00420B8E"/>
    <w:rsid w:val="00427976"/>
    <w:rsid w:val="00443886"/>
    <w:rsid w:val="004438F2"/>
    <w:rsid w:val="00446352"/>
    <w:rsid w:val="00446D92"/>
    <w:rsid w:val="00453DAF"/>
    <w:rsid w:val="00470D86"/>
    <w:rsid w:val="00471D67"/>
    <w:rsid w:val="00472B4B"/>
    <w:rsid w:val="004835F1"/>
    <w:rsid w:val="00483654"/>
    <w:rsid w:val="00487186"/>
    <w:rsid w:val="00491E0A"/>
    <w:rsid w:val="004A61EC"/>
    <w:rsid w:val="004C2550"/>
    <w:rsid w:val="004C2CB2"/>
    <w:rsid w:val="004C48CF"/>
    <w:rsid w:val="004C582C"/>
    <w:rsid w:val="004E439F"/>
    <w:rsid w:val="004F6A4C"/>
    <w:rsid w:val="005021BE"/>
    <w:rsid w:val="00505706"/>
    <w:rsid w:val="00527D12"/>
    <w:rsid w:val="005307D4"/>
    <w:rsid w:val="00533BF5"/>
    <w:rsid w:val="00536D53"/>
    <w:rsid w:val="00536E85"/>
    <w:rsid w:val="0056303E"/>
    <w:rsid w:val="00564320"/>
    <w:rsid w:val="00566C32"/>
    <w:rsid w:val="00573A79"/>
    <w:rsid w:val="00575D29"/>
    <w:rsid w:val="00581AE0"/>
    <w:rsid w:val="00591751"/>
    <w:rsid w:val="00593FAA"/>
    <w:rsid w:val="005C53EC"/>
    <w:rsid w:val="005E02F7"/>
    <w:rsid w:val="005F1BD2"/>
    <w:rsid w:val="005F5ED0"/>
    <w:rsid w:val="005F5FA0"/>
    <w:rsid w:val="006073C7"/>
    <w:rsid w:val="0061204A"/>
    <w:rsid w:val="00613F9B"/>
    <w:rsid w:val="006148D0"/>
    <w:rsid w:val="0062643B"/>
    <w:rsid w:val="00626642"/>
    <w:rsid w:val="00626B7C"/>
    <w:rsid w:val="00630055"/>
    <w:rsid w:val="006335D8"/>
    <w:rsid w:val="00636357"/>
    <w:rsid w:val="006425E1"/>
    <w:rsid w:val="00652026"/>
    <w:rsid w:val="006541AB"/>
    <w:rsid w:val="00654A1E"/>
    <w:rsid w:val="00654F1C"/>
    <w:rsid w:val="00666D5E"/>
    <w:rsid w:val="0067075C"/>
    <w:rsid w:val="00693EFB"/>
    <w:rsid w:val="00694D0F"/>
    <w:rsid w:val="006A7C70"/>
    <w:rsid w:val="006B6351"/>
    <w:rsid w:val="006B6EAA"/>
    <w:rsid w:val="006C0117"/>
    <w:rsid w:val="006C51EC"/>
    <w:rsid w:val="006C72F1"/>
    <w:rsid w:val="006D4F1F"/>
    <w:rsid w:val="006E0153"/>
    <w:rsid w:val="006E2FE0"/>
    <w:rsid w:val="006E33B9"/>
    <w:rsid w:val="006E4F0D"/>
    <w:rsid w:val="006E4F69"/>
    <w:rsid w:val="006E52B2"/>
    <w:rsid w:val="006F758E"/>
    <w:rsid w:val="0070448E"/>
    <w:rsid w:val="0070719E"/>
    <w:rsid w:val="00707D02"/>
    <w:rsid w:val="0071660D"/>
    <w:rsid w:val="00725089"/>
    <w:rsid w:val="00727F30"/>
    <w:rsid w:val="007476F4"/>
    <w:rsid w:val="00751ADF"/>
    <w:rsid w:val="0076274E"/>
    <w:rsid w:val="007653D4"/>
    <w:rsid w:val="0077304A"/>
    <w:rsid w:val="0078254E"/>
    <w:rsid w:val="00782C8C"/>
    <w:rsid w:val="007A072A"/>
    <w:rsid w:val="007B1582"/>
    <w:rsid w:val="007B1671"/>
    <w:rsid w:val="007B230E"/>
    <w:rsid w:val="007B44C7"/>
    <w:rsid w:val="007C4F99"/>
    <w:rsid w:val="007E296C"/>
    <w:rsid w:val="007E3E10"/>
    <w:rsid w:val="007E470D"/>
    <w:rsid w:val="007E785A"/>
    <w:rsid w:val="007F317D"/>
    <w:rsid w:val="007F3498"/>
    <w:rsid w:val="007F428E"/>
    <w:rsid w:val="007F4752"/>
    <w:rsid w:val="0080471F"/>
    <w:rsid w:val="00813009"/>
    <w:rsid w:val="0081361B"/>
    <w:rsid w:val="00820253"/>
    <w:rsid w:val="008249EE"/>
    <w:rsid w:val="00830ED5"/>
    <w:rsid w:val="00830F40"/>
    <w:rsid w:val="00850F45"/>
    <w:rsid w:val="008639AF"/>
    <w:rsid w:val="00873B6B"/>
    <w:rsid w:val="00875CE5"/>
    <w:rsid w:val="00883A91"/>
    <w:rsid w:val="00890D99"/>
    <w:rsid w:val="00896158"/>
    <w:rsid w:val="00896A2D"/>
    <w:rsid w:val="008A1F56"/>
    <w:rsid w:val="008A30D0"/>
    <w:rsid w:val="008A4FEE"/>
    <w:rsid w:val="008A5252"/>
    <w:rsid w:val="008A5D1F"/>
    <w:rsid w:val="008B0763"/>
    <w:rsid w:val="008C0C72"/>
    <w:rsid w:val="008C0D95"/>
    <w:rsid w:val="008C793A"/>
    <w:rsid w:val="008E6DA7"/>
    <w:rsid w:val="008F48E5"/>
    <w:rsid w:val="008F7992"/>
    <w:rsid w:val="009003FA"/>
    <w:rsid w:val="00901E0E"/>
    <w:rsid w:val="009026AE"/>
    <w:rsid w:val="00904FFE"/>
    <w:rsid w:val="00910DA6"/>
    <w:rsid w:val="00913506"/>
    <w:rsid w:val="0091509B"/>
    <w:rsid w:val="0091569F"/>
    <w:rsid w:val="00923E73"/>
    <w:rsid w:val="00930A80"/>
    <w:rsid w:val="009319D2"/>
    <w:rsid w:val="00940418"/>
    <w:rsid w:val="00944911"/>
    <w:rsid w:val="00947866"/>
    <w:rsid w:val="00957D26"/>
    <w:rsid w:val="009643AA"/>
    <w:rsid w:val="00971CC3"/>
    <w:rsid w:val="00975BA2"/>
    <w:rsid w:val="00982EEC"/>
    <w:rsid w:val="0099269E"/>
    <w:rsid w:val="009A62E9"/>
    <w:rsid w:val="009B6C28"/>
    <w:rsid w:val="009C06E4"/>
    <w:rsid w:val="009C1AEB"/>
    <w:rsid w:val="009C5876"/>
    <w:rsid w:val="009F0A66"/>
    <w:rsid w:val="00A02C95"/>
    <w:rsid w:val="00A0351C"/>
    <w:rsid w:val="00A04C9E"/>
    <w:rsid w:val="00A10B59"/>
    <w:rsid w:val="00A13290"/>
    <w:rsid w:val="00A15207"/>
    <w:rsid w:val="00A20234"/>
    <w:rsid w:val="00A2237C"/>
    <w:rsid w:val="00A23293"/>
    <w:rsid w:val="00A3503F"/>
    <w:rsid w:val="00A36A74"/>
    <w:rsid w:val="00A46C4E"/>
    <w:rsid w:val="00A57641"/>
    <w:rsid w:val="00A603D5"/>
    <w:rsid w:val="00A60866"/>
    <w:rsid w:val="00A60918"/>
    <w:rsid w:val="00A61CDF"/>
    <w:rsid w:val="00A67ED4"/>
    <w:rsid w:val="00A7050C"/>
    <w:rsid w:val="00A979C4"/>
    <w:rsid w:val="00AB2994"/>
    <w:rsid w:val="00AC2733"/>
    <w:rsid w:val="00AC392B"/>
    <w:rsid w:val="00AC7BDA"/>
    <w:rsid w:val="00AD4F51"/>
    <w:rsid w:val="00AE642A"/>
    <w:rsid w:val="00AF1E86"/>
    <w:rsid w:val="00B00956"/>
    <w:rsid w:val="00B34989"/>
    <w:rsid w:val="00B40C89"/>
    <w:rsid w:val="00B4164D"/>
    <w:rsid w:val="00B432BA"/>
    <w:rsid w:val="00B46283"/>
    <w:rsid w:val="00B521A1"/>
    <w:rsid w:val="00B64133"/>
    <w:rsid w:val="00B8173A"/>
    <w:rsid w:val="00B90B42"/>
    <w:rsid w:val="00B937DE"/>
    <w:rsid w:val="00BB0A90"/>
    <w:rsid w:val="00BB1883"/>
    <w:rsid w:val="00BB1DDE"/>
    <w:rsid w:val="00BB4364"/>
    <w:rsid w:val="00BB4911"/>
    <w:rsid w:val="00BC0431"/>
    <w:rsid w:val="00BD51F8"/>
    <w:rsid w:val="00BD749E"/>
    <w:rsid w:val="00BF1126"/>
    <w:rsid w:val="00C00C92"/>
    <w:rsid w:val="00C02451"/>
    <w:rsid w:val="00C178CC"/>
    <w:rsid w:val="00C211DF"/>
    <w:rsid w:val="00C21992"/>
    <w:rsid w:val="00C22AF2"/>
    <w:rsid w:val="00C2460C"/>
    <w:rsid w:val="00C25636"/>
    <w:rsid w:val="00C278E3"/>
    <w:rsid w:val="00C356DD"/>
    <w:rsid w:val="00C37F73"/>
    <w:rsid w:val="00C41015"/>
    <w:rsid w:val="00C433D8"/>
    <w:rsid w:val="00C471FB"/>
    <w:rsid w:val="00C537E7"/>
    <w:rsid w:val="00C55AF7"/>
    <w:rsid w:val="00C66B46"/>
    <w:rsid w:val="00C72173"/>
    <w:rsid w:val="00C80A92"/>
    <w:rsid w:val="00C87A95"/>
    <w:rsid w:val="00C96456"/>
    <w:rsid w:val="00CA12BB"/>
    <w:rsid w:val="00CA4660"/>
    <w:rsid w:val="00CA6F0E"/>
    <w:rsid w:val="00CB5C8B"/>
    <w:rsid w:val="00CC07B0"/>
    <w:rsid w:val="00CC192A"/>
    <w:rsid w:val="00CC33DB"/>
    <w:rsid w:val="00CC73E3"/>
    <w:rsid w:val="00CD3BEE"/>
    <w:rsid w:val="00D03FD4"/>
    <w:rsid w:val="00D05A04"/>
    <w:rsid w:val="00D0652F"/>
    <w:rsid w:val="00D12020"/>
    <w:rsid w:val="00D12348"/>
    <w:rsid w:val="00D12D92"/>
    <w:rsid w:val="00D3310E"/>
    <w:rsid w:val="00D340D2"/>
    <w:rsid w:val="00D53F5E"/>
    <w:rsid w:val="00D542E0"/>
    <w:rsid w:val="00D81DAD"/>
    <w:rsid w:val="00D8622D"/>
    <w:rsid w:val="00D91C89"/>
    <w:rsid w:val="00D95D1E"/>
    <w:rsid w:val="00D975C7"/>
    <w:rsid w:val="00D97769"/>
    <w:rsid w:val="00D97C47"/>
    <w:rsid w:val="00DA6FBC"/>
    <w:rsid w:val="00DA7499"/>
    <w:rsid w:val="00DB3264"/>
    <w:rsid w:val="00DB4788"/>
    <w:rsid w:val="00DC484D"/>
    <w:rsid w:val="00DC737D"/>
    <w:rsid w:val="00DC7625"/>
    <w:rsid w:val="00DC7E2F"/>
    <w:rsid w:val="00DE267E"/>
    <w:rsid w:val="00DE6D5E"/>
    <w:rsid w:val="00DF5349"/>
    <w:rsid w:val="00DF7E22"/>
    <w:rsid w:val="00E034B7"/>
    <w:rsid w:val="00E039C8"/>
    <w:rsid w:val="00E05D51"/>
    <w:rsid w:val="00E10BC0"/>
    <w:rsid w:val="00E20574"/>
    <w:rsid w:val="00E23133"/>
    <w:rsid w:val="00E26B55"/>
    <w:rsid w:val="00E41E07"/>
    <w:rsid w:val="00E44178"/>
    <w:rsid w:val="00E44E97"/>
    <w:rsid w:val="00E50C69"/>
    <w:rsid w:val="00E629C5"/>
    <w:rsid w:val="00E629FD"/>
    <w:rsid w:val="00E66533"/>
    <w:rsid w:val="00E71428"/>
    <w:rsid w:val="00E7631C"/>
    <w:rsid w:val="00E77F43"/>
    <w:rsid w:val="00E93377"/>
    <w:rsid w:val="00E94348"/>
    <w:rsid w:val="00E961CE"/>
    <w:rsid w:val="00EA35EA"/>
    <w:rsid w:val="00EA4BAF"/>
    <w:rsid w:val="00EA697E"/>
    <w:rsid w:val="00EB0AC4"/>
    <w:rsid w:val="00EC28C3"/>
    <w:rsid w:val="00ED3FEA"/>
    <w:rsid w:val="00EE192A"/>
    <w:rsid w:val="00EF064F"/>
    <w:rsid w:val="00EF2C6C"/>
    <w:rsid w:val="00F12919"/>
    <w:rsid w:val="00F13F29"/>
    <w:rsid w:val="00F14A7B"/>
    <w:rsid w:val="00F1671F"/>
    <w:rsid w:val="00F22351"/>
    <w:rsid w:val="00F23880"/>
    <w:rsid w:val="00F2467D"/>
    <w:rsid w:val="00F251AB"/>
    <w:rsid w:val="00F27FBB"/>
    <w:rsid w:val="00F40B13"/>
    <w:rsid w:val="00F423F4"/>
    <w:rsid w:val="00F44B8C"/>
    <w:rsid w:val="00F4667F"/>
    <w:rsid w:val="00F5071B"/>
    <w:rsid w:val="00F52721"/>
    <w:rsid w:val="00F635AC"/>
    <w:rsid w:val="00F83CDE"/>
    <w:rsid w:val="00F85A9A"/>
    <w:rsid w:val="00F97E86"/>
    <w:rsid w:val="00FA10FB"/>
    <w:rsid w:val="00FA40F0"/>
    <w:rsid w:val="00FA4672"/>
    <w:rsid w:val="00FA5457"/>
    <w:rsid w:val="00FC2C1F"/>
    <w:rsid w:val="00FE50F4"/>
    <w:rsid w:val="00FE51DE"/>
    <w:rsid w:val="00FF083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14BDB2"/>
  <w15:docId w15:val="{0EAD9213-67BB-4662-8D5D-838E6BB0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3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0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6C51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B4364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BB4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43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4364"/>
  </w:style>
  <w:style w:type="table" w:styleId="TableGrid">
    <w:name w:val="Table Grid"/>
    <w:basedOn w:val="TableNormal"/>
    <w:rsid w:val="00BD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15F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36A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56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B230E"/>
  </w:style>
  <w:style w:type="character" w:styleId="Emphasis">
    <w:name w:val="Emphasis"/>
    <w:basedOn w:val="DefaultParagraphFont"/>
    <w:qFormat/>
    <w:rsid w:val="0025575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50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FA40F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0F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DA74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7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74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7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7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covey@boise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AACA-9C9F-4178-AEF8-54C4C247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826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subject/>
  <dc:creator>Anita Hamann</dc:creator>
  <cp:keywords/>
  <dc:description/>
  <cp:lastModifiedBy>Misty Lawrence</cp:lastModifiedBy>
  <cp:revision>5</cp:revision>
  <cp:lastPrinted>2020-07-23T19:01:00Z</cp:lastPrinted>
  <dcterms:created xsi:type="dcterms:W3CDTF">2021-08-23T14:41:00Z</dcterms:created>
  <dcterms:modified xsi:type="dcterms:W3CDTF">2022-06-01T23:16:00Z</dcterms:modified>
</cp:coreProperties>
</file>