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AD7DD" w14:textId="77777777" w:rsidR="00A50901" w:rsidRPr="00487FCD" w:rsidRDefault="00A50901" w:rsidP="001D2A76">
      <w:pPr>
        <w:pStyle w:val="Heading1"/>
        <w:spacing w:before="0"/>
        <w:rPr>
          <w:rFonts w:ascii="Arial" w:hAnsi="Arial" w:cs="Arial"/>
          <w:i/>
          <w:color w:val="000080"/>
          <w:szCs w:val="24"/>
        </w:rPr>
      </w:pPr>
      <w:r w:rsidRPr="00487FCD">
        <w:rPr>
          <w:rFonts w:ascii="Arial" w:hAnsi="Arial" w:cs="Arial"/>
          <w:i/>
          <w:color w:val="000080"/>
          <w:szCs w:val="24"/>
        </w:rPr>
        <w:t>Part I – Agency Profile</w:t>
      </w:r>
    </w:p>
    <w:p w14:paraId="66781332" w14:textId="77777777" w:rsidR="00BE1729" w:rsidRPr="00CB5DC4" w:rsidRDefault="00BE1729" w:rsidP="009E383C">
      <w:pPr>
        <w:rPr>
          <w:rFonts w:ascii="Arial" w:hAnsi="Arial" w:cs="Arial"/>
          <w:b/>
          <w:bCs/>
        </w:rPr>
      </w:pPr>
    </w:p>
    <w:p w14:paraId="2785642B" w14:textId="0095D0B4" w:rsidR="00AF3F1D" w:rsidRDefault="006D2BA5" w:rsidP="009E383C">
      <w:pPr>
        <w:rPr>
          <w:rFonts w:ascii="Arial" w:hAnsi="Arial" w:cs="Arial"/>
          <w:b/>
          <w:bCs/>
        </w:rPr>
      </w:pPr>
      <w:r w:rsidRPr="00CF73B4">
        <w:rPr>
          <w:rFonts w:ascii="Arial" w:hAnsi="Arial" w:cs="Arial"/>
          <w:b/>
          <w:bCs/>
        </w:rPr>
        <w:t>Agency Overview</w:t>
      </w:r>
    </w:p>
    <w:p w14:paraId="0E742BF0" w14:textId="77777777" w:rsidR="00B12260" w:rsidRDefault="00B12260" w:rsidP="009E383C">
      <w:pPr>
        <w:rPr>
          <w:rFonts w:ascii="Arial" w:hAnsi="Arial" w:cs="Arial"/>
          <w:b/>
          <w:bCs/>
        </w:rPr>
      </w:pPr>
    </w:p>
    <w:p w14:paraId="43609AE4" w14:textId="37DAFCAA" w:rsidR="00D047AC" w:rsidRPr="00D047AC" w:rsidRDefault="00D047AC" w:rsidP="001D2A76">
      <w:pPr>
        <w:jc w:val="both"/>
        <w:rPr>
          <w:rFonts w:ascii="Arial" w:hAnsi="Arial" w:cs="Arial"/>
          <w:sz w:val="20"/>
          <w:szCs w:val="22"/>
        </w:rPr>
      </w:pPr>
      <w:r w:rsidRPr="00D047AC">
        <w:rPr>
          <w:rFonts w:ascii="Arial" w:hAnsi="Arial" w:cs="Arial"/>
          <w:sz w:val="20"/>
          <w:szCs w:val="22"/>
        </w:rPr>
        <w:t>The Office of the State Appellate Public Defender (SAPD) provides appellate representation</w:t>
      </w:r>
      <w:r w:rsidR="00A36F81">
        <w:rPr>
          <w:rFonts w:ascii="Arial" w:hAnsi="Arial" w:cs="Arial"/>
          <w:sz w:val="20"/>
          <w:szCs w:val="22"/>
        </w:rPr>
        <w:t xml:space="preserve"> in the Idaho Supr</w:t>
      </w:r>
      <w:r w:rsidR="005B23F5">
        <w:rPr>
          <w:rFonts w:ascii="Arial" w:hAnsi="Arial" w:cs="Arial"/>
          <w:sz w:val="20"/>
          <w:szCs w:val="22"/>
        </w:rPr>
        <w:t>eme Court and Idaho Court of Appeals</w:t>
      </w:r>
      <w:r w:rsidRPr="00D047AC">
        <w:rPr>
          <w:rFonts w:ascii="Arial" w:hAnsi="Arial" w:cs="Arial"/>
          <w:sz w:val="20"/>
          <w:szCs w:val="22"/>
        </w:rPr>
        <w:t xml:space="preserve"> to indigent </w:t>
      </w:r>
      <w:r w:rsidR="00D728F8">
        <w:rPr>
          <w:rFonts w:ascii="Arial" w:hAnsi="Arial" w:cs="Arial"/>
          <w:sz w:val="20"/>
          <w:szCs w:val="22"/>
        </w:rPr>
        <w:t>adults and juveniles</w:t>
      </w:r>
      <w:r w:rsidRPr="00D047AC">
        <w:rPr>
          <w:rFonts w:ascii="Arial" w:hAnsi="Arial" w:cs="Arial"/>
          <w:sz w:val="20"/>
          <w:szCs w:val="22"/>
        </w:rPr>
        <w:t xml:space="preserve"> who have been convicted of a felony</w:t>
      </w:r>
      <w:r w:rsidR="00D728F8">
        <w:rPr>
          <w:rFonts w:ascii="Arial" w:hAnsi="Arial" w:cs="Arial"/>
          <w:sz w:val="20"/>
          <w:szCs w:val="22"/>
        </w:rPr>
        <w:t xml:space="preserve"> or </w:t>
      </w:r>
      <w:r w:rsidR="00A36F81">
        <w:rPr>
          <w:rFonts w:ascii="Arial" w:hAnsi="Arial" w:cs="Arial"/>
          <w:sz w:val="20"/>
          <w:szCs w:val="22"/>
        </w:rPr>
        <w:t xml:space="preserve">misdemeanor. </w:t>
      </w:r>
      <w:r w:rsidRPr="00D047AC">
        <w:rPr>
          <w:rFonts w:ascii="Arial" w:hAnsi="Arial" w:cs="Arial"/>
          <w:sz w:val="20"/>
          <w:szCs w:val="22"/>
        </w:rPr>
        <w:t>The SAPD also provides appellate representation to petitioners in state post-conviction and habeas corpus cases.</w:t>
      </w:r>
      <w:r w:rsidR="00DE0590">
        <w:rPr>
          <w:rFonts w:ascii="Arial" w:hAnsi="Arial" w:cs="Arial"/>
          <w:sz w:val="20"/>
          <w:szCs w:val="22"/>
        </w:rPr>
        <w:t xml:space="preserve">  </w:t>
      </w:r>
      <w:r w:rsidRPr="00D047AC">
        <w:rPr>
          <w:rFonts w:ascii="Arial" w:hAnsi="Arial" w:cs="Arial"/>
          <w:sz w:val="20"/>
          <w:szCs w:val="22"/>
        </w:rPr>
        <w:t xml:space="preserve">In capital cases, where a defendant has been sentenced to death, the SAPD provides district court representation for post-conviction cases, as well as representation on appeal in both the direct appeal from the judgment of conviction and </w:t>
      </w:r>
      <w:r w:rsidR="001119E2">
        <w:rPr>
          <w:rFonts w:ascii="Arial" w:hAnsi="Arial" w:cs="Arial"/>
          <w:sz w:val="20"/>
          <w:szCs w:val="22"/>
        </w:rPr>
        <w:t>the appeal from the denial of the post-conviction petition</w:t>
      </w:r>
      <w:r w:rsidRPr="00D047AC">
        <w:rPr>
          <w:rFonts w:ascii="Arial" w:hAnsi="Arial" w:cs="Arial"/>
          <w:sz w:val="20"/>
          <w:szCs w:val="22"/>
        </w:rPr>
        <w:t>.</w:t>
      </w:r>
    </w:p>
    <w:p w14:paraId="6C22EB6D" w14:textId="77777777" w:rsidR="00D047AC" w:rsidRDefault="00D047AC" w:rsidP="001D2A76">
      <w:pPr>
        <w:jc w:val="both"/>
        <w:rPr>
          <w:rFonts w:ascii="Arial" w:hAnsi="Arial" w:cs="Arial"/>
          <w:sz w:val="20"/>
          <w:szCs w:val="22"/>
        </w:rPr>
      </w:pPr>
    </w:p>
    <w:p w14:paraId="12AEA332" w14:textId="00BE7D00" w:rsidR="00D047AC" w:rsidRPr="00D047AC" w:rsidRDefault="0003028E" w:rsidP="001D2A76">
      <w:pPr>
        <w:jc w:val="both"/>
        <w:rPr>
          <w:rFonts w:ascii="Arial" w:hAnsi="Arial" w:cs="Arial"/>
          <w:sz w:val="20"/>
          <w:szCs w:val="22"/>
        </w:rPr>
      </w:pPr>
      <w:r>
        <w:rPr>
          <w:rFonts w:ascii="Arial" w:hAnsi="Arial" w:cs="Arial"/>
          <w:sz w:val="20"/>
          <w:szCs w:val="22"/>
        </w:rPr>
        <w:t>On November 22, 2016</w:t>
      </w:r>
      <w:r w:rsidR="00D21CED">
        <w:rPr>
          <w:rFonts w:ascii="Arial" w:hAnsi="Arial" w:cs="Arial"/>
          <w:sz w:val="20"/>
          <w:szCs w:val="22"/>
        </w:rPr>
        <w:t>,</w:t>
      </w:r>
      <w:r>
        <w:rPr>
          <w:rFonts w:ascii="Arial" w:hAnsi="Arial" w:cs="Arial"/>
          <w:sz w:val="20"/>
          <w:szCs w:val="22"/>
        </w:rPr>
        <w:t xml:space="preserve"> Governor Otter appointed </w:t>
      </w:r>
      <w:r w:rsidR="00B12260">
        <w:rPr>
          <w:rFonts w:ascii="Arial" w:hAnsi="Arial" w:cs="Arial"/>
          <w:sz w:val="20"/>
          <w:szCs w:val="22"/>
        </w:rPr>
        <w:t xml:space="preserve">Eric D. </w:t>
      </w:r>
      <w:r w:rsidR="00D21CED">
        <w:rPr>
          <w:rFonts w:ascii="Arial" w:hAnsi="Arial" w:cs="Arial"/>
          <w:sz w:val="20"/>
          <w:szCs w:val="22"/>
        </w:rPr>
        <w:t>Fredericksen to the position of</w:t>
      </w:r>
      <w:r>
        <w:rPr>
          <w:rFonts w:ascii="Arial" w:hAnsi="Arial" w:cs="Arial"/>
          <w:sz w:val="20"/>
          <w:szCs w:val="22"/>
        </w:rPr>
        <w:t xml:space="preserve"> State Appellate Public Defender.</w:t>
      </w:r>
      <w:r w:rsidR="00AF3F1D">
        <w:rPr>
          <w:rFonts w:ascii="Arial" w:hAnsi="Arial" w:cs="Arial"/>
          <w:sz w:val="20"/>
          <w:szCs w:val="22"/>
        </w:rPr>
        <w:t xml:space="preserve">  Mr. Fredericksen was reappointed to the position of State Appellate Public Defender on Augu</w:t>
      </w:r>
      <w:r w:rsidR="00C1412B">
        <w:rPr>
          <w:rFonts w:ascii="Arial" w:hAnsi="Arial" w:cs="Arial"/>
          <w:sz w:val="20"/>
          <w:szCs w:val="22"/>
        </w:rPr>
        <w:t xml:space="preserve">st 1, 2018.   </w:t>
      </w:r>
      <w:r w:rsidR="00B12260">
        <w:rPr>
          <w:rFonts w:ascii="Arial" w:hAnsi="Arial" w:cs="Arial"/>
          <w:sz w:val="20"/>
          <w:szCs w:val="22"/>
        </w:rPr>
        <w:t>As of October 1, 2020, the office will have</w:t>
      </w:r>
      <w:r w:rsidR="00AF3F1D">
        <w:rPr>
          <w:rFonts w:ascii="Arial" w:hAnsi="Arial" w:cs="Arial"/>
          <w:sz w:val="20"/>
          <w:szCs w:val="22"/>
        </w:rPr>
        <w:t xml:space="preserve"> 2</w:t>
      </w:r>
      <w:r w:rsidR="00B12260">
        <w:rPr>
          <w:rFonts w:ascii="Arial" w:hAnsi="Arial" w:cs="Arial"/>
          <w:sz w:val="20"/>
          <w:szCs w:val="22"/>
        </w:rPr>
        <w:t>5</w:t>
      </w:r>
      <w:r w:rsidR="00D047AC" w:rsidRPr="00D047AC">
        <w:rPr>
          <w:rFonts w:ascii="Arial" w:hAnsi="Arial" w:cs="Arial"/>
          <w:sz w:val="20"/>
          <w:szCs w:val="22"/>
        </w:rPr>
        <w:t xml:space="preserve"> full-time employees, including the agency head.  The Capital Litigation Unit includes three attorneys, a mitigation specialist, an investigator, and one </w:t>
      </w:r>
      <w:r w:rsidR="00D21CED">
        <w:rPr>
          <w:rFonts w:ascii="Arial" w:hAnsi="Arial" w:cs="Arial"/>
          <w:sz w:val="20"/>
          <w:szCs w:val="22"/>
        </w:rPr>
        <w:t xml:space="preserve">administrative </w:t>
      </w:r>
      <w:r w:rsidR="00D047AC" w:rsidRPr="00D047AC">
        <w:rPr>
          <w:rFonts w:ascii="Arial" w:hAnsi="Arial" w:cs="Arial"/>
          <w:sz w:val="20"/>
          <w:szCs w:val="22"/>
        </w:rPr>
        <w:t>assistant.  The Appellate Unit</w:t>
      </w:r>
      <w:r w:rsidR="00F42616">
        <w:rPr>
          <w:rFonts w:ascii="Arial" w:hAnsi="Arial" w:cs="Arial"/>
          <w:sz w:val="20"/>
          <w:szCs w:val="22"/>
        </w:rPr>
        <w:t xml:space="preserve"> has </w:t>
      </w:r>
      <w:r w:rsidR="00B12260">
        <w:rPr>
          <w:rFonts w:ascii="Arial" w:hAnsi="Arial" w:cs="Arial"/>
          <w:sz w:val="20"/>
          <w:szCs w:val="22"/>
        </w:rPr>
        <w:t>thirteen</w:t>
      </w:r>
      <w:r w:rsidR="0033725C">
        <w:rPr>
          <w:rFonts w:ascii="Arial" w:hAnsi="Arial" w:cs="Arial"/>
          <w:sz w:val="20"/>
          <w:szCs w:val="22"/>
        </w:rPr>
        <w:t xml:space="preserve"> staff attorneys and </w:t>
      </w:r>
      <w:r w:rsidR="00AF3F1D">
        <w:rPr>
          <w:rFonts w:ascii="Arial" w:hAnsi="Arial" w:cs="Arial"/>
          <w:sz w:val="20"/>
          <w:szCs w:val="22"/>
        </w:rPr>
        <w:t>three</w:t>
      </w:r>
      <w:r w:rsidR="0033725C">
        <w:rPr>
          <w:rFonts w:ascii="Arial" w:hAnsi="Arial" w:cs="Arial"/>
          <w:sz w:val="20"/>
          <w:szCs w:val="22"/>
        </w:rPr>
        <w:t xml:space="preserve"> legal assistants</w:t>
      </w:r>
      <w:r w:rsidR="00D21CED">
        <w:rPr>
          <w:rFonts w:ascii="Arial" w:hAnsi="Arial" w:cs="Arial"/>
          <w:sz w:val="20"/>
          <w:szCs w:val="22"/>
        </w:rPr>
        <w:t>.  There is also an office a</w:t>
      </w:r>
      <w:r w:rsidR="00D047AC" w:rsidRPr="00D047AC">
        <w:rPr>
          <w:rFonts w:ascii="Arial" w:hAnsi="Arial" w:cs="Arial"/>
          <w:sz w:val="20"/>
          <w:szCs w:val="22"/>
        </w:rPr>
        <w:t>dministrator</w:t>
      </w:r>
      <w:r w:rsidR="0033725C">
        <w:rPr>
          <w:rFonts w:ascii="Arial" w:hAnsi="Arial" w:cs="Arial"/>
          <w:sz w:val="20"/>
          <w:szCs w:val="22"/>
        </w:rPr>
        <w:t xml:space="preserve"> and receptionist</w:t>
      </w:r>
      <w:r w:rsidR="00D047AC" w:rsidRPr="00D047AC">
        <w:rPr>
          <w:rFonts w:ascii="Arial" w:hAnsi="Arial" w:cs="Arial"/>
          <w:sz w:val="20"/>
          <w:szCs w:val="22"/>
        </w:rPr>
        <w:t xml:space="preserve">.  The office is </w:t>
      </w:r>
      <w:r>
        <w:rPr>
          <w:rFonts w:ascii="Arial" w:hAnsi="Arial" w:cs="Arial"/>
          <w:sz w:val="20"/>
          <w:szCs w:val="22"/>
        </w:rPr>
        <w:t>located at 322 East Front Street, Suite 570, Boise, Idaho.</w:t>
      </w:r>
    </w:p>
    <w:p w14:paraId="50B76C89" w14:textId="77777777" w:rsidR="00D047AC" w:rsidRDefault="00D047AC" w:rsidP="001D2A76">
      <w:pPr>
        <w:jc w:val="both"/>
        <w:rPr>
          <w:rFonts w:ascii="Arial" w:hAnsi="Arial" w:cs="Arial"/>
          <w:sz w:val="20"/>
          <w:szCs w:val="22"/>
        </w:rPr>
      </w:pPr>
    </w:p>
    <w:p w14:paraId="27CBA687" w14:textId="77777777" w:rsidR="00D047AC" w:rsidRPr="00D047AC" w:rsidRDefault="00D047AC" w:rsidP="001D2A76">
      <w:pPr>
        <w:jc w:val="both"/>
        <w:rPr>
          <w:rFonts w:ascii="Arial" w:hAnsi="Arial" w:cs="Arial"/>
          <w:sz w:val="20"/>
          <w:szCs w:val="22"/>
        </w:rPr>
      </w:pPr>
      <w:r w:rsidRPr="00D047AC">
        <w:rPr>
          <w:rFonts w:ascii="Arial" w:hAnsi="Arial" w:cs="Arial"/>
          <w:sz w:val="20"/>
          <w:szCs w:val="22"/>
        </w:rPr>
        <w:t>The SAPD must provide effective assistance of counsel to its clients and timely process appeals, as mandated by both the United States and Idaho Constitutions, as well as by Idaho statutes and court rules.  Ethically, in its casework the SAPD must serve, first and foremost, the best interests of its clients.  The SAPD is also mindful of relevant constituent groups and the legislative goal of reducing the financial burden on Idaho counties previously caused by the extraordinary cost of legal representation of indigent defendants on appeal.  The SAPD is additionally committed to strengthening Idaho’s criminal justice system to ensure it is both efficient and effective for SAPD clients.</w:t>
      </w:r>
    </w:p>
    <w:p w14:paraId="4AC04BF4" w14:textId="77777777" w:rsidR="00D047AC" w:rsidRDefault="00D047AC" w:rsidP="001D2A76">
      <w:pPr>
        <w:jc w:val="both"/>
        <w:rPr>
          <w:rFonts w:ascii="Arial" w:hAnsi="Arial" w:cs="Arial"/>
          <w:sz w:val="20"/>
          <w:szCs w:val="22"/>
        </w:rPr>
      </w:pPr>
    </w:p>
    <w:p w14:paraId="4E2EB159" w14:textId="77777777" w:rsidR="004869F8" w:rsidRDefault="004869F8" w:rsidP="001D2A76">
      <w:pPr>
        <w:jc w:val="both"/>
        <w:rPr>
          <w:rFonts w:ascii="Arial" w:eastAsia="Times" w:hAnsi="Arial" w:cs="Arial"/>
          <w:sz w:val="20"/>
          <w:szCs w:val="20"/>
        </w:rPr>
      </w:pPr>
      <w:r w:rsidRPr="004869F8">
        <w:rPr>
          <w:rFonts w:ascii="Arial" w:hAnsi="Arial" w:cs="Arial"/>
          <w:sz w:val="20"/>
          <w:szCs w:val="20"/>
        </w:rPr>
        <w:t xml:space="preserve">The SAPD’s Mission: </w:t>
      </w:r>
      <w:r w:rsidRPr="004869F8">
        <w:rPr>
          <w:rFonts w:ascii="Arial" w:eastAsia="Times" w:hAnsi="Arial" w:cs="Arial"/>
          <w:sz w:val="20"/>
          <w:szCs w:val="20"/>
        </w:rPr>
        <w:t>Defending zealously, advancing fairness, and advocating with integrity.</w:t>
      </w:r>
    </w:p>
    <w:p w14:paraId="705677C6" w14:textId="77777777" w:rsidR="004869F8" w:rsidRDefault="004869F8" w:rsidP="001D2A76">
      <w:pPr>
        <w:jc w:val="both"/>
        <w:rPr>
          <w:rFonts w:ascii="Arial" w:eastAsia="Times" w:hAnsi="Arial" w:cs="Arial"/>
          <w:sz w:val="20"/>
          <w:szCs w:val="20"/>
        </w:rPr>
      </w:pPr>
    </w:p>
    <w:p w14:paraId="403DDBF8" w14:textId="77777777" w:rsidR="004869F8" w:rsidRPr="004869F8" w:rsidRDefault="004869F8" w:rsidP="001D2A76">
      <w:pPr>
        <w:jc w:val="both"/>
        <w:rPr>
          <w:rFonts w:ascii="Arial" w:eastAsia="Times" w:hAnsi="Arial" w:cs="Arial"/>
          <w:b/>
          <w:sz w:val="20"/>
          <w:szCs w:val="20"/>
        </w:rPr>
      </w:pPr>
      <w:r w:rsidRPr="004869F8">
        <w:rPr>
          <w:rFonts w:ascii="Arial" w:eastAsia="Times" w:hAnsi="Arial" w:cs="Arial"/>
          <w:sz w:val="20"/>
          <w:szCs w:val="20"/>
        </w:rPr>
        <w:t>The SAPD’s Vision:  A better Idaho where the legal system treats each person with fairness and dignity.</w:t>
      </w:r>
    </w:p>
    <w:p w14:paraId="202C8872" w14:textId="77777777" w:rsidR="00015C9F" w:rsidRPr="00C8187D" w:rsidRDefault="00015C9F" w:rsidP="009E383C">
      <w:pPr>
        <w:jc w:val="both"/>
        <w:rPr>
          <w:rFonts w:ascii="Arial" w:hAnsi="Arial" w:cs="Arial"/>
          <w:bCs/>
        </w:rPr>
      </w:pPr>
    </w:p>
    <w:p w14:paraId="09787AFC" w14:textId="5B8DE285" w:rsidR="00623973" w:rsidRDefault="006D2BA5" w:rsidP="009E383C">
      <w:pPr>
        <w:jc w:val="both"/>
        <w:rPr>
          <w:rFonts w:ascii="Arial" w:hAnsi="Arial" w:cs="Arial"/>
          <w:b/>
          <w:bCs/>
        </w:rPr>
      </w:pPr>
      <w:r w:rsidRPr="00CF73B4">
        <w:rPr>
          <w:rFonts w:ascii="Arial" w:hAnsi="Arial" w:cs="Arial"/>
          <w:b/>
          <w:bCs/>
        </w:rPr>
        <w:t>Core Functions/Idaho Code</w:t>
      </w:r>
    </w:p>
    <w:p w14:paraId="6D37F93B" w14:textId="77777777" w:rsidR="00DE0590" w:rsidRDefault="00DE0590" w:rsidP="009E383C">
      <w:pPr>
        <w:jc w:val="both"/>
        <w:rPr>
          <w:rFonts w:ascii="Arial" w:hAnsi="Arial" w:cs="Arial"/>
          <w:b/>
          <w:bCs/>
        </w:rPr>
      </w:pPr>
    </w:p>
    <w:p w14:paraId="7E1D74D4" w14:textId="77777777" w:rsidR="00D047AC" w:rsidRPr="00D047AC" w:rsidRDefault="00D047AC" w:rsidP="00BA0919">
      <w:pPr>
        <w:jc w:val="both"/>
        <w:rPr>
          <w:rFonts w:ascii="Arial" w:hAnsi="Arial" w:cs="Arial"/>
          <w:color w:val="000000"/>
          <w:sz w:val="20"/>
          <w:szCs w:val="22"/>
        </w:rPr>
      </w:pPr>
      <w:r w:rsidRPr="00D047AC">
        <w:rPr>
          <w:rFonts w:ascii="Arial" w:hAnsi="Arial" w:cs="Arial"/>
          <w:color w:val="000000"/>
          <w:sz w:val="20"/>
          <w:szCs w:val="22"/>
        </w:rPr>
        <w:t xml:space="preserve">The right of a defendant to representation by an attorney in a felony criminal case is a core value in Idaho, dating back to the days of the Idaho Territory. The Revised Statutes of Idaho, dated 1884, stated that if a defendant “desires and is unable to employ counsel, the court must assign counsel to defend him.” Years later, the United States Supreme Court recognized, in </w:t>
      </w:r>
      <w:r w:rsidRPr="004869F8">
        <w:rPr>
          <w:rFonts w:ascii="Arial" w:hAnsi="Arial" w:cs="Arial"/>
          <w:i/>
          <w:color w:val="000000"/>
          <w:sz w:val="20"/>
          <w:szCs w:val="22"/>
        </w:rPr>
        <w:t>Alabama v. Powell</w:t>
      </w:r>
      <w:r w:rsidRPr="00D047AC">
        <w:rPr>
          <w:rFonts w:ascii="Arial" w:hAnsi="Arial" w:cs="Arial"/>
          <w:color w:val="000000"/>
          <w:sz w:val="20"/>
          <w:szCs w:val="22"/>
        </w:rPr>
        <w:t xml:space="preserve">, 287 U.S. 45, 68-69 (1932), that the basic fairness required by the United States Constitution meant that indigent defendants facing capital charges had the right to assistance of counsel. More than thirty years later, in </w:t>
      </w:r>
      <w:r w:rsidRPr="004869F8">
        <w:rPr>
          <w:rFonts w:ascii="Arial" w:hAnsi="Arial" w:cs="Arial"/>
          <w:i/>
          <w:color w:val="000000"/>
          <w:sz w:val="20"/>
          <w:szCs w:val="22"/>
        </w:rPr>
        <w:t>Gideon v. Wainwright</w:t>
      </w:r>
      <w:r w:rsidRPr="00D047AC">
        <w:rPr>
          <w:rFonts w:ascii="Arial" w:hAnsi="Arial" w:cs="Arial"/>
          <w:color w:val="000000"/>
          <w:sz w:val="20"/>
          <w:szCs w:val="22"/>
        </w:rPr>
        <w:t xml:space="preserve">, 372 U.S. 335 (1963), the Supreme Court ruled that states have a constitutional obligation under the Sixth and Fourteenth Amendments to the U.S. Constitution to provide trial counsel to non-capital indigent defendants facing a loss of liberty. Finally, in </w:t>
      </w:r>
      <w:r w:rsidRPr="004869F8">
        <w:rPr>
          <w:rFonts w:ascii="Arial" w:hAnsi="Arial" w:cs="Arial"/>
          <w:i/>
          <w:color w:val="000000"/>
          <w:sz w:val="20"/>
          <w:szCs w:val="22"/>
        </w:rPr>
        <w:t>Douglas v. California</w:t>
      </w:r>
      <w:r w:rsidRPr="00D047AC">
        <w:rPr>
          <w:rFonts w:ascii="Arial" w:hAnsi="Arial" w:cs="Arial"/>
          <w:color w:val="000000"/>
          <w:sz w:val="20"/>
          <w:szCs w:val="22"/>
        </w:rPr>
        <w:t xml:space="preserve">, 372 U.S. 353 (1963), the Court found that an indigent defendant is entitled to the assistance of counsel in a first appeal granted as a matter of right from a criminal conviction. </w:t>
      </w:r>
    </w:p>
    <w:p w14:paraId="4B17F5E1" w14:textId="77777777" w:rsidR="00D047AC" w:rsidRDefault="00D047AC" w:rsidP="009E383C">
      <w:pPr>
        <w:jc w:val="both"/>
        <w:rPr>
          <w:rFonts w:ascii="Arial" w:hAnsi="Arial" w:cs="Arial"/>
          <w:color w:val="000000"/>
          <w:sz w:val="20"/>
          <w:szCs w:val="22"/>
        </w:rPr>
      </w:pPr>
    </w:p>
    <w:p w14:paraId="7140A528" w14:textId="77777777" w:rsidR="00D047AC" w:rsidRPr="00D047AC" w:rsidRDefault="00D047AC" w:rsidP="00BA0919">
      <w:pPr>
        <w:jc w:val="both"/>
        <w:rPr>
          <w:rFonts w:ascii="Arial" w:hAnsi="Arial" w:cs="Arial"/>
          <w:color w:val="000000"/>
          <w:sz w:val="20"/>
          <w:szCs w:val="22"/>
        </w:rPr>
      </w:pPr>
      <w:r w:rsidRPr="00D047AC">
        <w:rPr>
          <w:rFonts w:ascii="Arial" w:hAnsi="Arial" w:cs="Arial"/>
          <w:color w:val="000000"/>
          <w:sz w:val="20"/>
          <w:szCs w:val="22"/>
        </w:rPr>
        <w:t xml:space="preserve">Even absent the constitutional requirements for counsel, Idaho continues to adhere to the core value of ensuring that criminal defendants facing a loss of liberty are represented by counsel “to the same extent as a person having his own counsel is so entitled.” I.C. § 19-852. Similarly, in accordance with Idaho Criminal Rule 44.2, immediately after the imposition of the death penalty, the court must appoint at least one lawyer to represent the defendant for purposes of seeking post-conviction relief pursuant to Idaho Code §19-2719. </w:t>
      </w:r>
    </w:p>
    <w:p w14:paraId="580CE95D" w14:textId="77777777" w:rsidR="00D047AC" w:rsidRDefault="00D047AC" w:rsidP="009E383C">
      <w:pPr>
        <w:jc w:val="both"/>
        <w:rPr>
          <w:rFonts w:ascii="Arial" w:hAnsi="Arial" w:cs="Arial"/>
          <w:color w:val="000000"/>
          <w:sz w:val="20"/>
          <w:szCs w:val="22"/>
        </w:rPr>
      </w:pPr>
    </w:p>
    <w:p w14:paraId="02617C1E" w14:textId="77777777" w:rsidR="00015C9F" w:rsidRDefault="00D047AC" w:rsidP="00BA0919">
      <w:pPr>
        <w:jc w:val="both"/>
        <w:rPr>
          <w:rFonts w:ascii="Arial" w:hAnsi="Arial" w:cs="Arial"/>
          <w:color w:val="000000"/>
          <w:sz w:val="20"/>
          <w:szCs w:val="22"/>
        </w:rPr>
      </w:pPr>
      <w:r w:rsidRPr="00D047AC">
        <w:rPr>
          <w:rFonts w:ascii="Arial" w:hAnsi="Arial" w:cs="Arial"/>
          <w:color w:val="000000"/>
          <w:sz w:val="20"/>
          <w:szCs w:val="22"/>
        </w:rPr>
        <w:t xml:space="preserve">The legislature recognized that the cost of providing appellate representation was an extraordinary burden on the counties of Idaho. “In order to reduce this burden, provide competent counsel but avoid paying high hourly rates to independent counsel to represent indigent defendants in appellate proceedings,” the legislature created the SAPD. </w:t>
      </w:r>
      <w:r w:rsidRPr="0051611E">
        <w:rPr>
          <w:rFonts w:ascii="Arial" w:hAnsi="Arial" w:cs="Arial"/>
          <w:i/>
          <w:color w:val="000000"/>
          <w:sz w:val="20"/>
          <w:szCs w:val="22"/>
        </w:rPr>
        <w:t>See</w:t>
      </w:r>
      <w:r w:rsidRPr="00D047AC">
        <w:rPr>
          <w:rFonts w:ascii="Arial" w:hAnsi="Arial" w:cs="Arial"/>
          <w:color w:val="000000"/>
          <w:sz w:val="20"/>
          <w:szCs w:val="22"/>
        </w:rPr>
        <w:t xml:space="preserve"> I.C. § 19-868. The duties of the </w:t>
      </w:r>
      <w:r w:rsidR="0051611E">
        <w:rPr>
          <w:rFonts w:ascii="Arial" w:hAnsi="Arial" w:cs="Arial"/>
          <w:color w:val="000000"/>
          <w:sz w:val="20"/>
          <w:szCs w:val="22"/>
        </w:rPr>
        <w:t>SAPD</w:t>
      </w:r>
      <w:r w:rsidRPr="00D047AC">
        <w:rPr>
          <w:rFonts w:ascii="Arial" w:hAnsi="Arial" w:cs="Arial"/>
          <w:color w:val="000000"/>
          <w:sz w:val="20"/>
          <w:szCs w:val="22"/>
        </w:rPr>
        <w:t xml:space="preserve"> are enumerated in I.C. §19-868 through §19-872.</w:t>
      </w:r>
    </w:p>
    <w:p w14:paraId="55E2FCD2" w14:textId="1562561B" w:rsidR="0050252A" w:rsidRPr="00CF73B4" w:rsidRDefault="00BA0919" w:rsidP="00D728F8">
      <w:pPr>
        <w:rPr>
          <w:rFonts w:ascii="Arial" w:hAnsi="Arial" w:cs="Arial"/>
          <w:b/>
          <w:bCs/>
        </w:rPr>
      </w:pPr>
      <w:r>
        <w:rPr>
          <w:rFonts w:ascii="Arial" w:hAnsi="Arial" w:cs="Arial"/>
          <w:b/>
          <w:bCs/>
        </w:rPr>
        <w:br w:type="page"/>
      </w:r>
      <w:r w:rsidR="00C3221A">
        <w:rPr>
          <w:rFonts w:ascii="Arial" w:hAnsi="Arial" w:cs="Arial"/>
          <w:b/>
          <w:bCs/>
        </w:rPr>
        <w:lastRenderedPageBreak/>
        <w:t>Revenue</w:t>
      </w:r>
      <w:r w:rsidR="006D2BA5" w:rsidRPr="00CF73B4">
        <w:rPr>
          <w:rFonts w:ascii="Arial" w:hAnsi="Arial" w:cs="Arial"/>
          <w:b/>
          <w:bCs/>
        </w:rPr>
        <w:t xml:space="preserve"> and Expenditures</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796"/>
        <w:gridCol w:w="1784"/>
        <w:gridCol w:w="1784"/>
        <w:gridCol w:w="1784"/>
        <w:gridCol w:w="1922"/>
      </w:tblGrid>
      <w:tr w:rsidR="00D06B35" w:rsidRPr="00CF73B4" w14:paraId="6DDD0982" w14:textId="77777777" w:rsidTr="00821D29">
        <w:tc>
          <w:tcPr>
            <w:tcW w:w="2796" w:type="dxa"/>
            <w:shd w:val="clear" w:color="auto" w:fill="000080"/>
          </w:tcPr>
          <w:p w14:paraId="0009E03B" w14:textId="77777777" w:rsidR="00D06B35" w:rsidRPr="00CF73B4" w:rsidRDefault="00D06B35" w:rsidP="00D06B35">
            <w:pPr>
              <w:rPr>
                <w:rFonts w:ascii="Arial" w:hAnsi="Arial" w:cs="Arial"/>
                <w:b/>
                <w:bCs/>
                <w:color w:val="FFFFFF"/>
                <w:sz w:val="20"/>
              </w:rPr>
            </w:pPr>
            <w:r>
              <w:rPr>
                <w:rFonts w:ascii="Arial" w:hAnsi="Arial" w:cs="Arial"/>
                <w:b/>
                <w:bCs/>
                <w:color w:val="FFFFFF"/>
                <w:sz w:val="20"/>
              </w:rPr>
              <w:t>Revenue</w:t>
            </w:r>
          </w:p>
        </w:tc>
        <w:tc>
          <w:tcPr>
            <w:tcW w:w="1784" w:type="dxa"/>
            <w:shd w:val="clear" w:color="auto" w:fill="000080"/>
          </w:tcPr>
          <w:p w14:paraId="15EBE60B" w14:textId="34181CCD" w:rsidR="00D06B35" w:rsidRPr="00F97869" w:rsidRDefault="00821D29" w:rsidP="00D06B35">
            <w:pPr>
              <w:jc w:val="right"/>
              <w:rPr>
                <w:rFonts w:ascii="Arial" w:hAnsi="Arial" w:cs="Arial"/>
                <w:b/>
                <w:bCs/>
                <w:color w:val="FFFFFF"/>
                <w:sz w:val="20"/>
                <w:szCs w:val="20"/>
              </w:rPr>
            </w:pPr>
            <w:r>
              <w:rPr>
                <w:rFonts w:ascii="Arial" w:hAnsi="Arial" w:cs="Arial"/>
                <w:b/>
                <w:bCs/>
                <w:color w:val="FFFFFF"/>
                <w:sz w:val="20"/>
                <w:szCs w:val="20"/>
              </w:rPr>
              <w:t>FY 2019</w:t>
            </w:r>
          </w:p>
        </w:tc>
        <w:tc>
          <w:tcPr>
            <w:tcW w:w="1784" w:type="dxa"/>
            <w:shd w:val="clear" w:color="auto" w:fill="000080"/>
          </w:tcPr>
          <w:p w14:paraId="15E4E6BA" w14:textId="7483EC1C" w:rsidR="00D06B35" w:rsidRPr="00CF73B4" w:rsidRDefault="00821D29" w:rsidP="00D06B35">
            <w:pPr>
              <w:jc w:val="right"/>
              <w:rPr>
                <w:rFonts w:ascii="Arial" w:hAnsi="Arial" w:cs="Arial"/>
                <w:b/>
                <w:bCs/>
                <w:color w:val="FFFFFF"/>
                <w:sz w:val="20"/>
              </w:rPr>
            </w:pPr>
            <w:r>
              <w:rPr>
                <w:rFonts w:ascii="Arial" w:hAnsi="Arial" w:cs="Arial"/>
                <w:b/>
                <w:bCs/>
                <w:color w:val="FFFFFF"/>
                <w:sz w:val="20"/>
              </w:rPr>
              <w:t>FY 2020</w:t>
            </w:r>
          </w:p>
        </w:tc>
        <w:tc>
          <w:tcPr>
            <w:tcW w:w="1784" w:type="dxa"/>
            <w:tcBorders>
              <w:bottom w:val="single" w:sz="4" w:space="0" w:color="auto"/>
            </w:tcBorders>
            <w:shd w:val="clear" w:color="auto" w:fill="000080"/>
          </w:tcPr>
          <w:p w14:paraId="09742D95" w14:textId="1CD83A59" w:rsidR="00D06B35" w:rsidRPr="00CF73B4" w:rsidRDefault="00821D29" w:rsidP="00D06B35">
            <w:pPr>
              <w:jc w:val="right"/>
              <w:rPr>
                <w:rFonts w:ascii="Arial" w:hAnsi="Arial" w:cs="Arial"/>
                <w:b/>
                <w:bCs/>
                <w:color w:val="FFFFFF"/>
                <w:sz w:val="20"/>
              </w:rPr>
            </w:pPr>
            <w:r>
              <w:rPr>
                <w:rFonts w:ascii="Arial" w:hAnsi="Arial" w:cs="Arial"/>
                <w:b/>
                <w:bCs/>
                <w:color w:val="FFFFFF"/>
                <w:sz w:val="20"/>
              </w:rPr>
              <w:t>FY 2021</w:t>
            </w:r>
          </w:p>
        </w:tc>
        <w:tc>
          <w:tcPr>
            <w:tcW w:w="1922" w:type="dxa"/>
            <w:tcBorders>
              <w:bottom w:val="single" w:sz="4" w:space="0" w:color="auto"/>
            </w:tcBorders>
            <w:shd w:val="clear" w:color="auto" w:fill="000080"/>
          </w:tcPr>
          <w:p w14:paraId="49055D67" w14:textId="465F2672" w:rsidR="00D06B35" w:rsidRPr="00CF73B4" w:rsidRDefault="00821D29" w:rsidP="00D06B35">
            <w:pPr>
              <w:jc w:val="right"/>
              <w:rPr>
                <w:rFonts w:ascii="Arial" w:hAnsi="Arial" w:cs="Arial"/>
                <w:b/>
                <w:bCs/>
                <w:color w:val="FFFFFF"/>
                <w:sz w:val="20"/>
              </w:rPr>
            </w:pPr>
            <w:r>
              <w:rPr>
                <w:rFonts w:ascii="Arial" w:hAnsi="Arial" w:cs="Arial"/>
                <w:b/>
                <w:bCs/>
                <w:color w:val="FFFFFF"/>
                <w:sz w:val="20"/>
              </w:rPr>
              <w:t>FY 2022</w:t>
            </w:r>
          </w:p>
        </w:tc>
      </w:tr>
      <w:tr w:rsidR="00821D29" w:rsidRPr="00CF73B4" w14:paraId="024611DE" w14:textId="77777777" w:rsidTr="00821D29">
        <w:trPr>
          <w:trHeight w:val="297"/>
        </w:trPr>
        <w:tc>
          <w:tcPr>
            <w:tcW w:w="2796" w:type="dxa"/>
            <w:vAlign w:val="bottom"/>
          </w:tcPr>
          <w:p w14:paraId="53C2A6BA" w14:textId="77777777" w:rsidR="00821D29" w:rsidRPr="00CF73B4" w:rsidRDefault="00821D29" w:rsidP="00821D29">
            <w:pPr>
              <w:rPr>
                <w:rFonts w:ascii="Arial" w:eastAsia="Arial Unicode MS" w:hAnsi="Arial" w:cs="Arial"/>
                <w:color w:val="000000"/>
                <w:sz w:val="20"/>
                <w:szCs w:val="20"/>
              </w:rPr>
            </w:pPr>
            <w:r w:rsidRPr="00CF73B4">
              <w:rPr>
                <w:rFonts w:ascii="Arial" w:hAnsi="Arial" w:cs="Arial"/>
                <w:color w:val="000000"/>
                <w:sz w:val="20"/>
                <w:szCs w:val="20"/>
              </w:rPr>
              <w:t>General Fund</w:t>
            </w:r>
          </w:p>
        </w:tc>
        <w:tc>
          <w:tcPr>
            <w:tcW w:w="1784" w:type="dxa"/>
          </w:tcPr>
          <w:p w14:paraId="6D8319FD" w14:textId="2112BBFC" w:rsidR="00821D29" w:rsidRPr="00CF73B4" w:rsidRDefault="00821D29" w:rsidP="00821D29">
            <w:pPr>
              <w:jc w:val="right"/>
              <w:rPr>
                <w:rFonts w:ascii="Arial" w:hAnsi="Arial" w:cs="Arial"/>
                <w:color w:val="000000"/>
                <w:sz w:val="20"/>
                <w:szCs w:val="20"/>
                <w:u w:val="single"/>
              </w:rPr>
            </w:pPr>
            <w:r>
              <w:rPr>
                <w:rFonts w:ascii="Arial" w:hAnsi="Arial" w:cs="Arial"/>
                <w:color w:val="000000"/>
                <w:sz w:val="20"/>
                <w:szCs w:val="20"/>
              </w:rPr>
              <w:t>$2,948,100</w:t>
            </w:r>
          </w:p>
        </w:tc>
        <w:tc>
          <w:tcPr>
            <w:tcW w:w="1784" w:type="dxa"/>
            <w:tcBorders>
              <w:right w:val="nil"/>
            </w:tcBorders>
          </w:tcPr>
          <w:p w14:paraId="5988F8BE" w14:textId="66C26C77" w:rsidR="00821D29" w:rsidRPr="00492B88" w:rsidRDefault="00821D29" w:rsidP="00821D29">
            <w:pPr>
              <w:jc w:val="right"/>
              <w:rPr>
                <w:rFonts w:ascii="Arial" w:hAnsi="Arial" w:cs="Arial"/>
                <w:color w:val="000000"/>
                <w:sz w:val="20"/>
                <w:szCs w:val="20"/>
              </w:rPr>
            </w:pPr>
            <w:r>
              <w:rPr>
                <w:rFonts w:ascii="Arial" w:hAnsi="Arial" w:cs="Arial"/>
                <w:color w:val="000000"/>
                <w:sz w:val="20"/>
                <w:szCs w:val="20"/>
              </w:rPr>
              <w:t>$3,099,100</w:t>
            </w:r>
          </w:p>
        </w:tc>
        <w:tc>
          <w:tcPr>
            <w:tcW w:w="1784" w:type="dxa"/>
            <w:tcBorders>
              <w:top w:val="single" w:sz="4" w:space="0" w:color="auto"/>
              <w:left w:val="nil"/>
              <w:bottom w:val="nil"/>
              <w:right w:val="nil"/>
            </w:tcBorders>
          </w:tcPr>
          <w:p w14:paraId="76BB7859" w14:textId="4BC7FABB" w:rsidR="00821D29" w:rsidRPr="00492B88" w:rsidRDefault="00821D29" w:rsidP="00821D29">
            <w:pPr>
              <w:jc w:val="right"/>
              <w:rPr>
                <w:rFonts w:ascii="Arial" w:hAnsi="Arial" w:cs="Arial"/>
                <w:color w:val="000000"/>
                <w:sz w:val="20"/>
                <w:szCs w:val="20"/>
              </w:rPr>
            </w:pPr>
            <w:r>
              <w:rPr>
                <w:rFonts w:ascii="Arial" w:hAnsi="Arial" w:cs="Arial"/>
                <w:color w:val="000000"/>
                <w:sz w:val="20"/>
                <w:szCs w:val="20"/>
              </w:rPr>
              <w:t>$3,091,200</w:t>
            </w:r>
          </w:p>
        </w:tc>
        <w:tc>
          <w:tcPr>
            <w:tcW w:w="1922" w:type="dxa"/>
            <w:tcBorders>
              <w:top w:val="single" w:sz="4" w:space="0" w:color="auto"/>
              <w:left w:val="nil"/>
              <w:bottom w:val="nil"/>
              <w:right w:val="single" w:sz="4" w:space="0" w:color="auto"/>
            </w:tcBorders>
          </w:tcPr>
          <w:p w14:paraId="1104DAAE" w14:textId="56F38952" w:rsidR="00821D29" w:rsidRPr="00492B88" w:rsidRDefault="00821D29" w:rsidP="00821D29">
            <w:pPr>
              <w:jc w:val="right"/>
              <w:rPr>
                <w:rFonts w:ascii="Arial" w:hAnsi="Arial" w:cs="Arial"/>
                <w:color w:val="000000"/>
                <w:sz w:val="20"/>
                <w:szCs w:val="20"/>
              </w:rPr>
            </w:pPr>
          </w:p>
        </w:tc>
      </w:tr>
      <w:tr w:rsidR="00821D29" w:rsidRPr="00CF73B4" w14:paraId="3A492B6D" w14:textId="77777777" w:rsidTr="00821D29">
        <w:tc>
          <w:tcPr>
            <w:tcW w:w="2796" w:type="dxa"/>
            <w:vAlign w:val="bottom"/>
          </w:tcPr>
          <w:p w14:paraId="767575F7" w14:textId="77388B13" w:rsidR="00821D29" w:rsidRPr="00492B88" w:rsidRDefault="00821D29" w:rsidP="00821D29">
            <w:pPr>
              <w:rPr>
                <w:rFonts w:ascii="Arial" w:hAnsi="Arial" w:cs="Arial"/>
                <w:bCs/>
                <w:sz w:val="20"/>
                <w:szCs w:val="20"/>
              </w:rPr>
            </w:pPr>
            <w:r w:rsidRPr="00492B88">
              <w:rPr>
                <w:rFonts w:ascii="Arial" w:hAnsi="Arial" w:cs="Arial"/>
                <w:bCs/>
                <w:sz w:val="20"/>
                <w:szCs w:val="20"/>
              </w:rPr>
              <w:t>Dedicated</w:t>
            </w:r>
          </w:p>
        </w:tc>
        <w:tc>
          <w:tcPr>
            <w:tcW w:w="1784" w:type="dxa"/>
          </w:tcPr>
          <w:p w14:paraId="133B8922" w14:textId="51EAA82E" w:rsidR="00821D29" w:rsidRPr="004637ED" w:rsidRDefault="00821D29" w:rsidP="00821D29">
            <w:pPr>
              <w:jc w:val="right"/>
              <w:rPr>
                <w:rFonts w:ascii="Arial" w:hAnsi="Arial" w:cs="Arial"/>
                <w:bCs/>
                <w:sz w:val="20"/>
                <w:szCs w:val="20"/>
                <w:u w:val="single"/>
              </w:rPr>
            </w:pPr>
            <w:r w:rsidRPr="00AA795A">
              <w:rPr>
                <w:rFonts w:ascii="Arial" w:hAnsi="Arial" w:cs="Arial"/>
                <w:sz w:val="20"/>
                <w:szCs w:val="20"/>
                <w:u w:val="single"/>
              </w:rPr>
              <w:t>$0</w:t>
            </w:r>
          </w:p>
        </w:tc>
        <w:tc>
          <w:tcPr>
            <w:tcW w:w="1784" w:type="dxa"/>
          </w:tcPr>
          <w:p w14:paraId="6E088F54" w14:textId="3242DB28" w:rsidR="00821D29" w:rsidRPr="00EF7C65" w:rsidRDefault="00821D29" w:rsidP="00821D29">
            <w:pPr>
              <w:jc w:val="right"/>
              <w:rPr>
                <w:rFonts w:ascii="Arial" w:hAnsi="Arial" w:cs="Arial"/>
                <w:bCs/>
                <w:sz w:val="20"/>
                <w:szCs w:val="20"/>
                <w:u w:val="single"/>
              </w:rPr>
            </w:pPr>
            <w:r w:rsidRPr="00AA795A">
              <w:rPr>
                <w:rFonts w:ascii="Arial" w:hAnsi="Arial" w:cs="Arial"/>
                <w:sz w:val="20"/>
                <w:szCs w:val="20"/>
                <w:u w:val="single"/>
              </w:rPr>
              <w:t>$0</w:t>
            </w:r>
          </w:p>
        </w:tc>
        <w:tc>
          <w:tcPr>
            <w:tcW w:w="1784" w:type="dxa"/>
            <w:tcBorders>
              <w:top w:val="nil"/>
            </w:tcBorders>
          </w:tcPr>
          <w:p w14:paraId="596F6946" w14:textId="49DE5D54" w:rsidR="00821D29" w:rsidRPr="00AA795A" w:rsidRDefault="00821D29" w:rsidP="00821D29">
            <w:pPr>
              <w:jc w:val="right"/>
              <w:rPr>
                <w:rFonts w:ascii="Arial" w:hAnsi="Arial" w:cs="Arial"/>
                <w:sz w:val="20"/>
                <w:szCs w:val="20"/>
                <w:u w:val="single"/>
              </w:rPr>
            </w:pPr>
            <w:r w:rsidRPr="00EB16F1">
              <w:rPr>
                <w:rFonts w:ascii="Arial" w:hAnsi="Arial" w:cs="Arial"/>
                <w:sz w:val="20"/>
                <w:szCs w:val="20"/>
                <w:u w:val="single"/>
              </w:rPr>
              <w:t>$0</w:t>
            </w:r>
          </w:p>
        </w:tc>
        <w:tc>
          <w:tcPr>
            <w:tcW w:w="1922" w:type="dxa"/>
            <w:tcBorders>
              <w:top w:val="nil"/>
            </w:tcBorders>
          </w:tcPr>
          <w:p w14:paraId="222681AA" w14:textId="466AB8F7" w:rsidR="00821D29" w:rsidRPr="00EB16F1" w:rsidRDefault="00821D29" w:rsidP="00821D29">
            <w:pPr>
              <w:jc w:val="right"/>
              <w:rPr>
                <w:rFonts w:ascii="Arial" w:hAnsi="Arial" w:cs="Arial"/>
                <w:sz w:val="20"/>
                <w:szCs w:val="20"/>
                <w:u w:val="single"/>
              </w:rPr>
            </w:pPr>
          </w:p>
        </w:tc>
      </w:tr>
      <w:tr w:rsidR="00821D29" w:rsidRPr="00CF73B4" w14:paraId="152D8FFE" w14:textId="77777777" w:rsidTr="00203323">
        <w:tc>
          <w:tcPr>
            <w:tcW w:w="2796" w:type="dxa"/>
            <w:vAlign w:val="bottom"/>
          </w:tcPr>
          <w:p w14:paraId="7F19BA53" w14:textId="77777777" w:rsidR="00821D29" w:rsidRPr="00CF73B4" w:rsidRDefault="00821D29" w:rsidP="00821D29">
            <w:pPr>
              <w:jc w:val="right"/>
              <w:rPr>
                <w:rFonts w:ascii="Arial" w:eastAsia="Arial Unicode MS" w:hAnsi="Arial" w:cs="Arial"/>
                <w:b/>
                <w:bCs/>
                <w:sz w:val="20"/>
                <w:szCs w:val="20"/>
              </w:rPr>
            </w:pPr>
            <w:r w:rsidRPr="00CF73B4">
              <w:rPr>
                <w:rFonts w:ascii="Arial" w:hAnsi="Arial" w:cs="Arial"/>
                <w:b/>
                <w:bCs/>
                <w:sz w:val="20"/>
                <w:szCs w:val="20"/>
              </w:rPr>
              <w:t>Total</w:t>
            </w:r>
          </w:p>
        </w:tc>
        <w:tc>
          <w:tcPr>
            <w:tcW w:w="1784" w:type="dxa"/>
          </w:tcPr>
          <w:p w14:paraId="47104ABD" w14:textId="72AF4A83" w:rsidR="00821D29" w:rsidRPr="00492B88" w:rsidRDefault="00821D29" w:rsidP="00821D29">
            <w:pPr>
              <w:jc w:val="right"/>
              <w:rPr>
                <w:rFonts w:ascii="Arial" w:hAnsi="Arial" w:cs="Arial"/>
                <w:b/>
                <w:bCs/>
                <w:sz w:val="20"/>
                <w:szCs w:val="20"/>
              </w:rPr>
            </w:pPr>
            <w:r w:rsidRPr="009E5738">
              <w:rPr>
                <w:rFonts w:ascii="Arial" w:hAnsi="Arial" w:cs="Arial"/>
                <w:b/>
                <w:bCs/>
                <w:sz w:val="20"/>
                <w:szCs w:val="20"/>
              </w:rPr>
              <w:t>$2,948,100</w:t>
            </w:r>
          </w:p>
        </w:tc>
        <w:tc>
          <w:tcPr>
            <w:tcW w:w="1784" w:type="dxa"/>
          </w:tcPr>
          <w:p w14:paraId="202E1D79" w14:textId="49CA6C1D" w:rsidR="00821D29" w:rsidRPr="004637ED" w:rsidRDefault="00821D29" w:rsidP="00821D29">
            <w:pPr>
              <w:jc w:val="right"/>
              <w:rPr>
                <w:rFonts w:ascii="Arial" w:hAnsi="Arial" w:cs="Arial"/>
                <w:b/>
                <w:bCs/>
                <w:sz w:val="20"/>
                <w:szCs w:val="20"/>
              </w:rPr>
            </w:pPr>
            <w:r w:rsidRPr="00203323">
              <w:rPr>
                <w:rFonts w:ascii="Arial" w:hAnsi="Arial" w:cs="Arial"/>
                <w:b/>
                <w:bCs/>
                <w:sz w:val="20"/>
                <w:szCs w:val="20"/>
              </w:rPr>
              <w:t>$3,099,100</w:t>
            </w:r>
          </w:p>
        </w:tc>
        <w:tc>
          <w:tcPr>
            <w:tcW w:w="1784" w:type="dxa"/>
          </w:tcPr>
          <w:p w14:paraId="7E415AD3" w14:textId="75A27D5B" w:rsidR="00821D29" w:rsidRPr="00AE0F62" w:rsidRDefault="00821D29" w:rsidP="00821D29">
            <w:pPr>
              <w:jc w:val="right"/>
              <w:rPr>
                <w:rFonts w:ascii="Arial" w:hAnsi="Arial" w:cs="Arial"/>
                <w:b/>
                <w:bCs/>
                <w:sz w:val="20"/>
                <w:szCs w:val="20"/>
              </w:rPr>
            </w:pPr>
            <w:r>
              <w:rPr>
                <w:rFonts w:ascii="Arial" w:hAnsi="Arial" w:cs="Arial"/>
                <w:color w:val="000000"/>
                <w:sz w:val="20"/>
                <w:szCs w:val="20"/>
              </w:rPr>
              <w:t>$3,091,200</w:t>
            </w:r>
          </w:p>
        </w:tc>
        <w:tc>
          <w:tcPr>
            <w:tcW w:w="1922" w:type="dxa"/>
          </w:tcPr>
          <w:p w14:paraId="212B4CC9" w14:textId="323784D0" w:rsidR="00821D29" w:rsidRPr="009E5738" w:rsidRDefault="00821D29" w:rsidP="00821D29">
            <w:pPr>
              <w:jc w:val="right"/>
              <w:rPr>
                <w:rFonts w:ascii="Arial" w:hAnsi="Arial" w:cs="Arial"/>
                <w:b/>
                <w:bCs/>
                <w:sz w:val="20"/>
                <w:szCs w:val="20"/>
              </w:rPr>
            </w:pPr>
          </w:p>
        </w:tc>
      </w:tr>
      <w:tr w:rsidR="00821D29" w:rsidRPr="00CF73B4" w14:paraId="1A86F195" w14:textId="77777777" w:rsidTr="00821D29">
        <w:tc>
          <w:tcPr>
            <w:tcW w:w="2796" w:type="dxa"/>
            <w:shd w:val="clear" w:color="auto" w:fill="000080"/>
          </w:tcPr>
          <w:p w14:paraId="0FF9B601" w14:textId="77777777" w:rsidR="00821D29" w:rsidRPr="00CF73B4" w:rsidRDefault="00821D29" w:rsidP="00821D29">
            <w:pPr>
              <w:jc w:val="both"/>
              <w:rPr>
                <w:rFonts w:ascii="Arial" w:hAnsi="Arial" w:cs="Arial"/>
                <w:b/>
                <w:bCs/>
                <w:color w:val="FFFFFF"/>
                <w:sz w:val="20"/>
              </w:rPr>
            </w:pPr>
            <w:r w:rsidRPr="00CF73B4">
              <w:rPr>
                <w:rFonts w:ascii="Arial" w:hAnsi="Arial" w:cs="Arial"/>
                <w:b/>
                <w:bCs/>
                <w:color w:val="FFFFFF"/>
                <w:sz w:val="20"/>
              </w:rPr>
              <w:t>Expenditure</w:t>
            </w:r>
            <w:r>
              <w:rPr>
                <w:rFonts w:ascii="Arial" w:hAnsi="Arial" w:cs="Arial"/>
                <w:b/>
                <w:bCs/>
                <w:color w:val="FFFFFF"/>
                <w:sz w:val="20"/>
              </w:rPr>
              <w:t>s</w:t>
            </w:r>
          </w:p>
        </w:tc>
        <w:tc>
          <w:tcPr>
            <w:tcW w:w="1784" w:type="dxa"/>
            <w:shd w:val="clear" w:color="auto" w:fill="000080"/>
          </w:tcPr>
          <w:p w14:paraId="79C7F6B6" w14:textId="51A73846" w:rsidR="00821D29" w:rsidRPr="00F97869" w:rsidRDefault="00821D29" w:rsidP="00821D29">
            <w:pPr>
              <w:jc w:val="right"/>
              <w:rPr>
                <w:rFonts w:ascii="Arial" w:hAnsi="Arial" w:cs="Arial"/>
                <w:b/>
                <w:bCs/>
                <w:color w:val="FFFFFF"/>
                <w:sz w:val="20"/>
                <w:szCs w:val="20"/>
              </w:rPr>
            </w:pPr>
            <w:r>
              <w:rPr>
                <w:rFonts w:ascii="Arial" w:hAnsi="Arial" w:cs="Arial"/>
                <w:b/>
                <w:bCs/>
                <w:color w:val="FFFFFF"/>
                <w:sz w:val="20"/>
                <w:szCs w:val="20"/>
              </w:rPr>
              <w:t>FY 2019</w:t>
            </w:r>
          </w:p>
        </w:tc>
        <w:tc>
          <w:tcPr>
            <w:tcW w:w="1784" w:type="dxa"/>
            <w:tcBorders>
              <w:bottom w:val="nil"/>
            </w:tcBorders>
            <w:shd w:val="clear" w:color="auto" w:fill="000080"/>
          </w:tcPr>
          <w:p w14:paraId="0750A6B9" w14:textId="4FD24A94" w:rsidR="00821D29" w:rsidRPr="00CF73B4" w:rsidRDefault="00821D29" w:rsidP="00821D29">
            <w:pPr>
              <w:jc w:val="right"/>
              <w:rPr>
                <w:rFonts w:ascii="Arial" w:hAnsi="Arial" w:cs="Arial"/>
                <w:b/>
                <w:bCs/>
                <w:color w:val="FFFFFF"/>
                <w:sz w:val="20"/>
              </w:rPr>
            </w:pPr>
            <w:r>
              <w:rPr>
                <w:rFonts w:ascii="Arial" w:hAnsi="Arial" w:cs="Arial"/>
                <w:b/>
                <w:bCs/>
                <w:color w:val="FFFFFF"/>
                <w:sz w:val="20"/>
              </w:rPr>
              <w:t>FY 2020</w:t>
            </w:r>
          </w:p>
        </w:tc>
        <w:tc>
          <w:tcPr>
            <w:tcW w:w="1784" w:type="dxa"/>
            <w:tcBorders>
              <w:bottom w:val="single" w:sz="4" w:space="0" w:color="auto"/>
            </w:tcBorders>
            <w:shd w:val="clear" w:color="auto" w:fill="000080"/>
          </w:tcPr>
          <w:p w14:paraId="3C18AB66" w14:textId="4DE82F5C" w:rsidR="00821D29" w:rsidRPr="00CF73B4" w:rsidRDefault="00821D29" w:rsidP="00821D29">
            <w:pPr>
              <w:jc w:val="right"/>
              <w:rPr>
                <w:rFonts w:ascii="Arial" w:hAnsi="Arial" w:cs="Arial"/>
                <w:b/>
                <w:bCs/>
                <w:color w:val="FFFFFF"/>
                <w:sz w:val="20"/>
              </w:rPr>
            </w:pPr>
            <w:r>
              <w:rPr>
                <w:rFonts w:ascii="Arial" w:hAnsi="Arial" w:cs="Arial"/>
                <w:b/>
                <w:bCs/>
                <w:color w:val="FFFFFF"/>
                <w:sz w:val="20"/>
              </w:rPr>
              <w:t>FY 2021</w:t>
            </w:r>
          </w:p>
        </w:tc>
        <w:tc>
          <w:tcPr>
            <w:tcW w:w="1922" w:type="dxa"/>
            <w:shd w:val="clear" w:color="auto" w:fill="000080"/>
          </w:tcPr>
          <w:p w14:paraId="197437A2" w14:textId="146E95F0" w:rsidR="00821D29" w:rsidRPr="00CF73B4" w:rsidRDefault="00821D29" w:rsidP="00821D29">
            <w:pPr>
              <w:jc w:val="right"/>
              <w:rPr>
                <w:rFonts w:ascii="Arial" w:hAnsi="Arial" w:cs="Arial"/>
                <w:b/>
                <w:bCs/>
                <w:color w:val="FFFFFF"/>
                <w:sz w:val="20"/>
              </w:rPr>
            </w:pPr>
            <w:r>
              <w:rPr>
                <w:rFonts w:ascii="Arial" w:hAnsi="Arial" w:cs="Arial"/>
                <w:b/>
                <w:bCs/>
                <w:color w:val="FFFFFF"/>
                <w:sz w:val="20"/>
              </w:rPr>
              <w:t>FY 2022</w:t>
            </w:r>
          </w:p>
        </w:tc>
      </w:tr>
      <w:tr w:rsidR="00821D29" w:rsidRPr="00CF73B4" w14:paraId="217889A9" w14:textId="77777777" w:rsidTr="00821D29">
        <w:tc>
          <w:tcPr>
            <w:tcW w:w="2796" w:type="dxa"/>
          </w:tcPr>
          <w:p w14:paraId="45EEAFA7" w14:textId="77777777" w:rsidR="00821D29" w:rsidRPr="00CF73B4" w:rsidRDefault="00821D29" w:rsidP="00821D29">
            <w:pPr>
              <w:jc w:val="both"/>
              <w:rPr>
                <w:rFonts w:ascii="Arial" w:hAnsi="Arial" w:cs="Arial"/>
                <w:sz w:val="20"/>
              </w:rPr>
            </w:pPr>
            <w:r w:rsidRPr="00CF73B4">
              <w:rPr>
                <w:rFonts w:ascii="Arial" w:hAnsi="Arial" w:cs="Arial"/>
                <w:sz w:val="20"/>
              </w:rPr>
              <w:t>Personnel Costs</w:t>
            </w:r>
          </w:p>
        </w:tc>
        <w:tc>
          <w:tcPr>
            <w:tcW w:w="1784" w:type="dxa"/>
            <w:tcBorders>
              <w:right w:val="nil"/>
            </w:tcBorders>
          </w:tcPr>
          <w:p w14:paraId="70D5814B" w14:textId="4DD834C3" w:rsidR="00821D29" w:rsidRPr="00CF73B4" w:rsidRDefault="00821D29" w:rsidP="00821D29">
            <w:pPr>
              <w:jc w:val="right"/>
              <w:rPr>
                <w:rFonts w:ascii="Arial" w:hAnsi="Arial" w:cs="Arial"/>
                <w:sz w:val="20"/>
                <w:szCs w:val="20"/>
              </w:rPr>
            </w:pPr>
            <w:r>
              <w:rPr>
                <w:rFonts w:ascii="Arial" w:hAnsi="Arial" w:cs="Arial"/>
                <w:sz w:val="20"/>
                <w:szCs w:val="20"/>
              </w:rPr>
              <w:t>$2,303,900</w:t>
            </w:r>
          </w:p>
        </w:tc>
        <w:tc>
          <w:tcPr>
            <w:tcW w:w="1784" w:type="dxa"/>
            <w:tcBorders>
              <w:top w:val="nil"/>
              <w:left w:val="nil"/>
              <w:bottom w:val="nil"/>
              <w:right w:val="nil"/>
            </w:tcBorders>
          </w:tcPr>
          <w:p w14:paraId="49CDFC1A" w14:textId="7A6D0C8E" w:rsidR="00821D29" w:rsidRPr="00CF73B4" w:rsidRDefault="00821D29" w:rsidP="00821D29">
            <w:pPr>
              <w:jc w:val="right"/>
              <w:rPr>
                <w:rFonts w:ascii="Arial" w:hAnsi="Arial" w:cs="Arial"/>
                <w:sz w:val="20"/>
                <w:szCs w:val="20"/>
              </w:rPr>
            </w:pPr>
            <w:r>
              <w:rPr>
                <w:rFonts w:ascii="Arial" w:hAnsi="Arial" w:cs="Arial"/>
                <w:sz w:val="20"/>
                <w:szCs w:val="20"/>
              </w:rPr>
              <w:t>$2,368,800</w:t>
            </w:r>
          </w:p>
        </w:tc>
        <w:tc>
          <w:tcPr>
            <w:tcW w:w="1784" w:type="dxa"/>
            <w:tcBorders>
              <w:top w:val="single" w:sz="4" w:space="0" w:color="auto"/>
              <w:left w:val="nil"/>
              <w:bottom w:val="nil"/>
              <w:right w:val="nil"/>
            </w:tcBorders>
          </w:tcPr>
          <w:p w14:paraId="7E4D53F9" w14:textId="44879D1F" w:rsidR="00821D29" w:rsidRPr="00CF73B4" w:rsidRDefault="00821D29" w:rsidP="00821D29">
            <w:pPr>
              <w:jc w:val="right"/>
              <w:rPr>
                <w:rFonts w:ascii="Arial" w:hAnsi="Arial" w:cs="Arial"/>
                <w:sz w:val="20"/>
                <w:szCs w:val="20"/>
              </w:rPr>
            </w:pPr>
            <w:r>
              <w:rPr>
                <w:rFonts w:ascii="Arial" w:hAnsi="Arial" w:cs="Arial"/>
                <w:sz w:val="20"/>
                <w:szCs w:val="20"/>
              </w:rPr>
              <w:t>$2,409,400</w:t>
            </w:r>
          </w:p>
        </w:tc>
        <w:tc>
          <w:tcPr>
            <w:tcW w:w="1922" w:type="dxa"/>
            <w:tcBorders>
              <w:top w:val="single" w:sz="4" w:space="0" w:color="auto"/>
              <w:left w:val="nil"/>
              <w:bottom w:val="nil"/>
              <w:right w:val="single" w:sz="4" w:space="0" w:color="auto"/>
            </w:tcBorders>
          </w:tcPr>
          <w:p w14:paraId="779B7230" w14:textId="0B58EE2E" w:rsidR="00821D29" w:rsidRPr="00CF73B4" w:rsidRDefault="00821D29" w:rsidP="00821D29">
            <w:pPr>
              <w:jc w:val="right"/>
              <w:rPr>
                <w:rFonts w:ascii="Arial" w:hAnsi="Arial" w:cs="Arial"/>
                <w:sz w:val="20"/>
                <w:szCs w:val="20"/>
              </w:rPr>
            </w:pPr>
          </w:p>
        </w:tc>
      </w:tr>
      <w:tr w:rsidR="00821D29" w:rsidRPr="00CF73B4" w14:paraId="6035992C" w14:textId="77777777" w:rsidTr="00821D29">
        <w:tc>
          <w:tcPr>
            <w:tcW w:w="2796" w:type="dxa"/>
          </w:tcPr>
          <w:p w14:paraId="2845D35D" w14:textId="77777777" w:rsidR="00821D29" w:rsidRPr="00CF73B4" w:rsidRDefault="00821D29" w:rsidP="00821D29">
            <w:pPr>
              <w:jc w:val="both"/>
              <w:rPr>
                <w:rFonts w:ascii="Arial" w:hAnsi="Arial" w:cs="Arial"/>
                <w:sz w:val="20"/>
              </w:rPr>
            </w:pPr>
            <w:r w:rsidRPr="00CF73B4">
              <w:rPr>
                <w:rFonts w:ascii="Arial" w:hAnsi="Arial" w:cs="Arial"/>
                <w:sz w:val="20"/>
              </w:rPr>
              <w:t>Operating Expenditures</w:t>
            </w:r>
          </w:p>
        </w:tc>
        <w:tc>
          <w:tcPr>
            <w:tcW w:w="1784" w:type="dxa"/>
            <w:tcBorders>
              <w:right w:val="nil"/>
            </w:tcBorders>
          </w:tcPr>
          <w:p w14:paraId="19CA6EC1" w14:textId="21A379B7" w:rsidR="00821D29" w:rsidRPr="00CF73B4" w:rsidRDefault="00821D29" w:rsidP="00821D29">
            <w:pPr>
              <w:jc w:val="right"/>
              <w:rPr>
                <w:rFonts w:ascii="Arial" w:hAnsi="Arial" w:cs="Arial"/>
                <w:sz w:val="20"/>
                <w:szCs w:val="20"/>
              </w:rPr>
            </w:pPr>
            <w:r>
              <w:rPr>
                <w:rFonts w:ascii="Arial" w:hAnsi="Arial" w:cs="Arial"/>
                <w:sz w:val="20"/>
                <w:szCs w:val="20"/>
              </w:rPr>
              <w:t>$405,100</w:t>
            </w:r>
          </w:p>
        </w:tc>
        <w:tc>
          <w:tcPr>
            <w:tcW w:w="1784" w:type="dxa"/>
            <w:tcBorders>
              <w:top w:val="nil"/>
              <w:left w:val="nil"/>
              <w:bottom w:val="nil"/>
              <w:right w:val="nil"/>
            </w:tcBorders>
          </w:tcPr>
          <w:p w14:paraId="06079F09" w14:textId="178137F3" w:rsidR="00821D29" w:rsidRPr="00CF73B4" w:rsidRDefault="00821D29" w:rsidP="00821D29">
            <w:pPr>
              <w:jc w:val="right"/>
              <w:rPr>
                <w:rFonts w:ascii="Arial" w:hAnsi="Arial" w:cs="Arial"/>
                <w:sz w:val="20"/>
                <w:szCs w:val="20"/>
              </w:rPr>
            </w:pPr>
            <w:r>
              <w:rPr>
                <w:rFonts w:ascii="Arial" w:hAnsi="Arial" w:cs="Arial"/>
                <w:sz w:val="20"/>
                <w:szCs w:val="20"/>
              </w:rPr>
              <w:t>$407,500</w:t>
            </w:r>
          </w:p>
        </w:tc>
        <w:tc>
          <w:tcPr>
            <w:tcW w:w="1784" w:type="dxa"/>
            <w:tcBorders>
              <w:top w:val="nil"/>
              <w:left w:val="nil"/>
              <w:bottom w:val="nil"/>
              <w:right w:val="nil"/>
            </w:tcBorders>
          </w:tcPr>
          <w:p w14:paraId="6D6CC33B" w14:textId="534C3048" w:rsidR="00821D29" w:rsidRPr="00CF73B4" w:rsidRDefault="00821D29" w:rsidP="00821D29">
            <w:pPr>
              <w:jc w:val="right"/>
              <w:rPr>
                <w:rFonts w:ascii="Arial" w:hAnsi="Arial" w:cs="Arial"/>
                <w:sz w:val="20"/>
                <w:szCs w:val="20"/>
              </w:rPr>
            </w:pPr>
            <w:r>
              <w:rPr>
                <w:rFonts w:ascii="Arial" w:hAnsi="Arial" w:cs="Arial"/>
                <w:sz w:val="20"/>
                <w:szCs w:val="20"/>
              </w:rPr>
              <w:t>$488,400</w:t>
            </w:r>
          </w:p>
        </w:tc>
        <w:tc>
          <w:tcPr>
            <w:tcW w:w="1922" w:type="dxa"/>
            <w:tcBorders>
              <w:top w:val="nil"/>
              <w:left w:val="nil"/>
              <w:bottom w:val="nil"/>
              <w:right w:val="single" w:sz="4" w:space="0" w:color="auto"/>
            </w:tcBorders>
          </w:tcPr>
          <w:p w14:paraId="008A99A9" w14:textId="036A481A" w:rsidR="00821D29" w:rsidRPr="00CF73B4" w:rsidRDefault="00821D29" w:rsidP="00821D29">
            <w:pPr>
              <w:jc w:val="right"/>
              <w:rPr>
                <w:rFonts w:ascii="Arial" w:hAnsi="Arial" w:cs="Arial"/>
                <w:sz w:val="20"/>
                <w:szCs w:val="20"/>
              </w:rPr>
            </w:pPr>
          </w:p>
        </w:tc>
      </w:tr>
      <w:tr w:rsidR="00821D29" w:rsidRPr="00CF73B4" w14:paraId="34361F5A" w14:textId="77777777" w:rsidTr="00821D29">
        <w:tc>
          <w:tcPr>
            <w:tcW w:w="2796" w:type="dxa"/>
          </w:tcPr>
          <w:p w14:paraId="03421058" w14:textId="77777777" w:rsidR="00821D29" w:rsidRPr="00CF73B4" w:rsidRDefault="00821D29" w:rsidP="00821D29">
            <w:pPr>
              <w:jc w:val="both"/>
              <w:rPr>
                <w:rFonts w:ascii="Arial" w:hAnsi="Arial" w:cs="Arial"/>
                <w:sz w:val="20"/>
              </w:rPr>
            </w:pPr>
            <w:r w:rsidRPr="00CF73B4">
              <w:rPr>
                <w:rFonts w:ascii="Arial" w:hAnsi="Arial" w:cs="Arial"/>
                <w:sz w:val="20"/>
              </w:rPr>
              <w:t>Capital Outlay</w:t>
            </w:r>
          </w:p>
        </w:tc>
        <w:tc>
          <w:tcPr>
            <w:tcW w:w="1784" w:type="dxa"/>
            <w:tcBorders>
              <w:right w:val="nil"/>
            </w:tcBorders>
          </w:tcPr>
          <w:p w14:paraId="1879B95E" w14:textId="2CE50D2E" w:rsidR="00821D29" w:rsidRPr="00CF73B4" w:rsidRDefault="00821D29" w:rsidP="00821D29">
            <w:pPr>
              <w:jc w:val="right"/>
              <w:rPr>
                <w:rFonts w:ascii="Arial" w:hAnsi="Arial" w:cs="Arial"/>
                <w:color w:val="000000"/>
                <w:sz w:val="20"/>
                <w:szCs w:val="20"/>
              </w:rPr>
            </w:pPr>
            <w:r>
              <w:rPr>
                <w:rFonts w:ascii="Arial" w:hAnsi="Arial" w:cs="Arial"/>
                <w:color w:val="000000"/>
                <w:sz w:val="20"/>
                <w:szCs w:val="20"/>
              </w:rPr>
              <w:t>$17,100</w:t>
            </w:r>
          </w:p>
        </w:tc>
        <w:tc>
          <w:tcPr>
            <w:tcW w:w="1784" w:type="dxa"/>
            <w:tcBorders>
              <w:top w:val="nil"/>
              <w:left w:val="nil"/>
              <w:bottom w:val="nil"/>
              <w:right w:val="nil"/>
            </w:tcBorders>
          </w:tcPr>
          <w:p w14:paraId="10C903E0" w14:textId="6A375B13" w:rsidR="00821D29" w:rsidRPr="00CF73B4" w:rsidRDefault="00821D29" w:rsidP="00821D29">
            <w:pPr>
              <w:jc w:val="right"/>
              <w:rPr>
                <w:rFonts w:ascii="Arial" w:hAnsi="Arial" w:cs="Arial"/>
                <w:color w:val="000000"/>
                <w:sz w:val="20"/>
                <w:szCs w:val="20"/>
              </w:rPr>
            </w:pPr>
            <w:r>
              <w:rPr>
                <w:rFonts w:ascii="Arial" w:hAnsi="Arial" w:cs="Arial"/>
                <w:color w:val="000000"/>
                <w:sz w:val="20"/>
                <w:szCs w:val="20"/>
              </w:rPr>
              <w:t>$19,400</w:t>
            </w:r>
          </w:p>
        </w:tc>
        <w:tc>
          <w:tcPr>
            <w:tcW w:w="1784" w:type="dxa"/>
            <w:tcBorders>
              <w:top w:val="nil"/>
              <w:left w:val="nil"/>
              <w:bottom w:val="nil"/>
              <w:right w:val="nil"/>
            </w:tcBorders>
          </w:tcPr>
          <w:p w14:paraId="0AA65FC0" w14:textId="68ADDF09" w:rsidR="00821D29" w:rsidRPr="00AE0F62" w:rsidRDefault="00821D29" w:rsidP="00821D29">
            <w:pPr>
              <w:jc w:val="right"/>
              <w:rPr>
                <w:rFonts w:ascii="Arial" w:hAnsi="Arial" w:cs="Arial"/>
                <w:color w:val="000000"/>
                <w:sz w:val="20"/>
                <w:szCs w:val="20"/>
              </w:rPr>
            </w:pPr>
            <w:r>
              <w:rPr>
                <w:rFonts w:ascii="Arial" w:hAnsi="Arial" w:cs="Arial"/>
                <w:color w:val="000000"/>
                <w:sz w:val="20"/>
                <w:szCs w:val="20"/>
              </w:rPr>
              <w:t>$71,300</w:t>
            </w:r>
          </w:p>
        </w:tc>
        <w:tc>
          <w:tcPr>
            <w:tcW w:w="1922" w:type="dxa"/>
            <w:tcBorders>
              <w:top w:val="nil"/>
              <w:left w:val="nil"/>
              <w:bottom w:val="nil"/>
              <w:right w:val="single" w:sz="4" w:space="0" w:color="auto"/>
            </w:tcBorders>
          </w:tcPr>
          <w:p w14:paraId="2BB40525" w14:textId="21C28CAB" w:rsidR="00821D29" w:rsidRPr="00AE0F62" w:rsidRDefault="00821D29" w:rsidP="00821D29">
            <w:pPr>
              <w:jc w:val="right"/>
              <w:rPr>
                <w:rFonts w:ascii="Arial" w:hAnsi="Arial" w:cs="Arial"/>
                <w:color w:val="000000"/>
                <w:sz w:val="20"/>
                <w:szCs w:val="20"/>
              </w:rPr>
            </w:pPr>
          </w:p>
        </w:tc>
      </w:tr>
      <w:tr w:rsidR="00821D29" w:rsidRPr="00CF73B4" w14:paraId="225FF9CC" w14:textId="77777777" w:rsidTr="00821D29">
        <w:tc>
          <w:tcPr>
            <w:tcW w:w="2796" w:type="dxa"/>
          </w:tcPr>
          <w:p w14:paraId="1B5DA168" w14:textId="77777777" w:rsidR="00821D29" w:rsidRPr="00CF73B4" w:rsidRDefault="00821D29" w:rsidP="00821D29">
            <w:pPr>
              <w:jc w:val="both"/>
              <w:rPr>
                <w:rFonts w:ascii="Arial" w:hAnsi="Arial" w:cs="Arial"/>
                <w:sz w:val="20"/>
              </w:rPr>
            </w:pPr>
            <w:r w:rsidRPr="00CF73B4">
              <w:rPr>
                <w:rFonts w:ascii="Arial" w:hAnsi="Arial" w:cs="Arial"/>
                <w:sz w:val="20"/>
              </w:rPr>
              <w:t>Trustee/Benefit Payments</w:t>
            </w:r>
          </w:p>
        </w:tc>
        <w:tc>
          <w:tcPr>
            <w:tcW w:w="1784" w:type="dxa"/>
            <w:tcBorders>
              <w:right w:val="nil"/>
            </w:tcBorders>
          </w:tcPr>
          <w:p w14:paraId="7205C0DC" w14:textId="71525520" w:rsidR="00821D29" w:rsidRPr="00CF73B4" w:rsidRDefault="00821D29" w:rsidP="00821D29">
            <w:pPr>
              <w:jc w:val="right"/>
              <w:rPr>
                <w:rFonts w:ascii="Arial" w:hAnsi="Arial" w:cs="Arial"/>
                <w:color w:val="000000"/>
                <w:sz w:val="20"/>
                <w:szCs w:val="20"/>
                <w:u w:val="single"/>
              </w:rPr>
            </w:pPr>
            <w:r>
              <w:rPr>
                <w:rFonts w:ascii="Arial" w:hAnsi="Arial" w:cs="Arial"/>
                <w:color w:val="000000"/>
                <w:sz w:val="20"/>
                <w:szCs w:val="20"/>
                <w:u w:val="single"/>
              </w:rPr>
              <w:t>$0</w:t>
            </w:r>
          </w:p>
        </w:tc>
        <w:tc>
          <w:tcPr>
            <w:tcW w:w="1784" w:type="dxa"/>
            <w:tcBorders>
              <w:top w:val="nil"/>
              <w:left w:val="nil"/>
              <w:bottom w:val="nil"/>
              <w:right w:val="nil"/>
            </w:tcBorders>
          </w:tcPr>
          <w:p w14:paraId="61C4ACF5" w14:textId="7E98AC4D" w:rsidR="00821D29" w:rsidRPr="004637ED" w:rsidRDefault="00821D29" w:rsidP="00821D29">
            <w:pPr>
              <w:tabs>
                <w:tab w:val="left" w:pos="1236"/>
              </w:tabs>
              <w:jc w:val="right"/>
              <w:rPr>
                <w:rFonts w:ascii="Arial" w:hAnsi="Arial" w:cs="Arial"/>
                <w:color w:val="000000"/>
                <w:sz w:val="20"/>
                <w:szCs w:val="20"/>
              </w:rPr>
            </w:pPr>
            <w:r>
              <w:rPr>
                <w:rFonts w:ascii="Arial" w:hAnsi="Arial" w:cs="Arial"/>
                <w:color w:val="000000"/>
                <w:sz w:val="20"/>
                <w:szCs w:val="20"/>
                <w:u w:val="single"/>
              </w:rPr>
              <w:t>$0</w:t>
            </w:r>
          </w:p>
        </w:tc>
        <w:tc>
          <w:tcPr>
            <w:tcW w:w="1784" w:type="dxa"/>
            <w:tcBorders>
              <w:top w:val="nil"/>
              <w:left w:val="nil"/>
              <w:bottom w:val="nil"/>
              <w:right w:val="nil"/>
            </w:tcBorders>
          </w:tcPr>
          <w:p w14:paraId="512C28B7" w14:textId="4216F398" w:rsidR="00821D29" w:rsidRPr="00CF73B4" w:rsidRDefault="00821D29" w:rsidP="00821D29">
            <w:pPr>
              <w:jc w:val="right"/>
              <w:rPr>
                <w:rFonts w:ascii="Arial" w:hAnsi="Arial" w:cs="Arial"/>
                <w:color w:val="000000"/>
                <w:sz w:val="20"/>
                <w:szCs w:val="20"/>
                <w:u w:val="single"/>
              </w:rPr>
            </w:pPr>
            <w:r w:rsidRPr="00EB16F1">
              <w:rPr>
                <w:rFonts w:ascii="Arial" w:hAnsi="Arial" w:cs="Arial"/>
                <w:color w:val="000000"/>
                <w:sz w:val="20"/>
                <w:szCs w:val="20"/>
                <w:u w:val="single"/>
              </w:rPr>
              <w:t>$0</w:t>
            </w:r>
          </w:p>
        </w:tc>
        <w:tc>
          <w:tcPr>
            <w:tcW w:w="1922" w:type="dxa"/>
            <w:tcBorders>
              <w:top w:val="nil"/>
              <w:left w:val="nil"/>
              <w:bottom w:val="nil"/>
              <w:right w:val="single" w:sz="4" w:space="0" w:color="auto"/>
            </w:tcBorders>
          </w:tcPr>
          <w:p w14:paraId="2622DC09" w14:textId="69F6C878" w:rsidR="00821D29" w:rsidRPr="00EB16F1" w:rsidRDefault="00821D29" w:rsidP="00821D29">
            <w:pPr>
              <w:jc w:val="right"/>
              <w:rPr>
                <w:rFonts w:ascii="Arial" w:hAnsi="Arial" w:cs="Arial"/>
                <w:color w:val="000000"/>
                <w:sz w:val="20"/>
                <w:szCs w:val="20"/>
                <w:u w:val="single"/>
              </w:rPr>
            </w:pPr>
          </w:p>
        </w:tc>
      </w:tr>
      <w:tr w:rsidR="00821D29" w:rsidRPr="00CF73B4" w14:paraId="2BAB0510" w14:textId="77777777" w:rsidTr="00821D29">
        <w:tc>
          <w:tcPr>
            <w:tcW w:w="2796" w:type="dxa"/>
          </w:tcPr>
          <w:p w14:paraId="56FEC73F" w14:textId="77777777" w:rsidR="00821D29" w:rsidRPr="00CF73B4" w:rsidRDefault="00821D29" w:rsidP="00821D29">
            <w:pPr>
              <w:ind w:left="240"/>
              <w:jc w:val="right"/>
              <w:rPr>
                <w:rFonts w:ascii="Arial" w:hAnsi="Arial" w:cs="Arial"/>
                <w:b/>
                <w:bCs/>
                <w:sz w:val="20"/>
              </w:rPr>
            </w:pPr>
            <w:r w:rsidRPr="00CF73B4">
              <w:rPr>
                <w:rFonts w:ascii="Arial" w:hAnsi="Arial" w:cs="Arial"/>
                <w:b/>
                <w:bCs/>
                <w:sz w:val="20"/>
              </w:rPr>
              <w:t>Total</w:t>
            </w:r>
          </w:p>
        </w:tc>
        <w:tc>
          <w:tcPr>
            <w:tcW w:w="1784" w:type="dxa"/>
            <w:tcBorders>
              <w:right w:val="nil"/>
            </w:tcBorders>
          </w:tcPr>
          <w:p w14:paraId="072EA850" w14:textId="058BDE2C" w:rsidR="00821D29" w:rsidRPr="00CF73B4" w:rsidRDefault="00821D29" w:rsidP="00821D29">
            <w:pPr>
              <w:jc w:val="right"/>
              <w:rPr>
                <w:rFonts w:ascii="Arial" w:hAnsi="Arial" w:cs="Arial"/>
                <w:b/>
                <w:bCs/>
                <w:sz w:val="20"/>
                <w:szCs w:val="20"/>
              </w:rPr>
            </w:pPr>
            <w:r>
              <w:rPr>
                <w:rFonts w:ascii="Arial" w:hAnsi="Arial" w:cs="Arial"/>
                <w:b/>
                <w:bCs/>
                <w:sz w:val="20"/>
                <w:szCs w:val="20"/>
              </w:rPr>
              <w:t>$2,726,100</w:t>
            </w:r>
          </w:p>
        </w:tc>
        <w:tc>
          <w:tcPr>
            <w:tcW w:w="1784" w:type="dxa"/>
            <w:tcBorders>
              <w:top w:val="nil"/>
              <w:left w:val="nil"/>
              <w:bottom w:val="single" w:sz="4" w:space="0" w:color="auto"/>
              <w:right w:val="nil"/>
            </w:tcBorders>
          </w:tcPr>
          <w:p w14:paraId="23FBB22C" w14:textId="61D6EA31" w:rsidR="00821D29" w:rsidRPr="004637ED" w:rsidRDefault="00821D29" w:rsidP="00821D29">
            <w:pPr>
              <w:jc w:val="right"/>
              <w:rPr>
                <w:rFonts w:ascii="Arial" w:hAnsi="Arial" w:cs="Arial"/>
                <w:b/>
                <w:bCs/>
                <w:sz w:val="20"/>
                <w:szCs w:val="20"/>
              </w:rPr>
            </w:pPr>
            <w:r>
              <w:rPr>
                <w:rFonts w:ascii="Arial" w:hAnsi="Arial" w:cs="Arial"/>
                <w:b/>
                <w:bCs/>
                <w:sz w:val="20"/>
                <w:szCs w:val="20"/>
              </w:rPr>
              <w:t>$2,795,700</w:t>
            </w:r>
          </w:p>
        </w:tc>
        <w:tc>
          <w:tcPr>
            <w:tcW w:w="1784" w:type="dxa"/>
            <w:tcBorders>
              <w:top w:val="nil"/>
              <w:left w:val="nil"/>
              <w:bottom w:val="single" w:sz="4" w:space="0" w:color="auto"/>
              <w:right w:val="nil"/>
            </w:tcBorders>
          </w:tcPr>
          <w:p w14:paraId="09EF02CD" w14:textId="0CE33A16" w:rsidR="00821D29" w:rsidRPr="00CF73B4" w:rsidRDefault="00821D29" w:rsidP="00821D29">
            <w:pPr>
              <w:jc w:val="right"/>
              <w:rPr>
                <w:rFonts w:ascii="Arial" w:hAnsi="Arial" w:cs="Arial"/>
                <w:b/>
                <w:bCs/>
                <w:sz w:val="20"/>
                <w:szCs w:val="20"/>
              </w:rPr>
            </w:pPr>
            <w:r>
              <w:rPr>
                <w:rFonts w:ascii="Arial" w:hAnsi="Arial" w:cs="Arial"/>
                <w:b/>
                <w:bCs/>
                <w:sz w:val="20"/>
                <w:szCs w:val="20"/>
              </w:rPr>
              <w:t>$2,969,100</w:t>
            </w:r>
          </w:p>
        </w:tc>
        <w:tc>
          <w:tcPr>
            <w:tcW w:w="1922" w:type="dxa"/>
            <w:tcBorders>
              <w:top w:val="nil"/>
              <w:left w:val="nil"/>
              <w:bottom w:val="single" w:sz="4" w:space="0" w:color="auto"/>
              <w:right w:val="single" w:sz="4" w:space="0" w:color="auto"/>
            </w:tcBorders>
          </w:tcPr>
          <w:p w14:paraId="314B2A85" w14:textId="6D5D0C41" w:rsidR="00821D29" w:rsidRPr="00CF73B4" w:rsidRDefault="00821D29" w:rsidP="00821D29">
            <w:pPr>
              <w:jc w:val="right"/>
              <w:rPr>
                <w:rFonts w:ascii="Arial" w:hAnsi="Arial" w:cs="Arial"/>
                <w:b/>
                <w:bCs/>
                <w:sz w:val="20"/>
                <w:szCs w:val="20"/>
              </w:rPr>
            </w:pPr>
          </w:p>
        </w:tc>
      </w:tr>
    </w:tbl>
    <w:p w14:paraId="5AEDFAFF" w14:textId="77777777" w:rsidR="00D047AC" w:rsidRPr="00CB3FB5" w:rsidRDefault="00D047AC" w:rsidP="009E383C">
      <w:pPr>
        <w:jc w:val="both"/>
        <w:rPr>
          <w:rFonts w:ascii="Arial" w:hAnsi="Arial" w:cs="Arial"/>
          <w:b/>
          <w:bCs/>
        </w:rPr>
      </w:pPr>
    </w:p>
    <w:p w14:paraId="76C2EDB6" w14:textId="77777777" w:rsidR="0050252A" w:rsidRPr="00CF73B4" w:rsidRDefault="006D2BA5" w:rsidP="009E383C">
      <w:pPr>
        <w:jc w:val="both"/>
        <w:rPr>
          <w:rFonts w:ascii="Arial" w:hAnsi="Arial" w:cs="Arial"/>
          <w:b/>
          <w:bCs/>
        </w:rPr>
      </w:pPr>
      <w:r w:rsidRPr="00CF73B4">
        <w:rPr>
          <w:rFonts w:ascii="Arial" w:hAnsi="Arial" w:cs="Arial"/>
          <w:b/>
          <w:bCs/>
        </w:rPr>
        <w:t>Profile of Cases Managed and/or Key Services Provided</w:t>
      </w:r>
    </w:p>
    <w:tbl>
      <w:tblPr>
        <w:tblW w:w="5000" w:type="pct"/>
        <w:tblBorders>
          <w:top w:val="double" w:sz="4" w:space="0" w:color="000080"/>
          <w:left w:val="double" w:sz="4" w:space="0" w:color="000080"/>
          <w:bottom w:val="double" w:sz="4" w:space="0" w:color="000080"/>
          <w:right w:val="double" w:sz="4" w:space="0" w:color="000080"/>
        </w:tblBorders>
        <w:tblLook w:val="0000" w:firstRow="0" w:lastRow="0" w:firstColumn="0" w:lastColumn="0" w:noHBand="0" w:noVBand="0"/>
      </w:tblPr>
      <w:tblGrid>
        <w:gridCol w:w="3772"/>
        <w:gridCol w:w="1540"/>
        <w:gridCol w:w="1540"/>
        <w:gridCol w:w="1540"/>
        <w:gridCol w:w="1678"/>
      </w:tblGrid>
      <w:tr w:rsidR="00D06B35" w:rsidRPr="00CF73B4" w14:paraId="78F5B11B" w14:textId="77777777" w:rsidTr="00D06B35">
        <w:tc>
          <w:tcPr>
            <w:tcW w:w="3772" w:type="dxa"/>
            <w:tcBorders>
              <w:top w:val="single" w:sz="4" w:space="0" w:color="auto"/>
              <w:left w:val="single" w:sz="4" w:space="0" w:color="auto"/>
              <w:bottom w:val="single" w:sz="4" w:space="0" w:color="auto"/>
              <w:right w:val="single" w:sz="4" w:space="0" w:color="auto"/>
            </w:tcBorders>
            <w:shd w:val="clear" w:color="auto" w:fill="000080"/>
            <w:vAlign w:val="bottom"/>
          </w:tcPr>
          <w:p w14:paraId="2F266098" w14:textId="77777777" w:rsidR="00D06B35" w:rsidRPr="00CF73B4" w:rsidRDefault="00D06B35" w:rsidP="00D06B35">
            <w:pPr>
              <w:jc w:val="center"/>
              <w:rPr>
                <w:rFonts w:ascii="Arial" w:hAnsi="Arial" w:cs="Arial"/>
                <w:b/>
                <w:bCs/>
                <w:color w:val="FFFFFF"/>
                <w:sz w:val="20"/>
              </w:rPr>
            </w:pPr>
            <w:r w:rsidRPr="00CF73B4">
              <w:rPr>
                <w:rFonts w:ascii="Arial" w:hAnsi="Arial" w:cs="Arial"/>
                <w:b/>
                <w:bCs/>
                <w:color w:val="FFFFFF"/>
                <w:sz w:val="20"/>
              </w:rPr>
              <w:t>Cases Managed and/or Key Services Provided</w:t>
            </w:r>
          </w:p>
        </w:tc>
        <w:tc>
          <w:tcPr>
            <w:tcW w:w="1540" w:type="dxa"/>
            <w:tcBorders>
              <w:top w:val="single" w:sz="4" w:space="0" w:color="auto"/>
              <w:left w:val="single" w:sz="4" w:space="0" w:color="auto"/>
              <w:bottom w:val="single" w:sz="4" w:space="0" w:color="auto"/>
              <w:right w:val="single" w:sz="4" w:space="0" w:color="auto"/>
            </w:tcBorders>
            <w:shd w:val="clear" w:color="auto" w:fill="000080"/>
            <w:vAlign w:val="bottom"/>
          </w:tcPr>
          <w:p w14:paraId="6E547C43" w14:textId="334DB3CA" w:rsidR="00D06B35" w:rsidRPr="00CF73B4" w:rsidRDefault="00821D29" w:rsidP="00D06B35">
            <w:pPr>
              <w:jc w:val="center"/>
              <w:rPr>
                <w:rFonts w:ascii="Arial" w:hAnsi="Arial" w:cs="Arial"/>
                <w:b/>
                <w:bCs/>
                <w:color w:val="FFFFFF"/>
                <w:sz w:val="20"/>
              </w:rPr>
            </w:pPr>
            <w:r>
              <w:rPr>
                <w:rFonts w:ascii="Arial" w:hAnsi="Arial" w:cs="Arial"/>
                <w:b/>
                <w:bCs/>
                <w:color w:val="FFFFFF"/>
                <w:sz w:val="20"/>
              </w:rPr>
              <w:t>FY 2019</w:t>
            </w:r>
          </w:p>
        </w:tc>
        <w:tc>
          <w:tcPr>
            <w:tcW w:w="1540" w:type="dxa"/>
            <w:tcBorders>
              <w:top w:val="single" w:sz="4" w:space="0" w:color="auto"/>
              <w:left w:val="single" w:sz="4" w:space="0" w:color="auto"/>
              <w:bottom w:val="single" w:sz="4" w:space="0" w:color="auto"/>
              <w:right w:val="single" w:sz="4" w:space="0" w:color="auto"/>
            </w:tcBorders>
            <w:shd w:val="clear" w:color="auto" w:fill="000080"/>
            <w:vAlign w:val="bottom"/>
          </w:tcPr>
          <w:p w14:paraId="3A2FF666" w14:textId="5CE6526C" w:rsidR="00D06B35" w:rsidRPr="00CF73B4" w:rsidRDefault="00821D29" w:rsidP="00D06B35">
            <w:pPr>
              <w:jc w:val="center"/>
              <w:rPr>
                <w:rFonts w:ascii="Arial" w:hAnsi="Arial" w:cs="Arial"/>
                <w:b/>
                <w:bCs/>
                <w:color w:val="FFFFFF"/>
                <w:sz w:val="20"/>
              </w:rPr>
            </w:pPr>
            <w:r>
              <w:rPr>
                <w:rFonts w:ascii="Arial" w:hAnsi="Arial" w:cs="Arial"/>
                <w:b/>
                <w:bCs/>
                <w:color w:val="FFFFFF"/>
                <w:sz w:val="20"/>
              </w:rPr>
              <w:t>FY 2020</w:t>
            </w:r>
          </w:p>
        </w:tc>
        <w:tc>
          <w:tcPr>
            <w:tcW w:w="1540" w:type="dxa"/>
            <w:tcBorders>
              <w:top w:val="single" w:sz="4" w:space="0" w:color="auto"/>
              <w:left w:val="single" w:sz="4" w:space="0" w:color="auto"/>
              <w:bottom w:val="single" w:sz="4" w:space="0" w:color="auto"/>
              <w:right w:val="single" w:sz="4" w:space="0" w:color="auto"/>
            </w:tcBorders>
            <w:shd w:val="clear" w:color="auto" w:fill="000080"/>
            <w:vAlign w:val="bottom"/>
          </w:tcPr>
          <w:p w14:paraId="5D0C7BCC" w14:textId="178EFC7A" w:rsidR="00D06B35" w:rsidRPr="00CF73B4" w:rsidRDefault="00821D29" w:rsidP="00D06B35">
            <w:pPr>
              <w:jc w:val="center"/>
              <w:rPr>
                <w:rFonts w:ascii="Arial" w:hAnsi="Arial" w:cs="Arial"/>
                <w:b/>
                <w:bCs/>
                <w:color w:val="FFFFFF"/>
                <w:sz w:val="20"/>
              </w:rPr>
            </w:pPr>
            <w:r>
              <w:rPr>
                <w:rFonts w:ascii="Arial" w:hAnsi="Arial" w:cs="Arial"/>
                <w:b/>
                <w:bCs/>
                <w:color w:val="FFFFFF"/>
                <w:sz w:val="20"/>
              </w:rPr>
              <w:t>FY 2021</w:t>
            </w:r>
          </w:p>
        </w:tc>
        <w:tc>
          <w:tcPr>
            <w:tcW w:w="1678" w:type="dxa"/>
            <w:tcBorders>
              <w:top w:val="single" w:sz="4" w:space="0" w:color="auto"/>
              <w:left w:val="single" w:sz="4" w:space="0" w:color="auto"/>
              <w:bottom w:val="single" w:sz="4" w:space="0" w:color="auto"/>
              <w:right w:val="single" w:sz="4" w:space="0" w:color="auto"/>
            </w:tcBorders>
            <w:shd w:val="clear" w:color="auto" w:fill="000080"/>
            <w:vAlign w:val="bottom"/>
          </w:tcPr>
          <w:p w14:paraId="42F62BA8" w14:textId="32AEE4DC" w:rsidR="00D06B35" w:rsidRPr="00CF73B4" w:rsidRDefault="00821D29" w:rsidP="00D06B35">
            <w:pPr>
              <w:jc w:val="center"/>
              <w:rPr>
                <w:rFonts w:ascii="Arial" w:hAnsi="Arial" w:cs="Arial"/>
                <w:b/>
                <w:bCs/>
                <w:color w:val="FFFFFF"/>
                <w:sz w:val="20"/>
              </w:rPr>
            </w:pPr>
            <w:r>
              <w:rPr>
                <w:rFonts w:ascii="Arial" w:hAnsi="Arial" w:cs="Arial"/>
                <w:b/>
                <w:bCs/>
                <w:color w:val="FFFFFF"/>
                <w:sz w:val="20"/>
              </w:rPr>
              <w:t>FY 2022</w:t>
            </w:r>
          </w:p>
        </w:tc>
      </w:tr>
      <w:tr w:rsidR="00821D29" w:rsidRPr="00CF73B4" w14:paraId="11990232" w14:textId="77777777" w:rsidTr="00D06B35">
        <w:tc>
          <w:tcPr>
            <w:tcW w:w="3772" w:type="dxa"/>
            <w:tcBorders>
              <w:top w:val="single" w:sz="4" w:space="0" w:color="auto"/>
              <w:left w:val="single" w:sz="4" w:space="0" w:color="auto"/>
              <w:bottom w:val="single" w:sz="4" w:space="0" w:color="auto"/>
              <w:right w:val="single" w:sz="4" w:space="0" w:color="auto"/>
            </w:tcBorders>
          </w:tcPr>
          <w:p w14:paraId="04985A4A" w14:textId="77777777" w:rsidR="00821D29" w:rsidRPr="00CF73B4" w:rsidRDefault="00821D29" w:rsidP="00821D29">
            <w:pPr>
              <w:rPr>
                <w:rFonts w:ascii="Arial" w:hAnsi="Arial" w:cs="Arial"/>
                <w:sz w:val="20"/>
              </w:rPr>
            </w:pPr>
            <w:r w:rsidRPr="00CF73B4">
              <w:rPr>
                <w:rFonts w:ascii="Arial" w:hAnsi="Arial" w:cs="Arial"/>
                <w:sz w:val="20"/>
              </w:rPr>
              <w:t>Capital Cases Managed</w:t>
            </w:r>
          </w:p>
        </w:tc>
        <w:tc>
          <w:tcPr>
            <w:tcW w:w="1540" w:type="dxa"/>
            <w:tcBorders>
              <w:top w:val="single" w:sz="4" w:space="0" w:color="auto"/>
              <w:left w:val="single" w:sz="4" w:space="0" w:color="auto"/>
              <w:bottom w:val="single" w:sz="4" w:space="0" w:color="auto"/>
              <w:right w:val="single" w:sz="4" w:space="0" w:color="auto"/>
            </w:tcBorders>
          </w:tcPr>
          <w:p w14:paraId="63CC7790" w14:textId="21B9BABC" w:rsidR="00821D29" w:rsidRPr="00CF73B4" w:rsidRDefault="00821D29" w:rsidP="00821D29">
            <w:pPr>
              <w:jc w:val="right"/>
              <w:rPr>
                <w:rFonts w:ascii="Arial" w:hAnsi="Arial" w:cs="Arial"/>
                <w:sz w:val="20"/>
              </w:rPr>
            </w:pPr>
            <w:r>
              <w:rPr>
                <w:rFonts w:ascii="Arial" w:hAnsi="Arial" w:cs="Arial"/>
                <w:sz w:val="20"/>
              </w:rPr>
              <w:t>3</w:t>
            </w:r>
          </w:p>
        </w:tc>
        <w:tc>
          <w:tcPr>
            <w:tcW w:w="1540" w:type="dxa"/>
            <w:tcBorders>
              <w:top w:val="single" w:sz="4" w:space="0" w:color="auto"/>
              <w:left w:val="single" w:sz="4" w:space="0" w:color="auto"/>
              <w:bottom w:val="single" w:sz="4" w:space="0" w:color="auto"/>
              <w:right w:val="single" w:sz="4" w:space="0" w:color="auto"/>
            </w:tcBorders>
          </w:tcPr>
          <w:p w14:paraId="3613AF5F" w14:textId="6D3D82EE" w:rsidR="00821D29" w:rsidRPr="00CF73B4" w:rsidRDefault="00821D29" w:rsidP="00821D29">
            <w:pPr>
              <w:jc w:val="right"/>
              <w:rPr>
                <w:rFonts w:ascii="Arial" w:hAnsi="Arial" w:cs="Arial"/>
                <w:sz w:val="20"/>
              </w:rPr>
            </w:pPr>
            <w:r>
              <w:rPr>
                <w:rFonts w:ascii="Arial" w:hAnsi="Arial" w:cs="Arial"/>
                <w:sz w:val="20"/>
              </w:rPr>
              <w:t>3</w:t>
            </w:r>
          </w:p>
        </w:tc>
        <w:tc>
          <w:tcPr>
            <w:tcW w:w="1540" w:type="dxa"/>
            <w:tcBorders>
              <w:top w:val="single" w:sz="4" w:space="0" w:color="auto"/>
              <w:left w:val="single" w:sz="4" w:space="0" w:color="auto"/>
              <w:bottom w:val="single" w:sz="4" w:space="0" w:color="auto"/>
              <w:right w:val="single" w:sz="4" w:space="0" w:color="auto"/>
            </w:tcBorders>
          </w:tcPr>
          <w:p w14:paraId="2C3BA41B" w14:textId="6BD4CCFC" w:rsidR="00821D29" w:rsidRPr="00CF73B4" w:rsidRDefault="00821D29" w:rsidP="00821D29">
            <w:pPr>
              <w:jc w:val="right"/>
              <w:rPr>
                <w:rFonts w:ascii="Arial" w:hAnsi="Arial" w:cs="Arial"/>
                <w:sz w:val="20"/>
              </w:rPr>
            </w:pPr>
            <w:r>
              <w:rPr>
                <w:rFonts w:ascii="Arial" w:hAnsi="Arial" w:cs="Arial"/>
                <w:sz w:val="20"/>
              </w:rPr>
              <w:t>3</w:t>
            </w:r>
          </w:p>
        </w:tc>
        <w:tc>
          <w:tcPr>
            <w:tcW w:w="1678" w:type="dxa"/>
            <w:tcBorders>
              <w:top w:val="single" w:sz="4" w:space="0" w:color="auto"/>
              <w:left w:val="single" w:sz="4" w:space="0" w:color="auto"/>
              <w:bottom w:val="single" w:sz="4" w:space="0" w:color="auto"/>
              <w:right w:val="single" w:sz="4" w:space="0" w:color="auto"/>
            </w:tcBorders>
          </w:tcPr>
          <w:p w14:paraId="07137C6C" w14:textId="67764B9C" w:rsidR="00821D29" w:rsidRPr="00CF73B4" w:rsidRDefault="00821D29" w:rsidP="00821D29">
            <w:pPr>
              <w:jc w:val="center"/>
              <w:rPr>
                <w:rFonts w:ascii="Arial" w:hAnsi="Arial" w:cs="Arial"/>
                <w:sz w:val="20"/>
              </w:rPr>
            </w:pPr>
          </w:p>
        </w:tc>
      </w:tr>
      <w:tr w:rsidR="00821D29" w:rsidRPr="00CF73B4" w14:paraId="3357602E" w14:textId="77777777" w:rsidTr="00D06B35">
        <w:tc>
          <w:tcPr>
            <w:tcW w:w="3772" w:type="dxa"/>
            <w:tcBorders>
              <w:top w:val="single" w:sz="4" w:space="0" w:color="auto"/>
              <w:left w:val="single" w:sz="4" w:space="0" w:color="auto"/>
              <w:bottom w:val="single" w:sz="4" w:space="0" w:color="auto"/>
              <w:right w:val="single" w:sz="4" w:space="0" w:color="auto"/>
            </w:tcBorders>
          </w:tcPr>
          <w:p w14:paraId="35F5EC2A" w14:textId="77777777" w:rsidR="00821D29" w:rsidRPr="00CF73B4" w:rsidRDefault="00821D29" w:rsidP="00821D29">
            <w:pPr>
              <w:rPr>
                <w:rFonts w:ascii="Arial" w:hAnsi="Arial" w:cs="Arial"/>
                <w:sz w:val="20"/>
              </w:rPr>
            </w:pPr>
            <w:r w:rsidRPr="00CF73B4">
              <w:rPr>
                <w:rFonts w:ascii="Arial" w:hAnsi="Arial" w:cs="Arial"/>
                <w:sz w:val="20"/>
              </w:rPr>
              <w:t>Non-Capital Cases Opened</w:t>
            </w:r>
          </w:p>
        </w:tc>
        <w:tc>
          <w:tcPr>
            <w:tcW w:w="1540" w:type="dxa"/>
            <w:tcBorders>
              <w:top w:val="single" w:sz="4" w:space="0" w:color="auto"/>
              <w:left w:val="single" w:sz="4" w:space="0" w:color="auto"/>
              <w:bottom w:val="single" w:sz="4" w:space="0" w:color="auto"/>
              <w:right w:val="single" w:sz="4" w:space="0" w:color="auto"/>
            </w:tcBorders>
          </w:tcPr>
          <w:p w14:paraId="3671E358" w14:textId="5DC8C85F" w:rsidR="00821D29" w:rsidRPr="00CF73B4" w:rsidRDefault="00821D29" w:rsidP="00821D29">
            <w:pPr>
              <w:jc w:val="right"/>
              <w:rPr>
                <w:rFonts w:ascii="Arial" w:hAnsi="Arial" w:cs="Arial"/>
                <w:sz w:val="20"/>
              </w:rPr>
            </w:pPr>
            <w:r>
              <w:rPr>
                <w:rFonts w:ascii="Arial" w:hAnsi="Arial" w:cs="Arial"/>
                <w:sz w:val="20"/>
              </w:rPr>
              <w:t>600</w:t>
            </w:r>
          </w:p>
        </w:tc>
        <w:tc>
          <w:tcPr>
            <w:tcW w:w="1540" w:type="dxa"/>
            <w:tcBorders>
              <w:top w:val="single" w:sz="4" w:space="0" w:color="auto"/>
              <w:left w:val="single" w:sz="4" w:space="0" w:color="auto"/>
              <w:bottom w:val="single" w:sz="4" w:space="0" w:color="auto"/>
              <w:right w:val="single" w:sz="4" w:space="0" w:color="auto"/>
            </w:tcBorders>
          </w:tcPr>
          <w:p w14:paraId="4A2B89E0" w14:textId="7ABBC2D8" w:rsidR="00821D29" w:rsidRPr="00CF73B4" w:rsidRDefault="00821D29" w:rsidP="00821D29">
            <w:pPr>
              <w:jc w:val="right"/>
              <w:rPr>
                <w:rFonts w:ascii="Arial" w:hAnsi="Arial" w:cs="Arial"/>
                <w:sz w:val="20"/>
                <w:highlight w:val="yellow"/>
              </w:rPr>
            </w:pPr>
            <w:r>
              <w:rPr>
                <w:rFonts w:ascii="Arial" w:hAnsi="Arial" w:cs="Arial"/>
                <w:sz w:val="20"/>
              </w:rPr>
              <w:t>618</w:t>
            </w:r>
          </w:p>
        </w:tc>
        <w:tc>
          <w:tcPr>
            <w:tcW w:w="1540" w:type="dxa"/>
            <w:tcBorders>
              <w:top w:val="single" w:sz="4" w:space="0" w:color="auto"/>
              <w:left w:val="single" w:sz="4" w:space="0" w:color="auto"/>
              <w:bottom w:val="single" w:sz="4" w:space="0" w:color="auto"/>
              <w:right w:val="single" w:sz="4" w:space="0" w:color="auto"/>
            </w:tcBorders>
          </w:tcPr>
          <w:p w14:paraId="0355273A" w14:textId="102ECC9C" w:rsidR="00821D29" w:rsidRPr="00CF73B4" w:rsidRDefault="00821D29" w:rsidP="00821D29">
            <w:pPr>
              <w:jc w:val="right"/>
              <w:rPr>
                <w:rFonts w:ascii="Arial" w:hAnsi="Arial" w:cs="Arial"/>
                <w:sz w:val="20"/>
              </w:rPr>
            </w:pPr>
            <w:r>
              <w:rPr>
                <w:rFonts w:ascii="Arial" w:hAnsi="Arial" w:cs="Arial"/>
                <w:sz w:val="20"/>
              </w:rPr>
              <w:t>435</w:t>
            </w:r>
          </w:p>
        </w:tc>
        <w:tc>
          <w:tcPr>
            <w:tcW w:w="1678" w:type="dxa"/>
            <w:tcBorders>
              <w:top w:val="single" w:sz="4" w:space="0" w:color="auto"/>
              <w:left w:val="single" w:sz="4" w:space="0" w:color="auto"/>
              <w:bottom w:val="single" w:sz="4" w:space="0" w:color="auto"/>
              <w:right w:val="single" w:sz="4" w:space="0" w:color="auto"/>
            </w:tcBorders>
          </w:tcPr>
          <w:p w14:paraId="74CE8F2B" w14:textId="3FC99B57" w:rsidR="00821D29" w:rsidRPr="00CF73B4" w:rsidRDefault="00821D29" w:rsidP="00821D29">
            <w:pPr>
              <w:jc w:val="center"/>
              <w:rPr>
                <w:rFonts w:ascii="Arial" w:hAnsi="Arial" w:cs="Arial"/>
                <w:sz w:val="20"/>
              </w:rPr>
            </w:pPr>
          </w:p>
        </w:tc>
      </w:tr>
    </w:tbl>
    <w:p w14:paraId="3A11A359" w14:textId="77777777" w:rsidR="00C8187D" w:rsidRPr="00CB3FB5" w:rsidRDefault="00C8187D" w:rsidP="009E383C">
      <w:pPr>
        <w:rPr>
          <w:rFonts w:ascii="Arial" w:hAnsi="Arial" w:cs="Arial"/>
        </w:rPr>
      </w:pPr>
    </w:p>
    <w:p w14:paraId="5F74A626" w14:textId="77777777" w:rsidR="00C1412B" w:rsidRDefault="00C1412B" w:rsidP="00181AA6">
      <w:pPr>
        <w:rPr>
          <w:rFonts w:ascii="Arial" w:hAnsi="Arial" w:cs="Arial"/>
          <w:b/>
          <w:bCs/>
        </w:rPr>
      </w:pPr>
    </w:p>
    <w:p w14:paraId="1916F033" w14:textId="49A6586E" w:rsidR="00181AA6" w:rsidRDefault="00AA795A" w:rsidP="00181AA6">
      <w:pPr>
        <w:rPr>
          <w:rFonts w:ascii="Arial" w:hAnsi="Arial" w:cs="Arial"/>
          <w:b/>
          <w:bCs/>
        </w:rPr>
      </w:pPr>
      <w:r>
        <w:rPr>
          <w:rFonts w:ascii="Arial" w:hAnsi="Arial" w:cs="Arial"/>
          <w:b/>
          <w:bCs/>
        </w:rPr>
        <w:t>FY 2021</w:t>
      </w:r>
      <w:r w:rsidR="00D06B35">
        <w:rPr>
          <w:rFonts w:ascii="Arial" w:hAnsi="Arial" w:cs="Arial"/>
          <w:b/>
          <w:bCs/>
        </w:rPr>
        <w:t xml:space="preserve"> Performance Highlights</w:t>
      </w:r>
    </w:p>
    <w:p w14:paraId="36E842AC" w14:textId="77777777" w:rsidR="00623973" w:rsidRDefault="00623973" w:rsidP="00181AA6">
      <w:pPr>
        <w:rPr>
          <w:rFonts w:ascii="Arial" w:hAnsi="Arial" w:cs="Arial"/>
          <w:b/>
          <w:i/>
          <w:color w:val="FF0000"/>
        </w:rPr>
      </w:pPr>
    </w:p>
    <w:p w14:paraId="200999B0" w14:textId="536E49B4" w:rsidR="005F59C1" w:rsidRPr="005F59C1" w:rsidRDefault="00623973" w:rsidP="00487501">
      <w:pPr>
        <w:jc w:val="both"/>
        <w:rPr>
          <w:rFonts w:ascii="Arial" w:hAnsi="Arial" w:cs="Arial"/>
          <w:sz w:val="20"/>
          <w:szCs w:val="20"/>
        </w:rPr>
      </w:pPr>
      <w:r>
        <w:rPr>
          <w:rFonts w:ascii="Arial" w:hAnsi="Arial" w:cs="Arial"/>
          <w:sz w:val="20"/>
          <w:szCs w:val="20"/>
        </w:rPr>
        <w:t xml:space="preserve">Governor Little issued </w:t>
      </w:r>
      <w:r w:rsidR="006E3EEA">
        <w:rPr>
          <w:rFonts w:ascii="Arial" w:hAnsi="Arial" w:cs="Arial"/>
          <w:sz w:val="20"/>
          <w:szCs w:val="20"/>
        </w:rPr>
        <w:t>a</w:t>
      </w:r>
      <w:r>
        <w:rPr>
          <w:rFonts w:ascii="Arial" w:hAnsi="Arial" w:cs="Arial"/>
          <w:sz w:val="20"/>
          <w:szCs w:val="20"/>
        </w:rPr>
        <w:t xml:space="preserve"> mandatory </w:t>
      </w:r>
      <w:r w:rsidR="00BA5537">
        <w:rPr>
          <w:rFonts w:ascii="Arial" w:hAnsi="Arial" w:cs="Arial"/>
          <w:sz w:val="20"/>
          <w:szCs w:val="20"/>
        </w:rPr>
        <w:t>Stay at Home Order on March 25, 2020</w:t>
      </w:r>
      <w:r w:rsidR="006E3EEA">
        <w:rPr>
          <w:rFonts w:ascii="Arial" w:hAnsi="Arial" w:cs="Arial"/>
          <w:sz w:val="20"/>
          <w:szCs w:val="20"/>
        </w:rPr>
        <w:t>.</w:t>
      </w:r>
      <w:r w:rsidR="00BA5537">
        <w:rPr>
          <w:rFonts w:ascii="Arial" w:hAnsi="Arial" w:cs="Arial"/>
          <w:sz w:val="20"/>
          <w:szCs w:val="20"/>
        </w:rPr>
        <w:t xml:space="preserve"> </w:t>
      </w:r>
      <w:r w:rsidR="006E3EEA">
        <w:rPr>
          <w:rFonts w:ascii="Arial" w:hAnsi="Arial" w:cs="Arial"/>
          <w:sz w:val="20"/>
          <w:szCs w:val="20"/>
        </w:rPr>
        <w:t>A</w:t>
      </w:r>
      <w:r w:rsidR="00BA5537">
        <w:rPr>
          <w:rFonts w:ascii="Arial" w:hAnsi="Arial" w:cs="Arial"/>
          <w:sz w:val="20"/>
          <w:szCs w:val="20"/>
        </w:rPr>
        <w:t>s an essential business, the SAPD was able to quickly pivot its business model to move to operating entirely remotely, hav</w:t>
      </w:r>
      <w:r w:rsidR="00E14040">
        <w:rPr>
          <w:rFonts w:ascii="Arial" w:hAnsi="Arial" w:cs="Arial"/>
          <w:sz w:val="20"/>
          <w:szCs w:val="20"/>
        </w:rPr>
        <w:t>ing</w:t>
      </w:r>
      <w:r w:rsidR="00BA5537">
        <w:rPr>
          <w:rFonts w:ascii="Arial" w:hAnsi="Arial" w:cs="Arial"/>
          <w:sz w:val="20"/>
          <w:szCs w:val="20"/>
        </w:rPr>
        <w:t xml:space="preserve"> little disruption in the SAPD’s ability to meet its constitutional obligation to provide effective assistance of counsel for Idaho’s indigent defendants on direct appeal in felony cases and under a sentence of death.</w:t>
      </w:r>
      <w:r w:rsidR="00020F60">
        <w:rPr>
          <w:rFonts w:ascii="Arial" w:hAnsi="Arial" w:cs="Arial"/>
          <w:sz w:val="20"/>
          <w:szCs w:val="20"/>
        </w:rPr>
        <w:t xml:space="preserve">  The SAPD stayed remote until early June of 2021.</w:t>
      </w:r>
      <w:r w:rsidR="006E3EEA">
        <w:rPr>
          <w:rFonts w:ascii="Arial" w:hAnsi="Arial" w:cs="Arial"/>
          <w:sz w:val="20"/>
          <w:szCs w:val="20"/>
        </w:rPr>
        <w:t xml:space="preserve">  Despite this shift in the operation, the SAPD was successful in a higher percentage of cases in FY2021, as compared to previous years.</w:t>
      </w:r>
    </w:p>
    <w:p w14:paraId="2B59C184" w14:textId="77777777" w:rsidR="00A1011F" w:rsidRPr="00CB3FB5" w:rsidRDefault="00A1011F" w:rsidP="009E383C">
      <w:pPr>
        <w:rPr>
          <w:rFonts w:ascii="Arial" w:hAnsi="Arial" w:cs="Arial"/>
        </w:rPr>
      </w:pPr>
    </w:p>
    <w:p w14:paraId="2D61B0DB" w14:textId="77777777" w:rsidR="00A50901" w:rsidRDefault="00A50901" w:rsidP="001D2A76">
      <w:pPr>
        <w:jc w:val="both"/>
        <w:outlineLvl w:val="0"/>
        <w:rPr>
          <w:rFonts w:ascii="Arial" w:hAnsi="Arial" w:cs="Arial"/>
          <w:b/>
          <w:i/>
          <w:color w:val="000080"/>
          <w:sz w:val="28"/>
          <w:szCs w:val="28"/>
        </w:rPr>
      </w:pPr>
      <w:r w:rsidRPr="004B2482">
        <w:rPr>
          <w:rFonts w:ascii="Arial" w:hAnsi="Arial" w:cs="Arial"/>
          <w:b/>
          <w:i/>
          <w:color w:val="000080"/>
          <w:sz w:val="28"/>
          <w:szCs w:val="28"/>
        </w:rPr>
        <w:t>Part II – Performance Measures</w:t>
      </w:r>
    </w:p>
    <w:p w14:paraId="17CA9B7A" w14:textId="77777777" w:rsidR="00F97869" w:rsidRPr="00CB3FB5" w:rsidRDefault="00F97869" w:rsidP="009E383C">
      <w:pPr>
        <w:rPr>
          <w:rFonts w:ascii="Arial" w:hAnsi="Arial" w:cs="Arial"/>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026"/>
        <w:gridCol w:w="724"/>
        <w:gridCol w:w="1266"/>
        <w:gridCol w:w="1266"/>
        <w:gridCol w:w="1266"/>
        <w:gridCol w:w="1266"/>
        <w:gridCol w:w="1266"/>
      </w:tblGrid>
      <w:tr w:rsidR="00AE58D8" w14:paraId="1925CDCB" w14:textId="77777777" w:rsidTr="00AE58D8">
        <w:trPr>
          <w:cantSplit/>
          <w:tblHeader/>
        </w:trPr>
        <w:tc>
          <w:tcPr>
            <w:tcW w:w="3750" w:type="dxa"/>
            <w:gridSpan w:val="2"/>
            <w:shd w:val="clear" w:color="auto" w:fill="000080"/>
            <w:vAlign w:val="bottom"/>
          </w:tcPr>
          <w:p w14:paraId="52BB4999" w14:textId="77777777" w:rsidR="00AE58D8" w:rsidRDefault="00AE58D8" w:rsidP="00AE58D8">
            <w:pPr>
              <w:jc w:val="center"/>
              <w:rPr>
                <w:rFonts w:ascii="Arial" w:hAnsi="Arial" w:cs="Arial"/>
                <w:b/>
                <w:bCs/>
                <w:color w:val="FFFFFF"/>
                <w:sz w:val="20"/>
              </w:rPr>
            </w:pPr>
            <w:r>
              <w:rPr>
                <w:rFonts w:ascii="Arial" w:hAnsi="Arial" w:cs="Arial"/>
                <w:b/>
                <w:bCs/>
                <w:color w:val="FFFFFF"/>
                <w:sz w:val="20"/>
              </w:rPr>
              <w:t>Performance Measure</w:t>
            </w:r>
          </w:p>
        </w:tc>
        <w:tc>
          <w:tcPr>
            <w:tcW w:w="1266" w:type="dxa"/>
            <w:shd w:val="clear" w:color="auto" w:fill="000080"/>
            <w:vAlign w:val="bottom"/>
          </w:tcPr>
          <w:p w14:paraId="760347D9" w14:textId="0D9B5239" w:rsidR="00AE58D8" w:rsidRDefault="00821D29" w:rsidP="00AE58D8">
            <w:pPr>
              <w:jc w:val="center"/>
              <w:rPr>
                <w:rFonts w:ascii="Arial" w:hAnsi="Arial" w:cs="Arial"/>
                <w:b/>
                <w:bCs/>
                <w:color w:val="FFFFFF"/>
                <w:sz w:val="20"/>
              </w:rPr>
            </w:pPr>
            <w:r>
              <w:rPr>
                <w:rFonts w:ascii="Arial" w:hAnsi="Arial" w:cs="Arial"/>
                <w:b/>
                <w:bCs/>
                <w:color w:val="FFFFFF"/>
                <w:sz w:val="20"/>
              </w:rPr>
              <w:t>FY 2019</w:t>
            </w:r>
          </w:p>
        </w:tc>
        <w:tc>
          <w:tcPr>
            <w:tcW w:w="1266" w:type="dxa"/>
            <w:shd w:val="clear" w:color="auto" w:fill="000080"/>
            <w:vAlign w:val="bottom"/>
          </w:tcPr>
          <w:p w14:paraId="76E844CB" w14:textId="49598077" w:rsidR="00AE58D8" w:rsidRDefault="00821D29" w:rsidP="00AE58D8">
            <w:pPr>
              <w:jc w:val="center"/>
              <w:rPr>
                <w:rFonts w:ascii="Arial" w:hAnsi="Arial" w:cs="Arial"/>
                <w:b/>
                <w:bCs/>
                <w:color w:val="FFFFFF"/>
                <w:sz w:val="20"/>
              </w:rPr>
            </w:pPr>
            <w:r>
              <w:rPr>
                <w:rFonts w:ascii="Arial" w:hAnsi="Arial" w:cs="Arial"/>
                <w:b/>
                <w:bCs/>
                <w:color w:val="FFFFFF"/>
                <w:sz w:val="20"/>
              </w:rPr>
              <w:t>FY 2020</w:t>
            </w:r>
          </w:p>
        </w:tc>
        <w:tc>
          <w:tcPr>
            <w:tcW w:w="1266" w:type="dxa"/>
            <w:shd w:val="clear" w:color="auto" w:fill="000080"/>
            <w:vAlign w:val="bottom"/>
          </w:tcPr>
          <w:p w14:paraId="47A40E6A" w14:textId="217825B0" w:rsidR="00AE58D8" w:rsidRDefault="00821D29" w:rsidP="00AE58D8">
            <w:pPr>
              <w:jc w:val="center"/>
              <w:rPr>
                <w:rFonts w:ascii="Arial" w:hAnsi="Arial" w:cs="Arial"/>
                <w:b/>
                <w:bCs/>
                <w:color w:val="FFFFFF"/>
                <w:sz w:val="20"/>
              </w:rPr>
            </w:pPr>
            <w:r>
              <w:rPr>
                <w:rFonts w:ascii="Arial" w:hAnsi="Arial" w:cs="Arial"/>
                <w:b/>
                <w:bCs/>
                <w:color w:val="FFFFFF"/>
                <w:sz w:val="20"/>
              </w:rPr>
              <w:t>FY 2021</w:t>
            </w:r>
          </w:p>
        </w:tc>
        <w:tc>
          <w:tcPr>
            <w:tcW w:w="1266" w:type="dxa"/>
            <w:shd w:val="clear" w:color="auto" w:fill="000080"/>
            <w:vAlign w:val="bottom"/>
          </w:tcPr>
          <w:p w14:paraId="7BC9DD48" w14:textId="55C82BC1" w:rsidR="00AE58D8" w:rsidRDefault="00821D29" w:rsidP="00AE58D8">
            <w:pPr>
              <w:jc w:val="center"/>
              <w:rPr>
                <w:rFonts w:ascii="Arial" w:hAnsi="Arial" w:cs="Arial"/>
                <w:b/>
                <w:bCs/>
                <w:color w:val="FFFFFF"/>
                <w:sz w:val="20"/>
              </w:rPr>
            </w:pPr>
            <w:r>
              <w:rPr>
                <w:rFonts w:ascii="Arial" w:hAnsi="Arial" w:cs="Arial"/>
                <w:b/>
                <w:bCs/>
                <w:color w:val="FFFFFF"/>
                <w:sz w:val="20"/>
              </w:rPr>
              <w:t>FY 2022</w:t>
            </w:r>
          </w:p>
        </w:tc>
        <w:tc>
          <w:tcPr>
            <w:tcW w:w="1266" w:type="dxa"/>
            <w:shd w:val="clear" w:color="auto" w:fill="000080"/>
            <w:vAlign w:val="bottom"/>
          </w:tcPr>
          <w:p w14:paraId="0A3B1F20" w14:textId="51A32BD7" w:rsidR="00AE58D8" w:rsidRDefault="00821D29" w:rsidP="00AE58D8">
            <w:pPr>
              <w:jc w:val="center"/>
              <w:rPr>
                <w:rFonts w:ascii="Arial" w:hAnsi="Arial" w:cs="Arial"/>
                <w:b/>
                <w:bCs/>
                <w:color w:val="FFFFFF"/>
                <w:sz w:val="20"/>
              </w:rPr>
            </w:pPr>
            <w:r>
              <w:rPr>
                <w:rFonts w:ascii="Arial" w:hAnsi="Arial" w:cs="Arial"/>
                <w:b/>
                <w:bCs/>
                <w:color w:val="FFFFFF"/>
                <w:sz w:val="20"/>
              </w:rPr>
              <w:t>FY 2023</w:t>
            </w:r>
          </w:p>
        </w:tc>
      </w:tr>
      <w:tr w:rsidR="003C3F25" w14:paraId="097D35BE" w14:textId="77777777" w:rsidTr="00AE58D8">
        <w:trPr>
          <w:cantSplit/>
          <w:trHeight w:val="323"/>
        </w:trPr>
        <w:tc>
          <w:tcPr>
            <w:tcW w:w="10080" w:type="dxa"/>
            <w:gridSpan w:val="7"/>
            <w:shd w:val="clear" w:color="auto" w:fill="DBE5F1" w:themeFill="accent1" w:themeFillTint="33"/>
            <w:vAlign w:val="center"/>
          </w:tcPr>
          <w:p w14:paraId="5A549CF1" w14:textId="77777777" w:rsidR="003C3F25" w:rsidRDefault="003C3F25" w:rsidP="009C2EF5">
            <w:pPr>
              <w:jc w:val="center"/>
              <w:rPr>
                <w:rFonts w:ascii="Arial" w:hAnsi="Arial" w:cs="Arial"/>
                <w:b/>
              </w:rPr>
            </w:pPr>
            <w:r>
              <w:rPr>
                <w:rFonts w:ascii="Arial" w:hAnsi="Arial" w:cs="Arial"/>
                <w:b/>
                <w:sz w:val="20"/>
              </w:rPr>
              <w:t>Goal 1</w:t>
            </w:r>
          </w:p>
          <w:p w14:paraId="7B15AC3A" w14:textId="77777777" w:rsidR="003C3F25" w:rsidRPr="00841C41" w:rsidRDefault="003C3F25" w:rsidP="009C2EF5">
            <w:pPr>
              <w:jc w:val="center"/>
              <w:rPr>
                <w:rFonts w:ascii="Arial" w:hAnsi="Arial" w:cs="Arial"/>
                <w:b/>
              </w:rPr>
            </w:pPr>
            <w:r w:rsidRPr="00E02BB0">
              <w:rPr>
                <w:rFonts w:ascii="Arial" w:hAnsi="Arial" w:cs="Arial"/>
                <w:i/>
                <w:sz w:val="20"/>
              </w:rPr>
              <w:t>Provide Competent, Constitutionally Sufficient Representation to All SAPD Clients</w:t>
            </w:r>
          </w:p>
        </w:tc>
      </w:tr>
      <w:tr w:rsidR="00821D29" w14:paraId="7C4EBCAD" w14:textId="77777777" w:rsidTr="00AE58D8">
        <w:trPr>
          <w:cantSplit/>
          <w:trHeight w:val="288"/>
        </w:trPr>
        <w:tc>
          <w:tcPr>
            <w:tcW w:w="3026" w:type="dxa"/>
            <w:vMerge w:val="restart"/>
          </w:tcPr>
          <w:p w14:paraId="2383797D" w14:textId="77777777" w:rsidR="00821D29" w:rsidRPr="00646DA1" w:rsidRDefault="00821D29" w:rsidP="00821D29">
            <w:pPr>
              <w:pStyle w:val="ListParagraph"/>
              <w:numPr>
                <w:ilvl w:val="0"/>
                <w:numId w:val="2"/>
              </w:numPr>
              <w:ind w:left="342"/>
              <w:rPr>
                <w:rFonts w:ascii="Arial" w:hAnsi="Arial" w:cs="Arial"/>
                <w:bCs/>
                <w:sz w:val="20"/>
              </w:rPr>
            </w:pPr>
            <w:r>
              <w:rPr>
                <w:rFonts w:ascii="Arial" w:hAnsi="Arial" w:cs="Arial"/>
                <w:sz w:val="20"/>
                <w:szCs w:val="20"/>
              </w:rPr>
              <w:t>N</w:t>
            </w:r>
            <w:r w:rsidRPr="003F4081">
              <w:rPr>
                <w:rFonts w:ascii="Arial" w:hAnsi="Arial" w:cs="Arial"/>
                <w:sz w:val="20"/>
                <w:szCs w:val="20"/>
              </w:rPr>
              <w:t xml:space="preserve">o </w:t>
            </w:r>
            <w:r>
              <w:rPr>
                <w:rFonts w:ascii="Arial" w:hAnsi="Arial" w:cs="Arial"/>
                <w:sz w:val="20"/>
                <w:szCs w:val="20"/>
              </w:rPr>
              <w:t xml:space="preserve">affirmed </w:t>
            </w:r>
            <w:r w:rsidRPr="003F4081">
              <w:rPr>
                <w:rFonts w:ascii="Arial" w:hAnsi="Arial" w:cs="Arial"/>
                <w:sz w:val="20"/>
                <w:szCs w:val="20"/>
              </w:rPr>
              <w:t>rep</w:t>
            </w:r>
            <w:r>
              <w:rPr>
                <w:rFonts w:ascii="Arial" w:hAnsi="Arial" w:cs="Arial"/>
                <w:sz w:val="20"/>
                <w:szCs w:val="20"/>
              </w:rPr>
              <w:t>rimands from the Office of Bar C</w:t>
            </w:r>
            <w:r w:rsidRPr="003F4081">
              <w:rPr>
                <w:rFonts w:ascii="Arial" w:hAnsi="Arial" w:cs="Arial"/>
                <w:sz w:val="20"/>
                <w:szCs w:val="20"/>
              </w:rPr>
              <w:t>ounsel or the Idaho Supreme Court.</w:t>
            </w:r>
          </w:p>
        </w:tc>
        <w:tc>
          <w:tcPr>
            <w:tcW w:w="724" w:type="dxa"/>
            <w:shd w:val="clear" w:color="auto" w:fill="D9D9D9" w:themeFill="background1" w:themeFillShade="D9"/>
            <w:vAlign w:val="center"/>
          </w:tcPr>
          <w:p w14:paraId="05D8847C" w14:textId="77777777" w:rsidR="00821D29" w:rsidRPr="00E51672" w:rsidRDefault="00821D29" w:rsidP="00821D29">
            <w:pPr>
              <w:jc w:val="center"/>
              <w:rPr>
                <w:rFonts w:ascii="Arial" w:hAnsi="Arial" w:cs="Arial"/>
                <w:sz w:val="20"/>
              </w:rPr>
            </w:pPr>
            <w:r w:rsidRPr="00E51672">
              <w:rPr>
                <w:rFonts w:ascii="Arial" w:hAnsi="Arial" w:cs="Arial"/>
                <w:sz w:val="20"/>
              </w:rPr>
              <w:t>actual</w:t>
            </w:r>
          </w:p>
        </w:tc>
        <w:tc>
          <w:tcPr>
            <w:tcW w:w="1266" w:type="dxa"/>
            <w:shd w:val="clear" w:color="auto" w:fill="D9D9D9" w:themeFill="background1" w:themeFillShade="D9"/>
            <w:vAlign w:val="center"/>
          </w:tcPr>
          <w:p w14:paraId="5E5F34E1" w14:textId="2F7EE449" w:rsidR="00821D29" w:rsidRPr="0078607D" w:rsidRDefault="00821D29" w:rsidP="00821D29">
            <w:pPr>
              <w:jc w:val="center"/>
              <w:rPr>
                <w:rFonts w:ascii="Arial" w:hAnsi="Arial" w:cs="Arial"/>
                <w:sz w:val="20"/>
                <w:szCs w:val="20"/>
              </w:rPr>
            </w:pPr>
            <w:r>
              <w:rPr>
                <w:rFonts w:ascii="Arial" w:hAnsi="Arial" w:cs="Arial"/>
                <w:sz w:val="20"/>
              </w:rPr>
              <w:t>0</w:t>
            </w:r>
          </w:p>
        </w:tc>
        <w:tc>
          <w:tcPr>
            <w:tcW w:w="1266" w:type="dxa"/>
            <w:shd w:val="clear" w:color="auto" w:fill="D9D9D9" w:themeFill="background1" w:themeFillShade="D9"/>
            <w:vAlign w:val="center"/>
          </w:tcPr>
          <w:p w14:paraId="057C7F8C" w14:textId="3208887B" w:rsidR="00821D29" w:rsidRPr="0078607D" w:rsidRDefault="00821D29" w:rsidP="00821D29">
            <w:pPr>
              <w:jc w:val="center"/>
              <w:rPr>
                <w:rFonts w:ascii="Arial" w:hAnsi="Arial" w:cs="Arial"/>
                <w:sz w:val="20"/>
                <w:szCs w:val="20"/>
              </w:rPr>
            </w:pPr>
            <w:r>
              <w:rPr>
                <w:rFonts w:ascii="Arial" w:hAnsi="Arial" w:cs="Arial"/>
                <w:sz w:val="20"/>
              </w:rPr>
              <w:t>0</w:t>
            </w:r>
          </w:p>
        </w:tc>
        <w:tc>
          <w:tcPr>
            <w:tcW w:w="1266" w:type="dxa"/>
            <w:shd w:val="clear" w:color="auto" w:fill="D9D9D9" w:themeFill="background1" w:themeFillShade="D9"/>
            <w:vAlign w:val="center"/>
          </w:tcPr>
          <w:p w14:paraId="1435CF3D" w14:textId="0C68A6DC" w:rsidR="00821D29" w:rsidRPr="00E51672" w:rsidRDefault="00821D29" w:rsidP="00821D29">
            <w:pPr>
              <w:jc w:val="center"/>
              <w:rPr>
                <w:rFonts w:ascii="Arial" w:hAnsi="Arial" w:cs="Arial"/>
                <w:sz w:val="20"/>
              </w:rPr>
            </w:pPr>
            <w:r>
              <w:rPr>
                <w:rFonts w:ascii="Arial" w:hAnsi="Arial" w:cs="Arial"/>
                <w:sz w:val="20"/>
              </w:rPr>
              <w:t>0</w:t>
            </w:r>
          </w:p>
        </w:tc>
        <w:tc>
          <w:tcPr>
            <w:tcW w:w="1266" w:type="dxa"/>
            <w:shd w:val="clear" w:color="auto" w:fill="D9D9D9" w:themeFill="background1" w:themeFillShade="D9"/>
            <w:vAlign w:val="center"/>
          </w:tcPr>
          <w:p w14:paraId="6F5C2588" w14:textId="2D731253" w:rsidR="00821D29" w:rsidRPr="00E51672" w:rsidRDefault="00821D29" w:rsidP="00821D29">
            <w:pPr>
              <w:jc w:val="center"/>
              <w:rPr>
                <w:rFonts w:ascii="Arial" w:hAnsi="Arial" w:cs="Arial"/>
                <w:sz w:val="20"/>
              </w:rPr>
            </w:pPr>
          </w:p>
        </w:tc>
        <w:tc>
          <w:tcPr>
            <w:tcW w:w="1266" w:type="dxa"/>
            <w:shd w:val="clear" w:color="auto" w:fill="D9D9D9" w:themeFill="background1" w:themeFillShade="D9"/>
            <w:vAlign w:val="center"/>
          </w:tcPr>
          <w:p w14:paraId="3D18D276" w14:textId="17D69A50" w:rsidR="00821D29" w:rsidRPr="00E51672" w:rsidRDefault="00821D29" w:rsidP="00821D29">
            <w:pPr>
              <w:jc w:val="center"/>
              <w:rPr>
                <w:rFonts w:ascii="Arial" w:hAnsi="Arial" w:cs="Arial"/>
                <w:sz w:val="20"/>
              </w:rPr>
            </w:pPr>
          </w:p>
        </w:tc>
      </w:tr>
      <w:tr w:rsidR="00821D29" w14:paraId="17095A9B" w14:textId="77777777" w:rsidTr="00AE58D8">
        <w:trPr>
          <w:cantSplit/>
          <w:trHeight w:val="288"/>
        </w:trPr>
        <w:tc>
          <w:tcPr>
            <w:tcW w:w="3026" w:type="dxa"/>
            <w:vMerge/>
          </w:tcPr>
          <w:p w14:paraId="73A92172" w14:textId="77777777" w:rsidR="00821D29" w:rsidRPr="00646DA1" w:rsidRDefault="00821D29" w:rsidP="00821D29">
            <w:pPr>
              <w:pStyle w:val="ListParagraph"/>
              <w:numPr>
                <w:ilvl w:val="0"/>
                <w:numId w:val="2"/>
              </w:numPr>
              <w:tabs>
                <w:tab w:val="left" w:pos="2985"/>
              </w:tabs>
              <w:ind w:left="342"/>
              <w:rPr>
                <w:rFonts w:ascii="Arial" w:hAnsi="Arial" w:cs="Arial"/>
                <w:sz w:val="20"/>
              </w:rPr>
            </w:pPr>
          </w:p>
        </w:tc>
        <w:tc>
          <w:tcPr>
            <w:tcW w:w="724" w:type="dxa"/>
            <w:shd w:val="clear" w:color="auto" w:fill="FFFFFF" w:themeFill="background1"/>
            <w:vAlign w:val="center"/>
          </w:tcPr>
          <w:p w14:paraId="3A750222" w14:textId="77777777" w:rsidR="00821D29" w:rsidRPr="00E51672" w:rsidRDefault="00821D29" w:rsidP="00821D29">
            <w:pPr>
              <w:jc w:val="center"/>
              <w:rPr>
                <w:rFonts w:ascii="Arial" w:hAnsi="Arial" w:cs="Arial"/>
                <w:i/>
                <w:sz w:val="16"/>
                <w:szCs w:val="16"/>
              </w:rPr>
            </w:pPr>
            <w:r>
              <w:rPr>
                <w:rFonts w:ascii="Arial" w:hAnsi="Arial" w:cs="Arial"/>
                <w:i/>
                <w:sz w:val="16"/>
                <w:szCs w:val="16"/>
              </w:rPr>
              <w:t>target</w:t>
            </w:r>
          </w:p>
        </w:tc>
        <w:tc>
          <w:tcPr>
            <w:tcW w:w="1266" w:type="dxa"/>
            <w:shd w:val="clear" w:color="auto" w:fill="FFFFFF" w:themeFill="background1"/>
            <w:vAlign w:val="center"/>
          </w:tcPr>
          <w:p w14:paraId="35DFA599" w14:textId="1ED8B831" w:rsidR="00821D29" w:rsidRPr="00E51672" w:rsidRDefault="00821D29" w:rsidP="00821D29">
            <w:pPr>
              <w:jc w:val="center"/>
              <w:rPr>
                <w:rFonts w:ascii="Arial" w:hAnsi="Arial" w:cs="Arial"/>
                <w:i/>
                <w:sz w:val="16"/>
                <w:szCs w:val="16"/>
              </w:rPr>
            </w:pPr>
            <w:r>
              <w:rPr>
                <w:rFonts w:ascii="Arial" w:hAnsi="Arial" w:cs="Arial"/>
                <w:i/>
                <w:sz w:val="16"/>
                <w:szCs w:val="16"/>
              </w:rPr>
              <w:t>No Affirmed Reprimands</w:t>
            </w:r>
          </w:p>
        </w:tc>
        <w:tc>
          <w:tcPr>
            <w:tcW w:w="1266" w:type="dxa"/>
            <w:shd w:val="clear" w:color="auto" w:fill="FFFFFF" w:themeFill="background1"/>
            <w:vAlign w:val="center"/>
          </w:tcPr>
          <w:p w14:paraId="5FE0B0DA" w14:textId="7B1EF40F" w:rsidR="00821D29" w:rsidRPr="00E51672" w:rsidRDefault="00821D29" w:rsidP="00821D29">
            <w:pPr>
              <w:jc w:val="center"/>
              <w:rPr>
                <w:rFonts w:ascii="Arial" w:hAnsi="Arial" w:cs="Arial"/>
                <w:i/>
                <w:sz w:val="16"/>
                <w:szCs w:val="16"/>
              </w:rPr>
            </w:pPr>
            <w:r>
              <w:rPr>
                <w:rFonts w:ascii="Arial" w:hAnsi="Arial" w:cs="Arial"/>
                <w:i/>
                <w:sz w:val="16"/>
                <w:szCs w:val="16"/>
              </w:rPr>
              <w:t>No Affirmed Reprimands</w:t>
            </w:r>
          </w:p>
        </w:tc>
        <w:tc>
          <w:tcPr>
            <w:tcW w:w="1266" w:type="dxa"/>
            <w:shd w:val="clear" w:color="auto" w:fill="FFFFFF" w:themeFill="background1"/>
            <w:vAlign w:val="center"/>
          </w:tcPr>
          <w:p w14:paraId="49ED85F8" w14:textId="6D85CF7E" w:rsidR="00821D29" w:rsidRPr="00E51672" w:rsidRDefault="00821D29" w:rsidP="00821D29">
            <w:pPr>
              <w:jc w:val="center"/>
              <w:rPr>
                <w:rFonts w:ascii="Arial" w:hAnsi="Arial" w:cs="Arial"/>
                <w:i/>
                <w:sz w:val="16"/>
                <w:szCs w:val="16"/>
              </w:rPr>
            </w:pPr>
            <w:r>
              <w:rPr>
                <w:rFonts w:ascii="Arial" w:hAnsi="Arial" w:cs="Arial"/>
                <w:i/>
                <w:sz w:val="16"/>
                <w:szCs w:val="16"/>
              </w:rPr>
              <w:t>No Affirmed Reprimands</w:t>
            </w:r>
          </w:p>
        </w:tc>
        <w:tc>
          <w:tcPr>
            <w:tcW w:w="1266" w:type="dxa"/>
            <w:shd w:val="clear" w:color="auto" w:fill="FFFFFF" w:themeFill="background1"/>
            <w:vAlign w:val="center"/>
          </w:tcPr>
          <w:p w14:paraId="38394EB7" w14:textId="41761247" w:rsidR="00821D29" w:rsidRPr="00E51672" w:rsidRDefault="00821D29" w:rsidP="00821D29">
            <w:pPr>
              <w:jc w:val="center"/>
              <w:rPr>
                <w:rFonts w:ascii="Arial" w:hAnsi="Arial" w:cs="Arial"/>
                <w:i/>
                <w:sz w:val="16"/>
                <w:szCs w:val="16"/>
              </w:rPr>
            </w:pPr>
            <w:r>
              <w:rPr>
                <w:rFonts w:ascii="Arial" w:hAnsi="Arial" w:cs="Arial"/>
                <w:i/>
                <w:sz w:val="16"/>
                <w:szCs w:val="16"/>
              </w:rPr>
              <w:t>No Affirmed Reprimands</w:t>
            </w:r>
          </w:p>
        </w:tc>
        <w:tc>
          <w:tcPr>
            <w:tcW w:w="1266" w:type="dxa"/>
            <w:shd w:val="clear" w:color="auto" w:fill="FFFFFF" w:themeFill="background1"/>
            <w:vAlign w:val="center"/>
          </w:tcPr>
          <w:p w14:paraId="098D913C" w14:textId="32285097" w:rsidR="00821D29" w:rsidRPr="00E51672" w:rsidRDefault="00821D29" w:rsidP="00821D29">
            <w:pPr>
              <w:jc w:val="center"/>
              <w:rPr>
                <w:rFonts w:ascii="Arial" w:hAnsi="Arial" w:cs="Arial"/>
                <w:i/>
                <w:sz w:val="16"/>
                <w:szCs w:val="16"/>
              </w:rPr>
            </w:pPr>
          </w:p>
        </w:tc>
      </w:tr>
      <w:tr w:rsidR="00821D29" w14:paraId="613BB3D1" w14:textId="77777777" w:rsidTr="00AE58D8">
        <w:trPr>
          <w:cantSplit/>
          <w:trHeight w:val="288"/>
        </w:trPr>
        <w:tc>
          <w:tcPr>
            <w:tcW w:w="3026" w:type="dxa"/>
            <w:vMerge w:val="restart"/>
          </w:tcPr>
          <w:p w14:paraId="5CE59B70" w14:textId="77777777" w:rsidR="00821D29" w:rsidRPr="00646DA1" w:rsidRDefault="00821D29" w:rsidP="00821D29">
            <w:pPr>
              <w:pStyle w:val="ListParagraph"/>
              <w:numPr>
                <w:ilvl w:val="0"/>
                <w:numId w:val="2"/>
              </w:numPr>
              <w:ind w:left="342"/>
              <w:rPr>
                <w:rFonts w:ascii="Arial" w:hAnsi="Arial" w:cs="Arial"/>
                <w:bCs/>
                <w:sz w:val="20"/>
              </w:rPr>
            </w:pPr>
            <w:r>
              <w:rPr>
                <w:rFonts w:ascii="Arial" w:hAnsi="Arial" w:cs="Arial"/>
                <w:sz w:val="20"/>
                <w:szCs w:val="20"/>
              </w:rPr>
              <w:t>N</w:t>
            </w:r>
            <w:r w:rsidRPr="003F4081">
              <w:rPr>
                <w:rFonts w:ascii="Arial" w:hAnsi="Arial" w:cs="Arial"/>
                <w:sz w:val="20"/>
                <w:szCs w:val="20"/>
              </w:rPr>
              <w:t xml:space="preserve">o affirmed findings of ineffective assistance of counsel against an </w:t>
            </w:r>
            <w:r>
              <w:rPr>
                <w:rFonts w:ascii="Arial" w:hAnsi="Arial" w:cs="Arial"/>
                <w:sz w:val="20"/>
                <w:szCs w:val="20"/>
              </w:rPr>
              <w:t xml:space="preserve">SAPD </w:t>
            </w:r>
            <w:r w:rsidRPr="003F4081">
              <w:rPr>
                <w:rFonts w:ascii="Arial" w:hAnsi="Arial" w:cs="Arial"/>
                <w:sz w:val="20"/>
                <w:szCs w:val="20"/>
              </w:rPr>
              <w:t>attorney</w:t>
            </w:r>
            <w:r>
              <w:rPr>
                <w:rFonts w:ascii="Arial" w:hAnsi="Arial" w:cs="Arial"/>
                <w:sz w:val="20"/>
                <w:szCs w:val="20"/>
              </w:rPr>
              <w:t>.</w:t>
            </w:r>
          </w:p>
        </w:tc>
        <w:tc>
          <w:tcPr>
            <w:tcW w:w="724" w:type="dxa"/>
            <w:shd w:val="clear" w:color="auto" w:fill="D9D9D9" w:themeFill="background1" w:themeFillShade="D9"/>
            <w:vAlign w:val="center"/>
          </w:tcPr>
          <w:p w14:paraId="6F88FB31" w14:textId="77777777" w:rsidR="00821D29" w:rsidRPr="00E51672" w:rsidRDefault="00821D29" w:rsidP="00821D29">
            <w:pPr>
              <w:jc w:val="center"/>
              <w:rPr>
                <w:rFonts w:ascii="Arial" w:hAnsi="Arial" w:cs="Arial"/>
                <w:sz w:val="20"/>
              </w:rPr>
            </w:pPr>
            <w:r w:rsidRPr="00E51672">
              <w:rPr>
                <w:rFonts w:ascii="Arial" w:hAnsi="Arial" w:cs="Arial"/>
                <w:sz w:val="20"/>
              </w:rPr>
              <w:t>actual</w:t>
            </w:r>
          </w:p>
        </w:tc>
        <w:tc>
          <w:tcPr>
            <w:tcW w:w="1266" w:type="dxa"/>
            <w:shd w:val="clear" w:color="auto" w:fill="D9D9D9" w:themeFill="background1" w:themeFillShade="D9"/>
            <w:vAlign w:val="center"/>
          </w:tcPr>
          <w:p w14:paraId="75196907" w14:textId="69A81138" w:rsidR="00821D29" w:rsidRPr="0078607D" w:rsidRDefault="00821D29" w:rsidP="00821D29">
            <w:pPr>
              <w:jc w:val="center"/>
              <w:rPr>
                <w:rFonts w:ascii="Arial" w:hAnsi="Arial" w:cs="Arial"/>
                <w:sz w:val="20"/>
                <w:szCs w:val="20"/>
              </w:rPr>
            </w:pPr>
            <w:r>
              <w:rPr>
                <w:rFonts w:ascii="Arial" w:hAnsi="Arial" w:cs="Arial"/>
                <w:sz w:val="20"/>
              </w:rPr>
              <w:t>0</w:t>
            </w:r>
          </w:p>
        </w:tc>
        <w:tc>
          <w:tcPr>
            <w:tcW w:w="1266" w:type="dxa"/>
            <w:shd w:val="clear" w:color="auto" w:fill="D9D9D9" w:themeFill="background1" w:themeFillShade="D9"/>
            <w:vAlign w:val="center"/>
          </w:tcPr>
          <w:p w14:paraId="6ADF36D7" w14:textId="6FA992F8" w:rsidR="00821D29" w:rsidRPr="0078607D" w:rsidRDefault="00821D29" w:rsidP="00821D29">
            <w:pPr>
              <w:jc w:val="center"/>
              <w:rPr>
                <w:rFonts w:ascii="Arial" w:hAnsi="Arial" w:cs="Arial"/>
                <w:sz w:val="20"/>
                <w:szCs w:val="20"/>
              </w:rPr>
            </w:pPr>
            <w:r>
              <w:rPr>
                <w:rFonts w:ascii="Arial" w:hAnsi="Arial" w:cs="Arial"/>
                <w:sz w:val="20"/>
              </w:rPr>
              <w:t>0</w:t>
            </w:r>
          </w:p>
        </w:tc>
        <w:tc>
          <w:tcPr>
            <w:tcW w:w="1266" w:type="dxa"/>
            <w:shd w:val="clear" w:color="auto" w:fill="D9D9D9" w:themeFill="background1" w:themeFillShade="D9"/>
            <w:vAlign w:val="center"/>
          </w:tcPr>
          <w:p w14:paraId="1047B558" w14:textId="57781713" w:rsidR="00821D29" w:rsidRPr="00E51672" w:rsidRDefault="00821D29" w:rsidP="00821D29">
            <w:pPr>
              <w:jc w:val="center"/>
              <w:rPr>
                <w:rFonts w:ascii="Arial" w:hAnsi="Arial" w:cs="Arial"/>
                <w:sz w:val="20"/>
              </w:rPr>
            </w:pPr>
            <w:r>
              <w:rPr>
                <w:rFonts w:ascii="Arial" w:hAnsi="Arial" w:cs="Arial"/>
                <w:sz w:val="20"/>
              </w:rPr>
              <w:t>0</w:t>
            </w:r>
          </w:p>
        </w:tc>
        <w:tc>
          <w:tcPr>
            <w:tcW w:w="1266" w:type="dxa"/>
            <w:shd w:val="clear" w:color="auto" w:fill="D9D9D9" w:themeFill="background1" w:themeFillShade="D9"/>
            <w:vAlign w:val="center"/>
          </w:tcPr>
          <w:p w14:paraId="2A049F5A" w14:textId="3292B86B" w:rsidR="00821D29" w:rsidRPr="00E51672" w:rsidRDefault="00821D29" w:rsidP="00821D29">
            <w:pPr>
              <w:jc w:val="center"/>
              <w:rPr>
                <w:rFonts w:ascii="Arial" w:hAnsi="Arial" w:cs="Arial"/>
                <w:sz w:val="20"/>
              </w:rPr>
            </w:pPr>
          </w:p>
        </w:tc>
        <w:tc>
          <w:tcPr>
            <w:tcW w:w="1266" w:type="dxa"/>
            <w:shd w:val="clear" w:color="auto" w:fill="D9D9D9" w:themeFill="background1" w:themeFillShade="D9"/>
            <w:vAlign w:val="center"/>
          </w:tcPr>
          <w:p w14:paraId="0E6203E2" w14:textId="0C9D0E0F" w:rsidR="00821D29" w:rsidRPr="00E51672" w:rsidRDefault="00821D29" w:rsidP="00821D29">
            <w:pPr>
              <w:jc w:val="center"/>
              <w:rPr>
                <w:rFonts w:ascii="Arial" w:hAnsi="Arial" w:cs="Arial"/>
                <w:sz w:val="20"/>
              </w:rPr>
            </w:pPr>
          </w:p>
        </w:tc>
      </w:tr>
      <w:tr w:rsidR="00821D29" w14:paraId="72F2D63C" w14:textId="77777777" w:rsidTr="00AE58D8">
        <w:trPr>
          <w:cantSplit/>
          <w:trHeight w:val="288"/>
        </w:trPr>
        <w:tc>
          <w:tcPr>
            <w:tcW w:w="3026" w:type="dxa"/>
            <w:vMerge/>
          </w:tcPr>
          <w:p w14:paraId="4A6E340A" w14:textId="77777777" w:rsidR="00821D29" w:rsidRPr="00646DA1" w:rsidRDefault="00821D29" w:rsidP="00821D29">
            <w:pPr>
              <w:pStyle w:val="ListParagraph"/>
              <w:numPr>
                <w:ilvl w:val="0"/>
                <w:numId w:val="2"/>
              </w:numPr>
              <w:tabs>
                <w:tab w:val="left" w:pos="2985"/>
              </w:tabs>
              <w:ind w:left="342"/>
              <w:rPr>
                <w:rFonts w:ascii="Arial" w:hAnsi="Arial" w:cs="Arial"/>
                <w:sz w:val="20"/>
              </w:rPr>
            </w:pPr>
          </w:p>
        </w:tc>
        <w:tc>
          <w:tcPr>
            <w:tcW w:w="724" w:type="dxa"/>
            <w:shd w:val="clear" w:color="auto" w:fill="FFFFFF" w:themeFill="background1"/>
            <w:vAlign w:val="center"/>
          </w:tcPr>
          <w:p w14:paraId="00CF38AE" w14:textId="77777777" w:rsidR="00821D29" w:rsidRPr="00E51672" w:rsidRDefault="00821D29" w:rsidP="00821D29">
            <w:pPr>
              <w:jc w:val="center"/>
              <w:rPr>
                <w:rFonts w:ascii="Arial" w:hAnsi="Arial" w:cs="Arial"/>
                <w:i/>
                <w:sz w:val="20"/>
              </w:rPr>
            </w:pPr>
            <w:r>
              <w:rPr>
                <w:rFonts w:ascii="Arial" w:hAnsi="Arial" w:cs="Arial"/>
                <w:i/>
                <w:sz w:val="16"/>
                <w:szCs w:val="16"/>
              </w:rPr>
              <w:t>target</w:t>
            </w:r>
          </w:p>
        </w:tc>
        <w:tc>
          <w:tcPr>
            <w:tcW w:w="1266" w:type="dxa"/>
            <w:shd w:val="clear" w:color="auto" w:fill="FFFFFF" w:themeFill="background1"/>
            <w:vAlign w:val="center"/>
          </w:tcPr>
          <w:p w14:paraId="28BE24E8" w14:textId="4343470F" w:rsidR="00821D29" w:rsidRPr="00E51672" w:rsidRDefault="00821D29" w:rsidP="00821D29">
            <w:pPr>
              <w:jc w:val="center"/>
              <w:rPr>
                <w:rFonts w:ascii="Arial" w:hAnsi="Arial" w:cs="Arial"/>
                <w:i/>
                <w:sz w:val="16"/>
                <w:szCs w:val="16"/>
              </w:rPr>
            </w:pPr>
            <w:r>
              <w:rPr>
                <w:rFonts w:ascii="Arial" w:hAnsi="Arial" w:cs="Arial"/>
                <w:i/>
                <w:sz w:val="16"/>
                <w:szCs w:val="16"/>
              </w:rPr>
              <w:t>No Affirmed Findings</w:t>
            </w:r>
          </w:p>
        </w:tc>
        <w:tc>
          <w:tcPr>
            <w:tcW w:w="1266" w:type="dxa"/>
            <w:shd w:val="clear" w:color="auto" w:fill="FFFFFF" w:themeFill="background1"/>
            <w:vAlign w:val="center"/>
          </w:tcPr>
          <w:p w14:paraId="219AACE1" w14:textId="0709DBE6" w:rsidR="00821D29" w:rsidRPr="00E51672" w:rsidRDefault="00821D29" w:rsidP="00821D29">
            <w:pPr>
              <w:jc w:val="center"/>
              <w:rPr>
                <w:rFonts w:ascii="Arial" w:hAnsi="Arial" w:cs="Arial"/>
                <w:i/>
                <w:sz w:val="16"/>
                <w:szCs w:val="16"/>
              </w:rPr>
            </w:pPr>
            <w:r>
              <w:rPr>
                <w:rFonts w:ascii="Arial" w:hAnsi="Arial" w:cs="Arial"/>
                <w:i/>
                <w:sz w:val="16"/>
                <w:szCs w:val="16"/>
              </w:rPr>
              <w:t>No Affirmed Findings</w:t>
            </w:r>
          </w:p>
        </w:tc>
        <w:tc>
          <w:tcPr>
            <w:tcW w:w="1266" w:type="dxa"/>
            <w:shd w:val="clear" w:color="auto" w:fill="FFFFFF" w:themeFill="background1"/>
            <w:vAlign w:val="center"/>
          </w:tcPr>
          <w:p w14:paraId="45E6F57D" w14:textId="2045CB0B" w:rsidR="00821D29" w:rsidRPr="00E51672" w:rsidRDefault="00821D29" w:rsidP="00821D29">
            <w:pPr>
              <w:jc w:val="center"/>
              <w:rPr>
                <w:rFonts w:ascii="Arial" w:hAnsi="Arial" w:cs="Arial"/>
                <w:i/>
                <w:sz w:val="16"/>
                <w:szCs w:val="16"/>
              </w:rPr>
            </w:pPr>
            <w:r>
              <w:rPr>
                <w:rFonts w:ascii="Arial" w:hAnsi="Arial" w:cs="Arial"/>
                <w:i/>
                <w:sz w:val="16"/>
                <w:szCs w:val="16"/>
              </w:rPr>
              <w:t>No Affirmed Findings</w:t>
            </w:r>
          </w:p>
        </w:tc>
        <w:tc>
          <w:tcPr>
            <w:tcW w:w="1266" w:type="dxa"/>
            <w:shd w:val="clear" w:color="auto" w:fill="FFFFFF" w:themeFill="background1"/>
            <w:vAlign w:val="center"/>
          </w:tcPr>
          <w:p w14:paraId="48649204" w14:textId="308B1939" w:rsidR="00821D29" w:rsidRPr="00E51672" w:rsidRDefault="00821D29" w:rsidP="00821D29">
            <w:pPr>
              <w:jc w:val="center"/>
              <w:rPr>
                <w:rFonts w:ascii="Arial" w:hAnsi="Arial" w:cs="Arial"/>
                <w:i/>
                <w:sz w:val="16"/>
                <w:szCs w:val="16"/>
              </w:rPr>
            </w:pPr>
            <w:r>
              <w:rPr>
                <w:rFonts w:ascii="Arial" w:hAnsi="Arial" w:cs="Arial"/>
                <w:i/>
                <w:sz w:val="16"/>
                <w:szCs w:val="16"/>
              </w:rPr>
              <w:t>No Affirmed Findings</w:t>
            </w:r>
          </w:p>
        </w:tc>
        <w:tc>
          <w:tcPr>
            <w:tcW w:w="1266" w:type="dxa"/>
            <w:shd w:val="clear" w:color="auto" w:fill="FFFFFF" w:themeFill="background1"/>
            <w:vAlign w:val="center"/>
          </w:tcPr>
          <w:p w14:paraId="55427E44" w14:textId="047BC58D" w:rsidR="00821D29" w:rsidRPr="00E51672" w:rsidRDefault="00821D29" w:rsidP="00821D29">
            <w:pPr>
              <w:jc w:val="center"/>
              <w:rPr>
                <w:rFonts w:ascii="Arial" w:hAnsi="Arial" w:cs="Arial"/>
                <w:i/>
                <w:sz w:val="16"/>
                <w:szCs w:val="16"/>
              </w:rPr>
            </w:pPr>
          </w:p>
        </w:tc>
      </w:tr>
      <w:tr w:rsidR="00821D29" w14:paraId="1FC5ECCA" w14:textId="77777777" w:rsidTr="00AE58D8">
        <w:trPr>
          <w:cantSplit/>
          <w:trHeight w:val="305"/>
        </w:trPr>
        <w:tc>
          <w:tcPr>
            <w:tcW w:w="3026" w:type="dxa"/>
            <w:vMerge w:val="restart"/>
          </w:tcPr>
          <w:p w14:paraId="6911AC56" w14:textId="77777777" w:rsidR="00821D29" w:rsidRPr="00646DA1" w:rsidRDefault="00821D29" w:rsidP="00821D29">
            <w:pPr>
              <w:pStyle w:val="ListParagraph"/>
              <w:numPr>
                <w:ilvl w:val="0"/>
                <w:numId w:val="2"/>
              </w:numPr>
              <w:ind w:left="342"/>
              <w:rPr>
                <w:rFonts w:ascii="Arial" w:hAnsi="Arial" w:cs="Arial"/>
                <w:bCs/>
                <w:sz w:val="20"/>
              </w:rPr>
            </w:pPr>
            <w:r>
              <w:rPr>
                <w:rFonts w:ascii="Arial" w:hAnsi="Arial" w:cs="Arial"/>
                <w:sz w:val="20"/>
                <w:szCs w:val="20"/>
              </w:rPr>
              <w:t>C</w:t>
            </w:r>
            <w:r w:rsidRPr="003F4081">
              <w:rPr>
                <w:rFonts w:ascii="Arial" w:hAnsi="Arial" w:cs="Arial"/>
                <w:sz w:val="20"/>
                <w:szCs w:val="20"/>
              </w:rPr>
              <w:t>ontinuing legal education credits for renewal of license</w:t>
            </w:r>
            <w:r>
              <w:rPr>
                <w:rFonts w:ascii="Arial" w:hAnsi="Arial" w:cs="Arial"/>
                <w:sz w:val="20"/>
                <w:szCs w:val="20"/>
              </w:rPr>
              <w:t>s</w:t>
            </w:r>
            <w:r w:rsidRPr="003F4081">
              <w:rPr>
                <w:rFonts w:ascii="Arial" w:hAnsi="Arial" w:cs="Arial"/>
                <w:sz w:val="20"/>
                <w:szCs w:val="20"/>
              </w:rPr>
              <w:t xml:space="preserve"> to practice law.</w:t>
            </w:r>
          </w:p>
        </w:tc>
        <w:tc>
          <w:tcPr>
            <w:tcW w:w="724" w:type="dxa"/>
            <w:shd w:val="clear" w:color="auto" w:fill="D9D9D9" w:themeFill="background1" w:themeFillShade="D9"/>
            <w:vAlign w:val="center"/>
          </w:tcPr>
          <w:p w14:paraId="660D58D9" w14:textId="77777777" w:rsidR="00821D29" w:rsidRPr="001D59BE" w:rsidRDefault="00821D29" w:rsidP="00821D29">
            <w:pPr>
              <w:jc w:val="center"/>
              <w:rPr>
                <w:rFonts w:ascii="Arial" w:hAnsi="Arial" w:cs="Arial"/>
                <w:sz w:val="20"/>
              </w:rPr>
            </w:pPr>
            <w:r w:rsidRPr="001D59BE">
              <w:rPr>
                <w:rFonts w:ascii="Arial" w:hAnsi="Arial" w:cs="Arial"/>
                <w:sz w:val="20"/>
              </w:rPr>
              <w:t>actual</w:t>
            </w:r>
          </w:p>
        </w:tc>
        <w:tc>
          <w:tcPr>
            <w:tcW w:w="1266" w:type="dxa"/>
            <w:shd w:val="clear" w:color="auto" w:fill="D9D9D9" w:themeFill="background1" w:themeFillShade="D9"/>
            <w:vAlign w:val="center"/>
          </w:tcPr>
          <w:p w14:paraId="29167578" w14:textId="63536A55" w:rsidR="00821D29" w:rsidRPr="0078607D" w:rsidRDefault="00821D29" w:rsidP="00821D29">
            <w:pPr>
              <w:jc w:val="center"/>
              <w:rPr>
                <w:rFonts w:ascii="Arial" w:hAnsi="Arial" w:cs="Arial"/>
                <w:sz w:val="20"/>
                <w:szCs w:val="20"/>
              </w:rPr>
            </w:pPr>
            <w:r>
              <w:rPr>
                <w:rFonts w:ascii="Arial" w:hAnsi="Arial" w:cs="Arial"/>
                <w:sz w:val="20"/>
              </w:rPr>
              <w:t>100%</w:t>
            </w:r>
          </w:p>
        </w:tc>
        <w:tc>
          <w:tcPr>
            <w:tcW w:w="1266" w:type="dxa"/>
            <w:shd w:val="clear" w:color="auto" w:fill="D9D9D9" w:themeFill="background1" w:themeFillShade="D9"/>
            <w:vAlign w:val="center"/>
          </w:tcPr>
          <w:p w14:paraId="5DA54100" w14:textId="12233BCA" w:rsidR="00821D29" w:rsidRPr="0078607D" w:rsidRDefault="00821D29" w:rsidP="00821D29">
            <w:pPr>
              <w:jc w:val="center"/>
              <w:rPr>
                <w:rFonts w:ascii="Arial" w:hAnsi="Arial" w:cs="Arial"/>
                <w:sz w:val="20"/>
                <w:szCs w:val="20"/>
              </w:rPr>
            </w:pPr>
            <w:r>
              <w:rPr>
                <w:rFonts w:ascii="Arial" w:hAnsi="Arial" w:cs="Arial"/>
                <w:sz w:val="20"/>
              </w:rPr>
              <w:t>100%</w:t>
            </w:r>
          </w:p>
        </w:tc>
        <w:tc>
          <w:tcPr>
            <w:tcW w:w="1266" w:type="dxa"/>
            <w:shd w:val="clear" w:color="auto" w:fill="D9D9D9" w:themeFill="background1" w:themeFillShade="D9"/>
            <w:vAlign w:val="center"/>
          </w:tcPr>
          <w:p w14:paraId="27BB96FC" w14:textId="6CB95FFD" w:rsidR="00821D29" w:rsidRPr="001D59BE" w:rsidRDefault="00821D29" w:rsidP="00821D29">
            <w:pPr>
              <w:jc w:val="center"/>
              <w:rPr>
                <w:rFonts w:ascii="Arial" w:hAnsi="Arial" w:cs="Arial"/>
                <w:sz w:val="20"/>
              </w:rPr>
            </w:pPr>
            <w:r>
              <w:rPr>
                <w:rFonts w:ascii="Arial" w:hAnsi="Arial" w:cs="Arial"/>
                <w:sz w:val="20"/>
              </w:rPr>
              <w:t>100%</w:t>
            </w:r>
          </w:p>
        </w:tc>
        <w:tc>
          <w:tcPr>
            <w:tcW w:w="1266" w:type="dxa"/>
            <w:shd w:val="clear" w:color="auto" w:fill="D9D9D9" w:themeFill="background1" w:themeFillShade="D9"/>
            <w:vAlign w:val="center"/>
          </w:tcPr>
          <w:p w14:paraId="629C104B" w14:textId="41B9B88A" w:rsidR="00821D29" w:rsidRPr="001D59BE" w:rsidRDefault="00821D29" w:rsidP="00821D29">
            <w:pPr>
              <w:jc w:val="center"/>
              <w:rPr>
                <w:rFonts w:ascii="Arial" w:hAnsi="Arial" w:cs="Arial"/>
                <w:sz w:val="20"/>
              </w:rPr>
            </w:pPr>
          </w:p>
        </w:tc>
        <w:tc>
          <w:tcPr>
            <w:tcW w:w="1266" w:type="dxa"/>
            <w:shd w:val="clear" w:color="auto" w:fill="D9D9D9" w:themeFill="background1" w:themeFillShade="D9"/>
            <w:vAlign w:val="center"/>
          </w:tcPr>
          <w:p w14:paraId="182A09C8" w14:textId="0EE1A79A" w:rsidR="00821D29" w:rsidRPr="001D59BE" w:rsidRDefault="00821D29" w:rsidP="00821D29">
            <w:pPr>
              <w:jc w:val="center"/>
              <w:rPr>
                <w:rFonts w:ascii="Arial" w:hAnsi="Arial" w:cs="Arial"/>
                <w:sz w:val="20"/>
              </w:rPr>
            </w:pPr>
          </w:p>
        </w:tc>
      </w:tr>
      <w:tr w:rsidR="00821D29" w14:paraId="4F4638C8" w14:textId="77777777" w:rsidTr="00AE58D8">
        <w:trPr>
          <w:cantSplit/>
          <w:trHeight w:val="288"/>
        </w:trPr>
        <w:tc>
          <w:tcPr>
            <w:tcW w:w="3026" w:type="dxa"/>
            <w:vMerge/>
          </w:tcPr>
          <w:p w14:paraId="0719BE87" w14:textId="77777777" w:rsidR="00821D29" w:rsidRPr="00646DA1" w:rsidRDefault="00821D29" w:rsidP="00821D29">
            <w:pPr>
              <w:pStyle w:val="ListParagraph"/>
              <w:numPr>
                <w:ilvl w:val="0"/>
                <w:numId w:val="2"/>
              </w:numPr>
              <w:tabs>
                <w:tab w:val="left" w:pos="2985"/>
              </w:tabs>
              <w:ind w:left="342"/>
              <w:rPr>
                <w:rFonts w:ascii="Arial" w:hAnsi="Arial" w:cs="Arial"/>
                <w:sz w:val="20"/>
              </w:rPr>
            </w:pPr>
          </w:p>
        </w:tc>
        <w:tc>
          <w:tcPr>
            <w:tcW w:w="724" w:type="dxa"/>
            <w:shd w:val="clear" w:color="auto" w:fill="FFFFFF" w:themeFill="background1"/>
            <w:vAlign w:val="center"/>
          </w:tcPr>
          <w:p w14:paraId="01AEFCEA" w14:textId="77777777" w:rsidR="00821D29" w:rsidRPr="00E51672" w:rsidRDefault="00821D29" w:rsidP="00821D29">
            <w:pPr>
              <w:jc w:val="center"/>
              <w:rPr>
                <w:rFonts w:ascii="Arial" w:hAnsi="Arial" w:cs="Arial"/>
                <w:i/>
                <w:sz w:val="16"/>
                <w:szCs w:val="16"/>
              </w:rPr>
            </w:pPr>
            <w:r>
              <w:rPr>
                <w:rFonts w:ascii="Arial" w:hAnsi="Arial" w:cs="Arial"/>
                <w:i/>
                <w:sz w:val="16"/>
                <w:szCs w:val="16"/>
              </w:rPr>
              <w:t>target</w:t>
            </w:r>
          </w:p>
        </w:tc>
        <w:tc>
          <w:tcPr>
            <w:tcW w:w="1266" w:type="dxa"/>
            <w:shd w:val="clear" w:color="auto" w:fill="FFFFFF" w:themeFill="background1"/>
            <w:vAlign w:val="center"/>
          </w:tcPr>
          <w:p w14:paraId="31295581" w14:textId="2357162A" w:rsidR="00821D29" w:rsidRPr="00E51672" w:rsidRDefault="00821D29" w:rsidP="00821D29">
            <w:pPr>
              <w:jc w:val="center"/>
              <w:rPr>
                <w:rFonts w:ascii="Arial" w:hAnsi="Arial" w:cs="Arial"/>
                <w:i/>
                <w:sz w:val="16"/>
                <w:szCs w:val="16"/>
              </w:rPr>
            </w:pPr>
            <w:r>
              <w:rPr>
                <w:rFonts w:ascii="Arial" w:hAnsi="Arial" w:cs="Arial"/>
                <w:i/>
                <w:sz w:val="16"/>
                <w:szCs w:val="16"/>
              </w:rPr>
              <w:t>100% License Renewal</w:t>
            </w:r>
          </w:p>
        </w:tc>
        <w:tc>
          <w:tcPr>
            <w:tcW w:w="1266" w:type="dxa"/>
            <w:shd w:val="clear" w:color="auto" w:fill="FFFFFF" w:themeFill="background1"/>
            <w:vAlign w:val="center"/>
          </w:tcPr>
          <w:p w14:paraId="19C20E0F" w14:textId="5EFA1D7A" w:rsidR="00821D29" w:rsidRPr="00E51672" w:rsidRDefault="00821D29" w:rsidP="00821D29">
            <w:pPr>
              <w:jc w:val="center"/>
              <w:rPr>
                <w:rFonts w:ascii="Arial" w:hAnsi="Arial" w:cs="Arial"/>
                <w:i/>
                <w:sz w:val="16"/>
                <w:szCs w:val="16"/>
              </w:rPr>
            </w:pPr>
            <w:r>
              <w:rPr>
                <w:rFonts w:ascii="Arial" w:hAnsi="Arial" w:cs="Arial"/>
                <w:i/>
                <w:sz w:val="16"/>
                <w:szCs w:val="16"/>
              </w:rPr>
              <w:t>100% License Renewal</w:t>
            </w:r>
          </w:p>
        </w:tc>
        <w:tc>
          <w:tcPr>
            <w:tcW w:w="1266" w:type="dxa"/>
            <w:shd w:val="clear" w:color="auto" w:fill="FFFFFF" w:themeFill="background1"/>
            <w:vAlign w:val="center"/>
          </w:tcPr>
          <w:p w14:paraId="44A217E9" w14:textId="3C49B174" w:rsidR="00821D29" w:rsidRPr="00E51672" w:rsidRDefault="00821D29" w:rsidP="00821D29">
            <w:pPr>
              <w:jc w:val="center"/>
              <w:rPr>
                <w:rFonts w:ascii="Arial" w:hAnsi="Arial" w:cs="Arial"/>
                <w:i/>
                <w:sz w:val="16"/>
                <w:szCs w:val="16"/>
              </w:rPr>
            </w:pPr>
            <w:r>
              <w:rPr>
                <w:rFonts w:ascii="Arial" w:hAnsi="Arial" w:cs="Arial"/>
                <w:i/>
                <w:sz w:val="16"/>
                <w:szCs w:val="16"/>
              </w:rPr>
              <w:t>100% License Renewal</w:t>
            </w:r>
          </w:p>
        </w:tc>
        <w:tc>
          <w:tcPr>
            <w:tcW w:w="1266" w:type="dxa"/>
            <w:shd w:val="clear" w:color="auto" w:fill="FFFFFF" w:themeFill="background1"/>
            <w:vAlign w:val="center"/>
          </w:tcPr>
          <w:p w14:paraId="197C23E8" w14:textId="72298AB3" w:rsidR="00821D29" w:rsidRPr="00E51672" w:rsidRDefault="00821D29" w:rsidP="00821D29">
            <w:pPr>
              <w:jc w:val="center"/>
              <w:rPr>
                <w:rFonts w:ascii="Arial" w:hAnsi="Arial" w:cs="Arial"/>
                <w:i/>
                <w:sz w:val="16"/>
                <w:szCs w:val="16"/>
              </w:rPr>
            </w:pPr>
            <w:r>
              <w:rPr>
                <w:rFonts w:ascii="Arial" w:hAnsi="Arial" w:cs="Arial"/>
                <w:i/>
                <w:sz w:val="16"/>
                <w:szCs w:val="16"/>
              </w:rPr>
              <w:t>100% License Renewal</w:t>
            </w:r>
          </w:p>
        </w:tc>
        <w:tc>
          <w:tcPr>
            <w:tcW w:w="1266" w:type="dxa"/>
            <w:shd w:val="clear" w:color="auto" w:fill="FFFFFF" w:themeFill="background1"/>
            <w:vAlign w:val="center"/>
          </w:tcPr>
          <w:p w14:paraId="4A7A4217" w14:textId="1F2CD740" w:rsidR="00821D29" w:rsidRPr="00E51672" w:rsidRDefault="00821D29" w:rsidP="00821D29">
            <w:pPr>
              <w:jc w:val="center"/>
              <w:rPr>
                <w:rFonts w:ascii="Arial" w:hAnsi="Arial" w:cs="Arial"/>
                <w:i/>
                <w:sz w:val="16"/>
                <w:szCs w:val="16"/>
              </w:rPr>
            </w:pPr>
          </w:p>
        </w:tc>
      </w:tr>
      <w:tr w:rsidR="00821D29" w14:paraId="2E3D9648" w14:textId="77777777" w:rsidTr="00AE58D8">
        <w:trPr>
          <w:cantSplit/>
          <w:trHeight w:val="323"/>
        </w:trPr>
        <w:tc>
          <w:tcPr>
            <w:tcW w:w="10080" w:type="dxa"/>
            <w:gridSpan w:val="7"/>
            <w:shd w:val="clear" w:color="auto" w:fill="DBE5F1" w:themeFill="accent1" w:themeFillTint="33"/>
            <w:vAlign w:val="center"/>
          </w:tcPr>
          <w:p w14:paraId="53FD34FC" w14:textId="77777777" w:rsidR="00821D29" w:rsidRDefault="00821D29" w:rsidP="00821D29">
            <w:pPr>
              <w:jc w:val="center"/>
              <w:rPr>
                <w:rFonts w:ascii="Arial" w:hAnsi="Arial" w:cs="Arial"/>
                <w:b/>
              </w:rPr>
            </w:pPr>
            <w:r>
              <w:rPr>
                <w:rFonts w:ascii="Arial" w:hAnsi="Arial" w:cs="Arial"/>
                <w:b/>
                <w:sz w:val="20"/>
              </w:rPr>
              <w:t>Goal 2</w:t>
            </w:r>
          </w:p>
          <w:p w14:paraId="33E689B4" w14:textId="77777777" w:rsidR="00821D29" w:rsidRPr="00841C41" w:rsidRDefault="00821D29" w:rsidP="00821D29">
            <w:pPr>
              <w:jc w:val="center"/>
              <w:rPr>
                <w:rFonts w:ascii="Arial" w:hAnsi="Arial" w:cs="Arial"/>
                <w:b/>
              </w:rPr>
            </w:pPr>
            <w:r w:rsidRPr="00E02BB0">
              <w:rPr>
                <w:rFonts w:ascii="Arial" w:hAnsi="Arial" w:cs="Arial"/>
                <w:i/>
                <w:sz w:val="20"/>
              </w:rPr>
              <w:t>Provide Services In An Efficient Manner</w:t>
            </w:r>
          </w:p>
        </w:tc>
      </w:tr>
      <w:tr w:rsidR="00821D29" w14:paraId="134CFE41" w14:textId="77777777" w:rsidTr="00AE58D8">
        <w:trPr>
          <w:cantSplit/>
          <w:trHeight w:val="288"/>
        </w:trPr>
        <w:tc>
          <w:tcPr>
            <w:tcW w:w="3026" w:type="dxa"/>
            <w:vMerge w:val="restart"/>
          </w:tcPr>
          <w:p w14:paraId="0BBB2479" w14:textId="77777777" w:rsidR="00821D29" w:rsidRPr="00646DA1" w:rsidRDefault="00821D29" w:rsidP="00821D29">
            <w:pPr>
              <w:pStyle w:val="ListParagraph"/>
              <w:numPr>
                <w:ilvl w:val="0"/>
                <w:numId w:val="2"/>
              </w:numPr>
              <w:ind w:left="342"/>
              <w:rPr>
                <w:rFonts w:ascii="Arial" w:hAnsi="Arial" w:cs="Arial"/>
                <w:bCs/>
                <w:sz w:val="20"/>
              </w:rPr>
            </w:pPr>
            <w:r>
              <w:rPr>
                <w:rFonts w:ascii="Arial" w:hAnsi="Arial" w:cs="Arial"/>
                <w:sz w:val="20"/>
                <w:szCs w:val="20"/>
              </w:rPr>
              <w:t>N</w:t>
            </w:r>
            <w:r w:rsidRPr="00463C51">
              <w:rPr>
                <w:rFonts w:ascii="Arial" w:hAnsi="Arial" w:cs="Arial"/>
                <w:sz w:val="20"/>
                <w:szCs w:val="20"/>
              </w:rPr>
              <w:t>ew contract cases assigned by fiscal year</w:t>
            </w:r>
            <w:r>
              <w:rPr>
                <w:rFonts w:ascii="Arial" w:hAnsi="Arial" w:cs="Arial"/>
                <w:sz w:val="20"/>
                <w:szCs w:val="20"/>
              </w:rPr>
              <w:t>.</w:t>
            </w:r>
          </w:p>
        </w:tc>
        <w:tc>
          <w:tcPr>
            <w:tcW w:w="724" w:type="dxa"/>
            <w:shd w:val="clear" w:color="auto" w:fill="D9D9D9" w:themeFill="background1" w:themeFillShade="D9"/>
            <w:vAlign w:val="center"/>
          </w:tcPr>
          <w:p w14:paraId="2572E10B" w14:textId="77777777" w:rsidR="00821D29" w:rsidRPr="001D59BE" w:rsidRDefault="00821D29" w:rsidP="00821D29">
            <w:pPr>
              <w:jc w:val="center"/>
              <w:rPr>
                <w:rFonts w:ascii="Arial" w:hAnsi="Arial" w:cs="Arial"/>
                <w:sz w:val="20"/>
              </w:rPr>
            </w:pPr>
            <w:r w:rsidRPr="001D59BE">
              <w:rPr>
                <w:rFonts w:ascii="Arial" w:hAnsi="Arial" w:cs="Arial"/>
                <w:sz w:val="20"/>
              </w:rPr>
              <w:t>actual</w:t>
            </w:r>
          </w:p>
        </w:tc>
        <w:tc>
          <w:tcPr>
            <w:tcW w:w="1266" w:type="dxa"/>
            <w:shd w:val="clear" w:color="auto" w:fill="D9D9D9" w:themeFill="background1" w:themeFillShade="D9"/>
            <w:vAlign w:val="center"/>
          </w:tcPr>
          <w:p w14:paraId="4330277B" w14:textId="48933067" w:rsidR="00821D29" w:rsidRPr="0078607D" w:rsidRDefault="00821D29" w:rsidP="00821D29">
            <w:pPr>
              <w:jc w:val="center"/>
              <w:rPr>
                <w:rFonts w:ascii="Arial" w:hAnsi="Arial" w:cs="Arial"/>
                <w:sz w:val="20"/>
                <w:szCs w:val="20"/>
              </w:rPr>
            </w:pPr>
            <w:r>
              <w:rPr>
                <w:rFonts w:ascii="Arial" w:hAnsi="Arial" w:cs="Arial"/>
                <w:sz w:val="20"/>
              </w:rPr>
              <w:t>8</w:t>
            </w:r>
          </w:p>
        </w:tc>
        <w:tc>
          <w:tcPr>
            <w:tcW w:w="1266" w:type="dxa"/>
            <w:shd w:val="clear" w:color="auto" w:fill="D9D9D9" w:themeFill="background1" w:themeFillShade="D9"/>
            <w:vAlign w:val="center"/>
          </w:tcPr>
          <w:p w14:paraId="29677446" w14:textId="51B4B61D" w:rsidR="00821D29" w:rsidRPr="0078607D" w:rsidRDefault="00821D29" w:rsidP="00821D29">
            <w:pPr>
              <w:jc w:val="center"/>
              <w:rPr>
                <w:rFonts w:ascii="Arial" w:hAnsi="Arial" w:cs="Arial"/>
                <w:sz w:val="20"/>
                <w:szCs w:val="20"/>
              </w:rPr>
            </w:pPr>
            <w:r>
              <w:rPr>
                <w:rFonts w:ascii="Arial" w:hAnsi="Arial" w:cs="Arial"/>
                <w:sz w:val="20"/>
              </w:rPr>
              <w:t>0</w:t>
            </w:r>
          </w:p>
        </w:tc>
        <w:tc>
          <w:tcPr>
            <w:tcW w:w="1266" w:type="dxa"/>
            <w:shd w:val="clear" w:color="auto" w:fill="D9D9D9" w:themeFill="background1" w:themeFillShade="D9"/>
            <w:vAlign w:val="center"/>
          </w:tcPr>
          <w:p w14:paraId="00E46C10" w14:textId="1CBB4716" w:rsidR="00821D29" w:rsidRPr="001D59BE" w:rsidRDefault="00821D29" w:rsidP="00821D29">
            <w:pPr>
              <w:jc w:val="center"/>
              <w:rPr>
                <w:rFonts w:ascii="Arial" w:hAnsi="Arial" w:cs="Arial"/>
                <w:sz w:val="20"/>
              </w:rPr>
            </w:pPr>
            <w:r>
              <w:rPr>
                <w:rFonts w:ascii="Arial" w:hAnsi="Arial" w:cs="Arial"/>
                <w:sz w:val="20"/>
              </w:rPr>
              <w:t>0</w:t>
            </w:r>
          </w:p>
        </w:tc>
        <w:tc>
          <w:tcPr>
            <w:tcW w:w="1266" w:type="dxa"/>
            <w:shd w:val="clear" w:color="auto" w:fill="D9D9D9" w:themeFill="background1" w:themeFillShade="D9"/>
            <w:vAlign w:val="center"/>
          </w:tcPr>
          <w:p w14:paraId="561251FE" w14:textId="0CE94D8B" w:rsidR="00821D29" w:rsidRPr="001D59BE" w:rsidRDefault="00821D29" w:rsidP="00821D29">
            <w:pPr>
              <w:jc w:val="center"/>
              <w:rPr>
                <w:rFonts w:ascii="Arial" w:hAnsi="Arial" w:cs="Arial"/>
                <w:sz w:val="20"/>
              </w:rPr>
            </w:pPr>
          </w:p>
        </w:tc>
        <w:tc>
          <w:tcPr>
            <w:tcW w:w="1266" w:type="dxa"/>
            <w:shd w:val="clear" w:color="auto" w:fill="D9D9D9" w:themeFill="background1" w:themeFillShade="D9"/>
            <w:vAlign w:val="center"/>
          </w:tcPr>
          <w:p w14:paraId="17E04F40" w14:textId="6C1EB236" w:rsidR="00821D29" w:rsidRPr="001D59BE" w:rsidRDefault="00821D29" w:rsidP="00821D29">
            <w:pPr>
              <w:jc w:val="center"/>
              <w:rPr>
                <w:rFonts w:ascii="Arial" w:hAnsi="Arial" w:cs="Arial"/>
                <w:sz w:val="20"/>
              </w:rPr>
            </w:pPr>
          </w:p>
        </w:tc>
      </w:tr>
      <w:tr w:rsidR="00821D29" w14:paraId="6DBF8EFC" w14:textId="77777777" w:rsidTr="00AE58D8">
        <w:trPr>
          <w:cantSplit/>
          <w:trHeight w:val="288"/>
        </w:trPr>
        <w:tc>
          <w:tcPr>
            <w:tcW w:w="3026" w:type="dxa"/>
            <w:vMerge/>
          </w:tcPr>
          <w:p w14:paraId="0BC2B957" w14:textId="77777777" w:rsidR="00821D29" w:rsidRPr="00646DA1" w:rsidRDefault="00821D29" w:rsidP="00821D29">
            <w:pPr>
              <w:pStyle w:val="ListParagraph"/>
              <w:numPr>
                <w:ilvl w:val="0"/>
                <w:numId w:val="2"/>
              </w:numPr>
              <w:tabs>
                <w:tab w:val="left" w:pos="2985"/>
              </w:tabs>
              <w:ind w:left="342"/>
              <w:rPr>
                <w:rFonts w:ascii="Arial" w:hAnsi="Arial" w:cs="Arial"/>
                <w:sz w:val="20"/>
              </w:rPr>
            </w:pPr>
          </w:p>
        </w:tc>
        <w:tc>
          <w:tcPr>
            <w:tcW w:w="724" w:type="dxa"/>
            <w:shd w:val="clear" w:color="auto" w:fill="FFFFFF" w:themeFill="background1"/>
            <w:vAlign w:val="center"/>
          </w:tcPr>
          <w:p w14:paraId="484CFB26" w14:textId="77777777" w:rsidR="00821D29" w:rsidRDefault="00821D29" w:rsidP="00821D29">
            <w:pPr>
              <w:jc w:val="center"/>
              <w:rPr>
                <w:rFonts w:ascii="Arial" w:hAnsi="Arial" w:cs="Arial"/>
                <w:sz w:val="20"/>
              </w:rPr>
            </w:pPr>
            <w:r>
              <w:rPr>
                <w:rFonts w:ascii="Arial" w:hAnsi="Arial" w:cs="Arial"/>
                <w:i/>
                <w:sz w:val="16"/>
                <w:szCs w:val="16"/>
              </w:rPr>
              <w:t>target</w:t>
            </w:r>
          </w:p>
        </w:tc>
        <w:tc>
          <w:tcPr>
            <w:tcW w:w="1266" w:type="dxa"/>
            <w:shd w:val="clear" w:color="auto" w:fill="FFFFFF" w:themeFill="background1"/>
            <w:vAlign w:val="center"/>
          </w:tcPr>
          <w:p w14:paraId="4C4BB1A7" w14:textId="1CC23DCF" w:rsidR="00821D29" w:rsidRPr="00FE0C4E" w:rsidRDefault="00821D29" w:rsidP="00821D29">
            <w:pPr>
              <w:jc w:val="center"/>
              <w:rPr>
                <w:rFonts w:ascii="Arial" w:hAnsi="Arial" w:cs="Arial"/>
                <w:i/>
                <w:sz w:val="16"/>
                <w:szCs w:val="16"/>
              </w:rPr>
            </w:pPr>
            <w:r>
              <w:rPr>
                <w:rFonts w:ascii="Arial" w:hAnsi="Arial" w:cs="Arial"/>
                <w:i/>
                <w:sz w:val="16"/>
                <w:szCs w:val="16"/>
              </w:rPr>
              <w:t>0 Cases</w:t>
            </w:r>
          </w:p>
        </w:tc>
        <w:tc>
          <w:tcPr>
            <w:tcW w:w="1266" w:type="dxa"/>
            <w:shd w:val="clear" w:color="auto" w:fill="FFFFFF" w:themeFill="background1"/>
            <w:vAlign w:val="center"/>
          </w:tcPr>
          <w:p w14:paraId="0EEB2D23" w14:textId="62C9F455" w:rsidR="00821D29" w:rsidRPr="00FE0C4E" w:rsidRDefault="00821D29" w:rsidP="00821D29">
            <w:pPr>
              <w:jc w:val="center"/>
              <w:rPr>
                <w:rFonts w:ascii="Arial" w:hAnsi="Arial" w:cs="Arial"/>
                <w:i/>
                <w:sz w:val="16"/>
                <w:szCs w:val="16"/>
              </w:rPr>
            </w:pPr>
            <w:r>
              <w:rPr>
                <w:rFonts w:ascii="Arial" w:hAnsi="Arial" w:cs="Arial"/>
                <w:i/>
                <w:sz w:val="16"/>
                <w:szCs w:val="16"/>
              </w:rPr>
              <w:t>0 Cases</w:t>
            </w:r>
          </w:p>
        </w:tc>
        <w:tc>
          <w:tcPr>
            <w:tcW w:w="1266" w:type="dxa"/>
            <w:shd w:val="clear" w:color="auto" w:fill="FFFFFF" w:themeFill="background1"/>
            <w:vAlign w:val="center"/>
          </w:tcPr>
          <w:p w14:paraId="6F2F468B" w14:textId="78AF3B50" w:rsidR="00821D29" w:rsidRPr="00FE0C4E" w:rsidRDefault="00821D29" w:rsidP="00821D29">
            <w:pPr>
              <w:jc w:val="center"/>
              <w:rPr>
                <w:rFonts w:ascii="Arial" w:hAnsi="Arial" w:cs="Arial"/>
                <w:i/>
                <w:sz w:val="16"/>
                <w:szCs w:val="16"/>
              </w:rPr>
            </w:pPr>
            <w:r>
              <w:rPr>
                <w:rFonts w:ascii="Arial" w:hAnsi="Arial" w:cs="Arial"/>
                <w:i/>
                <w:sz w:val="16"/>
                <w:szCs w:val="16"/>
              </w:rPr>
              <w:t>0 Cases</w:t>
            </w:r>
          </w:p>
        </w:tc>
        <w:tc>
          <w:tcPr>
            <w:tcW w:w="1266" w:type="dxa"/>
            <w:shd w:val="clear" w:color="auto" w:fill="FFFFFF" w:themeFill="background1"/>
            <w:vAlign w:val="center"/>
          </w:tcPr>
          <w:p w14:paraId="03B2307F" w14:textId="7583757A" w:rsidR="00821D29" w:rsidRPr="00FE0C4E" w:rsidRDefault="00821D29" w:rsidP="00821D29">
            <w:pPr>
              <w:jc w:val="center"/>
              <w:rPr>
                <w:rFonts w:ascii="Arial" w:hAnsi="Arial" w:cs="Arial"/>
                <w:i/>
                <w:sz w:val="16"/>
                <w:szCs w:val="16"/>
              </w:rPr>
            </w:pPr>
            <w:r>
              <w:rPr>
                <w:rFonts w:ascii="Arial" w:hAnsi="Arial" w:cs="Arial"/>
                <w:i/>
                <w:sz w:val="16"/>
                <w:szCs w:val="16"/>
              </w:rPr>
              <w:t>0 Cases</w:t>
            </w:r>
          </w:p>
        </w:tc>
        <w:tc>
          <w:tcPr>
            <w:tcW w:w="1266" w:type="dxa"/>
            <w:shd w:val="clear" w:color="auto" w:fill="FFFFFF" w:themeFill="background1"/>
            <w:vAlign w:val="center"/>
          </w:tcPr>
          <w:p w14:paraId="65FB1E20" w14:textId="72A9DCD7" w:rsidR="00821D29" w:rsidRPr="00FE0C4E" w:rsidRDefault="00821D29" w:rsidP="00821D29">
            <w:pPr>
              <w:jc w:val="center"/>
              <w:rPr>
                <w:rFonts w:ascii="Arial" w:hAnsi="Arial" w:cs="Arial"/>
                <w:i/>
                <w:sz w:val="16"/>
                <w:szCs w:val="16"/>
              </w:rPr>
            </w:pPr>
          </w:p>
        </w:tc>
      </w:tr>
      <w:tr w:rsidR="00821D29" w14:paraId="6AB2B2DC" w14:textId="77777777" w:rsidTr="00AE58D8">
        <w:trPr>
          <w:cantSplit/>
          <w:trHeight w:val="288"/>
        </w:trPr>
        <w:tc>
          <w:tcPr>
            <w:tcW w:w="3026" w:type="dxa"/>
            <w:vMerge w:val="restart"/>
          </w:tcPr>
          <w:p w14:paraId="68DD3FD2" w14:textId="77777777" w:rsidR="00821D29" w:rsidRPr="00646DA1" w:rsidRDefault="00821D29" w:rsidP="00821D29">
            <w:pPr>
              <w:pStyle w:val="ListParagraph"/>
              <w:keepNext/>
              <w:numPr>
                <w:ilvl w:val="0"/>
                <w:numId w:val="2"/>
              </w:numPr>
              <w:ind w:left="346"/>
              <w:rPr>
                <w:rFonts w:ascii="Arial" w:hAnsi="Arial" w:cs="Arial"/>
                <w:bCs/>
                <w:sz w:val="20"/>
              </w:rPr>
            </w:pPr>
            <w:r w:rsidRPr="00463C51">
              <w:rPr>
                <w:rFonts w:ascii="Arial" w:hAnsi="Arial" w:cs="Arial"/>
                <w:sz w:val="20"/>
                <w:szCs w:val="20"/>
              </w:rPr>
              <w:lastRenderedPageBreak/>
              <w:t>All cases assigned within 21 days of receipt of the transcript and record such that objections to the record can be filed in the district court.</w:t>
            </w:r>
          </w:p>
        </w:tc>
        <w:tc>
          <w:tcPr>
            <w:tcW w:w="724" w:type="dxa"/>
            <w:shd w:val="clear" w:color="auto" w:fill="D9D9D9" w:themeFill="background1" w:themeFillShade="D9"/>
            <w:vAlign w:val="center"/>
          </w:tcPr>
          <w:p w14:paraId="0AE6593F" w14:textId="77777777" w:rsidR="00821D29" w:rsidRPr="001D59BE" w:rsidRDefault="00821D29" w:rsidP="00821D29">
            <w:pPr>
              <w:jc w:val="center"/>
              <w:rPr>
                <w:rFonts w:ascii="Arial" w:hAnsi="Arial" w:cs="Arial"/>
                <w:sz w:val="20"/>
              </w:rPr>
            </w:pPr>
            <w:r w:rsidRPr="001D59BE">
              <w:rPr>
                <w:rFonts w:ascii="Arial" w:hAnsi="Arial" w:cs="Arial"/>
                <w:sz w:val="20"/>
              </w:rPr>
              <w:t>actual</w:t>
            </w:r>
          </w:p>
        </w:tc>
        <w:tc>
          <w:tcPr>
            <w:tcW w:w="1266" w:type="dxa"/>
            <w:shd w:val="clear" w:color="auto" w:fill="D9D9D9" w:themeFill="background1" w:themeFillShade="D9"/>
            <w:vAlign w:val="center"/>
          </w:tcPr>
          <w:p w14:paraId="41FA8653" w14:textId="72F889AE" w:rsidR="00821D29" w:rsidRPr="0078607D" w:rsidRDefault="00821D29" w:rsidP="00821D29">
            <w:pPr>
              <w:jc w:val="center"/>
              <w:rPr>
                <w:rFonts w:ascii="Arial" w:hAnsi="Arial" w:cs="Arial"/>
                <w:sz w:val="20"/>
                <w:szCs w:val="20"/>
              </w:rPr>
            </w:pPr>
            <w:r>
              <w:rPr>
                <w:rFonts w:ascii="Arial" w:hAnsi="Arial" w:cs="Arial"/>
                <w:sz w:val="20"/>
              </w:rPr>
              <w:t>100%</w:t>
            </w:r>
          </w:p>
        </w:tc>
        <w:tc>
          <w:tcPr>
            <w:tcW w:w="1266" w:type="dxa"/>
            <w:shd w:val="clear" w:color="auto" w:fill="D9D9D9" w:themeFill="background1" w:themeFillShade="D9"/>
            <w:vAlign w:val="center"/>
          </w:tcPr>
          <w:p w14:paraId="43000015" w14:textId="43C6DF15" w:rsidR="00821D29" w:rsidRPr="0078607D" w:rsidRDefault="00821D29" w:rsidP="00821D29">
            <w:pPr>
              <w:jc w:val="center"/>
              <w:rPr>
                <w:rFonts w:ascii="Arial" w:hAnsi="Arial" w:cs="Arial"/>
                <w:sz w:val="20"/>
                <w:szCs w:val="20"/>
              </w:rPr>
            </w:pPr>
            <w:r>
              <w:rPr>
                <w:rFonts w:ascii="Arial" w:hAnsi="Arial" w:cs="Arial"/>
                <w:sz w:val="20"/>
              </w:rPr>
              <w:t>100%</w:t>
            </w:r>
          </w:p>
        </w:tc>
        <w:tc>
          <w:tcPr>
            <w:tcW w:w="1266" w:type="dxa"/>
            <w:shd w:val="clear" w:color="auto" w:fill="D9D9D9" w:themeFill="background1" w:themeFillShade="D9"/>
            <w:vAlign w:val="center"/>
          </w:tcPr>
          <w:p w14:paraId="72100EFA" w14:textId="3F6900AC" w:rsidR="00821D29" w:rsidRPr="001D59BE" w:rsidRDefault="00821D29" w:rsidP="00821D29">
            <w:pPr>
              <w:jc w:val="center"/>
              <w:rPr>
                <w:rFonts w:ascii="Arial" w:hAnsi="Arial" w:cs="Arial"/>
                <w:sz w:val="20"/>
              </w:rPr>
            </w:pPr>
            <w:r>
              <w:rPr>
                <w:rFonts w:ascii="Arial" w:hAnsi="Arial" w:cs="Arial"/>
                <w:sz w:val="20"/>
              </w:rPr>
              <w:t>100%</w:t>
            </w:r>
          </w:p>
        </w:tc>
        <w:tc>
          <w:tcPr>
            <w:tcW w:w="1266" w:type="dxa"/>
            <w:shd w:val="clear" w:color="auto" w:fill="D9D9D9" w:themeFill="background1" w:themeFillShade="D9"/>
            <w:vAlign w:val="center"/>
          </w:tcPr>
          <w:p w14:paraId="6D1B757E" w14:textId="049C91A9" w:rsidR="00821D29" w:rsidRPr="001D59BE" w:rsidRDefault="00821D29" w:rsidP="00821D29">
            <w:pPr>
              <w:jc w:val="center"/>
              <w:rPr>
                <w:rFonts w:ascii="Arial" w:hAnsi="Arial" w:cs="Arial"/>
                <w:sz w:val="20"/>
              </w:rPr>
            </w:pPr>
          </w:p>
        </w:tc>
        <w:tc>
          <w:tcPr>
            <w:tcW w:w="1266" w:type="dxa"/>
            <w:shd w:val="clear" w:color="auto" w:fill="D9D9D9" w:themeFill="background1" w:themeFillShade="D9"/>
            <w:vAlign w:val="center"/>
          </w:tcPr>
          <w:p w14:paraId="51775989" w14:textId="58142E3A" w:rsidR="00821D29" w:rsidRPr="001D59BE" w:rsidRDefault="00821D29" w:rsidP="00821D29">
            <w:pPr>
              <w:jc w:val="center"/>
              <w:rPr>
                <w:rFonts w:ascii="Arial" w:hAnsi="Arial" w:cs="Arial"/>
                <w:sz w:val="20"/>
              </w:rPr>
            </w:pPr>
          </w:p>
        </w:tc>
      </w:tr>
      <w:tr w:rsidR="00821D29" w14:paraId="709D3A96" w14:textId="77777777" w:rsidTr="00AE58D8">
        <w:trPr>
          <w:cantSplit/>
          <w:trHeight w:val="288"/>
        </w:trPr>
        <w:tc>
          <w:tcPr>
            <w:tcW w:w="3026" w:type="dxa"/>
            <w:vMerge/>
          </w:tcPr>
          <w:p w14:paraId="648496CF" w14:textId="77777777" w:rsidR="00821D29" w:rsidRPr="00646DA1" w:rsidRDefault="00821D29" w:rsidP="00821D29">
            <w:pPr>
              <w:pStyle w:val="ListParagraph"/>
              <w:numPr>
                <w:ilvl w:val="0"/>
                <w:numId w:val="2"/>
              </w:numPr>
              <w:tabs>
                <w:tab w:val="left" w:pos="2985"/>
              </w:tabs>
              <w:ind w:left="342"/>
              <w:rPr>
                <w:rFonts w:ascii="Arial" w:hAnsi="Arial" w:cs="Arial"/>
                <w:sz w:val="20"/>
              </w:rPr>
            </w:pPr>
          </w:p>
        </w:tc>
        <w:tc>
          <w:tcPr>
            <w:tcW w:w="724" w:type="dxa"/>
            <w:shd w:val="clear" w:color="auto" w:fill="FFFFFF" w:themeFill="background1"/>
            <w:vAlign w:val="center"/>
          </w:tcPr>
          <w:p w14:paraId="4D9A6AD3" w14:textId="77777777" w:rsidR="00821D29" w:rsidRDefault="00821D29" w:rsidP="00821D29">
            <w:pPr>
              <w:jc w:val="center"/>
              <w:rPr>
                <w:rFonts w:ascii="Arial" w:hAnsi="Arial" w:cs="Arial"/>
                <w:sz w:val="20"/>
              </w:rPr>
            </w:pPr>
            <w:r>
              <w:rPr>
                <w:rFonts w:ascii="Arial" w:hAnsi="Arial" w:cs="Arial"/>
                <w:i/>
                <w:sz w:val="16"/>
                <w:szCs w:val="16"/>
              </w:rPr>
              <w:t>target</w:t>
            </w:r>
          </w:p>
        </w:tc>
        <w:tc>
          <w:tcPr>
            <w:tcW w:w="1266" w:type="dxa"/>
            <w:shd w:val="clear" w:color="auto" w:fill="FFFFFF" w:themeFill="background1"/>
            <w:vAlign w:val="center"/>
          </w:tcPr>
          <w:p w14:paraId="38010282" w14:textId="7F0827B7" w:rsidR="00821D29" w:rsidRPr="00FE0C4E" w:rsidRDefault="00821D29" w:rsidP="00821D29">
            <w:pPr>
              <w:jc w:val="center"/>
              <w:rPr>
                <w:rFonts w:ascii="Arial" w:hAnsi="Arial" w:cs="Arial"/>
                <w:i/>
                <w:sz w:val="16"/>
                <w:szCs w:val="16"/>
              </w:rPr>
            </w:pPr>
            <w:r>
              <w:rPr>
                <w:rFonts w:ascii="Arial" w:hAnsi="Arial" w:cs="Arial"/>
                <w:i/>
                <w:sz w:val="16"/>
                <w:szCs w:val="16"/>
              </w:rPr>
              <w:t>100%</w:t>
            </w:r>
          </w:p>
        </w:tc>
        <w:tc>
          <w:tcPr>
            <w:tcW w:w="1266" w:type="dxa"/>
            <w:shd w:val="clear" w:color="auto" w:fill="FFFFFF" w:themeFill="background1"/>
            <w:vAlign w:val="center"/>
          </w:tcPr>
          <w:p w14:paraId="19CA179C" w14:textId="76E88313" w:rsidR="00821D29" w:rsidRPr="00FE0C4E" w:rsidRDefault="00821D29" w:rsidP="00821D29">
            <w:pPr>
              <w:jc w:val="center"/>
              <w:rPr>
                <w:rFonts w:ascii="Arial" w:hAnsi="Arial" w:cs="Arial"/>
                <w:i/>
                <w:sz w:val="16"/>
                <w:szCs w:val="16"/>
              </w:rPr>
            </w:pPr>
            <w:r>
              <w:rPr>
                <w:rFonts w:ascii="Arial" w:hAnsi="Arial" w:cs="Arial"/>
                <w:i/>
                <w:sz w:val="16"/>
                <w:szCs w:val="16"/>
              </w:rPr>
              <w:t>100%</w:t>
            </w:r>
          </w:p>
        </w:tc>
        <w:tc>
          <w:tcPr>
            <w:tcW w:w="1266" w:type="dxa"/>
            <w:shd w:val="clear" w:color="auto" w:fill="FFFFFF" w:themeFill="background1"/>
            <w:vAlign w:val="center"/>
          </w:tcPr>
          <w:p w14:paraId="78F8821A" w14:textId="50F969CF" w:rsidR="00821D29" w:rsidRPr="00FE0C4E" w:rsidRDefault="00821D29" w:rsidP="00821D29">
            <w:pPr>
              <w:jc w:val="center"/>
              <w:rPr>
                <w:rFonts w:ascii="Arial" w:hAnsi="Arial" w:cs="Arial"/>
                <w:i/>
                <w:sz w:val="16"/>
                <w:szCs w:val="16"/>
              </w:rPr>
            </w:pPr>
            <w:r>
              <w:rPr>
                <w:rFonts w:ascii="Arial" w:hAnsi="Arial" w:cs="Arial"/>
                <w:i/>
                <w:sz w:val="16"/>
                <w:szCs w:val="16"/>
              </w:rPr>
              <w:t>100%</w:t>
            </w:r>
          </w:p>
        </w:tc>
        <w:tc>
          <w:tcPr>
            <w:tcW w:w="1266" w:type="dxa"/>
            <w:shd w:val="clear" w:color="auto" w:fill="FFFFFF" w:themeFill="background1"/>
            <w:vAlign w:val="center"/>
          </w:tcPr>
          <w:p w14:paraId="70A415C1" w14:textId="0B5D186C" w:rsidR="00821D29" w:rsidRPr="00FE0C4E" w:rsidRDefault="00821D29" w:rsidP="00821D29">
            <w:pPr>
              <w:jc w:val="center"/>
              <w:rPr>
                <w:rFonts w:ascii="Arial" w:hAnsi="Arial" w:cs="Arial"/>
                <w:i/>
                <w:sz w:val="16"/>
                <w:szCs w:val="16"/>
              </w:rPr>
            </w:pPr>
            <w:r>
              <w:rPr>
                <w:rFonts w:ascii="Arial" w:hAnsi="Arial" w:cs="Arial"/>
                <w:i/>
                <w:sz w:val="16"/>
                <w:szCs w:val="16"/>
              </w:rPr>
              <w:t>100%</w:t>
            </w:r>
          </w:p>
        </w:tc>
        <w:tc>
          <w:tcPr>
            <w:tcW w:w="1266" w:type="dxa"/>
            <w:shd w:val="clear" w:color="auto" w:fill="FFFFFF" w:themeFill="background1"/>
            <w:vAlign w:val="center"/>
          </w:tcPr>
          <w:p w14:paraId="61E3861F" w14:textId="56947F3F" w:rsidR="00821D29" w:rsidRPr="00FE0C4E" w:rsidRDefault="00821D29" w:rsidP="00821D29">
            <w:pPr>
              <w:jc w:val="center"/>
              <w:rPr>
                <w:rFonts w:ascii="Arial" w:hAnsi="Arial" w:cs="Arial"/>
                <w:i/>
                <w:sz w:val="16"/>
                <w:szCs w:val="16"/>
              </w:rPr>
            </w:pPr>
          </w:p>
        </w:tc>
      </w:tr>
      <w:tr w:rsidR="00821D29" w14:paraId="3445A85D" w14:textId="77777777" w:rsidTr="00AE58D8">
        <w:trPr>
          <w:cantSplit/>
          <w:trHeight w:val="288"/>
        </w:trPr>
        <w:tc>
          <w:tcPr>
            <w:tcW w:w="3026" w:type="dxa"/>
            <w:vMerge w:val="restart"/>
          </w:tcPr>
          <w:p w14:paraId="5ADD78D6" w14:textId="4E7CABB1" w:rsidR="00821D29" w:rsidRPr="00646DA1" w:rsidRDefault="00821D29" w:rsidP="00821D29">
            <w:pPr>
              <w:pStyle w:val="ListParagraph"/>
              <w:numPr>
                <w:ilvl w:val="0"/>
                <w:numId w:val="2"/>
              </w:numPr>
              <w:ind w:left="342"/>
              <w:rPr>
                <w:rFonts w:ascii="Arial" w:hAnsi="Arial" w:cs="Arial"/>
                <w:bCs/>
                <w:sz w:val="20"/>
              </w:rPr>
            </w:pPr>
            <w:r>
              <w:rPr>
                <w:rFonts w:ascii="Arial" w:hAnsi="Arial" w:cs="Arial"/>
                <w:bCs/>
                <w:sz w:val="20"/>
              </w:rPr>
              <w:t>Reduce the number of initial appellant’s briefs filed on more than two extensions as identified each fiscal year</w:t>
            </w:r>
          </w:p>
        </w:tc>
        <w:tc>
          <w:tcPr>
            <w:tcW w:w="724" w:type="dxa"/>
            <w:shd w:val="clear" w:color="auto" w:fill="D9D9D9" w:themeFill="background1" w:themeFillShade="D9"/>
            <w:vAlign w:val="center"/>
          </w:tcPr>
          <w:p w14:paraId="7D719CC1" w14:textId="77777777" w:rsidR="00821D29" w:rsidRPr="001D59BE" w:rsidRDefault="00821D29" w:rsidP="00821D29">
            <w:pPr>
              <w:jc w:val="center"/>
              <w:rPr>
                <w:rFonts w:ascii="Arial" w:hAnsi="Arial" w:cs="Arial"/>
                <w:sz w:val="20"/>
              </w:rPr>
            </w:pPr>
            <w:r w:rsidRPr="001D59BE">
              <w:rPr>
                <w:rFonts w:ascii="Arial" w:hAnsi="Arial" w:cs="Arial"/>
                <w:sz w:val="20"/>
              </w:rPr>
              <w:t>actual</w:t>
            </w:r>
          </w:p>
        </w:tc>
        <w:tc>
          <w:tcPr>
            <w:tcW w:w="1266" w:type="dxa"/>
            <w:shd w:val="clear" w:color="auto" w:fill="D9D9D9" w:themeFill="background1" w:themeFillShade="D9"/>
            <w:vAlign w:val="center"/>
          </w:tcPr>
          <w:p w14:paraId="0A97915A" w14:textId="0D7EA222" w:rsidR="00821D29" w:rsidRPr="0078607D" w:rsidRDefault="00821D29" w:rsidP="00821D29">
            <w:pPr>
              <w:jc w:val="center"/>
              <w:rPr>
                <w:rFonts w:ascii="Arial" w:hAnsi="Arial" w:cs="Arial"/>
                <w:sz w:val="20"/>
                <w:szCs w:val="20"/>
              </w:rPr>
            </w:pPr>
            <w:r>
              <w:rPr>
                <w:rFonts w:ascii="Arial" w:hAnsi="Arial" w:cs="Arial"/>
                <w:sz w:val="20"/>
              </w:rPr>
              <w:t>521/57</w:t>
            </w:r>
          </w:p>
        </w:tc>
        <w:tc>
          <w:tcPr>
            <w:tcW w:w="1266" w:type="dxa"/>
            <w:shd w:val="clear" w:color="auto" w:fill="D9D9D9" w:themeFill="background1" w:themeFillShade="D9"/>
            <w:vAlign w:val="center"/>
          </w:tcPr>
          <w:p w14:paraId="73AFD946" w14:textId="4E1E9CFC" w:rsidR="00821D29" w:rsidRPr="0078607D" w:rsidRDefault="00821D29" w:rsidP="00821D29">
            <w:pPr>
              <w:jc w:val="center"/>
              <w:rPr>
                <w:rFonts w:ascii="Arial" w:hAnsi="Arial" w:cs="Arial"/>
                <w:sz w:val="20"/>
                <w:szCs w:val="20"/>
              </w:rPr>
            </w:pPr>
            <w:r>
              <w:rPr>
                <w:rFonts w:ascii="Arial" w:hAnsi="Arial" w:cs="Arial"/>
                <w:sz w:val="20"/>
              </w:rPr>
              <w:t>559/110</w:t>
            </w:r>
          </w:p>
        </w:tc>
        <w:tc>
          <w:tcPr>
            <w:tcW w:w="1266" w:type="dxa"/>
            <w:shd w:val="clear" w:color="auto" w:fill="D9D9D9" w:themeFill="background1" w:themeFillShade="D9"/>
            <w:vAlign w:val="center"/>
          </w:tcPr>
          <w:p w14:paraId="3C2F3962" w14:textId="077956F4" w:rsidR="00821D29" w:rsidRPr="001D59BE" w:rsidRDefault="00821D29" w:rsidP="00821D29">
            <w:pPr>
              <w:jc w:val="center"/>
              <w:rPr>
                <w:rFonts w:ascii="Arial" w:hAnsi="Arial" w:cs="Arial"/>
                <w:sz w:val="20"/>
              </w:rPr>
            </w:pPr>
            <w:r>
              <w:rPr>
                <w:rFonts w:ascii="Arial" w:hAnsi="Arial" w:cs="Arial"/>
                <w:sz w:val="20"/>
              </w:rPr>
              <w:t>476/103</w:t>
            </w:r>
          </w:p>
        </w:tc>
        <w:tc>
          <w:tcPr>
            <w:tcW w:w="1266" w:type="dxa"/>
            <w:shd w:val="clear" w:color="auto" w:fill="D9D9D9" w:themeFill="background1" w:themeFillShade="D9"/>
            <w:vAlign w:val="center"/>
          </w:tcPr>
          <w:p w14:paraId="7AB92E41" w14:textId="058CC316" w:rsidR="00821D29" w:rsidRPr="001D59BE" w:rsidRDefault="00821D29" w:rsidP="00821D29">
            <w:pPr>
              <w:jc w:val="center"/>
              <w:rPr>
                <w:rFonts w:ascii="Arial" w:hAnsi="Arial" w:cs="Arial"/>
                <w:sz w:val="20"/>
              </w:rPr>
            </w:pPr>
          </w:p>
        </w:tc>
        <w:tc>
          <w:tcPr>
            <w:tcW w:w="1266" w:type="dxa"/>
            <w:shd w:val="clear" w:color="auto" w:fill="D9D9D9" w:themeFill="background1" w:themeFillShade="D9"/>
            <w:vAlign w:val="center"/>
          </w:tcPr>
          <w:p w14:paraId="2D3062A9" w14:textId="2AB80BD4" w:rsidR="00821D29" w:rsidRPr="001D59BE" w:rsidRDefault="00821D29" w:rsidP="00821D29">
            <w:pPr>
              <w:jc w:val="center"/>
              <w:rPr>
                <w:rFonts w:ascii="Arial" w:hAnsi="Arial" w:cs="Arial"/>
                <w:sz w:val="20"/>
              </w:rPr>
            </w:pPr>
          </w:p>
        </w:tc>
      </w:tr>
      <w:tr w:rsidR="00821D29" w14:paraId="48C81F5C" w14:textId="77777777" w:rsidTr="00AE58D8">
        <w:trPr>
          <w:cantSplit/>
          <w:trHeight w:val="288"/>
        </w:trPr>
        <w:tc>
          <w:tcPr>
            <w:tcW w:w="3026" w:type="dxa"/>
            <w:vMerge/>
          </w:tcPr>
          <w:p w14:paraId="6F58CFC0" w14:textId="77777777" w:rsidR="00821D29" w:rsidRPr="00646DA1" w:rsidRDefault="00821D29" w:rsidP="00821D29">
            <w:pPr>
              <w:pStyle w:val="ListParagraph"/>
              <w:numPr>
                <w:ilvl w:val="0"/>
                <w:numId w:val="2"/>
              </w:numPr>
              <w:tabs>
                <w:tab w:val="left" w:pos="2985"/>
              </w:tabs>
              <w:ind w:left="342"/>
              <w:rPr>
                <w:rFonts w:ascii="Arial" w:hAnsi="Arial" w:cs="Arial"/>
                <w:sz w:val="20"/>
              </w:rPr>
            </w:pPr>
          </w:p>
        </w:tc>
        <w:tc>
          <w:tcPr>
            <w:tcW w:w="724" w:type="dxa"/>
            <w:shd w:val="clear" w:color="auto" w:fill="FFFFFF" w:themeFill="background1"/>
            <w:vAlign w:val="center"/>
          </w:tcPr>
          <w:p w14:paraId="3D26DC08" w14:textId="77777777" w:rsidR="00821D29" w:rsidRDefault="00821D29" w:rsidP="00821D29">
            <w:pPr>
              <w:jc w:val="center"/>
              <w:rPr>
                <w:rFonts w:ascii="Arial" w:hAnsi="Arial" w:cs="Arial"/>
                <w:sz w:val="20"/>
              </w:rPr>
            </w:pPr>
            <w:r>
              <w:rPr>
                <w:rFonts w:ascii="Arial" w:hAnsi="Arial" w:cs="Arial"/>
                <w:i/>
                <w:sz w:val="16"/>
                <w:szCs w:val="16"/>
              </w:rPr>
              <w:t>target</w:t>
            </w:r>
          </w:p>
        </w:tc>
        <w:tc>
          <w:tcPr>
            <w:tcW w:w="1266" w:type="dxa"/>
            <w:shd w:val="clear" w:color="auto" w:fill="FFFFFF" w:themeFill="background1"/>
            <w:vAlign w:val="center"/>
          </w:tcPr>
          <w:p w14:paraId="16D3EC4F" w14:textId="66E320D0" w:rsidR="00821D29" w:rsidRPr="0089244D" w:rsidRDefault="00821D29" w:rsidP="00821D29">
            <w:pPr>
              <w:jc w:val="center"/>
              <w:rPr>
                <w:rFonts w:ascii="Arial" w:hAnsi="Arial" w:cs="Arial"/>
                <w:i/>
                <w:sz w:val="16"/>
                <w:szCs w:val="16"/>
              </w:rPr>
            </w:pPr>
            <w:r>
              <w:rPr>
                <w:rFonts w:ascii="Arial" w:hAnsi="Arial" w:cs="Arial"/>
                <w:i/>
                <w:sz w:val="16"/>
                <w:szCs w:val="16"/>
              </w:rPr>
              <w:t>25</w:t>
            </w:r>
            <w:r w:rsidRPr="003E56AE">
              <w:rPr>
                <w:rFonts w:ascii="Arial" w:hAnsi="Arial" w:cs="Arial"/>
                <w:i/>
                <w:sz w:val="16"/>
                <w:szCs w:val="16"/>
              </w:rPr>
              <w:t>% Reduction of Briefs filed on &gt;2 Ext. from previous FY</w:t>
            </w:r>
          </w:p>
        </w:tc>
        <w:tc>
          <w:tcPr>
            <w:tcW w:w="1266" w:type="dxa"/>
            <w:shd w:val="clear" w:color="auto" w:fill="FFFFFF" w:themeFill="background1"/>
            <w:vAlign w:val="center"/>
          </w:tcPr>
          <w:p w14:paraId="5B1D5E86" w14:textId="326EB73C" w:rsidR="00821D29" w:rsidRPr="0089244D" w:rsidRDefault="00821D29" w:rsidP="00821D29">
            <w:pPr>
              <w:jc w:val="center"/>
              <w:rPr>
                <w:rFonts w:ascii="Arial" w:hAnsi="Arial" w:cs="Arial"/>
                <w:i/>
                <w:sz w:val="16"/>
                <w:szCs w:val="16"/>
              </w:rPr>
            </w:pPr>
            <w:r>
              <w:rPr>
                <w:rFonts w:ascii="Arial" w:hAnsi="Arial" w:cs="Arial"/>
                <w:i/>
                <w:sz w:val="16"/>
                <w:szCs w:val="16"/>
              </w:rPr>
              <w:t>10% Reduction of Briefs Filed on &gt;2 Ext. from previous FY</w:t>
            </w:r>
          </w:p>
        </w:tc>
        <w:tc>
          <w:tcPr>
            <w:tcW w:w="1266" w:type="dxa"/>
            <w:shd w:val="clear" w:color="auto" w:fill="FFFFFF" w:themeFill="background1"/>
            <w:vAlign w:val="center"/>
          </w:tcPr>
          <w:p w14:paraId="10C033FE" w14:textId="5C78534F" w:rsidR="00821D29" w:rsidRPr="0089244D" w:rsidRDefault="00821D29" w:rsidP="00821D29">
            <w:pPr>
              <w:jc w:val="center"/>
              <w:rPr>
                <w:rFonts w:ascii="Arial" w:hAnsi="Arial" w:cs="Arial"/>
                <w:i/>
                <w:sz w:val="16"/>
                <w:szCs w:val="16"/>
              </w:rPr>
            </w:pPr>
            <w:r>
              <w:rPr>
                <w:rFonts w:ascii="Arial" w:hAnsi="Arial" w:cs="Arial"/>
                <w:i/>
                <w:sz w:val="16"/>
                <w:szCs w:val="16"/>
              </w:rPr>
              <w:t>No more than 10% of Initial Appellant’s Briefs Filed on &gt; 2 Ext.</w:t>
            </w:r>
          </w:p>
        </w:tc>
        <w:tc>
          <w:tcPr>
            <w:tcW w:w="1266" w:type="dxa"/>
            <w:shd w:val="clear" w:color="auto" w:fill="FFFFFF" w:themeFill="background1"/>
            <w:vAlign w:val="center"/>
          </w:tcPr>
          <w:p w14:paraId="38974DAC" w14:textId="0F20E7BA" w:rsidR="00821D29" w:rsidRPr="0089244D" w:rsidRDefault="00821D29" w:rsidP="00821D29">
            <w:pPr>
              <w:jc w:val="center"/>
              <w:rPr>
                <w:rFonts w:ascii="Arial" w:hAnsi="Arial" w:cs="Arial"/>
                <w:i/>
                <w:sz w:val="16"/>
                <w:szCs w:val="16"/>
              </w:rPr>
            </w:pPr>
            <w:r>
              <w:rPr>
                <w:rFonts w:ascii="Arial" w:hAnsi="Arial" w:cs="Arial"/>
                <w:i/>
                <w:sz w:val="16"/>
                <w:szCs w:val="16"/>
              </w:rPr>
              <w:t>No more than 10% of Initial Appellant’s Briefs Filed on &gt; 2 Ext.</w:t>
            </w:r>
          </w:p>
        </w:tc>
        <w:tc>
          <w:tcPr>
            <w:tcW w:w="1266" w:type="dxa"/>
            <w:shd w:val="clear" w:color="auto" w:fill="FFFFFF" w:themeFill="background1"/>
            <w:vAlign w:val="center"/>
          </w:tcPr>
          <w:p w14:paraId="1F8B9461" w14:textId="0DDBDE14" w:rsidR="00821D29" w:rsidRPr="0089244D" w:rsidRDefault="00821D29" w:rsidP="00821D29">
            <w:pPr>
              <w:jc w:val="center"/>
              <w:rPr>
                <w:rFonts w:ascii="Arial" w:hAnsi="Arial" w:cs="Arial"/>
                <w:i/>
                <w:sz w:val="16"/>
                <w:szCs w:val="16"/>
              </w:rPr>
            </w:pPr>
          </w:p>
        </w:tc>
      </w:tr>
      <w:tr w:rsidR="00821D29" w14:paraId="5364EA66" w14:textId="77777777" w:rsidTr="00AE58D8">
        <w:trPr>
          <w:cantSplit/>
          <w:trHeight w:val="288"/>
        </w:trPr>
        <w:tc>
          <w:tcPr>
            <w:tcW w:w="3026" w:type="dxa"/>
            <w:vMerge w:val="restart"/>
          </w:tcPr>
          <w:p w14:paraId="4067E942" w14:textId="77777777" w:rsidR="00821D29" w:rsidRPr="00646DA1" w:rsidRDefault="00821D29" w:rsidP="00821D29">
            <w:pPr>
              <w:pStyle w:val="ListParagraph"/>
              <w:keepNext/>
              <w:numPr>
                <w:ilvl w:val="0"/>
                <w:numId w:val="2"/>
              </w:numPr>
              <w:tabs>
                <w:tab w:val="left" w:pos="2985"/>
              </w:tabs>
              <w:ind w:left="342"/>
              <w:rPr>
                <w:rFonts w:ascii="Arial" w:hAnsi="Arial" w:cs="Arial"/>
                <w:sz w:val="20"/>
              </w:rPr>
            </w:pPr>
            <w:r w:rsidRPr="0047495F">
              <w:rPr>
                <w:rFonts w:ascii="Arial" w:hAnsi="Arial" w:cs="Arial"/>
                <w:sz w:val="20"/>
                <w:szCs w:val="20"/>
              </w:rPr>
              <w:t xml:space="preserve">Reduce </w:t>
            </w:r>
            <w:r>
              <w:rPr>
                <w:rFonts w:ascii="Arial" w:hAnsi="Arial" w:cs="Arial"/>
                <w:sz w:val="20"/>
                <w:szCs w:val="20"/>
              </w:rPr>
              <w:t>the average A</w:t>
            </w:r>
            <w:r w:rsidRPr="0047495F">
              <w:rPr>
                <w:rFonts w:ascii="Arial" w:hAnsi="Arial" w:cs="Arial"/>
                <w:sz w:val="20"/>
                <w:szCs w:val="20"/>
              </w:rPr>
              <w:t>ppellant</w:t>
            </w:r>
            <w:r>
              <w:rPr>
                <w:rFonts w:ascii="Arial" w:hAnsi="Arial" w:cs="Arial"/>
                <w:sz w:val="20"/>
                <w:szCs w:val="20"/>
              </w:rPr>
              <w:t xml:space="preserve"> Unit </w:t>
            </w:r>
            <w:r w:rsidRPr="0047495F">
              <w:rPr>
                <w:rFonts w:ascii="Arial" w:hAnsi="Arial" w:cs="Arial"/>
                <w:sz w:val="20"/>
                <w:szCs w:val="20"/>
              </w:rPr>
              <w:t>attorneys’ caseloads to an appr</w:t>
            </w:r>
            <w:r>
              <w:rPr>
                <w:rFonts w:ascii="Arial" w:hAnsi="Arial" w:cs="Arial"/>
                <w:sz w:val="20"/>
                <w:szCs w:val="20"/>
              </w:rPr>
              <w:t>opriate level of no more than 35</w:t>
            </w:r>
            <w:r w:rsidRPr="0047495F">
              <w:rPr>
                <w:rFonts w:ascii="Arial" w:hAnsi="Arial" w:cs="Arial"/>
                <w:sz w:val="20"/>
                <w:szCs w:val="20"/>
              </w:rPr>
              <w:t xml:space="preserve"> </w:t>
            </w:r>
            <w:r>
              <w:rPr>
                <w:rFonts w:ascii="Arial" w:hAnsi="Arial" w:cs="Arial"/>
                <w:sz w:val="20"/>
                <w:szCs w:val="20"/>
              </w:rPr>
              <w:t>units</w:t>
            </w:r>
            <w:r w:rsidRPr="0047495F">
              <w:rPr>
                <w:rFonts w:ascii="Arial" w:hAnsi="Arial" w:cs="Arial"/>
                <w:sz w:val="20"/>
                <w:szCs w:val="20"/>
              </w:rPr>
              <w:t xml:space="preserve"> per year.</w:t>
            </w:r>
          </w:p>
        </w:tc>
        <w:tc>
          <w:tcPr>
            <w:tcW w:w="724" w:type="dxa"/>
            <w:shd w:val="clear" w:color="auto" w:fill="D9D9D9" w:themeFill="background1" w:themeFillShade="D9"/>
            <w:vAlign w:val="center"/>
          </w:tcPr>
          <w:p w14:paraId="6D6C64D6" w14:textId="77777777" w:rsidR="00821D29" w:rsidRPr="001D59BE" w:rsidRDefault="00821D29" w:rsidP="00821D29">
            <w:pPr>
              <w:keepNext/>
              <w:jc w:val="center"/>
              <w:rPr>
                <w:rFonts w:ascii="Arial" w:hAnsi="Arial" w:cs="Arial"/>
                <w:sz w:val="20"/>
              </w:rPr>
            </w:pPr>
            <w:r w:rsidRPr="001D59BE">
              <w:rPr>
                <w:rFonts w:ascii="Arial" w:hAnsi="Arial" w:cs="Arial"/>
                <w:sz w:val="20"/>
              </w:rPr>
              <w:t>actual</w:t>
            </w:r>
          </w:p>
        </w:tc>
        <w:tc>
          <w:tcPr>
            <w:tcW w:w="1266" w:type="dxa"/>
            <w:shd w:val="clear" w:color="auto" w:fill="D9D9D9" w:themeFill="background1" w:themeFillShade="D9"/>
            <w:vAlign w:val="center"/>
          </w:tcPr>
          <w:p w14:paraId="72655A1A" w14:textId="7C667EDE" w:rsidR="00821D29" w:rsidRPr="0078607D" w:rsidRDefault="00821D29" w:rsidP="00821D29">
            <w:pPr>
              <w:keepNext/>
              <w:jc w:val="center"/>
              <w:rPr>
                <w:rFonts w:ascii="Arial" w:hAnsi="Arial" w:cs="Arial"/>
                <w:sz w:val="20"/>
                <w:szCs w:val="20"/>
              </w:rPr>
            </w:pPr>
            <w:r>
              <w:rPr>
                <w:rFonts w:ascii="Arial" w:hAnsi="Arial" w:cs="Arial"/>
                <w:sz w:val="20"/>
              </w:rPr>
              <w:t>51.81 units</w:t>
            </w:r>
          </w:p>
        </w:tc>
        <w:tc>
          <w:tcPr>
            <w:tcW w:w="1266" w:type="dxa"/>
            <w:shd w:val="clear" w:color="auto" w:fill="D9D9D9" w:themeFill="background1" w:themeFillShade="D9"/>
            <w:vAlign w:val="center"/>
          </w:tcPr>
          <w:p w14:paraId="353E9B18" w14:textId="031E029D" w:rsidR="00821D29" w:rsidRPr="0078607D" w:rsidRDefault="00821D29" w:rsidP="00821D29">
            <w:pPr>
              <w:keepNext/>
              <w:jc w:val="center"/>
              <w:rPr>
                <w:rFonts w:ascii="Arial" w:hAnsi="Arial" w:cs="Arial"/>
                <w:sz w:val="20"/>
                <w:szCs w:val="20"/>
              </w:rPr>
            </w:pPr>
            <w:r>
              <w:rPr>
                <w:rFonts w:ascii="Arial" w:hAnsi="Arial" w:cs="Arial"/>
                <w:sz w:val="20"/>
              </w:rPr>
              <w:t>58.08 units</w:t>
            </w:r>
          </w:p>
        </w:tc>
        <w:tc>
          <w:tcPr>
            <w:tcW w:w="1266" w:type="dxa"/>
            <w:shd w:val="clear" w:color="auto" w:fill="D9D9D9" w:themeFill="background1" w:themeFillShade="D9"/>
            <w:vAlign w:val="center"/>
          </w:tcPr>
          <w:p w14:paraId="3DD0C71A" w14:textId="3156ED2B" w:rsidR="00821D29" w:rsidRPr="001D59BE" w:rsidRDefault="00821D29" w:rsidP="00821D29">
            <w:pPr>
              <w:keepNext/>
              <w:jc w:val="center"/>
              <w:rPr>
                <w:rFonts w:ascii="Arial" w:hAnsi="Arial" w:cs="Arial"/>
                <w:sz w:val="20"/>
              </w:rPr>
            </w:pPr>
            <w:r>
              <w:rPr>
                <w:rFonts w:ascii="Arial" w:hAnsi="Arial" w:cs="Arial"/>
                <w:sz w:val="20"/>
              </w:rPr>
              <w:t>43.30 units</w:t>
            </w:r>
          </w:p>
        </w:tc>
        <w:tc>
          <w:tcPr>
            <w:tcW w:w="1266" w:type="dxa"/>
            <w:shd w:val="clear" w:color="auto" w:fill="D9D9D9" w:themeFill="background1" w:themeFillShade="D9"/>
            <w:vAlign w:val="center"/>
          </w:tcPr>
          <w:p w14:paraId="0D73130E" w14:textId="0424C96F" w:rsidR="00821D29" w:rsidRPr="001D59BE" w:rsidRDefault="00821D29" w:rsidP="00821D29">
            <w:pPr>
              <w:keepNext/>
              <w:jc w:val="center"/>
              <w:rPr>
                <w:rFonts w:ascii="Arial" w:hAnsi="Arial" w:cs="Arial"/>
                <w:sz w:val="20"/>
              </w:rPr>
            </w:pPr>
          </w:p>
        </w:tc>
        <w:tc>
          <w:tcPr>
            <w:tcW w:w="1266" w:type="dxa"/>
            <w:shd w:val="clear" w:color="auto" w:fill="D9D9D9" w:themeFill="background1" w:themeFillShade="D9"/>
            <w:vAlign w:val="center"/>
          </w:tcPr>
          <w:p w14:paraId="12AEB510" w14:textId="25C31B2F" w:rsidR="00821D29" w:rsidRPr="001D59BE" w:rsidRDefault="00821D29" w:rsidP="00821D29">
            <w:pPr>
              <w:keepNext/>
              <w:jc w:val="center"/>
              <w:rPr>
                <w:rFonts w:ascii="Arial" w:hAnsi="Arial" w:cs="Arial"/>
                <w:sz w:val="20"/>
              </w:rPr>
            </w:pPr>
          </w:p>
        </w:tc>
      </w:tr>
      <w:tr w:rsidR="00821D29" w14:paraId="48657B7F" w14:textId="77777777" w:rsidTr="00AE58D8">
        <w:trPr>
          <w:cantSplit/>
          <w:trHeight w:val="288"/>
        </w:trPr>
        <w:tc>
          <w:tcPr>
            <w:tcW w:w="3026" w:type="dxa"/>
            <w:vMerge/>
          </w:tcPr>
          <w:p w14:paraId="61811EBF" w14:textId="77777777" w:rsidR="00821D29" w:rsidRPr="00646DA1" w:rsidRDefault="00821D29" w:rsidP="00821D29">
            <w:pPr>
              <w:pStyle w:val="ListParagraph"/>
              <w:keepNext/>
              <w:numPr>
                <w:ilvl w:val="0"/>
                <w:numId w:val="2"/>
              </w:numPr>
              <w:tabs>
                <w:tab w:val="left" w:pos="2985"/>
              </w:tabs>
              <w:ind w:left="342"/>
              <w:rPr>
                <w:rFonts w:ascii="Arial" w:hAnsi="Arial" w:cs="Arial"/>
                <w:sz w:val="20"/>
              </w:rPr>
            </w:pPr>
          </w:p>
        </w:tc>
        <w:tc>
          <w:tcPr>
            <w:tcW w:w="724" w:type="dxa"/>
            <w:shd w:val="clear" w:color="auto" w:fill="FFFFFF" w:themeFill="background1"/>
            <w:vAlign w:val="center"/>
          </w:tcPr>
          <w:p w14:paraId="31858178" w14:textId="77777777" w:rsidR="00821D29" w:rsidRDefault="00821D29" w:rsidP="00821D29">
            <w:pPr>
              <w:keepNext/>
              <w:jc w:val="center"/>
              <w:rPr>
                <w:rFonts w:ascii="Arial" w:hAnsi="Arial" w:cs="Arial"/>
                <w:sz w:val="20"/>
              </w:rPr>
            </w:pPr>
            <w:r>
              <w:rPr>
                <w:rFonts w:ascii="Arial" w:hAnsi="Arial" w:cs="Arial"/>
                <w:i/>
                <w:sz w:val="16"/>
                <w:szCs w:val="16"/>
              </w:rPr>
              <w:t>target</w:t>
            </w:r>
          </w:p>
        </w:tc>
        <w:tc>
          <w:tcPr>
            <w:tcW w:w="1266" w:type="dxa"/>
            <w:shd w:val="clear" w:color="auto" w:fill="FFFFFF" w:themeFill="background1"/>
            <w:vAlign w:val="center"/>
          </w:tcPr>
          <w:p w14:paraId="69C4AAA3" w14:textId="0B67CC73" w:rsidR="00821D29" w:rsidRPr="0089244D" w:rsidRDefault="00821D29" w:rsidP="00821D29">
            <w:pPr>
              <w:keepNext/>
              <w:jc w:val="center"/>
              <w:rPr>
                <w:rFonts w:ascii="Arial" w:hAnsi="Arial" w:cs="Arial"/>
                <w:i/>
                <w:sz w:val="16"/>
                <w:szCs w:val="16"/>
              </w:rPr>
            </w:pPr>
            <w:r>
              <w:rPr>
                <w:rFonts w:ascii="Arial" w:hAnsi="Arial" w:cs="Arial"/>
                <w:i/>
                <w:sz w:val="16"/>
                <w:szCs w:val="16"/>
              </w:rPr>
              <w:t>35.00 Unit Average</w:t>
            </w:r>
          </w:p>
        </w:tc>
        <w:tc>
          <w:tcPr>
            <w:tcW w:w="1266" w:type="dxa"/>
            <w:shd w:val="clear" w:color="auto" w:fill="FFFFFF" w:themeFill="background1"/>
            <w:vAlign w:val="center"/>
          </w:tcPr>
          <w:p w14:paraId="38D32B72" w14:textId="281B1EBC" w:rsidR="00821D29" w:rsidRPr="0089244D" w:rsidRDefault="00821D29" w:rsidP="00821D29">
            <w:pPr>
              <w:keepNext/>
              <w:jc w:val="center"/>
              <w:rPr>
                <w:rFonts w:ascii="Arial" w:hAnsi="Arial" w:cs="Arial"/>
                <w:i/>
                <w:sz w:val="16"/>
                <w:szCs w:val="16"/>
              </w:rPr>
            </w:pPr>
            <w:r>
              <w:rPr>
                <w:rFonts w:ascii="Arial" w:hAnsi="Arial" w:cs="Arial"/>
                <w:i/>
                <w:sz w:val="16"/>
                <w:szCs w:val="16"/>
              </w:rPr>
              <w:t>35.00 Unit Average</w:t>
            </w:r>
          </w:p>
        </w:tc>
        <w:tc>
          <w:tcPr>
            <w:tcW w:w="1266" w:type="dxa"/>
            <w:shd w:val="clear" w:color="auto" w:fill="FFFFFF" w:themeFill="background1"/>
            <w:vAlign w:val="center"/>
          </w:tcPr>
          <w:p w14:paraId="18369466" w14:textId="3376ECA9" w:rsidR="00821D29" w:rsidRPr="0089244D" w:rsidRDefault="00821D29" w:rsidP="00821D29">
            <w:pPr>
              <w:keepNext/>
              <w:jc w:val="center"/>
              <w:rPr>
                <w:rFonts w:ascii="Arial" w:hAnsi="Arial" w:cs="Arial"/>
                <w:i/>
                <w:sz w:val="16"/>
                <w:szCs w:val="16"/>
              </w:rPr>
            </w:pPr>
            <w:r>
              <w:rPr>
                <w:rFonts w:ascii="Arial" w:hAnsi="Arial" w:cs="Arial"/>
                <w:i/>
                <w:sz w:val="16"/>
                <w:szCs w:val="16"/>
              </w:rPr>
              <w:t>35.00 Unit Average</w:t>
            </w:r>
          </w:p>
        </w:tc>
        <w:tc>
          <w:tcPr>
            <w:tcW w:w="1266" w:type="dxa"/>
            <w:shd w:val="clear" w:color="auto" w:fill="FFFFFF" w:themeFill="background1"/>
            <w:vAlign w:val="center"/>
          </w:tcPr>
          <w:p w14:paraId="00E7DAAF" w14:textId="7461EB7B" w:rsidR="00821D29" w:rsidRPr="0089244D" w:rsidRDefault="00821D29" w:rsidP="00821D29">
            <w:pPr>
              <w:keepNext/>
              <w:jc w:val="center"/>
              <w:rPr>
                <w:rFonts w:ascii="Arial" w:hAnsi="Arial" w:cs="Arial"/>
                <w:i/>
                <w:sz w:val="16"/>
                <w:szCs w:val="16"/>
              </w:rPr>
            </w:pPr>
            <w:r>
              <w:rPr>
                <w:rFonts w:ascii="Arial" w:hAnsi="Arial" w:cs="Arial"/>
                <w:i/>
                <w:sz w:val="16"/>
                <w:szCs w:val="16"/>
              </w:rPr>
              <w:t>35.00 Unit Average</w:t>
            </w:r>
          </w:p>
        </w:tc>
        <w:tc>
          <w:tcPr>
            <w:tcW w:w="1266" w:type="dxa"/>
            <w:shd w:val="clear" w:color="auto" w:fill="FFFFFF" w:themeFill="background1"/>
            <w:vAlign w:val="center"/>
          </w:tcPr>
          <w:p w14:paraId="59BD25F1" w14:textId="6291E9DC" w:rsidR="00821D29" w:rsidRPr="0089244D" w:rsidRDefault="00821D29" w:rsidP="00821D29">
            <w:pPr>
              <w:keepNext/>
              <w:jc w:val="center"/>
              <w:rPr>
                <w:rFonts w:ascii="Arial" w:hAnsi="Arial" w:cs="Arial"/>
                <w:i/>
                <w:sz w:val="16"/>
                <w:szCs w:val="16"/>
              </w:rPr>
            </w:pPr>
          </w:p>
        </w:tc>
      </w:tr>
      <w:tr w:rsidR="00821D29" w14:paraId="653B929A" w14:textId="77777777" w:rsidTr="00AE58D8">
        <w:trPr>
          <w:cantSplit/>
          <w:trHeight w:val="323"/>
        </w:trPr>
        <w:tc>
          <w:tcPr>
            <w:tcW w:w="10080" w:type="dxa"/>
            <w:gridSpan w:val="7"/>
            <w:shd w:val="clear" w:color="auto" w:fill="DBE5F1" w:themeFill="accent1" w:themeFillTint="33"/>
            <w:vAlign w:val="center"/>
          </w:tcPr>
          <w:p w14:paraId="783FA07C" w14:textId="77777777" w:rsidR="00821D29" w:rsidRDefault="00821D29" w:rsidP="00821D29">
            <w:pPr>
              <w:jc w:val="center"/>
              <w:rPr>
                <w:rFonts w:ascii="Arial" w:hAnsi="Arial" w:cs="Arial"/>
                <w:b/>
              </w:rPr>
            </w:pPr>
            <w:r>
              <w:rPr>
                <w:rFonts w:ascii="Arial" w:hAnsi="Arial" w:cs="Arial"/>
                <w:b/>
                <w:sz w:val="20"/>
              </w:rPr>
              <w:t>Goal 3</w:t>
            </w:r>
          </w:p>
          <w:p w14:paraId="3BFC9DB9" w14:textId="77777777" w:rsidR="00821D29" w:rsidRPr="00841C41" w:rsidRDefault="00821D29" w:rsidP="00821D29">
            <w:pPr>
              <w:jc w:val="center"/>
              <w:rPr>
                <w:rFonts w:ascii="Arial" w:hAnsi="Arial" w:cs="Arial"/>
                <w:b/>
              </w:rPr>
            </w:pPr>
            <w:r w:rsidRPr="00E02BB0">
              <w:rPr>
                <w:rFonts w:ascii="Arial" w:hAnsi="Arial" w:cs="Arial"/>
                <w:i/>
                <w:sz w:val="20"/>
              </w:rPr>
              <w:t>Collaborate With Other Entities To Improve Idaho’s Criminal Justice System</w:t>
            </w:r>
          </w:p>
        </w:tc>
      </w:tr>
      <w:tr w:rsidR="00821D29" w:rsidRPr="001D59BE" w14:paraId="1DF13DA6" w14:textId="77777777" w:rsidTr="00AE58D8">
        <w:trPr>
          <w:cantSplit/>
          <w:trHeight w:val="845"/>
        </w:trPr>
        <w:tc>
          <w:tcPr>
            <w:tcW w:w="3026" w:type="dxa"/>
            <w:vMerge w:val="restart"/>
          </w:tcPr>
          <w:p w14:paraId="39741A54" w14:textId="4E9AD323" w:rsidR="00821D29" w:rsidRPr="00DF04C6" w:rsidRDefault="00821D29" w:rsidP="00821D29">
            <w:pPr>
              <w:pStyle w:val="ListParagraph"/>
              <w:numPr>
                <w:ilvl w:val="0"/>
                <w:numId w:val="2"/>
              </w:numPr>
              <w:ind w:left="342"/>
              <w:rPr>
                <w:rFonts w:ascii="Arial" w:hAnsi="Arial" w:cs="Arial"/>
                <w:bCs/>
                <w:sz w:val="20"/>
                <w:szCs w:val="20"/>
              </w:rPr>
            </w:pPr>
            <w:r w:rsidRPr="00DF04C6">
              <w:rPr>
                <w:rFonts w:ascii="Arial" w:hAnsi="Arial" w:cs="Arial"/>
                <w:color w:val="000000"/>
                <w:sz w:val="20"/>
                <w:szCs w:val="20"/>
              </w:rPr>
              <w:t>Clarify</w:t>
            </w:r>
            <w:r>
              <w:rPr>
                <w:rFonts w:ascii="Arial" w:hAnsi="Arial" w:cs="Arial"/>
                <w:color w:val="000000"/>
                <w:sz w:val="20"/>
                <w:szCs w:val="20"/>
              </w:rPr>
              <w:t xml:space="preserve"> or modify</w:t>
            </w:r>
            <w:r w:rsidRPr="00DF04C6">
              <w:rPr>
                <w:rFonts w:ascii="Arial" w:hAnsi="Arial" w:cs="Arial"/>
                <w:color w:val="000000"/>
                <w:sz w:val="20"/>
                <w:szCs w:val="20"/>
              </w:rPr>
              <w:t xml:space="preserve"> the jurisdiction of the SAPD to </w:t>
            </w:r>
            <w:r>
              <w:rPr>
                <w:rFonts w:ascii="Arial" w:hAnsi="Arial" w:cs="Arial"/>
                <w:color w:val="000000"/>
                <w:sz w:val="20"/>
                <w:szCs w:val="20"/>
              </w:rPr>
              <w:t>handle identified indigent defense representation needs each fiscal year.</w:t>
            </w:r>
          </w:p>
        </w:tc>
        <w:tc>
          <w:tcPr>
            <w:tcW w:w="724" w:type="dxa"/>
            <w:shd w:val="clear" w:color="auto" w:fill="D9D9D9" w:themeFill="background1" w:themeFillShade="D9"/>
            <w:vAlign w:val="center"/>
          </w:tcPr>
          <w:p w14:paraId="3622D013" w14:textId="77777777" w:rsidR="00821D29" w:rsidRPr="001D59BE" w:rsidRDefault="00821D29" w:rsidP="00821D29">
            <w:pPr>
              <w:jc w:val="center"/>
              <w:rPr>
                <w:rFonts w:ascii="Arial" w:hAnsi="Arial" w:cs="Arial"/>
                <w:sz w:val="20"/>
              </w:rPr>
            </w:pPr>
            <w:r w:rsidRPr="001D59BE">
              <w:rPr>
                <w:rFonts w:ascii="Arial" w:hAnsi="Arial" w:cs="Arial"/>
                <w:sz w:val="20"/>
              </w:rPr>
              <w:t>actual</w:t>
            </w:r>
          </w:p>
        </w:tc>
        <w:tc>
          <w:tcPr>
            <w:tcW w:w="1266" w:type="dxa"/>
            <w:shd w:val="clear" w:color="auto" w:fill="D9D9D9" w:themeFill="background1" w:themeFillShade="D9"/>
            <w:vAlign w:val="center"/>
          </w:tcPr>
          <w:p w14:paraId="70952E49" w14:textId="68474699" w:rsidR="00821D29" w:rsidRPr="0078607D" w:rsidRDefault="00821D29" w:rsidP="00821D29">
            <w:pPr>
              <w:jc w:val="center"/>
              <w:rPr>
                <w:rFonts w:ascii="Arial" w:hAnsi="Arial" w:cs="Arial"/>
                <w:sz w:val="20"/>
                <w:szCs w:val="20"/>
              </w:rPr>
            </w:pPr>
            <w:r>
              <w:rPr>
                <w:rFonts w:ascii="Arial" w:hAnsi="Arial" w:cs="Arial"/>
                <w:sz w:val="20"/>
              </w:rPr>
              <w:t>N/A*</w:t>
            </w:r>
          </w:p>
        </w:tc>
        <w:tc>
          <w:tcPr>
            <w:tcW w:w="1266" w:type="dxa"/>
            <w:shd w:val="clear" w:color="auto" w:fill="D9D9D9" w:themeFill="background1" w:themeFillShade="D9"/>
            <w:vAlign w:val="center"/>
          </w:tcPr>
          <w:p w14:paraId="261D8801" w14:textId="116C4755" w:rsidR="00821D29" w:rsidRPr="0078607D" w:rsidRDefault="00821D29" w:rsidP="00821D29">
            <w:pPr>
              <w:jc w:val="center"/>
              <w:rPr>
                <w:rFonts w:ascii="Arial" w:hAnsi="Arial" w:cs="Arial"/>
                <w:sz w:val="20"/>
                <w:szCs w:val="20"/>
              </w:rPr>
            </w:pPr>
            <w:r>
              <w:rPr>
                <w:rFonts w:ascii="Arial" w:hAnsi="Arial" w:cs="Arial"/>
                <w:sz w:val="20"/>
              </w:rPr>
              <w:t>100%**</w:t>
            </w:r>
          </w:p>
        </w:tc>
        <w:tc>
          <w:tcPr>
            <w:tcW w:w="1266" w:type="dxa"/>
            <w:shd w:val="clear" w:color="auto" w:fill="D9D9D9" w:themeFill="background1" w:themeFillShade="D9"/>
            <w:vAlign w:val="center"/>
          </w:tcPr>
          <w:p w14:paraId="55F74DFA" w14:textId="01F94300" w:rsidR="00821D29" w:rsidRPr="001D59BE" w:rsidRDefault="00821D29" w:rsidP="00821D29">
            <w:pPr>
              <w:jc w:val="center"/>
              <w:rPr>
                <w:rFonts w:ascii="Arial" w:hAnsi="Arial" w:cs="Arial"/>
                <w:sz w:val="20"/>
              </w:rPr>
            </w:pPr>
            <w:r>
              <w:rPr>
                <w:rFonts w:ascii="Arial" w:hAnsi="Arial" w:cs="Arial"/>
                <w:sz w:val="20"/>
              </w:rPr>
              <w:t>100%</w:t>
            </w:r>
          </w:p>
        </w:tc>
        <w:tc>
          <w:tcPr>
            <w:tcW w:w="1266" w:type="dxa"/>
            <w:shd w:val="clear" w:color="auto" w:fill="D9D9D9" w:themeFill="background1" w:themeFillShade="D9"/>
            <w:vAlign w:val="center"/>
          </w:tcPr>
          <w:p w14:paraId="0B7751D4" w14:textId="125061C5" w:rsidR="00821D29" w:rsidRPr="001D59BE" w:rsidRDefault="00821D29" w:rsidP="00821D29">
            <w:pPr>
              <w:jc w:val="center"/>
              <w:rPr>
                <w:rFonts w:ascii="Arial" w:hAnsi="Arial" w:cs="Arial"/>
                <w:sz w:val="20"/>
              </w:rPr>
            </w:pPr>
          </w:p>
        </w:tc>
        <w:tc>
          <w:tcPr>
            <w:tcW w:w="1266" w:type="dxa"/>
            <w:shd w:val="clear" w:color="auto" w:fill="D9D9D9" w:themeFill="background1" w:themeFillShade="D9"/>
            <w:vAlign w:val="center"/>
          </w:tcPr>
          <w:p w14:paraId="7B8AFBF7" w14:textId="4A08ABFB" w:rsidR="00821D29" w:rsidRPr="001D59BE" w:rsidRDefault="00821D29" w:rsidP="00821D29">
            <w:pPr>
              <w:jc w:val="center"/>
              <w:rPr>
                <w:rFonts w:ascii="Arial" w:hAnsi="Arial" w:cs="Arial"/>
                <w:sz w:val="20"/>
              </w:rPr>
            </w:pPr>
          </w:p>
        </w:tc>
      </w:tr>
      <w:tr w:rsidR="00821D29" w:rsidRPr="0089244D" w14:paraId="1DD042AD" w14:textId="77777777" w:rsidTr="00AE58D8">
        <w:trPr>
          <w:cantSplit/>
          <w:trHeight w:val="288"/>
        </w:trPr>
        <w:tc>
          <w:tcPr>
            <w:tcW w:w="3026" w:type="dxa"/>
            <w:vMerge/>
          </w:tcPr>
          <w:p w14:paraId="4AD6DA27" w14:textId="77777777" w:rsidR="00821D29" w:rsidRPr="00646DA1" w:rsidRDefault="00821D29" w:rsidP="00821D29">
            <w:pPr>
              <w:pStyle w:val="ListParagraph"/>
              <w:numPr>
                <w:ilvl w:val="0"/>
                <w:numId w:val="2"/>
              </w:numPr>
              <w:tabs>
                <w:tab w:val="left" w:pos="2985"/>
              </w:tabs>
              <w:ind w:left="342"/>
              <w:rPr>
                <w:rFonts w:ascii="Arial" w:hAnsi="Arial" w:cs="Arial"/>
                <w:sz w:val="20"/>
              </w:rPr>
            </w:pPr>
          </w:p>
        </w:tc>
        <w:tc>
          <w:tcPr>
            <w:tcW w:w="724" w:type="dxa"/>
            <w:shd w:val="clear" w:color="auto" w:fill="FFFFFF" w:themeFill="background1"/>
            <w:vAlign w:val="center"/>
          </w:tcPr>
          <w:p w14:paraId="2F7BE3A2" w14:textId="77777777" w:rsidR="00821D29" w:rsidRDefault="00821D29" w:rsidP="00821D29">
            <w:pPr>
              <w:jc w:val="center"/>
              <w:rPr>
                <w:rFonts w:ascii="Arial" w:hAnsi="Arial" w:cs="Arial"/>
                <w:sz w:val="20"/>
              </w:rPr>
            </w:pPr>
            <w:r>
              <w:rPr>
                <w:rFonts w:ascii="Arial" w:hAnsi="Arial" w:cs="Arial"/>
                <w:i/>
                <w:sz w:val="16"/>
                <w:szCs w:val="16"/>
              </w:rPr>
              <w:t>target</w:t>
            </w:r>
          </w:p>
        </w:tc>
        <w:tc>
          <w:tcPr>
            <w:tcW w:w="1266" w:type="dxa"/>
            <w:shd w:val="clear" w:color="auto" w:fill="FFFFFF" w:themeFill="background1"/>
            <w:vAlign w:val="center"/>
          </w:tcPr>
          <w:p w14:paraId="3ED8930C" w14:textId="6BBBECE7" w:rsidR="00821D29" w:rsidRPr="00DF04C6" w:rsidRDefault="00821D29" w:rsidP="00821D29">
            <w:pPr>
              <w:jc w:val="center"/>
              <w:rPr>
                <w:rFonts w:ascii="Arial" w:hAnsi="Arial" w:cs="Arial"/>
                <w:sz w:val="16"/>
                <w:szCs w:val="16"/>
              </w:rPr>
            </w:pPr>
          </w:p>
        </w:tc>
        <w:tc>
          <w:tcPr>
            <w:tcW w:w="1266" w:type="dxa"/>
            <w:shd w:val="clear" w:color="auto" w:fill="FFFFFF" w:themeFill="background1"/>
            <w:vAlign w:val="center"/>
          </w:tcPr>
          <w:p w14:paraId="158DFAFE" w14:textId="6349872C" w:rsidR="00821D29" w:rsidRPr="00DF04C6" w:rsidRDefault="00821D29" w:rsidP="00821D29">
            <w:pPr>
              <w:jc w:val="center"/>
              <w:rPr>
                <w:rFonts w:ascii="Arial" w:hAnsi="Arial" w:cs="Arial"/>
                <w:sz w:val="16"/>
                <w:szCs w:val="16"/>
              </w:rPr>
            </w:pPr>
            <w:r>
              <w:rPr>
                <w:rFonts w:ascii="Arial" w:hAnsi="Arial" w:cs="Arial"/>
                <w:i/>
                <w:sz w:val="16"/>
                <w:szCs w:val="16"/>
              </w:rPr>
              <w:t>Amend Idaho Code § 19-840 to expand jurisdiction of the SAPD to handle juvenile and misdemeanor appeals from the district court**</w:t>
            </w:r>
          </w:p>
        </w:tc>
        <w:tc>
          <w:tcPr>
            <w:tcW w:w="1266" w:type="dxa"/>
            <w:shd w:val="clear" w:color="auto" w:fill="FFFFFF" w:themeFill="background1"/>
            <w:vAlign w:val="center"/>
          </w:tcPr>
          <w:p w14:paraId="02E2AEA1" w14:textId="16D38811" w:rsidR="00821D29" w:rsidRPr="0089244D" w:rsidRDefault="00821D29" w:rsidP="00821D29">
            <w:pPr>
              <w:jc w:val="center"/>
              <w:rPr>
                <w:rFonts w:ascii="Arial" w:hAnsi="Arial" w:cs="Arial"/>
                <w:i/>
                <w:sz w:val="16"/>
                <w:szCs w:val="16"/>
              </w:rPr>
            </w:pPr>
            <w:r>
              <w:rPr>
                <w:rFonts w:ascii="Arial" w:hAnsi="Arial" w:cs="Arial"/>
                <w:i/>
                <w:sz w:val="16"/>
                <w:szCs w:val="16"/>
              </w:rPr>
              <w:t>Amend Idaho Code § 19-840 to expand jurisdiction of the SAPD to handle juvenile and misdemeanor appeals from the district court</w:t>
            </w:r>
          </w:p>
        </w:tc>
        <w:tc>
          <w:tcPr>
            <w:tcW w:w="1266" w:type="dxa"/>
            <w:shd w:val="clear" w:color="auto" w:fill="FFFFFF" w:themeFill="background1"/>
            <w:vAlign w:val="center"/>
          </w:tcPr>
          <w:p w14:paraId="4D520D7C" w14:textId="214C2C56" w:rsidR="00821D29" w:rsidRPr="0089244D" w:rsidRDefault="00821D29" w:rsidP="00821D29">
            <w:pPr>
              <w:jc w:val="center"/>
              <w:rPr>
                <w:rFonts w:ascii="Arial" w:hAnsi="Arial" w:cs="Arial"/>
                <w:i/>
                <w:sz w:val="16"/>
                <w:szCs w:val="16"/>
              </w:rPr>
            </w:pPr>
          </w:p>
        </w:tc>
        <w:tc>
          <w:tcPr>
            <w:tcW w:w="1266" w:type="dxa"/>
            <w:shd w:val="clear" w:color="auto" w:fill="FFFFFF" w:themeFill="background1"/>
            <w:vAlign w:val="center"/>
          </w:tcPr>
          <w:p w14:paraId="5FDC3453" w14:textId="41DF38EE" w:rsidR="00821D29" w:rsidRPr="0089244D" w:rsidRDefault="00821D29" w:rsidP="00821D29">
            <w:pPr>
              <w:jc w:val="center"/>
              <w:rPr>
                <w:rFonts w:ascii="Arial" w:hAnsi="Arial" w:cs="Arial"/>
                <w:i/>
                <w:sz w:val="16"/>
                <w:szCs w:val="16"/>
              </w:rPr>
            </w:pPr>
          </w:p>
        </w:tc>
      </w:tr>
      <w:tr w:rsidR="00821D29" w:rsidRPr="001D59BE" w14:paraId="49CE7B76" w14:textId="77777777" w:rsidTr="00AE58D8">
        <w:trPr>
          <w:cantSplit/>
          <w:trHeight w:val="288"/>
        </w:trPr>
        <w:tc>
          <w:tcPr>
            <w:tcW w:w="3026" w:type="dxa"/>
            <w:vMerge w:val="restart"/>
          </w:tcPr>
          <w:p w14:paraId="599A9740" w14:textId="77777777" w:rsidR="00821D29" w:rsidRPr="00DF04C6" w:rsidRDefault="00821D29" w:rsidP="00821D29">
            <w:pPr>
              <w:pStyle w:val="ListParagraph"/>
              <w:numPr>
                <w:ilvl w:val="0"/>
                <w:numId w:val="2"/>
              </w:numPr>
              <w:ind w:left="342"/>
              <w:rPr>
                <w:rFonts w:ascii="Arial" w:hAnsi="Arial" w:cs="Arial"/>
                <w:bCs/>
                <w:sz w:val="20"/>
                <w:szCs w:val="20"/>
              </w:rPr>
            </w:pPr>
            <w:r w:rsidRPr="00DF04C6">
              <w:rPr>
                <w:rFonts w:ascii="Arial" w:hAnsi="Arial" w:cs="Arial"/>
                <w:color w:val="000000"/>
                <w:sz w:val="20"/>
                <w:szCs w:val="20"/>
              </w:rPr>
              <w:t>Collaborate with other entities to improve Idaho’s criminal justice system.</w:t>
            </w:r>
          </w:p>
        </w:tc>
        <w:tc>
          <w:tcPr>
            <w:tcW w:w="724" w:type="dxa"/>
            <w:shd w:val="clear" w:color="auto" w:fill="D9D9D9" w:themeFill="background1" w:themeFillShade="D9"/>
            <w:vAlign w:val="center"/>
          </w:tcPr>
          <w:p w14:paraId="1AA95921" w14:textId="77777777" w:rsidR="00821D29" w:rsidRPr="001D59BE" w:rsidRDefault="00821D29" w:rsidP="00821D29">
            <w:pPr>
              <w:jc w:val="center"/>
              <w:rPr>
                <w:rFonts w:ascii="Arial" w:hAnsi="Arial" w:cs="Arial"/>
                <w:sz w:val="20"/>
              </w:rPr>
            </w:pPr>
            <w:r w:rsidRPr="001D59BE">
              <w:rPr>
                <w:rFonts w:ascii="Arial" w:hAnsi="Arial" w:cs="Arial"/>
                <w:sz w:val="20"/>
              </w:rPr>
              <w:t>actual</w:t>
            </w:r>
          </w:p>
        </w:tc>
        <w:tc>
          <w:tcPr>
            <w:tcW w:w="1266" w:type="dxa"/>
            <w:shd w:val="clear" w:color="auto" w:fill="D9D9D9" w:themeFill="background1" w:themeFillShade="D9"/>
            <w:vAlign w:val="center"/>
          </w:tcPr>
          <w:p w14:paraId="6DCD0986" w14:textId="4C17A8ED" w:rsidR="00821D29" w:rsidRPr="0078607D" w:rsidRDefault="00821D29" w:rsidP="00821D29">
            <w:pPr>
              <w:jc w:val="center"/>
              <w:rPr>
                <w:rFonts w:ascii="Arial" w:hAnsi="Arial" w:cs="Arial"/>
                <w:sz w:val="20"/>
                <w:szCs w:val="20"/>
              </w:rPr>
            </w:pPr>
            <w:r>
              <w:rPr>
                <w:rFonts w:ascii="Arial" w:hAnsi="Arial" w:cs="Arial"/>
                <w:sz w:val="20"/>
              </w:rPr>
              <w:t>100%</w:t>
            </w:r>
          </w:p>
        </w:tc>
        <w:tc>
          <w:tcPr>
            <w:tcW w:w="1266" w:type="dxa"/>
            <w:shd w:val="clear" w:color="auto" w:fill="D9D9D9" w:themeFill="background1" w:themeFillShade="D9"/>
            <w:vAlign w:val="center"/>
          </w:tcPr>
          <w:p w14:paraId="6DF33EE8" w14:textId="42B86124" w:rsidR="00821D29" w:rsidRPr="0078607D" w:rsidRDefault="00821D29" w:rsidP="00821D29">
            <w:pPr>
              <w:jc w:val="center"/>
              <w:rPr>
                <w:rFonts w:ascii="Arial" w:hAnsi="Arial" w:cs="Arial"/>
                <w:sz w:val="20"/>
                <w:szCs w:val="20"/>
              </w:rPr>
            </w:pPr>
            <w:r>
              <w:rPr>
                <w:rFonts w:ascii="Arial" w:hAnsi="Arial" w:cs="Arial"/>
                <w:sz w:val="20"/>
              </w:rPr>
              <w:t>100%</w:t>
            </w:r>
          </w:p>
        </w:tc>
        <w:tc>
          <w:tcPr>
            <w:tcW w:w="1266" w:type="dxa"/>
            <w:shd w:val="clear" w:color="auto" w:fill="D9D9D9" w:themeFill="background1" w:themeFillShade="D9"/>
            <w:vAlign w:val="center"/>
          </w:tcPr>
          <w:p w14:paraId="27C13368" w14:textId="36738223" w:rsidR="00821D29" w:rsidRPr="001D59BE" w:rsidRDefault="00821D29" w:rsidP="00821D29">
            <w:pPr>
              <w:jc w:val="center"/>
              <w:rPr>
                <w:rFonts w:ascii="Arial" w:hAnsi="Arial" w:cs="Arial"/>
                <w:sz w:val="20"/>
              </w:rPr>
            </w:pPr>
            <w:r>
              <w:rPr>
                <w:rFonts w:ascii="Arial" w:hAnsi="Arial" w:cs="Arial"/>
                <w:sz w:val="20"/>
              </w:rPr>
              <w:t>100%</w:t>
            </w:r>
          </w:p>
        </w:tc>
        <w:tc>
          <w:tcPr>
            <w:tcW w:w="1266" w:type="dxa"/>
            <w:shd w:val="clear" w:color="auto" w:fill="D9D9D9" w:themeFill="background1" w:themeFillShade="D9"/>
            <w:vAlign w:val="center"/>
          </w:tcPr>
          <w:p w14:paraId="39DDF0A0" w14:textId="30C3901E" w:rsidR="00821D29" w:rsidRPr="001D59BE" w:rsidRDefault="00821D29" w:rsidP="00821D29">
            <w:pPr>
              <w:jc w:val="center"/>
              <w:rPr>
                <w:rFonts w:ascii="Arial" w:hAnsi="Arial" w:cs="Arial"/>
                <w:sz w:val="20"/>
              </w:rPr>
            </w:pPr>
          </w:p>
        </w:tc>
        <w:tc>
          <w:tcPr>
            <w:tcW w:w="1266" w:type="dxa"/>
            <w:shd w:val="clear" w:color="auto" w:fill="D9D9D9" w:themeFill="background1" w:themeFillShade="D9"/>
            <w:vAlign w:val="center"/>
          </w:tcPr>
          <w:p w14:paraId="12650DC8" w14:textId="78FC00BB" w:rsidR="00821D29" w:rsidRPr="001D59BE" w:rsidRDefault="00821D29" w:rsidP="00821D29">
            <w:pPr>
              <w:jc w:val="center"/>
              <w:rPr>
                <w:rFonts w:ascii="Arial" w:hAnsi="Arial" w:cs="Arial"/>
                <w:sz w:val="20"/>
              </w:rPr>
            </w:pPr>
          </w:p>
        </w:tc>
      </w:tr>
      <w:tr w:rsidR="00821D29" w:rsidRPr="0089244D" w14:paraId="21228EB6" w14:textId="77777777" w:rsidTr="00AE58D8">
        <w:trPr>
          <w:cantSplit/>
          <w:trHeight w:val="288"/>
        </w:trPr>
        <w:tc>
          <w:tcPr>
            <w:tcW w:w="3026" w:type="dxa"/>
            <w:vMerge/>
          </w:tcPr>
          <w:p w14:paraId="1163347D" w14:textId="77777777" w:rsidR="00821D29" w:rsidRPr="00646DA1" w:rsidRDefault="00821D29" w:rsidP="00821D29">
            <w:pPr>
              <w:pStyle w:val="ListParagraph"/>
              <w:numPr>
                <w:ilvl w:val="0"/>
                <w:numId w:val="2"/>
              </w:numPr>
              <w:tabs>
                <w:tab w:val="left" w:pos="2985"/>
              </w:tabs>
              <w:ind w:left="342"/>
              <w:rPr>
                <w:rFonts w:ascii="Arial" w:hAnsi="Arial" w:cs="Arial"/>
                <w:sz w:val="20"/>
              </w:rPr>
            </w:pPr>
          </w:p>
        </w:tc>
        <w:tc>
          <w:tcPr>
            <w:tcW w:w="724" w:type="dxa"/>
            <w:shd w:val="clear" w:color="auto" w:fill="FFFFFF" w:themeFill="background1"/>
            <w:vAlign w:val="center"/>
          </w:tcPr>
          <w:p w14:paraId="25E151FD" w14:textId="77777777" w:rsidR="00821D29" w:rsidRDefault="00821D29" w:rsidP="00821D29">
            <w:pPr>
              <w:jc w:val="center"/>
              <w:rPr>
                <w:rFonts w:ascii="Arial" w:hAnsi="Arial" w:cs="Arial"/>
                <w:sz w:val="20"/>
              </w:rPr>
            </w:pPr>
            <w:r>
              <w:rPr>
                <w:rFonts w:ascii="Arial" w:hAnsi="Arial" w:cs="Arial"/>
                <w:i/>
                <w:sz w:val="16"/>
                <w:szCs w:val="16"/>
              </w:rPr>
              <w:t>target</w:t>
            </w:r>
          </w:p>
        </w:tc>
        <w:tc>
          <w:tcPr>
            <w:tcW w:w="1266" w:type="dxa"/>
            <w:shd w:val="clear" w:color="auto" w:fill="FFFFFF" w:themeFill="background1"/>
            <w:vAlign w:val="center"/>
          </w:tcPr>
          <w:p w14:paraId="501321B0" w14:textId="2526AC50" w:rsidR="00821D29" w:rsidRPr="0089244D" w:rsidRDefault="00821D29" w:rsidP="00821D29">
            <w:pPr>
              <w:jc w:val="center"/>
              <w:rPr>
                <w:rFonts w:ascii="Arial" w:hAnsi="Arial" w:cs="Arial"/>
                <w:i/>
                <w:sz w:val="16"/>
                <w:szCs w:val="16"/>
              </w:rPr>
            </w:pPr>
            <w:r w:rsidRPr="00DF04C6">
              <w:rPr>
                <w:rFonts w:ascii="Arial" w:hAnsi="Arial" w:cs="Arial"/>
                <w:i/>
                <w:color w:val="000000"/>
                <w:sz w:val="16"/>
                <w:szCs w:val="16"/>
              </w:rPr>
              <w:t>Participation in</w:t>
            </w:r>
            <w:r>
              <w:rPr>
                <w:rFonts w:ascii="Arial" w:hAnsi="Arial" w:cs="Arial"/>
                <w:i/>
                <w:color w:val="000000"/>
                <w:sz w:val="16"/>
                <w:szCs w:val="16"/>
              </w:rPr>
              <w:t xml:space="preserve"> the ICJC,</w:t>
            </w:r>
            <w:r w:rsidRPr="00DF04C6">
              <w:rPr>
                <w:rFonts w:ascii="Arial" w:hAnsi="Arial" w:cs="Arial"/>
                <w:i/>
                <w:color w:val="000000"/>
                <w:sz w:val="16"/>
                <w:szCs w:val="16"/>
              </w:rPr>
              <w:t xml:space="preserve"> </w:t>
            </w:r>
            <w:r>
              <w:rPr>
                <w:rFonts w:ascii="Arial" w:hAnsi="Arial" w:cs="Arial"/>
                <w:i/>
                <w:color w:val="000000"/>
                <w:sz w:val="16"/>
                <w:szCs w:val="16"/>
              </w:rPr>
              <w:t>IPDC</w:t>
            </w:r>
            <w:r w:rsidRPr="00DF04C6">
              <w:rPr>
                <w:rFonts w:ascii="Arial" w:hAnsi="Arial" w:cs="Arial"/>
                <w:i/>
                <w:color w:val="000000"/>
                <w:sz w:val="16"/>
                <w:szCs w:val="16"/>
              </w:rPr>
              <w:t xml:space="preserve">, the </w:t>
            </w:r>
            <w:r>
              <w:rPr>
                <w:rFonts w:ascii="Arial" w:hAnsi="Arial" w:cs="Arial"/>
                <w:i/>
                <w:color w:val="000000"/>
                <w:sz w:val="16"/>
                <w:szCs w:val="16"/>
              </w:rPr>
              <w:t>Grant Council</w:t>
            </w:r>
            <w:r w:rsidRPr="00DF04C6">
              <w:rPr>
                <w:rFonts w:ascii="Arial" w:hAnsi="Arial" w:cs="Arial"/>
                <w:i/>
                <w:color w:val="000000"/>
                <w:sz w:val="16"/>
                <w:szCs w:val="16"/>
              </w:rPr>
              <w:t xml:space="preserve">, the </w:t>
            </w:r>
            <w:r>
              <w:rPr>
                <w:rFonts w:ascii="Arial" w:hAnsi="Arial" w:cs="Arial"/>
                <w:i/>
                <w:color w:val="000000"/>
                <w:sz w:val="16"/>
                <w:szCs w:val="16"/>
              </w:rPr>
              <w:t>Technology Committee, the</w:t>
            </w:r>
            <w:r w:rsidRPr="00DF04C6">
              <w:rPr>
                <w:rFonts w:ascii="Arial" w:hAnsi="Arial" w:cs="Arial"/>
                <w:i/>
                <w:color w:val="000000"/>
                <w:sz w:val="16"/>
                <w:szCs w:val="16"/>
              </w:rPr>
              <w:t xml:space="preserve"> Appellate Rules Committee, and the </w:t>
            </w:r>
            <w:r>
              <w:rPr>
                <w:rFonts w:ascii="Arial" w:hAnsi="Arial" w:cs="Arial"/>
                <w:i/>
                <w:color w:val="000000"/>
                <w:sz w:val="16"/>
                <w:szCs w:val="16"/>
              </w:rPr>
              <w:t>NAPD</w:t>
            </w:r>
          </w:p>
        </w:tc>
        <w:tc>
          <w:tcPr>
            <w:tcW w:w="1266" w:type="dxa"/>
            <w:shd w:val="clear" w:color="auto" w:fill="FFFFFF" w:themeFill="background1"/>
            <w:vAlign w:val="center"/>
          </w:tcPr>
          <w:p w14:paraId="0900416C" w14:textId="57AD4005" w:rsidR="00821D29" w:rsidRPr="0089244D" w:rsidRDefault="00821D29" w:rsidP="00821D29">
            <w:pPr>
              <w:jc w:val="center"/>
              <w:rPr>
                <w:rFonts w:ascii="Arial" w:hAnsi="Arial" w:cs="Arial"/>
                <w:i/>
                <w:sz w:val="16"/>
                <w:szCs w:val="16"/>
              </w:rPr>
            </w:pPr>
            <w:r w:rsidRPr="00DF04C6">
              <w:rPr>
                <w:rFonts w:ascii="Arial" w:hAnsi="Arial" w:cs="Arial"/>
                <w:i/>
                <w:color w:val="000000"/>
                <w:sz w:val="16"/>
                <w:szCs w:val="16"/>
              </w:rPr>
              <w:t>Participation in</w:t>
            </w:r>
            <w:r>
              <w:rPr>
                <w:rFonts w:ascii="Arial" w:hAnsi="Arial" w:cs="Arial"/>
                <w:i/>
                <w:color w:val="000000"/>
                <w:sz w:val="16"/>
                <w:szCs w:val="16"/>
              </w:rPr>
              <w:t xml:space="preserve"> the ICJC,</w:t>
            </w:r>
            <w:r w:rsidRPr="00DF04C6">
              <w:rPr>
                <w:rFonts w:ascii="Arial" w:hAnsi="Arial" w:cs="Arial"/>
                <w:i/>
                <w:color w:val="000000"/>
                <w:sz w:val="16"/>
                <w:szCs w:val="16"/>
              </w:rPr>
              <w:t xml:space="preserve"> </w:t>
            </w:r>
            <w:r>
              <w:rPr>
                <w:rFonts w:ascii="Arial" w:hAnsi="Arial" w:cs="Arial"/>
                <w:i/>
                <w:color w:val="000000"/>
                <w:sz w:val="16"/>
                <w:szCs w:val="16"/>
              </w:rPr>
              <w:t>IPDC</w:t>
            </w:r>
            <w:r w:rsidRPr="00DF04C6">
              <w:rPr>
                <w:rFonts w:ascii="Arial" w:hAnsi="Arial" w:cs="Arial"/>
                <w:i/>
                <w:color w:val="000000"/>
                <w:sz w:val="16"/>
                <w:szCs w:val="16"/>
              </w:rPr>
              <w:t xml:space="preserve">, the </w:t>
            </w:r>
            <w:r>
              <w:rPr>
                <w:rFonts w:ascii="Arial" w:hAnsi="Arial" w:cs="Arial"/>
                <w:i/>
                <w:color w:val="000000"/>
                <w:sz w:val="16"/>
                <w:szCs w:val="16"/>
              </w:rPr>
              <w:t>Grant Council</w:t>
            </w:r>
            <w:r w:rsidRPr="00DF04C6">
              <w:rPr>
                <w:rFonts w:ascii="Arial" w:hAnsi="Arial" w:cs="Arial"/>
                <w:i/>
                <w:color w:val="000000"/>
                <w:sz w:val="16"/>
                <w:szCs w:val="16"/>
              </w:rPr>
              <w:t xml:space="preserve">, the </w:t>
            </w:r>
            <w:r>
              <w:rPr>
                <w:rFonts w:ascii="Arial" w:hAnsi="Arial" w:cs="Arial"/>
                <w:i/>
                <w:color w:val="000000"/>
                <w:sz w:val="16"/>
                <w:szCs w:val="16"/>
              </w:rPr>
              <w:t>Technology Committee, the</w:t>
            </w:r>
            <w:r w:rsidRPr="00DF04C6">
              <w:rPr>
                <w:rFonts w:ascii="Arial" w:hAnsi="Arial" w:cs="Arial"/>
                <w:i/>
                <w:color w:val="000000"/>
                <w:sz w:val="16"/>
                <w:szCs w:val="16"/>
              </w:rPr>
              <w:t xml:space="preserve"> Appellate Rules Committee, and the </w:t>
            </w:r>
            <w:r>
              <w:rPr>
                <w:rFonts w:ascii="Arial" w:hAnsi="Arial" w:cs="Arial"/>
                <w:i/>
                <w:color w:val="000000"/>
                <w:sz w:val="16"/>
                <w:szCs w:val="16"/>
              </w:rPr>
              <w:t>NAPD</w:t>
            </w:r>
          </w:p>
        </w:tc>
        <w:tc>
          <w:tcPr>
            <w:tcW w:w="1266" w:type="dxa"/>
            <w:shd w:val="clear" w:color="auto" w:fill="FFFFFF" w:themeFill="background1"/>
            <w:vAlign w:val="center"/>
          </w:tcPr>
          <w:p w14:paraId="69DA6F99" w14:textId="2C7DDA2E" w:rsidR="00821D29" w:rsidRPr="0089244D" w:rsidRDefault="00821D29" w:rsidP="00821D29">
            <w:pPr>
              <w:jc w:val="center"/>
              <w:rPr>
                <w:rFonts w:ascii="Arial" w:hAnsi="Arial" w:cs="Arial"/>
                <w:i/>
                <w:sz w:val="16"/>
                <w:szCs w:val="16"/>
              </w:rPr>
            </w:pPr>
            <w:r w:rsidRPr="00DF04C6">
              <w:rPr>
                <w:rFonts w:ascii="Arial" w:hAnsi="Arial" w:cs="Arial"/>
                <w:i/>
                <w:color w:val="000000"/>
                <w:sz w:val="16"/>
                <w:szCs w:val="16"/>
              </w:rPr>
              <w:t>Participation in</w:t>
            </w:r>
            <w:r>
              <w:rPr>
                <w:rFonts w:ascii="Arial" w:hAnsi="Arial" w:cs="Arial"/>
                <w:i/>
                <w:color w:val="000000"/>
                <w:sz w:val="16"/>
                <w:szCs w:val="16"/>
              </w:rPr>
              <w:t xml:space="preserve"> the ICJC,</w:t>
            </w:r>
            <w:r w:rsidRPr="00DF04C6">
              <w:rPr>
                <w:rFonts w:ascii="Arial" w:hAnsi="Arial" w:cs="Arial"/>
                <w:i/>
                <w:color w:val="000000"/>
                <w:sz w:val="16"/>
                <w:szCs w:val="16"/>
              </w:rPr>
              <w:t xml:space="preserve"> </w:t>
            </w:r>
            <w:r>
              <w:rPr>
                <w:rFonts w:ascii="Arial" w:hAnsi="Arial" w:cs="Arial"/>
                <w:i/>
                <w:color w:val="000000"/>
                <w:sz w:val="16"/>
                <w:szCs w:val="16"/>
              </w:rPr>
              <w:t>IPDC</w:t>
            </w:r>
            <w:r w:rsidRPr="00DF04C6">
              <w:rPr>
                <w:rFonts w:ascii="Arial" w:hAnsi="Arial" w:cs="Arial"/>
                <w:i/>
                <w:color w:val="000000"/>
                <w:sz w:val="16"/>
                <w:szCs w:val="16"/>
              </w:rPr>
              <w:t xml:space="preserve">, the </w:t>
            </w:r>
            <w:r>
              <w:rPr>
                <w:rFonts w:ascii="Arial" w:hAnsi="Arial" w:cs="Arial"/>
                <w:i/>
                <w:color w:val="000000"/>
                <w:sz w:val="16"/>
                <w:szCs w:val="16"/>
              </w:rPr>
              <w:t>Grant Council</w:t>
            </w:r>
            <w:r w:rsidRPr="00DF04C6">
              <w:rPr>
                <w:rFonts w:ascii="Arial" w:hAnsi="Arial" w:cs="Arial"/>
                <w:i/>
                <w:color w:val="000000"/>
                <w:sz w:val="16"/>
                <w:szCs w:val="16"/>
              </w:rPr>
              <w:t xml:space="preserve">, the </w:t>
            </w:r>
            <w:r>
              <w:rPr>
                <w:rFonts w:ascii="Arial" w:hAnsi="Arial" w:cs="Arial"/>
                <w:i/>
                <w:color w:val="000000"/>
                <w:sz w:val="16"/>
                <w:szCs w:val="16"/>
              </w:rPr>
              <w:t>Technology Committee, the</w:t>
            </w:r>
            <w:r w:rsidRPr="00DF04C6">
              <w:rPr>
                <w:rFonts w:ascii="Arial" w:hAnsi="Arial" w:cs="Arial"/>
                <w:i/>
                <w:color w:val="000000"/>
                <w:sz w:val="16"/>
                <w:szCs w:val="16"/>
              </w:rPr>
              <w:t xml:space="preserve"> Appellate Rules Committee, and the </w:t>
            </w:r>
            <w:r>
              <w:rPr>
                <w:rFonts w:ascii="Arial" w:hAnsi="Arial" w:cs="Arial"/>
                <w:i/>
                <w:color w:val="000000"/>
                <w:sz w:val="16"/>
                <w:szCs w:val="16"/>
              </w:rPr>
              <w:t>NAPD</w:t>
            </w:r>
          </w:p>
        </w:tc>
        <w:tc>
          <w:tcPr>
            <w:tcW w:w="1266" w:type="dxa"/>
            <w:shd w:val="clear" w:color="auto" w:fill="FFFFFF" w:themeFill="background1"/>
            <w:vAlign w:val="center"/>
          </w:tcPr>
          <w:p w14:paraId="7BF83697" w14:textId="43D84A88" w:rsidR="00821D29" w:rsidRPr="0089244D" w:rsidRDefault="00821D29" w:rsidP="00821D29">
            <w:pPr>
              <w:jc w:val="center"/>
              <w:rPr>
                <w:rFonts w:ascii="Arial" w:hAnsi="Arial" w:cs="Arial"/>
                <w:i/>
                <w:sz w:val="16"/>
                <w:szCs w:val="16"/>
              </w:rPr>
            </w:pPr>
          </w:p>
        </w:tc>
        <w:tc>
          <w:tcPr>
            <w:tcW w:w="1266" w:type="dxa"/>
            <w:shd w:val="clear" w:color="auto" w:fill="FFFFFF" w:themeFill="background1"/>
            <w:vAlign w:val="center"/>
          </w:tcPr>
          <w:p w14:paraId="7C534247" w14:textId="691A209A" w:rsidR="00821D29" w:rsidRPr="0089244D" w:rsidRDefault="00821D29" w:rsidP="00821D29">
            <w:pPr>
              <w:jc w:val="center"/>
              <w:rPr>
                <w:rFonts w:ascii="Arial" w:hAnsi="Arial" w:cs="Arial"/>
                <w:i/>
                <w:sz w:val="16"/>
                <w:szCs w:val="16"/>
              </w:rPr>
            </w:pPr>
          </w:p>
        </w:tc>
      </w:tr>
    </w:tbl>
    <w:p w14:paraId="6A1CA018" w14:textId="3BFEEE63" w:rsidR="000E2BA1" w:rsidRDefault="000E2BA1" w:rsidP="009E383C">
      <w:pPr>
        <w:jc w:val="both"/>
        <w:rPr>
          <w:rFonts w:ascii="Arial" w:hAnsi="Arial" w:cs="Arial"/>
          <w:sz w:val="20"/>
          <w:szCs w:val="20"/>
        </w:rPr>
      </w:pPr>
      <w:r>
        <w:rPr>
          <w:rFonts w:ascii="Arial" w:hAnsi="Arial" w:cs="Arial"/>
          <w:sz w:val="20"/>
          <w:szCs w:val="20"/>
        </w:rPr>
        <w:t>*</w:t>
      </w:r>
      <w:r w:rsidR="001D2A76">
        <w:rPr>
          <w:rFonts w:ascii="Arial" w:hAnsi="Arial" w:cs="Arial"/>
          <w:sz w:val="20"/>
          <w:szCs w:val="20"/>
        </w:rPr>
        <w:t xml:space="preserve"> </w:t>
      </w:r>
      <w:r>
        <w:rPr>
          <w:rFonts w:ascii="Arial" w:hAnsi="Arial" w:cs="Arial"/>
          <w:sz w:val="20"/>
          <w:szCs w:val="20"/>
        </w:rPr>
        <w:t xml:space="preserve">This </w:t>
      </w:r>
      <w:r w:rsidR="006F4A5E">
        <w:rPr>
          <w:rFonts w:ascii="Arial" w:hAnsi="Arial" w:cs="Arial"/>
          <w:sz w:val="20"/>
          <w:szCs w:val="20"/>
        </w:rPr>
        <w:t>Performance measure was completed in FY2017</w:t>
      </w:r>
      <w:r>
        <w:rPr>
          <w:rFonts w:ascii="Arial" w:hAnsi="Arial" w:cs="Arial"/>
          <w:sz w:val="20"/>
          <w:szCs w:val="20"/>
        </w:rPr>
        <w:t xml:space="preserve"> and </w:t>
      </w:r>
      <w:r w:rsidR="00E14040">
        <w:rPr>
          <w:rFonts w:ascii="Arial" w:hAnsi="Arial" w:cs="Arial"/>
          <w:sz w:val="20"/>
          <w:szCs w:val="20"/>
        </w:rPr>
        <w:t>has been replaced with a new performance measure for FY2020.</w:t>
      </w:r>
    </w:p>
    <w:p w14:paraId="6736A43D" w14:textId="32676AD7" w:rsidR="001B500F" w:rsidRDefault="000E2BA1" w:rsidP="009E383C">
      <w:pPr>
        <w:jc w:val="both"/>
        <w:rPr>
          <w:rFonts w:ascii="Arial" w:hAnsi="Arial" w:cs="Arial"/>
          <w:sz w:val="20"/>
          <w:szCs w:val="20"/>
        </w:rPr>
      </w:pPr>
      <w:r>
        <w:rPr>
          <w:rFonts w:ascii="Arial" w:hAnsi="Arial" w:cs="Arial"/>
          <w:sz w:val="20"/>
          <w:szCs w:val="20"/>
        </w:rPr>
        <w:t>*</w:t>
      </w:r>
      <w:r w:rsidR="00D608C8">
        <w:rPr>
          <w:rFonts w:ascii="Arial" w:hAnsi="Arial" w:cs="Arial"/>
          <w:sz w:val="20"/>
          <w:szCs w:val="20"/>
        </w:rPr>
        <w:t>*</w:t>
      </w:r>
      <w:r w:rsidR="009B4070">
        <w:rPr>
          <w:rFonts w:ascii="Arial" w:hAnsi="Arial" w:cs="Arial"/>
          <w:sz w:val="20"/>
          <w:szCs w:val="20"/>
        </w:rPr>
        <w:t>New Performance measure for FY 20</w:t>
      </w:r>
      <w:r w:rsidR="002D1E55">
        <w:rPr>
          <w:rFonts w:ascii="Arial" w:hAnsi="Arial" w:cs="Arial"/>
          <w:sz w:val="20"/>
          <w:szCs w:val="20"/>
        </w:rPr>
        <w:t>20</w:t>
      </w:r>
      <w:r>
        <w:rPr>
          <w:rFonts w:ascii="Arial" w:hAnsi="Arial" w:cs="Arial"/>
          <w:sz w:val="20"/>
          <w:szCs w:val="20"/>
        </w:rPr>
        <w:t>.</w:t>
      </w:r>
      <w:r w:rsidR="001B500F">
        <w:rPr>
          <w:rFonts w:ascii="Arial" w:hAnsi="Arial" w:cs="Arial"/>
          <w:sz w:val="20"/>
          <w:szCs w:val="20"/>
        </w:rPr>
        <w:t xml:space="preserve"> </w:t>
      </w:r>
    </w:p>
    <w:p w14:paraId="3647AB1A" w14:textId="77777777" w:rsidR="004D0EE0" w:rsidRDefault="004D0EE0" w:rsidP="009E383C">
      <w:pPr>
        <w:jc w:val="both"/>
        <w:rPr>
          <w:rFonts w:ascii="Arial" w:hAnsi="Arial" w:cs="Arial"/>
        </w:rPr>
      </w:pPr>
    </w:p>
    <w:p w14:paraId="767BD058" w14:textId="77777777" w:rsidR="001D2A76" w:rsidRDefault="001D2A76" w:rsidP="00A65DFA">
      <w:pPr>
        <w:jc w:val="both"/>
        <w:rPr>
          <w:rFonts w:ascii="Arial" w:hAnsi="Arial" w:cs="Arial"/>
          <w:b/>
          <w:bCs/>
        </w:rPr>
      </w:pPr>
    </w:p>
    <w:p w14:paraId="06F4C040" w14:textId="1E056CD3" w:rsidR="00A65DFA" w:rsidRDefault="008E458A" w:rsidP="00A65DFA">
      <w:pPr>
        <w:jc w:val="both"/>
        <w:rPr>
          <w:rFonts w:ascii="Arial" w:hAnsi="Arial" w:cs="Arial"/>
          <w:b/>
          <w:bCs/>
        </w:rPr>
      </w:pPr>
      <w:r w:rsidRPr="00BE41B3">
        <w:rPr>
          <w:rFonts w:ascii="Arial" w:hAnsi="Arial" w:cs="Arial"/>
          <w:b/>
          <w:bCs/>
        </w:rPr>
        <w:t>Performance Measure Explanatory Note</w:t>
      </w:r>
      <w:r>
        <w:rPr>
          <w:rFonts w:ascii="Arial" w:hAnsi="Arial" w:cs="Arial"/>
          <w:b/>
          <w:bCs/>
        </w:rPr>
        <w:t>s</w:t>
      </w:r>
    </w:p>
    <w:p w14:paraId="512CA834" w14:textId="77777777" w:rsidR="00BA5537" w:rsidRDefault="00BA5537" w:rsidP="00A65DFA">
      <w:pPr>
        <w:jc w:val="both"/>
        <w:rPr>
          <w:rFonts w:ascii="Arial" w:hAnsi="Arial" w:cs="Arial"/>
          <w:b/>
          <w:bCs/>
          <w:i/>
          <w:color w:val="FF0000"/>
        </w:rPr>
      </w:pPr>
    </w:p>
    <w:p w14:paraId="76800986" w14:textId="74DE4AF7" w:rsidR="009A3DBE" w:rsidRDefault="00054D06" w:rsidP="002F5683">
      <w:pPr>
        <w:jc w:val="both"/>
        <w:rPr>
          <w:rFonts w:ascii="Arial" w:hAnsi="Arial" w:cs="Arial"/>
          <w:color w:val="000000"/>
          <w:sz w:val="20"/>
          <w:szCs w:val="20"/>
        </w:rPr>
      </w:pPr>
      <w:r>
        <w:rPr>
          <w:rFonts w:ascii="Arial" w:hAnsi="Arial" w:cs="Arial"/>
          <w:color w:val="000000"/>
          <w:sz w:val="20"/>
          <w:szCs w:val="20"/>
        </w:rPr>
        <w:t xml:space="preserve">In </w:t>
      </w:r>
      <w:r w:rsidR="008A154B">
        <w:rPr>
          <w:rFonts w:ascii="Arial" w:hAnsi="Arial" w:cs="Arial"/>
          <w:color w:val="000000"/>
          <w:sz w:val="20"/>
          <w:szCs w:val="20"/>
        </w:rPr>
        <w:t>FY20</w:t>
      </w:r>
      <w:r w:rsidR="00BA5537">
        <w:rPr>
          <w:rFonts w:ascii="Arial" w:hAnsi="Arial" w:cs="Arial"/>
          <w:color w:val="000000"/>
          <w:sz w:val="20"/>
          <w:szCs w:val="20"/>
        </w:rPr>
        <w:t>2</w:t>
      </w:r>
      <w:r w:rsidR="00020F60">
        <w:rPr>
          <w:rFonts w:ascii="Arial" w:hAnsi="Arial" w:cs="Arial"/>
          <w:color w:val="000000"/>
          <w:sz w:val="20"/>
          <w:szCs w:val="20"/>
        </w:rPr>
        <w:t>1</w:t>
      </w:r>
      <w:r w:rsidR="003E7EB9" w:rsidRPr="00BA0919">
        <w:rPr>
          <w:rFonts w:ascii="Arial" w:hAnsi="Arial" w:cs="Arial"/>
          <w:color w:val="000000"/>
          <w:sz w:val="20"/>
          <w:szCs w:val="20"/>
        </w:rPr>
        <w:t xml:space="preserve">, the SAPD was appointed to </w:t>
      </w:r>
      <w:r w:rsidR="00020F60">
        <w:rPr>
          <w:rFonts w:ascii="Arial" w:hAnsi="Arial" w:cs="Arial"/>
          <w:color w:val="000000"/>
          <w:sz w:val="20"/>
          <w:szCs w:val="20"/>
        </w:rPr>
        <w:t>435</w:t>
      </w:r>
      <w:r w:rsidR="003E7EB9" w:rsidRPr="00BA0919">
        <w:rPr>
          <w:rFonts w:ascii="Arial" w:hAnsi="Arial" w:cs="Arial"/>
          <w:color w:val="000000"/>
          <w:sz w:val="20"/>
          <w:szCs w:val="20"/>
        </w:rPr>
        <w:t xml:space="preserve"> criminal appeals from the district court, </w:t>
      </w:r>
      <w:r w:rsidR="008A154B">
        <w:rPr>
          <w:rFonts w:ascii="Arial" w:hAnsi="Arial" w:cs="Arial"/>
          <w:color w:val="000000"/>
          <w:sz w:val="20"/>
          <w:szCs w:val="20"/>
        </w:rPr>
        <w:t xml:space="preserve">which </w:t>
      </w:r>
      <w:r w:rsidR="00BA5537">
        <w:rPr>
          <w:rFonts w:ascii="Arial" w:hAnsi="Arial" w:cs="Arial"/>
          <w:color w:val="000000"/>
          <w:sz w:val="20"/>
          <w:szCs w:val="20"/>
        </w:rPr>
        <w:t>is a</w:t>
      </w:r>
      <w:r w:rsidR="00020F60">
        <w:rPr>
          <w:rFonts w:ascii="Arial" w:hAnsi="Arial" w:cs="Arial"/>
          <w:color w:val="000000"/>
          <w:sz w:val="20"/>
          <w:szCs w:val="20"/>
        </w:rPr>
        <w:t xml:space="preserve"> significant</w:t>
      </w:r>
      <w:r w:rsidR="00BA5537">
        <w:rPr>
          <w:rFonts w:ascii="Arial" w:hAnsi="Arial" w:cs="Arial"/>
          <w:color w:val="000000"/>
          <w:sz w:val="20"/>
          <w:szCs w:val="20"/>
        </w:rPr>
        <w:t xml:space="preserve"> workload </w:t>
      </w:r>
      <w:r w:rsidR="00020F60">
        <w:rPr>
          <w:rFonts w:ascii="Arial" w:hAnsi="Arial" w:cs="Arial"/>
          <w:color w:val="000000"/>
          <w:sz w:val="20"/>
          <w:szCs w:val="20"/>
        </w:rPr>
        <w:t>decrease</w:t>
      </w:r>
      <w:r w:rsidR="00BA5537">
        <w:rPr>
          <w:rFonts w:ascii="Arial" w:hAnsi="Arial" w:cs="Arial"/>
          <w:color w:val="000000"/>
          <w:sz w:val="20"/>
          <w:szCs w:val="20"/>
        </w:rPr>
        <w:t xml:space="preserve"> from</w:t>
      </w:r>
      <w:r w:rsidR="008A154B">
        <w:rPr>
          <w:rFonts w:ascii="Arial" w:hAnsi="Arial" w:cs="Arial"/>
          <w:color w:val="000000"/>
          <w:sz w:val="20"/>
          <w:szCs w:val="20"/>
        </w:rPr>
        <w:t xml:space="preserve"> FY20</w:t>
      </w:r>
      <w:r w:rsidR="00020F60">
        <w:rPr>
          <w:rFonts w:ascii="Arial" w:hAnsi="Arial" w:cs="Arial"/>
          <w:color w:val="000000"/>
          <w:sz w:val="20"/>
          <w:szCs w:val="20"/>
        </w:rPr>
        <w:t>20</w:t>
      </w:r>
      <w:r w:rsidR="008A154B">
        <w:rPr>
          <w:rFonts w:ascii="Arial" w:hAnsi="Arial" w:cs="Arial"/>
          <w:color w:val="000000"/>
          <w:sz w:val="20"/>
          <w:szCs w:val="20"/>
        </w:rPr>
        <w:t xml:space="preserve"> (</w:t>
      </w:r>
      <w:r w:rsidR="00020F60">
        <w:rPr>
          <w:rFonts w:ascii="Arial" w:hAnsi="Arial" w:cs="Arial"/>
          <w:color w:val="000000"/>
          <w:sz w:val="20"/>
          <w:szCs w:val="20"/>
        </w:rPr>
        <w:t>618</w:t>
      </w:r>
      <w:r w:rsidR="008A154B">
        <w:rPr>
          <w:rFonts w:ascii="Arial" w:hAnsi="Arial" w:cs="Arial"/>
          <w:color w:val="000000"/>
          <w:sz w:val="20"/>
          <w:szCs w:val="20"/>
        </w:rPr>
        <w:t>)</w:t>
      </w:r>
      <w:r w:rsidR="003E7EB9" w:rsidRPr="00BA0919">
        <w:rPr>
          <w:rFonts w:ascii="Arial" w:hAnsi="Arial" w:cs="Arial"/>
          <w:color w:val="000000"/>
          <w:sz w:val="20"/>
          <w:szCs w:val="20"/>
        </w:rPr>
        <w:t xml:space="preserve">.  </w:t>
      </w:r>
      <w:r w:rsidR="007334D7">
        <w:rPr>
          <w:rFonts w:ascii="Arial" w:hAnsi="Arial" w:cs="Arial"/>
          <w:color w:val="000000"/>
          <w:sz w:val="20"/>
          <w:szCs w:val="20"/>
        </w:rPr>
        <w:t>The SAPD’s numbers are</w:t>
      </w:r>
      <w:r w:rsidR="003E7EB9" w:rsidRPr="00BA0919">
        <w:rPr>
          <w:rFonts w:ascii="Arial" w:hAnsi="Arial" w:cs="Arial"/>
          <w:color w:val="000000"/>
          <w:sz w:val="20"/>
          <w:szCs w:val="20"/>
        </w:rPr>
        <w:t xml:space="preserve"> consistent with the number of felony criminal appeals filed in the</w:t>
      </w:r>
      <w:r w:rsidR="00FE471D">
        <w:rPr>
          <w:rFonts w:ascii="Arial" w:hAnsi="Arial" w:cs="Arial"/>
          <w:color w:val="000000"/>
          <w:sz w:val="20"/>
          <w:szCs w:val="20"/>
        </w:rPr>
        <w:t xml:space="preserve"> Idaho Supreme Court.  The average deputy’s w</w:t>
      </w:r>
      <w:r w:rsidR="008A154B">
        <w:rPr>
          <w:rFonts w:ascii="Arial" w:hAnsi="Arial" w:cs="Arial"/>
          <w:color w:val="000000"/>
          <w:sz w:val="20"/>
          <w:szCs w:val="20"/>
        </w:rPr>
        <w:t xml:space="preserve">orkload this past year was </w:t>
      </w:r>
      <w:r w:rsidR="00020F60">
        <w:rPr>
          <w:rFonts w:ascii="Arial" w:hAnsi="Arial" w:cs="Arial"/>
          <w:color w:val="000000"/>
          <w:sz w:val="20"/>
          <w:szCs w:val="20"/>
        </w:rPr>
        <w:t>43.30</w:t>
      </w:r>
      <w:r w:rsidR="00FE471D">
        <w:rPr>
          <w:rFonts w:ascii="Arial" w:hAnsi="Arial" w:cs="Arial"/>
          <w:color w:val="000000"/>
          <w:sz w:val="20"/>
          <w:szCs w:val="20"/>
        </w:rPr>
        <w:t xml:space="preserve"> units, which marks </w:t>
      </w:r>
      <w:r w:rsidR="00020F60">
        <w:rPr>
          <w:rFonts w:ascii="Arial" w:hAnsi="Arial" w:cs="Arial"/>
          <w:color w:val="000000"/>
          <w:sz w:val="20"/>
          <w:szCs w:val="20"/>
        </w:rPr>
        <w:t>a rather significant decrease</w:t>
      </w:r>
      <w:r w:rsidR="00151ED8">
        <w:rPr>
          <w:rFonts w:ascii="Arial" w:hAnsi="Arial" w:cs="Arial"/>
          <w:color w:val="000000"/>
          <w:sz w:val="20"/>
          <w:szCs w:val="20"/>
        </w:rPr>
        <w:t xml:space="preserve"> from the </w:t>
      </w:r>
      <w:r w:rsidR="00020F60">
        <w:rPr>
          <w:rFonts w:ascii="Arial" w:hAnsi="Arial" w:cs="Arial"/>
          <w:color w:val="000000"/>
          <w:sz w:val="20"/>
          <w:szCs w:val="20"/>
        </w:rPr>
        <w:t>previous</w:t>
      </w:r>
      <w:r w:rsidR="00151ED8">
        <w:rPr>
          <w:rFonts w:ascii="Arial" w:hAnsi="Arial" w:cs="Arial"/>
          <w:color w:val="000000"/>
          <w:sz w:val="20"/>
          <w:szCs w:val="20"/>
        </w:rPr>
        <w:t xml:space="preserve"> 3 years</w:t>
      </w:r>
      <w:r w:rsidR="00FE471D">
        <w:rPr>
          <w:rFonts w:ascii="Arial" w:hAnsi="Arial" w:cs="Arial"/>
          <w:color w:val="000000"/>
          <w:sz w:val="20"/>
          <w:szCs w:val="20"/>
        </w:rPr>
        <w:t xml:space="preserve">.  </w:t>
      </w:r>
      <w:r w:rsidR="00FE471D" w:rsidRPr="00151ED8">
        <w:rPr>
          <w:rFonts w:ascii="Arial" w:hAnsi="Arial" w:cs="Arial"/>
          <w:color w:val="000000"/>
          <w:sz w:val="20"/>
          <w:szCs w:val="20"/>
        </w:rPr>
        <w:t xml:space="preserve">The </w:t>
      </w:r>
      <w:r w:rsidR="00020F60">
        <w:rPr>
          <w:rFonts w:ascii="Arial" w:hAnsi="Arial" w:cs="Arial"/>
          <w:color w:val="000000"/>
          <w:sz w:val="20"/>
          <w:szCs w:val="20"/>
        </w:rPr>
        <w:t>decrease</w:t>
      </w:r>
      <w:r w:rsidR="00FE471D" w:rsidRPr="00151ED8">
        <w:rPr>
          <w:rFonts w:ascii="Arial" w:hAnsi="Arial" w:cs="Arial"/>
          <w:color w:val="000000"/>
          <w:sz w:val="20"/>
          <w:szCs w:val="20"/>
        </w:rPr>
        <w:t xml:space="preserve"> is </w:t>
      </w:r>
      <w:r w:rsidR="00E002CE" w:rsidRPr="00151ED8">
        <w:rPr>
          <w:rFonts w:ascii="Arial" w:hAnsi="Arial" w:cs="Arial"/>
          <w:color w:val="000000"/>
          <w:sz w:val="20"/>
          <w:szCs w:val="20"/>
        </w:rPr>
        <w:t xml:space="preserve">largely attributed </w:t>
      </w:r>
      <w:r w:rsidR="00020F60">
        <w:rPr>
          <w:rFonts w:ascii="Arial" w:hAnsi="Arial" w:cs="Arial"/>
          <w:color w:val="000000"/>
          <w:sz w:val="20"/>
          <w:szCs w:val="20"/>
        </w:rPr>
        <w:t xml:space="preserve">to the Corona Virus pandemic and shutdown of courthouses throughout the </w:t>
      </w:r>
      <w:proofErr w:type="gramStart"/>
      <w:r w:rsidR="00020F60">
        <w:rPr>
          <w:rFonts w:ascii="Arial" w:hAnsi="Arial" w:cs="Arial"/>
          <w:color w:val="000000"/>
          <w:sz w:val="20"/>
          <w:szCs w:val="20"/>
        </w:rPr>
        <w:t>year.</w:t>
      </w:r>
      <w:r w:rsidR="00151ED8">
        <w:rPr>
          <w:rFonts w:ascii="Arial" w:hAnsi="Arial" w:cs="Arial"/>
          <w:color w:val="000000"/>
          <w:sz w:val="20"/>
          <w:szCs w:val="20"/>
        </w:rPr>
        <w:t>.</w:t>
      </w:r>
      <w:proofErr w:type="gramEnd"/>
      <w:r w:rsidR="00151ED8">
        <w:rPr>
          <w:rFonts w:ascii="Arial" w:hAnsi="Arial" w:cs="Arial"/>
          <w:color w:val="000000"/>
          <w:sz w:val="20"/>
          <w:szCs w:val="20"/>
        </w:rPr>
        <w:t xml:space="preserve">  </w:t>
      </w:r>
      <w:r w:rsidR="00020F60">
        <w:rPr>
          <w:rFonts w:ascii="Arial" w:hAnsi="Arial" w:cs="Arial"/>
          <w:color w:val="000000"/>
          <w:sz w:val="20"/>
          <w:szCs w:val="20"/>
        </w:rPr>
        <w:t>While 43.30</w:t>
      </w:r>
      <w:r w:rsidR="00FE471D" w:rsidRPr="00151ED8">
        <w:rPr>
          <w:rFonts w:ascii="Arial" w:hAnsi="Arial" w:cs="Arial"/>
          <w:color w:val="000000"/>
          <w:sz w:val="20"/>
          <w:szCs w:val="20"/>
        </w:rPr>
        <w:t xml:space="preserve"> units</w:t>
      </w:r>
      <w:r w:rsidRPr="00151ED8">
        <w:rPr>
          <w:rFonts w:ascii="Arial" w:hAnsi="Arial" w:cs="Arial"/>
          <w:color w:val="000000"/>
          <w:sz w:val="20"/>
          <w:szCs w:val="20"/>
        </w:rPr>
        <w:t xml:space="preserve"> exceeds the SAPD’s goal to average 35 workload units per attorney,</w:t>
      </w:r>
      <w:r w:rsidR="00020F60">
        <w:rPr>
          <w:rFonts w:ascii="Arial" w:hAnsi="Arial" w:cs="Arial"/>
          <w:color w:val="000000"/>
          <w:sz w:val="20"/>
          <w:szCs w:val="20"/>
        </w:rPr>
        <w:t xml:space="preserve"> it is certainly a manageable workload.  Additionally,</w:t>
      </w:r>
      <w:r w:rsidRPr="00151ED8">
        <w:rPr>
          <w:rFonts w:ascii="Arial" w:hAnsi="Arial" w:cs="Arial"/>
          <w:color w:val="000000"/>
          <w:sz w:val="20"/>
          <w:szCs w:val="20"/>
        </w:rPr>
        <w:t xml:space="preserve"> </w:t>
      </w:r>
      <w:r w:rsidR="00FE471D" w:rsidRPr="00151ED8">
        <w:rPr>
          <w:rFonts w:ascii="Arial" w:hAnsi="Arial" w:cs="Arial"/>
          <w:color w:val="000000"/>
          <w:sz w:val="20"/>
          <w:szCs w:val="20"/>
        </w:rPr>
        <w:t xml:space="preserve">SAPD attorneys are given a weekly </w:t>
      </w:r>
      <w:r w:rsidR="00FE471D" w:rsidRPr="00151ED8">
        <w:rPr>
          <w:rFonts w:ascii="Arial" w:hAnsi="Arial" w:cs="Arial"/>
          <w:color w:val="000000"/>
          <w:sz w:val="20"/>
          <w:szCs w:val="20"/>
        </w:rPr>
        <w:lastRenderedPageBreak/>
        <w:t>opportunity to refuse new cases if they believe their current workload is too high</w:t>
      </w:r>
      <w:r w:rsidRPr="00151ED8">
        <w:rPr>
          <w:rFonts w:ascii="Arial" w:hAnsi="Arial" w:cs="Arial"/>
          <w:color w:val="000000"/>
          <w:sz w:val="20"/>
          <w:szCs w:val="20"/>
        </w:rPr>
        <w:t xml:space="preserve">. </w:t>
      </w:r>
      <w:r w:rsidR="00A0097A" w:rsidRPr="00151ED8">
        <w:rPr>
          <w:rFonts w:ascii="Arial" w:hAnsi="Arial" w:cs="Arial"/>
          <w:color w:val="000000"/>
          <w:sz w:val="20"/>
          <w:szCs w:val="20"/>
        </w:rPr>
        <w:t>SAPD attorneys will routinely refuse to accept new cases until they believe they are able to meet their constitutional obligations to their individual clients.</w:t>
      </w:r>
      <w:r>
        <w:rPr>
          <w:rFonts w:ascii="Arial" w:hAnsi="Arial" w:cs="Arial"/>
          <w:color w:val="000000"/>
          <w:sz w:val="20"/>
          <w:szCs w:val="20"/>
        </w:rPr>
        <w:t xml:space="preserve"> </w:t>
      </w:r>
      <w:r w:rsidR="00151ED8">
        <w:rPr>
          <w:rFonts w:ascii="Arial" w:hAnsi="Arial" w:cs="Arial"/>
          <w:color w:val="000000"/>
          <w:sz w:val="20"/>
          <w:szCs w:val="20"/>
        </w:rPr>
        <w:t xml:space="preserve">Additionally, attorneys were </w:t>
      </w:r>
      <w:r w:rsidR="00D506CB">
        <w:rPr>
          <w:rFonts w:ascii="Arial" w:hAnsi="Arial" w:cs="Arial"/>
          <w:color w:val="000000"/>
          <w:sz w:val="20"/>
          <w:szCs w:val="20"/>
        </w:rPr>
        <w:t>permitted</w:t>
      </w:r>
      <w:r w:rsidR="00151ED8">
        <w:rPr>
          <w:rFonts w:ascii="Arial" w:hAnsi="Arial" w:cs="Arial"/>
          <w:color w:val="000000"/>
          <w:sz w:val="20"/>
          <w:szCs w:val="20"/>
        </w:rPr>
        <w:t xml:space="preserve"> to obtain additional extensions from the Idaho Supreme Court in filing the briefs on appeal.</w:t>
      </w:r>
    </w:p>
    <w:p w14:paraId="099D7DBC" w14:textId="77777777" w:rsidR="00BC245F" w:rsidRDefault="00BC245F">
      <w:pPr>
        <w:rPr>
          <w:rFonts w:ascii="Arial" w:hAnsi="Arial" w:cs="Arial"/>
          <w:sz w:val="20"/>
          <w:szCs w:val="20"/>
        </w:rPr>
      </w:pPr>
    </w:p>
    <w:p w14:paraId="79ED446C" w14:textId="77777777" w:rsidR="00CB3FB5" w:rsidRPr="001D2A76" w:rsidRDefault="00CB3FB5">
      <w:pPr>
        <w:rPr>
          <w:rFonts w:ascii="Arial" w:hAnsi="Arial" w:cs="Arial"/>
          <w:sz w:val="20"/>
          <w:szCs w:val="20"/>
        </w:rPr>
      </w:pPr>
    </w:p>
    <w:tbl>
      <w:tblPr>
        <w:tblW w:w="0" w:type="auto"/>
        <w:jc w:val="center"/>
        <w:tblBorders>
          <w:top w:val="threeDEmboss" w:sz="24" w:space="0" w:color="333399"/>
          <w:left w:val="threeDEmboss" w:sz="24" w:space="0" w:color="333399"/>
          <w:bottom w:val="threeDEmboss" w:sz="24" w:space="0" w:color="333399"/>
          <w:right w:val="threeDEmboss" w:sz="24" w:space="0" w:color="333399"/>
        </w:tblBorders>
        <w:tblLook w:val="0000" w:firstRow="0" w:lastRow="0" w:firstColumn="0" w:lastColumn="0" w:noHBand="0" w:noVBand="0"/>
      </w:tblPr>
      <w:tblGrid>
        <w:gridCol w:w="7680"/>
      </w:tblGrid>
      <w:tr w:rsidR="006D2BA5" w:rsidRPr="00CF73B4" w14:paraId="6F216BFF" w14:textId="77777777" w:rsidTr="001D4F29">
        <w:trPr>
          <w:jc w:val="center"/>
        </w:trPr>
        <w:tc>
          <w:tcPr>
            <w:tcW w:w="7680" w:type="dxa"/>
            <w:tcBorders>
              <w:top w:val="threeDEmboss" w:sz="24" w:space="0" w:color="333399"/>
              <w:left w:val="threeDEmboss" w:sz="24" w:space="0" w:color="333399"/>
              <w:bottom w:val="threeDEmboss" w:sz="24" w:space="0" w:color="333399"/>
              <w:right w:val="threeDEmboss" w:sz="24" w:space="0" w:color="333399"/>
            </w:tcBorders>
          </w:tcPr>
          <w:p w14:paraId="1E66ED1B" w14:textId="77777777" w:rsidR="006D2BA5" w:rsidRPr="00CF73B4" w:rsidRDefault="006D2BA5" w:rsidP="009E383C">
            <w:pPr>
              <w:jc w:val="center"/>
              <w:rPr>
                <w:rFonts w:ascii="Arial" w:hAnsi="Arial" w:cs="Arial"/>
                <w:sz w:val="20"/>
              </w:rPr>
            </w:pPr>
            <w:r w:rsidRPr="00CF73B4">
              <w:rPr>
                <w:rFonts w:ascii="Arial" w:hAnsi="Arial" w:cs="Arial"/>
                <w:b/>
                <w:bCs/>
                <w:sz w:val="20"/>
              </w:rPr>
              <w:t>For More Information Contact</w:t>
            </w:r>
          </w:p>
          <w:p w14:paraId="6DA2E0AD" w14:textId="77777777" w:rsidR="006D2BA5" w:rsidRPr="00CF73B4" w:rsidRDefault="006D2BA5" w:rsidP="009E383C">
            <w:pPr>
              <w:jc w:val="center"/>
              <w:rPr>
                <w:rFonts w:ascii="Arial" w:hAnsi="Arial" w:cs="Arial"/>
                <w:sz w:val="20"/>
              </w:rPr>
            </w:pPr>
          </w:p>
          <w:p w14:paraId="1C922BB6" w14:textId="77777777" w:rsidR="006D2BA5" w:rsidRPr="00CF73B4" w:rsidRDefault="006F5BF9" w:rsidP="009E383C">
            <w:pPr>
              <w:ind w:left="252"/>
              <w:rPr>
                <w:rFonts w:ascii="Arial" w:hAnsi="Arial" w:cs="Arial"/>
                <w:sz w:val="20"/>
              </w:rPr>
            </w:pPr>
            <w:r>
              <w:rPr>
                <w:rFonts w:ascii="Arial" w:hAnsi="Arial" w:cs="Arial"/>
                <w:sz w:val="20"/>
              </w:rPr>
              <w:t>Eric D. Fredericksen</w:t>
            </w:r>
          </w:p>
          <w:p w14:paraId="2EA39719" w14:textId="77777777" w:rsidR="006D2BA5" w:rsidRPr="00CF73B4" w:rsidRDefault="006D2BA5" w:rsidP="009E383C">
            <w:pPr>
              <w:ind w:left="252"/>
              <w:rPr>
                <w:rFonts w:ascii="Arial" w:hAnsi="Arial" w:cs="Arial"/>
                <w:sz w:val="20"/>
              </w:rPr>
            </w:pPr>
            <w:r w:rsidRPr="00CF73B4">
              <w:rPr>
                <w:rFonts w:ascii="Arial" w:hAnsi="Arial" w:cs="Arial"/>
                <w:noProof/>
                <w:sz w:val="20"/>
              </w:rPr>
              <w:t>State Appellate Public Defender</w:t>
            </w:r>
          </w:p>
          <w:p w14:paraId="54E8537A" w14:textId="77777777" w:rsidR="006F5BF9" w:rsidRDefault="00DF6C2F" w:rsidP="009E383C">
            <w:pPr>
              <w:ind w:left="252"/>
              <w:rPr>
                <w:rFonts w:ascii="Arial" w:hAnsi="Arial" w:cs="Arial"/>
                <w:sz w:val="20"/>
                <w:szCs w:val="22"/>
              </w:rPr>
            </w:pPr>
            <w:r>
              <w:rPr>
                <w:rFonts w:ascii="Arial" w:hAnsi="Arial" w:cs="Arial"/>
                <w:sz w:val="20"/>
                <w:szCs w:val="22"/>
              </w:rPr>
              <w:t>322 East Front Street, Suite 570</w:t>
            </w:r>
          </w:p>
          <w:p w14:paraId="6FD74E67" w14:textId="77777777" w:rsidR="006D2BA5" w:rsidRPr="00CF73B4" w:rsidRDefault="006D2BA5" w:rsidP="009E383C">
            <w:pPr>
              <w:ind w:left="252"/>
              <w:rPr>
                <w:rFonts w:ascii="Arial" w:hAnsi="Arial" w:cs="Arial"/>
                <w:sz w:val="20"/>
                <w:lang w:val="fr-FR"/>
              </w:rPr>
            </w:pPr>
            <w:r w:rsidRPr="00CF73B4">
              <w:rPr>
                <w:rFonts w:ascii="Arial" w:hAnsi="Arial" w:cs="Arial"/>
                <w:noProof/>
                <w:sz w:val="20"/>
                <w:lang w:val="fr-FR"/>
              </w:rPr>
              <w:t>Boise</w:t>
            </w:r>
            <w:r w:rsidRPr="00CF73B4">
              <w:rPr>
                <w:rFonts w:ascii="Arial" w:hAnsi="Arial" w:cs="Arial"/>
                <w:sz w:val="20"/>
                <w:lang w:val="fr-FR"/>
              </w:rPr>
              <w:t xml:space="preserve">, </w:t>
            </w:r>
            <w:r w:rsidRPr="00CF73B4">
              <w:rPr>
                <w:rFonts w:ascii="Arial" w:hAnsi="Arial" w:cs="Arial"/>
                <w:noProof/>
                <w:sz w:val="20"/>
                <w:lang w:val="fr-FR"/>
              </w:rPr>
              <w:t>ID</w:t>
            </w:r>
            <w:r w:rsidRPr="00CF73B4">
              <w:rPr>
                <w:rFonts w:ascii="Arial" w:hAnsi="Arial" w:cs="Arial"/>
                <w:sz w:val="20"/>
                <w:lang w:val="fr-FR"/>
              </w:rPr>
              <w:t xml:space="preserve">  </w:t>
            </w:r>
            <w:r w:rsidRPr="00CF73B4">
              <w:rPr>
                <w:rFonts w:ascii="Arial" w:hAnsi="Arial" w:cs="Arial"/>
                <w:noProof/>
                <w:sz w:val="20"/>
                <w:lang w:val="fr-FR"/>
              </w:rPr>
              <w:t>8370</w:t>
            </w:r>
            <w:r w:rsidR="006F5BF9">
              <w:rPr>
                <w:rFonts w:ascii="Arial" w:hAnsi="Arial" w:cs="Arial"/>
                <w:noProof/>
                <w:sz w:val="20"/>
                <w:lang w:val="fr-FR"/>
              </w:rPr>
              <w:t>2</w:t>
            </w:r>
          </w:p>
          <w:p w14:paraId="31E7B284" w14:textId="77777777" w:rsidR="006D2BA5" w:rsidRPr="00CF73B4" w:rsidRDefault="00D21CED" w:rsidP="009E383C">
            <w:pPr>
              <w:ind w:left="252"/>
              <w:rPr>
                <w:rFonts w:ascii="Arial" w:hAnsi="Arial" w:cs="Arial"/>
                <w:sz w:val="20"/>
                <w:lang w:val="fr-FR"/>
              </w:rPr>
            </w:pPr>
            <w:r>
              <w:rPr>
                <w:rFonts w:ascii="Arial" w:hAnsi="Arial" w:cs="Arial"/>
                <w:sz w:val="20"/>
                <w:lang w:val="fr-FR"/>
              </w:rPr>
              <w:t xml:space="preserve">Phone: </w:t>
            </w:r>
            <w:r w:rsidR="006D2BA5" w:rsidRPr="00CF73B4">
              <w:rPr>
                <w:rFonts w:ascii="Arial" w:hAnsi="Arial" w:cs="Arial"/>
                <w:sz w:val="20"/>
                <w:lang w:val="fr-FR"/>
              </w:rPr>
              <w:t>(208) 334-2712</w:t>
            </w:r>
          </w:p>
          <w:p w14:paraId="20B8376A" w14:textId="77777777" w:rsidR="00336842" w:rsidRDefault="00D21CED" w:rsidP="00336842">
            <w:pPr>
              <w:ind w:left="252"/>
              <w:rPr>
                <w:rFonts w:ascii="Arial" w:hAnsi="Arial" w:cs="Arial"/>
                <w:sz w:val="20"/>
                <w:lang w:val="fr-FR"/>
              </w:rPr>
            </w:pPr>
            <w:proofErr w:type="gramStart"/>
            <w:r>
              <w:rPr>
                <w:rFonts w:ascii="Arial" w:hAnsi="Arial" w:cs="Arial"/>
                <w:sz w:val="20"/>
                <w:lang w:val="fr-FR"/>
              </w:rPr>
              <w:t>E-mail:</w:t>
            </w:r>
            <w:proofErr w:type="gramEnd"/>
            <w:r>
              <w:rPr>
                <w:rFonts w:ascii="Arial" w:hAnsi="Arial" w:cs="Arial"/>
                <w:sz w:val="20"/>
                <w:lang w:val="fr-FR"/>
              </w:rPr>
              <w:t xml:space="preserve">  </w:t>
            </w:r>
            <w:hyperlink r:id="rId8" w:history="1">
              <w:r w:rsidR="00336842" w:rsidRPr="002F7B32">
                <w:rPr>
                  <w:rStyle w:val="Hyperlink"/>
                  <w:rFonts w:ascii="Arial" w:hAnsi="Arial" w:cs="Arial"/>
                  <w:sz w:val="20"/>
                  <w:lang w:val="fr-FR"/>
                </w:rPr>
                <w:t>efredericksen@sapd.state.id.us</w:t>
              </w:r>
            </w:hyperlink>
          </w:p>
          <w:p w14:paraId="56329F98" w14:textId="77777777" w:rsidR="00336842" w:rsidRPr="00CF73B4" w:rsidRDefault="00336842" w:rsidP="00336842">
            <w:pPr>
              <w:ind w:left="252"/>
              <w:rPr>
                <w:rFonts w:ascii="Arial" w:hAnsi="Arial" w:cs="Arial"/>
                <w:sz w:val="20"/>
                <w:lang w:val="fr-FR"/>
              </w:rPr>
            </w:pPr>
          </w:p>
        </w:tc>
      </w:tr>
    </w:tbl>
    <w:p w14:paraId="70391769" w14:textId="77777777" w:rsidR="006D2BA5" w:rsidRPr="00F43497" w:rsidRDefault="006D2BA5" w:rsidP="00BA0919">
      <w:pPr>
        <w:jc w:val="both"/>
        <w:rPr>
          <w:rFonts w:ascii="Arial" w:hAnsi="Arial" w:cs="Arial"/>
          <w:sz w:val="20"/>
          <w:lang w:val="fr-FR"/>
        </w:rPr>
      </w:pPr>
    </w:p>
    <w:sectPr w:rsidR="006D2BA5" w:rsidRPr="00F43497" w:rsidSect="00336842">
      <w:headerReference w:type="default" r:id="rId9"/>
      <w:footerReference w:type="default" r:id="rId10"/>
      <w:footnotePr>
        <w:pos w:val="beneathText"/>
      </w:footnotePr>
      <w:type w:val="continuous"/>
      <w:pgSz w:w="12240" w:h="15840" w:code="1"/>
      <w:pgMar w:top="1080" w:right="1080" w:bottom="720" w:left="1080" w:header="108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55CEE" w14:textId="77777777" w:rsidR="007A6D84" w:rsidRDefault="007A6D84">
      <w:r>
        <w:separator/>
      </w:r>
    </w:p>
  </w:endnote>
  <w:endnote w:type="continuationSeparator" w:id="0">
    <w:p w14:paraId="11EB2A2B" w14:textId="77777777" w:rsidR="007A6D84" w:rsidRDefault="007A6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207C8" w14:textId="77777777" w:rsidR="00BE1729" w:rsidRDefault="00BE1729" w:rsidP="00BE1729">
    <w:pPr>
      <w:pStyle w:val="Footer"/>
      <w:tabs>
        <w:tab w:val="clear" w:pos="4320"/>
        <w:tab w:val="clear" w:pos="8640"/>
        <w:tab w:val="center" w:pos="4680"/>
        <w:tab w:val="right" w:pos="10080"/>
      </w:tabs>
      <w:rPr>
        <w:rFonts w:ascii="Arial" w:hAnsi="Arial" w:cs="Arial"/>
        <w:sz w:val="20"/>
        <w:szCs w:val="20"/>
      </w:rPr>
    </w:pPr>
  </w:p>
  <w:p w14:paraId="7F018697" w14:textId="77777777" w:rsidR="00BE1729" w:rsidRPr="00080FEF" w:rsidRDefault="00BE1729" w:rsidP="00BE1729">
    <w:pPr>
      <w:pStyle w:val="Footer"/>
      <w:tabs>
        <w:tab w:val="clear" w:pos="4320"/>
        <w:tab w:val="clear" w:pos="8640"/>
        <w:tab w:val="center" w:pos="4680"/>
        <w:tab w:val="right" w:pos="10080"/>
      </w:tabs>
      <w:rPr>
        <w:rFonts w:ascii="Arial" w:hAnsi="Arial" w:cs="Arial"/>
        <w:sz w:val="20"/>
        <w:szCs w:val="20"/>
      </w:rPr>
    </w:pPr>
    <w:r>
      <w:rPr>
        <w:rFonts w:ascii="Arial" w:hAnsi="Arial" w:cs="Arial"/>
        <w:sz w:val="20"/>
        <w:szCs w:val="20"/>
      </w:rPr>
      <w:t>State of Idaho</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491AFA">
      <w:rPr>
        <w:rFonts w:ascii="Arial" w:hAnsi="Arial" w:cs="Arial"/>
        <w:noProof/>
        <w:sz w:val="20"/>
        <w:szCs w:val="20"/>
      </w:rPr>
      <w:t>4</w:t>
    </w:r>
    <w:r>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B8FB5" w14:textId="77777777" w:rsidR="007A6D84" w:rsidRDefault="007A6D84">
      <w:r>
        <w:separator/>
      </w:r>
    </w:p>
  </w:footnote>
  <w:footnote w:type="continuationSeparator" w:id="0">
    <w:p w14:paraId="2AEB7C35" w14:textId="77777777" w:rsidR="007A6D84" w:rsidRDefault="007A6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tblBorders>
        <w:insideH w:val="single" w:sz="4" w:space="0" w:color="auto"/>
        <w:insideV w:val="single" w:sz="4" w:space="0" w:color="auto"/>
      </w:tblBorders>
      <w:tblLook w:val="0000" w:firstRow="0" w:lastRow="0" w:firstColumn="0" w:lastColumn="0" w:noHBand="0" w:noVBand="0"/>
    </w:tblPr>
    <w:tblGrid>
      <w:gridCol w:w="10080"/>
    </w:tblGrid>
    <w:tr w:rsidR="00582F10" w14:paraId="5B0AA239" w14:textId="77777777" w:rsidTr="00336842">
      <w:tc>
        <w:tcPr>
          <w:tcW w:w="10080" w:type="dxa"/>
          <w:shd w:val="clear" w:color="auto" w:fill="000080"/>
        </w:tcPr>
        <w:p w14:paraId="55774122" w14:textId="77777777" w:rsidR="00582F10" w:rsidRDefault="00582F10" w:rsidP="00BE1729">
          <w:pPr>
            <w:tabs>
              <w:tab w:val="right" w:pos="9852"/>
            </w:tabs>
            <w:rPr>
              <w:rFonts w:ascii="Arial" w:hAnsi="Arial" w:cs="Arial"/>
              <w:color w:val="FFFFFF"/>
            </w:rPr>
          </w:pPr>
          <w:r>
            <w:rPr>
              <w:rFonts w:ascii="Arial" w:hAnsi="Arial" w:cs="Arial"/>
              <w:b/>
              <w:bCs/>
              <w:noProof/>
              <w:color w:val="FFFFFF"/>
            </w:rPr>
            <w:t>State Appellate Public Defender</w:t>
          </w:r>
          <w:r>
            <w:rPr>
              <w:rFonts w:ascii="Arial" w:hAnsi="Arial" w:cs="Arial"/>
              <w:b/>
              <w:bCs/>
              <w:color w:val="FFFFFF"/>
            </w:rPr>
            <w:tab/>
          </w:r>
          <w:r>
            <w:rPr>
              <w:rFonts w:ascii="Arial" w:hAnsi="Arial" w:cs="Arial"/>
              <w:color w:val="FFFFFF"/>
            </w:rPr>
            <w:t>Performance Report</w:t>
          </w:r>
        </w:p>
      </w:tc>
    </w:tr>
    <w:tr w:rsidR="00582F10" w14:paraId="51423793" w14:textId="77777777" w:rsidTr="00336842">
      <w:trPr>
        <w:trHeight w:hRule="exact" w:val="90"/>
      </w:trPr>
      <w:tc>
        <w:tcPr>
          <w:tcW w:w="10080" w:type="dxa"/>
          <w:tcBorders>
            <w:top w:val="nil"/>
            <w:bottom w:val="single" w:sz="4" w:space="0" w:color="auto"/>
          </w:tcBorders>
        </w:tcPr>
        <w:p w14:paraId="41FE3BA0" w14:textId="77777777" w:rsidR="00582F10" w:rsidRDefault="00582F10" w:rsidP="0086103E"/>
      </w:tc>
    </w:tr>
    <w:tr w:rsidR="00582F10" w14:paraId="5DC59C6D" w14:textId="77777777" w:rsidTr="00336842">
      <w:tc>
        <w:tcPr>
          <w:tcW w:w="10080" w:type="dxa"/>
          <w:tcBorders>
            <w:top w:val="single" w:sz="4" w:space="0" w:color="auto"/>
            <w:bottom w:val="nil"/>
          </w:tcBorders>
          <w:shd w:val="clear" w:color="auto" w:fill="000080"/>
        </w:tcPr>
        <w:p w14:paraId="745AE30F" w14:textId="77777777" w:rsidR="00582F10" w:rsidRDefault="00582F10" w:rsidP="0086103E"/>
      </w:tc>
    </w:tr>
  </w:tbl>
  <w:p w14:paraId="010EE3AF" w14:textId="77777777" w:rsidR="004652EF" w:rsidRPr="00582F10" w:rsidRDefault="004652EF" w:rsidP="00582F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F413E"/>
    <w:multiLevelType w:val="hybridMultilevel"/>
    <w:tmpl w:val="A6B4DFA0"/>
    <w:lvl w:ilvl="0" w:tplc="2E608E3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2CF0CDF"/>
    <w:multiLevelType w:val="hybridMultilevel"/>
    <w:tmpl w:val="1FF2EC70"/>
    <w:lvl w:ilvl="0" w:tplc="17BA825C">
      <w:start w:val="1"/>
      <w:numFmt w:val="decimal"/>
      <w:lvlText w:val="%1."/>
      <w:lvlJc w:val="left"/>
      <w:pPr>
        <w:ind w:left="810" w:hanging="360"/>
      </w:pPr>
      <w:rPr>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1946038452">
    <w:abstractNumId w:val="0"/>
  </w:num>
  <w:num w:numId="2" w16cid:durableId="1523857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30721"/>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B51"/>
    <w:rsid w:val="00002770"/>
    <w:rsid w:val="00005AA6"/>
    <w:rsid w:val="00015C9F"/>
    <w:rsid w:val="00020F60"/>
    <w:rsid w:val="0003028E"/>
    <w:rsid w:val="00033A8A"/>
    <w:rsid w:val="0004064E"/>
    <w:rsid w:val="00045486"/>
    <w:rsid w:val="00045649"/>
    <w:rsid w:val="0004761F"/>
    <w:rsid w:val="00054D06"/>
    <w:rsid w:val="00062CAA"/>
    <w:rsid w:val="000666FF"/>
    <w:rsid w:val="0007369C"/>
    <w:rsid w:val="00075888"/>
    <w:rsid w:val="00075913"/>
    <w:rsid w:val="000769B9"/>
    <w:rsid w:val="000837AA"/>
    <w:rsid w:val="000A33DD"/>
    <w:rsid w:val="000B2A7F"/>
    <w:rsid w:val="000B7193"/>
    <w:rsid w:val="000C01F5"/>
    <w:rsid w:val="000C3470"/>
    <w:rsid w:val="000D545A"/>
    <w:rsid w:val="000E2BA1"/>
    <w:rsid w:val="000F07AE"/>
    <w:rsid w:val="000F394B"/>
    <w:rsid w:val="000F7298"/>
    <w:rsid w:val="00110EF3"/>
    <w:rsid w:val="001119E2"/>
    <w:rsid w:val="00113328"/>
    <w:rsid w:val="00151ED8"/>
    <w:rsid w:val="00161E4F"/>
    <w:rsid w:val="00173152"/>
    <w:rsid w:val="00181AA6"/>
    <w:rsid w:val="00184060"/>
    <w:rsid w:val="00186459"/>
    <w:rsid w:val="00187E38"/>
    <w:rsid w:val="00190776"/>
    <w:rsid w:val="00195EAA"/>
    <w:rsid w:val="001A0D36"/>
    <w:rsid w:val="001A6BAF"/>
    <w:rsid w:val="001B42A7"/>
    <w:rsid w:val="001B500F"/>
    <w:rsid w:val="001D2A76"/>
    <w:rsid w:val="001D4F29"/>
    <w:rsid w:val="001F6D45"/>
    <w:rsid w:val="00203323"/>
    <w:rsid w:val="00204917"/>
    <w:rsid w:val="00215E0A"/>
    <w:rsid w:val="0022034B"/>
    <w:rsid w:val="00222A57"/>
    <w:rsid w:val="002245B4"/>
    <w:rsid w:val="002352F4"/>
    <w:rsid w:val="00236CB6"/>
    <w:rsid w:val="002418E7"/>
    <w:rsid w:val="002434E1"/>
    <w:rsid w:val="00280344"/>
    <w:rsid w:val="00280C4C"/>
    <w:rsid w:val="002810C5"/>
    <w:rsid w:val="00284CD5"/>
    <w:rsid w:val="002866B3"/>
    <w:rsid w:val="00290046"/>
    <w:rsid w:val="00290426"/>
    <w:rsid w:val="0029200C"/>
    <w:rsid w:val="0029561A"/>
    <w:rsid w:val="002967E3"/>
    <w:rsid w:val="002A639D"/>
    <w:rsid w:val="002B30A1"/>
    <w:rsid w:val="002B738C"/>
    <w:rsid w:val="002C1C1B"/>
    <w:rsid w:val="002D17A6"/>
    <w:rsid w:val="002D1E55"/>
    <w:rsid w:val="002D6099"/>
    <w:rsid w:val="002F5683"/>
    <w:rsid w:val="00300FF1"/>
    <w:rsid w:val="003200B1"/>
    <w:rsid w:val="003241E1"/>
    <w:rsid w:val="00324888"/>
    <w:rsid w:val="00331447"/>
    <w:rsid w:val="00333033"/>
    <w:rsid w:val="00336842"/>
    <w:rsid w:val="0033725C"/>
    <w:rsid w:val="0034428B"/>
    <w:rsid w:val="0035269E"/>
    <w:rsid w:val="003564EA"/>
    <w:rsid w:val="003A229A"/>
    <w:rsid w:val="003A4EB3"/>
    <w:rsid w:val="003A62F7"/>
    <w:rsid w:val="003B0C8E"/>
    <w:rsid w:val="003B60BE"/>
    <w:rsid w:val="003C3F25"/>
    <w:rsid w:val="003C4FEF"/>
    <w:rsid w:val="003D4462"/>
    <w:rsid w:val="003D6F18"/>
    <w:rsid w:val="003E56AE"/>
    <w:rsid w:val="003E6513"/>
    <w:rsid w:val="003E7EB9"/>
    <w:rsid w:val="003F0FCF"/>
    <w:rsid w:val="003F4081"/>
    <w:rsid w:val="003F5182"/>
    <w:rsid w:val="003F5B5E"/>
    <w:rsid w:val="00400B44"/>
    <w:rsid w:val="004108CB"/>
    <w:rsid w:val="004147F8"/>
    <w:rsid w:val="00421776"/>
    <w:rsid w:val="00441B6E"/>
    <w:rsid w:val="004507B0"/>
    <w:rsid w:val="004637ED"/>
    <w:rsid w:val="00463C51"/>
    <w:rsid w:val="004652EF"/>
    <w:rsid w:val="0047495F"/>
    <w:rsid w:val="00484F64"/>
    <w:rsid w:val="004869F8"/>
    <w:rsid w:val="00486A48"/>
    <w:rsid w:val="00487501"/>
    <w:rsid w:val="00490BE7"/>
    <w:rsid w:val="00491AFA"/>
    <w:rsid w:val="00492B88"/>
    <w:rsid w:val="004960B5"/>
    <w:rsid w:val="004A3FE2"/>
    <w:rsid w:val="004B412C"/>
    <w:rsid w:val="004D0EE0"/>
    <w:rsid w:val="004E4288"/>
    <w:rsid w:val="004E5773"/>
    <w:rsid w:val="004F48EA"/>
    <w:rsid w:val="004F7093"/>
    <w:rsid w:val="0050252A"/>
    <w:rsid w:val="00505ED7"/>
    <w:rsid w:val="00510270"/>
    <w:rsid w:val="00514C38"/>
    <w:rsid w:val="005154B7"/>
    <w:rsid w:val="0051611E"/>
    <w:rsid w:val="005518E4"/>
    <w:rsid w:val="005526A0"/>
    <w:rsid w:val="005555C1"/>
    <w:rsid w:val="0056027C"/>
    <w:rsid w:val="00570CB2"/>
    <w:rsid w:val="0057159C"/>
    <w:rsid w:val="00582F10"/>
    <w:rsid w:val="005A077D"/>
    <w:rsid w:val="005A3D97"/>
    <w:rsid w:val="005B23F5"/>
    <w:rsid w:val="005B7AC1"/>
    <w:rsid w:val="005C0AA3"/>
    <w:rsid w:val="005C2E7A"/>
    <w:rsid w:val="005E7654"/>
    <w:rsid w:val="005E7E74"/>
    <w:rsid w:val="005F0C1A"/>
    <w:rsid w:val="005F59C1"/>
    <w:rsid w:val="00605ADF"/>
    <w:rsid w:val="00617044"/>
    <w:rsid w:val="00622694"/>
    <w:rsid w:val="00623973"/>
    <w:rsid w:val="006242A3"/>
    <w:rsid w:val="00640399"/>
    <w:rsid w:val="00645118"/>
    <w:rsid w:val="00645895"/>
    <w:rsid w:val="006534FD"/>
    <w:rsid w:val="00656888"/>
    <w:rsid w:val="006654AC"/>
    <w:rsid w:val="00674010"/>
    <w:rsid w:val="006A3C0C"/>
    <w:rsid w:val="006B3EE5"/>
    <w:rsid w:val="006B656F"/>
    <w:rsid w:val="006C0117"/>
    <w:rsid w:val="006D0117"/>
    <w:rsid w:val="006D2BA5"/>
    <w:rsid w:val="006D5183"/>
    <w:rsid w:val="006E0E52"/>
    <w:rsid w:val="006E26A3"/>
    <w:rsid w:val="006E3EEA"/>
    <w:rsid w:val="006F4A5E"/>
    <w:rsid w:val="006F5BF9"/>
    <w:rsid w:val="007103C6"/>
    <w:rsid w:val="00721C3D"/>
    <w:rsid w:val="00726E43"/>
    <w:rsid w:val="007334D7"/>
    <w:rsid w:val="00745F13"/>
    <w:rsid w:val="007549B9"/>
    <w:rsid w:val="00763F6A"/>
    <w:rsid w:val="00767B67"/>
    <w:rsid w:val="00786242"/>
    <w:rsid w:val="0078767B"/>
    <w:rsid w:val="00791137"/>
    <w:rsid w:val="007A0E6A"/>
    <w:rsid w:val="007A6D84"/>
    <w:rsid w:val="007A712D"/>
    <w:rsid w:val="007D6558"/>
    <w:rsid w:val="007E19CD"/>
    <w:rsid w:val="007E51CD"/>
    <w:rsid w:val="007F1355"/>
    <w:rsid w:val="007F1EA1"/>
    <w:rsid w:val="007F5154"/>
    <w:rsid w:val="007F6625"/>
    <w:rsid w:val="007F73A2"/>
    <w:rsid w:val="0080049B"/>
    <w:rsid w:val="008006F4"/>
    <w:rsid w:val="00814B35"/>
    <w:rsid w:val="00814BE6"/>
    <w:rsid w:val="0081703D"/>
    <w:rsid w:val="00821D29"/>
    <w:rsid w:val="00845522"/>
    <w:rsid w:val="008460C7"/>
    <w:rsid w:val="00880D08"/>
    <w:rsid w:val="0088263D"/>
    <w:rsid w:val="00893F0A"/>
    <w:rsid w:val="00897D65"/>
    <w:rsid w:val="008A154B"/>
    <w:rsid w:val="008A596E"/>
    <w:rsid w:val="008A719F"/>
    <w:rsid w:val="008A7E30"/>
    <w:rsid w:val="008C5D1C"/>
    <w:rsid w:val="008C6AC1"/>
    <w:rsid w:val="008D2556"/>
    <w:rsid w:val="008E458A"/>
    <w:rsid w:val="00902B5A"/>
    <w:rsid w:val="00917E95"/>
    <w:rsid w:val="00924196"/>
    <w:rsid w:val="009428C8"/>
    <w:rsid w:val="0094329F"/>
    <w:rsid w:val="009659FC"/>
    <w:rsid w:val="00992D49"/>
    <w:rsid w:val="009958B4"/>
    <w:rsid w:val="009A3DBE"/>
    <w:rsid w:val="009A42D5"/>
    <w:rsid w:val="009B4070"/>
    <w:rsid w:val="009B77BA"/>
    <w:rsid w:val="009C2657"/>
    <w:rsid w:val="009C3059"/>
    <w:rsid w:val="009C3211"/>
    <w:rsid w:val="009C54CF"/>
    <w:rsid w:val="009D1D13"/>
    <w:rsid w:val="009D4FE8"/>
    <w:rsid w:val="009D5DBE"/>
    <w:rsid w:val="009E2858"/>
    <w:rsid w:val="009E383C"/>
    <w:rsid w:val="009E5738"/>
    <w:rsid w:val="00A0097A"/>
    <w:rsid w:val="00A023B7"/>
    <w:rsid w:val="00A0383F"/>
    <w:rsid w:val="00A1011F"/>
    <w:rsid w:val="00A1328E"/>
    <w:rsid w:val="00A23290"/>
    <w:rsid w:val="00A36F81"/>
    <w:rsid w:val="00A41D70"/>
    <w:rsid w:val="00A433AF"/>
    <w:rsid w:val="00A4738A"/>
    <w:rsid w:val="00A50901"/>
    <w:rsid w:val="00A54F7A"/>
    <w:rsid w:val="00A57142"/>
    <w:rsid w:val="00A57CC6"/>
    <w:rsid w:val="00A65DFA"/>
    <w:rsid w:val="00A70A4F"/>
    <w:rsid w:val="00A76660"/>
    <w:rsid w:val="00A76A63"/>
    <w:rsid w:val="00A9022A"/>
    <w:rsid w:val="00A9574A"/>
    <w:rsid w:val="00A96DFC"/>
    <w:rsid w:val="00AA795A"/>
    <w:rsid w:val="00AB12B0"/>
    <w:rsid w:val="00AC7662"/>
    <w:rsid w:val="00AE0F62"/>
    <w:rsid w:val="00AE4051"/>
    <w:rsid w:val="00AE58D8"/>
    <w:rsid w:val="00AF1A3A"/>
    <w:rsid w:val="00AF3F1D"/>
    <w:rsid w:val="00B12260"/>
    <w:rsid w:val="00B34F06"/>
    <w:rsid w:val="00B528D0"/>
    <w:rsid w:val="00B5545D"/>
    <w:rsid w:val="00B623B3"/>
    <w:rsid w:val="00B6517A"/>
    <w:rsid w:val="00B7026D"/>
    <w:rsid w:val="00B74310"/>
    <w:rsid w:val="00B74CD4"/>
    <w:rsid w:val="00B819D3"/>
    <w:rsid w:val="00B8479F"/>
    <w:rsid w:val="00B872F7"/>
    <w:rsid w:val="00B8779A"/>
    <w:rsid w:val="00B877D3"/>
    <w:rsid w:val="00B87919"/>
    <w:rsid w:val="00B91BD9"/>
    <w:rsid w:val="00B93EB4"/>
    <w:rsid w:val="00BA0919"/>
    <w:rsid w:val="00BA5537"/>
    <w:rsid w:val="00BA5807"/>
    <w:rsid w:val="00BB53C7"/>
    <w:rsid w:val="00BB6FFD"/>
    <w:rsid w:val="00BB7F2E"/>
    <w:rsid w:val="00BC1F2D"/>
    <w:rsid w:val="00BC245F"/>
    <w:rsid w:val="00BC44FF"/>
    <w:rsid w:val="00BD3D90"/>
    <w:rsid w:val="00BD60E4"/>
    <w:rsid w:val="00BE1729"/>
    <w:rsid w:val="00C031FD"/>
    <w:rsid w:val="00C1412B"/>
    <w:rsid w:val="00C17EF8"/>
    <w:rsid w:val="00C22671"/>
    <w:rsid w:val="00C26EE6"/>
    <w:rsid w:val="00C3221A"/>
    <w:rsid w:val="00C35E7A"/>
    <w:rsid w:val="00C56B2B"/>
    <w:rsid w:val="00C5719E"/>
    <w:rsid w:val="00C60F18"/>
    <w:rsid w:val="00C668A0"/>
    <w:rsid w:val="00C66C3E"/>
    <w:rsid w:val="00C8187D"/>
    <w:rsid w:val="00C85147"/>
    <w:rsid w:val="00C92E33"/>
    <w:rsid w:val="00CA63E0"/>
    <w:rsid w:val="00CA6B60"/>
    <w:rsid w:val="00CB23BD"/>
    <w:rsid w:val="00CB260D"/>
    <w:rsid w:val="00CB3FB5"/>
    <w:rsid w:val="00CB5DC4"/>
    <w:rsid w:val="00CB70D8"/>
    <w:rsid w:val="00CD00FD"/>
    <w:rsid w:val="00CD5747"/>
    <w:rsid w:val="00CD7DAA"/>
    <w:rsid w:val="00CF73B4"/>
    <w:rsid w:val="00D047AC"/>
    <w:rsid w:val="00D06B35"/>
    <w:rsid w:val="00D10D2A"/>
    <w:rsid w:val="00D21CED"/>
    <w:rsid w:val="00D4682D"/>
    <w:rsid w:val="00D506CB"/>
    <w:rsid w:val="00D608C8"/>
    <w:rsid w:val="00D6556E"/>
    <w:rsid w:val="00D71F93"/>
    <w:rsid w:val="00D728F8"/>
    <w:rsid w:val="00D77826"/>
    <w:rsid w:val="00D8474E"/>
    <w:rsid w:val="00D96C67"/>
    <w:rsid w:val="00DB0BDB"/>
    <w:rsid w:val="00DB1A3F"/>
    <w:rsid w:val="00DB2440"/>
    <w:rsid w:val="00DB7762"/>
    <w:rsid w:val="00DC0137"/>
    <w:rsid w:val="00DC033A"/>
    <w:rsid w:val="00DD3284"/>
    <w:rsid w:val="00DD3788"/>
    <w:rsid w:val="00DD3B0B"/>
    <w:rsid w:val="00DE0590"/>
    <w:rsid w:val="00DE767A"/>
    <w:rsid w:val="00DF04C6"/>
    <w:rsid w:val="00DF6C2F"/>
    <w:rsid w:val="00E002CE"/>
    <w:rsid w:val="00E02BB0"/>
    <w:rsid w:val="00E14040"/>
    <w:rsid w:val="00E208CF"/>
    <w:rsid w:val="00E23F24"/>
    <w:rsid w:val="00E45367"/>
    <w:rsid w:val="00E53A3E"/>
    <w:rsid w:val="00E55085"/>
    <w:rsid w:val="00E6400C"/>
    <w:rsid w:val="00E72415"/>
    <w:rsid w:val="00E77A9C"/>
    <w:rsid w:val="00E86315"/>
    <w:rsid w:val="00E97DFC"/>
    <w:rsid w:val="00EA1F64"/>
    <w:rsid w:val="00EA5C40"/>
    <w:rsid w:val="00EA7B51"/>
    <w:rsid w:val="00EB16F1"/>
    <w:rsid w:val="00ED579C"/>
    <w:rsid w:val="00EE31AF"/>
    <w:rsid w:val="00EF175D"/>
    <w:rsid w:val="00EF27FE"/>
    <w:rsid w:val="00EF4E9A"/>
    <w:rsid w:val="00EF7C65"/>
    <w:rsid w:val="00F04F92"/>
    <w:rsid w:val="00F05676"/>
    <w:rsid w:val="00F05F15"/>
    <w:rsid w:val="00F12D01"/>
    <w:rsid w:val="00F13FEE"/>
    <w:rsid w:val="00F17236"/>
    <w:rsid w:val="00F20D06"/>
    <w:rsid w:val="00F338F1"/>
    <w:rsid w:val="00F42616"/>
    <w:rsid w:val="00F43497"/>
    <w:rsid w:val="00F54FB5"/>
    <w:rsid w:val="00F57C3B"/>
    <w:rsid w:val="00F627BF"/>
    <w:rsid w:val="00F70D5E"/>
    <w:rsid w:val="00F766F7"/>
    <w:rsid w:val="00F82BE4"/>
    <w:rsid w:val="00F967E8"/>
    <w:rsid w:val="00F96E47"/>
    <w:rsid w:val="00F97869"/>
    <w:rsid w:val="00FB2C21"/>
    <w:rsid w:val="00FB3B9E"/>
    <w:rsid w:val="00FC0D5F"/>
    <w:rsid w:val="00FE471D"/>
    <w:rsid w:val="00FF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7FCA024"/>
  <w15:docId w15:val="{D6198F08-707A-4685-96D7-ADC306886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BB0"/>
    <w:rPr>
      <w:sz w:val="24"/>
      <w:szCs w:val="24"/>
    </w:rPr>
  </w:style>
  <w:style w:type="paragraph" w:styleId="Heading1">
    <w:name w:val="heading 1"/>
    <w:basedOn w:val="Normal"/>
    <w:next w:val="Normal"/>
    <w:link w:val="Heading1Char"/>
    <w:qFormat/>
    <w:rsid w:val="00A5090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EA7B5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34F06"/>
    <w:pPr>
      <w:framePr w:w="7920" w:h="1980" w:hRule="exact" w:hSpace="180" w:wrap="auto" w:hAnchor="page" w:xAlign="center" w:yAlign="bottom"/>
      <w:ind w:left="2880"/>
    </w:pPr>
    <w:rPr>
      <w:rFonts w:ascii="Courier New" w:hAnsi="Courier New" w:cs="Arial"/>
      <w:caps/>
    </w:rPr>
  </w:style>
  <w:style w:type="paragraph" w:styleId="Header">
    <w:name w:val="header"/>
    <w:basedOn w:val="Normal"/>
    <w:rsid w:val="00B34F06"/>
    <w:pPr>
      <w:tabs>
        <w:tab w:val="center" w:pos="4320"/>
        <w:tab w:val="right" w:pos="8640"/>
      </w:tabs>
    </w:pPr>
  </w:style>
  <w:style w:type="paragraph" w:styleId="Footer">
    <w:name w:val="footer"/>
    <w:basedOn w:val="Normal"/>
    <w:link w:val="FooterChar"/>
    <w:uiPriority w:val="99"/>
    <w:rsid w:val="00B34F06"/>
    <w:pPr>
      <w:tabs>
        <w:tab w:val="center" w:pos="4320"/>
        <w:tab w:val="right" w:pos="8640"/>
      </w:tabs>
    </w:pPr>
  </w:style>
  <w:style w:type="character" w:styleId="PageNumber">
    <w:name w:val="page number"/>
    <w:basedOn w:val="DefaultParagraphFont"/>
    <w:rsid w:val="00B34F06"/>
  </w:style>
  <w:style w:type="paragraph" w:styleId="FootnoteText">
    <w:name w:val="footnote text"/>
    <w:basedOn w:val="Normal"/>
    <w:semiHidden/>
    <w:rsid w:val="008D2556"/>
    <w:rPr>
      <w:sz w:val="20"/>
      <w:szCs w:val="20"/>
    </w:rPr>
  </w:style>
  <w:style w:type="character" w:styleId="FootnoteReference">
    <w:name w:val="footnote reference"/>
    <w:basedOn w:val="DefaultParagraphFont"/>
    <w:semiHidden/>
    <w:rsid w:val="008D2556"/>
    <w:rPr>
      <w:vertAlign w:val="superscript"/>
    </w:rPr>
  </w:style>
  <w:style w:type="paragraph" w:styleId="BalloonText">
    <w:name w:val="Balloon Text"/>
    <w:basedOn w:val="Normal"/>
    <w:semiHidden/>
    <w:rsid w:val="002967E3"/>
    <w:rPr>
      <w:rFonts w:ascii="Tahoma" w:hAnsi="Tahoma" w:cs="Tahoma"/>
      <w:sz w:val="16"/>
      <w:szCs w:val="16"/>
    </w:rPr>
  </w:style>
  <w:style w:type="character" w:styleId="Hyperlink">
    <w:name w:val="Hyperlink"/>
    <w:basedOn w:val="DefaultParagraphFont"/>
    <w:rsid w:val="00B7026D"/>
    <w:rPr>
      <w:color w:val="0000FF" w:themeColor="hyperlink"/>
      <w:u w:val="single"/>
    </w:rPr>
  </w:style>
  <w:style w:type="paragraph" w:customStyle="1" w:styleId="Default">
    <w:name w:val="Default"/>
    <w:rsid w:val="0029561A"/>
    <w:pPr>
      <w:autoSpaceDE w:val="0"/>
      <w:autoSpaceDN w:val="0"/>
      <w:adjustRightInd w:val="0"/>
    </w:pPr>
    <w:rPr>
      <w:rFonts w:ascii="Calibri" w:hAnsi="Calibri" w:cs="Calibri"/>
      <w:color w:val="000000"/>
      <w:sz w:val="24"/>
      <w:szCs w:val="24"/>
    </w:rPr>
  </w:style>
  <w:style w:type="paragraph" w:styleId="NormalWeb">
    <w:name w:val="Normal (Web)"/>
    <w:basedOn w:val="Normal"/>
    <w:uiPriority w:val="99"/>
    <w:rsid w:val="00C3221A"/>
    <w:pPr>
      <w:spacing w:before="100" w:beforeAutospacing="1" w:after="100" w:afterAutospacing="1"/>
    </w:pPr>
    <w:rPr>
      <w:color w:val="CCCCCC"/>
    </w:rPr>
  </w:style>
  <w:style w:type="paragraph" w:styleId="ListParagraph">
    <w:name w:val="List Paragraph"/>
    <w:basedOn w:val="Normal"/>
    <w:uiPriority w:val="34"/>
    <w:qFormat/>
    <w:rsid w:val="009E383C"/>
    <w:pPr>
      <w:ind w:left="720"/>
      <w:contextualSpacing/>
    </w:pPr>
  </w:style>
  <w:style w:type="character" w:customStyle="1" w:styleId="Heading1Char">
    <w:name w:val="Heading 1 Char"/>
    <w:basedOn w:val="DefaultParagraphFont"/>
    <w:link w:val="Heading1"/>
    <w:rsid w:val="00A50901"/>
    <w:rPr>
      <w:rFonts w:asciiTheme="majorHAnsi" w:eastAsiaTheme="majorEastAsia" w:hAnsiTheme="majorHAnsi" w:cstheme="majorBidi"/>
      <w:b/>
      <w:bCs/>
      <w:color w:val="365F91" w:themeColor="accent1" w:themeShade="BF"/>
      <w:sz w:val="28"/>
      <w:szCs w:val="28"/>
    </w:rPr>
  </w:style>
  <w:style w:type="character" w:customStyle="1" w:styleId="FooterChar">
    <w:name w:val="Footer Char"/>
    <w:basedOn w:val="DefaultParagraphFont"/>
    <w:link w:val="Footer"/>
    <w:uiPriority w:val="99"/>
    <w:rsid w:val="00BE1729"/>
    <w:rPr>
      <w:sz w:val="24"/>
      <w:szCs w:val="24"/>
    </w:rPr>
  </w:style>
  <w:style w:type="character" w:customStyle="1" w:styleId="UnresolvedMention1">
    <w:name w:val="Unresolved Mention1"/>
    <w:basedOn w:val="DefaultParagraphFont"/>
    <w:uiPriority w:val="99"/>
    <w:semiHidden/>
    <w:unhideWhenUsed/>
    <w:rsid w:val="00336842"/>
    <w:rPr>
      <w:color w:val="808080"/>
      <w:shd w:val="clear" w:color="auto" w:fill="E6E6E6"/>
    </w:rPr>
  </w:style>
  <w:style w:type="paragraph" w:styleId="Revision">
    <w:name w:val="Revision"/>
    <w:hidden/>
    <w:uiPriority w:val="99"/>
    <w:semiHidden/>
    <w:rsid w:val="00821D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538729">
      <w:bodyDiv w:val="1"/>
      <w:marLeft w:val="0"/>
      <w:marRight w:val="0"/>
      <w:marTop w:val="0"/>
      <w:marBottom w:val="0"/>
      <w:divBdr>
        <w:top w:val="none" w:sz="0" w:space="0" w:color="auto"/>
        <w:left w:val="none" w:sz="0" w:space="0" w:color="auto"/>
        <w:bottom w:val="none" w:sz="0" w:space="0" w:color="auto"/>
        <w:right w:val="none" w:sz="0" w:space="0" w:color="auto"/>
      </w:divBdr>
    </w:div>
    <w:div w:id="599339067">
      <w:bodyDiv w:val="1"/>
      <w:marLeft w:val="0"/>
      <w:marRight w:val="0"/>
      <w:marTop w:val="0"/>
      <w:marBottom w:val="0"/>
      <w:divBdr>
        <w:top w:val="none" w:sz="0" w:space="0" w:color="auto"/>
        <w:left w:val="none" w:sz="0" w:space="0" w:color="auto"/>
        <w:bottom w:val="none" w:sz="0" w:space="0" w:color="auto"/>
        <w:right w:val="none" w:sz="0" w:space="0" w:color="auto"/>
      </w:divBdr>
      <w:divsChild>
        <w:div w:id="1864392735">
          <w:marLeft w:val="0"/>
          <w:marRight w:val="0"/>
          <w:marTop w:val="0"/>
          <w:marBottom w:val="0"/>
          <w:divBdr>
            <w:top w:val="none" w:sz="0" w:space="0" w:color="auto"/>
            <w:left w:val="none" w:sz="0" w:space="0" w:color="auto"/>
            <w:bottom w:val="none" w:sz="0" w:space="0" w:color="auto"/>
            <w:right w:val="none" w:sz="0" w:space="0" w:color="auto"/>
          </w:divBdr>
          <w:divsChild>
            <w:div w:id="78015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32968">
      <w:bodyDiv w:val="1"/>
      <w:marLeft w:val="0"/>
      <w:marRight w:val="0"/>
      <w:marTop w:val="0"/>
      <w:marBottom w:val="0"/>
      <w:divBdr>
        <w:top w:val="none" w:sz="0" w:space="0" w:color="auto"/>
        <w:left w:val="none" w:sz="0" w:space="0" w:color="auto"/>
        <w:bottom w:val="none" w:sz="0" w:space="0" w:color="auto"/>
        <w:right w:val="none" w:sz="0" w:space="0" w:color="auto"/>
      </w:divBdr>
    </w:div>
    <w:div w:id="1052996185">
      <w:bodyDiv w:val="1"/>
      <w:marLeft w:val="0"/>
      <w:marRight w:val="0"/>
      <w:marTop w:val="0"/>
      <w:marBottom w:val="0"/>
      <w:divBdr>
        <w:top w:val="none" w:sz="0" w:space="0" w:color="auto"/>
        <w:left w:val="none" w:sz="0" w:space="0" w:color="auto"/>
        <w:bottom w:val="none" w:sz="0" w:space="0" w:color="auto"/>
        <w:right w:val="none" w:sz="0" w:space="0" w:color="auto"/>
      </w:divBdr>
    </w:div>
    <w:div w:id="1166171117">
      <w:bodyDiv w:val="1"/>
      <w:marLeft w:val="0"/>
      <w:marRight w:val="0"/>
      <w:marTop w:val="0"/>
      <w:marBottom w:val="0"/>
      <w:divBdr>
        <w:top w:val="none" w:sz="0" w:space="0" w:color="auto"/>
        <w:left w:val="none" w:sz="0" w:space="0" w:color="auto"/>
        <w:bottom w:val="none" w:sz="0" w:space="0" w:color="auto"/>
        <w:right w:val="none" w:sz="0" w:space="0" w:color="auto"/>
      </w:divBdr>
    </w:div>
    <w:div w:id="168358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fredericksen@sapd.state.id.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8A20E-DF8C-48A0-96E1-874BCAF3B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1526</Words>
  <Characters>8348</Characters>
  <Application>Microsoft Office Word</Application>
  <DocSecurity>6</DocSecurity>
  <Lines>69</Lines>
  <Paragraphs>19</Paragraphs>
  <ScaleCrop>false</ScaleCrop>
  <HeadingPairs>
    <vt:vector size="2" baseType="variant">
      <vt:variant>
        <vt:lpstr>Title</vt:lpstr>
      </vt:variant>
      <vt:variant>
        <vt:i4>1</vt:i4>
      </vt:variant>
    </vt:vector>
  </HeadingPairs>
  <TitlesOfParts>
    <vt:vector size="1" baseType="lpstr">
      <vt:lpstr>Agency Purpose</vt:lpstr>
    </vt:vector>
  </TitlesOfParts>
  <Company>Division of Financial Management</Company>
  <LinksUpToDate>false</LinksUpToDate>
  <CharactersWithSpaces>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Purpose</dc:title>
  <dc:creator>Anita Hamann</dc:creator>
  <cp:lastModifiedBy>Misty Lawrence</cp:lastModifiedBy>
  <cp:revision>2</cp:revision>
  <cp:lastPrinted>2018-08-21T16:09:00Z</cp:lastPrinted>
  <dcterms:created xsi:type="dcterms:W3CDTF">2022-06-01T21:07:00Z</dcterms:created>
  <dcterms:modified xsi:type="dcterms:W3CDTF">2022-06-01T21:07:00Z</dcterms:modified>
  <cp:contentStatus/>
</cp:coreProperties>
</file>