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67CA" w14:textId="77777777" w:rsidR="009A0FAC" w:rsidRPr="00487FCD" w:rsidRDefault="009A0FAC" w:rsidP="009A0FAC">
      <w:pPr>
        <w:pStyle w:val="Heading1"/>
        <w:spacing w:before="0" w:after="60"/>
        <w:rPr>
          <w:rFonts w:ascii="Arial" w:hAnsi="Arial" w:cs="Arial"/>
          <w:i/>
          <w:color w:val="000080"/>
          <w:sz w:val="28"/>
          <w:szCs w:val="24"/>
        </w:rPr>
      </w:pPr>
      <w:r w:rsidRPr="00487FCD">
        <w:rPr>
          <w:rFonts w:ascii="Arial" w:hAnsi="Arial" w:cs="Arial"/>
          <w:i/>
          <w:color w:val="000080"/>
          <w:sz w:val="28"/>
          <w:szCs w:val="24"/>
        </w:rPr>
        <w:t>Part I – Agency Profile</w:t>
      </w:r>
    </w:p>
    <w:p w14:paraId="319F4814" w14:textId="77777777" w:rsidR="00CF737E" w:rsidRDefault="00CF737E" w:rsidP="00934638">
      <w:pPr>
        <w:rPr>
          <w:rFonts w:ascii="Arial" w:hAnsi="Arial" w:cs="Arial"/>
          <w:b/>
        </w:rPr>
      </w:pPr>
    </w:p>
    <w:p w14:paraId="015AAF02" w14:textId="77777777" w:rsidR="00FF26CD" w:rsidRPr="00934638" w:rsidRDefault="00FF26CD" w:rsidP="00934638">
      <w:pPr>
        <w:rPr>
          <w:rFonts w:ascii="Arial" w:hAnsi="Arial" w:cs="Arial"/>
          <w:b/>
        </w:rPr>
      </w:pPr>
      <w:r w:rsidRPr="00934638">
        <w:rPr>
          <w:rFonts w:ascii="Arial" w:hAnsi="Arial" w:cs="Arial"/>
          <w:b/>
        </w:rPr>
        <w:t>Agency Overview</w:t>
      </w:r>
    </w:p>
    <w:p w14:paraId="0EF8A1BE" w14:textId="77777777" w:rsidR="00FF26CD" w:rsidRPr="008C41B1" w:rsidRDefault="00FF26CD" w:rsidP="008C41B1">
      <w:pPr>
        <w:pStyle w:val="BodyText2"/>
        <w:rPr>
          <w:rFonts w:ascii="Arial" w:hAnsi="Arial" w:cs="Arial"/>
        </w:rPr>
      </w:pPr>
      <w:r w:rsidRPr="008C41B1">
        <w:rPr>
          <w:rFonts w:ascii="Arial" w:hAnsi="Arial" w:cs="Arial"/>
        </w:rPr>
        <w:t>The Idaho Division of Vocational Rehab</w:t>
      </w:r>
      <w:r w:rsidR="00B0450E" w:rsidRPr="008C41B1">
        <w:rPr>
          <w:rFonts w:ascii="Arial" w:hAnsi="Arial" w:cs="Arial"/>
        </w:rPr>
        <w:t>ilitation (IDVR) is an agency</w:t>
      </w:r>
      <w:r w:rsidRPr="008C41B1">
        <w:rPr>
          <w:rFonts w:ascii="Arial" w:hAnsi="Arial" w:cs="Arial"/>
        </w:rPr>
        <w:t xml:space="preserve"> under the oversight of the Office of the State Board of Education. </w:t>
      </w:r>
      <w:r w:rsidR="005A62F2" w:rsidRPr="008C41B1">
        <w:rPr>
          <w:rFonts w:ascii="Arial" w:hAnsi="Arial" w:cs="Arial"/>
        </w:rPr>
        <w:t>Jane Donnellan</w:t>
      </w:r>
      <w:r w:rsidR="00D35BC8" w:rsidRPr="008C41B1">
        <w:rPr>
          <w:rFonts w:ascii="Arial" w:hAnsi="Arial" w:cs="Arial"/>
        </w:rPr>
        <w:t xml:space="preserve"> is the </w:t>
      </w:r>
      <w:r w:rsidRPr="008C41B1">
        <w:rPr>
          <w:rFonts w:ascii="Arial" w:hAnsi="Arial" w:cs="Arial"/>
        </w:rPr>
        <w:t xml:space="preserve">Administrator </w:t>
      </w:r>
      <w:r w:rsidR="00E10085" w:rsidRPr="008C41B1">
        <w:rPr>
          <w:rFonts w:ascii="Arial" w:hAnsi="Arial" w:cs="Arial"/>
        </w:rPr>
        <w:t>for</w:t>
      </w:r>
      <w:r w:rsidRPr="008C41B1">
        <w:rPr>
          <w:rFonts w:ascii="Arial" w:hAnsi="Arial" w:cs="Arial"/>
        </w:rPr>
        <w:t xml:space="preserve"> the Division. IDVR is charged with several major responsibilities: Management of the State/Federal Voc</w:t>
      </w:r>
      <w:r w:rsidR="00890AA9" w:rsidRPr="008C41B1">
        <w:rPr>
          <w:rFonts w:ascii="Arial" w:hAnsi="Arial" w:cs="Arial"/>
        </w:rPr>
        <w:t xml:space="preserve">ational Rehabilitation Program, </w:t>
      </w:r>
      <w:r w:rsidRPr="008C41B1">
        <w:rPr>
          <w:rFonts w:ascii="Arial" w:hAnsi="Arial" w:cs="Arial"/>
        </w:rPr>
        <w:t>Extended Employment Services</w:t>
      </w:r>
      <w:r w:rsidR="00B0450E" w:rsidRPr="008C41B1">
        <w:rPr>
          <w:rFonts w:ascii="Arial" w:hAnsi="Arial" w:cs="Arial"/>
        </w:rPr>
        <w:t xml:space="preserve"> (EES) and the fis</w:t>
      </w:r>
      <w:r w:rsidR="003D33E1" w:rsidRPr="008C41B1">
        <w:rPr>
          <w:rFonts w:ascii="Arial" w:hAnsi="Arial" w:cs="Arial"/>
        </w:rPr>
        <w:t>cal management of the Council for</w:t>
      </w:r>
      <w:r w:rsidR="00B0450E" w:rsidRPr="008C41B1">
        <w:rPr>
          <w:rFonts w:ascii="Arial" w:hAnsi="Arial" w:cs="Arial"/>
        </w:rPr>
        <w:t xml:space="preserve"> the Deaf and Hard of Hearing (CDHH)</w:t>
      </w:r>
      <w:r w:rsidRPr="008C41B1">
        <w:rPr>
          <w:rFonts w:ascii="Arial" w:hAnsi="Arial" w:cs="Arial"/>
        </w:rPr>
        <w:t xml:space="preserve">. </w:t>
      </w:r>
      <w:r w:rsidR="00BB6A74" w:rsidRPr="008C41B1">
        <w:rPr>
          <w:rFonts w:ascii="Arial" w:hAnsi="Arial" w:cs="Arial"/>
        </w:rPr>
        <w:t xml:space="preserve"> It should be noted that nationally, under the Federal Vocational Rehabilitation Program, each state </w:t>
      </w:r>
      <w:proofErr w:type="gramStart"/>
      <w:r w:rsidR="00BB6A74" w:rsidRPr="008C41B1">
        <w:rPr>
          <w:rFonts w:ascii="Arial" w:hAnsi="Arial" w:cs="Arial"/>
        </w:rPr>
        <w:t>has the ability to</w:t>
      </w:r>
      <w:proofErr w:type="gramEnd"/>
      <w:r w:rsidR="00BB6A74" w:rsidRPr="008C41B1">
        <w:rPr>
          <w:rFonts w:ascii="Arial" w:hAnsi="Arial" w:cs="Arial"/>
        </w:rPr>
        <w:t xml:space="preserve"> choose to have a combined or separate agency to serve the blind and visually impaired.  In Idaho, a sep</w:t>
      </w:r>
      <w:r w:rsidR="00A17705" w:rsidRPr="008C41B1">
        <w:rPr>
          <w:rFonts w:ascii="Arial" w:hAnsi="Arial" w:cs="Arial"/>
        </w:rPr>
        <w:t>arate state agency</w:t>
      </w:r>
      <w:r w:rsidR="00BB4E8A" w:rsidRPr="008C41B1">
        <w:rPr>
          <w:rFonts w:ascii="Arial" w:hAnsi="Arial" w:cs="Arial"/>
        </w:rPr>
        <w:t xml:space="preserve"> (the Idaho Commission for the Blind and Visually Impaired)</w:t>
      </w:r>
      <w:r w:rsidR="00A17705" w:rsidRPr="008C41B1">
        <w:rPr>
          <w:rFonts w:ascii="Arial" w:hAnsi="Arial" w:cs="Arial"/>
        </w:rPr>
        <w:t xml:space="preserve"> provides vocational rehabilitation</w:t>
      </w:r>
      <w:r w:rsidR="00BB6A74" w:rsidRPr="008C41B1">
        <w:rPr>
          <w:rFonts w:ascii="Arial" w:hAnsi="Arial" w:cs="Arial"/>
        </w:rPr>
        <w:t xml:space="preserve"> services for those who have a primary disability of blind and visually impaired. </w:t>
      </w:r>
    </w:p>
    <w:p w14:paraId="7361AA79" w14:textId="77777777" w:rsidR="00FF26CD" w:rsidRPr="008C41B1" w:rsidRDefault="00FF26CD" w:rsidP="008C41B1">
      <w:pPr>
        <w:pStyle w:val="BodyText2"/>
        <w:rPr>
          <w:rFonts w:ascii="Arial" w:hAnsi="Arial" w:cs="Arial"/>
        </w:rPr>
      </w:pPr>
    </w:p>
    <w:p w14:paraId="04D5CEFF" w14:textId="29D9F732" w:rsidR="00FF26CD" w:rsidRPr="008C41B1" w:rsidRDefault="00FF26CD" w:rsidP="008C41B1">
      <w:pPr>
        <w:pStyle w:val="BodyText2"/>
        <w:rPr>
          <w:rFonts w:ascii="Arial" w:hAnsi="Arial" w:cs="Arial"/>
        </w:rPr>
      </w:pPr>
      <w:r w:rsidRPr="008C41B1">
        <w:rPr>
          <w:rFonts w:ascii="Arial" w:hAnsi="Arial" w:cs="Arial"/>
          <w:szCs w:val="27"/>
        </w:rPr>
        <w:t xml:space="preserve">The </w:t>
      </w:r>
      <w:r w:rsidR="007B3FCC">
        <w:rPr>
          <w:rFonts w:ascii="Arial" w:hAnsi="Arial" w:cs="Arial"/>
          <w:szCs w:val="27"/>
        </w:rPr>
        <w:t>p</w:t>
      </w:r>
      <w:r w:rsidRPr="008C41B1">
        <w:rPr>
          <w:rFonts w:ascii="Arial" w:hAnsi="Arial" w:cs="Arial"/>
          <w:szCs w:val="27"/>
        </w:rPr>
        <w:t xml:space="preserve">ublic </w:t>
      </w:r>
      <w:r w:rsidRPr="008C41B1">
        <w:rPr>
          <w:rFonts w:ascii="Arial" w:hAnsi="Arial" w:cs="Arial"/>
          <w:color w:val="000000"/>
        </w:rPr>
        <w:t xml:space="preserve">Vocational Rehabilitation program is one of </w:t>
      </w:r>
      <w:r w:rsidR="004F0D94" w:rsidRPr="008C41B1">
        <w:rPr>
          <w:rFonts w:ascii="Arial" w:hAnsi="Arial" w:cs="Arial"/>
          <w:color w:val="000000"/>
        </w:rPr>
        <w:t>the oldest and most successful Federal/S</w:t>
      </w:r>
      <w:r w:rsidR="00B0450E" w:rsidRPr="008C41B1">
        <w:rPr>
          <w:rFonts w:ascii="Arial" w:hAnsi="Arial" w:cs="Arial"/>
          <w:color w:val="000000"/>
        </w:rPr>
        <w:t>tate programs in the United States</w:t>
      </w:r>
      <w:r w:rsidRPr="008C41B1">
        <w:rPr>
          <w:rFonts w:ascii="Arial" w:hAnsi="Arial" w:cs="Arial"/>
          <w:color w:val="000000"/>
        </w:rPr>
        <w:t>.</w:t>
      </w:r>
      <w:r w:rsidR="0076137A">
        <w:rPr>
          <w:rFonts w:ascii="Arial" w:hAnsi="Arial" w:cs="Arial"/>
          <w:color w:val="000000"/>
        </w:rPr>
        <w:t xml:space="preserve">  </w:t>
      </w:r>
      <w:r w:rsidRPr="008C41B1">
        <w:rPr>
          <w:rFonts w:ascii="Arial" w:hAnsi="Arial" w:cs="Arial"/>
        </w:rPr>
        <w:t xml:space="preserve">Vocational Rehabilitation serves individuals with </w:t>
      </w:r>
      <w:r w:rsidRPr="008C41B1">
        <w:rPr>
          <w:rFonts w:ascii="Arial" w:hAnsi="Arial" w:cs="Arial"/>
          <w:szCs w:val="19"/>
        </w:rPr>
        <w:t xml:space="preserve">severe disabilities that impose significant barriers to </w:t>
      </w:r>
      <w:r w:rsidR="0076137A">
        <w:rPr>
          <w:rFonts w:ascii="Arial" w:hAnsi="Arial" w:cs="Arial"/>
          <w:szCs w:val="19"/>
        </w:rPr>
        <w:t xml:space="preserve">their </w:t>
      </w:r>
      <w:r w:rsidRPr="008C41B1">
        <w:rPr>
          <w:rFonts w:ascii="Arial" w:hAnsi="Arial" w:cs="Arial"/>
          <w:szCs w:val="19"/>
        </w:rPr>
        <w:t xml:space="preserve">employment. </w:t>
      </w:r>
      <w:r w:rsidR="00D35BC8" w:rsidRPr="008C41B1">
        <w:rPr>
          <w:rFonts w:ascii="Arial" w:hAnsi="Arial" w:cs="Arial"/>
        </w:rPr>
        <w:t>In FY20</w:t>
      </w:r>
      <w:r w:rsidR="0076137A">
        <w:rPr>
          <w:rFonts w:ascii="Arial" w:hAnsi="Arial" w:cs="Arial"/>
        </w:rPr>
        <w:t>2</w:t>
      </w:r>
      <w:r w:rsidR="00DD4528">
        <w:rPr>
          <w:rFonts w:ascii="Arial" w:hAnsi="Arial" w:cs="Arial"/>
        </w:rPr>
        <w:t>1</w:t>
      </w:r>
      <w:r w:rsidR="008658D8" w:rsidRPr="008C41B1">
        <w:rPr>
          <w:rFonts w:ascii="Arial" w:hAnsi="Arial" w:cs="Arial"/>
        </w:rPr>
        <w:t xml:space="preserve">, </w:t>
      </w:r>
      <w:r w:rsidR="008658D8" w:rsidRPr="004D24EB">
        <w:rPr>
          <w:rFonts w:ascii="Arial" w:hAnsi="Arial" w:cs="Arial"/>
        </w:rPr>
        <w:t>t</w:t>
      </w:r>
      <w:r w:rsidRPr="004D24EB">
        <w:rPr>
          <w:rFonts w:ascii="Arial" w:hAnsi="Arial" w:cs="Arial"/>
        </w:rPr>
        <w:t xml:space="preserve">he </w:t>
      </w:r>
      <w:r w:rsidRPr="00F71CD6">
        <w:rPr>
          <w:rFonts w:ascii="Arial" w:hAnsi="Arial" w:cs="Arial"/>
        </w:rPr>
        <w:t>average time needed for a person to complete a rehabilitatio</w:t>
      </w:r>
      <w:r w:rsidR="00CC3642" w:rsidRPr="00F71CD6">
        <w:rPr>
          <w:rFonts w:ascii="Arial" w:hAnsi="Arial" w:cs="Arial"/>
        </w:rPr>
        <w:t>n plan a</w:t>
      </w:r>
      <w:r w:rsidR="00955EE0" w:rsidRPr="00F71CD6">
        <w:rPr>
          <w:rFonts w:ascii="Arial" w:hAnsi="Arial" w:cs="Arial"/>
        </w:rPr>
        <w:t xml:space="preserve">nd become employed </w:t>
      </w:r>
      <w:r w:rsidR="008658D8" w:rsidRPr="00F71CD6">
        <w:rPr>
          <w:rFonts w:ascii="Arial" w:hAnsi="Arial" w:cs="Arial"/>
        </w:rPr>
        <w:t>was</w:t>
      </w:r>
      <w:r w:rsidR="00955EE0" w:rsidRPr="00F71CD6">
        <w:rPr>
          <w:rFonts w:ascii="Arial" w:hAnsi="Arial" w:cs="Arial"/>
        </w:rPr>
        <w:t xml:space="preserve"> </w:t>
      </w:r>
      <w:r w:rsidR="002B3775" w:rsidRPr="002B3775">
        <w:rPr>
          <w:rFonts w:ascii="Arial" w:hAnsi="Arial" w:cs="Arial"/>
        </w:rPr>
        <w:t>25.5</w:t>
      </w:r>
      <w:r w:rsidR="008658D8" w:rsidRPr="002B3775">
        <w:rPr>
          <w:rFonts w:ascii="Arial" w:hAnsi="Arial" w:cs="Arial"/>
        </w:rPr>
        <w:t xml:space="preserve"> months.</w:t>
      </w:r>
      <w:r w:rsidR="008658D8" w:rsidRPr="00F71CD6">
        <w:rPr>
          <w:rFonts w:ascii="Arial" w:hAnsi="Arial" w:cs="Arial"/>
        </w:rPr>
        <w:t xml:space="preserve"> Furth</w:t>
      </w:r>
      <w:r w:rsidR="008658D8" w:rsidRPr="008C41B1">
        <w:rPr>
          <w:rFonts w:ascii="Arial" w:hAnsi="Arial" w:cs="Arial"/>
        </w:rPr>
        <w:t>ermore</w:t>
      </w:r>
      <w:r w:rsidRPr="008C41B1">
        <w:rPr>
          <w:rFonts w:ascii="Arial" w:hAnsi="Arial" w:cs="Arial"/>
        </w:rPr>
        <w:t xml:space="preserve">, </w:t>
      </w:r>
      <w:r w:rsidRPr="00CD1D0D">
        <w:rPr>
          <w:rFonts w:ascii="Arial" w:hAnsi="Arial" w:cs="Arial"/>
        </w:rPr>
        <w:t>employment of individuals wi</w:t>
      </w:r>
      <w:r w:rsidR="00CC3642" w:rsidRPr="00CD1D0D">
        <w:rPr>
          <w:rFonts w:ascii="Arial" w:hAnsi="Arial" w:cs="Arial"/>
        </w:rPr>
        <w:t>t</w:t>
      </w:r>
      <w:r w:rsidR="00955EE0" w:rsidRPr="00CD1D0D">
        <w:rPr>
          <w:rFonts w:ascii="Arial" w:hAnsi="Arial" w:cs="Arial"/>
        </w:rPr>
        <w:t>h disabilities resulted in a</w:t>
      </w:r>
      <w:r w:rsidR="005D08A1" w:rsidRPr="00CD1D0D">
        <w:rPr>
          <w:rFonts w:ascii="Arial" w:hAnsi="Arial" w:cs="Arial"/>
        </w:rPr>
        <w:t xml:space="preserve"> </w:t>
      </w:r>
      <w:r w:rsidR="002B3775" w:rsidRPr="002B3775">
        <w:rPr>
          <w:rFonts w:ascii="Arial" w:hAnsi="Arial" w:cs="Arial"/>
        </w:rPr>
        <w:t>377</w:t>
      </w:r>
      <w:r w:rsidR="004D0686" w:rsidRPr="002B3775">
        <w:rPr>
          <w:rFonts w:ascii="Arial" w:hAnsi="Arial" w:cs="Arial"/>
        </w:rPr>
        <w:t>%</w:t>
      </w:r>
      <w:r w:rsidR="004D24EB" w:rsidRPr="002B3775">
        <w:rPr>
          <w:rFonts w:ascii="Arial" w:hAnsi="Arial" w:cs="Arial"/>
        </w:rPr>
        <w:t xml:space="preserve"> </w:t>
      </w:r>
      <w:r w:rsidR="005D08A1" w:rsidRPr="002B3775">
        <w:rPr>
          <w:rFonts w:ascii="Arial" w:hAnsi="Arial" w:cs="Arial"/>
        </w:rPr>
        <w:t>increase</w:t>
      </w:r>
      <w:r w:rsidR="005D08A1" w:rsidRPr="00F71CD6">
        <w:rPr>
          <w:rFonts w:ascii="Arial" w:hAnsi="Arial" w:cs="Arial"/>
        </w:rPr>
        <w:t xml:space="preserve"> in customer</w:t>
      </w:r>
      <w:r w:rsidRPr="00F71CD6">
        <w:rPr>
          <w:rFonts w:ascii="Arial" w:hAnsi="Arial" w:cs="Arial"/>
        </w:rPr>
        <w:t xml:space="preserve"> weekly earnings</w:t>
      </w:r>
      <w:r w:rsidRPr="008C41B1">
        <w:rPr>
          <w:rFonts w:ascii="Arial" w:hAnsi="Arial" w:cs="Arial"/>
        </w:rPr>
        <w:t xml:space="preserve"> and significant</w:t>
      </w:r>
      <w:r w:rsidR="0092122A">
        <w:rPr>
          <w:rFonts w:ascii="Arial" w:hAnsi="Arial" w:cs="Arial"/>
        </w:rPr>
        <w:t>ly</w:t>
      </w:r>
      <w:r w:rsidRPr="008C41B1">
        <w:rPr>
          <w:rFonts w:ascii="Arial" w:hAnsi="Arial" w:cs="Arial"/>
        </w:rPr>
        <w:t xml:space="preserve"> decreases the need for public support.</w:t>
      </w:r>
    </w:p>
    <w:p w14:paraId="1972BF37" w14:textId="77777777" w:rsidR="00FF26CD" w:rsidRPr="008C41B1" w:rsidRDefault="00FF26CD" w:rsidP="008C41B1">
      <w:pPr>
        <w:pStyle w:val="BodyText2"/>
        <w:rPr>
          <w:rFonts w:ascii="Arial" w:hAnsi="Arial" w:cs="Arial"/>
        </w:rPr>
      </w:pPr>
    </w:p>
    <w:p w14:paraId="621E6BC2" w14:textId="321BDF98" w:rsidR="00FF26CD" w:rsidRPr="008C41B1" w:rsidRDefault="00FF26CD" w:rsidP="008C41B1">
      <w:pPr>
        <w:autoSpaceDE w:val="0"/>
        <w:autoSpaceDN w:val="0"/>
        <w:adjustRightInd w:val="0"/>
        <w:jc w:val="both"/>
        <w:rPr>
          <w:rFonts w:ascii="Arial" w:hAnsi="Arial" w:cs="Arial"/>
          <w:szCs w:val="16"/>
        </w:rPr>
      </w:pPr>
      <w:r w:rsidRPr="008C41B1">
        <w:rPr>
          <w:rFonts w:ascii="Arial" w:hAnsi="Arial" w:cs="Arial"/>
          <w:szCs w:val="17"/>
        </w:rPr>
        <w:t>The structure of</w:t>
      </w:r>
      <w:r w:rsidR="005D7FF6">
        <w:rPr>
          <w:rFonts w:ascii="Arial" w:hAnsi="Arial" w:cs="Arial"/>
          <w:szCs w:val="17"/>
        </w:rPr>
        <w:t xml:space="preserve"> the Vocational Rehabilitation program</w:t>
      </w:r>
      <w:r w:rsidRPr="008C41B1">
        <w:rPr>
          <w:rFonts w:ascii="Arial" w:hAnsi="Arial" w:cs="Arial"/>
          <w:szCs w:val="17"/>
        </w:rPr>
        <w:t xml:space="preserve"> </w:t>
      </w:r>
      <w:r w:rsidR="00B0450E" w:rsidRPr="008C41B1">
        <w:rPr>
          <w:rFonts w:ascii="Arial" w:hAnsi="Arial" w:cs="Arial"/>
          <w:szCs w:val="17"/>
        </w:rPr>
        <w:t>includes a Field Services unit</w:t>
      </w:r>
      <w:r w:rsidRPr="008C41B1">
        <w:rPr>
          <w:rFonts w:ascii="Arial" w:hAnsi="Arial" w:cs="Arial"/>
          <w:szCs w:val="17"/>
        </w:rPr>
        <w:t xml:space="preserve"> as well a</w:t>
      </w:r>
      <w:r w:rsidR="00B0450E" w:rsidRPr="008C41B1">
        <w:rPr>
          <w:rFonts w:ascii="Arial" w:hAnsi="Arial" w:cs="Arial"/>
          <w:szCs w:val="17"/>
        </w:rPr>
        <w:t xml:space="preserve">s a </w:t>
      </w:r>
      <w:r w:rsidRPr="008C41B1">
        <w:rPr>
          <w:rFonts w:ascii="Arial" w:hAnsi="Arial" w:cs="Arial"/>
          <w:szCs w:val="17"/>
        </w:rPr>
        <w:t>Planning and Eva</w:t>
      </w:r>
      <w:r w:rsidR="00B0450E" w:rsidRPr="008C41B1">
        <w:rPr>
          <w:rFonts w:ascii="Arial" w:hAnsi="Arial" w:cs="Arial"/>
          <w:szCs w:val="17"/>
        </w:rPr>
        <w:t>luation</w:t>
      </w:r>
      <w:r w:rsidR="005D7FF6">
        <w:rPr>
          <w:rFonts w:ascii="Arial" w:hAnsi="Arial" w:cs="Arial"/>
          <w:szCs w:val="17"/>
        </w:rPr>
        <w:t xml:space="preserve"> and</w:t>
      </w:r>
      <w:r w:rsidR="00B0450E" w:rsidRPr="008C41B1">
        <w:rPr>
          <w:rFonts w:ascii="Arial" w:hAnsi="Arial" w:cs="Arial"/>
          <w:szCs w:val="17"/>
        </w:rPr>
        <w:t xml:space="preserve"> Fiscal unit</w:t>
      </w:r>
      <w:r w:rsidR="00596BBB" w:rsidRPr="008C41B1">
        <w:rPr>
          <w:rFonts w:ascii="Arial" w:hAnsi="Arial" w:cs="Arial"/>
          <w:szCs w:val="17"/>
        </w:rPr>
        <w:t>s</w:t>
      </w:r>
      <w:r w:rsidR="00B0450E" w:rsidRPr="008C41B1">
        <w:rPr>
          <w:rFonts w:ascii="Arial" w:hAnsi="Arial" w:cs="Arial"/>
          <w:szCs w:val="17"/>
        </w:rPr>
        <w:t xml:space="preserve">. Under the Field Services unit, there are </w:t>
      </w:r>
      <w:r w:rsidR="00CC3642" w:rsidRPr="008C41B1">
        <w:rPr>
          <w:rFonts w:ascii="Arial" w:hAnsi="Arial" w:cs="Arial"/>
          <w:szCs w:val="17"/>
        </w:rPr>
        <w:t>eight</w:t>
      </w:r>
      <w:r w:rsidR="004F0D94" w:rsidRPr="008C41B1">
        <w:rPr>
          <w:rFonts w:ascii="Arial" w:hAnsi="Arial" w:cs="Arial"/>
          <w:szCs w:val="17"/>
        </w:rPr>
        <w:t xml:space="preserve"> (8)</w:t>
      </w:r>
      <w:r w:rsidR="00CC3642" w:rsidRPr="008C41B1">
        <w:rPr>
          <w:rFonts w:ascii="Arial" w:hAnsi="Arial" w:cs="Arial"/>
          <w:szCs w:val="17"/>
        </w:rPr>
        <w:t xml:space="preserve"> </w:t>
      </w:r>
      <w:r w:rsidRPr="008C41B1">
        <w:rPr>
          <w:rFonts w:ascii="Arial" w:hAnsi="Arial" w:cs="Arial"/>
          <w:szCs w:val="17"/>
        </w:rPr>
        <w:t xml:space="preserve">regional managers who supervise field staff in the following regions: </w:t>
      </w:r>
      <w:r w:rsidRPr="008C41B1">
        <w:rPr>
          <w:rFonts w:ascii="Arial" w:hAnsi="Arial" w:cs="Arial"/>
          <w:szCs w:val="16"/>
        </w:rPr>
        <w:t xml:space="preserve">Coeur </w:t>
      </w:r>
      <w:r w:rsidR="00596BBB" w:rsidRPr="008C41B1">
        <w:rPr>
          <w:rFonts w:ascii="Arial" w:hAnsi="Arial" w:cs="Arial"/>
          <w:szCs w:val="16"/>
        </w:rPr>
        <w:t xml:space="preserve">d’Alene, Lewiston, </w:t>
      </w:r>
      <w:r w:rsidR="00CC3642" w:rsidRPr="008C41B1">
        <w:rPr>
          <w:rFonts w:ascii="Arial" w:hAnsi="Arial" w:cs="Arial"/>
          <w:szCs w:val="16"/>
        </w:rPr>
        <w:t xml:space="preserve">Treasure Valley </w:t>
      </w:r>
      <w:r w:rsidR="0092122A">
        <w:rPr>
          <w:rFonts w:ascii="Arial" w:hAnsi="Arial" w:cs="Arial"/>
          <w:szCs w:val="16"/>
        </w:rPr>
        <w:t>East, Treasure Valley Central, Treasure Valley West</w:t>
      </w:r>
      <w:r w:rsidRPr="008C41B1">
        <w:rPr>
          <w:rFonts w:ascii="Arial" w:hAnsi="Arial" w:cs="Arial"/>
          <w:szCs w:val="16"/>
        </w:rPr>
        <w:t xml:space="preserve">, Twin Falls, Pocatello, </w:t>
      </w:r>
      <w:r w:rsidR="0092122A">
        <w:rPr>
          <w:rFonts w:ascii="Arial" w:hAnsi="Arial" w:cs="Arial"/>
          <w:szCs w:val="16"/>
        </w:rPr>
        <w:t xml:space="preserve">and </w:t>
      </w:r>
      <w:r w:rsidRPr="008C41B1">
        <w:rPr>
          <w:rFonts w:ascii="Arial" w:hAnsi="Arial" w:cs="Arial"/>
          <w:szCs w:val="16"/>
        </w:rPr>
        <w:t xml:space="preserve">Idaho Falls. </w:t>
      </w:r>
    </w:p>
    <w:p w14:paraId="4418D5F5" w14:textId="77777777" w:rsidR="00FF26CD" w:rsidRPr="008C41B1" w:rsidRDefault="00FF26CD" w:rsidP="008C41B1">
      <w:pPr>
        <w:jc w:val="both"/>
        <w:rPr>
          <w:rFonts w:ascii="Arial" w:hAnsi="Arial" w:cs="Arial"/>
        </w:rPr>
      </w:pPr>
    </w:p>
    <w:p w14:paraId="0CE4B8F3" w14:textId="12144B46" w:rsidR="00FF26CD" w:rsidRDefault="00F04378" w:rsidP="002B3775">
      <w:pPr>
        <w:autoSpaceDE w:val="0"/>
        <w:autoSpaceDN w:val="0"/>
        <w:adjustRightInd w:val="0"/>
        <w:jc w:val="both"/>
        <w:rPr>
          <w:rFonts w:ascii="Arial" w:hAnsi="Arial" w:cs="Arial"/>
        </w:rPr>
      </w:pPr>
      <w:bookmarkStart w:id="0" w:name="_Hlk74813311"/>
      <w:r>
        <w:rPr>
          <w:rFonts w:ascii="Arial" w:hAnsi="Arial" w:cs="Arial"/>
          <w:szCs w:val="16"/>
        </w:rPr>
        <w:t>The VR program</w:t>
      </w:r>
      <w:r w:rsidR="00FF26CD" w:rsidRPr="008C41B1">
        <w:rPr>
          <w:rFonts w:ascii="Arial" w:hAnsi="Arial" w:cs="Arial"/>
          <w:szCs w:val="16"/>
        </w:rPr>
        <w:t xml:space="preserve"> is comprised of </w:t>
      </w:r>
      <w:r w:rsidR="009016FA" w:rsidRPr="00140BCA">
        <w:rPr>
          <w:rFonts w:ascii="Arial" w:hAnsi="Arial" w:cs="Arial"/>
          <w:szCs w:val="16"/>
        </w:rPr>
        <w:t>14</w:t>
      </w:r>
      <w:r w:rsidR="00E50A26">
        <w:rPr>
          <w:rFonts w:ascii="Arial" w:hAnsi="Arial" w:cs="Arial"/>
          <w:szCs w:val="16"/>
        </w:rPr>
        <w:t>7</w:t>
      </w:r>
      <w:r w:rsidR="002F699E" w:rsidRPr="00140BCA">
        <w:rPr>
          <w:rFonts w:ascii="Arial" w:hAnsi="Arial" w:cs="Arial"/>
          <w:szCs w:val="16"/>
        </w:rPr>
        <w:t xml:space="preserve"> employees, of which 1</w:t>
      </w:r>
      <w:r w:rsidR="009016FA" w:rsidRPr="00140BCA">
        <w:rPr>
          <w:rFonts w:ascii="Arial" w:hAnsi="Arial" w:cs="Arial"/>
          <w:szCs w:val="16"/>
        </w:rPr>
        <w:t>3</w:t>
      </w:r>
      <w:r w:rsidR="00E50A26">
        <w:rPr>
          <w:rFonts w:ascii="Arial" w:hAnsi="Arial" w:cs="Arial"/>
          <w:szCs w:val="16"/>
        </w:rPr>
        <w:t>8</w:t>
      </w:r>
      <w:r w:rsidR="00FF26CD" w:rsidRPr="00140BCA">
        <w:rPr>
          <w:rFonts w:ascii="Arial" w:hAnsi="Arial" w:cs="Arial"/>
          <w:szCs w:val="16"/>
        </w:rPr>
        <w:t xml:space="preserve"> are full</w:t>
      </w:r>
      <w:r w:rsidR="00904BB4" w:rsidRPr="00140BCA">
        <w:rPr>
          <w:rFonts w:ascii="Arial" w:hAnsi="Arial" w:cs="Arial"/>
          <w:szCs w:val="16"/>
        </w:rPr>
        <w:t>-</w:t>
      </w:r>
      <w:r w:rsidR="00FF26CD" w:rsidRPr="00140BCA">
        <w:rPr>
          <w:rFonts w:ascii="Arial" w:hAnsi="Arial" w:cs="Arial"/>
          <w:szCs w:val="16"/>
        </w:rPr>
        <w:t>time positions serving in</w:t>
      </w:r>
      <w:r w:rsidR="00F0229B" w:rsidRPr="00140BCA">
        <w:rPr>
          <w:rFonts w:ascii="Arial" w:hAnsi="Arial" w:cs="Arial"/>
        </w:rPr>
        <w:t xml:space="preserve"> </w:t>
      </w:r>
      <w:r w:rsidR="009016FA" w:rsidRPr="00140BCA">
        <w:rPr>
          <w:rFonts w:ascii="Arial" w:hAnsi="Arial" w:cs="Arial"/>
        </w:rPr>
        <w:t>twenty</w:t>
      </w:r>
      <w:r w:rsidR="00F0229B" w:rsidRPr="00140BCA">
        <w:rPr>
          <w:rFonts w:ascii="Arial" w:hAnsi="Arial" w:cs="Arial"/>
        </w:rPr>
        <w:t xml:space="preserve"> (</w:t>
      </w:r>
      <w:r w:rsidR="009016FA" w:rsidRPr="00140BCA">
        <w:rPr>
          <w:rFonts w:ascii="Arial" w:hAnsi="Arial" w:cs="Arial"/>
        </w:rPr>
        <w:t>2</w:t>
      </w:r>
      <w:r w:rsidR="003324AA" w:rsidRPr="00140BCA">
        <w:rPr>
          <w:rFonts w:ascii="Arial" w:hAnsi="Arial" w:cs="Arial"/>
        </w:rPr>
        <w:t>0</w:t>
      </w:r>
      <w:r w:rsidR="004F0D94" w:rsidRPr="00140BCA">
        <w:rPr>
          <w:rFonts w:ascii="Arial" w:hAnsi="Arial" w:cs="Arial"/>
        </w:rPr>
        <w:t>)</w:t>
      </w:r>
      <w:r w:rsidR="00FF26CD" w:rsidRPr="00140BCA">
        <w:rPr>
          <w:rFonts w:ascii="Arial" w:hAnsi="Arial" w:cs="Arial"/>
        </w:rPr>
        <w:t xml:space="preserve"> offices throughout the state.</w:t>
      </w:r>
      <w:r w:rsidR="00FF26CD" w:rsidRPr="009016FA">
        <w:rPr>
          <w:rFonts w:ascii="Arial" w:hAnsi="Arial" w:cs="Arial"/>
        </w:rPr>
        <w:t xml:space="preserve"> </w:t>
      </w:r>
      <w:r w:rsidR="00FF26CD" w:rsidRPr="00474E1A">
        <w:rPr>
          <w:rFonts w:ascii="Arial" w:hAnsi="Arial" w:cs="Arial"/>
        </w:rPr>
        <w:t xml:space="preserve">Offices are located </w:t>
      </w:r>
      <w:r w:rsidR="001306CA" w:rsidRPr="00474E1A">
        <w:rPr>
          <w:rFonts w:ascii="Arial" w:hAnsi="Arial" w:cs="Arial"/>
        </w:rPr>
        <w:t xml:space="preserve">throughout the state </w:t>
      </w:r>
      <w:r w:rsidR="00446C6C" w:rsidRPr="00474E1A">
        <w:rPr>
          <w:rFonts w:ascii="Arial" w:hAnsi="Arial" w:cs="Arial"/>
        </w:rPr>
        <w:t>including</w:t>
      </w:r>
      <w:r w:rsidR="004F0D94" w:rsidRPr="00474E1A">
        <w:rPr>
          <w:rFonts w:ascii="Arial" w:hAnsi="Arial" w:cs="Arial"/>
        </w:rPr>
        <w:t xml:space="preserve"> </w:t>
      </w:r>
      <w:r w:rsidR="00FF26CD" w:rsidRPr="00474E1A">
        <w:rPr>
          <w:rFonts w:ascii="Arial" w:hAnsi="Arial" w:cs="Arial"/>
        </w:rPr>
        <w:t>Boise, Meridian, Coeur d’Alene, Sandpoint, Lewiston, Orofino, Twin Falls, Burley, Pocatello, Blackfoot, Preston, Idaho Falls, Salmon, Rexburg, Caldwell,</w:t>
      </w:r>
      <w:r w:rsidR="00574621" w:rsidRPr="00474E1A">
        <w:rPr>
          <w:rFonts w:ascii="Arial" w:hAnsi="Arial" w:cs="Arial"/>
        </w:rPr>
        <w:t xml:space="preserve"> and</w:t>
      </w:r>
      <w:r w:rsidR="00FF26CD" w:rsidRPr="00474E1A">
        <w:rPr>
          <w:rFonts w:ascii="Arial" w:hAnsi="Arial" w:cs="Arial"/>
        </w:rPr>
        <w:t xml:space="preserve"> Nampa. </w:t>
      </w:r>
      <w:r w:rsidR="00FF26CD" w:rsidRPr="007E0930">
        <w:rPr>
          <w:rFonts w:ascii="Arial" w:hAnsi="Arial" w:cs="Arial"/>
        </w:rPr>
        <w:t xml:space="preserve">There is one (1) Central Office, </w:t>
      </w:r>
      <w:r w:rsidR="00583763" w:rsidRPr="007E0930">
        <w:rPr>
          <w:rFonts w:ascii="Arial" w:hAnsi="Arial" w:cs="Arial"/>
        </w:rPr>
        <w:t>eight</w:t>
      </w:r>
      <w:r w:rsidR="00FF26CD" w:rsidRPr="007E0930">
        <w:rPr>
          <w:rFonts w:ascii="Arial" w:hAnsi="Arial" w:cs="Arial"/>
        </w:rPr>
        <w:t xml:space="preserve"> (</w:t>
      </w:r>
      <w:r w:rsidR="00583763" w:rsidRPr="007E0930">
        <w:rPr>
          <w:rFonts w:ascii="Arial" w:hAnsi="Arial" w:cs="Arial"/>
        </w:rPr>
        <w:t>8</w:t>
      </w:r>
      <w:r w:rsidR="001306CA" w:rsidRPr="007E0930">
        <w:rPr>
          <w:rFonts w:ascii="Arial" w:hAnsi="Arial" w:cs="Arial"/>
        </w:rPr>
        <w:t xml:space="preserve">) </w:t>
      </w:r>
      <w:r w:rsidR="00693977" w:rsidRPr="007E0930">
        <w:rPr>
          <w:rFonts w:ascii="Arial" w:hAnsi="Arial" w:cs="Arial"/>
        </w:rPr>
        <w:t>r</w:t>
      </w:r>
      <w:r w:rsidR="001306CA" w:rsidRPr="007E0930">
        <w:rPr>
          <w:rFonts w:ascii="Arial" w:hAnsi="Arial" w:cs="Arial"/>
        </w:rPr>
        <w:t>egion</w:t>
      </w:r>
      <w:r w:rsidR="00474E1A" w:rsidRPr="007E0930">
        <w:rPr>
          <w:rFonts w:ascii="Arial" w:hAnsi="Arial" w:cs="Arial"/>
        </w:rPr>
        <w:t>al offices</w:t>
      </w:r>
      <w:r w:rsidR="001306CA" w:rsidRPr="007E0930">
        <w:rPr>
          <w:rFonts w:ascii="Arial" w:hAnsi="Arial" w:cs="Arial"/>
        </w:rPr>
        <w:t xml:space="preserve">, </w:t>
      </w:r>
      <w:r w:rsidR="003324AA" w:rsidRPr="007E0930">
        <w:rPr>
          <w:rFonts w:ascii="Arial" w:hAnsi="Arial" w:cs="Arial"/>
        </w:rPr>
        <w:t>eight</w:t>
      </w:r>
      <w:r w:rsidR="00353D81" w:rsidRPr="007E0930">
        <w:rPr>
          <w:rFonts w:ascii="Arial" w:hAnsi="Arial" w:cs="Arial"/>
        </w:rPr>
        <w:t xml:space="preserve"> </w:t>
      </w:r>
      <w:r w:rsidR="001306CA" w:rsidRPr="007E0930">
        <w:rPr>
          <w:rFonts w:ascii="Arial" w:hAnsi="Arial" w:cs="Arial"/>
        </w:rPr>
        <w:t>(</w:t>
      </w:r>
      <w:r w:rsidR="003324AA" w:rsidRPr="007E0930">
        <w:rPr>
          <w:rFonts w:ascii="Arial" w:hAnsi="Arial" w:cs="Arial"/>
        </w:rPr>
        <w:t>8</w:t>
      </w:r>
      <w:r w:rsidR="00FF26CD" w:rsidRPr="007E0930">
        <w:rPr>
          <w:rFonts w:ascii="Arial" w:hAnsi="Arial" w:cs="Arial"/>
        </w:rPr>
        <w:t xml:space="preserve">) general Sub-Offices, </w:t>
      </w:r>
      <w:r w:rsidR="002F699E" w:rsidRPr="007E0930">
        <w:rPr>
          <w:rFonts w:ascii="Arial" w:hAnsi="Arial" w:cs="Arial"/>
        </w:rPr>
        <w:t xml:space="preserve">and </w:t>
      </w:r>
      <w:r w:rsidR="002B3775" w:rsidRPr="007E0930">
        <w:rPr>
          <w:rFonts w:ascii="Arial" w:hAnsi="Arial" w:cs="Arial"/>
        </w:rPr>
        <w:t>three</w:t>
      </w:r>
      <w:r w:rsidR="009016FA" w:rsidRPr="007E0930">
        <w:rPr>
          <w:rFonts w:ascii="Arial" w:hAnsi="Arial" w:cs="Arial"/>
        </w:rPr>
        <w:t xml:space="preserve"> </w:t>
      </w:r>
      <w:r w:rsidR="002F699E" w:rsidRPr="007E0930">
        <w:rPr>
          <w:rFonts w:ascii="Arial" w:hAnsi="Arial" w:cs="Arial"/>
        </w:rPr>
        <w:t>(</w:t>
      </w:r>
      <w:r w:rsidR="002B3775" w:rsidRPr="007E0930">
        <w:rPr>
          <w:rFonts w:ascii="Arial" w:hAnsi="Arial" w:cs="Arial"/>
        </w:rPr>
        <w:t>3</w:t>
      </w:r>
      <w:r w:rsidR="00FF26CD" w:rsidRPr="007E0930">
        <w:rPr>
          <w:rFonts w:ascii="Arial" w:hAnsi="Arial" w:cs="Arial"/>
        </w:rPr>
        <w:t>) Corrections Sub-Offices.</w:t>
      </w:r>
      <w:r w:rsidR="00C41FF9">
        <w:rPr>
          <w:rFonts w:ascii="Arial" w:hAnsi="Arial" w:cs="Arial"/>
        </w:rPr>
        <w:t xml:space="preserve">  </w:t>
      </w:r>
      <w:bookmarkEnd w:id="0"/>
    </w:p>
    <w:p w14:paraId="0FD390EA" w14:textId="77777777" w:rsidR="00563554" w:rsidRPr="008C41B1" w:rsidRDefault="00563554" w:rsidP="002B3775">
      <w:pPr>
        <w:autoSpaceDE w:val="0"/>
        <w:autoSpaceDN w:val="0"/>
        <w:adjustRightInd w:val="0"/>
        <w:jc w:val="both"/>
        <w:rPr>
          <w:rFonts w:ascii="Arial" w:hAnsi="Arial" w:cs="Arial"/>
        </w:rPr>
      </w:pPr>
    </w:p>
    <w:p w14:paraId="3D97F8FA" w14:textId="77777777" w:rsidR="00FF26CD" w:rsidRPr="00934638" w:rsidRDefault="00FF26CD" w:rsidP="00934638">
      <w:pPr>
        <w:rPr>
          <w:rFonts w:ascii="Arial" w:hAnsi="Arial" w:cs="Arial"/>
          <w:b/>
          <w:i/>
        </w:rPr>
      </w:pPr>
      <w:r w:rsidRPr="00934638">
        <w:rPr>
          <w:rFonts w:ascii="Arial" w:hAnsi="Arial" w:cs="Arial"/>
          <w:b/>
        </w:rPr>
        <w:t>Core Functions/Idaho Code</w:t>
      </w:r>
    </w:p>
    <w:p w14:paraId="0A37593A" w14:textId="7E7349CA" w:rsidR="00FF26CD" w:rsidRPr="008C41B1" w:rsidRDefault="00FF26CD" w:rsidP="008C41B1">
      <w:pPr>
        <w:autoSpaceDE w:val="0"/>
        <w:autoSpaceDN w:val="0"/>
        <w:adjustRightInd w:val="0"/>
        <w:jc w:val="both"/>
        <w:rPr>
          <w:rFonts w:ascii="Arial" w:hAnsi="Arial" w:cs="Arial"/>
          <w:i/>
          <w:iCs/>
          <w:szCs w:val="26"/>
        </w:rPr>
      </w:pPr>
      <w:r w:rsidRPr="008C41B1">
        <w:rPr>
          <w:rStyle w:val="SC31003"/>
          <w:rFonts w:ascii="Arial" w:hAnsi="Arial" w:cs="Arial"/>
          <w:color w:val="auto"/>
          <w:sz w:val="20"/>
          <w:szCs w:val="19"/>
        </w:rPr>
        <w:t xml:space="preserve">Legal Authority for the Idaho Division of Vocational Rehabilitation is </w:t>
      </w:r>
      <w:r w:rsidRPr="008C41B1">
        <w:rPr>
          <w:rFonts w:ascii="Arial" w:hAnsi="Arial" w:cs="Arial"/>
        </w:rPr>
        <w:t>Idaho Code, 33-2301 and the Rehabilitation Act of 1973, as amended</w:t>
      </w:r>
      <w:r w:rsidR="00721C17" w:rsidRPr="008C41B1">
        <w:rPr>
          <w:rFonts w:ascii="Arial" w:hAnsi="Arial" w:cs="Arial"/>
        </w:rPr>
        <w:t xml:space="preserve"> by the Workforce Innovation and Opportunity Act (WIOA)</w:t>
      </w:r>
      <w:r w:rsidRPr="008C41B1">
        <w:rPr>
          <w:rFonts w:ascii="Arial" w:hAnsi="Arial" w:cs="Arial"/>
        </w:rPr>
        <w:t xml:space="preserve">, </w:t>
      </w:r>
      <w:r w:rsidR="00126FA1">
        <w:rPr>
          <w:rFonts w:ascii="Arial" w:hAnsi="Arial" w:cs="Arial"/>
        </w:rPr>
        <w:t>Public Law 113</w:t>
      </w:r>
      <w:r w:rsidR="00190976">
        <w:rPr>
          <w:rFonts w:ascii="Arial" w:hAnsi="Arial" w:cs="Arial"/>
        </w:rPr>
        <w:t>-128</w:t>
      </w:r>
      <w:r w:rsidRPr="008C41B1">
        <w:rPr>
          <w:rFonts w:ascii="Arial" w:hAnsi="Arial" w:cs="Arial"/>
          <w:szCs w:val="26"/>
        </w:rPr>
        <w:t xml:space="preserve"> and is augmented by regulations promulgated and set forth </w:t>
      </w:r>
      <w:r w:rsidR="0092122A">
        <w:rPr>
          <w:rFonts w:ascii="Arial" w:hAnsi="Arial" w:cs="Arial"/>
          <w:szCs w:val="26"/>
        </w:rPr>
        <w:t>in</w:t>
      </w:r>
      <w:r w:rsidRPr="008C41B1">
        <w:rPr>
          <w:rFonts w:ascii="Arial" w:hAnsi="Arial" w:cs="Arial"/>
          <w:szCs w:val="26"/>
        </w:rPr>
        <w:t xml:space="preserve"> 34 CFR § 361</w:t>
      </w:r>
      <w:r w:rsidR="00190976">
        <w:rPr>
          <w:rFonts w:ascii="Arial" w:hAnsi="Arial" w:cs="Arial"/>
          <w:szCs w:val="26"/>
        </w:rPr>
        <w:t>, 363, and 397</w:t>
      </w:r>
      <w:r w:rsidRPr="008C41B1">
        <w:rPr>
          <w:rFonts w:ascii="Arial" w:hAnsi="Arial" w:cs="Arial"/>
          <w:szCs w:val="26"/>
        </w:rPr>
        <w:t>.</w:t>
      </w:r>
      <w:r w:rsidRPr="008C41B1">
        <w:rPr>
          <w:rFonts w:ascii="Arial" w:hAnsi="Arial" w:cs="Arial"/>
          <w:i/>
          <w:iCs/>
          <w:szCs w:val="26"/>
        </w:rPr>
        <w:t xml:space="preserve"> </w:t>
      </w:r>
    </w:p>
    <w:p w14:paraId="0866C7B6" w14:textId="77777777" w:rsidR="00FF26CD" w:rsidRPr="008C41B1" w:rsidRDefault="00FF26CD" w:rsidP="008C41B1">
      <w:pPr>
        <w:autoSpaceDE w:val="0"/>
        <w:autoSpaceDN w:val="0"/>
        <w:adjustRightInd w:val="0"/>
        <w:jc w:val="both"/>
        <w:rPr>
          <w:rFonts w:ascii="Arial" w:hAnsi="Arial" w:cs="Arial"/>
          <w:i/>
          <w:iCs/>
          <w:szCs w:val="26"/>
        </w:rPr>
      </w:pPr>
    </w:p>
    <w:p w14:paraId="6A084916" w14:textId="77777777" w:rsidR="00FF26CD" w:rsidRPr="008C41B1" w:rsidRDefault="00FF26CD" w:rsidP="008C41B1">
      <w:pPr>
        <w:pStyle w:val="BodyText2"/>
        <w:rPr>
          <w:rFonts w:ascii="Arial" w:hAnsi="Arial" w:cs="Arial"/>
        </w:rPr>
      </w:pPr>
      <w:r w:rsidRPr="008C41B1">
        <w:rPr>
          <w:rFonts w:ascii="Arial" w:hAnsi="Arial" w:cs="Arial"/>
        </w:rPr>
        <w:t xml:space="preserve">Services that may be available include evaluation of rehabilitation potential, vocational guidance and counseling, physical and mental restoration, vocational, academic and other training, job placement and other services, which can reasonably be expected to benefit the individual in terms of employment. </w:t>
      </w:r>
    </w:p>
    <w:p w14:paraId="5AE8C521" w14:textId="77777777" w:rsidR="00FF26CD" w:rsidRPr="008C41B1" w:rsidRDefault="00FF26CD" w:rsidP="008C41B1">
      <w:pPr>
        <w:jc w:val="both"/>
        <w:rPr>
          <w:rFonts w:ascii="Arial" w:hAnsi="Arial" w:cs="Arial"/>
        </w:rPr>
      </w:pPr>
    </w:p>
    <w:p w14:paraId="1A0E4BA7" w14:textId="68A087A7" w:rsidR="004E05BF" w:rsidRPr="007B3FCC" w:rsidRDefault="004E05BF" w:rsidP="007B3FCC">
      <w:pPr>
        <w:jc w:val="both"/>
        <w:rPr>
          <w:rFonts w:ascii="Arial" w:hAnsi="Arial" w:cs="Arial"/>
        </w:rPr>
      </w:pPr>
      <w:bookmarkStart w:id="1" w:name="_Hlk14442320"/>
      <w:r w:rsidRPr="007B3FCC">
        <w:rPr>
          <w:rFonts w:ascii="Arial" w:hAnsi="Arial" w:cs="Arial"/>
        </w:rPr>
        <w:t xml:space="preserve">The EES program </w:t>
      </w:r>
      <w:r w:rsidR="005D7FF6">
        <w:rPr>
          <w:rFonts w:ascii="Arial" w:hAnsi="Arial" w:cs="Arial"/>
        </w:rPr>
        <w:t xml:space="preserve">operates with three </w:t>
      </w:r>
      <w:r w:rsidR="00DC38B2">
        <w:rPr>
          <w:rFonts w:ascii="Arial" w:hAnsi="Arial" w:cs="Arial"/>
        </w:rPr>
        <w:t>full-time employees</w:t>
      </w:r>
      <w:r w:rsidR="005D7FF6">
        <w:rPr>
          <w:rFonts w:ascii="Arial" w:hAnsi="Arial" w:cs="Arial"/>
        </w:rPr>
        <w:t xml:space="preserve"> and </w:t>
      </w:r>
      <w:r w:rsidRPr="007B3FCC">
        <w:rPr>
          <w:rFonts w:ascii="Arial" w:hAnsi="Arial" w:cs="Arial"/>
        </w:rPr>
        <w:t>is a State of Idaho appropriations program that provides needed long-term employment supports to individuals with disabilities in a competitive integrated employment setting or provides training services to individuals in a nonintegrated employment setting.  The program contracts with providers to deliver the services on an individual basis.</w:t>
      </w:r>
    </w:p>
    <w:bookmarkEnd w:id="1"/>
    <w:p w14:paraId="4D181EBC" w14:textId="77777777" w:rsidR="003868DB" w:rsidRPr="008C41B1" w:rsidRDefault="003868DB" w:rsidP="008C41B1">
      <w:pPr>
        <w:jc w:val="both"/>
        <w:rPr>
          <w:rFonts w:ascii="Arial" w:hAnsi="Arial" w:cs="Arial"/>
        </w:rPr>
      </w:pPr>
    </w:p>
    <w:p w14:paraId="315FF0EF" w14:textId="7EDEFAF2" w:rsidR="003868DB" w:rsidRDefault="003868DB" w:rsidP="008C41B1">
      <w:pPr>
        <w:jc w:val="both"/>
        <w:rPr>
          <w:rFonts w:ascii="Arial" w:hAnsi="Arial" w:cs="Arial"/>
        </w:rPr>
      </w:pPr>
      <w:r w:rsidRPr="008C41B1">
        <w:rPr>
          <w:rFonts w:ascii="Arial" w:hAnsi="Arial" w:cs="Arial"/>
        </w:rPr>
        <w:t xml:space="preserve">CDHH is an independent agency.  This is a flow-through council for budgetary and administrative support purposes only with no direct programmatic implication for IDVR.  </w:t>
      </w:r>
      <w:r w:rsidR="005D7FF6">
        <w:rPr>
          <w:rFonts w:ascii="Arial" w:hAnsi="Arial" w:cs="Arial"/>
        </w:rPr>
        <w:t xml:space="preserve">The program is comprised of </w:t>
      </w:r>
      <w:r w:rsidR="00DC38B2">
        <w:rPr>
          <w:rFonts w:ascii="Arial" w:hAnsi="Arial" w:cs="Arial"/>
        </w:rPr>
        <w:t>four employees, of which three are full-time positions.</w:t>
      </w:r>
      <w:r w:rsidR="005D7FF6">
        <w:rPr>
          <w:rFonts w:ascii="Arial" w:hAnsi="Arial" w:cs="Arial"/>
        </w:rPr>
        <w:t xml:space="preserve">  </w:t>
      </w:r>
      <w:r w:rsidRPr="008C41B1">
        <w:rPr>
          <w:rFonts w:ascii="Arial" w:hAnsi="Arial" w:cs="Arial"/>
        </w:rPr>
        <w:t>The Council’s vision is to ensure that individuals who are deaf, hard of hearing, or hearing impaired have a centralized location to obtain resources and information about services available</w:t>
      </w:r>
      <w:r w:rsidR="00317F17" w:rsidRPr="008C41B1">
        <w:rPr>
          <w:rFonts w:ascii="Arial" w:hAnsi="Arial" w:cs="Arial"/>
        </w:rPr>
        <w:t xml:space="preserve"> (Idaho Code, Title 67, Chapter 73, </w:t>
      </w:r>
      <w:r w:rsidR="0025616B" w:rsidRPr="008C41B1">
        <w:rPr>
          <w:rFonts w:ascii="Arial" w:hAnsi="Arial" w:cs="Arial"/>
        </w:rPr>
        <w:t>Idaho State Council for the Deaf and Hard of Hearing 67-7301 – 67-7308)</w:t>
      </w:r>
      <w:r w:rsidRPr="008C41B1">
        <w:rPr>
          <w:rFonts w:ascii="Arial" w:hAnsi="Arial" w:cs="Arial"/>
        </w:rPr>
        <w:t>.</w:t>
      </w:r>
    </w:p>
    <w:p w14:paraId="48AAC41C" w14:textId="77777777" w:rsidR="0045075A" w:rsidRDefault="0045075A" w:rsidP="008C41B1">
      <w:pPr>
        <w:jc w:val="both"/>
        <w:rPr>
          <w:rFonts w:ascii="Arial" w:hAnsi="Arial" w:cs="Arial"/>
          <w:b/>
          <w:bCs/>
        </w:rPr>
      </w:pPr>
    </w:p>
    <w:p w14:paraId="5A32445B" w14:textId="77777777" w:rsidR="0045075A" w:rsidRDefault="0045075A">
      <w:pPr>
        <w:rPr>
          <w:rFonts w:ascii="Arial" w:hAnsi="Arial" w:cs="Arial"/>
          <w:b/>
          <w:bCs/>
        </w:rPr>
      </w:pPr>
      <w:r>
        <w:rPr>
          <w:rFonts w:ascii="Arial" w:hAnsi="Arial" w:cs="Arial"/>
          <w:b/>
          <w:bCs/>
        </w:rPr>
        <w:br w:type="page"/>
      </w:r>
    </w:p>
    <w:p w14:paraId="55753D43" w14:textId="77777777" w:rsidR="00FF26CD" w:rsidRPr="008C41B1" w:rsidRDefault="00240C08" w:rsidP="008C41B1">
      <w:pPr>
        <w:jc w:val="both"/>
        <w:rPr>
          <w:rFonts w:ascii="Arial" w:hAnsi="Arial" w:cs="Arial"/>
          <w:b/>
          <w:bCs/>
        </w:rPr>
      </w:pPr>
      <w:r w:rsidRPr="008C41B1">
        <w:rPr>
          <w:rFonts w:ascii="Arial" w:hAnsi="Arial" w:cs="Arial"/>
          <w:b/>
          <w:bCs/>
        </w:rPr>
        <w:lastRenderedPageBreak/>
        <w:t>R</w:t>
      </w:r>
      <w:r w:rsidR="00FF26CD" w:rsidRPr="008C41B1">
        <w:rPr>
          <w:rFonts w:ascii="Arial" w:hAnsi="Arial" w:cs="Arial"/>
          <w:b/>
          <w:bCs/>
        </w:rPr>
        <w:t>evenue and Expenditures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63"/>
        <w:gridCol w:w="1801"/>
        <w:gridCol w:w="1802"/>
        <w:gridCol w:w="1802"/>
        <w:gridCol w:w="1802"/>
      </w:tblGrid>
      <w:tr w:rsidR="003B2672" w:rsidRPr="008C41B1" w14:paraId="41955468" w14:textId="77777777" w:rsidTr="0064610E">
        <w:trPr>
          <w:trHeight w:val="314"/>
        </w:trPr>
        <w:tc>
          <w:tcPr>
            <w:tcW w:w="2863" w:type="dxa"/>
            <w:shd w:val="clear" w:color="auto" w:fill="000080"/>
            <w:hideMark/>
          </w:tcPr>
          <w:p w14:paraId="0DBC03E4" w14:textId="77777777" w:rsidR="003B2672" w:rsidRPr="008C41B1" w:rsidRDefault="003B2672" w:rsidP="003B2672">
            <w:pPr>
              <w:rPr>
                <w:rFonts w:ascii="Arial" w:hAnsi="Arial" w:cs="Arial"/>
                <w:b/>
                <w:bCs/>
                <w:color w:val="FFFFFF"/>
              </w:rPr>
            </w:pPr>
            <w:bookmarkStart w:id="2" w:name="OLE_LINK10"/>
            <w:bookmarkStart w:id="3" w:name="OLE_LINK9"/>
            <w:r w:rsidRPr="008C41B1">
              <w:rPr>
                <w:rFonts w:ascii="Arial" w:hAnsi="Arial" w:cs="Arial"/>
                <w:b/>
                <w:bCs/>
                <w:color w:val="FFFFFF"/>
              </w:rPr>
              <w:t>Revenue</w:t>
            </w:r>
          </w:p>
        </w:tc>
        <w:tc>
          <w:tcPr>
            <w:tcW w:w="1801" w:type="dxa"/>
            <w:shd w:val="clear" w:color="auto" w:fill="000080"/>
          </w:tcPr>
          <w:p w14:paraId="16641FE8" w14:textId="412447AC" w:rsidR="003B2672" w:rsidRPr="008C41B1" w:rsidRDefault="00997DF4" w:rsidP="003B2672">
            <w:pPr>
              <w:jc w:val="right"/>
              <w:rPr>
                <w:rFonts w:ascii="Arial" w:hAnsi="Arial" w:cs="Arial"/>
                <w:b/>
                <w:bCs/>
              </w:rPr>
            </w:pPr>
            <w:r>
              <w:rPr>
                <w:rFonts w:ascii="Arial" w:hAnsi="Arial" w:cs="Arial"/>
                <w:b/>
                <w:bCs/>
                <w:color w:val="FFFFFF"/>
              </w:rPr>
              <w:t>FY 2019</w:t>
            </w:r>
          </w:p>
        </w:tc>
        <w:tc>
          <w:tcPr>
            <w:tcW w:w="1802" w:type="dxa"/>
            <w:shd w:val="clear" w:color="auto" w:fill="000080"/>
          </w:tcPr>
          <w:p w14:paraId="1A28B91C" w14:textId="0716F5E3" w:rsidR="003B2672" w:rsidRPr="008C41B1" w:rsidRDefault="00997DF4" w:rsidP="003B2672">
            <w:pPr>
              <w:jc w:val="right"/>
              <w:rPr>
                <w:rFonts w:ascii="Arial" w:hAnsi="Arial" w:cs="Arial"/>
                <w:b/>
                <w:bCs/>
              </w:rPr>
            </w:pPr>
            <w:r>
              <w:rPr>
                <w:rFonts w:ascii="Arial" w:hAnsi="Arial" w:cs="Arial"/>
                <w:b/>
                <w:bCs/>
                <w:color w:val="FFFFFF"/>
              </w:rPr>
              <w:t>FY 2020</w:t>
            </w:r>
          </w:p>
        </w:tc>
        <w:tc>
          <w:tcPr>
            <w:tcW w:w="1802" w:type="dxa"/>
            <w:shd w:val="clear" w:color="auto" w:fill="000080"/>
          </w:tcPr>
          <w:p w14:paraId="275238FF" w14:textId="7F157E85" w:rsidR="003B2672" w:rsidRPr="008C41B1" w:rsidRDefault="00997DF4" w:rsidP="003B2672">
            <w:pPr>
              <w:jc w:val="right"/>
              <w:rPr>
                <w:rFonts w:ascii="Arial" w:hAnsi="Arial" w:cs="Arial"/>
                <w:b/>
                <w:bCs/>
              </w:rPr>
            </w:pPr>
            <w:r>
              <w:rPr>
                <w:rFonts w:ascii="Arial" w:hAnsi="Arial" w:cs="Arial"/>
                <w:b/>
                <w:bCs/>
              </w:rPr>
              <w:t>FY 2021</w:t>
            </w:r>
          </w:p>
        </w:tc>
        <w:tc>
          <w:tcPr>
            <w:tcW w:w="1802" w:type="dxa"/>
            <w:shd w:val="clear" w:color="auto" w:fill="000080"/>
          </w:tcPr>
          <w:p w14:paraId="00EDFF6C" w14:textId="7661EC4D" w:rsidR="003B2672" w:rsidRPr="008C41B1" w:rsidRDefault="00997DF4" w:rsidP="003B2672">
            <w:pPr>
              <w:jc w:val="right"/>
              <w:rPr>
                <w:rFonts w:ascii="Arial" w:hAnsi="Arial" w:cs="Arial"/>
                <w:b/>
                <w:bCs/>
              </w:rPr>
            </w:pPr>
            <w:r>
              <w:rPr>
                <w:rFonts w:ascii="Arial" w:hAnsi="Arial" w:cs="Arial"/>
                <w:b/>
                <w:bCs/>
              </w:rPr>
              <w:t>FY 2022</w:t>
            </w:r>
          </w:p>
        </w:tc>
      </w:tr>
      <w:tr w:rsidR="00997DF4" w:rsidRPr="008C41B1" w14:paraId="0ED83AE5" w14:textId="77777777" w:rsidTr="003B2672">
        <w:trPr>
          <w:trHeight w:val="243"/>
        </w:trPr>
        <w:tc>
          <w:tcPr>
            <w:tcW w:w="2863" w:type="dxa"/>
            <w:vAlign w:val="bottom"/>
            <w:hideMark/>
          </w:tcPr>
          <w:p w14:paraId="18D3E7DC" w14:textId="77777777" w:rsidR="00997DF4" w:rsidRPr="008C41B1" w:rsidRDefault="00997DF4" w:rsidP="00997DF4">
            <w:pPr>
              <w:rPr>
                <w:rFonts w:ascii="Arial" w:hAnsi="Arial" w:cs="Arial"/>
                <w:color w:val="000000"/>
              </w:rPr>
            </w:pPr>
            <w:r w:rsidRPr="008C41B1">
              <w:rPr>
                <w:rFonts w:ascii="Arial" w:hAnsi="Arial" w:cs="Arial"/>
                <w:color w:val="000000"/>
              </w:rPr>
              <w:t>General Fund</w:t>
            </w:r>
          </w:p>
        </w:tc>
        <w:tc>
          <w:tcPr>
            <w:tcW w:w="1801" w:type="dxa"/>
          </w:tcPr>
          <w:p w14:paraId="68378CED" w14:textId="0030C1F6" w:rsidR="00997DF4" w:rsidRPr="008C41B1" w:rsidRDefault="00997DF4" w:rsidP="00997DF4">
            <w:pPr>
              <w:jc w:val="right"/>
              <w:rPr>
                <w:rFonts w:ascii="Arial" w:hAnsi="Arial" w:cs="Arial"/>
              </w:rPr>
            </w:pPr>
            <w:r>
              <w:rPr>
                <w:rFonts w:ascii="Arial" w:hAnsi="Arial" w:cs="Arial"/>
                <w:color w:val="000000"/>
              </w:rPr>
              <w:t>$8,648,300</w:t>
            </w:r>
          </w:p>
        </w:tc>
        <w:tc>
          <w:tcPr>
            <w:tcW w:w="1802" w:type="dxa"/>
          </w:tcPr>
          <w:p w14:paraId="362652F7" w14:textId="698DB170" w:rsidR="00997DF4" w:rsidRPr="008C41B1" w:rsidRDefault="00997DF4" w:rsidP="00997DF4">
            <w:pPr>
              <w:jc w:val="right"/>
              <w:rPr>
                <w:rFonts w:ascii="Arial" w:hAnsi="Arial" w:cs="Arial"/>
              </w:rPr>
            </w:pPr>
            <w:r>
              <w:rPr>
                <w:rFonts w:ascii="Arial" w:hAnsi="Arial" w:cs="Arial"/>
                <w:color w:val="000000"/>
              </w:rPr>
              <w:t>$7,550,130</w:t>
            </w:r>
          </w:p>
        </w:tc>
        <w:tc>
          <w:tcPr>
            <w:tcW w:w="1802" w:type="dxa"/>
          </w:tcPr>
          <w:p w14:paraId="774992A9" w14:textId="7BDD02EE" w:rsidR="00997DF4" w:rsidRPr="008C41B1" w:rsidRDefault="00997DF4" w:rsidP="00997DF4">
            <w:pPr>
              <w:jc w:val="right"/>
              <w:rPr>
                <w:rFonts w:ascii="Arial" w:hAnsi="Arial" w:cs="Arial"/>
              </w:rPr>
            </w:pPr>
            <w:r>
              <w:rPr>
                <w:rFonts w:ascii="Arial" w:hAnsi="Arial" w:cs="Arial"/>
                <w:color w:val="000000"/>
              </w:rPr>
              <w:t>$7,719,300</w:t>
            </w:r>
          </w:p>
        </w:tc>
        <w:tc>
          <w:tcPr>
            <w:tcW w:w="1802" w:type="dxa"/>
          </w:tcPr>
          <w:p w14:paraId="1472A0BE" w14:textId="0063CF12" w:rsidR="00997DF4" w:rsidRPr="005371AC" w:rsidRDefault="00997DF4" w:rsidP="00997DF4">
            <w:pPr>
              <w:jc w:val="right"/>
              <w:rPr>
                <w:rFonts w:ascii="Arial" w:hAnsi="Arial" w:cs="Arial"/>
                <w:color w:val="000000"/>
              </w:rPr>
            </w:pPr>
          </w:p>
        </w:tc>
      </w:tr>
      <w:tr w:rsidR="00997DF4" w:rsidRPr="008C41B1" w14:paraId="5CA3C785" w14:textId="77777777" w:rsidTr="003B2672">
        <w:tc>
          <w:tcPr>
            <w:tcW w:w="2863" w:type="dxa"/>
            <w:hideMark/>
          </w:tcPr>
          <w:p w14:paraId="18582A87" w14:textId="77777777" w:rsidR="00997DF4" w:rsidRPr="008C41B1" w:rsidRDefault="00997DF4" w:rsidP="00997DF4">
            <w:pPr>
              <w:rPr>
                <w:rFonts w:ascii="Arial" w:hAnsi="Arial" w:cs="Arial"/>
                <w:color w:val="000000"/>
              </w:rPr>
            </w:pPr>
            <w:r w:rsidRPr="008C41B1">
              <w:rPr>
                <w:rFonts w:ascii="Arial" w:hAnsi="Arial" w:cs="Arial"/>
                <w:color w:val="000000"/>
              </w:rPr>
              <w:t>Rehab Rev &amp; Refunds</w:t>
            </w:r>
          </w:p>
        </w:tc>
        <w:tc>
          <w:tcPr>
            <w:tcW w:w="1801" w:type="dxa"/>
          </w:tcPr>
          <w:p w14:paraId="10908117" w14:textId="68C66C9A" w:rsidR="00997DF4" w:rsidRPr="008C41B1" w:rsidRDefault="00997DF4" w:rsidP="00997DF4">
            <w:pPr>
              <w:jc w:val="right"/>
              <w:rPr>
                <w:rFonts w:ascii="Arial" w:hAnsi="Arial" w:cs="Arial"/>
              </w:rPr>
            </w:pPr>
            <w:r>
              <w:rPr>
                <w:rFonts w:ascii="Arial" w:hAnsi="Arial" w:cs="Arial"/>
                <w:color w:val="000000"/>
              </w:rPr>
              <w:t>$1,137,838</w:t>
            </w:r>
          </w:p>
        </w:tc>
        <w:tc>
          <w:tcPr>
            <w:tcW w:w="1802" w:type="dxa"/>
          </w:tcPr>
          <w:p w14:paraId="12B508C1" w14:textId="1F4151CC" w:rsidR="00997DF4" w:rsidRPr="008C41B1" w:rsidRDefault="00997DF4" w:rsidP="00997DF4">
            <w:pPr>
              <w:jc w:val="right"/>
              <w:rPr>
                <w:rFonts w:ascii="Arial" w:hAnsi="Arial" w:cs="Arial"/>
              </w:rPr>
            </w:pPr>
            <w:r>
              <w:rPr>
                <w:rFonts w:ascii="Arial" w:hAnsi="Arial" w:cs="Arial"/>
                <w:color w:val="000000"/>
              </w:rPr>
              <w:t>$891,200</w:t>
            </w:r>
          </w:p>
        </w:tc>
        <w:tc>
          <w:tcPr>
            <w:tcW w:w="1802" w:type="dxa"/>
          </w:tcPr>
          <w:p w14:paraId="461D8CD5" w14:textId="27EBD0A2" w:rsidR="00997DF4" w:rsidRPr="008C41B1" w:rsidRDefault="00997DF4" w:rsidP="00997DF4">
            <w:pPr>
              <w:jc w:val="right"/>
              <w:rPr>
                <w:rFonts w:ascii="Arial" w:hAnsi="Arial" w:cs="Arial"/>
              </w:rPr>
            </w:pPr>
            <w:r>
              <w:rPr>
                <w:rFonts w:ascii="Arial" w:hAnsi="Arial" w:cs="Arial"/>
                <w:color w:val="000000"/>
              </w:rPr>
              <w:t>$1,425,847</w:t>
            </w:r>
          </w:p>
        </w:tc>
        <w:tc>
          <w:tcPr>
            <w:tcW w:w="1802" w:type="dxa"/>
          </w:tcPr>
          <w:p w14:paraId="09642D86" w14:textId="4A530CF0" w:rsidR="00997DF4" w:rsidRPr="005371AC" w:rsidRDefault="00997DF4" w:rsidP="00997DF4">
            <w:pPr>
              <w:jc w:val="right"/>
              <w:rPr>
                <w:rFonts w:ascii="Arial" w:hAnsi="Arial" w:cs="Arial"/>
                <w:color w:val="000000"/>
              </w:rPr>
            </w:pPr>
          </w:p>
        </w:tc>
      </w:tr>
      <w:tr w:rsidR="00997DF4" w:rsidRPr="008C41B1" w14:paraId="7722A97C" w14:textId="77777777" w:rsidTr="003B2672">
        <w:tc>
          <w:tcPr>
            <w:tcW w:w="2863" w:type="dxa"/>
            <w:vAlign w:val="bottom"/>
            <w:hideMark/>
          </w:tcPr>
          <w:p w14:paraId="122A17E1" w14:textId="77777777" w:rsidR="00997DF4" w:rsidRPr="008C41B1" w:rsidRDefault="00997DF4" w:rsidP="00997DF4">
            <w:pPr>
              <w:rPr>
                <w:rFonts w:ascii="Arial" w:hAnsi="Arial" w:cs="Arial"/>
                <w:color w:val="000000"/>
              </w:rPr>
            </w:pPr>
            <w:r w:rsidRPr="008C41B1">
              <w:rPr>
                <w:rFonts w:ascii="Arial" w:hAnsi="Arial" w:cs="Arial"/>
                <w:color w:val="000000"/>
              </w:rPr>
              <w:t>Federal Grant</w:t>
            </w:r>
          </w:p>
        </w:tc>
        <w:tc>
          <w:tcPr>
            <w:tcW w:w="1801" w:type="dxa"/>
          </w:tcPr>
          <w:p w14:paraId="740871C7" w14:textId="1CAFA24F" w:rsidR="00997DF4" w:rsidRPr="008C41B1" w:rsidRDefault="00997DF4" w:rsidP="00997DF4">
            <w:pPr>
              <w:jc w:val="right"/>
              <w:rPr>
                <w:rFonts w:ascii="Arial" w:hAnsi="Arial" w:cs="Arial"/>
              </w:rPr>
            </w:pPr>
            <w:r>
              <w:rPr>
                <w:rFonts w:ascii="Arial" w:hAnsi="Arial" w:cs="Arial"/>
                <w:color w:val="000000"/>
              </w:rPr>
              <w:t>$14,431,087</w:t>
            </w:r>
          </w:p>
        </w:tc>
        <w:tc>
          <w:tcPr>
            <w:tcW w:w="1802" w:type="dxa"/>
          </w:tcPr>
          <w:p w14:paraId="0301C7D2" w14:textId="18F260CE" w:rsidR="00997DF4" w:rsidRPr="008C41B1" w:rsidRDefault="00997DF4" w:rsidP="00997DF4">
            <w:pPr>
              <w:jc w:val="right"/>
              <w:rPr>
                <w:rFonts w:ascii="Arial" w:hAnsi="Arial" w:cs="Arial"/>
              </w:rPr>
            </w:pPr>
            <w:r>
              <w:rPr>
                <w:rFonts w:ascii="Arial" w:hAnsi="Arial" w:cs="Arial"/>
                <w:color w:val="000000"/>
              </w:rPr>
              <w:t>$15,153,542</w:t>
            </w:r>
          </w:p>
        </w:tc>
        <w:tc>
          <w:tcPr>
            <w:tcW w:w="1802" w:type="dxa"/>
          </w:tcPr>
          <w:p w14:paraId="765B85BF" w14:textId="257889D7" w:rsidR="00997DF4" w:rsidRPr="008C41B1" w:rsidRDefault="00997DF4" w:rsidP="00997DF4">
            <w:pPr>
              <w:jc w:val="right"/>
              <w:rPr>
                <w:rFonts w:ascii="Arial" w:hAnsi="Arial" w:cs="Arial"/>
              </w:rPr>
            </w:pPr>
            <w:r>
              <w:rPr>
                <w:rFonts w:ascii="Arial" w:hAnsi="Arial" w:cs="Arial"/>
                <w:color w:val="000000"/>
              </w:rPr>
              <w:t>$13,572,235</w:t>
            </w:r>
          </w:p>
        </w:tc>
        <w:tc>
          <w:tcPr>
            <w:tcW w:w="1802" w:type="dxa"/>
          </w:tcPr>
          <w:p w14:paraId="73E2DA84" w14:textId="17DD1AA5" w:rsidR="00997DF4" w:rsidRPr="005371AC" w:rsidRDefault="00997DF4" w:rsidP="00997DF4">
            <w:pPr>
              <w:jc w:val="right"/>
              <w:rPr>
                <w:rFonts w:ascii="Arial" w:hAnsi="Arial" w:cs="Arial"/>
                <w:color w:val="000000"/>
              </w:rPr>
            </w:pPr>
          </w:p>
        </w:tc>
      </w:tr>
      <w:tr w:rsidR="00997DF4" w:rsidRPr="008C41B1" w14:paraId="2DADCB86" w14:textId="77777777" w:rsidTr="003B2672">
        <w:tc>
          <w:tcPr>
            <w:tcW w:w="2863" w:type="dxa"/>
            <w:vAlign w:val="bottom"/>
            <w:hideMark/>
          </w:tcPr>
          <w:p w14:paraId="154DAF76" w14:textId="77777777" w:rsidR="00997DF4" w:rsidRPr="008C41B1" w:rsidRDefault="00997DF4" w:rsidP="00997DF4">
            <w:pPr>
              <w:rPr>
                <w:rFonts w:ascii="Arial" w:hAnsi="Arial" w:cs="Arial"/>
                <w:color w:val="000000"/>
              </w:rPr>
            </w:pPr>
            <w:r w:rsidRPr="008C41B1">
              <w:rPr>
                <w:rFonts w:ascii="Arial" w:hAnsi="Arial" w:cs="Arial"/>
                <w:color w:val="000000"/>
              </w:rPr>
              <w:t>Miscellaneous Revenue</w:t>
            </w:r>
          </w:p>
        </w:tc>
        <w:tc>
          <w:tcPr>
            <w:tcW w:w="1801" w:type="dxa"/>
          </w:tcPr>
          <w:p w14:paraId="038C6F32" w14:textId="1C4CD021" w:rsidR="00997DF4" w:rsidRPr="008C41B1" w:rsidRDefault="00997DF4" w:rsidP="00997DF4">
            <w:pPr>
              <w:jc w:val="right"/>
              <w:rPr>
                <w:rFonts w:ascii="Arial" w:hAnsi="Arial" w:cs="Arial"/>
                <w:u w:val="single"/>
              </w:rPr>
            </w:pPr>
            <w:r>
              <w:rPr>
                <w:rFonts w:ascii="Arial" w:hAnsi="Arial" w:cs="Arial"/>
                <w:color w:val="000000"/>
                <w:u w:val="single"/>
              </w:rPr>
              <w:t>$686,992</w:t>
            </w:r>
          </w:p>
        </w:tc>
        <w:tc>
          <w:tcPr>
            <w:tcW w:w="1802" w:type="dxa"/>
          </w:tcPr>
          <w:p w14:paraId="3D92797A" w14:textId="49D93F5B" w:rsidR="00997DF4" w:rsidRPr="008C41B1" w:rsidRDefault="00997DF4" w:rsidP="00997DF4">
            <w:pPr>
              <w:jc w:val="right"/>
              <w:rPr>
                <w:rFonts w:ascii="Arial" w:hAnsi="Arial" w:cs="Arial"/>
                <w:u w:val="single"/>
              </w:rPr>
            </w:pPr>
            <w:r>
              <w:rPr>
                <w:rFonts w:ascii="Arial" w:hAnsi="Arial" w:cs="Arial"/>
                <w:color w:val="000000"/>
                <w:u w:val="single"/>
              </w:rPr>
              <w:t>$681,692</w:t>
            </w:r>
          </w:p>
        </w:tc>
        <w:tc>
          <w:tcPr>
            <w:tcW w:w="1802" w:type="dxa"/>
          </w:tcPr>
          <w:p w14:paraId="374B0C85" w14:textId="2E6056D5" w:rsidR="00997DF4" w:rsidRPr="008C41B1" w:rsidRDefault="00997DF4" w:rsidP="00997DF4">
            <w:pPr>
              <w:jc w:val="right"/>
              <w:rPr>
                <w:rFonts w:ascii="Arial" w:hAnsi="Arial" w:cs="Arial"/>
                <w:u w:val="single"/>
              </w:rPr>
            </w:pPr>
            <w:r>
              <w:rPr>
                <w:rFonts w:ascii="Arial" w:hAnsi="Arial" w:cs="Arial"/>
                <w:color w:val="000000"/>
                <w:u w:val="single"/>
              </w:rPr>
              <w:t>$533,797</w:t>
            </w:r>
          </w:p>
        </w:tc>
        <w:tc>
          <w:tcPr>
            <w:tcW w:w="1802" w:type="dxa"/>
          </w:tcPr>
          <w:p w14:paraId="6051048D" w14:textId="4EE20AAE" w:rsidR="00997DF4" w:rsidRPr="005371AC" w:rsidRDefault="00997DF4" w:rsidP="00997DF4">
            <w:pPr>
              <w:jc w:val="right"/>
              <w:rPr>
                <w:rFonts w:ascii="Arial" w:hAnsi="Arial" w:cs="Arial"/>
                <w:color w:val="000000"/>
                <w:u w:val="single"/>
              </w:rPr>
            </w:pPr>
          </w:p>
        </w:tc>
      </w:tr>
      <w:tr w:rsidR="00997DF4" w:rsidRPr="008C41B1" w14:paraId="190EF568" w14:textId="77777777" w:rsidTr="003B2672">
        <w:trPr>
          <w:trHeight w:val="90"/>
        </w:trPr>
        <w:tc>
          <w:tcPr>
            <w:tcW w:w="2863" w:type="dxa"/>
            <w:hideMark/>
          </w:tcPr>
          <w:p w14:paraId="7F65A56C" w14:textId="77777777" w:rsidR="00997DF4" w:rsidRPr="008C41B1" w:rsidRDefault="00997DF4" w:rsidP="00997DF4">
            <w:pPr>
              <w:jc w:val="right"/>
              <w:rPr>
                <w:rFonts w:ascii="Arial" w:hAnsi="Arial" w:cs="Arial"/>
                <w:b/>
                <w:bCs/>
                <w:color w:val="000000"/>
              </w:rPr>
            </w:pPr>
            <w:r w:rsidRPr="008C41B1">
              <w:rPr>
                <w:rFonts w:ascii="Arial" w:hAnsi="Arial" w:cs="Arial"/>
                <w:b/>
                <w:bCs/>
                <w:color w:val="000000"/>
              </w:rPr>
              <w:t>Total</w:t>
            </w:r>
          </w:p>
        </w:tc>
        <w:tc>
          <w:tcPr>
            <w:tcW w:w="1801" w:type="dxa"/>
          </w:tcPr>
          <w:p w14:paraId="196B4498" w14:textId="40EFFBE0" w:rsidR="00997DF4" w:rsidRPr="008C41B1" w:rsidRDefault="00997DF4" w:rsidP="00997DF4">
            <w:pPr>
              <w:spacing w:line="276" w:lineRule="auto"/>
              <w:jc w:val="right"/>
              <w:rPr>
                <w:rFonts w:ascii="Arial" w:hAnsi="Arial" w:cs="Arial"/>
                <w:b/>
                <w:bCs/>
              </w:rPr>
            </w:pPr>
            <w:r>
              <w:rPr>
                <w:rFonts w:ascii="Arial" w:hAnsi="Arial" w:cs="Arial"/>
                <w:b/>
                <w:color w:val="000000"/>
              </w:rPr>
              <w:t>$24,904,217</w:t>
            </w:r>
          </w:p>
        </w:tc>
        <w:tc>
          <w:tcPr>
            <w:tcW w:w="1802" w:type="dxa"/>
          </w:tcPr>
          <w:p w14:paraId="43333A9C" w14:textId="519E99B0" w:rsidR="00997DF4" w:rsidRPr="008C41B1" w:rsidRDefault="00997DF4" w:rsidP="00997DF4">
            <w:pPr>
              <w:spacing w:line="276" w:lineRule="auto"/>
              <w:jc w:val="right"/>
              <w:rPr>
                <w:rFonts w:ascii="Arial" w:hAnsi="Arial" w:cs="Arial"/>
                <w:b/>
                <w:bCs/>
              </w:rPr>
            </w:pPr>
            <w:r>
              <w:rPr>
                <w:rFonts w:ascii="Arial" w:hAnsi="Arial" w:cs="Arial"/>
                <w:b/>
                <w:color w:val="000000"/>
              </w:rPr>
              <w:t>$24,276,564</w:t>
            </w:r>
          </w:p>
        </w:tc>
        <w:tc>
          <w:tcPr>
            <w:tcW w:w="1802" w:type="dxa"/>
          </w:tcPr>
          <w:p w14:paraId="1F5C3FC7" w14:textId="4C7AE28F" w:rsidR="00997DF4" w:rsidRPr="008C41B1" w:rsidRDefault="00997DF4" w:rsidP="00997DF4">
            <w:pPr>
              <w:spacing w:line="276" w:lineRule="auto"/>
              <w:jc w:val="right"/>
              <w:rPr>
                <w:rFonts w:ascii="Arial" w:hAnsi="Arial" w:cs="Arial"/>
                <w:b/>
                <w:bCs/>
              </w:rPr>
            </w:pPr>
            <w:r>
              <w:rPr>
                <w:rFonts w:ascii="Arial" w:hAnsi="Arial" w:cs="Arial"/>
                <w:b/>
                <w:color w:val="000000"/>
              </w:rPr>
              <w:t>$23,251,179</w:t>
            </w:r>
          </w:p>
        </w:tc>
        <w:tc>
          <w:tcPr>
            <w:tcW w:w="1802" w:type="dxa"/>
          </w:tcPr>
          <w:p w14:paraId="798826F4" w14:textId="03A28507" w:rsidR="00997DF4" w:rsidRPr="005371AC" w:rsidRDefault="00997DF4" w:rsidP="00997DF4">
            <w:pPr>
              <w:jc w:val="right"/>
              <w:rPr>
                <w:rFonts w:ascii="Arial" w:hAnsi="Arial" w:cs="Arial"/>
                <w:b/>
                <w:color w:val="000000"/>
              </w:rPr>
            </w:pPr>
          </w:p>
        </w:tc>
      </w:tr>
      <w:tr w:rsidR="00997DF4" w:rsidRPr="008C41B1" w14:paraId="3C5A53FB" w14:textId="77777777" w:rsidTr="003B2672">
        <w:tc>
          <w:tcPr>
            <w:tcW w:w="2863" w:type="dxa"/>
            <w:shd w:val="clear" w:color="auto" w:fill="000080"/>
            <w:hideMark/>
          </w:tcPr>
          <w:p w14:paraId="6DE96262" w14:textId="77777777" w:rsidR="00997DF4" w:rsidRPr="008C41B1" w:rsidRDefault="00997DF4" w:rsidP="00997DF4">
            <w:pPr>
              <w:jc w:val="both"/>
              <w:rPr>
                <w:rFonts w:ascii="Arial" w:hAnsi="Arial" w:cs="Arial"/>
                <w:b/>
                <w:bCs/>
                <w:color w:val="FFFFFF"/>
              </w:rPr>
            </w:pPr>
            <w:r w:rsidRPr="008C41B1">
              <w:rPr>
                <w:rFonts w:ascii="Arial" w:hAnsi="Arial" w:cs="Arial"/>
                <w:b/>
                <w:bCs/>
                <w:color w:val="FFFFFF"/>
              </w:rPr>
              <w:t>Expenditure</w:t>
            </w:r>
            <w:r>
              <w:rPr>
                <w:rFonts w:ascii="Arial" w:hAnsi="Arial" w:cs="Arial"/>
                <w:b/>
                <w:bCs/>
                <w:color w:val="FFFFFF"/>
              </w:rPr>
              <w:t>s</w:t>
            </w:r>
          </w:p>
        </w:tc>
        <w:tc>
          <w:tcPr>
            <w:tcW w:w="1801" w:type="dxa"/>
            <w:shd w:val="clear" w:color="auto" w:fill="000080"/>
          </w:tcPr>
          <w:p w14:paraId="03C40552" w14:textId="1C325088" w:rsidR="00997DF4" w:rsidRPr="008C41B1" w:rsidRDefault="00997DF4" w:rsidP="00997DF4">
            <w:pPr>
              <w:jc w:val="right"/>
              <w:rPr>
                <w:rFonts w:ascii="Arial" w:hAnsi="Arial" w:cs="Arial"/>
                <w:b/>
                <w:bCs/>
                <w:color w:val="FFFFFF"/>
              </w:rPr>
            </w:pPr>
            <w:r>
              <w:rPr>
                <w:rFonts w:ascii="Arial" w:hAnsi="Arial" w:cs="Arial"/>
                <w:b/>
                <w:bCs/>
                <w:color w:val="FFFFFF"/>
              </w:rPr>
              <w:t>FY 2019</w:t>
            </w:r>
          </w:p>
        </w:tc>
        <w:tc>
          <w:tcPr>
            <w:tcW w:w="1802" w:type="dxa"/>
            <w:shd w:val="clear" w:color="auto" w:fill="000080"/>
          </w:tcPr>
          <w:p w14:paraId="120CCFB1" w14:textId="368EA601" w:rsidR="00997DF4" w:rsidRPr="008C41B1" w:rsidRDefault="00997DF4" w:rsidP="00997DF4">
            <w:pPr>
              <w:jc w:val="right"/>
              <w:rPr>
                <w:rFonts w:ascii="Arial" w:hAnsi="Arial" w:cs="Arial"/>
                <w:b/>
                <w:bCs/>
                <w:color w:val="FFFFFF"/>
              </w:rPr>
            </w:pPr>
            <w:r>
              <w:rPr>
                <w:rFonts w:ascii="Arial" w:hAnsi="Arial" w:cs="Arial"/>
                <w:b/>
                <w:bCs/>
                <w:color w:val="FFFFFF"/>
              </w:rPr>
              <w:t>FY 2020</w:t>
            </w:r>
          </w:p>
        </w:tc>
        <w:tc>
          <w:tcPr>
            <w:tcW w:w="1802" w:type="dxa"/>
            <w:shd w:val="clear" w:color="auto" w:fill="000080"/>
          </w:tcPr>
          <w:p w14:paraId="108875EC" w14:textId="7EBC01CE" w:rsidR="00997DF4" w:rsidRPr="008C41B1" w:rsidRDefault="00997DF4" w:rsidP="00997DF4">
            <w:pPr>
              <w:jc w:val="right"/>
              <w:rPr>
                <w:rFonts w:ascii="Arial" w:hAnsi="Arial" w:cs="Arial"/>
                <w:b/>
                <w:bCs/>
                <w:color w:val="FFFFFF"/>
              </w:rPr>
            </w:pPr>
            <w:r>
              <w:rPr>
                <w:rFonts w:ascii="Arial" w:hAnsi="Arial" w:cs="Arial"/>
                <w:b/>
                <w:bCs/>
                <w:color w:val="FFFFFF"/>
              </w:rPr>
              <w:t>FY 2021</w:t>
            </w:r>
          </w:p>
        </w:tc>
        <w:tc>
          <w:tcPr>
            <w:tcW w:w="1802" w:type="dxa"/>
            <w:shd w:val="clear" w:color="auto" w:fill="000080"/>
          </w:tcPr>
          <w:p w14:paraId="2D702E02" w14:textId="6692C0F5" w:rsidR="00997DF4" w:rsidRPr="008C41B1" w:rsidRDefault="00997DF4" w:rsidP="00997DF4">
            <w:pPr>
              <w:jc w:val="right"/>
              <w:rPr>
                <w:rFonts w:ascii="Arial" w:hAnsi="Arial" w:cs="Arial"/>
                <w:b/>
                <w:bCs/>
                <w:color w:val="FFFFFF"/>
              </w:rPr>
            </w:pPr>
            <w:r>
              <w:rPr>
                <w:rFonts w:ascii="Arial" w:hAnsi="Arial" w:cs="Arial"/>
                <w:b/>
                <w:bCs/>
                <w:color w:val="FFFFFF"/>
              </w:rPr>
              <w:t>FY 2022</w:t>
            </w:r>
          </w:p>
        </w:tc>
      </w:tr>
      <w:tr w:rsidR="00997DF4" w:rsidRPr="008C41B1" w14:paraId="4F852759" w14:textId="77777777" w:rsidTr="003B2672">
        <w:tc>
          <w:tcPr>
            <w:tcW w:w="2863" w:type="dxa"/>
            <w:hideMark/>
          </w:tcPr>
          <w:p w14:paraId="70549A6C" w14:textId="77777777" w:rsidR="00997DF4" w:rsidRPr="008C41B1" w:rsidRDefault="00997DF4" w:rsidP="00997DF4">
            <w:pPr>
              <w:jc w:val="both"/>
              <w:rPr>
                <w:rFonts w:ascii="Arial" w:hAnsi="Arial" w:cs="Arial"/>
              </w:rPr>
            </w:pPr>
            <w:r w:rsidRPr="008C41B1">
              <w:rPr>
                <w:rFonts w:ascii="Arial" w:hAnsi="Arial" w:cs="Arial"/>
              </w:rPr>
              <w:t>Personnel Costs</w:t>
            </w:r>
          </w:p>
        </w:tc>
        <w:tc>
          <w:tcPr>
            <w:tcW w:w="1801" w:type="dxa"/>
          </w:tcPr>
          <w:p w14:paraId="224856C8" w14:textId="084DB5D1" w:rsidR="00997DF4" w:rsidRPr="008C41B1" w:rsidRDefault="00997DF4" w:rsidP="00997DF4">
            <w:pPr>
              <w:jc w:val="right"/>
              <w:rPr>
                <w:rFonts w:ascii="Arial" w:hAnsi="Arial" w:cs="Arial"/>
              </w:rPr>
            </w:pPr>
            <w:r>
              <w:rPr>
                <w:rFonts w:ascii="Arial" w:hAnsi="Arial" w:cs="Arial"/>
              </w:rPr>
              <w:t>$10,328,411</w:t>
            </w:r>
          </w:p>
        </w:tc>
        <w:tc>
          <w:tcPr>
            <w:tcW w:w="1802" w:type="dxa"/>
          </w:tcPr>
          <w:p w14:paraId="4C360C39" w14:textId="2844C74D" w:rsidR="00997DF4" w:rsidRPr="008C41B1" w:rsidRDefault="00997DF4" w:rsidP="00997DF4">
            <w:pPr>
              <w:jc w:val="right"/>
              <w:rPr>
                <w:rFonts w:ascii="Arial" w:hAnsi="Arial" w:cs="Arial"/>
              </w:rPr>
            </w:pPr>
            <w:r>
              <w:rPr>
                <w:rFonts w:ascii="Arial" w:hAnsi="Arial" w:cs="Arial"/>
              </w:rPr>
              <w:t>$10,319,069</w:t>
            </w:r>
          </w:p>
        </w:tc>
        <w:tc>
          <w:tcPr>
            <w:tcW w:w="1802" w:type="dxa"/>
          </w:tcPr>
          <w:p w14:paraId="507FD12E" w14:textId="719EAD89" w:rsidR="00997DF4" w:rsidRPr="008C41B1" w:rsidRDefault="00997DF4" w:rsidP="00997DF4">
            <w:pPr>
              <w:jc w:val="right"/>
              <w:rPr>
                <w:rFonts w:ascii="Arial" w:hAnsi="Arial" w:cs="Arial"/>
              </w:rPr>
            </w:pPr>
            <w:r>
              <w:rPr>
                <w:rFonts w:ascii="Arial" w:hAnsi="Arial" w:cs="Arial"/>
              </w:rPr>
              <w:t>$10,294,796</w:t>
            </w:r>
          </w:p>
        </w:tc>
        <w:tc>
          <w:tcPr>
            <w:tcW w:w="1802" w:type="dxa"/>
          </w:tcPr>
          <w:p w14:paraId="78B5240E" w14:textId="3A7424E7" w:rsidR="00997DF4" w:rsidRPr="008C41B1" w:rsidRDefault="00997DF4" w:rsidP="00997DF4">
            <w:pPr>
              <w:jc w:val="right"/>
              <w:rPr>
                <w:rFonts w:ascii="Arial" w:hAnsi="Arial" w:cs="Arial"/>
              </w:rPr>
            </w:pPr>
          </w:p>
        </w:tc>
      </w:tr>
      <w:tr w:rsidR="00997DF4" w:rsidRPr="008C41B1" w14:paraId="7444FBBC" w14:textId="77777777" w:rsidTr="003B2672">
        <w:tc>
          <w:tcPr>
            <w:tcW w:w="2863" w:type="dxa"/>
            <w:hideMark/>
          </w:tcPr>
          <w:p w14:paraId="42434E5C" w14:textId="77777777" w:rsidR="00997DF4" w:rsidRPr="008C41B1" w:rsidRDefault="00997DF4" w:rsidP="00997DF4">
            <w:pPr>
              <w:jc w:val="both"/>
              <w:rPr>
                <w:rFonts w:ascii="Arial" w:hAnsi="Arial" w:cs="Arial"/>
              </w:rPr>
            </w:pPr>
            <w:r w:rsidRPr="008C41B1">
              <w:rPr>
                <w:rFonts w:ascii="Arial" w:hAnsi="Arial" w:cs="Arial"/>
              </w:rPr>
              <w:t>Operating Expenditures</w:t>
            </w:r>
          </w:p>
        </w:tc>
        <w:tc>
          <w:tcPr>
            <w:tcW w:w="1801" w:type="dxa"/>
          </w:tcPr>
          <w:p w14:paraId="60CDEA85" w14:textId="6F74556E" w:rsidR="00997DF4" w:rsidRPr="008C41B1" w:rsidRDefault="00997DF4" w:rsidP="00997DF4">
            <w:pPr>
              <w:jc w:val="right"/>
              <w:rPr>
                <w:rFonts w:ascii="Arial" w:hAnsi="Arial" w:cs="Arial"/>
              </w:rPr>
            </w:pPr>
            <w:r>
              <w:rPr>
                <w:rFonts w:ascii="Arial" w:hAnsi="Arial" w:cs="Arial"/>
              </w:rPr>
              <w:t>$1,558,712</w:t>
            </w:r>
          </w:p>
        </w:tc>
        <w:tc>
          <w:tcPr>
            <w:tcW w:w="1802" w:type="dxa"/>
          </w:tcPr>
          <w:p w14:paraId="56AAEB59" w14:textId="5CFE561E" w:rsidR="00997DF4" w:rsidRPr="008C41B1" w:rsidRDefault="00997DF4" w:rsidP="00997DF4">
            <w:pPr>
              <w:jc w:val="right"/>
              <w:rPr>
                <w:rFonts w:ascii="Arial" w:hAnsi="Arial" w:cs="Arial"/>
              </w:rPr>
            </w:pPr>
            <w:r>
              <w:rPr>
                <w:rFonts w:ascii="Arial" w:hAnsi="Arial" w:cs="Arial"/>
              </w:rPr>
              <w:t>$2,155,746</w:t>
            </w:r>
          </w:p>
        </w:tc>
        <w:tc>
          <w:tcPr>
            <w:tcW w:w="1802" w:type="dxa"/>
          </w:tcPr>
          <w:p w14:paraId="761398E9" w14:textId="243AB22A" w:rsidR="00997DF4" w:rsidRPr="008C41B1" w:rsidRDefault="00997DF4" w:rsidP="00997DF4">
            <w:pPr>
              <w:jc w:val="right"/>
              <w:rPr>
                <w:rFonts w:ascii="Arial" w:hAnsi="Arial" w:cs="Arial"/>
              </w:rPr>
            </w:pPr>
            <w:r>
              <w:rPr>
                <w:rFonts w:ascii="Arial" w:hAnsi="Arial" w:cs="Arial"/>
              </w:rPr>
              <w:t>$2,128,335</w:t>
            </w:r>
          </w:p>
        </w:tc>
        <w:tc>
          <w:tcPr>
            <w:tcW w:w="1802" w:type="dxa"/>
          </w:tcPr>
          <w:p w14:paraId="2B21EEC6" w14:textId="31094F0F" w:rsidR="00997DF4" w:rsidRPr="008C41B1" w:rsidRDefault="00997DF4" w:rsidP="00997DF4">
            <w:pPr>
              <w:jc w:val="right"/>
              <w:rPr>
                <w:rFonts w:ascii="Arial" w:hAnsi="Arial" w:cs="Arial"/>
              </w:rPr>
            </w:pPr>
          </w:p>
        </w:tc>
      </w:tr>
      <w:tr w:rsidR="00997DF4" w:rsidRPr="008C41B1" w14:paraId="3EA20249" w14:textId="77777777" w:rsidTr="003B2672">
        <w:tc>
          <w:tcPr>
            <w:tcW w:w="2863" w:type="dxa"/>
            <w:hideMark/>
          </w:tcPr>
          <w:p w14:paraId="157A5522" w14:textId="77777777" w:rsidR="00997DF4" w:rsidRPr="008C41B1" w:rsidRDefault="00997DF4" w:rsidP="00997DF4">
            <w:pPr>
              <w:jc w:val="both"/>
              <w:rPr>
                <w:rFonts w:ascii="Arial" w:hAnsi="Arial" w:cs="Arial"/>
              </w:rPr>
            </w:pPr>
            <w:r w:rsidRPr="008C41B1">
              <w:rPr>
                <w:rFonts w:ascii="Arial" w:hAnsi="Arial" w:cs="Arial"/>
              </w:rPr>
              <w:t>Capital Outlay</w:t>
            </w:r>
          </w:p>
        </w:tc>
        <w:tc>
          <w:tcPr>
            <w:tcW w:w="1801" w:type="dxa"/>
          </w:tcPr>
          <w:p w14:paraId="29793835" w14:textId="7AD1B2FF" w:rsidR="00997DF4" w:rsidRPr="008C41B1" w:rsidRDefault="00997DF4" w:rsidP="00997DF4">
            <w:pPr>
              <w:jc w:val="right"/>
              <w:rPr>
                <w:rFonts w:ascii="Arial" w:hAnsi="Arial" w:cs="Arial"/>
              </w:rPr>
            </w:pPr>
            <w:r>
              <w:rPr>
                <w:rFonts w:ascii="Arial" w:hAnsi="Arial" w:cs="Arial"/>
              </w:rPr>
              <w:t>$107,304</w:t>
            </w:r>
          </w:p>
        </w:tc>
        <w:tc>
          <w:tcPr>
            <w:tcW w:w="1802" w:type="dxa"/>
          </w:tcPr>
          <w:p w14:paraId="2A6E21D2" w14:textId="59CCD440" w:rsidR="00997DF4" w:rsidRPr="008C41B1" w:rsidRDefault="00997DF4" w:rsidP="00997DF4">
            <w:pPr>
              <w:jc w:val="right"/>
              <w:rPr>
                <w:rFonts w:ascii="Arial" w:hAnsi="Arial" w:cs="Arial"/>
              </w:rPr>
            </w:pPr>
            <w:r>
              <w:rPr>
                <w:rFonts w:ascii="Arial" w:hAnsi="Arial" w:cs="Arial"/>
              </w:rPr>
              <w:t>$96,148</w:t>
            </w:r>
          </w:p>
        </w:tc>
        <w:tc>
          <w:tcPr>
            <w:tcW w:w="1802" w:type="dxa"/>
          </w:tcPr>
          <w:p w14:paraId="5E144396" w14:textId="21F77F95" w:rsidR="00997DF4" w:rsidRPr="008C41B1" w:rsidRDefault="00997DF4" w:rsidP="00997DF4">
            <w:pPr>
              <w:jc w:val="right"/>
              <w:rPr>
                <w:rFonts w:ascii="Arial" w:hAnsi="Arial" w:cs="Arial"/>
              </w:rPr>
            </w:pPr>
            <w:r>
              <w:rPr>
                <w:rFonts w:ascii="Arial" w:hAnsi="Arial" w:cs="Arial"/>
              </w:rPr>
              <w:t>$42,017</w:t>
            </w:r>
          </w:p>
        </w:tc>
        <w:tc>
          <w:tcPr>
            <w:tcW w:w="1802" w:type="dxa"/>
          </w:tcPr>
          <w:p w14:paraId="1120C5B5" w14:textId="293ED04F" w:rsidR="00997DF4" w:rsidRPr="008C41B1" w:rsidRDefault="00997DF4" w:rsidP="00997DF4">
            <w:pPr>
              <w:jc w:val="right"/>
              <w:rPr>
                <w:rFonts w:ascii="Arial" w:hAnsi="Arial" w:cs="Arial"/>
              </w:rPr>
            </w:pPr>
          </w:p>
        </w:tc>
      </w:tr>
      <w:tr w:rsidR="00997DF4" w:rsidRPr="008C41B1" w14:paraId="2CACD484" w14:textId="77777777" w:rsidTr="003B2672">
        <w:tc>
          <w:tcPr>
            <w:tcW w:w="2863" w:type="dxa"/>
            <w:hideMark/>
          </w:tcPr>
          <w:p w14:paraId="683E75AC" w14:textId="77777777" w:rsidR="00997DF4" w:rsidRPr="008C41B1" w:rsidRDefault="00997DF4" w:rsidP="00997DF4">
            <w:pPr>
              <w:jc w:val="both"/>
              <w:rPr>
                <w:rFonts w:ascii="Arial" w:hAnsi="Arial" w:cs="Arial"/>
              </w:rPr>
            </w:pPr>
            <w:r w:rsidRPr="008C41B1">
              <w:rPr>
                <w:rFonts w:ascii="Arial" w:hAnsi="Arial" w:cs="Arial"/>
              </w:rPr>
              <w:t>Trustee/Benefit Payments</w:t>
            </w:r>
          </w:p>
        </w:tc>
        <w:tc>
          <w:tcPr>
            <w:tcW w:w="1801" w:type="dxa"/>
          </w:tcPr>
          <w:p w14:paraId="0A7557A0" w14:textId="2EE632EC" w:rsidR="00997DF4" w:rsidRPr="008C41B1" w:rsidRDefault="00997DF4" w:rsidP="00997DF4">
            <w:pPr>
              <w:jc w:val="right"/>
              <w:rPr>
                <w:rFonts w:ascii="Arial" w:hAnsi="Arial" w:cs="Arial"/>
                <w:u w:val="single"/>
              </w:rPr>
            </w:pPr>
            <w:r>
              <w:rPr>
                <w:rFonts w:ascii="Arial" w:hAnsi="Arial" w:cs="Arial"/>
                <w:u w:val="single"/>
              </w:rPr>
              <w:t>$11,811,060</w:t>
            </w:r>
          </w:p>
        </w:tc>
        <w:tc>
          <w:tcPr>
            <w:tcW w:w="1802" w:type="dxa"/>
          </w:tcPr>
          <w:p w14:paraId="52AF5005" w14:textId="503C5FA0" w:rsidR="00997DF4" w:rsidRPr="008C41B1" w:rsidRDefault="00997DF4" w:rsidP="00997DF4">
            <w:pPr>
              <w:jc w:val="right"/>
              <w:rPr>
                <w:rFonts w:ascii="Arial" w:hAnsi="Arial" w:cs="Arial"/>
                <w:u w:val="single"/>
              </w:rPr>
            </w:pPr>
            <w:r>
              <w:rPr>
                <w:rFonts w:ascii="Arial" w:hAnsi="Arial" w:cs="Arial"/>
                <w:u w:val="single"/>
              </w:rPr>
              <w:t>$10,392,458</w:t>
            </w:r>
          </w:p>
        </w:tc>
        <w:tc>
          <w:tcPr>
            <w:tcW w:w="1802" w:type="dxa"/>
          </w:tcPr>
          <w:p w14:paraId="2A9DA0D1" w14:textId="372D5970" w:rsidR="00997DF4" w:rsidRPr="008C41B1" w:rsidRDefault="00997DF4" w:rsidP="00997DF4">
            <w:pPr>
              <w:jc w:val="right"/>
              <w:rPr>
                <w:rFonts w:ascii="Arial" w:hAnsi="Arial" w:cs="Arial"/>
                <w:u w:val="single"/>
              </w:rPr>
            </w:pPr>
            <w:r>
              <w:rPr>
                <w:rFonts w:ascii="Arial" w:hAnsi="Arial" w:cs="Arial"/>
                <w:u w:val="single"/>
              </w:rPr>
              <w:t>$9,055,033</w:t>
            </w:r>
          </w:p>
        </w:tc>
        <w:tc>
          <w:tcPr>
            <w:tcW w:w="1802" w:type="dxa"/>
          </w:tcPr>
          <w:p w14:paraId="3F352871" w14:textId="7D383295" w:rsidR="00997DF4" w:rsidRPr="00B051F1" w:rsidRDefault="00997DF4" w:rsidP="00997DF4">
            <w:pPr>
              <w:jc w:val="right"/>
              <w:rPr>
                <w:rFonts w:ascii="Arial" w:hAnsi="Arial" w:cs="Arial"/>
                <w:u w:val="single"/>
              </w:rPr>
            </w:pPr>
          </w:p>
        </w:tc>
      </w:tr>
      <w:tr w:rsidR="00997DF4" w:rsidRPr="008C41B1" w14:paraId="6265C676" w14:textId="77777777" w:rsidTr="003B2672">
        <w:tc>
          <w:tcPr>
            <w:tcW w:w="2863" w:type="dxa"/>
            <w:hideMark/>
          </w:tcPr>
          <w:p w14:paraId="7D6196F4" w14:textId="77777777" w:rsidR="00997DF4" w:rsidRPr="008C41B1" w:rsidRDefault="00997DF4" w:rsidP="00997DF4">
            <w:pPr>
              <w:ind w:left="240"/>
              <w:jc w:val="right"/>
              <w:rPr>
                <w:rFonts w:ascii="Arial" w:hAnsi="Arial" w:cs="Arial"/>
                <w:b/>
                <w:bCs/>
              </w:rPr>
            </w:pPr>
            <w:r w:rsidRPr="008C41B1">
              <w:rPr>
                <w:rFonts w:ascii="Arial" w:hAnsi="Arial" w:cs="Arial"/>
                <w:b/>
                <w:bCs/>
              </w:rPr>
              <w:t>Total</w:t>
            </w:r>
          </w:p>
        </w:tc>
        <w:tc>
          <w:tcPr>
            <w:tcW w:w="1801" w:type="dxa"/>
          </w:tcPr>
          <w:p w14:paraId="39C2FAAF" w14:textId="61CCEF22" w:rsidR="00997DF4" w:rsidRPr="008C41B1" w:rsidRDefault="00997DF4" w:rsidP="00997DF4">
            <w:pPr>
              <w:jc w:val="right"/>
              <w:rPr>
                <w:rFonts w:ascii="Arial" w:hAnsi="Arial" w:cs="Arial"/>
                <w:b/>
                <w:bCs/>
              </w:rPr>
            </w:pPr>
            <w:r>
              <w:rPr>
                <w:rFonts w:ascii="Arial" w:hAnsi="Arial" w:cs="Arial"/>
                <w:b/>
              </w:rPr>
              <w:t>$23,805,487</w:t>
            </w:r>
          </w:p>
        </w:tc>
        <w:tc>
          <w:tcPr>
            <w:tcW w:w="1802" w:type="dxa"/>
          </w:tcPr>
          <w:p w14:paraId="0817D409" w14:textId="0DFED634" w:rsidR="00997DF4" w:rsidRPr="008C41B1" w:rsidRDefault="00997DF4" w:rsidP="00997DF4">
            <w:pPr>
              <w:jc w:val="right"/>
              <w:rPr>
                <w:rFonts w:ascii="Arial" w:hAnsi="Arial" w:cs="Arial"/>
                <w:b/>
                <w:bCs/>
              </w:rPr>
            </w:pPr>
            <w:r>
              <w:rPr>
                <w:rFonts w:ascii="Arial" w:hAnsi="Arial" w:cs="Arial"/>
                <w:b/>
              </w:rPr>
              <w:t>$22,963,421</w:t>
            </w:r>
          </w:p>
        </w:tc>
        <w:tc>
          <w:tcPr>
            <w:tcW w:w="1802" w:type="dxa"/>
          </w:tcPr>
          <w:p w14:paraId="152E0330" w14:textId="046C3D1F" w:rsidR="00997DF4" w:rsidRPr="008C41B1" w:rsidRDefault="00997DF4" w:rsidP="00997DF4">
            <w:pPr>
              <w:jc w:val="right"/>
              <w:rPr>
                <w:rFonts w:ascii="Arial" w:hAnsi="Arial" w:cs="Arial"/>
                <w:b/>
                <w:bCs/>
              </w:rPr>
            </w:pPr>
            <w:r>
              <w:rPr>
                <w:rFonts w:ascii="Arial" w:hAnsi="Arial" w:cs="Arial"/>
                <w:b/>
              </w:rPr>
              <w:t>$21,520,181</w:t>
            </w:r>
          </w:p>
        </w:tc>
        <w:tc>
          <w:tcPr>
            <w:tcW w:w="1802" w:type="dxa"/>
          </w:tcPr>
          <w:p w14:paraId="23E90807" w14:textId="6CFCF684" w:rsidR="00997DF4" w:rsidRPr="00B051F1" w:rsidRDefault="00997DF4" w:rsidP="00997DF4">
            <w:pPr>
              <w:jc w:val="right"/>
              <w:rPr>
                <w:rFonts w:ascii="Arial" w:hAnsi="Arial" w:cs="Arial"/>
                <w:b/>
              </w:rPr>
            </w:pPr>
          </w:p>
        </w:tc>
      </w:tr>
    </w:tbl>
    <w:bookmarkEnd w:id="2"/>
    <w:bookmarkEnd w:id="3"/>
    <w:p w14:paraId="757B8A7C" w14:textId="678D1134" w:rsidR="00121117" w:rsidRPr="007454AB" w:rsidRDefault="0016323B" w:rsidP="008C41B1">
      <w:pPr>
        <w:rPr>
          <w:rFonts w:ascii="Arial" w:hAnsi="Arial" w:cs="Arial"/>
          <w:sz w:val="18"/>
          <w:szCs w:val="18"/>
        </w:rPr>
      </w:pPr>
      <w:r w:rsidRPr="007454AB">
        <w:rPr>
          <w:rFonts w:ascii="Arial" w:hAnsi="Arial" w:cs="Arial"/>
          <w:i/>
          <w:iCs/>
          <w:sz w:val="18"/>
          <w:szCs w:val="18"/>
        </w:rPr>
        <w:t>For FY2018 IDVR used the federal fiscal year as the period for reporting financial data</w:t>
      </w:r>
      <w:r w:rsidR="0037198D" w:rsidRPr="007454AB">
        <w:rPr>
          <w:rFonts w:ascii="Arial" w:hAnsi="Arial" w:cs="Arial"/>
          <w:i/>
          <w:iCs/>
          <w:sz w:val="18"/>
          <w:szCs w:val="18"/>
        </w:rPr>
        <w:t xml:space="preserve">, all </w:t>
      </w:r>
      <w:r w:rsidR="00134765" w:rsidRPr="007454AB">
        <w:rPr>
          <w:rFonts w:ascii="Arial" w:hAnsi="Arial" w:cs="Arial"/>
          <w:i/>
          <w:iCs/>
          <w:sz w:val="18"/>
          <w:szCs w:val="18"/>
        </w:rPr>
        <w:t xml:space="preserve">subsequent </w:t>
      </w:r>
      <w:r w:rsidR="0037198D" w:rsidRPr="007454AB">
        <w:rPr>
          <w:rFonts w:ascii="Arial" w:hAnsi="Arial" w:cs="Arial"/>
          <w:i/>
          <w:iCs/>
          <w:sz w:val="18"/>
          <w:szCs w:val="18"/>
        </w:rPr>
        <w:t>years use</w:t>
      </w:r>
      <w:r w:rsidRPr="007454AB">
        <w:rPr>
          <w:rFonts w:ascii="Arial" w:hAnsi="Arial" w:cs="Arial"/>
          <w:i/>
          <w:iCs/>
          <w:sz w:val="18"/>
          <w:szCs w:val="18"/>
        </w:rPr>
        <w:t xml:space="preserve"> the state fiscal year as the period for reporting financial dat</w:t>
      </w:r>
      <w:r w:rsidR="00635447" w:rsidRPr="007454AB">
        <w:rPr>
          <w:rFonts w:ascii="Arial" w:hAnsi="Arial" w:cs="Arial"/>
          <w:i/>
          <w:iCs/>
          <w:sz w:val="18"/>
          <w:szCs w:val="18"/>
        </w:rPr>
        <w:t>a.</w:t>
      </w:r>
    </w:p>
    <w:p w14:paraId="6984D364" w14:textId="1D538E73" w:rsidR="00C83933" w:rsidRDefault="00C83933" w:rsidP="008C41B1">
      <w:pPr>
        <w:rPr>
          <w:rFonts w:ascii="Arial" w:hAnsi="Arial" w:cs="Arial"/>
        </w:rPr>
      </w:pPr>
    </w:p>
    <w:p w14:paraId="298C9D3B" w14:textId="77777777" w:rsidR="00A153C3" w:rsidRPr="008C41B1" w:rsidRDefault="00A153C3" w:rsidP="008C41B1">
      <w:pPr>
        <w:rPr>
          <w:rFonts w:ascii="Arial" w:hAnsi="Arial" w:cs="Arial"/>
        </w:rPr>
      </w:pPr>
    </w:p>
    <w:p w14:paraId="1F7CAD49" w14:textId="77777777" w:rsidR="00FF26CD" w:rsidRPr="00934638" w:rsidRDefault="00FF26CD" w:rsidP="00934638">
      <w:pPr>
        <w:rPr>
          <w:rFonts w:ascii="Arial" w:hAnsi="Arial" w:cs="Arial"/>
          <w:b/>
          <w:i/>
        </w:rPr>
      </w:pPr>
      <w:r w:rsidRPr="00934638">
        <w:rPr>
          <w:rFonts w:ascii="Arial" w:hAnsi="Arial" w:cs="Arial"/>
          <w:b/>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536"/>
        <w:gridCol w:w="1536"/>
        <w:gridCol w:w="1536"/>
        <w:gridCol w:w="1467"/>
      </w:tblGrid>
      <w:tr w:rsidR="003B2672" w:rsidRPr="008C41B1" w14:paraId="67299EC3" w14:textId="77777777" w:rsidTr="003B2672">
        <w:tc>
          <w:tcPr>
            <w:tcW w:w="3995" w:type="dxa"/>
            <w:shd w:val="clear" w:color="auto" w:fill="000080"/>
            <w:vAlign w:val="bottom"/>
            <w:hideMark/>
          </w:tcPr>
          <w:p w14:paraId="0D109547" w14:textId="77777777" w:rsidR="003B2672" w:rsidRPr="008C41B1" w:rsidRDefault="003B2672" w:rsidP="003B2672">
            <w:pPr>
              <w:jc w:val="center"/>
              <w:rPr>
                <w:rFonts w:ascii="Arial" w:hAnsi="Arial" w:cs="Arial"/>
                <w:b/>
                <w:bCs/>
                <w:color w:val="FFFFFF"/>
              </w:rPr>
            </w:pPr>
            <w:r w:rsidRPr="008C41B1">
              <w:rPr>
                <w:rFonts w:ascii="Arial" w:hAnsi="Arial" w:cs="Arial"/>
                <w:b/>
                <w:bCs/>
                <w:color w:val="FFFFFF"/>
              </w:rPr>
              <w:t>Cases Managed and/or Key Services Provided</w:t>
            </w:r>
          </w:p>
        </w:tc>
        <w:tc>
          <w:tcPr>
            <w:tcW w:w="1536" w:type="dxa"/>
            <w:shd w:val="clear" w:color="auto" w:fill="000080"/>
            <w:vAlign w:val="bottom"/>
          </w:tcPr>
          <w:p w14:paraId="6598598B" w14:textId="2884B487" w:rsidR="003B2672" w:rsidRPr="008C41B1" w:rsidRDefault="00997DF4" w:rsidP="003B2672">
            <w:pPr>
              <w:jc w:val="center"/>
              <w:rPr>
                <w:rFonts w:ascii="Arial" w:hAnsi="Arial" w:cs="Arial"/>
                <w:b/>
                <w:bCs/>
                <w:color w:val="FFFFFF"/>
              </w:rPr>
            </w:pPr>
            <w:r>
              <w:rPr>
                <w:rFonts w:ascii="Arial" w:hAnsi="Arial" w:cs="Arial"/>
                <w:b/>
                <w:bCs/>
                <w:color w:val="FFFFFF"/>
              </w:rPr>
              <w:t>FY 2019</w:t>
            </w:r>
          </w:p>
        </w:tc>
        <w:tc>
          <w:tcPr>
            <w:tcW w:w="1536" w:type="dxa"/>
            <w:shd w:val="clear" w:color="auto" w:fill="000080"/>
            <w:vAlign w:val="bottom"/>
          </w:tcPr>
          <w:p w14:paraId="20B027C1" w14:textId="499DF47A" w:rsidR="003B2672" w:rsidRPr="008C41B1" w:rsidRDefault="00997DF4" w:rsidP="003B2672">
            <w:pPr>
              <w:jc w:val="center"/>
              <w:rPr>
                <w:rFonts w:ascii="Arial" w:hAnsi="Arial" w:cs="Arial"/>
                <w:b/>
                <w:bCs/>
                <w:color w:val="FFFFFF"/>
              </w:rPr>
            </w:pPr>
            <w:r>
              <w:rPr>
                <w:rFonts w:ascii="Arial" w:hAnsi="Arial" w:cs="Arial"/>
                <w:b/>
                <w:bCs/>
                <w:color w:val="FFFFFF"/>
              </w:rPr>
              <w:t>FY 2020</w:t>
            </w:r>
          </w:p>
        </w:tc>
        <w:tc>
          <w:tcPr>
            <w:tcW w:w="1536" w:type="dxa"/>
            <w:shd w:val="clear" w:color="auto" w:fill="000080"/>
            <w:vAlign w:val="bottom"/>
          </w:tcPr>
          <w:p w14:paraId="20F1CD10" w14:textId="03998570" w:rsidR="003B2672" w:rsidRPr="008C41B1" w:rsidRDefault="00997DF4" w:rsidP="003B2672">
            <w:pPr>
              <w:jc w:val="center"/>
              <w:rPr>
                <w:rFonts w:ascii="Arial" w:hAnsi="Arial" w:cs="Arial"/>
                <w:b/>
                <w:bCs/>
                <w:color w:val="FFFFFF"/>
              </w:rPr>
            </w:pPr>
            <w:r>
              <w:rPr>
                <w:rFonts w:ascii="Arial" w:hAnsi="Arial" w:cs="Arial"/>
                <w:b/>
                <w:bCs/>
                <w:color w:val="FFFFFF"/>
              </w:rPr>
              <w:t>FY 2021</w:t>
            </w:r>
          </w:p>
        </w:tc>
        <w:tc>
          <w:tcPr>
            <w:tcW w:w="1467" w:type="dxa"/>
            <w:shd w:val="clear" w:color="auto" w:fill="000080"/>
            <w:vAlign w:val="bottom"/>
          </w:tcPr>
          <w:p w14:paraId="503B6A68" w14:textId="267D9E18" w:rsidR="003B2672" w:rsidRPr="008C41B1" w:rsidRDefault="00997DF4" w:rsidP="003B2672">
            <w:pPr>
              <w:jc w:val="center"/>
              <w:rPr>
                <w:rFonts w:ascii="Arial" w:hAnsi="Arial" w:cs="Arial"/>
                <w:b/>
                <w:bCs/>
                <w:color w:val="FFFFFF"/>
              </w:rPr>
            </w:pPr>
            <w:r>
              <w:rPr>
                <w:rFonts w:ascii="Arial" w:hAnsi="Arial" w:cs="Arial"/>
                <w:b/>
                <w:bCs/>
                <w:color w:val="FFFFFF"/>
              </w:rPr>
              <w:t>FY 2022</w:t>
            </w:r>
          </w:p>
        </w:tc>
      </w:tr>
      <w:tr w:rsidR="00997DF4" w:rsidRPr="008C41B1" w14:paraId="200DCC01" w14:textId="77777777" w:rsidTr="003B2672">
        <w:trPr>
          <w:trHeight w:val="485"/>
        </w:trPr>
        <w:tc>
          <w:tcPr>
            <w:tcW w:w="3995" w:type="dxa"/>
            <w:vAlign w:val="center"/>
            <w:hideMark/>
          </w:tcPr>
          <w:p w14:paraId="42BC9F31" w14:textId="2722DBD0" w:rsidR="00997DF4" w:rsidRPr="008C41B1" w:rsidRDefault="00997DF4" w:rsidP="00997DF4">
            <w:pPr>
              <w:rPr>
                <w:rFonts w:ascii="Arial" w:hAnsi="Arial" w:cs="Arial"/>
              </w:rPr>
            </w:pPr>
            <w:r w:rsidRPr="008C41B1">
              <w:rPr>
                <w:rFonts w:ascii="Arial" w:hAnsi="Arial" w:cs="Arial"/>
              </w:rPr>
              <w:t xml:space="preserve">Number of Individuals Served by Vocational Rehabilitation </w:t>
            </w:r>
          </w:p>
        </w:tc>
        <w:tc>
          <w:tcPr>
            <w:tcW w:w="1536" w:type="dxa"/>
            <w:vAlign w:val="center"/>
          </w:tcPr>
          <w:p w14:paraId="06FABED4" w14:textId="11B1C474" w:rsidR="00997DF4" w:rsidRPr="008C41B1" w:rsidRDefault="00997DF4" w:rsidP="00997DF4">
            <w:pPr>
              <w:jc w:val="center"/>
              <w:rPr>
                <w:rFonts w:ascii="Arial" w:hAnsi="Arial" w:cs="Arial"/>
              </w:rPr>
            </w:pPr>
            <w:r>
              <w:rPr>
                <w:rFonts w:ascii="Arial" w:hAnsi="Arial" w:cs="Arial"/>
              </w:rPr>
              <w:t>9,368</w:t>
            </w:r>
          </w:p>
        </w:tc>
        <w:tc>
          <w:tcPr>
            <w:tcW w:w="1536" w:type="dxa"/>
            <w:vAlign w:val="center"/>
          </w:tcPr>
          <w:p w14:paraId="5C777F3D" w14:textId="6BCA5D8C" w:rsidR="00997DF4" w:rsidRPr="008C41B1" w:rsidRDefault="00997DF4" w:rsidP="00997DF4">
            <w:pPr>
              <w:jc w:val="center"/>
              <w:rPr>
                <w:rFonts w:ascii="Arial" w:hAnsi="Arial" w:cs="Arial"/>
              </w:rPr>
            </w:pPr>
            <w:r>
              <w:rPr>
                <w:rFonts w:ascii="Arial" w:hAnsi="Arial" w:cs="Arial"/>
              </w:rPr>
              <w:t>5,878</w:t>
            </w:r>
          </w:p>
        </w:tc>
        <w:tc>
          <w:tcPr>
            <w:tcW w:w="1536" w:type="dxa"/>
            <w:vAlign w:val="center"/>
          </w:tcPr>
          <w:p w14:paraId="6F593826" w14:textId="4D73A1AB" w:rsidR="00997DF4" w:rsidRPr="008C41B1" w:rsidRDefault="00997DF4" w:rsidP="00997DF4">
            <w:pPr>
              <w:jc w:val="center"/>
              <w:rPr>
                <w:rFonts w:ascii="Arial" w:hAnsi="Arial" w:cs="Arial"/>
              </w:rPr>
            </w:pPr>
            <w:r>
              <w:rPr>
                <w:rFonts w:ascii="Arial" w:hAnsi="Arial" w:cs="Arial"/>
              </w:rPr>
              <w:t>5,056</w:t>
            </w:r>
          </w:p>
        </w:tc>
        <w:tc>
          <w:tcPr>
            <w:tcW w:w="1467" w:type="dxa"/>
            <w:vAlign w:val="center"/>
          </w:tcPr>
          <w:p w14:paraId="5933FA68" w14:textId="4F2E1F62" w:rsidR="00997DF4" w:rsidRPr="008C41B1" w:rsidRDefault="00997DF4" w:rsidP="00997DF4">
            <w:pPr>
              <w:jc w:val="center"/>
              <w:rPr>
                <w:rFonts w:ascii="Arial" w:hAnsi="Arial" w:cs="Arial"/>
              </w:rPr>
            </w:pPr>
          </w:p>
        </w:tc>
      </w:tr>
      <w:tr w:rsidR="00997DF4" w:rsidRPr="008C41B1" w14:paraId="0BFC1394" w14:textId="77777777" w:rsidTr="003B2672">
        <w:tc>
          <w:tcPr>
            <w:tcW w:w="3995" w:type="dxa"/>
            <w:vAlign w:val="center"/>
            <w:hideMark/>
          </w:tcPr>
          <w:p w14:paraId="4C5800A1" w14:textId="5DEDA4B3" w:rsidR="00997DF4" w:rsidRPr="008C41B1" w:rsidRDefault="00997DF4" w:rsidP="00997DF4">
            <w:pPr>
              <w:rPr>
                <w:rFonts w:ascii="Arial" w:hAnsi="Arial" w:cs="Arial"/>
              </w:rPr>
            </w:pPr>
            <w:r w:rsidRPr="008C41B1">
              <w:rPr>
                <w:rFonts w:ascii="Arial" w:hAnsi="Arial" w:cs="Arial"/>
                <w:color w:val="000000"/>
              </w:rPr>
              <w:t>Number of Individuals Who Went to Work After Receiving VR Services</w:t>
            </w:r>
          </w:p>
        </w:tc>
        <w:tc>
          <w:tcPr>
            <w:tcW w:w="1536" w:type="dxa"/>
            <w:vAlign w:val="center"/>
          </w:tcPr>
          <w:p w14:paraId="4A2A462A" w14:textId="680E06D8" w:rsidR="00997DF4" w:rsidRPr="008C41B1" w:rsidRDefault="00997DF4" w:rsidP="00997DF4">
            <w:pPr>
              <w:jc w:val="center"/>
              <w:rPr>
                <w:rFonts w:ascii="Arial" w:hAnsi="Arial" w:cs="Arial"/>
                <w:color w:val="000000"/>
                <w:szCs w:val="16"/>
              </w:rPr>
            </w:pPr>
            <w:r>
              <w:rPr>
                <w:rFonts w:ascii="Arial" w:hAnsi="Arial" w:cs="Arial"/>
                <w:color w:val="000000"/>
                <w:szCs w:val="16"/>
              </w:rPr>
              <w:t>1,281</w:t>
            </w:r>
          </w:p>
        </w:tc>
        <w:tc>
          <w:tcPr>
            <w:tcW w:w="1536" w:type="dxa"/>
            <w:vAlign w:val="center"/>
          </w:tcPr>
          <w:p w14:paraId="52D28F20" w14:textId="7D29719E" w:rsidR="00997DF4" w:rsidRPr="008C41B1" w:rsidRDefault="00997DF4" w:rsidP="00997DF4">
            <w:pPr>
              <w:jc w:val="center"/>
              <w:rPr>
                <w:rFonts w:ascii="Arial" w:hAnsi="Arial" w:cs="Arial"/>
                <w:color w:val="000000"/>
                <w:szCs w:val="16"/>
              </w:rPr>
            </w:pPr>
            <w:r>
              <w:rPr>
                <w:rFonts w:ascii="Arial" w:hAnsi="Arial" w:cs="Arial"/>
                <w:color w:val="000000"/>
                <w:szCs w:val="16"/>
              </w:rPr>
              <w:t>808</w:t>
            </w:r>
          </w:p>
        </w:tc>
        <w:tc>
          <w:tcPr>
            <w:tcW w:w="1536" w:type="dxa"/>
            <w:vAlign w:val="center"/>
          </w:tcPr>
          <w:p w14:paraId="72C99E9B" w14:textId="39F8C2D8" w:rsidR="00997DF4" w:rsidRPr="008C41B1" w:rsidRDefault="00997DF4" w:rsidP="00997DF4">
            <w:pPr>
              <w:jc w:val="center"/>
              <w:rPr>
                <w:rFonts w:ascii="Arial" w:hAnsi="Arial" w:cs="Arial"/>
                <w:color w:val="000000"/>
                <w:szCs w:val="16"/>
              </w:rPr>
            </w:pPr>
            <w:r>
              <w:rPr>
                <w:rFonts w:ascii="Arial" w:hAnsi="Arial" w:cs="Arial"/>
                <w:color w:val="000000"/>
                <w:szCs w:val="16"/>
              </w:rPr>
              <w:t>658</w:t>
            </w:r>
          </w:p>
        </w:tc>
        <w:tc>
          <w:tcPr>
            <w:tcW w:w="1467" w:type="dxa"/>
            <w:vAlign w:val="center"/>
          </w:tcPr>
          <w:p w14:paraId="671CF827" w14:textId="7DFDCB6E" w:rsidR="00997DF4" w:rsidRPr="008C41B1" w:rsidRDefault="00997DF4" w:rsidP="00997DF4">
            <w:pPr>
              <w:jc w:val="center"/>
              <w:rPr>
                <w:rFonts w:ascii="Arial" w:hAnsi="Arial" w:cs="Arial"/>
                <w:color w:val="000000"/>
                <w:szCs w:val="16"/>
              </w:rPr>
            </w:pPr>
          </w:p>
        </w:tc>
      </w:tr>
    </w:tbl>
    <w:p w14:paraId="49AB138C" w14:textId="5D036D83" w:rsidR="00D02385" w:rsidRPr="007454AB" w:rsidRDefault="00121117" w:rsidP="008C41B1">
      <w:pPr>
        <w:rPr>
          <w:rFonts w:ascii="Arial" w:hAnsi="Arial" w:cs="Arial"/>
          <w:i/>
          <w:iCs/>
          <w:sz w:val="18"/>
          <w:szCs w:val="18"/>
        </w:rPr>
      </w:pPr>
      <w:r w:rsidRPr="007454AB">
        <w:rPr>
          <w:rFonts w:ascii="Arial" w:hAnsi="Arial" w:cs="Arial"/>
          <w:i/>
          <w:iCs/>
          <w:sz w:val="18"/>
          <w:szCs w:val="18"/>
        </w:rPr>
        <w:t>Under WIOA, VR program p</w:t>
      </w:r>
      <w:r w:rsidR="00FF26CD" w:rsidRPr="007454AB">
        <w:rPr>
          <w:rFonts w:ascii="Arial" w:hAnsi="Arial" w:cs="Arial"/>
          <w:i/>
          <w:iCs/>
          <w:sz w:val="18"/>
          <w:szCs w:val="18"/>
        </w:rPr>
        <w:t xml:space="preserve">erformance </w:t>
      </w:r>
      <w:r w:rsidR="0053613D" w:rsidRPr="007454AB">
        <w:rPr>
          <w:rFonts w:ascii="Arial" w:hAnsi="Arial" w:cs="Arial"/>
          <w:i/>
          <w:iCs/>
          <w:sz w:val="18"/>
          <w:szCs w:val="18"/>
        </w:rPr>
        <w:t xml:space="preserve">reporting </w:t>
      </w:r>
      <w:r w:rsidR="00821FB9" w:rsidRPr="007454AB">
        <w:rPr>
          <w:rFonts w:ascii="Arial" w:hAnsi="Arial" w:cs="Arial"/>
          <w:i/>
          <w:iCs/>
          <w:sz w:val="18"/>
          <w:szCs w:val="18"/>
        </w:rPr>
        <w:t>shifted</w:t>
      </w:r>
      <w:r w:rsidR="0053613D" w:rsidRPr="007454AB">
        <w:rPr>
          <w:rFonts w:ascii="Arial" w:hAnsi="Arial" w:cs="Arial"/>
          <w:i/>
          <w:iCs/>
          <w:sz w:val="18"/>
          <w:szCs w:val="18"/>
        </w:rPr>
        <w:t xml:space="preserve"> from federal </w:t>
      </w:r>
      <w:r w:rsidR="00821FB9" w:rsidRPr="007454AB">
        <w:rPr>
          <w:rFonts w:ascii="Arial" w:hAnsi="Arial" w:cs="Arial"/>
          <w:i/>
          <w:iCs/>
          <w:sz w:val="18"/>
          <w:szCs w:val="18"/>
        </w:rPr>
        <w:t xml:space="preserve">fiscal </w:t>
      </w:r>
      <w:r w:rsidR="0053613D" w:rsidRPr="007454AB">
        <w:rPr>
          <w:rFonts w:ascii="Arial" w:hAnsi="Arial" w:cs="Arial"/>
          <w:i/>
          <w:iCs/>
          <w:sz w:val="18"/>
          <w:szCs w:val="18"/>
        </w:rPr>
        <w:t>year reporting (October 1 – September 30) to</w:t>
      </w:r>
      <w:r w:rsidR="00574621" w:rsidRPr="007454AB">
        <w:rPr>
          <w:rFonts w:ascii="Arial" w:hAnsi="Arial" w:cs="Arial"/>
          <w:i/>
          <w:iCs/>
          <w:sz w:val="18"/>
          <w:szCs w:val="18"/>
        </w:rPr>
        <w:t xml:space="preserve"> </w:t>
      </w:r>
      <w:r w:rsidR="00821FB9" w:rsidRPr="007454AB">
        <w:rPr>
          <w:rFonts w:ascii="Arial" w:hAnsi="Arial" w:cs="Arial"/>
          <w:i/>
          <w:iCs/>
          <w:sz w:val="18"/>
          <w:szCs w:val="18"/>
        </w:rPr>
        <w:t>program/state</w:t>
      </w:r>
      <w:r w:rsidR="00574621" w:rsidRPr="007454AB">
        <w:rPr>
          <w:rFonts w:ascii="Arial" w:hAnsi="Arial" w:cs="Arial"/>
          <w:i/>
          <w:iCs/>
          <w:sz w:val="18"/>
          <w:szCs w:val="18"/>
        </w:rPr>
        <w:t xml:space="preserve"> </w:t>
      </w:r>
      <w:r w:rsidR="0053613D" w:rsidRPr="007454AB">
        <w:rPr>
          <w:rFonts w:ascii="Arial" w:hAnsi="Arial" w:cs="Arial"/>
          <w:i/>
          <w:iCs/>
          <w:sz w:val="18"/>
          <w:szCs w:val="18"/>
        </w:rPr>
        <w:t>y</w:t>
      </w:r>
      <w:r w:rsidR="00574621" w:rsidRPr="007454AB">
        <w:rPr>
          <w:rFonts w:ascii="Arial" w:hAnsi="Arial" w:cs="Arial"/>
          <w:i/>
          <w:iCs/>
          <w:sz w:val="18"/>
          <w:szCs w:val="18"/>
        </w:rPr>
        <w:t xml:space="preserve">ear </w:t>
      </w:r>
      <w:r w:rsidR="0053613D" w:rsidRPr="007454AB">
        <w:rPr>
          <w:rFonts w:ascii="Arial" w:hAnsi="Arial" w:cs="Arial"/>
          <w:i/>
          <w:iCs/>
          <w:sz w:val="18"/>
          <w:szCs w:val="18"/>
        </w:rPr>
        <w:t xml:space="preserve">reporting </w:t>
      </w:r>
      <w:r w:rsidR="00574621" w:rsidRPr="007454AB">
        <w:rPr>
          <w:rFonts w:ascii="Arial" w:hAnsi="Arial" w:cs="Arial"/>
          <w:i/>
          <w:iCs/>
          <w:sz w:val="18"/>
          <w:szCs w:val="18"/>
        </w:rPr>
        <w:t>(July 1-June 30)</w:t>
      </w:r>
      <w:r w:rsidR="0037198D" w:rsidRPr="007454AB">
        <w:rPr>
          <w:rFonts w:ascii="Arial" w:hAnsi="Arial" w:cs="Arial"/>
          <w:i/>
          <w:iCs/>
          <w:sz w:val="18"/>
          <w:szCs w:val="18"/>
        </w:rPr>
        <w:t xml:space="preserve"> as of</w:t>
      </w:r>
      <w:r w:rsidR="0053613D" w:rsidRPr="007454AB">
        <w:rPr>
          <w:rFonts w:ascii="Arial" w:hAnsi="Arial" w:cs="Arial"/>
          <w:i/>
          <w:iCs/>
          <w:sz w:val="18"/>
          <w:szCs w:val="18"/>
        </w:rPr>
        <w:t xml:space="preserve"> FY2019</w:t>
      </w:r>
      <w:r w:rsidR="0037198D" w:rsidRPr="007454AB">
        <w:rPr>
          <w:rFonts w:ascii="Arial" w:hAnsi="Arial" w:cs="Arial"/>
          <w:i/>
          <w:iCs/>
          <w:sz w:val="18"/>
          <w:szCs w:val="18"/>
        </w:rPr>
        <w:t xml:space="preserve">.  </w:t>
      </w:r>
      <w:r w:rsidR="0053613D" w:rsidRPr="007454AB">
        <w:rPr>
          <w:rFonts w:ascii="Arial" w:hAnsi="Arial" w:cs="Arial"/>
          <w:i/>
          <w:iCs/>
          <w:sz w:val="18"/>
          <w:szCs w:val="18"/>
        </w:rPr>
        <w:t xml:space="preserve"> </w:t>
      </w:r>
      <w:r w:rsidR="008C1FE1" w:rsidRPr="007454AB">
        <w:rPr>
          <w:rFonts w:ascii="Arial" w:hAnsi="Arial" w:cs="Arial"/>
          <w:i/>
          <w:iCs/>
          <w:sz w:val="18"/>
          <w:szCs w:val="18"/>
        </w:rPr>
        <w:t xml:space="preserve">FY2018 </w:t>
      </w:r>
      <w:r w:rsidR="0053613D" w:rsidRPr="007454AB">
        <w:rPr>
          <w:rFonts w:ascii="Arial" w:hAnsi="Arial" w:cs="Arial"/>
          <w:i/>
          <w:iCs/>
          <w:sz w:val="18"/>
          <w:szCs w:val="18"/>
        </w:rPr>
        <w:t xml:space="preserve">performance data is based on federal </w:t>
      </w:r>
      <w:r w:rsidR="00821FB9" w:rsidRPr="007454AB">
        <w:rPr>
          <w:rFonts w:ascii="Arial" w:hAnsi="Arial" w:cs="Arial"/>
          <w:i/>
          <w:iCs/>
          <w:sz w:val="18"/>
          <w:szCs w:val="18"/>
        </w:rPr>
        <w:t xml:space="preserve">fiscal </w:t>
      </w:r>
      <w:r w:rsidR="0053613D" w:rsidRPr="007454AB">
        <w:rPr>
          <w:rFonts w:ascii="Arial" w:hAnsi="Arial" w:cs="Arial"/>
          <w:i/>
          <w:iCs/>
          <w:sz w:val="18"/>
          <w:szCs w:val="18"/>
        </w:rPr>
        <w:t>year timeframe.</w:t>
      </w:r>
    </w:p>
    <w:p w14:paraId="63081573" w14:textId="77777777" w:rsidR="00D71721" w:rsidRPr="007454AB" w:rsidRDefault="00D71721" w:rsidP="008C41B1">
      <w:pPr>
        <w:rPr>
          <w:rFonts w:ascii="Arial" w:hAnsi="Arial" w:cs="Arial"/>
          <w:i/>
          <w:iCs/>
          <w:sz w:val="18"/>
          <w:szCs w:val="18"/>
        </w:rPr>
      </w:pPr>
      <w:bookmarkStart w:id="4" w:name="_Hlk45283122"/>
    </w:p>
    <w:p w14:paraId="720D0CB3" w14:textId="4D5A54C5" w:rsidR="005B2F10" w:rsidRPr="007454AB" w:rsidRDefault="005D7FF6" w:rsidP="008C41B1">
      <w:pPr>
        <w:rPr>
          <w:rFonts w:ascii="Arial" w:hAnsi="Arial" w:cs="Arial"/>
          <w:sz w:val="18"/>
          <w:szCs w:val="18"/>
        </w:rPr>
      </w:pPr>
      <w:r w:rsidRPr="007454AB">
        <w:rPr>
          <w:rFonts w:ascii="Arial" w:hAnsi="Arial" w:cs="Arial"/>
          <w:i/>
          <w:iCs/>
          <w:sz w:val="18"/>
          <w:szCs w:val="18"/>
        </w:rPr>
        <w:t xml:space="preserve">Beginning </w:t>
      </w:r>
      <w:r w:rsidR="0037198D" w:rsidRPr="007454AB">
        <w:rPr>
          <w:rFonts w:ascii="Arial" w:hAnsi="Arial" w:cs="Arial"/>
          <w:i/>
          <w:iCs/>
          <w:sz w:val="18"/>
          <w:szCs w:val="18"/>
        </w:rPr>
        <w:t>FY2020, t</w:t>
      </w:r>
      <w:r w:rsidR="00D02385" w:rsidRPr="007454AB">
        <w:rPr>
          <w:rFonts w:ascii="Arial" w:hAnsi="Arial" w:cs="Arial"/>
          <w:i/>
          <w:iCs/>
          <w:sz w:val="18"/>
          <w:szCs w:val="18"/>
        </w:rPr>
        <w:t xml:space="preserve">he definition of ‘individuals served’ changed to match the federal definition of </w:t>
      </w:r>
      <w:r w:rsidR="00D71721" w:rsidRPr="007454AB">
        <w:rPr>
          <w:rFonts w:ascii="Arial" w:hAnsi="Arial" w:cs="Arial"/>
          <w:i/>
          <w:iCs/>
          <w:sz w:val="18"/>
          <w:szCs w:val="18"/>
        </w:rPr>
        <w:t>‘</w:t>
      </w:r>
      <w:r w:rsidR="00D02385" w:rsidRPr="007454AB">
        <w:rPr>
          <w:rFonts w:ascii="Arial" w:hAnsi="Arial" w:cs="Arial"/>
          <w:i/>
          <w:iCs/>
          <w:sz w:val="18"/>
          <w:szCs w:val="18"/>
        </w:rPr>
        <w:t>participant</w:t>
      </w:r>
      <w:r w:rsidR="00B44AE7" w:rsidRPr="007454AB">
        <w:rPr>
          <w:rFonts w:ascii="Arial" w:hAnsi="Arial" w:cs="Arial"/>
          <w:i/>
          <w:iCs/>
          <w:sz w:val="18"/>
          <w:szCs w:val="18"/>
        </w:rPr>
        <w:t>s</w:t>
      </w:r>
      <w:r w:rsidR="00D02385" w:rsidRPr="007454AB">
        <w:rPr>
          <w:rFonts w:ascii="Arial" w:hAnsi="Arial" w:cs="Arial"/>
          <w:i/>
          <w:iCs/>
          <w:sz w:val="18"/>
          <w:szCs w:val="18"/>
        </w:rPr>
        <w:t xml:space="preserve"> served</w:t>
      </w:r>
      <w:r w:rsidR="00D71721" w:rsidRPr="007454AB">
        <w:rPr>
          <w:rFonts w:ascii="Arial" w:hAnsi="Arial" w:cs="Arial"/>
          <w:i/>
          <w:iCs/>
          <w:sz w:val="18"/>
          <w:szCs w:val="18"/>
        </w:rPr>
        <w:t xml:space="preserve">’: </w:t>
      </w:r>
      <w:r w:rsidR="00D02385" w:rsidRPr="007454AB">
        <w:rPr>
          <w:rFonts w:ascii="Arial" w:hAnsi="Arial" w:cs="Arial"/>
          <w:i/>
          <w:iCs/>
          <w:sz w:val="18"/>
          <w:szCs w:val="18"/>
        </w:rPr>
        <w:t xml:space="preserve"> Individuals who receive</w:t>
      </w:r>
      <w:r w:rsidR="005D3C50" w:rsidRPr="007454AB">
        <w:rPr>
          <w:rFonts w:ascii="Arial" w:hAnsi="Arial" w:cs="Arial"/>
          <w:i/>
          <w:iCs/>
          <w:sz w:val="18"/>
          <w:szCs w:val="18"/>
        </w:rPr>
        <w:t>d</w:t>
      </w:r>
      <w:r w:rsidR="00D02385" w:rsidRPr="007454AB">
        <w:rPr>
          <w:rFonts w:ascii="Arial" w:hAnsi="Arial" w:cs="Arial"/>
          <w:i/>
          <w:iCs/>
          <w:sz w:val="18"/>
          <w:szCs w:val="18"/>
        </w:rPr>
        <w:t xml:space="preserve"> at least one service under an Individualized Plan for Employment (IPE).  </w:t>
      </w:r>
      <w:r w:rsidR="00FF26CD" w:rsidRPr="007454AB">
        <w:rPr>
          <w:rFonts w:ascii="Arial" w:hAnsi="Arial" w:cs="Arial"/>
          <w:i/>
          <w:iCs/>
          <w:sz w:val="18"/>
          <w:szCs w:val="18"/>
        </w:rPr>
        <w:br/>
      </w:r>
    </w:p>
    <w:p w14:paraId="594509E7" w14:textId="33C5FBD1" w:rsidR="00791427" w:rsidRPr="007454AB" w:rsidRDefault="0037198D" w:rsidP="008C41B1">
      <w:pPr>
        <w:rPr>
          <w:rFonts w:ascii="Arial" w:hAnsi="Arial" w:cs="Arial"/>
          <w:sz w:val="18"/>
          <w:szCs w:val="18"/>
        </w:rPr>
      </w:pPr>
      <w:r w:rsidRPr="007454AB">
        <w:rPr>
          <w:rFonts w:ascii="Arial" w:hAnsi="Arial" w:cs="Arial"/>
          <w:sz w:val="18"/>
          <w:szCs w:val="18"/>
        </w:rPr>
        <w:t xml:space="preserve">COVID-19 has had a </w:t>
      </w:r>
      <w:r w:rsidR="00134765" w:rsidRPr="007454AB">
        <w:rPr>
          <w:rFonts w:ascii="Arial" w:hAnsi="Arial" w:cs="Arial"/>
          <w:sz w:val="18"/>
          <w:szCs w:val="18"/>
        </w:rPr>
        <w:t>considerable</w:t>
      </w:r>
      <w:r w:rsidRPr="007454AB">
        <w:rPr>
          <w:rFonts w:ascii="Arial" w:hAnsi="Arial" w:cs="Arial"/>
          <w:sz w:val="18"/>
          <w:szCs w:val="18"/>
        </w:rPr>
        <w:t xml:space="preserve"> impact on</w:t>
      </w:r>
      <w:r w:rsidR="00134765" w:rsidRPr="007454AB">
        <w:rPr>
          <w:rFonts w:ascii="Arial" w:hAnsi="Arial" w:cs="Arial"/>
          <w:sz w:val="18"/>
          <w:szCs w:val="18"/>
        </w:rPr>
        <w:t xml:space="preserve"> the Division’s performance</w:t>
      </w:r>
      <w:r w:rsidR="00563554" w:rsidRPr="007454AB">
        <w:rPr>
          <w:rFonts w:ascii="Arial" w:hAnsi="Arial" w:cs="Arial"/>
          <w:sz w:val="18"/>
          <w:szCs w:val="18"/>
        </w:rPr>
        <w:t>, specifically related to</w:t>
      </w:r>
      <w:r w:rsidR="00134765" w:rsidRPr="007454AB">
        <w:rPr>
          <w:rFonts w:ascii="Arial" w:hAnsi="Arial" w:cs="Arial"/>
          <w:sz w:val="18"/>
          <w:szCs w:val="18"/>
        </w:rPr>
        <w:t xml:space="preserve"> </w:t>
      </w:r>
      <w:r w:rsidRPr="007454AB">
        <w:rPr>
          <w:rFonts w:ascii="Arial" w:hAnsi="Arial" w:cs="Arial"/>
          <w:sz w:val="18"/>
          <w:szCs w:val="18"/>
        </w:rPr>
        <w:t xml:space="preserve">the </w:t>
      </w:r>
      <w:r w:rsidR="00134765" w:rsidRPr="007454AB">
        <w:rPr>
          <w:rFonts w:ascii="Arial" w:hAnsi="Arial" w:cs="Arial"/>
          <w:sz w:val="18"/>
          <w:szCs w:val="18"/>
        </w:rPr>
        <w:t>n</w:t>
      </w:r>
      <w:r w:rsidR="005B2F10" w:rsidRPr="007454AB">
        <w:rPr>
          <w:rFonts w:ascii="Arial" w:hAnsi="Arial" w:cs="Arial"/>
          <w:sz w:val="18"/>
          <w:szCs w:val="18"/>
        </w:rPr>
        <w:t xml:space="preserve">umber of </w:t>
      </w:r>
      <w:r w:rsidR="00134765" w:rsidRPr="007454AB">
        <w:rPr>
          <w:rFonts w:ascii="Arial" w:hAnsi="Arial" w:cs="Arial"/>
          <w:sz w:val="18"/>
          <w:szCs w:val="18"/>
        </w:rPr>
        <w:t>i</w:t>
      </w:r>
      <w:r w:rsidR="005B2F10" w:rsidRPr="007454AB">
        <w:rPr>
          <w:rFonts w:ascii="Arial" w:hAnsi="Arial" w:cs="Arial"/>
          <w:sz w:val="18"/>
          <w:szCs w:val="18"/>
        </w:rPr>
        <w:t xml:space="preserve">ndividuals </w:t>
      </w:r>
      <w:r w:rsidR="00134765" w:rsidRPr="007454AB">
        <w:rPr>
          <w:rFonts w:ascii="Arial" w:hAnsi="Arial" w:cs="Arial"/>
          <w:sz w:val="18"/>
          <w:szCs w:val="18"/>
        </w:rPr>
        <w:t>s</w:t>
      </w:r>
      <w:r w:rsidR="005B2F10" w:rsidRPr="007454AB">
        <w:rPr>
          <w:rFonts w:ascii="Arial" w:hAnsi="Arial" w:cs="Arial"/>
          <w:sz w:val="18"/>
          <w:szCs w:val="18"/>
        </w:rPr>
        <w:t xml:space="preserve">erved and the </w:t>
      </w:r>
      <w:r w:rsidR="00134765" w:rsidRPr="007454AB">
        <w:rPr>
          <w:rFonts w:ascii="Arial" w:hAnsi="Arial" w:cs="Arial"/>
          <w:sz w:val="18"/>
          <w:szCs w:val="18"/>
        </w:rPr>
        <w:t>n</w:t>
      </w:r>
      <w:r w:rsidRPr="007454AB">
        <w:rPr>
          <w:rFonts w:ascii="Arial" w:hAnsi="Arial" w:cs="Arial"/>
          <w:sz w:val="18"/>
          <w:szCs w:val="18"/>
        </w:rPr>
        <w:t xml:space="preserve">umber of </w:t>
      </w:r>
      <w:r w:rsidR="00134765" w:rsidRPr="007454AB">
        <w:rPr>
          <w:rFonts w:ascii="Arial" w:hAnsi="Arial" w:cs="Arial"/>
          <w:sz w:val="18"/>
          <w:szCs w:val="18"/>
        </w:rPr>
        <w:t>i</w:t>
      </w:r>
      <w:r w:rsidRPr="007454AB">
        <w:rPr>
          <w:rFonts w:ascii="Arial" w:hAnsi="Arial" w:cs="Arial"/>
          <w:sz w:val="18"/>
          <w:szCs w:val="18"/>
        </w:rPr>
        <w:t xml:space="preserve">ndividuals </w:t>
      </w:r>
      <w:r w:rsidR="00134765" w:rsidRPr="007454AB">
        <w:rPr>
          <w:rFonts w:ascii="Arial" w:hAnsi="Arial" w:cs="Arial"/>
          <w:sz w:val="18"/>
          <w:szCs w:val="18"/>
        </w:rPr>
        <w:t>w</w:t>
      </w:r>
      <w:r w:rsidRPr="007454AB">
        <w:rPr>
          <w:rFonts w:ascii="Arial" w:hAnsi="Arial" w:cs="Arial"/>
          <w:sz w:val="18"/>
          <w:szCs w:val="18"/>
        </w:rPr>
        <w:t>ho obtained employment</w:t>
      </w:r>
      <w:r w:rsidR="00134765" w:rsidRPr="007454AB">
        <w:rPr>
          <w:rFonts w:ascii="Arial" w:hAnsi="Arial" w:cs="Arial"/>
          <w:sz w:val="18"/>
          <w:szCs w:val="18"/>
        </w:rPr>
        <w:t xml:space="preserve">.  </w:t>
      </w:r>
      <w:r w:rsidR="00C83933" w:rsidRPr="007454AB">
        <w:rPr>
          <w:rFonts w:ascii="Arial" w:hAnsi="Arial" w:cs="Arial"/>
          <w:sz w:val="18"/>
          <w:szCs w:val="18"/>
        </w:rPr>
        <w:t>T</w:t>
      </w:r>
      <w:r w:rsidR="00134765" w:rsidRPr="007454AB">
        <w:rPr>
          <w:rFonts w:ascii="Arial" w:hAnsi="Arial" w:cs="Arial"/>
          <w:sz w:val="18"/>
          <w:szCs w:val="18"/>
        </w:rPr>
        <w:t>h</w:t>
      </w:r>
      <w:r w:rsidR="00C83933" w:rsidRPr="007454AB">
        <w:rPr>
          <w:rFonts w:ascii="Arial" w:hAnsi="Arial" w:cs="Arial"/>
          <w:sz w:val="18"/>
          <w:szCs w:val="18"/>
        </w:rPr>
        <w:t>e</w:t>
      </w:r>
      <w:r w:rsidR="00134765" w:rsidRPr="007454AB">
        <w:rPr>
          <w:rFonts w:ascii="Arial" w:hAnsi="Arial" w:cs="Arial"/>
          <w:sz w:val="18"/>
          <w:szCs w:val="18"/>
        </w:rPr>
        <w:t xml:space="preserve"> impact </w:t>
      </w:r>
      <w:r w:rsidRPr="007454AB">
        <w:rPr>
          <w:rFonts w:ascii="Arial" w:hAnsi="Arial" w:cs="Arial"/>
          <w:sz w:val="18"/>
          <w:szCs w:val="18"/>
        </w:rPr>
        <w:t>beg</w:t>
      </w:r>
      <w:r w:rsidR="00C83933" w:rsidRPr="007454AB">
        <w:rPr>
          <w:rFonts w:ascii="Arial" w:hAnsi="Arial" w:cs="Arial"/>
          <w:sz w:val="18"/>
          <w:szCs w:val="18"/>
        </w:rPr>
        <w:t>a</w:t>
      </w:r>
      <w:r w:rsidRPr="007454AB">
        <w:rPr>
          <w:rFonts w:ascii="Arial" w:hAnsi="Arial" w:cs="Arial"/>
          <w:sz w:val="18"/>
          <w:szCs w:val="18"/>
        </w:rPr>
        <w:t>n the 4</w:t>
      </w:r>
      <w:r w:rsidRPr="007454AB">
        <w:rPr>
          <w:rFonts w:ascii="Arial" w:hAnsi="Arial" w:cs="Arial"/>
          <w:sz w:val="18"/>
          <w:szCs w:val="18"/>
          <w:vertAlign w:val="superscript"/>
        </w:rPr>
        <w:t>th</w:t>
      </w:r>
      <w:r w:rsidRPr="007454AB">
        <w:rPr>
          <w:rFonts w:ascii="Arial" w:hAnsi="Arial" w:cs="Arial"/>
          <w:sz w:val="18"/>
          <w:szCs w:val="18"/>
        </w:rPr>
        <w:t xml:space="preserve"> quarter of FY2020</w:t>
      </w:r>
      <w:r w:rsidR="00C83933" w:rsidRPr="007454AB">
        <w:rPr>
          <w:rFonts w:ascii="Arial" w:hAnsi="Arial" w:cs="Arial"/>
          <w:sz w:val="18"/>
          <w:szCs w:val="18"/>
        </w:rPr>
        <w:t xml:space="preserve"> and is substantially</w:t>
      </w:r>
      <w:r w:rsidR="00134765" w:rsidRPr="007454AB">
        <w:rPr>
          <w:rFonts w:ascii="Arial" w:hAnsi="Arial" w:cs="Arial"/>
          <w:sz w:val="18"/>
          <w:szCs w:val="18"/>
        </w:rPr>
        <w:t xml:space="preserve"> more </w:t>
      </w:r>
      <w:r w:rsidR="00563554" w:rsidRPr="007454AB">
        <w:rPr>
          <w:rFonts w:ascii="Arial" w:hAnsi="Arial" w:cs="Arial"/>
          <w:sz w:val="18"/>
          <w:szCs w:val="18"/>
        </w:rPr>
        <w:t>evident</w:t>
      </w:r>
      <w:r w:rsidR="00134765" w:rsidRPr="007454AB">
        <w:rPr>
          <w:rFonts w:ascii="Arial" w:hAnsi="Arial" w:cs="Arial"/>
          <w:sz w:val="18"/>
          <w:szCs w:val="18"/>
        </w:rPr>
        <w:t xml:space="preserve"> in F</w:t>
      </w:r>
      <w:r w:rsidRPr="007454AB">
        <w:rPr>
          <w:rFonts w:ascii="Arial" w:hAnsi="Arial" w:cs="Arial"/>
          <w:sz w:val="18"/>
          <w:szCs w:val="18"/>
        </w:rPr>
        <w:t>Y2021</w:t>
      </w:r>
      <w:r w:rsidR="00134765" w:rsidRPr="007454AB">
        <w:rPr>
          <w:rFonts w:ascii="Arial" w:hAnsi="Arial" w:cs="Arial"/>
          <w:sz w:val="18"/>
          <w:szCs w:val="18"/>
        </w:rPr>
        <w:t xml:space="preserve"> data</w:t>
      </w:r>
      <w:r w:rsidR="008C4824" w:rsidRPr="007454AB">
        <w:rPr>
          <w:rFonts w:ascii="Arial" w:hAnsi="Arial" w:cs="Arial"/>
          <w:sz w:val="18"/>
          <w:szCs w:val="18"/>
        </w:rPr>
        <w:t xml:space="preserve"> as COVID restrictions </w:t>
      </w:r>
      <w:r w:rsidR="00F349DD" w:rsidRPr="007454AB">
        <w:rPr>
          <w:rFonts w:ascii="Arial" w:hAnsi="Arial" w:cs="Arial"/>
          <w:sz w:val="18"/>
          <w:szCs w:val="18"/>
        </w:rPr>
        <w:t>existed</w:t>
      </w:r>
      <w:r w:rsidR="008C4824" w:rsidRPr="007454AB">
        <w:rPr>
          <w:rFonts w:ascii="Arial" w:hAnsi="Arial" w:cs="Arial"/>
          <w:sz w:val="18"/>
          <w:szCs w:val="18"/>
        </w:rPr>
        <w:t xml:space="preserve"> </w:t>
      </w:r>
      <w:r w:rsidR="00F349DD" w:rsidRPr="007454AB">
        <w:rPr>
          <w:rFonts w:ascii="Arial" w:hAnsi="Arial" w:cs="Arial"/>
          <w:sz w:val="18"/>
          <w:szCs w:val="18"/>
        </w:rPr>
        <w:t>during</w:t>
      </w:r>
      <w:r w:rsidR="008C4824" w:rsidRPr="007454AB">
        <w:rPr>
          <w:rFonts w:ascii="Arial" w:hAnsi="Arial" w:cs="Arial"/>
          <w:sz w:val="18"/>
          <w:szCs w:val="18"/>
        </w:rPr>
        <w:t xml:space="preserve"> the entire performance year</w:t>
      </w:r>
      <w:r w:rsidRPr="007454AB">
        <w:rPr>
          <w:rFonts w:ascii="Arial" w:hAnsi="Arial" w:cs="Arial"/>
          <w:sz w:val="18"/>
          <w:szCs w:val="18"/>
        </w:rPr>
        <w:t xml:space="preserve">. </w:t>
      </w:r>
    </w:p>
    <w:p w14:paraId="7B31484E" w14:textId="77777777" w:rsidR="005B2F10" w:rsidRDefault="005B2F10" w:rsidP="008C41B1">
      <w:pPr>
        <w:rPr>
          <w:rFonts w:ascii="Arial" w:hAnsi="Arial" w:cs="Arial"/>
          <w:szCs w:val="28"/>
        </w:rPr>
      </w:pPr>
      <w:bookmarkStart w:id="5" w:name="_Hlk46991277"/>
    </w:p>
    <w:p w14:paraId="590FFBCE" w14:textId="77777777" w:rsidR="00BE0813" w:rsidRDefault="00BE0813" w:rsidP="003771F6">
      <w:pPr>
        <w:rPr>
          <w:rFonts w:ascii="Arial" w:hAnsi="Arial" w:cs="Arial"/>
          <w:b/>
        </w:rPr>
      </w:pPr>
      <w:bookmarkStart w:id="6" w:name="_Hlk11137127"/>
      <w:bookmarkStart w:id="7" w:name="_Hlk11134680"/>
      <w:bookmarkEnd w:id="4"/>
      <w:bookmarkEnd w:id="5"/>
    </w:p>
    <w:bookmarkEnd w:id="6"/>
    <w:p w14:paraId="08E1C872" w14:textId="6A3AAE21" w:rsidR="003B2672" w:rsidRDefault="003B2672" w:rsidP="008C41B1">
      <w:pPr>
        <w:rPr>
          <w:rFonts w:ascii="Arial" w:hAnsi="Arial" w:cs="Arial"/>
          <w:b/>
          <w:i/>
          <w:color w:val="FF0000"/>
        </w:rPr>
      </w:pPr>
      <w:r>
        <w:rPr>
          <w:rFonts w:ascii="Arial" w:hAnsi="Arial" w:cs="Arial"/>
          <w:b/>
          <w:bCs/>
        </w:rPr>
        <w:t>FY20</w:t>
      </w:r>
      <w:r w:rsidR="008E616F">
        <w:rPr>
          <w:rFonts w:ascii="Arial" w:hAnsi="Arial" w:cs="Arial"/>
          <w:b/>
          <w:bCs/>
        </w:rPr>
        <w:t>2</w:t>
      </w:r>
      <w:r w:rsidR="005B2F10">
        <w:rPr>
          <w:rFonts w:ascii="Arial" w:hAnsi="Arial" w:cs="Arial"/>
          <w:b/>
          <w:bCs/>
        </w:rPr>
        <w:t>1</w:t>
      </w:r>
      <w:r>
        <w:rPr>
          <w:rFonts w:ascii="Arial" w:hAnsi="Arial" w:cs="Arial"/>
          <w:b/>
          <w:bCs/>
        </w:rPr>
        <w:t xml:space="preserve"> Performance Highlights</w:t>
      </w:r>
      <w:bookmarkEnd w:id="7"/>
    </w:p>
    <w:p w14:paraId="42940CF0" w14:textId="77777777" w:rsidR="005944ED" w:rsidRDefault="005944ED" w:rsidP="00FD1B83">
      <w:pPr>
        <w:autoSpaceDE w:val="0"/>
        <w:autoSpaceDN w:val="0"/>
        <w:adjustRightInd w:val="0"/>
        <w:rPr>
          <w:rFonts w:ascii="Arial" w:hAnsi="Arial" w:cs="Arial"/>
          <w:color w:val="2D3439"/>
        </w:rPr>
      </w:pPr>
    </w:p>
    <w:p w14:paraId="67CF8C91" w14:textId="23C019FF" w:rsidR="00B44AE7" w:rsidRDefault="00356D8D" w:rsidP="00FD1B83">
      <w:pPr>
        <w:autoSpaceDE w:val="0"/>
        <w:autoSpaceDN w:val="0"/>
        <w:adjustRightInd w:val="0"/>
        <w:rPr>
          <w:rFonts w:ascii="Arial" w:hAnsi="Arial" w:cs="Arial"/>
          <w:color w:val="2D3439"/>
        </w:rPr>
      </w:pPr>
      <w:r w:rsidRPr="00FD1B83">
        <w:rPr>
          <w:rFonts w:ascii="Arial" w:hAnsi="Arial" w:cs="Arial"/>
          <w:color w:val="2D3439"/>
        </w:rPr>
        <w:t>The</w:t>
      </w:r>
      <w:r>
        <w:rPr>
          <w:rFonts w:ascii="Arial" w:hAnsi="Arial" w:cs="Arial"/>
          <w:color w:val="2D3439"/>
        </w:rPr>
        <w:t xml:space="preserve"> Division continues to transition with the changes required by the Workforce Innovation and Opportunity Act</w:t>
      </w:r>
      <w:r w:rsidR="0016323B">
        <w:rPr>
          <w:rFonts w:ascii="Arial" w:hAnsi="Arial" w:cs="Arial"/>
          <w:color w:val="2D3439"/>
        </w:rPr>
        <w:t xml:space="preserve"> (WIOA), including the transition to the </w:t>
      </w:r>
      <w:r w:rsidR="009F1DA6">
        <w:rPr>
          <w:rFonts w:ascii="Arial" w:hAnsi="Arial" w:cs="Arial"/>
          <w:color w:val="2D3439"/>
        </w:rPr>
        <w:t>C</w:t>
      </w:r>
      <w:r w:rsidR="0016323B">
        <w:rPr>
          <w:rFonts w:ascii="Arial" w:hAnsi="Arial" w:cs="Arial"/>
          <w:color w:val="2D3439"/>
        </w:rPr>
        <w:t xml:space="preserve">ommon </w:t>
      </w:r>
      <w:r w:rsidR="009F1DA6">
        <w:rPr>
          <w:rFonts w:ascii="Arial" w:hAnsi="Arial" w:cs="Arial"/>
          <w:color w:val="2D3439"/>
        </w:rPr>
        <w:t>P</w:t>
      </w:r>
      <w:r w:rsidR="0016323B">
        <w:rPr>
          <w:rFonts w:ascii="Arial" w:hAnsi="Arial" w:cs="Arial"/>
          <w:color w:val="2D3439"/>
        </w:rPr>
        <w:t xml:space="preserve">erformance </w:t>
      </w:r>
      <w:r w:rsidR="009F1DA6">
        <w:rPr>
          <w:rFonts w:ascii="Arial" w:hAnsi="Arial" w:cs="Arial"/>
          <w:color w:val="2D3439"/>
        </w:rPr>
        <w:t>M</w:t>
      </w:r>
      <w:r w:rsidR="0016323B">
        <w:rPr>
          <w:rFonts w:ascii="Arial" w:hAnsi="Arial" w:cs="Arial"/>
          <w:color w:val="2D3439"/>
        </w:rPr>
        <w:t>easures</w:t>
      </w:r>
      <w:r>
        <w:rPr>
          <w:rFonts w:ascii="Arial" w:hAnsi="Arial" w:cs="Arial"/>
          <w:color w:val="2D3439"/>
        </w:rPr>
        <w:t xml:space="preserve">.   </w:t>
      </w:r>
      <w:r w:rsidR="0016323B">
        <w:rPr>
          <w:rFonts w:ascii="Arial" w:hAnsi="Arial" w:cs="Arial"/>
          <w:color w:val="2D3439"/>
        </w:rPr>
        <w:t xml:space="preserve">The Division is collecting baseline data </w:t>
      </w:r>
      <w:r w:rsidR="003136C6">
        <w:rPr>
          <w:rFonts w:ascii="Arial" w:hAnsi="Arial" w:cs="Arial"/>
          <w:color w:val="2D3439"/>
        </w:rPr>
        <w:t xml:space="preserve">for four of the five performance measures and </w:t>
      </w:r>
      <w:r w:rsidR="0016323B">
        <w:rPr>
          <w:rFonts w:ascii="Arial" w:hAnsi="Arial" w:cs="Arial"/>
          <w:color w:val="2D3439"/>
        </w:rPr>
        <w:t xml:space="preserve">negotiated performance targets </w:t>
      </w:r>
      <w:r w:rsidR="009F1DA6">
        <w:rPr>
          <w:rFonts w:ascii="Arial" w:hAnsi="Arial" w:cs="Arial"/>
          <w:color w:val="2D3439"/>
        </w:rPr>
        <w:t xml:space="preserve">with Rehabilitation Services Administration (RSA) </w:t>
      </w:r>
      <w:r w:rsidR="0016323B">
        <w:rPr>
          <w:rFonts w:ascii="Arial" w:hAnsi="Arial" w:cs="Arial"/>
          <w:color w:val="2D3439"/>
        </w:rPr>
        <w:t xml:space="preserve">for </w:t>
      </w:r>
      <w:r w:rsidR="003136C6">
        <w:rPr>
          <w:rFonts w:ascii="Arial" w:hAnsi="Arial" w:cs="Arial"/>
          <w:color w:val="2D3439"/>
        </w:rPr>
        <w:t xml:space="preserve">one measure; </w:t>
      </w:r>
      <w:r w:rsidR="005B2F10">
        <w:rPr>
          <w:rFonts w:ascii="Arial" w:hAnsi="Arial" w:cs="Arial"/>
          <w:color w:val="2D3439"/>
        </w:rPr>
        <w:t>M</w:t>
      </w:r>
      <w:r w:rsidR="003136C6">
        <w:rPr>
          <w:rFonts w:ascii="Arial" w:hAnsi="Arial" w:cs="Arial"/>
          <w:color w:val="2D3439"/>
        </w:rPr>
        <w:t xml:space="preserve">easurable </w:t>
      </w:r>
      <w:r w:rsidR="005B2F10">
        <w:rPr>
          <w:rFonts w:ascii="Arial" w:hAnsi="Arial" w:cs="Arial"/>
          <w:color w:val="2D3439"/>
        </w:rPr>
        <w:t>S</w:t>
      </w:r>
      <w:r w:rsidR="003136C6">
        <w:rPr>
          <w:rFonts w:ascii="Arial" w:hAnsi="Arial" w:cs="Arial"/>
          <w:color w:val="2D3439"/>
        </w:rPr>
        <w:t xml:space="preserve">kill </w:t>
      </w:r>
      <w:r w:rsidR="005B2F10">
        <w:rPr>
          <w:rFonts w:ascii="Arial" w:hAnsi="Arial" w:cs="Arial"/>
          <w:color w:val="2D3439"/>
        </w:rPr>
        <w:t>G</w:t>
      </w:r>
      <w:r w:rsidR="003136C6">
        <w:rPr>
          <w:rFonts w:ascii="Arial" w:hAnsi="Arial" w:cs="Arial"/>
          <w:color w:val="2D3439"/>
        </w:rPr>
        <w:t xml:space="preserve">ains.  The </w:t>
      </w:r>
      <w:r w:rsidR="00B44AE7">
        <w:rPr>
          <w:rFonts w:ascii="Arial" w:hAnsi="Arial" w:cs="Arial"/>
          <w:color w:val="2D3439"/>
        </w:rPr>
        <w:t xml:space="preserve">negotiated </w:t>
      </w:r>
      <w:r w:rsidR="003136C6">
        <w:rPr>
          <w:rFonts w:ascii="Arial" w:hAnsi="Arial" w:cs="Arial"/>
          <w:color w:val="2D3439"/>
        </w:rPr>
        <w:t>target</w:t>
      </w:r>
      <w:r w:rsidR="0092122A">
        <w:rPr>
          <w:rFonts w:ascii="Arial" w:hAnsi="Arial" w:cs="Arial"/>
          <w:color w:val="2D3439"/>
        </w:rPr>
        <w:t>s</w:t>
      </w:r>
      <w:r w:rsidR="003136C6">
        <w:rPr>
          <w:rFonts w:ascii="Arial" w:hAnsi="Arial" w:cs="Arial"/>
          <w:color w:val="2D3439"/>
        </w:rPr>
        <w:t xml:space="preserve"> change year over year based upon prior year performance and application of the </w:t>
      </w:r>
      <w:r w:rsidR="005B2F10">
        <w:rPr>
          <w:rFonts w:ascii="Arial" w:hAnsi="Arial" w:cs="Arial"/>
          <w:color w:val="2D3439"/>
        </w:rPr>
        <w:t xml:space="preserve">federal </w:t>
      </w:r>
      <w:r w:rsidR="00B44AE7">
        <w:rPr>
          <w:rFonts w:ascii="Arial" w:hAnsi="Arial" w:cs="Arial"/>
          <w:color w:val="2D3439"/>
        </w:rPr>
        <w:t>Statistical Adjustment Module, used by the U.S. Departments of Labor and Education.</w:t>
      </w:r>
      <w:r w:rsidR="0016323B">
        <w:rPr>
          <w:rFonts w:ascii="Arial" w:hAnsi="Arial" w:cs="Arial"/>
          <w:color w:val="2D3439"/>
        </w:rPr>
        <w:t xml:space="preserve">  </w:t>
      </w:r>
    </w:p>
    <w:p w14:paraId="4D2F3921" w14:textId="77777777" w:rsidR="00B44AE7" w:rsidRDefault="00B44AE7" w:rsidP="00FD1B83">
      <w:pPr>
        <w:autoSpaceDE w:val="0"/>
        <w:autoSpaceDN w:val="0"/>
        <w:adjustRightInd w:val="0"/>
        <w:rPr>
          <w:rFonts w:ascii="Arial" w:hAnsi="Arial" w:cs="Arial"/>
          <w:color w:val="2D3439"/>
        </w:rPr>
      </w:pPr>
    </w:p>
    <w:p w14:paraId="421F9E66" w14:textId="71F5D76C" w:rsidR="003B553E" w:rsidRDefault="00B44AE7" w:rsidP="00FD1B83">
      <w:pPr>
        <w:autoSpaceDE w:val="0"/>
        <w:autoSpaceDN w:val="0"/>
        <w:adjustRightInd w:val="0"/>
        <w:rPr>
          <w:rFonts w:ascii="Arial" w:hAnsi="Arial" w:cs="Arial"/>
          <w:color w:val="2D3439"/>
        </w:rPr>
      </w:pPr>
      <w:r>
        <w:rPr>
          <w:rFonts w:ascii="Arial" w:hAnsi="Arial" w:cs="Arial"/>
          <w:color w:val="2D3439"/>
        </w:rPr>
        <w:t xml:space="preserve">Three of </w:t>
      </w:r>
      <w:r w:rsidR="005B2F10">
        <w:rPr>
          <w:rFonts w:ascii="Arial" w:hAnsi="Arial" w:cs="Arial"/>
          <w:color w:val="2D3439"/>
        </w:rPr>
        <w:t>Common P</w:t>
      </w:r>
      <w:r w:rsidR="0016323B">
        <w:rPr>
          <w:rFonts w:ascii="Arial" w:hAnsi="Arial" w:cs="Arial"/>
          <w:color w:val="2D3439"/>
        </w:rPr>
        <w:t xml:space="preserve">erformance </w:t>
      </w:r>
      <w:r w:rsidR="005B2F10">
        <w:rPr>
          <w:rFonts w:ascii="Arial" w:hAnsi="Arial" w:cs="Arial"/>
          <w:color w:val="2D3439"/>
        </w:rPr>
        <w:t>M</w:t>
      </w:r>
      <w:r w:rsidR="0016323B">
        <w:rPr>
          <w:rFonts w:ascii="Arial" w:hAnsi="Arial" w:cs="Arial"/>
          <w:color w:val="2D3439"/>
        </w:rPr>
        <w:t>easures are lagging indicators</w:t>
      </w:r>
      <w:r w:rsidR="005B2F10">
        <w:rPr>
          <w:rFonts w:ascii="Arial" w:hAnsi="Arial" w:cs="Arial"/>
          <w:color w:val="2D3439"/>
        </w:rPr>
        <w:t xml:space="preserve">, including </w:t>
      </w:r>
      <w:r w:rsidR="00BB24A5">
        <w:rPr>
          <w:rFonts w:ascii="Arial" w:hAnsi="Arial" w:cs="Arial"/>
          <w:color w:val="2D3439"/>
        </w:rPr>
        <w:t>M</w:t>
      </w:r>
      <w:r w:rsidR="009F1DA6">
        <w:rPr>
          <w:rFonts w:ascii="Arial" w:hAnsi="Arial" w:cs="Arial"/>
          <w:color w:val="2D3439"/>
        </w:rPr>
        <w:t xml:space="preserve">edian </w:t>
      </w:r>
      <w:r w:rsidR="00BB24A5">
        <w:rPr>
          <w:rFonts w:ascii="Arial" w:hAnsi="Arial" w:cs="Arial"/>
          <w:color w:val="2D3439"/>
        </w:rPr>
        <w:t>E</w:t>
      </w:r>
      <w:r w:rsidR="009F1DA6">
        <w:rPr>
          <w:rFonts w:ascii="Arial" w:hAnsi="Arial" w:cs="Arial"/>
          <w:color w:val="2D3439"/>
        </w:rPr>
        <w:t>arning</w:t>
      </w:r>
      <w:r w:rsidR="00FF4E37">
        <w:rPr>
          <w:rFonts w:ascii="Arial" w:hAnsi="Arial" w:cs="Arial"/>
          <w:color w:val="2D3439"/>
        </w:rPr>
        <w:t>s</w:t>
      </w:r>
      <w:r w:rsidR="009F1DA6">
        <w:rPr>
          <w:rFonts w:ascii="Arial" w:hAnsi="Arial" w:cs="Arial"/>
          <w:color w:val="2D3439"/>
        </w:rPr>
        <w:t xml:space="preserve"> 2nd</w:t>
      </w:r>
      <w:r w:rsidR="0016323B">
        <w:rPr>
          <w:rFonts w:ascii="Arial" w:hAnsi="Arial" w:cs="Arial"/>
          <w:color w:val="2D3439"/>
        </w:rPr>
        <w:t xml:space="preserve"> </w:t>
      </w:r>
      <w:r w:rsidR="00BB24A5">
        <w:rPr>
          <w:rFonts w:ascii="Arial" w:hAnsi="Arial" w:cs="Arial"/>
          <w:color w:val="2D3439"/>
        </w:rPr>
        <w:t>Q</w:t>
      </w:r>
      <w:r w:rsidR="0016323B">
        <w:rPr>
          <w:rFonts w:ascii="Arial" w:hAnsi="Arial" w:cs="Arial"/>
          <w:color w:val="2D3439"/>
        </w:rPr>
        <w:t xml:space="preserve">uarter </w:t>
      </w:r>
      <w:r w:rsidR="00BB24A5">
        <w:rPr>
          <w:rFonts w:ascii="Arial" w:hAnsi="Arial" w:cs="Arial"/>
          <w:color w:val="2D3439"/>
        </w:rPr>
        <w:t>A</w:t>
      </w:r>
      <w:r w:rsidR="0016323B">
        <w:rPr>
          <w:rFonts w:ascii="Arial" w:hAnsi="Arial" w:cs="Arial"/>
          <w:color w:val="2D3439"/>
        </w:rPr>
        <w:t xml:space="preserve">fter </w:t>
      </w:r>
      <w:r w:rsidR="00BB24A5">
        <w:rPr>
          <w:rFonts w:ascii="Arial" w:hAnsi="Arial" w:cs="Arial"/>
          <w:color w:val="2D3439"/>
        </w:rPr>
        <w:t>E</w:t>
      </w:r>
      <w:r w:rsidR="0016323B">
        <w:rPr>
          <w:rFonts w:ascii="Arial" w:hAnsi="Arial" w:cs="Arial"/>
          <w:color w:val="2D3439"/>
        </w:rPr>
        <w:t>xit</w:t>
      </w:r>
      <w:r>
        <w:rPr>
          <w:rFonts w:ascii="Arial" w:hAnsi="Arial" w:cs="Arial"/>
          <w:color w:val="2D3439"/>
        </w:rPr>
        <w:t>.  Targets for th</w:t>
      </w:r>
      <w:r w:rsidR="00A153C3">
        <w:rPr>
          <w:rFonts w:ascii="Arial" w:hAnsi="Arial" w:cs="Arial"/>
          <w:color w:val="2D3439"/>
        </w:rPr>
        <w:t xml:space="preserve">is </w:t>
      </w:r>
      <w:r>
        <w:rPr>
          <w:rFonts w:ascii="Arial" w:hAnsi="Arial" w:cs="Arial"/>
          <w:color w:val="2D3439"/>
        </w:rPr>
        <w:t xml:space="preserve">performance indicator will be negotiated </w:t>
      </w:r>
      <w:r w:rsidR="005B2F10">
        <w:rPr>
          <w:rFonts w:ascii="Arial" w:hAnsi="Arial" w:cs="Arial"/>
          <w:color w:val="2D3439"/>
        </w:rPr>
        <w:t xml:space="preserve">with RSA </w:t>
      </w:r>
      <w:r>
        <w:rPr>
          <w:rFonts w:ascii="Arial" w:hAnsi="Arial" w:cs="Arial"/>
          <w:color w:val="2D3439"/>
        </w:rPr>
        <w:t>June 2022</w:t>
      </w:r>
      <w:r w:rsidR="0016323B">
        <w:rPr>
          <w:rFonts w:ascii="Arial" w:hAnsi="Arial" w:cs="Arial"/>
          <w:color w:val="2D3439"/>
        </w:rPr>
        <w:t xml:space="preserve"> </w:t>
      </w:r>
      <w:r>
        <w:rPr>
          <w:rFonts w:ascii="Arial" w:hAnsi="Arial" w:cs="Arial"/>
          <w:color w:val="2D3439"/>
        </w:rPr>
        <w:t>for the following performance year.</w:t>
      </w:r>
      <w:r w:rsidR="0016323B">
        <w:rPr>
          <w:rFonts w:ascii="Arial" w:hAnsi="Arial" w:cs="Arial"/>
          <w:color w:val="2D3439"/>
        </w:rPr>
        <w:t xml:space="preserve"> </w:t>
      </w:r>
    </w:p>
    <w:p w14:paraId="442EFEE9" w14:textId="59F5FC9F" w:rsidR="003B553E" w:rsidRDefault="003B553E" w:rsidP="00FD1B83">
      <w:pPr>
        <w:autoSpaceDE w:val="0"/>
        <w:autoSpaceDN w:val="0"/>
        <w:adjustRightInd w:val="0"/>
        <w:rPr>
          <w:rFonts w:ascii="Arial" w:hAnsi="Arial" w:cs="Arial"/>
          <w:color w:val="2D3439"/>
        </w:rPr>
      </w:pPr>
    </w:p>
    <w:p w14:paraId="04440B0B" w14:textId="7D5E0214" w:rsidR="00B56A1E" w:rsidRDefault="00B56A1E" w:rsidP="009A0FAC">
      <w:pPr>
        <w:spacing w:after="60"/>
        <w:jc w:val="both"/>
        <w:outlineLvl w:val="0"/>
        <w:rPr>
          <w:rFonts w:ascii="Arial" w:hAnsi="Arial" w:cs="Arial"/>
          <w:b/>
          <w:i/>
          <w:color w:val="000080"/>
          <w:sz w:val="28"/>
          <w:szCs w:val="28"/>
        </w:rPr>
      </w:pPr>
    </w:p>
    <w:p w14:paraId="5C3EFE4F" w14:textId="6B4398A8" w:rsidR="00563554" w:rsidRDefault="00563554">
      <w:pPr>
        <w:rPr>
          <w:rFonts w:ascii="Arial" w:hAnsi="Arial" w:cs="Arial"/>
          <w:b/>
          <w:i/>
          <w:color w:val="000080"/>
          <w:sz w:val="28"/>
          <w:szCs w:val="28"/>
        </w:rPr>
      </w:pPr>
      <w:r>
        <w:rPr>
          <w:rFonts w:ascii="Arial" w:hAnsi="Arial" w:cs="Arial"/>
          <w:b/>
          <w:i/>
          <w:color w:val="000080"/>
          <w:sz w:val="28"/>
          <w:szCs w:val="28"/>
        </w:rPr>
        <w:br w:type="page"/>
      </w:r>
    </w:p>
    <w:p w14:paraId="66329E1C" w14:textId="78ED1106" w:rsidR="009A0FAC" w:rsidRDefault="009A0FAC" w:rsidP="009A0FAC">
      <w:pPr>
        <w:spacing w:after="6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3EE8874A" w14:textId="64387C15" w:rsidR="00096EFD" w:rsidRDefault="00096EFD" w:rsidP="0045075A">
      <w:pPr>
        <w:tabs>
          <w:tab w:val="left" w:pos="990"/>
        </w:tab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34"/>
        <w:gridCol w:w="1108"/>
        <w:gridCol w:w="137"/>
        <w:gridCol w:w="981"/>
        <w:gridCol w:w="184"/>
        <w:gridCol w:w="938"/>
        <w:gridCol w:w="141"/>
        <w:gridCol w:w="982"/>
        <w:gridCol w:w="214"/>
        <w:gridCol w:w="1037"/>
        <w:gridCol w:w="116"/>
        <w:gridCol w:w="998"/>
      </w:tblGrid>
      <w:tr w:rsidR="001019BB" w14:paraId="06B52230" w14:textId="77777777" w:rsidTr="00B22405">
        <w:trPr>
          <w:cantSplit/>
          <w:tblHeader/>
        </w:trPr>
        <w:tc>
          <w:tcPr>
            <w:tcW w:w="4342" w:type="dxa"/>
            <w:gridSpan w:val="2"/>
            <w:shd w:val="clear" w:color="auto" w:fill="000080"/>
            <w:vAlign w:val="bottom"/>
          </w:tcPr>
          <w:p w14:paraId="799B0A08" w14:textId="2A5C22F8" w:rsidR="004462AC" w:rsidRDefault="004462AC" w:rsidP="00EA265B">
            <w:pPr>
              <w:rPr>
                <w:rFonts w:ascii="Arial" w:hAnsi="Arial" w:cs="Arial"/>
                <w:b/>
                <w:bCs/>
                <w:color w:val="FFFFFF"/>
              </w:rPr>
            </w:pPr>
            <w:r>
              <w:rPr>
                <w:rFonts w:ascii="Arial" w:hAnsi="Arial" w:cs="Arial"/>
                <w:b/>
                <w:bCs/>
                <w:color w:val="FFFFFF"/>
              </w:rPr>
              <w:t>Performance Measure</w:t>
            </w:r>
            <w:r w:rsidR="00EE4DA4">
              <w:rPr>
                <w:rFonts w:ascii="Arial" w:hAnsi="Arial" w:cs="Arial"/>
                <w:b/>
                <w:bCs/>
                <w:color w:val="FFFFFF"/>
              </w:rPr>
              <w:t>s</w:t>
            </w:r>
          </w:p>
        </w:tc>
        <w:tc>
          <w:tcPr>
            <w:tcW w:w="1118" w:type="dxa"/>
            <w:gridSpan w:val="2"/>
            <w:shd w:val="clear" w:color="auto" w:fill="000080"/>
            <w:vAlign w:val="bottom"/>
          </w:tcPr>
          <w:p w14:paraId="4BDCC12D" w14:textId="7171A81A" w:rsidR="004462AC" w:rsidRDefault="00997DF4" w:rsidP="00191056">
            <w:pPr>
              <w:jc w:val="center"/>
              <w:rPr>
                <w:rFonts w:ascii="Arial" w:hAnsi="Arial" w:cs="Arial"/>
                <w:b/>
                <w:bCs/>
                <w:color w:val="FFFFFF"/>
              </w:rPr>
            </w:pPr>
            <w:r>
              <w:rPr>
                <w:rFonts w:ascii="Arial" w:hAnsi="Arial" w:cs="Arial"/>
                <w:b/>
                <w:bCs/>
                <w:color w:val="FFFFFF"/>
              </w:rPr>
              <w:t>FY 2019</w:t>
            </w:r>
          </w:p>
        </w:tc>
        <w:tc>
          <w:tcPr>
            <w:tcW w:w="1122" w:type="dxa"/>
            <w:gridSpan w:val="2"/>
            <w:shd w:val="clear" w:color="auto" w:fill="000080"/>
            <w:vAlign w:val="bottom"/>
          </w:tcPr>
          <w:p w14:paraId="6EEBC751" w14:textId="0AE1A135" w:rsidR="004462AC" w:rsidRDefault="00997DF4" w:rsidP="00191056">
            <w:pPr>
              <w:jc w:val="center"/>
              <w:rPr>
                <w:rFonts w:ascii="Arial" w:hAnsi="Arial" w:cs="Arial"/>
                <w:b/>
                <w:bCs/>
                <w:color w:val="FFFFFF"/>
              </w:rPr>
            </w:pPr>
            <w:r>
              <w:rPr>
                <w:rFonts w:ascii="Arial" w:hAnsi="Arial" w:cs="Arial"/>
                <w:b/>
                <w:bCs/>
                <w:color w:val="FFFFFF"/>
              </w:rPr>
              <w:t>FY 2020</w:t>
            </w:r>
          </w:p>
        </w:tc>
        <w:tc>
          <w:tcPr>
            <w:tcW w:w="1123" w:type="dxa"/>
            <w:gridSpan w:val="2"/>
            <w:shd w:val="clear" w:color="auto" w:fill="000080"/>
            <w:vAlign w:val="bottom"/>
          </w:tcPr>
          <w:p w14:paraId="664A64CF" w14:textId="38BB0F26" w:rsidR="004462AC" w:rsidRDefault="00997DF4" w:rsidP="00191056">
            <w:pPr>
              <w:jc w:val="center"/>
              <w:rPr>
                <w:rFonts w:ascii="Arial" w:hAnsi="Arial" w:cs="Arial"/>
                <w:b/>
                <w:bCs/>
                <w:color w:val="FFFFFF"/>
              </w:rPr>
            </w:pPr>
            <w:r>
              <w:rPr>
                <w:rFonts w:ascii="Arial" w:hAnsi="Arial" w:cs="Arial"/>
                <w:b/>
                <w:bCs/>
                <w:color w:val="FFFFFF"/>
              </w:rPr>
              <w:t>FY 2021</w:t>
            </w:r>
          </w:p>
        </w:tc>
        <w:tc>
          <w:tcPr>
            <w:tcW w:w="1251" w:type="dxa"/>
            <w:gridSpan w:val="2"/>
            <w:shd w:val="clear" w:color="auto" w:fill="000080"/>
            <w:vAlign w:val="bottom"/>
          </w:tcPr>
          <w:p w14:paraId="4F0A591A" w14:textId="35C5405C" w:rsidR="004462AC" w:rsidRDefault="00997DF4" w:rsidP="00191056">
            <w:pPr>
              <w:jc w:val="center"/>
              <w:rPr>
                <w:rFonts w:ascii="Arial" w:hAnsi="Arial" w:cs="Arial"/>
                <w:b/>
                <w:bCs/>
                <w:color w:val="FFFFFF"/>
              </w:rPr>
            </w:pPr>
            <w:r>
              <w:rPr>
                <w:rFonts w:ascii="Arial" w:hAnsi="Arial" w:cs="Arial"/>
                <w:b/>
                <w:bCs/>
                <w:color w:val="FFFFFF"/>
              </w:rPr>
              <w:t>FY 2022</w:t>
            </w:r>
          </w:p>
        </w:tc>
        <w:tc>
          <w:tcPr>
            <w:tcW w:w="1114" w:type="dxa"/>
            <w:gridSpan w:val="2"/>
            <w:shd w:val="clear" w:color="auto" w:fill="000080"/>
            <w:vAlign w:val="bottom"/>
          </w:tcPr>
          <w:p w14:paraId="5B09169B" w14:textId="0DA28458" w:rsidR="004462AC" w:rsidRDefault="00997DF4" w:rsidP="00191056">
            <w:pPr>
              <w:jc w:val="center"/>
              <w:rPr>
                <w:rFonts w:ascii="Arial" w:hAnsi="Arial" w:cs="Arial"/>
                <w:b/>
                <w:bCs/>
                <w:color w:val="FFFFFF"/>
              </w:rPr>
            </w:pPr>
            <w:r>
              <w:rPr>
                <w:rFonts w:ascii="Arial" w:hAnsi="Arial" w:cs="Arial"/>
                <w:b/>
                <w:bCs/>
                <w:color w:val="FFFFFF"/>
              </w:rPr>
              <w:t>FY 2023</w:t>
            </w:r>
          </w:p>
        </w:tc>
      </w:tr>
      <w:tr w:rsidR="004462AC" w14:paraId="6D0151CF" w14:textId="77777777" w:rsidTr="005353BF">
        <w:trPr>
          <w:cantSplit/>
          <w:trHeight w:val="773"/>
        </w:trPr>
        <w:tc>
          <w:tcPr>
            <w:tcW w:w="10070" w:type="dxa"/>
            <w:gridSpan w:val="12"/>
            <w:shd w:val="clear" w:color="auto" w:fill="DBE5F1" w:themeFill="accent1" w:themeFillTint="33"/>
            <w:vAlign w:val="center"/>
          </w:tcPr>
          <w:p w14:paraId="6DED31CC" w14:textId="77777777" w:rsidR="004462AC" w:rsidRPr="008D6EBA" w:rsidRDefault="004462AC" w:rsidP="00191056">
            <w:pPr>
              <w:jc w:val="center"/>
              <w:rPr>
                <w:rFonts w:ascii="Arial" w:hAnsi="Arial" w:cs="Arial"/>
                <w:b/>
              </w:rPr>
            </w:pPr>
            <w:r>
              <w:rPr>
                <w:rFonts w:ascii="Arial" w:hAnsi="Arial" w:cs="Arial"/>
                <w:b/>
              </w:rPr>
              <w:t>Goal</w:t>
            </w:r>
            <w:r w:rsidRPr="008D6EBA">
              <w:rPr>
                <w:rFonts w:ascii="Arial" w:hAnsi="Arial" w:cs="Arial"/>
                <w:b/>
              </w:rPr>
              <w:t xml:space="preserve"> 1</w:t>
            </w:r>
          </w:p>
          <w:p w14:paraId="3F9C5F50" w14:textId="4DF54008" w:rsidR="004462AC" w:rsidRPr="0045075A" w:rsidRDefault="0053613D" w:rsidP="00E16C0D">
            <w:pPr>
              <w:jc w:val="center"/>
              <w:rPr>
                <w:rFonts w:ascii="Arial" w:hAnsi="Arial" w:cs="Arial"/>
                <w:i/>
              </w:rPr>
            </w:pPr>
            <w:r>
              <w:rPr>
                <w:rFonts w:ascii="Arial" w:hAnsi="Arial" w:cs="Arial"/>
                <w:i/>
              </w:rPr>
              <w:t>Provide quality, relevant, individualized vocational rehabilitation services to individuals with disabilities to maximize their career potential.</w:t>
            </w:r>
          </w:p>
        </w:tc>
      </w:tr>
      <w:tr w:rsidR="00997DF4" w14:paraId="385A2B42" w14:textId="77777777" w:rsidTr="00EA066F">
        <w:trPr>
          <w:cantSplit/>
          <w:trHeight w:val="288"/>
        </w:trPr>
        <w:tc>
          <w:tcPr>
            <w:tcW w:w="3234" w:type="dxa"/>
            <w:vMerge w:val="restart"/>
          </w:tcPr>
          <w:p w14:paraId="58248CCF" w14:textId="7F564C3B" w:rsidR="00997DF4" w:rsidRPr="00FD1B83" w:rsidRDefault="00997DF4" w:rsidP="00997DF4">
            <w:pPr>
              <w:pStyle w:val="ListParagraph"/>
              <w:numPr>
                <w:ilvl w:val="0"/>
                <w:numId w:val="18"/>
              </w:numPr>
              <w:rPr>
                <w:rFonts w:ascii="Arial" w:hAnsi="Arial" w:cs="Arial"/>
                <w:bCs/>
              </w:rPr>
            </w:pPr>
            <w:r w:rsidRPr="00FD1B83">
              <w:rPr>
                <w:rFonts w:ascii="Arial" w:hAnsi="Arial" w:cs="Arial"/>
                <w:color w:val="000000"/>
              </w:rPr>
              <w:t>Number of students receiving Pre-employment Transition Services (Pre-ETS)</w:t>
            </w:r>
          </w:p>
          <w:p w14:paraId="09535044" w14:textId="77777777" w:rsidR="00997DF4" w:rsidRDefault="00997DF4" w:rsidP="00997DF4">
            <w:pPr>
              <w:ind w:left="360"/>
              <w:rPr>
                <w:rFonts w:ascii="Arial" w:hAnsi="Arial" w:cs="Arial"/>
              </w:rPr>
            </w:pPr>
            <w:r w:rsidRPr="00FD1B83">
              <w:rPr>
                <w:rFonts w:ascii="Arial" w:hAnsi="Arial" w:cs="Arial"/>
              </w:rPr>
              <w:t>Goal 1 Objective 1</w:t>
            </w:r>
          </w:p>
          <w:p w14:paraId="0EA95EF5" w14:textId="6F698774" w:rsidR="00997DF4" w:rsidRPr="00FD1B83" w:rsidRDefault="00997DF4" w:rsidP="00997DF4">
            <w:pPr>
              <w:rPr>
                <w:rFonts w:ascii="Arial" w:hAnsi="Arial" w:cs="Arial"/>
                <w:bCs/>
              </w:rPr>
            </w:pPr>
          </w:p>
        </w:tc>
        <w:tc>
          <w:tcPr>
            <w:tcW w:w="1245" w:type="dxa"/>
            <w:gridSpan w:val="2"/>
            <w:shd w:val="clear" w:color="auto" w:fill="D9D9D9" w:themeFill="background1" w:themeFillShade="D9"/>
            <w:vAlign w:val="center"/>
          </w:tcPr>
          <w:p w14:paraId="12AC9D5F" w14:textId="77777777" w:rsidR="00997DF4" w:rsidRPr="00E51672" w:rsidRDefault="00997DF4" w:rsidP="00997DF4">
            <w:pPr>
              <w:jc w:val="center"/>
              <w:rPr>
                <w:rFonts w:ascii="Arial" w:hAnsi="Arial" w:cs="Arial"/>
              </w:rPr>
            </w:pPr>
            <w:r w:rsidRPr="00E51672">
              <w:rPr>
                <w:rFonts w:ascii="Arial" w:hAnsi="Arial" w:cs="Arial"/>
              </w:rPr>
              <w:t>actual</w:t>
            </w:r>
          </w:p>
        </w:tc>
        <w:tc>
          <w:tcPr>
            <w:tcW w:w="1165" w:type="dxa"/>
            <w:gridSpan w:val="2"/>
            <w:shd w:val="clear" w:color="auto" w:fill="D9D9D9" w:themeFill="background1" w:themeFillShade="D9"/>
            <w:vAlign w:val="center"/>
          </w:tcPr>
          <w:p w14:paraId="031DFA1E" w14:textId="24EAF502" w:rsidR="00997DF4" w:rsidRPr="008C41B1" w:rsidRDefault="00997DF4" w:rsidP="00997DF4">
            <w:pPr>
              <w:widowControl w:val="0"/>
              <w:tabs>
                <w:tab w:val="left" w:pos="360"/>
                <w:tab w:val="left" w:pos="810"/>
              </w:tabs>
              <w:autoSpaceDE w:val="0"/>
              <w:autoSpaceDN w:val="0"/>
              <w:adjustRightInd w:val="0"/>
              <w:jc w:val="center"/>
              <w:rPr>
                <w:rFonts w:ascii="Arial" w:hAnsi="Arial" w:cs="Arial"/>
              </w:rPr>
            </w:pPr>
            <w:r>
              <w:rPr>
                <w:rFonts w:ascii="Arial" w:hAnsi="Arial" w:cs="Arial"/>
              </w:rPr>
              <w:t>947</w:t>
            </w:r>
          </w:p>
        </w:tc>
        <w:tc>
          <w:tcPr>
            <w:tcW w:w="1079" w:type="dxa"/>
            <w:gridSpan w:val="2"/>
            <w:shd w:val="clear" w:color="auto" w:fill="D9D9D9" w:themeFill="background1" w:themeFillShade="D9"/>
            <w:vAlign w:val="center"/>
          </w:tcPr>
          <w:p w14:paraId="3010F1A5" w14:textId="64C61A87" w:rsidR="00997DF4" w:rsidRPr="008C41B1" w:rsidRDefault="00997DF4" w:rsidP="00997DF4">
            <w:pPr>
              <w:widowControl w:val="0"/>
              <w:tabs>
                <w:tab w:val="left" w:pos="360"/>
                <w:tab w:val="left" w:pos="810"/>
              </w:tabs>
              <w:autoSpaceDE w:val="0"/>
              <w:autoSpaceDN w:val="0"/>
              <w:adjustRightInd w:val="0"/>
              <w:jc w:val="center"/>
              <w:rPr>
                <w:rFonts w:ascii="Arial" w:hAnsi="Arial" w:cs="Arial"/>
              </w:rPr>
            </w:pPr>
            <w:r>
              <w:rPr>
                <w:rFonts w:ascii="Arial" w:hAnsi="Arial" w:cs="Arial"/>
              </w:rPr>
              <w:t>*</w:t>
            </w:r>
            <w:r w:rsidRPr="00E72FE2">
              <w:rPr>
                <w:rFonts w:ascii="Arial" w:hAnsi="Arial" w:cs="Arial"/>
              </w:rPr>
              <w:t>1027</w:t>
            </w:r>
          </w:p>
        </w:tc>
        <w:tc>
          <w:tcPr>
            <w:tcW w:w="1196" w:type="dxa"/>
            <w:gridSpan w:val="2"/>
            <w:shd w:val="clear" w:color="auto" w:fill="D9D9D9" w:themeFill="background1" w:themeFillShade="D9"/>
            <w:vAlign w:val="center"/>
          </w:tcPr>
          <w:p w14:paraId="151308E2" w14:textId="1EF48DDA" w:rsidR="00997DF4" w:rsidRPr="008C41B1" w:rsidRDefault="00997DF4" w:rsidP="00997DF4">
            <w:pPr>
              <w:widowControl w:val="0"/>
              <w:tabs>
                <w:tab w:val="left" w:pos="360"/>
                <w:tab w:val="left" w:pos="810"/>
              </w:tabs>
              <w:autoSpaceDE w:val="0"/>
              <w:autoSpaceDN w:val="0"/>
              <w:adjustRightInd w:val="0"/>
              <w:jc w:val="center"/>
              <w:rPr>
                <w:rFonts w:ascii="Arial" w:hAnsi="Arial" w:cs="Arial"/>
              </w:rPr>
            </w:pPr>
            <w:r>
              <w:rPr>
                <w:rFonts w:ascii="Arial" w:hAnsi="Arial" w:cs="Arial"/>
              </w:rPr>
              <w:t>*1216</w:t>
            </w:r>
          </w:p>
        </w:tc>
        <w:tc>
          <w:tcPr>
            <w:tcW w:w="1153" w:type="dxa"/>
            <w:gridSpan w:val="2"/>
            <w:shd w:val="clear" w:color="auto" w:fill="D9D9D9" w:themeFill="background1" w:themeFillShade="D9"/>
            <w:vAlign w:val="center"/>
          </w:tcPr>
          <w:p w14:paraId="16488A97" w14:textId="00420416" w:rsidR="00997DF4" w:rsidRPr="00E51672" w:rsidRDefault="00997DF4" w:rsidP="00997DF4">
            <w:pPr>
              <w:jc w:val="center"/>
              <w:rPr>
                <w:rFonts w:ascii="Arial" w:hAnsi="Arial" w:cs="Arial"/>
              </w:rPr>
            </w:pPr>
          </w:p>
        </w:tc>
        <w:tc>
          <w:tcPr>
            <w:tcW w:w="998" w:type="dxa"/>
            <w:shd w:val="clear" w:color="auto" w:fill="D9D9D9" w:themeFill="background1" w:themeFillShade="D9"/>
            <w:vAlign w:val="center"/>
          </w:tcPr>
          <w:p w14:paraId="77F97714" w14:textId="70BAFABF" w:rsidR="00997DF4" w:rsidRPr="00E51672" w:rsidRDefault="00997DF4" w:rsidP="00997DF4">
            <w:pPr>
              <w:jc w:val="center"/>
              <w:rPr>
                <w:rFonts w:ascii="Arial" w:hAnsi="Arial" w:cs="Arial"/>
              </w:rPr>
            </w:pPr>
          </w:p>
        </w:tc>
      </w:tr>
      <w:tr w:rsidR="00997DF4" w14:paraId="09426083" w14:textId="77777777" w:rsidTr="00EA066F">
        <w:trPr>
          <w:cantSplit/>
          <w:trHeight w:val="288"/>
        </w:trPr>
        <w:tc>
          <w:tcPr>
            <w:tcW w:w="3234" w:type="dxa"/>
            <w:vMerge/>
          </w:tcPr>
          <w:p w14:paraId="763A5984" w14:textId="77777777" w:rsidR="00997DF4" w:rsidRPr="00646DA1" w:rsidRDefault="00997DF4" w:rsidP="00997DF4">
            <w:pPr>
              <w:pStyle w:val="ListParagraph"/>
              <w:numPr>
                <w:ilvl w:val="0"/>
                <w:numId w:val="10"/>
              </w:numPr>
              <w:tabs>
                <w:tab w:val="left" w:pos="2985"/>
              </w:tabs>
              <w:ind w:left="342"/>
              <w:rPr>
                <w:rFonts w:ascii="Arial" w:hAnsi="Arial" w:cs="Arial"/>
              </w:rPr>
            </w:pPr>
          </w:p>
        </w:tc>
        <w:tc>
          <w:tcPr>
            <w:tcW w:w="1245" w:type="dxa"/>
            <w:gridSpan w:val="2"/>
            <w:shd w:val="clear" w:color="auto" w:fill="FFFFFF" w:themeFill="background1"/>
            <w:vAlign w:val="center"/>
          </w:tcPr>
          <w:p w14:paraId="3789154A" w14:textId="5C415876" w:rsidR="00997DF4" w:rsidRPr="007454AB" w:rsidRDefault="00997DF4" w:rsidP="00997DF4">
            <w:pPr>
              <w:jc w:val="center"/>
              <w:rPr>
                <w:rFonts w:ascii="Arial" w:hAnsi="Arial" w:cs="Arial"/>
                <w:i/>
              </w:rPr>
            </w:pPr>
            <w:r w:rsidRPr="007454AB">
              <w:rPr>
                <w:rFonts w:ascii="Arial" w:hAnsi="Arial" w:cs="Arial"/>
                <w:i/>
              </w:rPr>
              <w:t>target</w:t>
            </w:r>
          </w:p>
        </w:tc>
        <w:tc>
          <w:tcPr>
            <w:tcW w:w="1165" w:type="dxa"/>
            <w:gridSpan w:val="2"/>
            <w:shd w:val="clear" w:color="auto" w:fill="FFFFFF" w:themeFill="background1"/>
            <w:vAlign w:val="center"/>
          </w:tcPr>
          <w:p w14:paraId="210286EF" w14:textId="4799C627" w:rsidR="00997DF4" w:rsidRPr="007454AB" w:rsidRDefault="00997DF4" w:rsidP="00997DF4">
            <w:pPr>
              <w:jc w:val="center"/>
              <w:rPr>
                <w:rFonts w:ascii="Arial" w:hAnsi="Arial" w:cs="Arial"/>
                <w:i/>
              </w:rPr>
            </w:pPr>
            <w:r w:rsidRPr="007454AB">
              <w:rPr>
                <w:rFonts w:ascii="Arial" w:hAnsi="Arial" w:cs="Arial"/>
                <w:u w:val="single"/>
              </w:rPr>
              <w:t>&gt;</w:t>
            </w:r>
            <w:r w:rsidRPr="007454AB">
              <w:rPr>
                <w:rFonts w:ascii="Arial" w:hAnsi="Arial" w:cs="Arial"/>
              </w:rPr>
              <w:t xml:space="preserve"> 1,180</w:t>
            </w:r>
          </w:p>
        </w:tc>
        <w:tc>
          <w:tcPr>
            <w:tcW w:w="1079" w:type="dxa"/>
            <w:gridSpan w:val="2"/>
            <w:shd w:val="clear" w:color="auto" w:fill="FFFFFF" w:themeFill="background1"/>
            <w:vAlign w:val="center"/>
          </w:tcPr>
          <w:p w14:paraId="78FF4A80" w14:textId="715390DE" w:rsidR="00997DF4" w:rsidRPr="007454AB" w:rsidRDefault="00997DF4" w:rsidP="00997DF4">
            <w:pPr>
              <w:jc w:val="center"/>
              <w:rPr>
                <w:rFonts w:ascii="Arial" w:hAnsi="Arial" w:cs="Arial"/>
                <w:i/>
              </w:rPr>
            </w:pPr>
            <w:r w:rsidRPr="007454AB">
              <w:rPr>
                <w:rFonts w:ascii="Arial" w:hAnsi="Arial" w:cs="Arial"/>
                <w:u w:val="single"/>
              </w:rPr>
              <w:t>&gt;</w:t>
            </w:r>
            <w:r w:rsidRPr="007454AB">
              <w:rPr>
                <w:rFonts w:ascii="Arial" w:hAnsi="Arial" w:cs="Arial"/>
              </w:rPr>
              <w:t xml:space="preserve"> 947</w:t>
            </w:r>
          </w:p>
        </w:tc>
        <w:tc>
          <w:tcPr>
            <w:tcW w:w="1196" w:type="dxa"/>
            <w:gridSpan w:val="2"/>
            <w:shd w:val="clear" w:color="auto" w:fill="FFFFFF" w:themeFill="background1"/>
            <w:vAlign w:val="center"/>
          </w:tcPr>
          <w:p w14:paraId="74D9FBDF" w14:textId="2DE99886" w:rsidR="00997DF4" w:rsidRPr="007454AB" w:rsidRDefault="00997DF4" w:rsidP="00997DF4">
            <w:pPr>
              <w:jc w:val="center"/>
              <w:rPr>
                <w:rFonts w:ascii="Arial" w:hAnsi="Arial" w:cs="Arial"/>
                <w:i/>
              </w:rPr>
            </w:pPr>
            <w:r w:rsidRPr="007454AB">
              <w:rPr>
                <w:rFonts w:ascii="Arial" w:hAnsi="Arial" w:cs="Arial"/>
                <w:u w:val="single"/>
              </w:rPr>
              <w:t>&gt;</w:t>
            </w:r>
            <w:r w:rsidRPr="007454AB">
              <w:rPr>
                <w:rFonts w:ascii="Arial" w:hAnsi="Arial" w:cs="Arial"/>
              </w:rPr>
              <w:t xml:space="preserve"> 1027</w:t>
            </w:r>
          </w:p>
        </w:tc>
        <w:tc>
          <w:tcPr>
            <w:tcW w:w="1153" w:type="dxa"/>
            <w:gridSpan w:val="2"/>
            <w:shd w:val="clear" w:color="auto" w:fill="FFFFFF" w:themeFill="background1"/>
            <w:vAlign w:val="center"/>
          </w:tcPr>
          <w:p w14:paraId="69A07F16" w14:textId="758D1A87" w:rsidR="00997DF4" w:rsidRPr="007454AB" w:rsidRDefault="00997DF4" w:rsidP="00997DF4">
            <w:pPr>
              <w:jc w:val="center"/>
              <w:rPr>
                <w:rFonts w:ascii="Arial" w:hAnsi="Arial" w:cs="Arial"/>
                <w:i/>
              </w:rPr>
            </w:pPr>
            <w:r w:rsidRPr="007454AB">
              <w:rPr>
                <w:rFonts w:ascii="Arial" w:hAnsi="Arial" w:cs="Arial"/>
                <w:u w:val="single"/>
              </w:rPr>
              <w:t>&gt;1216</w:t>
            </w:r>
          </w:p>
        </w:tc>
        <w:tc>
          <w:tcPr>
            <w:tcW w:w="998" w:type="dxa"/>
            <w:shd w:val="clear" w:color="auto" w:fill="FFFFFF" w:themeFill="background1"/>
            <w:vAlign w:val="center"/>
          </w:tcPr>
          <w:p w14:paraId="4D38708B" w14:textId="5626B1F2" w:rsidR="00997DF4" w:rsidRPr="007454AB" w:rsidRDefault="00997DF4" w:rsidP="00997DF4">
            <w:pPr>
              <w:jc w:val="center"/>
              <w:rPr>
                <w:rFonts w:ascii="Arial" w:hAnsi="Arial" w:cs="Arial"/>
                <w:i/>
              </w:rPr>
            </w:pPr>
          </w:p>
        </w:tc>
      </w:tr>
      <w:tr w:rsidR="00997DF4" w14:paraId="775BA5DA" w14:textId="77777777" w:rsidTr="005353BF">
        <w:trPr>
          <w:cantSplit/>
          <w:trHeight w:val="683"/>
        </w:trPr>
        <w:tc>
          <w:tcPr>
            <w:tcW w:w="10070" w:type="dxa"/>
            <w:gridSpan w:val="12"/>
            <w:shd w:val="clear" w:color="auto" w:fill="DBE5F1" w:themeFill="accent1" w:themeFillTint="33"/>
            <w:vAlign w:val="center"/>
          </w:tcPr>
          <w:p w14:paraId="5ED24EE8" w14:textId="77777777" w:rsidR="00997DF4" w:rsidRPr="007454AB" w:rsidRDefault="00997DF4" w:rsidP="00997DF4">
            <w:pPr>
              <w:keepNext/>
              <w:jc w:val="center"/>
              <w:rPr>
                <w:rFonts w:ascii="Arial" w:hAnsi="Arial" w:cs="Arial"/>
                <w:b/>
              </w:rPr>
            </w:pPr>
            <w:r w:rsidRPr="007454AB">
              <w:rPr>
                <w:rFonts w:ascii="Arial" w:hAnsi="Arial" w:cs="Arial"/>
                <w:b/>
              </w:rPr>
              <w:t>Goal 2</w:t>
            </w:r>
          </w:p>
          <w:p w14:paraId="452A0055" w14:textId="3BBC79D7" w:rsidR="00997DF4" w:rsidRPr="007454AB" w:rsidRDefault="00997DF4" w:rsidP="00997DF4">
            <w:pPr>
              <w:jc w:val="center"/>
              <w:rPr>
                <w:rFonts w:ascii="Arial" w:hAnsi="Arial" w:cs="Arial"/>
                <w:i/>
              </w:rPr>
            </w:pPr>
            <w:r w:rsidRPr="007454AB">
              <w:rPr>
                <w:rFonts w:ascii="Arial" w:hAnsi="Arial" w:cs="Arial"/>
                <w:i/>
              </w:rPr>
              <w:t>Improve VR program efficiency through continuous quality improvement activities.</w:t>
            </w:r>
          </w:p>
        </w:tc>
      </w:tr>
      <w:tr w:rsidR="00997DF4" w14:paraId="3EB56BC3" w14:textId="77777777" w:rsidTr="00B22405">
        <w:trPr>
          <w:cantSplit/>
          <w:trHeight w:val="288"/>
        </w:trPr>
        <w:tc>
          <w:tcPr>
            <w:tcW w:w="3234" w:type="dxa"/>
            <w:vMerge w:val="restart"/>
          </w:tcPr>
          <w:p w14:paraId="1F59CAD9" w14:textId="2CB77955" w:rsidR="00997DF4" w:rsidRPr="004943E0" w:rsidRDefault="00997DF4" w:rsidP="00997DF4">
            <w:pPr>
              <w:pStyle w:val="ListParagraph"/>
              <w:ind w:left="296" w:hanging="296"/>
              <w:rPr>
                <w:rFonts w:ascii="Arial" w:hAnsi="Arial" w:cs="Arial"/>
              </w:rPr>
            </w:pPr>
            <w:r>
              <w:rPr>
                <w:rFonts w:ascii="Arial" w:hAnsi="Arial" w:cs="Arial"/>
              </w:rPr>
              <w:t xml:space="preserve">2.   Common Performance Measure:  </w:t>
            </w:r>
            <w:r w:rsidRPr="004943E0">
              <w:rPr>
                <w:rFonts w:ascii="Arial" w:hAnsi="Arial" w:cs="Arial"/>
              </w:rPr>
              <w:t>Median Earnings 2</w:t>
            </w:r>
            <w:r w:rsidRPr="004943E0">
              <w:rPr>
                <w:rFonts w:ascii="Arial" w:hAnsi="Arial" w:cs="Arial"/>
                <w:vertAlign w:val="superscript"/>
              </w:rPr>
              <w:t>nd</w:t>
            </w:r>
            <w:r w:rsidRPr="004943E0">
              <w:rPr>
                <w:rFonts w:ascii="Arial" w:hAnsi="Arial" w:cs="Arial"/>
              </w:rPr>
              <w:t xml:space="preserve"> Q</w:t>
            </w:r>
            <w:r>
              <w:rPr>
                <w:rFonts w:ascii="Arial" w:hAnsi="Arial" w:cs="Arial"/>
              </w:rPr>
              <w:t>uarter</w:t>
            </w:r>
            <w:r w:rsidRPr="004943E0">
              <w:rPr>
                <w:rFonts w:ascii="Arial" w:hAnsi="Arial" w:cs="Arial"/>
              </w:rPr>
              <w:t xml:space="preserve"> aft</w:t>
            </w:r>
            <w:r>
              <w:rPr>
                <w:rFonts w:ascii="Arial" w:hAnsi="Arial" w:cs="Arial"/>
              </w:rPr>
              <w:t>e</w:t>
            </w:r>
            <w:r w:rsidRPr="004943E0">
              <w:rPr>
                <w:rFonts w:ascii="Arial" w:hAnsi="Arial" w:cs="Arial"/>
              </w:rPr>
              <w:t>r Ex</w:t>
            </w:r>
            <w:r>
              <w:rPr>
                <w:rFonts w:ascii="Arial" w:hAnsi="Arial" w:cs="Arial"/>
              </w:rPr>
              <w:t>i</w:t>
            </w:r>
            <w:r w:rsidRPr="004943E0">
              <w:rPr>
                <w:rFonts w:ascii="Arial" w:hAnsi="Arial" w:cs="Arial"/>
              </w:rPr>
              <w:t>t</w:t>
            </w:r>
          </w:p>
          <w:p w14:paraId="30693B08" w14:textId="2E62CCDB" w:rsidR="00997DF4" w:rsidRPr="00EA066F" w:rsidRDefault="00997DF4" w:rsidP="00997DF4">
            <w:pPr>
              <w:tabs>
                <w:tab w:val="left" w:pos="2985"/>
              </w:tabs>
              <w:rPr>
                <w:rFonts w:ascii="Arial" w:hAnsi="Arial" w:cs="Arial"/>
              </w:rPr>
            </w:pPr>
          </w:p>
        </w:tc>
        <w:tc>
          <w:tcPr>
            <w:tcW w:w="1108" w:type="dxa"/>
            <w:tcBorders>
              <w:bottom w:val="single" w:sz="4" w:space="0" w:color="auto"/>
            </w:tcBorders>
            <w:shd w:val="clear" w:color="auto" w:fill="D9D9D9" w:themeFill="background1" w:themeFillShade="D9"/>
            <w:vAlign w:val="center"/>
          </w:tcPr>
          <w:p w14:paraId="500A6B2F" w14:textId="3BB1E3E7" w:rsidR="00997DF4" w:rsidRPr="007454AB" w:rsidRDefault="00997DF4" w:rsidP="00997DF4">
            <w:pPr>
              <w:jc w:val="center"/>
              <w:rPr>
                <w:rFonts w:ascii="Arial" w:hAnsi="Arial" w:cs="Arial"/>
              </w:rPr>
            </w:pPr>
            <w:r w:rsidRPr="007454AB">
              <w:rPr>
                <w:rFonts w:ascii="Arial" w:hAnsi="Arial" w:cs="Arial"/>
              </w:rPr>
              <w:t>actual</w:t>
            </w:r>
          </w:p>
        </w:tc>
        <w:tc>
          <w:tcPr>
            <w:tcW w:w="1118" w:type="dxa"/>
            <w:gridSpan w:val="2"/>
            <w:tcBorders>
              <w:bottom w:val="single" w:sz="4" w:space="0" w:color="auto"/>
            </w:tcBorders>
            <w:shd w:val="clear" w:color="auto" w:fill="D9D9D9" w:themeFill="background1" w:themeFillShade="D9"/>
            <w:vAlign w:val="center"/>
          </w:tcPr>
          <w:p w14:paraId="3ABEDCA4" w14:textId="456070ED" w:rsidR="00997DF4" w:rsidRPr="007454AB" w:rsidDel="002F12EE" w:rsidRDefault="00997DF4" w:rsidP="00997DF4">
            <w:pPr>
              <w:jc w:val="center"/>
              <w:rPr>
                <w:rFonts w:ascii="Arial" w:hAnsi="Arial" w:cs="Arial"/>
                <w:i/>
              </w:rPr>
            </w:pPr>
            <w:r w:rsidRPr="007454AB">
              <w:rPr>
                <w:rFonts w:ascii="Arial" w:hAnsi="Arial" w:cs="Arial"/>
              </w:rPr>
              <w:t>$4063</w:t>
            </w:r>
          </w:p>
        </w:tc>
        <w:tc>
          <w:tcPr>
            <w:tcW w:w="1122" w:type="dxa"/>
            <w:gridSpan w:val="2"/>
            <w:tcBorders>
              <w:bottom w:val="single" w:sz="4" w:space="0" w:color="auto"/>
            </w:tcBorders>
            <w:shd w:val="clear" w:color="auto" w:fill="D9D9D9" w:themeFill="background1" w:themeFillShade="D9"/>
            <w:vAlign w:val="center"/>
          </w:tcPr>
          <w:p w14:paraId="47234F01" w14:textId="1FD90865" w:rsidR="00997DF4" w:rsidRPr="007454AB" w:rsidDel="002F12EE" w:rsidRDefault="00997DF4" w:rsidP="00997DF4">
            <w:pPr>
              <w:jc w:val="center"/>
              <w:rPr>
                <w:rFonts w:ascii="Arial" w:hAnsi="Arial" w:cs="Arial"/>
              </w:rPr>
            </w:pPr>
            <w:r w:rsidRPr="007454AB">
              <w:rPr>
                <w:rFonts w:ascii="Arial" w:hAnsi="Arial" w:cs="Arial"/>
              </w:rPr>
              <w:t>**4121</w:t>
            </w:r>
          </w:p>
        </w:tc>
        <w:tc>
          <w:tcPr>
            <w:tcW w:w="1123" w:type="dxa"/>
            <w:gridSpan w:val="2"/>
            <w:tcBorders>
              <w:bottom w:val="single" w:sz="4" w:space="0" w:color="auto"/>
            </w:tcBorders>
            <w:shd w:val="clear" w:color="auto" w:fill="D9D9D9" w:themeFill="background1" w:themeFillShade="D9"/>
            <w:vAlign w:val="center"/>
          </w:tcPr>
          <w:p w14:paraId="309AA185" w14:textId="6423CB6D" w:rsidR="00997DF4" w:rsidRPr="007454AB" w:rsidDel="002F12EE" w:rsidRDefault="00997DF4" w:rsidP="00997DF4">
            <w:pPr>
              <w:jc w:val="center"/>
              <w:rPr>
                <w:rFonts w:ascii="Arial" w:hAnsi="Arial" w:cs="Arial"/>
              </w:rPr>
            </w:pPr>
            <w:r w:rsidRPr="007454AB">
              <w:rPr>
                <w:rFonts w:ascii="Arial" w:hAnsi="Arial" w:cs="Arial"/>
                <w:vertAlign w:val="superscript"/>
              </w:rPr>
              <w:t>(P)</w:t>
            </w:r>
            <w:r w:rsidRPr="007454AB">
              <w:rPr>
                <w:rFonts w:ascii="Arial" w:hAnsi="Arial" w:cs="Arial"/>
              </w:rPr>
              <w:t>4287</w:t>
            </w:r>
          </w:p>
        </w:tc>
        <w:tc>
          <w:tcPr>
            <w:tcW w:w="1251" w:type="dxa"/>
            <w:gridSpan w:val="2"/>
            <w:tcBorders>
              <w:bottom w:val="single" w:sz="4" w:space="0" w:color="auto"/>
            </w:tcBorders>
            <w:shd w:val="clear" w:color="auto" w:fill="D9D9D9" w:themeFill="background1" w:themeFillShade="D9"/>
            <w:vAlign w:val="center"/>
          </w:tcPr>
          <w:p w14:paraId="37334216" w14:textId="4796D3A4" w:rsidR="00997DF4" w:rsidRPr="007454AB" w:rsidDel="002F12EE" w:rsidRDefault="00997DF4" w:rsidP="00997DF4">
            <w:pPr>
              <w:jc w:val="center"/>
              <w:rPr>
                <w:rFonts w:ascii="Arial" w:hAnsi="Arial" w:cs="Arial"/>
                <w:i/>
              </w:rPr>
            </w:pPr>
          </w:p>
        </w:tc>
        <w:tc>
          <w:tcPr>
            <w:tcW w:w="1114" w:type="dxa"/>
            <w:gridSpan w:val="2"/>
            <w:tcBorders>
              <w:bottom w:val="single" w:sz="4" w:space="0" w:color="auto"/>
            </w:tcBorders>
            <w:shd w:val="clear" w:color="auto" w:fill="D9D9D9" w:themeFill="background1" w:themeFillShade="D9"/>
            <w:vAlign w:val="center"/>
          </w:tcPr>
          <w:p w14:paraId="447B0681" w14:textId="4A2A1985" w:rsidR="00997DF4" w:rsidRPr="007454AB" w:rsidRDefault="00997DF4" w:rsidP="00997DF4">
            <w:pPr>
              <w:jc w:val="center"/>
              <w:rPr>
                <w:rFonts w:ascii="Arial" w:hAnsi="Arial" w:cs="Arial"/>
              </w:rPr>
            </w:pPr>
          </w:p>
        </w:tc>
      </w:tr>
      <w:tr w:rsidR="00997DF4" w14:paraId="21B41284" w14:textId="77777777" w:rsidTr="00B22405">
        <w:trPr>
          <w:cantSplit/>
          <w:trHeight w:val="288"/>
        </w:trPr>
        <w:tc>
          <w:tcPr>
            <w:tcW w:w="3234" w:type="dxa"/>
            <w:vMerge/>
          </w:tcPr>
          <w:p w14:paraId="0BD65EFF" w14:textId="77777777" w:rsidR="00997DF4" w:rsidRPr="00646DA1" w:rsidRDefault="00997DF4" w:rsidP="00997DF4">
            <w:pPr>
              <w:pStyle w:val="ListParagraph"/>
              <w:numPr>
                <w:ilvl w:val="0"/>
                <w:numId w:val="11"/>
              </w:numPr>
              <w:tabs>
                <w:tab w:val="left" w:pos="2985"/>
              </w:tabs>
              <w:ind w:left="342"/>
              <w:rPr>
                <w:rFonts w:ascii="Arial" w:hAnsi="Arial" w:cs="Arial"/>
              </w:rPr>
            </w:pPr>
          </w:p>
        </w:tc>
        <w:tc>
          <w:tcPr>
            <w:tcW w:w="1108" w:type="dxa"/>
            <w:tcBorders>
              <w:bottom w:val="single" w:sz="4" w:space="0" w:color="auto"/>
            </w:tcBorders>
            <w:shd w:val="clear" w:color="auto" w:fill="FFFFFF" w:themeFill="background1"/>
            <w:vAlign w:val="center"/>
          </w:tcPr>
          <w:p w14:paraId="3A070420" w14:textId="3064D539" w:rsidR="00997DF4" w:rsidRPr="007454AB" w:rsidRDefault="00997DF4" w:rsidP="00997DF4">
            <w:pPr>
              <w:jc w:val="center"/>
              <w:rPr>
                <w:rFonts w:ascii="Arial" w:hAnsi="Arial" w:cs="Arial"/>
              </w:rPr>
            </w:pPr>
            <w:r w:rsidRPr="007454AB">
              <w:rPr>
                <w:rFonts w:ascii="Arial" w:hAnsi="Arial" w:cs="Arial"/>
                <w:i/>
              </w:rPr>
              <w:t>target</w:t>
            </w:r>
          </w:p>
        </w:tc>
        <w:tc>
          <w:tcPr>
            <w:tcW w:w="1118" w:type="dxa"/>
            <w:gridSpan w:val="2"/>
            <w:tcBorders>
              <w:bottom w:val="single" w:sz="4" w:space="0" w:color="auto"/>
            </w:tcBorders>
            <w:shd w:val="clear" w:color="auto" w:fill="FFFFFF" w:themeFill="background1"/>
            <w:vAlign w:val="center"/>
          </w:tcPr>
          <w:p w14:paraId="3A360EE6" w14:textId="510ED248" w:rsidR="00997DF4" w:rsidRPr="007454AB" w:rsidDel="002F12EE" w:rsidRDefault="00997DF4" w:rsidP="00997DF4">
            <w:pPr>
              <w:jc w:val="center"/>
              <w:rPr>
                <w:rFonts w:ascii="Arial" w:hAnsi="Arial" w:cs="Arial"/>
                <w:i/>
              </w:rPr>
            </w:pPr>
            <w:r w:rsidRPr="007454AB">
              <w:rPr>
                <w:rFonts w:ascii="Arial" w:hAnsi="Arial" w:cs="Arial"/>
                <w:u w:val="single"/>
              </w:rPr>
              <w:t>&gt;</w:t>
            </w:r>
            <w:r w:rsidRPr="007454AB">
              <w:rPr>
                <w:rFonts w:ascii="Arial" w:hAnsi="Arial" w:cs="Arial"/>
                <w:vertAlign w:val="superscript"/>
              </w:rPr>
              <w:t>(P)</w:t>
            </w:r>
            <w:r w:rsidRPr="007454AB">
              <w:rPr>
                <w:rFonts w:ascii="Arial" w:hAnsi="Arial" w:cs="Arial"/>
              </w:rPr>
              <w:t>$4680</w:t>
            </w:r>
          </w:p>
        </w:tc>
        <w:tc>
          <w:tcPr>
            <w:tcW w:w="1122" w:type="dxa"/>
            <w:gridSpan w:val="2"/>
            <w:tcBorders>
              <w:bottom w:val="single" w:sz="4" w:space="0" w:color="auto"/>
            </w:tcBorders>
            <w:shd w:val="clear" w:color="auto" w:fill="FFFFFF" w:themeFill="background1"/>
            <w:vAlign w:val="center"/>
          </w:tcPr>
          <w:p w14:paraId="46E66E23" w14:textId="40A5FE54" w:rsidR="00997DF4" w:rsidRPr="007454AB" w:rsidDel="002F12EE" w:rsidRDefault="00997DF4" w:rsidP="00997DF4">
            <w:pPr>
              <w:jc w:val="center"/>
              <w:rPr>
                <w:rFonts w:ascii="Arial" w:hAnsi="Arial" w:cs="Arial"/>
                <w:i/>
              </w:rPr>
            </w:pPr>
            <w:r w:rsidRPr="007454AB">
              <w:rPr>
                <w:rFonts w:ascii="Arial" w:hAnsi="Arial" w:cs="Arial"/>
                <w:u w:val="single"/>
              </w:rPr>
              <w:t>&gt;</w:t>
            </w:r>
            <w:r w:rsidRPr="007454AB">
              <w:rPr>
                <w:rFonts w:ascii="Arial" w:hAnsi="Arial" w:cs="Arial"/>
                <w:vertAlign w:val="superscript"/>
              </w:rPr>
              <w:t>(P)</w:t>
            </w:r>
            <w:r w:rsidRPr="007454AB">
              <w:rPr>
                <w:rFonts w:ascii="Arial" w:hAnsi="Arial" w:cs="Arial"/>
              </w:rPr>
              <w:t>$4680</w:t>
            </w:r>
          </w:p>
        </w:tc>
        <w:tc>
          <w:tcPr>
            <w:tcW w:w="1123" w:type="dxa"/>
            <w:gridSpan w:val="2"/>
            <w:tcBorders>
              <w:bottom w:val="single" w:sz="4" w:space="0" w:color="auto"/>
            </w:tcBorders>
            <w:shd w:val="clear" w:color="auto" w:fill="FFFFFF" w:themeFill="background1"/>
            <w:vAlign w:val="center"/>
          </w:tcPr>
          <w:p w14:paraId="111C13BA" w14:textId="3B1AC51E" w:rsidR="00997DF4" w:rsidRPr="007454AB" w:rsidDel="002F12EE" w:rsidRDefault="00997DF4" w:rsidP="00997DF4">
            <w:pPr>
              <w:jc w:val="center"/>
              <w:rPr>
                <w:rFonts w:ascii="Arial" w:hAnsi="Arial" w:cs="Arial"/>
                <w:i/>
              </w:rPr>
            </w:pPr>
            <w:r w:rsidRPr="007454AB">
              <w:rPr>
                <w:rFonts w:ascii="Arial" w:hAnsi="Arial" w:cs="Arial"/>
                <w:u w:val="single"/>
              </w:rPr>
              <w:t>&gt;</w:t>
            </w:r>
            <w:r w:rsidRPr="007454AB">
              <w:rPr>
                <w:rFonts w:ascii="Arial" w:hAnsi="Arial" w:cs="Arial"/>
                <w:vertAlign w:val="superscript"/>
              </w:rPr>
              <w:t>(P)</w:t>
            </w:r>
            <w:r w:rsidRPr="007454AB">
              <w:rPr>
                <w:rFonts w:ascii="Arial" w:hAnsi="Arial" w:cs="Arial"/>
              </w:rPr>
              <w:t>$4680</w:t>
            </w:r>
          </w:p>
        </w:tc>
        <w:tc>
          <w:tcPr>
            <w:tcW w:w="1251" w:type="dxa"/>
            <w:gridSpan w:val="2"/>
            <w:tcBorders>
              <w:bottom w:val="single" w:sz="4" w:space="0" w:color="auto"/>
            </w:tcBorders>
            <w:shd w:val="clear" w:color="auto" w:fill="FFFFFF" w:themeFill="background1"/>
            <w:vAlign w:val="center"/>
          </w:tcPr>
          <w:p w14:paraId="7D2D8655" w14:textId="0D08D942" w:rsidR="00997DF4" w:rsidRPr="007454AB" w:rsidDel="002F12EE" w:rsidRDefault="00997DF4" w:rsidP="00997DF4">
            <w:pPr>
              <w:jc w:val="center"/>
              <w:rPr>
                <w:rFonts w:ascii="Arial" w:hAnsi="Arial" w:cs="Arial"/>
                <w:i/>
              </w:rPr>
            </w:pPr>
            <w:r w:rsidRPr="007454AB">
              <w:rPr>
                <w:rFonts w:ascii="Arial" w:hAnsi="Arial" w:cs="Arial"/>
                <w:u w:val="single"/>
              </w:rPr>
              <w:t>&gt;</w:t>
            </w:r>
            <w:r w:rsidRPr="007454AB">
              <w:rPr>
                <w:rFonts w:ascii="Arial" w:hAnsi="Arial" w:cs="Arial"/>
                <w:vertAlign w:val="superscript"/>
              </w:rPr>
              <w:t>(P)</w:t>
            </w:r>
            <w:r w:rsidRPr="007454AB">
              <w:rPr>
                <w:rFonts w:ascii="Arial" w:hAnsi="Arial" w:cs="Arial"/>
              </w:rPr>
              <w:t>$4680</w:t>
            </w:r>
          </w:p>
        </w:tc>
        <w:tc>
          <w:tcPr>
            <w:tcW w:w="1114" w:type="dxa"/>
            <w:gridSpan w:val="2"/>
            <w:tcBorders>
              <w:bottom w:val="single" w:sz="4" w:space="0" w:color="auto"/>
            </w:tcBorders>
            <w:shd w:val="clear" w:color="auto" w:fill="FFFFFF" w:themeFill="background1"/>
            <w:vAlign w:val="center"/>
          </w:tcPr>
          <w:p w14:paraId="56875AD2" w14:textId="55081318" w:rsidR="00997DF4" w:rsidRPr="007454AB" w:rsidRDefault="00997DF4" w:rsidP="00997DF4">
            <w:pPr>
              <w:jc w:val="center"/>
              <w:rPr>
                <w:rFonts w:ascii="Arial" w:hAnsi="Arial" w:cs="Arial"/>
              </w:rPr>
            </w:pPr>
          </w:p>
        </w:tc>
      </w:tr>
      <w:tr w:rsidR="00997DF4" w14:paraId="59EAF127" w14:textId="77777777" w:rsidTr="00B22405">
        <w:trPr>
          <w:cantSplit/>
          <w:trHeight w:val="288"/>
        </w:trPr>
        <w:tc>
          <w:tcPr>
            <w:tcW w:w="3234" w:type="dxa"/>
            <w:vMerge w:val="restart"/>
          </w:tcPr>
          <w:p w14:paraId="7CC47380" w14:textId="3C943542" w:rsidR="00997DF4" w:rsidRPr="00EA066F" w:rsidRDefault="00997DF4" w:rsidP="00997DF4">
            <w:pPr>
              <w:tabs>
                <w:tab w:val="left" w:pos="2985"/>
              </w:tabs>
              <w:ind w:left="296" w:hanging="270"/>
              <w:rPr>
                <w:rFonts w:ascii="Arial" w:hAnsi="Arial" w:cs="Arial"/>
              </w:rPr>
            </w:pPr>
            <w:r>
              <w:rPr>
                <w:rFonts w:ascii="Arial" w:hAnsi="Arial" w:cs="Arial"/>
              </w:rPr>
              <w:t xml:space="preserve">3.  </w:t>
            </w:r>
            <w:r w:rsidRPr="00EA066F">
              <w:rPr>
                <w:rFonts w:ascii="Arial" w:hAnsi="Arial" w:cs="Arial"/>
              </w:rPr>
              <w:t>Customer satisfaction rate (as demonstrated by “agree’ and “strongly agree’ responses</w:t>
            </w:r>
          </w:p>
          <w:p w14:paraId="7A71477E" w14:textId="5572267B" w:rsidR="00997DF4" w:rsidRDefault="00997DF4" w:rsidP="00997DF4">
            <w:pPr>
              <w:tabs>
                <w:tab w:val="left" w:pos="2985"/>
              </w:tabs>
              <w:rPr>
                <w:rFonts w:ascii="Arial" w:hAnsi="Arial" w:cs="Arial"/>
              </w:rPr>
            </w:pPr>
            <w:r>
              <w:rPr>
                <w:rFonts w:ascii="Arial" w:hAnsi="Arial" w:cs="Arial"/>
              </w:rPr>
              <w:t xml:space="preserve">     Goal 2 Objective 2.2</w:t>
            </w:r>
          </w:p>
        </w:tc>
        <w:tc>
          <w:tcPr>
            <w:tcW w:w="1108" w:type="dxa"/>
            <w:tcBorders>
              <w:top w:val="single" w:sz="4" w:space="0" w:color="auto"/>
            </w:tcBorders>
            <w:shd w:val="clear" w:color="auto" w:fill="D9D9D9" w:themeFill="background1" w:themeFillShade="D9"/>
            <w:vAlign w:val="center"/>
          </w:tcPr>
          <w:p w14:paraId="66D0B6CA" w14:textId="600BDFBB" w:rsidR="00997DF4" w:rsidRPr="007454AB" w:rsidRDefault="00997DF4" w:rsidP="00997DF4">
            <w:pPr>
              <w:jc w:val="center"/>
              <w:rPr>
                <w:rFonts w:ascii="Arial" w:hAnsi="Arial" w:cs="Arial"/>
              </w:rPr>
            </w:pPr>
            <w:r w:rsidRPr="007454AB">
              <w:rPr>
                <w:rFonts w:ascii="Arial" w:hAnsi="Arial" w:cs="Arial"/>
              </w:rPr>
              <w:t>actual</w:t>
            </w:r>
          </w:p>
        </w:tc>
        <w:tc>
          <w:tcPr>
            <w:tcW w:w="1118" w:type="dxa"/>
            <w:gridSpan w:val="2"/>
            <w:tcBorders>
              <w:top w:val="single" w:sz="4" w:space="0" w:color="auto"/>
            </w:tcBorders>
            <w:shd w:val="clear" w:color="auto" w:fill="D9D9D9" w:themeFill="background1" w:themeFillShade="D9"/>
            <w:vAlign w:val="center"/>
          </w:tcPr>
          <w:p w14:paraId="700153B3" w14:textId="278365C9" w:rsidR="00997DF4" w:rsidRPr="007454AB" w:rsidRDefault="00997DF4" w:rsidP="00997DF4">
            <w:pPr>
              <w:jc w:val="center"/>
              <w:rPr>
                <w:rFonts w:ascii="Arial" w:hAnsi="Arial" w:cs="Arial"/>
              </w:rPr>
            </w:pPr>
            <w:r w:rsidRPr="007454AB">
              <w:rPr>
                <w:rFonts w:ascii="Arial" w:hAnsi="Arial" w:cs="Arial"/>
              </w:rPr>
              <w:t>81.3%</w:t>
            </w:r>
          </w:p>
        </w:tc>
        <w:tc>
          <w:tcPr>
            <w:tcW w:w="1122" w:type="dxa"/>
            <w:gridSpan w:val="2"/>
            <w:tcBorders>
              <w:top w:val="single" w:sz="4" w:space="0" w:color="auto"/>
            </w:tcBorders>
            <w:shd w:val="clear" w:color="auto" w:fill="D9D9D9" w:themeFill="background1" w:themeFillShade="D9"/>
            <w:vAlign w:val="center"/>
          </w:tcPr>
          <w:p w14:paraId="7DF4DE94" w14:textId="76E49B52" w:rsidR="00997DF4" w:rsidRPr="007454AB" w:rsidRDefault="00997DF4" w:rsidP="00997DF4">
            <w:pPr>
              <w:jc w:val="center"/>
              <w:rPr>
                <w:rFonts w:ascii="Arial" w:hAnsi="Arial" w:cs="Arial"/>
              </w:rPr>
            </w:pPr>
            <w:r w:rsidRPr="007454AB">
              <w:rPr>
                <w:rFonts w:ascii="Arial" w:hAnsi="Arial" w:cs="Arial"/>
              </w:rPr>
              <w:t>81.4%</w:t>
            </w:r>
          </w:p>
        </w:tc>
        <w:tc>
          <w:tcPr>
            <w:tcW w:w="1123" w:type="dxa"/>
            <w:gridSpan w:val="2"/>
            <w:tcBorders>
              <w:top w:val="single" w:sz="4" w:space="0" w:color="auto"/>
            </w:tcBorders>
            <w:shd w:val="clear" w:color="auto" w:fill="D9D9D9" w:themeFill="background1" w:themeFillShade="D9"/>
            <w:vAlign w:val="center"/>
          </w:tcPr>
          <w:p w14:paraId="360BCAFA" w14:textId="3B2787AF" w:rsidR="00997DF4" w:rsidRPr="007454AB" w:rsidRDefault="00997DF4" w:rsidP="00997DF4">
            <w:pPr>
              <w:jc w:val="center"/>
              <w:rPr>
                <w:rFonts w:ascii="Arial" w:hAnsi="Arial" w:cs="Arial"/>
              </w:rPr>
            </w:pPr>
            <w:r w:rsidRPr="007454AB">
              <w:rPr>
                <w:rFonts w:ascii="Arial" w:hAnsi="Arial" w:cs="Arial"/>
                <w:vertAlign w:val="superscript"/>
              </w:rPr>
              <w:t>(P)</w:t>
            </w:r>
            <w:r w:rsidRPr="007454AB">
              <w:rPr>
                <w:rFonts w:ascii="Arial" w:hAnsi="Arial" w:cs="Arial"/>
              </w:rPr>
              <w:t>81.6%</w:t>
            </w:r>
          </w:p>
        </w:tc>
        <w:tc>
          <w:tcPr>
            <w:tcW w:w="1251" w:type="dxa"/>
            <w:gridSpan w:val="2"/>
            <w:tcBorders>
              <w:top w:val="single" w:sz="4" w:space="0" w:color="auto"/>
            </w:tcBorders>
            <w:shd w:val="clear" w:color="auto" w:fill="D9D9D9" w:themeFill="background1" w:themeFillShade="D9"/>
            <w:vAlign w:val="center"/>
          </w:tcPr>
          <w:p w14:paraId="7D76B25B" w14:textId="48037470" w:rsidR="00997DF4" w:rsidRPr="007454AB" w:rsidRDefault="00997DF4" w:rsidP="00997DF4">
            <w:pPr>
              <w:jc w:val="center"/>
              <w:rPr>
                <w:rFonts w:ascii="Arial" w:hAnsi="Arial" w:cs="Arial"/>
                <w:i/>
              </w:rPr>
            </w:pPr>
          </w:p>
        </w:tc>
        <w:tc>
          <w:tcPr>
            <w:tcW w:w="1114" w:type="dxa"/>
            <w:gridSpan w:val="2"/>
            <w:tcBorders>
              <w:top w:val="single" w:sz="4" w:space="0" w:color="auto"/>
            </w:tcBorders>
            <w:shd w:val="clear" w:color="auto" w:fill="D9D9D9" w:themeFill="background1" w:themeFillShade="D9"/>
            <w:vAlign w:val="center"/>
          </w:tcPr>
          <w:p w14:paraId="4DA54F95" w14:textId="115A4D63" w:rsidR="00997DF4" w:rsidRPr="007454AB" w:rsidRDefault="00997DF4" w:rsidP="00997DF4">
            <w:pPr>
              <w:jc w:val="center"/>
              <w:rPr>
                <w:rFonts w:ascii="Arial" w:hAnsi="Arial" w:cs="Arial"/>
              </w:rPr>
            </w:pPr>
          </w:p>
        </w:tc>
      </w:tr>
      <w:tr w:rsidR="00997DF4" w14:paraId="0CCAE1F6" w14:textId="77777777" w:rsidTr="00B22405">
        <w:trPr>
          <w:cantSplit/>
          <w:trHeight w:val="288"/>
        </w:trPr>
        <w:tc>
          <w:tcPr>
            <w:tcW w:w="3234" w:type="dxa"/>
            <w:vMerge/>
          </w:tcPr>
          <w:p w14:paraId="6D283AF5" w14:textId="77777777" w:rsidR="00997DF4" w:rsidRDefault="00997DF4" w:rsidP="00997DF4">
            <w:pPr>
              <w:tabs>
                <w:tab w:val="left" w:pos="2985"/>
              </w:tabs>
              <w:rPr>
                <w:rFonts w:ascii="Arial" w:hAnsi="Arial" w:cs="Arial"/>
              </w:rPr>
            </w:pPr>
          </w:p>
        </w:tc>
        <w:tc>
          <w:tcPr>
            <w:tcW w:w="1108" w:type="dxa"/>
            <w:tcBorders>
              <w:top w:val="single" w:sz="4" w:space="0" w:color="auto"/>
            </w:tcBorders>
            <w:shd w:val="clear" w:color="auto" w:fill="FFFFFF" w:themeFill="background1"/>
            <w:vAlign w:val="center"/>
          </w:tcPr>
          <w:p w14:paraId="3B6ABBCC" w14:textId="0C0EAE62" w:rsidR="00997DF4" w:rsidRPr="007454AB" w:rsidRDefault="00997DF4" w:rsidP="00997DF4">
            <w:pPr>
              <w:jc w:val="center"/>
              <w:rPr>
                <w:rFonts w:ascii="Arial" w:hAnsi="Arial" w:cs="Arial"/>
              </w:rPr>
            </w:pPr>
            <w:r w:rsidRPr="007454AB">
              <w:rPr>
                <w:rFonts w:ascii="Arial" w:hAnsi="Arial" w:cs="Arial"/>
                <w:i/>
              </w:rPr>
              <w:t>target</w:t>
            </w:r>
          </w:p>
        </w:tc>
        <w:tc>
          <w:tcPr>
            <w:tcW w:w="1118" w:type="dxa"/>
            <w:gridSpan w:val="2"/>
            <w:tcBorders>
              <w:top w:val="single" w:sz="4" w:space="0" w:color="auto"/>
            </w:tcBorders>
            <w:shd w:val="clear" w:color="auto" w:fill="FFFFFF" w:themeFill="background1"/>
            <w:vAlign w:val="center"/>
          </w:tcPr>
          <w:p w14:paraId="08B35628" w14:textId="1DD7A590" w:rsidR="00997DF4" w:rsidRPr="007454AB" w:rsidRDefault="00997DF4" w:rsidP="00997DF4">
            <w:pPr>
              <w:jc w:val="center"/>
              <w:rPr>
                <w:rFonts w:ascii="Arial" w:hAnsi="Arial" w:cs="Arial"/>
              </w:rPr>
            </w:pPr>
            <w:r w:rsidRPr="007454AB">
              <w:rPr>
                <w:rFonts w:ascii="Arial" w:hAnsi="Arial" w:cs="Arial"/>
                <w:u w:val="single"/>
              </w:rPr>
              <w:t>&gt;</w:t>
            </w:r>
            <w:r w:rsidRPr="007454AB">
              <w:rPr>
                <w:rFonts w:ascii="Arial" w:hAnsi="Arial" w:cs="Arial"/>
              </w:rPr>
              <w:t xml:space="preserve"> </w:t>
            </w:r>
            <w:r w:rsidRPr="007454AB">
              <w:rPr>
                <w:rFonts w:ascii="Arial" w:hAnsi="Arial" w:cs="Arial"/>
                <w:i/>
              </w:rPr>
              <w:t>90%</w:t>
            </w:r>
          </w:p>
        </w:tc>
        <w:tc>
          <w:tcPr>
            <w:tcW w:w="1122" w:type="dxa"/>
            <w:gridSpan w:val="2"/>
            <w:tcBorders>
              <w:top w:val="single" w:sz="4" w:space="0" w:color="auto"/>
            </w:tcBorders>
            <w:shd w:val="clear" w:color="auto" w:fill="FFFFFF" w:themeFill="background1"/>
            <w:vAlign w:val="center"/>
          </w:tcPr>
          <w:p w14:paraId="62FCF639" w14:textId="74F749DE" w:rsidR="00997DF4" w:rsidRPr="007454AB" w:rsidRDefault="00997DF4" w:rsidP="00997DF4">
            <w:pPr>
              <w:jc w:val="center"/>
              <w:rPr>
                <w:rFonts w:ascii="Arial" w:hAnsi="Arial" w:cs="Arial"/>
              </w:rPr>
            </w:pPr>
            <w:r w:rsidRPr="007454AB">
              <w:rPr>
                <w:rFonts w:ascii="Arial" w:hAnsi="Arial" w:cs="Arial"/>
                <w:u w:val="single"/>
              </w:rPr>
              <w:t>&gt;</w:t>
            </w:r>
            <w:r w:rsidRPr="007454AB">
              <w:rPr>
                <w:rFonts w:ascii="Arial" w:hAnsi="Arial" w:cs="Arial"/>
              </w:rPr>
              <w:t xml:space="preserve"> </w:t>
            </w:r>
            <w:r w:rsidRPr="007454AB">
              <w:rPr>
                <w:rFonts w:ascii="Arial" w:hAnsi="Arial" w:cs="Arial"/>
                <w:i/>
              </w:rPr>
              <w:t>90%</w:t>
            </w:r>
          </w:p>
        </w:tc>
        <w:tc>
          <w:tcPr>
            <w:tcW w:w="1123" w:type="dxa"/>
            <w:gridSpan w:val="2"/>
            <w:tcBorders>
              <w:top w:val="single" w:sz="4" w:space="0" w:color="auto"/>
            </w:tcBorders>
            <w:shd w:val="clear" w:color="auto" w:fill="FFFFFF" w:themeFill="background1"/>
            <w:vAlign w:val="center"/>
          </w:tcPr>
          <w:p w14:paraId="1D7EE3AB" w14:textId="4DD9D191" w:rsidR="00997DF4" w:rsidRPr="007454AB" w:rsidRDefault="00997DF4" w:rsidP="00997DF4">
            <w:pPr>
              <w:jc w:val="center"/>
              <w:rPr>
                <w:rFonts w:ascii="Arial" w:hAnsi="Arial" w:cs="Arial"/>
              </w:rPr>
            </w:pPr>
            <w:r w:rsidRPr="007454AB">
              <w:rPr>
                <w:rFonts w:ascii="Arial" w:hAnsi="Arial" w:cs="Arial"/>
                <w:u w:val="single"/>
              </w:rPr>
              <w:t>&gt;</w:t>
            </w:r>
            <w:r w:rsidRPr="007454AB">
              <w:rPr>
                <w:rFonts w:ascii="Arial" w:hAnsi="Arial" w:cs="Arial"/>
              </w:rPr>
              <w:t xml:space="preserve"> </w:t>
            </w:r>
            <w:r w:rsidRPr="007454AB">
              <w:rPr>
                <w:rFonts w:ascii="Arial" w:hAnsi="Arial" w:cs="Arial"/>
                <w:i/>
              </w:rPr>
              <w:t>90%</w:t>
            </w:r>
          </w:p>
        </w:tc>
        <w:tc>
          <w:tcPr>
            <w:tcW w:w="1251" w:type="dxa"/>
            <w:gridSpan w:val="2"/>
            <w:tcBorders>
              <w:top w:val="single" w:sz="4" w:space="0" w:color="auto"/>
            </w:tcBorders>
            <w:shd w:val="clear" w:color="auto" w:fill="FFFFFF" w:themeFill="background1"/>
            <w:vAlign w:val="center"/>
          </w:tcPr>
          <w:p w14:paraId="27F0CD5F" w14:textId="384994B2" w:rsidR="00997DF4" w:rsidRPr="007454AB" w:rsidRDefault="00997DF4" w:rsidP="00997DF4">
            <w:pPr>
              <w:jc w:val="center"/>
              <w:rPr>
                <w:rFonts w:ascii="Arial" w:hAnsi="Arial" w:cs="Arial"/>
                <w:i/>
              </w:rPr>
            </w:pPr>
            <w:r w:rsidRPr="007454AB">
              <w:rPr>
                <w:rFonts w:ascii="Arial" w:hAnsi="Arial" w:cs="Arial"/>
                <w:u w:val="single"/>
              </w:rPr>
              <w:t>&gt;</w:t>
            </w:r>
            <w:r w:rsidRPr="007454AB">
              <w:rPr>
                <w:rFonts w:ascii="Arial" w:hAnsi="Arial" w:cs="Arial"/>
              </w:rPr>
              <w:t xml:space="preserve"> </w:t>
            </w:r>
            <w:r w:rsidRPr="007454AB">
              <w:rPr>
                <w:rFonts w:ascii="Arial" w:hAnsi="Arial" w:cs="Arial"/>
                <w:i/>
              </w:rPr>
              <w:t>90%</w:t>
            </w:r>
          </w:p>
        </w:tc>
        <w:tc>
          <w:tcPr>
            <w:tcW w:w="1114" w:type="dxa"/>
            <w:gridSpan w:val="2"/>
            <w:tcBorders>
              <w:top w:val="single" w:sz="4" w:space="0" w:color="auto"/>
            </w:tcBorders>
            <w:shd w:val="clear" w:color="auto" w:fill="FFFFFF" w:themeFill="background1"/>
            <w:vAlign w:val="center"/>
          </w:tcPr>
          <w:p w14:paraId="5C037C78" w14:textId="14C2D726" w:rsidR="00997DF4" w:rsidRPr="007454AB" w:rsidRDefault="00997DF4" w:rsidP="00997DF4">
            <w:pPr>
              <w:jc w:val="center"/>
              <w:rPr>
                <w:rFonts w:ascii="Arial" w:hAnsi="Arial" w:cs="Arial"/>
              </w:rPr>
            </w:pPr>
          </w:p>
        </w:tc>
      </w:tr>
      <w:tr w:rsidR="00997DF4" w14:paraId="62589BAA" w14:textId="77777777" w:rsidTr="00B22405">
        <w:trPr>
          <w:cantSplit/>
          <w:trHeight w:val="288"/>
        </w:trPr>
        <w:tc>
          <w:tcPr>
            <w:tcW w:w="3234" w:type="dxa"/>
            <w:vMerge w:val="restart"/>
          </w:tcPr>
          <w:p w14:paraId="201A3830" w14:textId="1CCBE74A" w:rsidR="00997DF4" w:rsidRPr="00EA066F" w:rsidRDefault="00997DF4" w:rsidP="00997DF4">
            <w:pPr>
              <w:tabs>
                <w:tab w:val="left" w:pos="2985"/>
              </w:tabs>
              <w:ind w:left="296" w:hanging="296"/>
              <w:rPr>
                <w:rFonts w:ascii="Arial" w:hAnsi="Arial" w:cs="Arial"/>
              </w:rPr>
            </w:pPr>
            <w:r>
              <w:rPr>
                <w:rFonts w:ascii="Arial" w:hAnsi="Arial" w:cs="Arial"/>
              </w:rPr>
              <w:t xml:space="preserve">4.  </w:t>
            </w:r>
            <w:r w:rsidRPr="00EA066F">
              <w:rPr>
                <w:rFonts w:ascii="Arial" w:hAnsi="Arial" w:cs="Arial"/>
              </w:rPr>
              <w:t>Of those cases using CRP employment services, the percentage which contributed to successful case closure</w:t>
            </w:r>
          </w:p>
          <w:p w14:paraId="4BA4CEEE" w14:textId="28EA46E1" w:rsidR="00997DF4" w:rsidRDefault="00997DF4" w:rsidP="00997DF4">
            <w:pPr>
              <w:tabs>
                <w:tab w:val="left" w:pos="2985"/>
              </w:tabs>
              <w:ind w:left="296"/>
              <w:rPr>
                <w:rFonts w:ascii="Arial" w:hAnsi="Arial" w:cs="Arial"/>
              </w:rPr>
            </w:pPr>
            <w:r>
              <w:rPr>
                <w:rFonts w:ascii="Arial" w:hAnsi="Arial" w:cs="Arial"/>
              </w:rPr>
              <w:t>Goal 2 Objective 2.4</w:t>
            </w:r>
          </w:p>
        </w:tc>
        <w:tc>
          <w:tcPr>
            <w:tcW w:w="1108" w:type="dxa"/>
            <w:tcBorders>
              <w:top w:val="single" w:sz="4" w:space="0" w:color="auto"/>
            </w:tcBorders>
            <w:shd w:val="clear" w:color="auto" w:fill="D9D9D9" w:themeFill="background1" w:themeFillShade="D9"/>
            <w:vAlign w:val="center"/>
          </w:tcPr>
          <w:p w14:paraId="0CA35642" w14:textId="74C22F6E" w:rsidR="00997DF4" w:rsidRPr="007454AB" w:rsidRDefault="00997DF4" w:rsidP="00997DF4">
            <w:pPr>
              <w:jc w:val="center"/>
              <w:rPr>
                <w:rFonts w:ascii="Arial" w:hAnsi="Arial" w:cs="Arial"/>
                <w:i/>
              </w:rPr>
            </w:pPr>
            <w:r w:rsidRPr="007454AB">
              <w:rPr>
                <w:rFonts w:ascii="Arial" w:hAnsi="Arial" w:cs="Arial"/>
              </w:rPr>
              <w:t>actual</w:t>
            </w:r>
          </w:p>
        </w:tc>
        <w:tc>
          <w:tcPr>
            <w:tcW w:w="1118" w:type="dxa"/>
            <w:gridSpan w:val="2"/>
            <w:tcBorders>
              <w:top w:val="single" w:sz="4" w:space="0" w:color="auto"/>
            </w:tcBorders>
            <w:shd w:val="clear" w:color="auto" w:fill="D9D9D9" w:themeFill="background1" w:themeFillShade="D9"/>
            <w:vAlign w:val="center"/>
          </w:tcPr>
          <w:p w14:paraId="7130D4A0" w14:textId="79DA5584" w:rsidR="00997DF4" w:rsidRPr="007454AB" w:rsidRDefault="00997DF4" w:rsidP="00997DF4">
            <w:pPr>
              <w:jc w:val="center"/>
              <w:rPr>
                <w:rFonts w:ascii="Arial" w:hAnsi="Arial" w:cs="Arial"/>
                <w:u w:val="single"/>
              </w:rPr>
            </w:pPr>
            <w:r w:rsidRPr="007454AB">
              <w:rPr>
                <w:rFonts w:ascii="Arial" w:hAnsi="Arial" w:cs="Arial"/>
              </w:rPr>
              <w:t>42%</w:t>
            </w:r>
          </w:p>
        </w:tc>
        <w:tc>
          <w:tcPr>
            <w:tcW w:w="1122" w:type="dxa"/>
            <w:gridSpan w:val="2"/>
            <w:tcBorders>
              <w:top w:val="single" w:sz="4" w:space="0" w:color="auto"/>
            </w:tcBorders>
            <w:shd w:val="clear" w:color="auto" w:fill="D9D9D9" w:themeFill="background1" w:themeFillShade="D9"/>
            <w:vAlign w:val="center"/>
          </w:tcPr>
          <w:p w14:paraId="7959F63B" w14:textId="480F9586" w:rsidR="00997DF4" w:rsidRPr="007454AB" w:rsidRDefault="00997DF4" w:rsidP="00997DF4">
            <w:pPr>
              <w:jc w:val="center"/>
              <w:rPr>
                <w:rFonts w:ascii="Arial" w:hAnsi="Arial" w:cs="Arial"/>
                <w:u w:val="single"/>
              </w:rPr>
            </w:pPr>
            <w:r w:rsidRPr="007454AB">
              <w:rPr>
                <w:rFonts w:ascii="Arial" w:hAnsi="Arial" w:cs="Arial"/>
              </w:rPr>
              <w:t>43.5%</w:t>
            </w:r>
          </w:p>
        </w:tc>
        <w:tc>
          <w:tcPr>
            <w:tcW w:w="1123" w:type="dxa"/>
            <w:gridSpan w:val="2"/>
            <w:tcBorders>
              <w:top w:val="single" w:sz="4" w:space="0" w:color="auto"/>
            </w:tcBorders>
            <w:shd w:val="clear" w:color="auto" w:fill="D9D9D9" w:themeFill="background1" w:themeFillShade="D9"/>
            <w:vAlign w:val="center"/>
          </w:tcPr>
          <w:p w14:paraId="0B483C3C" w14:textId="18E8172A" w:rsidR="00997DF4" w:rsidRPr="007454AB" w:rsidRDefault="00997DF4" w:rsidP="00997DF4">
            <w:pPr>
              <w:jc w:val="center"/>
              <w:rPr>
                <w:rFonts w:ascii="Arial" w:hAnsi="Arial" w:cs="Arial"/>
                <w:u w:val="single"/>
              </w:rPr>
            </w:pPr>
            <w:r w:rsidRPr="007454AB">
              <w:rPr>
                <w:rFonts w:ascii="Arial" w:hAnsi="Arial" w:cs="Arial"/>
              </w:rPr>
              <w:t>44.3%</w:t>
            </w:r>
          </w:p>
        </w:tc>
        <w:tc>
          <w:tcPr>
            <w:tcW w:w="1251" w:type="dxa"/>
            <w:gridSpan w:val="2"/>
            <w:tcBorders>
              <w:top w:val="single" w:sz="4" w:space="0" w:color="auto"/>
            </w:tcBorders>
            <w:shd w:val="clear" w:color="auto" w:fill="D9D9D9" w:themeFill="background1" w:themeFillShade="D9"/>
            <w:vAlign w:val="center"/>
          </w:tcPr>
          <w:p w14:paraId="6D3B7494" w14:textId="6978528A" w:rsidR="00997DF4" w:rsidRPr="007454AB" w:rsidRDefault="00997DF4" w:rsidP="00997DF4">
            <w:pPr>
              <w:jc w:val="center"/>
              <w:rPr>
                <w:rFonts w:ascii="Arial" w:hAnsi="Arial" w:cs="Arial"/>
              </w:rPr>
            </w:pPr>
          </w:p>
        </w:tc>
        <w:tc>
          <w:tcPr>
            <w:tcW w:w="1114" w:type="dxa"/>
            <w:gridSpan w:val="2"/>
            <w:tcBorders>
              <w:top w:val="single" w:sz="4" w:space="0" w:color="auto"/>
            </w:tcBorders>
            <w:shd w:val="clear" w:color="auto" w:fill="D9D9D9" w:themeFill="background1" w:themeFillShade="D9"/>
            <w:vAlign w:val="center"/>
          </w:tcPr>
          <w:p w14:paraId="1CF4471B" w14:textId="25BFCAC2" w:rsidR="00997DF4" w:rsidRPr="007454AB" w:rsidRDefault="00997DF4" w:rsidP="00997DF4">
            <w:pPr>
              <w:rPr>
                <w:rFonts w:ascii="Arial" w:hAnsi="Arial" w:cs="Arial"/>
              </w:rPr>
            </w:pPr>
          </w:p>
        </w:tc>
      </w:tr>
      <w:tr w:rsidR="00997DF4" w14:paraId="6AB8D09F" w14:textId="77777777" w:rsidTr="00B22405">
        <w:trPr>
          <w:cantSplit/>
          <w:trHeight w:val="288"/>
        </w:trPr>
        <w:tc>
          <w:tcPr>
            <w:tcW w:w="3234" w:type="dxa"/>
            <w:vMerge/>
          </w:tcPr>
          <w:p w14:paraId="028CA612" w14:textId="77777777" w:rsidR="00997DF4" w:rsidRDefault="00997DF4" w:rsidP="00997DF4">
            <w:pPr>
              <w:tabs>
                <w:tab w:val="left" w:pos="2985"/>
              </w:tabs>
              <w:rPr>
                <w:rFonts w:ascii="Arial" w:hAnsi="Arial" w:cs="Arial"/>
              </w:rPr>
            </w:pPr>
          </w:p>
        </w:tc>
        <w:tc>
          <w:tcPr>
            <w:tcW w:w="1108" w:type="dxa"/>
            <w:tcBorders>
              <w:top w:val="single" w:sz="4" w:space="0" w:color="auto"/>
            </w:tcBorders>
            <w:shd w:val="clear" w:color="auto" w:fill="FFFFFF" w:themeFill="background1"/>
            <w:vAlign w:val="center"/>
          </w:tcPr>
          <w:p w14:paraId="68CBC253" w14:textId="35420459" w:rsidR="00997DF4" w:rsidRPr="007454AB" w:rsidRDefault="00997DF4" w:rsidP="00997DF4">
            <w:pPr>
              <w:jc w:val="center"/>
              <w:rPr>
                <w:rFonts w:ascii="Arial" w:hAnsi="Arial" w:cs="Arial"/>
                <w:i/>
              </w:rPr>
            </w:pPr>
            <w:r w:rsidRPr="007454AB">
              <w:rPr>
                <w:rFonts w:ascii="Arial" w:hAnsi="Arial" w:cs="Arial"/>
                <w:i/>
              </w:rPr>
              <w:t>target</w:t>
            </w:r>
          </w:p>
        </w:tc>
        <w:tc>
          <w:tcPr>
            <w:tcW w:w="1118" w:type="dxa"/>
            <w:gridSpan w:val="2"/>
            <w:tcBorders>
              <w:top w:val="single" w:sz="4" w:space="0" w:color="auto"/>
            </w:tcBorders>
            <w:shd w:val="clear" w:color="auto" w:fill="FFFFFF" w:themeFill="background1"/>
            <w:vAlign w:val="center"/>
          </w:tcPr>
          <w:p w14:paraId="6BEAD66C" w14:textId="54C71E25" w:rsidR="00997DF4" w:rsidRPr="007454AB" w:rsidRDefault="00997DF4" w:rsidP="00997DF4">
            <w:pPr>
              <w:jc w:val="center"/>
              <w:rPr>
                <w:rFonts w:ascii="Arial" w:hAnsi="Arial" w:cs="Arial"/>
                <w:u w:val="single"/>
              </w:rPr>
            </w:pPr>
            <w:r w:rsidRPr="007454AB">
              <w:rPr>
                <w:rFonts w:ascii="Arial" w:hAnsi="Arial" w:cs="Arial"/>
                <w:u w:val="single"/>
              </w:rPr>
              <w:t>&gt;</w:t>
            </w:r>
            <w:r w:rsidRPr="007454AB">
              <w:rPr>
                <w:rFonts w:ascii="Arial" w:hAnsi="Arial" w:cs="Arial"/>
              </w:rPr>
              <w:t xml:space="preserve"> 30</w:t>
            </w:r>
            <w:r w:rsidRPr="007454AB">
              <w:rPr>
                <w:rFonts w:ascii="Arial" w:hAnsi="Arial" w:cs="Arial"/>
                <w:i/>
              </w:rPr>
              <w:t>%</w:t>
            </w:r>
          </w:p>
        </w:tc>
        <w:tc>
          <w:tcPr>
            <w:tcW w:w="1122" w:type="dxa"/>
            <w:gridSpan w:val="2"/>
            <w:tcBorders>
              <w:top w:val="single" w:sz="4" w:space="0" w:color="auto"/>
            </w:tcBorders>
            <w:shd w:val="clear" w:color="auto" w:fill="FFFFFF" w:themeFill="background1"/>
            <w:vAlign w:val="center"/>
          </w:tcPr>
          <w:p w14:paraId="2B30F023" w14:textId="75DC65E1" w:rsidR="00997DF4" w:rsidRPr="007454AB" w:rsidRDefault="00997DF4" w:rsidP="00997DF4">
            <w:pPr>
              <w:jc w:val="center"/>
              <w:rPr>
                <w:rFonts w:ascii="Arial" w:hAnsi="Arial" w:cs="Arial"/>
                <w:u w:val="single"/>
              </w:rPr>
            </w:pPr>
            <w:r w:rsidRPr="007454AB">
              <w:rPr>
                <w:rFonts w:ascii="Arial" w:hAnsi="Arial" w:cs="Arial"/>
                <w:u w:val="single"/>
              </w:rPr>
              <w:t>&gt;</w:t>
            </w:r>
            <w:r w:rsidRPr="007454AB">
              <w:rPr>
                <w:rFonts w:ascii="Arial" w:hAnsi="Arial" w:cs="Arial"/>
              </w:rPr>
              <w:t xml:space="preserve"> 30</w:t>
            </w:r>
            <w:r w:rsidRPr="007454AB">
              <w:rPr>
                <w:rFonts w:ascii="Arial" w:hAnsi="Arial" w:cs="Arial"/>
                <w:i/>
              </w:rPr>
              <w:t>%</w:t>
            </w:r>
          </w:p>
        </w:tc>
        <w:tc>
          <w:tcPr>
            <w:tcW w:w="1123" w:type="dxa"/>
            <w:gridSpan w:val="2"/>
            <w:tcBorders>
              <w:top w:val="single" w:sz="4" w:space="0" w:color="auto"/>
            </w:tcBorders>
            <w:shd w:val="clear" w:color="auto" w:fill="FFFFFF" w:themeFill="background1"/>
            <w:vAlign w:val="center"/>
          </w:tcPr>
          <w:p w14:paraId="0F792EC8" w14:textId="233D4CEB" w:rsidR="00997DF4" w:rsidRPr="007454AB" w:rsidRDefault="00997DF4" w:rsidP="00997DF4">
            <w:pPr>
              <w:jc w:val="center"/>
              <w:rPr>
                <w:rFonts w:ascii="Arial" w:hAnsi="Arial" w:cs="Arial"/>
                <w:u w:val="single"/>
              </w:rPr>
            </w:pPr>
            <w:r w:rsidRPr="007454AB">
              <w:rPr>
                <w:rFonts w:ascii="Arial" w:hAnsi="Arial" w:cs="Arial"/>
                <w:u w:val="single"/>
              </w:rPr>
              <w:t>&gt;</w:t>
            </w:r>
            <w:r w:rsidRPr="007454AB">
              <w:rPr>
                <w:rFonts w:ascii="Arial" w:hAnsi="Arial" w:cs="Arial"/>
              </w:rPr>
              <w:t xml:space="preserve"> 30</w:t>
            </w:r>
            <w:r w:rsidRPr="007454AB">
              <w:rPr>
                <w:rFonts w:ascii="Arial" w:hAnsi="Arial" w:cs="Arial"/>
                <w:i/>
              </w:rPr>
              <w:t>%</w:t>
            </w:r>
          </w:p>
        </w:tc>
        <w:tc>
          <w:tcPr>
            <w:tcW w:w="1251" w:type="dxa"/>
            <w:gridSpan w:val="2"/>
            <w:tcBorders>
              <w:top w:val="single" w:sz="4" w:space="0" w:color="auto"/>
            </w:tcBorders>
            <w:shd w:val="clear" w:color="auto" w:fill="FFFFFF" w:themeFill="background1"/>
            <w:vAlign w:val="center"/>
          </w:tcPr>
          <w:p w14:paraId="37046DBF" w14:textId="01BCA7AB" w:rsidR="00997DF4" w:rsidRPr="007454AB" w:rsidRDefault="00997DF4" w:rsidP="00997DF4">
            <w:pPr>
              <w:jc w:val="center"/>
              <w:rPr>
                <w:rFonts w:ascii="Arial" w:hAnsi="Arial" w:cs="Arial"/>
                <w:u w:val="single"/>
              </w:rPr>
            </w:pPr>
            <w:r w:rsidRPr="007454AB">
              <w:rPr>
                <w:rFonts w:ascii="Arial" w:hAnsi="Arial" w:cs="Arial"/>
                <w:u w:val="single"/>
              </w:rPr>
              <w:t>&gt;</w:t>
            </w:r>
            <w:r w:rsidRPr="007454AB">
              <w:rPr>
                <w:rFonts w:ascii="Arial" w:hAnsi="Arial" w:cs="Arial"/>
              </w:rPr>
              <w:t xml:space="preserve"> 30</w:t>
            </w:r>
            <w:r w:rsidRPr="007454AB">
              <w:rPr>
                <w:rFonts w:ascii="Arial" w:hAnsi="Arial" w:cs="Arial"/>
                <w:i/>
              </w:rPr>
              <w:t>%</w:t>
            </w:r>
          </w:p>
        </w:tc>
        <w:tc>
          <w:tcPr>
            <w:tcW w:w="1114" w:type="dxa"/>
            <w:gridSpan w:val="2"/>
            <w:tcBorders>
              <w:top w:val="single" w:sz="4" w:space="0" w:color="auto"/>
            </w:tcBorders>
            <w:shd w:val="clear" w:color="auto" w:fill="FFFFFF" w:themeFill="background1"/>
            <w:vAlign w:val="center"/>
          </w:tcPr>
          <w:p w14:paraId="3FF30FFA" w14:textId="3B22203C" w:rsidR="00997DF4" w:rsidRPr="007454AB" w:rsidRDefault="00997DF4" w:rsidP="00997DF4">
            <w:pPr>
              <w:jc w:val="center"/>
              <w:rPr>
                <w:rFonts w:ascii="Arial" w:hAnsi="Arial" w:cs="Arial"/>
              </w:rPr>
            </w:pPr>
          </w:p>
        </w:tc>
      </w:tr>
    </w:tbl>
    <w:p w14:paraId="72C1E190" w14:textId="1802FAC9" w:rsidR="00203BED" w:rsidRPr="00663AD6" w:rsidRDefault="00487CFB" w:rsidP="008C41B1">
      <w:pPr>
        <w:jc w:val="both"/>
        <w:rPr>
          <w:rFonts w:ascii="Arial" w:hAnsi="Arial" w:cs="Arial"/>
          <w:b/>
          <w:bCs/>
          <w:i/>
        </w:rPr>
      </w:pPr>
      <w:bookmarkStart w:id="8" w:name="_Hlk11134253"/>
      <w:r>
        <w:rPr>
          <w:rFonts w:ascii="Arial" w:hAnsi="Arial" w:cs="Arial"/>
          <w:b/>
          <w:bCs/>
        </w:rPr>
        <w:t xml:space="preserve">New </w:t>
      </w:r>
      <w:r w:rsidR="003B2672" w:rsidRPr="00BE41B3">
        <w:rPr>
          <w:rFonts w:ascii="Arial" w:hAnsi="Arial" w:cs="Arial"/>
          <w:b/>
          <w:bCs/>
        </w:rPr>
        <w:t>Performance Measure Explanatory Note</w:t>
      </w:r>
      <w:r w:rsidR="003B2672">
        <w:rPr>
          <w:rFonts w:ascii="Arial" w:hAnsi="Arial" w:cs="Arial"/>
          <w:b/>
          <w:bCs/>
        </w:rPr>
        <w:t xml:space="preserve">s </w:t>
      </w:r>
      <w:bookmarkEnd w:id="8"/>
    </w:p>
    <w:p w14:paraId="62F4C837" w14:textId="68371442" w:rsidR="003814FA" w:rsidRPr="00EA066F" w:rsidRDefault="003814FA" w:rsidP="003814FA">
      <w:pPr>
        <w:jc w:val="both"/>
        <w:rPr>
          <w:rFonts w:ascii="Arial" w:hAnsi="Arial" w:cs="Arial"/>
          <w:iCs/>
        </w:rPr>
      </w:pPr>
      <w:r w:rsidRPr="00EA066F">
        <w:rPr>
          <w:rFonts w:ascii="Arial" w:hAnsi="Arial" w:cs="Arial"/>
          <w:iCs/>
        </w:rPr>
        <w:t xml:space="preserve">Under WIOA, VR program performance reporting changed from a </w:t>
      </w:r>
      <w:r w:rsidR="00B22405" w:rsidRPr="00EA066F">
        <w:rPr>
          <w:rFonts w:ascii="Arial" w:hAnsi="Arial" w:cs="Arial"/>
          <w:iCs/>
        </w:rPr>
        <w:t>f</w:t>
      </w:r>
      <w:r w:rsidRPr="00EA066F">
        <w:rPr>
          <w:rFonts w:ascii="Arial" w:hAnsi="Arial" w:cs="Arial"/>
          <w:iCs/>
        </w:rPr>
        <w:t xml:space="preserve">ederal </w:t>
      </w:r>
      <w:r w:rsidR="00B22405" w:rsidRPr="00EA066F">
        <w:rPr>
          <w:rFonts w:ascii="Arial" w:hAnsi="Arial" w:cs="Arial"/>
          <w:iCs/>
        </w:rPr>
        <w:t>f</w:t>
      </w:r>
      <w:r w:rsidRPr="00EA066F">
        <w:rPr>
          <w:rFonts w:ascii="Arial" w:hAnsi="Arial" w:cs="Arial"/>
          <w:iCs/>
        </w:rPr>
        <w:t xml:space="preserve">iscal </w:t>
      </w:r>
      <w:r w:rsidR="00B22405" w:rsidRPr="00EA066F">
        <w:rPr>
          <w:rFonts w:ascii="Arial" w:hAnsi="Arial" w:cs="Arial"/>
          <w:iCs/>
        </w:rPr>
        <w:t>y</w:t>
      </w:r>
      <w:r w:rsidRPr="00EA066F">
        <w:rPr>
          <w:rFonts w:ascii="Arial" w:hAnsi="Arial" w:cs="Arial"/>
          <w:iCs/>
        </w:rPr>
        <w:t xml:space="preserve">ear (October 1-September 30) to a </w:t>
      </w:r>
      <w:r w:rsidR="00B22405" w:rsidRPr="00EA066F">
        <w:rPr>
          <w:rFonts w:ascii="Arial" w:hAnsi="Arial" w:cs="Arial"/>
          <w:iCs/>
        </w:rPr>
        <w:t>program/s</w:t>
      </w:r>
      <w:r w:rsidR="00FF2A64" w:rsidRPr="00EA066F">
        <w:rPr>
          <w:rFonts w:ascii="Arial" w:hAnsi="Arial" w:cs="Arial"/>
          <w:iCs/>
        </w:rPr>
        <w:t>tate</w:t>
      </w:r>
      <w:r w:rsidRPr="00EA066F">
        <w:rPr>
          <w:rFonts w:ascii="Arial" w:hAnsi="Arial" w:cs="Arial"/>
          <w:iCs/>
        </w:rPr>
        <w:t xml:space="preserve"> </w:t>
      </w:r>
      <w:r w:rsidR="00B22405" w:rsidRPr="00EA066F">
        <w:rPr>
          <w:rFonts w:ascii="Arial" w:hAnsi="Arial" w:cs="Arial"/>
          <w:iCs/>
        </w:rPr>
        <w:t>y</w:t>
      </w:r>
      <w:r w:rsidRPr="00EA066F">
        <w:rPr>
          <w:rFonts w:ascii="Arial" w:hAnsi="Arial" w:cs="Arial"/>
          <w:iCs/>
        </w:rPr>
        <w:t>ear (July 1-June 30)</w:t>
      </w:r>
      <w:r w:rsidR="0099398E" w:rsidRPr="00EA066F">
        <w:rPr>
          <w:rFonts w:ascii="Arial" w:hAnsi="Arial" w:cs="Arial"/>
          <w:iCs/>
        </w:rPr>
        <w:t>.</w:t>
      </w:r>
      <w:r w:rsidRPr="00EA066F">
        <w:rPr>
          <w:rFonts w:ascii="Arial" w:hAnsi="Arial" w:cs="Arial"/>
          <w:iCs/>
        </w:rPr>
        <w:t xml:space="preserve">  </w:t>
      </w:r>
      <w:r w:rsidR="004C3FDF" w:rsidRPr="00EA066F">
        <w:rPr>
          <w:rFonts w:ascii="Arial" w:hAnsi="Arial" w:cs="Arial"/>
          <w:iCs/>
        </w:rPr>
        <w:t>P</w:t>
      </w:r>
      <w:r w:rsidRPr="00EA066F">
        <w:rPr>
          <w:rFonts w:ascii="Arial" w:hAnsi="Arial" w:cs="Arial"/>
          <w:iCs/>
        </w:rPr>
        <w:t>erformance</w:t>
      </w:r>
      <w:r w:rsidR="004C3FDF" w:rsidRPr="00EA066F">
        <w:rPr>
          <w:rFonts w:ascii="Arial" w:hAnsi="Arial" w:cs="Arial"/>
          <w:iCs/>
        </w:rPr>
        <w:t xml:space="preserve"> data for FY</w:t>
      </w:r>
      <w:r w:rsidR="00C83933">
        <w:rPr>
          <w:rFonts w:ascii="Arial" w:hAnsi="Arial" w:cs="Arial"/>
          <w:iCs/>
        </w:rPr>
        <w:t>s</w:t>
      </w:r>
      <w:r w:rsidR="0099398E" w:rsidRPr="00EA066F">
        <w:rPr>
          <w:rFonts w:ascii="Arial" w:hAnsi="Arial" w:cs="Arial"/>
          <w:iCs/>
        </w:rPr>
        <w:t xml:space="preserve"> </w:t>
      </w:r>
      <w:r w:rsidR="004C3FDF" w:rsidRPr="00EA066F">
        <w:rPr>
          <w:rFonts w:ascii="Arial" w:hAnsi="Arial" w:cs="Arial"/>
          <w:iCs/>
        </w:rPr>
        <w:t>201</w:t>
      </w:r>
      <w:r w:rsidR="00B36A47">
        <w:rPr>
          <w:rFonts w:ascii="Arial" w:hAnsi="Arial" w:cs="Arial"/>
          <w:iCs/>
        </w:rPr>
        <w:t xml:space="preserve">7 </w:t>
      </w:r>
      <w:r w:rsidR="00390C46">
        <w:rPr>
          <w:rFonts w:ascii="Arial" w:hAnsi="Arial" w:cs="Arial"/>
          <w:iCs/>
        </w:rPr>
        <w:t>and</w:t>
      </w:r>
      <w:r w:rsidR="0099398E" w:rsidRPr="00EA066F">
        <w:rPr>
          <w:rFonts w:ascii="Arial" w:hAnsi="Arial" w:cs="Arial"/>
          <w:iCs/>
        </w:rPr>
        <w:t xml:space="preserve"> </w:t>
      </w:r>
      <w:r w:rsidR="004C3FDF" w:rsidRPr="00EA066F">
        <w:rPr>
          <w:rFonts w:ascii="Arial" w:hAnsi="Arial" w:cs="Arial"/>
          <w:iCs/>
        </w:rPr>
        <w:t xml:space="preserve">2018 </w:t>
      </w:r>
      <w:r w:rsidR="00C83933">
        <w:rPr>
          <w:rFonts w:ascii="Arial" w:hAnsi="Arial" w:cs="Arial"/>
          <w:iCs/>
        </w:rPr>
        <w:t>are</w:t>
      </w:r>
      <w:r w:rsidRPr="00EA066F">
        <w:rPr>
          <w:rFonts w:ascii="Arial" w:hAnsi="Arial" w:cs="Arial"/>
          <w:iCs/>
        </w:rPr>
        <w:t xml:space="preserve"> reported on a complete </w:t>
      </w:r>
      <w:r w:rsidR="00B22405" w:rsidRPr="00EA066F">
        <w:rPr>
          <w:rFonts w:ascii="Arial" w:hAnsi="Arial" w:cs="Arial"/>
          <w:iCs/>
        </w:rPr>
        <w:t>f</w:t>
      </w:r>
      <w:r w:rsidRPr="00EA066F">
        <w:rPr>
          <w:rFonts w:ascii="Arial" w:hAnsi="Arial" w:cs="Arial"/>
          <w:iCs/>
        </w:rPr>
        <w:t xml:space="preserve">ederal </w:t>
      </w:r>
      <w:r w:rsidR="00B22405" w:rsidRPr="00EA066F">
        <w:rPr>
          <w:rFonts w:ascii="Arial" w:hAnsi="Arial" w:cs="Arial"/>
          <w:iCs/>
        </w:rPr>
        <w:t>fiscal y</w:t>
      </w:r>
      <w:r w:rsidRPr="00EA066F">
        <w:rPr>
          <w:rFonts w:ascii="Arial" w:hAnsi="Arial" w:cs="Arial"/>
          <w:iCs/>
        </w:rPr>
        <w:t xml:space="preserve">ear. </w:t>
      </w:r>
      <w:r w:rsidR="004C3FDF" w:rsidRPr="00EA066F">
        <w:rPr>
          <w:rFonts w:ascii="Arial" w:hAnsi="Arial" w:cs="Arial"/>
          <w:iCs/>
        </w:rPr>
        <w:t xml:space="preserve">FY2019 </w:t>
      </w:r>
      <w:r w:rsidR="00B36A47">
        <w:rPr>
          <w:rFonts w:ascii="Arial" w:hAnsi="Arial" w:cs="Arial"/>
          <w:iCs/>
        </w:rPr>
        <w:t xml:space="preserve">data and later </w:t>
      </w:r>
      <w:r w:rsidR="004C3FDF" w:rsidRPr="00EA066F">
        <w:rPr>
          <w:rFonts w:ascii="Arial" w:hAnsi="Arial" w:cs="Arial"/>
          <w:iCs/>
        </w:rPr>
        <w:t xml:space="preserve">is </w:t>
      </w:r>
      <w:r w:rsidR="0099398E" w:rsidRPr="00EA066F">
        <w:rPr>
          <w:rFonts w:ascii="Arial" w:hAnsi="Arial" w:cs="Arial"/>
          <w:iCs/>
        </w:rPr>
        <w:t>reported for the program/</w:t>
      </w:r>
      <w:r w:rsidR="004C3FDF" w:rsidRPr="00EA066F">
        <w:rPr>
          <w:rFonts w:ascii="Arial" w:hAnsi="Arial" w:cs="Arial"/>
          <w:iCs/>
        </w:rPr>
        <w:t>state year</w:t>
      </w:r>
      <w:r w:rsidRPr="00EA066F">
        <w:rPr>
          <w:rFonts w:ascii="Arial" w:hAnsi="Arial" w:cs="Arial"/>
          <w:iCs/>
        </w:rPr>
        <w:t>.</w:t>
      </w:r>
    </w:p>
    <w:p w14:paraId="3502018D" w14:textId="0F28E20D" w:rsidR="00FF2A64" w:rsidRDefault="00FF2A64" w:rsidP="003814FA">
      <w:pPr>
        <w:jc w:val="both"/>
        <w:rPr>
          <w:rFonts w:ascii="Arial" w:hAnsi="Arial" w:cs="Arial"/>
          <w:i/>
          <w:iCs/>
        </w:rPr>
      </w:pPr>
    </w:p>
    <w:p w14:paraId="4F042173" w14:textId="0132D9D9" w:rsidR="00A7583D" w:rsidRPr="004300B7" w:rsidRDefault="00A7583D" w:rsidP="00A7583D">
      <w:pPr>
        <w:jc w:val="both"/>
        <w:rPr>
          <w:rFonts w:ascii="Arial" w:hAnsi="Arial" w:cs="Arial"/>
        </w:rPr>
      </w:pPr>
      <w:r>
        <w:rPr>
          <w:rFonts w:ascii="Arial" w:hAnsi="Arial" w:cs="Arial"/>
        </w:rPr>
        <w:t xml:space="preserve">Common </w:t>
      </w:r>
      <w:r w:rsidRPr="00FD1B83">
        <w:rPr>
          <w:rFonts w:ascii="Arial" w:hAnsi="Arial" w:cs="Arial"/>
        </w:rPr>
        <w:t>Performance Measures are new federal performance measures</w:t>
      </w:r>
      <w:r>
        <w:rPr>
          <w:rFonts w:ascii="Arial" w:hAnsi="Arial" w:cs="Arial"/>
        </w:rPr>
        <w:t xml:space="preserve">.  Benchmarks are preliminary until formally </w:t>
      </w:r>
      <w:r w:rsidRPr="004300B7">
        <w:rPr>
          <w:rFonts w:ascii="Arial" w:hAnsi="Arial" w:cs="Arial"/>
        </w:rPr>
        <w:t xml:space="preserve">negotiated with Rehabilitation Services Administration (RSA) </w:t>
      </w:r>
      <w:r>
        <w:rPr>
          <w:rFonts w:ascii="Arial" w:hAnsi="Arial" w:cs="Arial"/>
        </w:rPr>
        <w:t>in June 202</w:t>
      </w:r>
      <w:r w:rsidRPr="00856B37">
        <w:rPr>
          <w:rFonts w:ascii="Arial" w:hAnsi="Arial" w:cs="Arial"/>
        </w:rPr>
        <w:t>2.</w:t>
      </w:r>
    </w:p>
    <w:p w14:paraId="6C841F6D" w14:textId="77777777" w:rsidR="00A7583D" w:rsidRPr="007454AB" w:rsidRDefault="00A7583D" w:rsidP="00A7583D">
      <w:pPr>
        <w:jc w:val="both"/>
        <w:rPr>
          <w:rFonts w:ascii="Arial" w:hAnsi="Arial" w:cs="Arial"/>
          <w:sz w:val="18"/>
          <w:szCs w:val="18"/>
        </w:rPr>
      </w:pPr>
      <w:r w:rsidRPr="007454AB">
        <w:rPr>
          <w:rFonts w:ascii="Arial" w:hAnsi="Arial" w:cs="Arial"/>
          <w:sz w:val="18"/>
          <w:szCs w:val="18"/>
        </w:rPr>
        <w:t xml:space="preserve">  </w:t>
      </w:r>
    </w:p>
    <w:p w14:paraId="10B1B7B0" w14:textId="341AE7EF" w:rsidR="001D6AB5" w:rsidRPr="007454AB" w:rsidRDefault="001D6AB5" w:rsidP="00F41B7A">
      <w:pPr>
        <w:jc w:val="both"/>
        <w:rPr>
          <w:rFonts w:ascii="Arial" w:hAnsi="Arial" w:cs="Arial"/>
          <w:sz w:val="18"/>
          <w:szCs w:val="18"/>
        </w:rPr>
      </w:pPr>
      <w:r w:rsidRPr="007454AB">
        <w:rPr>
          <w:rFonts w:ascii="Arial" w:hAnsi="Arial" w:cs="Arial"/>
          <w:sz w:val="18"/>
          <w:szCs w:val="18"/>
        </w:rPr>
        <w:t xml:space="preserve">*Includes services purchased from vendors and </w:t>
      </w:r>
      <w:r w:rsidR="00A7583D" w:rsidRPr="007454AB">
        <w:rPr>
          <w:rFonts w:ascii="Arial" w:hAnsi="Arial" w:cs="Arial"/>
          <w:sz w:val="18"/>
          <w:szCs w:val="18"/>
        </w:rPr>
        <w:t xml:space="preserve">services </w:t>
      </w:r>
      <w:r w:rsidRPr="007454AB">
        <w:rPr>
          <w:rFonts w:ascii="Arial" w:hAnsi="Arial" w:cs="Arial"/>
          <w:sz w:val="18"/>
          <w:szCs w:val="18"/>
        </w:rPr>
        <w:t>provided by VR counselors.</w:t>
      </w:r>
    </w:p>
    <w:p w14:paraId="0D2E62FB" w14:textId="77777777" w:rsidR="001D6AB5" w:rsidRPr="007454AB" w:rsidRDefault="001D6AB5" w:rsidP="00F41B7A">
      <w:pPr>
        <w:jc w:val="both"/>
        <w:rPr>
          <w:rFonts w:ascii="Arial" w:hAnsi="Arial" w:cs="Arial"/>
          <w:sz w:val="18"/>
          <w:szCs w:val="18"/>
        </w:rPr>
      </w:pPr>
    </w:p>
    <w:p w14:paraId="02BEDC5A" w14:textId="75BEF69E" w:rsidR="00BB24A5" w:rsidRPr="007454AB" w:rsidRDefault="001D6AB5" w:rsidP="00F41B7A">
      <w:pPr>
        <w:jc w:val="both"/>
        <w:rPr>
          <w:rFonts w:ascii="Arial" w:hAnsi="Arial" w:cs="Arial"/>
          <w:sz w:val="18"/>
          <w:szCs w:val="18"/>
        </w:rPr>
      </w:pPr>
      <w:r w:rsidRPr="007454AB">
        <w:rPr>
          <w:rFonts w:ascii="Arial" w:hAnsi="Arial" w:cs="Arial"/>
          <w:sz w:val="18"/>
          <w:szCs w:val="18"/>
        </w:rPr>
        <w:t>*</w:t>
      </w:r>
      <w:r w:rsidR="00FF2A64" w:rsidRPr="007454AB">
        <w:rPr>
          <w:rFonts w:ascii="Arial" w:hAnsi="Arial" w:cs="Arial"/>
          <w:sz w:val="18"/>
          <w:szCs w:val="18"/>
        </w:rPr>
        <w:t>*</w:t>
      </w:r>
      <w:r w:rsidR="0099398E" w:rsidRPr="007454AB">
        <w:rPr>
          <w:rFonts w:ascii="Arial" w:hAnsi="Arial" w:cs="Arial"/>
          <w:sz w:val="18"/>
          <w:szCs w:val="18"/>
        </w:rPr>
        <w:t>Median Earnings for the 2</w:t>
      </w:r>
      <w:r w:rsidR="0099398E" w:rsidRPr="007454AB">
        <w:rPr>
          <w:rFonts w:ascii="Arial" w:hAnsi="Arial" w:cs="Arial"/>
          <w:sz w:val="18"/>
          <w:szCs w:val="18"/>
          <w:vertAlign w:val="superscript"/>
        </w:rPr>
        <w:t>nd</w:t>
      </w:r>
      <w:r w:rsidR="0099398E" w:rsidRPr="007454AB">
        <w:rPr>
          <w:rFonts w:ascii="Arial" w:hAnsi="Arial" w:cs="Arial"/>
          <w:sz w:val="18"/>
          <w:szCs w:val="18"/>
        </w:rPr>
        <w:t xml:space="preserve"> quarter after program exit </w:t>
      </w:r>
      <w:r w:rsidRPr="007454AB">
        <w:rPr>
          <w:rFonts w:ascii="Arial" w:hAnsi="Arial" w:cs="Arial"/>
          <w:sz w:val="18"/>
          <w:szCs w:val="18"/>
        </w:rPr>
        <w:t>for FY</w:t>
      </w:r>
      <w:r w:rsidR="00537813" w:rsidRPr="007454AB">
        <w:rPr>
          <w:rFonts w:ascii="Arial" w:hAnsi="Arial" w:cs="Arial"/>
          <w:sz w:val="18"/>
          <w:szCs w:val="18"/>
        </w:rPr>
        <w:t xml:space="preserve">2020 </w:t>
      </w:r>
      <w:r w:rsidRPr="007454AB">
        <w:rPr>
          <w:rFonts w:ascii="Arial" w:hAnsi="Arial" w:cs="Arial"/>
          <w:sz w:val="18"/>
          <w:szCs w:val="18"/>
        </w:rPr>
        <w:t xml:space="preserve">are updated and reflect complete data.  </w:t>
      </w:r>
    </w:p>
    <w:p w14:paraId="660F5D42" w14:textId="77777777" w:rsidR="005B2F10" w:rsidRPr="007454AB" w:rsidRDefault="005B2F10" w:rsidP="00F41B7A">
      <w:pPr>
        <w:jc w:val="both"/>
        <w:rPr>
          <w:rFonts w:ascii="Arial" w:hAnsi="Arial" w:cs="Arial"/>
          <w:sz w:val="18"/>
          <w:szCs w:val="18"/>
          <w:vertAlign w:val="superscript"/>
        </w:rPr>
      </w:pPr>
    </w:p>
    <w:p w14:paraId="5A46CBFE" w14:textId="3A080D8D" w:rsidR="00FF2A64" w:rsidRPr="007454AB" w:rsidRDefault="00A94AB7" w:rsidP="00F41B7A">
      <w:pPr>
        <w:jc w:val="both"/>
        <w:rPr>
          <w:rFonts w:ascii="Arial" w:hAnsi="Arial" w:cs="Arial"/>
          <w:sz w:val="18"/>
          <w:szCs w:val="18"/>
        </w:rPr>
      </w:pPr>
      <w:r w:rsidRPr="007454AB">
        <w:rPr>
          <w:rFonts w:ascii="Arial" w:hAnsi="Arial" w:cs="Arial"/>
          <w:sz w:val="18"/>
          <w:szCs w:val="18"/>
          <w:vertAlign w:val="superscript"/>
        </w:rPr>
        <w:t>(P)</w:t>
      </w:r>
      <w:r w:rsidRPr="007454AB">
        <w:rPr>
          <w:rFonts w:ascii="Arial" w:hAnsi="Arial" w:cs="Arial"/>
          <w:sz w:val="18"/>
          <w:szCs w:val="18"/>
        </w:rPr>
        <w:t xml:space="preserve"> </w:t>
      </w:r>
      <w:r w:rsidR="001D6AB5" w:rsidRPr="007454AB">
        <w:rPr>
          <w:rFonts w:ascii="Arial" w:hAnsi="Arial" w:cs="Arial"/>
          <w:sz w:val="18"/>
          <w:szCs w:val="18"/>
        </w:rPr>
        <w:t>Data for FY</w:t>
      </w:r>
      <w:r w:rsidR="00390C46" w:rsidRPr="007454AB">
        <w:rPr>
          <w:rFonts w:ascii="Arial" w:hAnsi="Arial" w:cs="Arial"/>
          <w:sz w:val="18"/>
          <w:szCs w:val="18"/>
        </w:rPr>
        <w:t>20</w:t>
      </w:r>
      <w:r w:rsidR="001D6AB5" w:rsidRPr="007454AB">
        <w:rPr>
          <w:rFonts w:ascii="Arial" w:hAnsi="Arial" w:cs="Arial"/>
          <w:sz w:val="18"/>
          <w:szCs w:val="18"/>
        </w:rPr>
        <w:t>2</w:t>
      </w:r>
      <w:r w:rsidR="00BB24A5" w:rsidRPr="007454AB">
        <w:rPr>
          <w:rFonts w:ascii="Arial" w:hAnsi="Arial" w:cs="Arial"/>
          <w:sz w:val="18"/>
          <w:szCs w:val="18"/>
        </w:rPr>
        <w:t>1</w:t>
      </w:r>
      <w:r w:rsidR="001D6AB5" w:rsidRPr="007454AB">
        <w:rPr>
          <w:rFonts w:ascii="Arial" w:hAnsi="Arial" w:cs="Arial"/>
          <w:sz w:val="18"/>
          <w:szCs w:val="18"/>
        </w:rPr>
        <w:t xml:space="preserve"> </w:t>
      </w:r>
      <w:r w:rsidR="00487CFB" w:rsidRPr="007454AB">
        <w:rPr>
          <w:rFonts w:ascii="Arial" w:hAnsi="Arial" w:cs="Arial"/>
          <w:sz w:val="18"/>
          <w:szCs w:val="18"/>
        </w:rPr>
        <w:t>are</w:t>
      </w:r>
      <w:r w:rsidR="0099398E" w:rsidRPr="007454AB">
        <w:rPr>
          <w:rFonts w:ascii="Arial" w:hAnsi="Arial" w:cs="Arial"/>
          <w:sz w:val="18"/>
          <w:szCs w:val="18"/>
        </w:rPr>
        <w:t xml:space="preserve"> preliminary (incomplete)</w:t>
      </w:r>
      <w:r w:rsidR="00AC43C5" w:rsidRPr="007454AB">
        <w:rPr>
          <w:rFonts w:ascii="Arial" w:hAnsi="Arial" w:cs="Arial"/>
          <w:sz w:val="18"/>
          <w:szCs w:val="18"/>
        </w:rPr>
        <w:t xml:space="preserve"> as well as the target</w:t>
      </w:r>
      <w:r w:rsidR="0099398E" w:rsidRPr="007454AB">
        <w:rPr>
          <w:rFonts w:ascii="Arial" w:hAnsi="Arial" w:cs="Arial"/>
          <w:sz w:val="18"/>
          <w:szCs w:val="18"/>
        </w:rPr>
        <w:t xml:space="preserve">.  </w:t>
      </w:r>
      <w:r w:rsidR="009B3014" w:rsidRPr="007454AB">
        <w:rPr>
          <w:rFonts w:ascii="Arial" w:hAnsi="Arial" w:cs="Arial"/>
          <w:sz w:val="18"/>
          <w:szCs w:val="18"/>
        </w:rPr>
        <w:t>Complete data for FY</w:t>
      </w:r>
      <w:r w:rsidR="00537813" w:rsidRPr="007454AB">
        <w:rPr>
          <w:rFonts w:ascii="Arial" w:hAnsi="Arial" w:cs="Arial"/>
          <w:sz w:val="18"/>
          <w:szCs w:val="18"/>
        </w:rPr>
        <w:t xml:space="preserve">2021 </w:t>
      </w:r>
      <w:r w:rsidR="009B3014" w:rsidRPr="007454AB">
        <w:rPr>
          <w:rFonts w:ascii="Arial" w:hAnsi="Arial" w:cs="Arial"/>
          <w:sz w:val="18"/>
          <w:szCs w:val="18"/>
        </w:rPr>
        <w:t>will be available and published in the FY</w:t>
      </w:r>
      <w:r w:rsidR="00537813" w:rsidRPr="007454AB">
        <w:rPr>
          <w:rFonts w:ascii="Arial" w:hAnsi="Arial" w:cs="Arial"/>
          <w:sz w:val="18"/>
          <w:szCs w:val="18"/>
        </w:rPr>
        <w:t xml:space="preserve">2022 </w:t>
      </w:r>
      <w:r w:rsidR="009B3014" w:rsidRPr="007454AB">
        <w:rPr>
          <w:rFonts w:ascii="Arial" w:hAnsi="Arial" w:cs="Arial"/>
          <w:sz w:val="18"/>
          <w:szCs w:val="18"/>
        </w:rPr>
        <w:t>performance report.</w:t>
      </w:r>
      <w:r w:rsidR="002F33D6" w:rsidRPr="007454AB">
        <w:rPr>
          <w:rFonts w:ascii="Arial" w:hAnsi="Arial" w:cs="Arial"/>
          <w:sz w:val="18"/>
          <w:szCs w:val="18"/>
        </w:rPr>
        <w:t xml:space="preserve">  </w:t>
      </w:r>
    </w:p>
    <w:p w14:paraId="52BECE08" w14:textId="77777777" w:rsidR="002F33D6" w:rsidRPr="00EA066F" w:rsidRDefault="002F33D6" w:rsidP="00F41B7A">
      <w:pPr>
        <w:jc w:val="both"/>
        <w:rPr>
          <w:rFonts w:ascii="Arial" w:hAnsi="Arial" w:cs="Arial"/>
        </w:rPr>
      </w:pPr>
    </w:p>
    <w:p w14:paraId="75166BE3" w14:textId="77777777" w:rsidR="008C41B1" w:rsidRPr="008C41B1" w:rsidRDefault="008C41B1" w:rsidP="008C41B1">
      <w:pPr>
        <w:jc w:val="both"/>
        <w:rPr>
          <w:rFonts w:ascii="Arial" w:hAnsi="Arial" w:cs="Arial"/>
        </w:rPr>
      </w:pPr>
    </w:p>
    <w:tbl>
      <w:tblPr>
        <w:tblpPr w:leftFromText="180" w:rightFromText="180" w:vertAnchor="text" w:horzAnchor="margin" w:tblpXSpec="center" w:tblpY="-64"/>
        <w:tblW w:w="0" w:type="auto"/>
        <w:tblBorders>
          <w:top w:val="threeDEmboss" w:sz="24" w:space="0" w:color="333399"/>
          <w:left w:val="threeDEmboss" w:sz="24" w:space="0" w:color="333399"/>
          <w:bottom w:val="threeDEmboss" w:sz="24" w:space="0" w:color="333399"/>
          <w:right w:val="threeDEmboss" w:sz="24" w:space="0" w:color="333399"/>
        </w:tblBorders>
        <w:tblLook w:val="04A0" w:firstRow="1" w:lastRow="0" w:firstColumn="1" w:lastColumn="0" w:noHBand="0" w:noVBand="1"/>
      </w:tblPr>
      <w:tblGrid>
        <w:gridCol w:w="7680"/>
      </w:tblGrid>
      <w:tr w:rsidR="00477D3D" w:rsidRPr="008C41B1" w14:paraId="7523E6AB" w14:textId="77777777" w:rsidTr="00C03ECA">
        <w:tc>
          <w:tcPr>
            <w:tcW w:w="7680" w:type="dxa"/>
            <w:tcBorders>
              <w:top w:val="threeDEmboss" w:sz="24" w:space="0" w:color="333399"/>
              <w:left w:val="threeDEmboss" w:sz="24" w:space="0" w:color="333399"/>
              <w:bottom w:val="threeDEmboss" w:sz="24" w:space="0" w:color="333399"/>
              <w:right w:val="threeDEmboss" w:sz="24" w:space="0" w:color="333399"/>
            </w:tcBorders>
            <w:hideMark/>
          </w:tcPr>
          <w:p w14:paraId="10AF8BC7" w14:textId="77777777" w:rsidR="00477D3D" w:rsidRPr="008C41B1" w:rsidRDefault="00477D3D" w:rsidP="00C03ECA">
            <w:pPr>
              <w:jc w:val="center"/>
              <w:rPr>
                <w:rFonts w:ascii="Arial" w:hAnsi="Arial" w:cs="Arial"/>
                <w:b/>
                <w:bCs/>
              </w:rPr>
            </w:pPr>
            <w:r w:rsidRPr="008C41B1">
              <w:rPr>
                <w:rFonts w:ascii="Arial" w:hAnsi="Arial" w:cs="Arial"/>
                <w:b/>
                <w:bCs/>
              </w:rPr>
              <w:t>For More Information Contact</w:t>
            </w:r>
          </w:p>
          <w:p w14:paraId="39921434" w14:textId="77777777" w:rsidR="00477D3D" w:rsidRPr="008C41B1" w:rsidRDefault="00477D3D" w:rsidP="005D7FF6">
            <w:pPr>
              <w:rPr>
                <w:rFonts w:ascii="Arial" w:hAnsi="Arial" w:cs="Arial"/>
              </w:rPr>
            </w:pPr>
          </w:p>
          <w:p w14:paraId="341DF099" w14:textId="77777777" w:rsidR="00477D3D" w:rsidRPr="008C41B1" w:rsidRDefault="00477D3D" w:rsidP="00C03ECA">
            <w:pPr>
              <w:ind w:left="259"/>
              <w:rPr>
                <w:rFonts w:ascii="Arial" w:hAnsi="Arial" w:cs="Arial"/>
              </w:rPr>
            </w:pPr>
            <w:r w:rsidRPr="008C41B1">
              <w:rPr>
                <w:rFonts w:ascii="Arial" w:hAnsi="Arial" w:cs="Arial"/>
                <w:noProof/>
              </w:rPr>
              <w:t>Jane Donnellan, Administrator</w:t>
            </w:r>
          </w:p>
          <w:p w14:paraId="7BA3F206" w14:textId="77777777" w:rsidR="00477D3D" w:rsidRPr="008C41B1" w:rsidRDefault="00477D3D" w:rsidP="00C03ECA">
            <w:pPr>
              <w:ind w:left="252"/>
              <w:rPr>
                <w:rFonts w:ascii="Arial" w:hAnsi="Arial" w:cs="Arial"/>
              </w:rPr>
            </w:pPr>
            <w:r w:rsidRPr="008C41B1">
              <w:rPr>
                <w:rFonts w:ascii="Arial" w:hAnsi="Arial" w:cs="Arial"/>
                <w:noProof/>
              </w:rPr>
              <w:t>Idaho Division of Vocational Rehabilitation</w:t>
            </w:r>
          </w:p>
          <w:p w14:paraId="5B88C537" w14:textId="77777777" w:rsidR="00477D3D" w:rsidRPr="008C41B1" w:rsidRDefault="00477D3D" w:rsidP="00C03ECA">
            <w:pPr>
              <w:ind w:left="252"/>
              <w:rPr>
                <w:rFonts w:ascii="Arial" w:hAnsi="Arial" w:cs="Arial"/>
              </w:rPr>
            </w:pPr>
            <w:r w:rsidRPr="008C41B1">
              <w:rPr>
                <w:rFonts w:ascii="Arial" w:hAnsi="Arial" w:cs="Arial"/>
                <w:noProof/>
              </w:rPr>
              <w:t>650 W State St., Rm. 150</w:t>
            </w:r>
          </w:p>
          <w:p w14:paraId="2902C48B" w14:textId="77777777" w:rsidR="00477D3D" w:rsidRPr="008C41B1" w:rsidRDefault="00477D3D" w:rsidP="00C03ECA">
            <w:pPr>
              <w:ind w:left="252"/>
              <w:rPr>
                <w:rFonts w:ascii="Arial" w:hAnsi="Arial" w:cs="Arial"/>
              </w:rPr>
            </w:pPr>
            <w:r w:rsidRPr="008C41B1">
              <w:rPr>
                <w:rFonts w:ascii="Arial" w:hAnsi="Arial" w:cs="Arial"/>
                <w:noProof/>
              </w:rPr>
              <w:t>PO Box 83720</w:t>
            </w:r>
          </w:p>
          <w:p w14:paraId="6A3AE21C" w14:textId="77777777" w:rsidR="00477D3D" w:rsidRPr="008C41B1" w:rsidRDefault="00477D3D" w:rsidP="00C03ECA">
            <w:pPr>
              <w:ind w:left="252"/>
              <w:rPr>
                <w:rFonts w:ascii="Arial" w:hAnsi="Arial" w:cs="Arial"/>
              </w:rPr>
            </w:pPr>
            <w:r w:rsidRPr="008C41B1">
              <w:rPr>
                <w:rFonts w:ascii="Arial" w:hAnsi="Arial" w:cs="Arial"/>
                <w:noProof/>
              </w:rPr>
              <w:t>Boise</w:t>
            </w:r>
            <w:r w:rsidRPr="008C41B1">
              <w:rPr>
                <w:rFonts w:ascii="Arial" w:hAnsi="Arial" w:cs="Arial"/>
              </w:rPr>
              <w:t xml:space="preserve">, </w:t>
            </w:r>
            <w:r w:rsidRPr="008C41B1">
              <w:rPr>
                <w:rFonts w:ascii="Arial" w:hAnsi="Arial" w:cs="Arial"/>
                <w:noProof/>
              </w:rPr>
              <w:t>ID</w:t>
            </w:r>
            <w:r w:rsidRPr="008C41B1">
              <w:rPr>
                <w:rFonts w:ascii="Arial" w:hAnsi="Arial" w:cs="Arial"/>
              </w:rPr>
              <w:t xml:space="preserve">  </w:t>
            </w:r>
            <w:r w:rsidRPr="008C41B1">
              <w:rPr>
                <w:rFonts w:ascii="Arial" w:hAnsi="Arial" w:cs="Arial"/>
                <w:noProof/>
              </w:rPr>
              <w:t>83720-0096</w:t>
            </w:r>
          </w:p>
          <w:p w14:paraId="70012F4D" w14:textId="0B6718AA" w:rsidR="00477D3D" w:rsidRPr="008C41B1" w:rsidRDefault="00477D3D" w:rsidP="00C03ECA">
            <w:pPr>
              <w:ind w:left="252"/>
              <w:rPr>
                <w:rFonts w:ascii="Arial" w:hAnsi="Arial" w:cs="Arial"/>
                <w:szCs w:val="17"/>
              </w:rPr>
            </w:pPr>
            <w:r w:rsidRPr="008C41B1">
              <w:rPr>
                <w:rFonts w:ascii="Arial" w:hAnsi="Arial" w:cs="Arial"/>
              </w:rPr>
              <w:t>Phone: (208) 287-64</w:t>
            </w:r>
            <w:r w:rsidR="0016522B">
              <w:rPr>
                <w:rFonts w:ascii="Arial" w:hAnsi="Arial" w:cs="Arial"/>
              </w:rPr>
              <w:t>77</w:t>
            </w:r>
          </w:p>
          <w:p w14:paraId="02D80189" w14:textId="04080ECC" w:rsidR="00477D3D" w:rsidRDefault="00477D3D" w:rsidP="00C03ECA">
            <w:pPr>
              <w:ind w:left="252"/>
              <w:rPr>
                <w:rStyle w:val="Hyperlink"/>
                <w:rFonts w:ascii="Arial" w:hAnsi="Arial" w:cs="Arial"/>
                <w:szCs w:val="17"/>
                <w:lang w:val="fr-FR"/>
              </w:rPr>
            </w:pPr>
            <w:proofErr w:type="gramStart"/>
            <w:r w:rsidRPr="008C41B1">
              <w:rPr>
                <w:rFonts w:ascii="Arial" w:hAnsi="Arial" w:cs="Arial"/>
                <w:szCs w:val="17"/>
                <w:lang w:val="fr-FR"/>
              </w:rPr>
              <w:t>E-mail:</w:t>
            </w:r>
            <w:proofErr w:type="gramEnd"/>
            <w:r w:rsidRPr="008C41B1">
              <w:rPr>
                <w:rFonts w:ascii="Arial" w:hAnsi="Arial" w:cs="Arial"/>
                <w:szCs w:val="17"/>
                <w:lang w:val="fr-FR"/>
              </w:rPr>
              <w:t xml:space="preserve"> </w:t>
            </w:r>
            <w:hyperlink r:id="rId8" w:history="1">
              <w:r w:rsidR="00EC260D" w:rsidRPr="005522F9">
                <w:rPr>
                  <w:rStyle w:val="Hyperlink"/>
                  <w:rFonts w:ascii="Arial" w:hAnsi="Arial" w:cs="Arial"/>
                  <w:szCs w:val="17"/>
                  <w:lang w:val="fr-FR"/>
                </w:rPr>
                <w:t>jane.donnellan@vr.idaho.gov</w:t>
              </w:r>
            </w:hyperlink>
          </w:p>
          <w:p w14:paraId="442C54B1" w14:textId="77777777" w:rsidR="003B2672" w:rsidRDefault="003B2672" w:rsidP="00C03ECA">
            <w:pPr>
              <w:ind w:left="252"/>
              <w:rPr>
                <w:rFonts w:ascii="Arial" w:hAnsi="Arial" w:cs="Arial"/>
                <w:szCs w:val="17"/>
                <w:lang w:val="fr-FR"/>
              </w:rPr>
            </w:pPr>
          </w:p>
          <w:p w14:paraId="788082B9" w14:textId="0308C772" w:rsidR="00EC260D" w:rsidRPr="008C41B1" w:rsidRDefault="00EC260D" w:rsidP="00C03ECA">
            <w:pPr>
              <w:ind w:left="252"/>
              <w:rPr>
                <w:rFonts w:ascii="Arial" w:hAnsi="Arial" w:cs="Arial"/>
                <w:lang w:val="fr-FR"/>
              </w:rPr>
            </w:pPr>
          </w:p>
        </w:tc>
      </w:tr>
    </w:tbl>
    <w:p w14:paraId="4B7B0CD3" w14:textId="77777777" w:rsidR="00CE305E" w:rsidRPr="008C41B1" w:rsidRDefault="00CE305E" w:rsidP="009A0FAC">
      <w:pPr>
        <w:tabs>
          <w:tab w:val="left" w:pos="8295"/>
        </w:tabs>
        <w:rPr>
          <w:rFonts w:ascii="Arial" w:hAnsi="Arial" w:cs="Arial"/>
        </w:rPr>
      </w:pPr>
    </w:p>
    <w:sectPr w:rsidR="00CE305E" w:rsidRPr="008C41B1" w:rsidSect="000400B6">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4D3B" w14:textId="77777777" w:rsidR="00122C2E" w:rsidRDefault="00122C2E">
      <w:r>
        <w:separator/>
      </w:r>
    </w:p>
  </w:endnote>
  <w:endnote w:type="continuationSeparator" w:id="0">
    <w:p w14:paraId="26570F26" w14:textId="77777777" w:rsidR="00122C2E" w:rsidRDefault="0012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34914"/>
      <w:docPartObj>
        <w:docPartGallery w:val="Page Numbers (Bottom of Page)"/>
        <w:docPartUnique/>
      </w:docPartObj>
    </w:sdtPr>
    <w:sdtEndPr>
      <w:rPr>
        <w:noProof/>
      </w:rPr>
    </w:sdtEndPr>
    <w:sdtContent>
      <w:p w14:paraId="2296A60C" w14:textId="7D2F01F6" w:rsidR="00191056" w:rsidRPr="009F776F" w:rsidRDefault="00191056" w:rsidP="009F776F">
        <w:pPr>
          <w:pStyle w:val="Footer"/>
          <w:tabs>
            <w:tab w:val="clear" w:pos="4320"/>
            <w:tab w:val="clear" w:pos="8640"/>
            <w:tab w:val="center" w:pos="4680"/>
            <w:tab w:val="right" w:pos="10080"/>
          </w:tabs>
          <w:rPr>
            <w:rFonts w:ascii="Arial" w:hAnsi="Arial" w:cs="Arial"/>
          </w:rPr>
        </w:pPr>
        <w:r>
          <w:rPr>
            <w:rFonts w:ascii="Arial" w:hAnsi="Arial" w:cs="Arial"/>
          </w:rPr>
          <w:t>State of Idaho</w:t>
        </w: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B7345">
          <w:rPr>
            <w:rFonts w:ascii="Arial" w:hAnsi="Arial" w:cs="Arial"/>
            <w:noProof/>
          </w:rPr>
          <w:t>4</w:t>
        </w:r>
        <w:r>
          <w:rPr>
            <w:rFonts w:ascii="Arial" w:hAnsi="Arial" w:cs="Arial"/>
            <w:noProof/>
          </w:rPr>
          <w:fldChar w:fldCharType="end"/>
        </w:r>
      </w:p>
    </w:sdtContent>
  </w:sdt>
  <w:p w14:paraId="086CD016" w14:textId="77777777" w:rsidR="00191056" w:rsidRDefault="00191056">
    <w:pPr>
      <w:pStyle w:val="Footer"/>
      <w:tabs>
        <w:tab w:val="clear" w:pos="4320"/>
        <w:tab w:val="clear" w:pos="8640"/>
        <w:tab w:val="center" w:pos="4680"/>
        <w:tab w:val="right" w:pos="1008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C0BE" w14:textId="77777777" w:rsidR="00122C2E" w:rsidRDefault="00122C2E">
      <w:r>
        <w:separator/>
      </w:r>
    </w:p>
  </w:footnote>
  <w:footnote w:type="continuationSeparator" w:id="0">
    <w:p w14:paraId="35D34726" w14:textId="77777777" w:rsidR="00122C2E" w:rsidRDefault="0012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191056" w14:paraId="2BEF2EB9" w14:textId="77777777" w:rsidTr="00AE53FA">
      <w:tc>
        <w:tcPr>
          <w:tcW w:w="10080" w:type="dxa"/>
          <w:shd w:val="clear" w:color="auto" w:fill="000080"/>
        </w:tcPr>
        <w:p w14:paraId="521FE05D" w14:textId="48AD0B82" w:rsidR="00191056" w:rsidRDefault="00191056" w:rsidP="00CF737E">
          <w:pPr>
            <w:tabs>
              <w:tab w:val="right" w:pos="9852"/>
            </w:tabs>
            <w:rPr>
              <w:rFonts w:ascii="Arial" w:hAnsi="Arial" w:cs="Arial"/>
              <w:color w:val="FFFFFF"/>
            </w:rPr>
          </w:pPr>
          <w:r>
            <w:rPr>
              <w:rFonts w:ascii="Arial" w:hAnsi="Arial" w:cs="Arial"/>
              <w:b/>
              <w:bCs/>
              <w:noProof/>
              <w:color w:val="FFFFFF"/>
            </w:rPr>
            <w:t>Vocational Rehabilitation, Idaho Division of</w:t>
          </w:r>
          <w:r>
            <w:rPr>
              <w:rFonts w:ascii="Arial" w:hAnsi="Arial" w:cs="Arial"/>
              <w:b/>
              <w:bCs/>
              <w:color w:val="FFFFFF"/>
            </w:rPr>
            <w:tab/>
          </w:r>
          <w:r>
            <w:rPr>
              <w:rFonts w:ascii="Arial" w:hAnsi="Arial" w:cs="Arial"/>
              <w:color w:val="FFFFFF"/>
            </w:rPr>
            <w:t>Performance Report</w:t>
          </w:r>
        </w:p>
      </w:tc>
    </w:tr>
    <w:tr w:rsidR="00191056" w14:paraId="5F6B7C10" w14:textId="77777777" w:rsidTr="00AE53FA">
      <w:trPr>
        <w:trHeight w:hRule="exact" w:val="90"/>
      </w:trPr>
      <w:tc>
        <w:tcPr>
          <w:tcW w:w="10080" w:type="dxa"/>
          <w:tcBorders>
            <w:top w:val="nil"/>
          </w:tcBorders>
        </w:tcPr>
        <w:p w14:paraId="11E02801" w14:textId="77777777" w:rsidR="00191056" w:rsidRDefault="00191056" w:rsidP="00191056"/>
      </w:tc>
    </w:tr>
    <w:tr w:rsidR="00191056" w14:paraId="7F0DDF69" w14:textId="77777777" w:rsidTr="00AE53FA">
      <w:tc>
        <w:tcPr>
          <w:tcW w:w="10080" w:type="dxa"/>
          <w:tcBorders>
            <w:bottom w:val="nil"/>
          </w:tcBorders>
          <w:shd w:val="clear" w:color="auto" w:fill="000080"/>
        </w:tcPr>
        <w:p w14:paraId="39835984" w14:textId="77777777" w:rsidR="00191056" w:rsidRDefault="00191056" w:rsidP="00191056"/>
      </w:tc>
    </w:tr>
  </w:tbl>
  <w:p w14:paraId="5240C3C4" w14:textId="77777777" w:rsidR="00191056" w:rsidRDefault="00191056" w:rsidP="00D0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3F5"/>
    <w:multiLevelType w:val="hybridMultilevel"/>
    <w:tmpl w:val="E22E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B06"/>
    <w:multiLevelType w:val="hybridMultilevel"/>
    <w:tmpl w:val="4A0E819C"/>
    <w:lvl w:ilvl="0" w:tplc="740EC850">
      <w:start w:val="1"/>
      <w:numFmt w:val="lowerLetter"/>
      <w:lvlText w:val="%1."/>
      <w:lvlJc w:val="left"/>
      <w:pPr>
        <w:tabs>
          <w:tab w:val="num" w:pos="720"/>
        </w:tabs>
        <w:ind w:left="720" w:hanging="360"/>
      </w:pPr>
      <w:rPr>
        <w:rFonts w:cs="Times New Roman" w:hint="default"/>
        <w:b/>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76669"/>
    <w:multiLevelType w:val="hybridMultilevel"/>
    <w:tmpl w:val="7EF04FDE"/>
    <w:lvl w:ilvl="0" w:tplc="B08437A6">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EF38DA"/>
    <w:multiLevelType w:val="hybridMultilevel"/>
    <w:tmpl w:val="7F541C54"/>
    <w:lvl w:ilvl="0" w:tplc="301E6758">
      <w:start w:val="4"/>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9614DC8"/>
    <w:multiLevelType w:val="hybridMultilevel"/>
    <w:tmpl w:val="8C3C596C"/>
    <w:lvl w:ilvl="0" w:tplc="B7D2639E">
      <w:start w:val="1"/>
      <w:numFmt w:val="decimal"/>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ADC101A"/>
    <w:multiLevelType w:val="hybridMultilevel"/>
    <w:tmpl w:val="6DC80C64"/>
    <w:lvl w:ilvl="0" w:tplc="8AD48840">
      <w:start w:val="71"/>
      <w:numFmt w:val="bullet"/>
      <w:lvlText w:val=""/>
      <w:lvlJc w:val="left"/>
      <w:pPr>
        <w:ind w:left="720" w:hanging="360"/>
      </w:pPr>
      <w:rPr>
        <w:rFonts w:ascii="Symbol" w:eastAsia="Times New Roman"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01983"/>
    <w:multiLevelType w:val="hybridMultilevel"/>
    <w:tmpl w:val="B7D86B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7755EF3"/>
    <w:multiLevelType w:val="hybridMultilevel"/>
    <w:tmpl w:val="E22E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0106"/>
    <w:multiLevelType w:val="hybridMultilevel"/>
    <w:tmpl w:val="E354BCD4"/>
    <w:lvl w:ilvl="0" w:tplc="50FC2D4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32D87"/>
    <w:multiLevelType w:val="hybridMultilevel"/>
    <w:tmpl w:val="7BB8E0F4"/>
    <w:lvl w:ilvl="0" w:tplc="B08437A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583EDB"/>
    <w:multiLevelType w:val="hybridMultilevel"/>
    <w:tmpl w:val="42260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36B35"/>
    <w:multiLevelType w:val="hybridMultilevel"/>
    <w:tmpl w:val="4080DB04"/>
    <w:lvl w:ilvl="0" w:tplc="D182FBE0">
      <w:start w:val="1"/>
      <w:numFmt w:val="decimal"/>
      <w:lvlText w:val="%1."/>
      <w:lvlJc w:val="left"/>
      <w:pPr>
        <w:tabs>
          <w:tab w:val="num" w:pos="720"/>
        </w:tabs>
        <w:ind w:left="720" w:hanging="360"/>
      </w:pPr>
      <w:rPr>
        <w:rFonts w:cs="Times New Roman"/>
      </w:rPr>
    </w:lvl>
    <w:lvl w:ilvl="1" w:tplc="705293EC" w:tentative="1">
      <w:start w:val="1"/>
      <w:numFmt w:val="decimal"/>
      <w:lvlText w:val="%2."/>
      <w:lvlJc w:val="left"/>
      <w:pPr>
        <w:tabs>
          <w:tab w:val="num" w:pos="1440"/>
        </w:tabs>
        <w:ind w:left="1440" w:hanging="360"/>
      </w:pPr>
      <w:rPr>
        <w:rFonts w:cs="Times New Roman"/>
      </w:rPr>
    </w:lvl>
    <w:lvl w:ilvl="2" w:tplc="3D369B34" w:tentative="1">
      <w:start w:val="1"/>
      <w:numFmt w:val="decimal"/>
      <w:lvlText w:val="%3."/>
      <w:lvlJc w:val="left"/>
      <w:pPr>
        <w:tabs>
          <w:tab w:val="num" w:pos="2160"/>
        </w:tabs>
        <w:ind w:left="2160" w:hanging="360"/>
      </w:pPr>
      <w:rPr>
        <w:rFonts w:cs="Times New Roman"/>
      </w:rPr>
    </w:lvl>
    <w:lvl w:ilvl="3" w:tplc="B86239B4" w:tentative="1">
      <w:start w:val="1"/>
      <w:numFmt w:val="decimal"/>
      <w:lvlText w:val="%4."/>
      <w:lvlJc w:val="left"/>
      <w:pPr>
        <w:tabs>
          <w:tab w:val="num" w:pos="2880"/>
        </w:tabs>
        <w:ind w:left="2880" w:hanging="360"/>
      </w:pPr>
      <w:rPr>
        <w:rFonts w:cs="Times New Roman"/>
      </w:rPr>
    </w:lvl>
    <w:lvl w:ilvl="4" w:tplc="06F07564" w:tentative="1">
      <w:start w:val="1"/>
      <w:numFmt w:val="decimal"/>
      <w:lvlText w:val="%5."/>
      <w:lvlJc w:val="left"/>
      <w:pPr>
        <w:tabs>
          <w:tab w:val="num" w:pos="3600"/>
        </w:tabs>
        <w:ind w:left="3600" w:hanging="360"/>
      </w:pPr>
      <w:rPr>
        <w:rFonts w:cs="Times New Roman"/>
      </w:rPr>
    </w:lvl>
    <w:lvl w:ilvl="5" w:tplc="125A4A64" w:tentative="1">
      <w:start w:val="1"/>
      <w:numFmt w:val="decimal"/>
      <w:lvlText w:val="%6."/>
      <w:lvlJc w:val="left"/>
      <w:pPr>
        <w:tabs>
          <w:tab w:val="num" w:pos="4320"/>
        </w:tabs>
        <w:ind w:left="4320" w:hanging="360"/>
      </w:pPr>
      <w:rPr>
        <w:rFonts w:cs="Times New Roman"/>
      </w:rPr>
    </w:lvl>
    <w:lvl w:ilvl="6" w:tplc="2E6EA522" w:tentative="1">
      <w:start w:val="1"/>
      <w:numFmt w:val="decimal"/>
      <w:lvlText w:val="%7."/>
      <w:lvlJc w:val="left"/>
      <w:pPr>
        <w:tabs>
          <w:tab w:val="num" w:pos="5040"/>
        </w:tabs>
        <w:ind w:left="5040" w:hanging="360"/>
      </w:pPr>
      <w:rPr>
        <w:rFonts w:cs="Times New Roman"/>
      </w:rPr>
    </w:lvl>
    <w:lvl w:ilvl="7" w:tplc="791CA6F2" w:tentative="1">
      <w:start w:val="1"/>
      <w:numFmt w:val="decimal"/>
      <w:lvlText w:val="%8."/>
      <w:lvlJc w:val="left"/>
      <w:pPr>
        <w:tabs>
          <w:tab w:val="num" w:pos="5760"/>
        </w:tabs>
        <w:ind w:left="5760" w:hanging="360"/>
      </w:pPr>
      <w:rPr>
        <w:rFonts w:cs="Times New Roman"/>
      </w:rPr>
    </w:lvl>
    <w:lvl w:ilvl="8" w:tplc="39F24EC8" w:tentative="1">
      <w:start w:val="1"/>
      <w:numFmt w:val="decimal"/>
      <w:lvlText w:val="%9."/>
      <w:lvlJc w:val="left"/>
      <w:pPr>
        <w:tabs>
          <w:tab w:val="num" w:pos="6480"/>
        </w:tabs>
        <w:ind w:left="6480" w:hanging="360"/>
      </w:pPr>
      <w:rPr>
        <w:rFonts w:cs="Times New Roman"/>
      </w:rPr>
    </w:lvl>
  </w:abstractNum>
  <w:abstractNum w:abstractNumId="12" w15:restartNumberingAfterBreak="0">
    <w:nsid w:val="442C09C6"/>
    <w:multiLevelType w:val="hybridMultilevel"/>
    <w:tmpl w:val="3E326BD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E11343C"/>
    <w:multiLevelType w:val="hybridMultilevel"/>
    <w:tmpl w:val="455A0294"/>
    <w:lvl w:ilvl="0" w:tplc="B08437A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CF0CDF"/>
    <w:multiLevelType w:val="hybridMultilevel"/>
    <w:tmpl w:val="9AB2435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802075B"/>
    <w:multiLevelType w:val="hybridMultilevel"/>
    <w:tmpl w:val="D55A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023C3B"/>
    <w:multiLevelType w:val="hybridMultilevel"/>
    <w:tmpl w:val="3C18C3B8"/>
    <w:lvl w:ilvl="0" w:tplc="030ADEA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945F9"/>
    <w:multiLevelType w:val="hybridMultilevel"/>
    <w:tmpl w:val="5D366F54"/>
    <w:lvl w:ilvl="0" w:tplc="8788DED4">
      <w:start w:val="1"/>
      <w:numFmt w:val="decimal"/>
      <w:lvlText w:val="%1."/>
      <w:lvlJc w:val="left"/>
      <w:pPr>
        <w:tabs>
          <w:tab w:val="num" w:pos="720"/>
        </w:tabs>
        <w:ind w:left="720" w:hanging="360"/>
      </w:pPr>
      <w:rPr>
        <w:rFonts w:cs="Times New Roman"/>
      </w:rPr>
    </w:lvl>
    <w:lvl w:ilvl="1" w:tplc="FAA669F8">
      <w:start w:val="1"/>
      <w:numFmt w:val="decimal"/>
      <w:lvlText w:val="%2."/>
      <w:lvlJc w:val="left"/>
      <w:pPr>
        <w:tabs>
          <w:tab w:val="num" w:pos="1440"/>
        </w:tabs>
        <w:ind w:left="1440" w:hanging="360"/>
      </w:pPr>
      <w:rPr>
        <w:rFonts w:cs="Times New Roman"/>
      </w:rPr>
    </w:lvl>
    <w:lvl w:ilvl="2" w:tplc="CB94790E" w:tentative="1">
      <w:start w:val="1"/>
      <w:numFmt w:val="decimal"/>
      <w:lvlText w:val="%3."/>
      <w:lvlJc w:val="left"/>
      <w:pPr>
        <w:tabs>
          <w:tab w:val="num" w:pos="2160"/>
        </w:tabs>
        <w:ind w:left="2160" w:hanging="360"/>
      </w:pPr>
      <w:rPr>
        <w:rFonts w:cs="Times New Roman"/>
      </w:rPr>
    </w:lvl>
    <w:lvl w:ilvl="3" w:tplc="7884FFF0" w:tentative="1">
      <w:start w:val="1"/>
      <w:numFmt w:val="decimal"/>
      <w:lvlText w:val="%4."/>
      <w:lvlJc w:val="left"/>
      <w:pPr>
        <w:tabs>
          <w:tab w:val="num" w:pos="2880"/>
        </w:tabs>
        <w:ind w:left="2880" w:hanging="360"/>
      </w:pPr>
      <w:rPr>
        <w:rFonts w:cs="Times New Roman"/>
      </w:rPr>
    </w:lvl>
    <w:lvl w:ilvl="4" w:tplc="57A266DE" w:tentative="1">
      <w:start w:val="1"/>
      <w:numFmt w:val="decimal"/>
      <w:lvlText w:val="%5."/>
      <w:lvlJc w:val="left"/>
      <w:pPr>
        <w:tabs>
          <w:tab w:val="num" w:pos="3600"/>
        </w:tabs>
        <w:ind w:left="3600" w:hanging="360"/>
      </w:pPr>
      <w:rPr>
        <w:rFonts w:cs="Times New Roman"/>
      </w:rPr>
    </w:lvl>
    <w:lvl w:ilvl="5" w:tplc="BE101F54" w:tentative="1">
      <w:start w:val="1"/>
      <w:numFmt w:val="decimal"/>
      <w:lvlText w:val="%6."/>
      <w:lvlJc w:val="left"/>
      <w:pPr>
        <w:tabs>
          <w:tab w:val="num" w:pos="4320"/>
        </w:tabs>
        <w:ind w:left="4320" w:hanging="360"/>
      </w:pPr>
      <w:rPr>
        <w:rFonts w:cs="Times New Roman"/>
      </w:rPr>
    </w:lvl>
    <w:lvl w:ilvl="6" w:tplc="4732DC10" w:tentative="1">
      <w:start w:val="1"/>
      <w:numFmt w:val="decimal"/>
      <w:lvlText w:val="%7."/>
      <w:lvlJc w:val="left"/>
      <w:pPr>
        <w:tabs>
          <w:tab w:val="num" w:pos="5040"/>
        </w:tabs>
        <w:ind w:left="5040" w:hanging="360"/>
      </w:pPr>
      <w:rPr>
        <w:rFonts w:cs="Times New Roman"/>
      </w:rPr>
    </w:lvl>
    <w:lvl w:ilvl="7" w:tplc="080039A6" w:tentative="1">
      <w:start w:val="1"/>
      <w:numFmt w:val="decimal"/>
      <w:lvlText w:val="%8."/>
      <w:lvlJc w:val="left"/>
      <w:pPr>
        <w:tabs>
          <w:tab w:val="num" w:pos="5760"/>
        </w:tabs>
        <w:ind w:left="5760" w:hanging="360"/>
      </w:pPr>
      <w:rPr>
        <w:rFonts w:cs="Times New Roman"/>
      </w:rPr>
    </w:lvl>
    <w:lvl w:ilvl="8" w:tplc="12688838" w:tentative="1">
      <w:start w:val="1"/>
      <w:numFmt w:val="decimal"/>
      <w:lvlText w:val="%9."/>
      <w:lvlJc w:val="left"/>
      <w:pPr>
        <w:tabs>
          <w:tab w:val="num" w:pos="6480"/>
        </w:tabs>
        <w:ind w:left="6480" w:hanging="360"/>
      </w:pPr>
      <w:rPr>
        <w:rFonts w:cs="Times New Roman"/>
      </w:rPr>
    </w:lvl>
  </w:abstractNum>
  <w:num w:numId="1" w16cid:durableId="2093965602">
    <w:abstractNumId w:val="11"/>
  </w:num>
  <w:num w:numId="2" w16cid:durableId="1041326757">
    <w:abstractNumId w:val="17"/>
  </w:num>
  <w:num w:numId="3" w16cid:durableId="242537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018205">
    <w:abstractNumId w:val="13"/>
  </w:num>
  <w:num w:numId="5" w16cid:durableId="1233540493">
    <w:abstractNumId w:val="2"/>
  </w:num>
  <w:num w:numId="6" w16cid:durableId="537280418">
    <w:abstractNumId w:val="1"/>
  </w:num>
  <w:num w:numId="7" w16cid:durableId="1053697953">
    <w:abstractNumId w:val="9"/>
  </w:num>
  <w:num w:numId="8" w16cid:durableId="1021123203">
    <w:abstractNumId w:val="6"/>
  </w:num>
  <w:num w:numId="9" w16cid:durableId="700204917">
    <w:abstractNumId w:val="12"/>
  </w:num>
  <w:num w:numId="10" w16cid:durableId="339625996">
    <w:abstractNumId w:val="14"/>
  </w:num>
  <w:num w:numId="11" w16cid:durableId="1244484934">
    <w:abstractNumId w:val="4"/>
  </w:num>
  <w:num w:numId="12" w16cid:durableId="1681663403">
    <w:abstractNumId w:val="8"/>
  </w:num>
  <w:num w:numId="13" w16cid:durableId="2086418242">
    <w:abstractNumId w:val="7"/>
  </w:num>
  <w:num w:numId="14" w16cid:durableId="1119448597">
    <w:abstractNumId w:val="16"/>
  </w:num>
  <w:num w:numId="15" w16cid:durableId="1096748108">
    <w:abstractNumId w:val="0"/>
  </w:num>
  <w:num w:numId="16" w16cid:durableId="1943806646">
    <w:abstractNumId w:val="3"/>
  </w:num>
  <w:num w:numId="17" w16cid:durableId="501314483">
    <w:abstractNumId w:val="10"/>
  </w:num>
  <w:num w:numId="18" w16cid:durableId="2029137876">
    <w:abstractNumId w:val="15"/>
  </w:num>
  <w:num w:numId="19" w16cid:durableId="1305967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FF"/>
    <w:rsid w:val="00010927"/>
    <w:rsid w:val="000137BA"/>
    <w:rsid w:val="000143BC"/>
    <w:rsid w:val="00016644"/>
    <w:rsid w:val="00020647"/>
    <w:rsid w:val="0002187E"/>
    <w:rsid w:val="000233A0"/>
    <w:rsid w:val="00026758"/>
    <w:rsid w:val="000310CB"/>
    <w:rsid w:val="000400B6"/>
    <w:rsid w:val="00046246"/>
    <w:rsid w:val="00053E6A"/>
    <w:rsid w:val="0006077F"/>
    <w:rsid w:val="00060FB0"/>
    <w:rsid w:val="00065456"/>
    <w:rsid w:val="00066C6B"/>
    <w:rsid w:val="00066D40"/>
    <w:rsid w:val="00070489"/>
    <w:rsid w:val="000862CE"/>
    <w:rsid w:val="00087F09"/>
    <w:rsid w:val="00090A5C"/>
    <w:rsid w:val="00091855"/>
    <w:rsid w:val="0009204B"/>
    <w:rsid w:val="00096EFD"/>
    <w:rsid w:val="000A1FBC"/>
    <w:rsid w:val="000B0A06"/>
    <w:rsid w:val="000B3689"/>
    <w:rsid w:val="000B58E0"/>
    <w:rsid w:val="000B63E5"/>
    <w:rsid w:val="000C2FC5"/>
    <w:rsid w:val="000C64A0"/>
    <w:rsid w:val="000C6D9F"/>
    <w:rsid w:val="000C710A"/>
    <w:rsid w:val="000D0FB3"/>
    <w:rsid w:val="000D1F1F"/>
    <w:rsid w:val="000D6B74"/>
    <w:rsid w:val="000E24F3"/>
    <w:rsid w:val="000F0187"/>
    <w:rsid w:val="000F6315"/>
    <w:rsid w:val="001019BB"/>
    <w:rsid w:val="00102AA8"/>
    <w:rsid w:val="001113DD"/>
    <w:rsid w:val="0011289A"/>
    <w:rsid w:val="00112AA4"/>
    <w:rsid w:val="0011631B"/>
    <w:rsid w:val="00120CFF"/>
    <w:rsid w:val="00121117"/>
    <w:rsid w:val="00122388"/>
    <w:rsid w:val="00122C2E"/>
    <w:rsid w:val="00126FA1"/>
    <w:rsid w:val="001306CA"/>
    <w:rsid w:val="00131DD2"/>
    <w:rsid w:val="00134765"/>
    <w:rsid w:val="00140BCA"/>
    <w:rsid w:val="001411E8"/>
    <w:rsid w:val="00143E67"/>
    <w:rsid w:val="00152178"/>
    <w:rsid w:val="00152308"/>
    <w:rsid w:val="00161B7F"/>
    <w:rsid w:val="0016261D"/>
    <w:rsid w:val="0016323B"/>
    <w:rsid w:val="0016522B"/>
    <w:rsid w:val="00166BA2"/>
    <w:rsid w:val="00171AB4"/>
    <w:rsid w:val="00171B18"/>
    <w:rsid w:val="00172CD6"/>
    <w:rsid w:val="0017371E"/>
    <w:rsid w:val="00182912"/>
    <w:rsid w:val="00190976"/>
    <w:rsid w:val="00191056"/>
    <w:rsid w:val="001A47E5"/>
    <w:rsid w:val="001A63D6"/>
    <w:rsid w:val="001B0538"/>
    <w:rsid w:val="001B656E"/>
    <w:rsid w:val="001B74FA"/>
    <w:rsid w:val="001D1E26"/>
    <w:rsid w:val="001D3193"/>
    <w:rsid w:val="001D6AB5"/>
    <w:rsid w:val="001D78ED"/>
    <w:rsid w:val="001E5CF7"/>
    <w:rsid w:val="001F46AE"/>
    <w:rsid w:val="002039FC"/>
    <w:rsid w:val="00203BED"/>
    <w:rsid w:val="0020443F"/>
    <w:rsid w:val="00205828"/>
    <w:rsid w:val="002118E3"/>
    <w:rsid w:val="00211C08"/>
    <w:rsid w:val="00214B69"/>
    <w:rsid w:val="00220C79"/>
    <w:rsid w:val="00223BEE"/>
    <w:rsid w:val="0022640F"/>
    <w:rsid w:val="0023638F"/>
    <w:rsid w:val="00240C08"/>
    <w:rsid w:val="00244E26"/>
    <w:rsid w:val="00246765"/>
    <w:rsid w:val="002525CD"/>
    <w:rsid w:val="002558E0"/>
    <w:rsid w:val="0025616B"/>
    <w:rsid w:val="002563D7"/>
    <w:rsid w:val="00256ED9"/>
    <w:rsid w:val="00262ADC"/>
    <w:rsid w:val="00271471"/>
    <w:rsid w:val="00277C55"/>
    <w:rsid w:val="0028111A"/>
    <w:rsid w:val="00281477"/>
    <w:rsid w:val="00282333"/>
    <w:rsid w:val="00284F3C"/>
    <w:rsid w:val="0028655A"/>
    <w:rsid w:val="00290ED8"/>
    <w:rsid w:val="00291984"/>
    <w:rsid w:val="00291D9C"/>
    <w:rsid w:val="00292B02"/>
    <w:rsid w:val="0029441D"/>
    <w:rsid w:val="0029579A"/>
    <w:rsid w:val="00297EE1"/>
    <w:rsid w:val="002A16D8"/>
    <w:rsid w:val="002A2003"/>
    <w:rsid w:val="002A2A29"/>
    <w:rsid w:val="002A3447"/>
    <w:rsid w:val="002B0D85"/>
    <w:rsid w:val="002B3775"/>
    <w:rsid w:val="002B7E5F"/>
    <w:rsid w:val="002C122C"/>
    <w:rsid w:val="002C1895"/>
    <w:rsid w:val="002C2079"/>
    <w:rsid w:val="002D39F0"/>
    <w:rsid w:val="002D6930"/>
    <w:rsid w:val="002E6AB0"/>
    <w:rsid w:val="002E6E03"/>
    <w:rsid w:val="002E6E3F"/>
    <w:rsid w:val="002F0438"/>
    <w:rsid w:val="002F1705"/>
    <w:rsid w:val="002F33D6"/>
    <w:rsid w:val="002F699E"/>
    <w:rsid w:val="002F7A8B"/>
    <w:rsid w:val="0030123C"/>
    <w:rsid w:val="00302F17"/>
    <w:rsid w:val="0030353B"/>
    <w:rsid w:val="0030390B"/>
    <w:rsid w:val="00312A8D"/>
    <w:rsid w:val="003136C6"/>
    <w:rsid w:val="00313782"/>
    <w:rsid w:val="00317F17"/>
    <w:rsid w:val="00323E2F"/>
    <w:rsid w:val="00324F8F"/>
    <w:rsid w:val="00325DFF"/>
    <w:rsid w:val="003324AA"/>
    <w:rsid w:val="003378FA"/>
    <w:rsid w:val="00345258"/>
    <w:rsid w:val="00345BCE"/>
    <w:rsid w:val="00353D81"/>
    <w:rsid w:val="00356D8D"/>
    <w:rsid w:val="00360233"/>
    <w:rsid w:val="00360CA1"/>
    <w:rsid w:val="0037198D"/>
    <w:rsid w:val="003771F6"/>
    <w:rsid w:val="003778F8"/>
    <w:rsid w:val="003814FA"/>
    <w:rsid w:val="00381EAF"/>
    <w:rsid w:val="00385E0C"/>
    <w:rsid w:val="003868DB"/>
    <w:rsid w:val="00390C46"/>
    <w:rsid w:val="00390F8A"/>
    <w:rsid w:val="003965CF"/>
    <w:rsid w:val="00397442"/>
    <w:rsid w:val="003A5405"/>
    <w:rsid w:val="003B22D5"/>
    <w:rsid w:val="003B2672"/>
    <w:rsid w:val="003B4580"/>
    <w:rsid w:val="003B47EA"/>
    <w:rsid w:val="003B553E"/>
    <w:rsid w:val="003C5889"/>
    <w:rsid w:val="003D33E1"/>
    <w:rsid w:val="003D5081"/>
    <w:rsid w:val="003E22DA"/>
    <w:rsid w:val="003E607F"/>
    <w:rsid w:val="003F35E3"/>
    <w:rsid w:val="00402C8C"/>
    <w:rsid w:val="0041028E"/>
    <w:rsid w:val="0041384E"/>
    <w:rsid w:val="004215F8"/>
    <w:rsid w:val="004217B4"/>
    <w:rsid w:val="00423684"/>
    <w:rsid w:val="00430212"/>
    <w:rsid w:val="00435D7E"/>
    <w:rsid w:val="00441224"/>
    <w:rsid w:val="00441859"/>
    <w:rsid w:val="00443E2C"/>
    <w:rsid w:val="00445D43"/>
    <w:rsid w:val="004462AC"/>
    <w:rsid w:val="00446915"/>
    <w:rsid w:val="00446C6C"/>
    <w:rsid w:val="0045075A"/>
    <w:rsid w:val="00453450"/>
    <w:rsid w:val="004548C3"/>
    <w:rsid w:val="00463217"/>
    <w:rsid w:val="00463F98"/>
    <w:rsid w:val="004724B1"/>
    <w:rsid w:val="00473899"/>
    <w:rsid w:val="00474E1A"/>
    <w:rsid w:val="00477D3D"/>
    <w:rsid w:val="00487CFB"/>
    <w:rsid w:val="00492EB1"/>
    <w:rsid w:val="004943E0"/>
    <w:rsid w:val="004A4617"/>
    <w:rsid w:val="004B2792"/>
    <w:rsid w:val="004B679F"/>
    <w:rsid w:val="004C2762"/>
    <w:rsid w:val="004C2C4D"/>
    <w:rsid w:val="004C3FDF"/>
    <w:rsid w:val="004C4D89"/>
    <w:rsid w:val="004C60F1"/>
    <w:rsid w:val="004C6B86"/>
    <w:rsid w:val="004D0686"/>
    <w:rsid w:val="004D24EB"/>
    <w:rsid w:val="004D3B3F"/>
    <w:rsid w:val="004D5132"/>
    <w:rsid w:val="004E05BF"/>
    <w:rsid w:val="004E0DC3"/>
    <w:rsid w:val="004E377C"/>
    <w:rsid w:val="004E50C9"/>
    <w:rsid w:val="004F0D94"/>
    <w:rsid w:val="00503D92"/>
    <w:rsid w:val="00504632"/>
    <w:rsid w:val="00504788"/>
    <w:rsid w:val="00506D08"/>
    <w:rsid w:val="005105CB"/>
    <w:rsid w:val="00510C5A"/>
    <w:rsid w:val="005238F3"/>
    <w:rsid w:val="00534383"/>
    <w:rsid w:val="005353BF"/>
    <w:rsid w:val="0053613D"/>
    <w:rsid w:val="005368B3"/>
    <w:rsid w:val="005371AC"/>
    <w:rsid w:val="00537813"/>
    <w:rsid w:val="005434C0"/>
    <w:rsid w:val="00563554"/>
    <w:rsid w:val="00566A06"/>
    <w:rsid w:val="00574621"/>
    <w:rsid w:val="005766C9"/>
    <w:rsid w:val="00583763"/>
    <w:rsid w:val="00584C95"/>
    <w:rsid w:val="00590074"/>
    <w:rsid w:val="005925A6"/>
    <w:rsid w:val="005930CA"/>
    <w:rsid w:val="005944ED"/>
    <w:rsid w:val="00596BBB"/>
    <w:rsid w:val="00596C37"/>
    <w:rsid w:val="005A62F2"/>
    <w:rsid w:val="005A73F9"/>
    <w:rsid w:val="005B2BC0"/>
    <w:rsid w:val="005B2F10"/>
    <w:rsid w:val="005B3D09"/>
    <w:rsid w:val="005B5227"/>
    <w:rsid w:val="005B535F"/>
    <w:rsid w:val="005B5F98"/>
    <w:rsid w:val="005B74A1"/>
    <w:rsid w:val="005C2EE2"/>
    <w:rsid w:val="005C3B1E"/>
    <w:rsid w:val="005C4D76"/>
    <w:rsid w:val="005C5ACD"/>
    <w:rsid w:val="005C73F1"/>
    <w:rsid w:val="005D08A1"/>
    <w:rsid w:val="005D3C50"/>
    <w:rsid w:val="005D7FF6"/>
    <w:rsid w:val="005E0AD2"/>
    <w:rsid w:val="005E1D96"/>
    <w:rsid w:val="005F78B4"/>
    <w:rsid w:val="006009C2"/>
    <w:rsid w:val="00610D62"/>
    <w:rsid w:val="00614B0D"/>
    <w:rsid w:val="00623141"/>
    <w:rsid w:val="00630298"/>
    <w:rsid w:val="00630505"/>
    <w:rsid w:val="006318FA"/>
    <w:rsid w:val="00635447"/>
    <w:rsid w:val="00636B39"/>
    <w:rsid w:val="00637220"/>
    <w:rsid w:val="0063757E"/>
    <w:rsid w:val="00643E73"/>
    <w:rsid w:val="0064610E"/>
    <w:rsid w:val="00646451"/>
    <w:rsid w:val="0065201B"/>
    <w:rsid w:val="00652227"/>
    <w:rsid w:val="006536AC"/>
    <w:rsid w:val="006574B7"/>
    <w:rsid w:val="00660655"/>
    <w:rsid w:val="00663AD6"/>
    <w:rsid w:val="00680009"/>
    <w:rsid w:val="0068195A"/>
    <w:rsid w:val="00682C1E"/>
    <w:rsid w:val="006834EF"/>
    <w:rsid w:val="00693977"/>
    <w:rsid w:val="006A2DCF"/>
    <w:rsid w:val="006A5687"/>
    <w:rsid w:val="006B0826"/>
    <w:rsid w:val="006B2659"/>
    <w:rsid w:val="006B4F13"/>
    <w:rsid w:val="006B5733"/>
    <w:rsid w:val="006B77AC"/>
    <w:rsid w:val="006B7D20"/>
    <w:rsid w:val="006C44C1"/>
    <w:rsid w:val="006C657D"/>
    <w:rsid w:val="006D2759"/>
    <w:rsid w:val="006D3221"/>
    <w:rsid w:val="006D3C2A"/>
    <w:rsid w:val="006D41AC"/>
    <w:rsid w:val="006D60F5"/>
    <w:rsid w:val="006E16C8"/>
    <w:rsid w:val="006E256D"/>
    <w:rsid w:val="006E7DCB"/>
    <w:rsid w:val="006F7DF7"/>
    <w:rsid w:val="00701FF3"/>
    <w:rsid w:val="00703519"/>
    <w:rsid w:val="00706BA5"/>
    <w:rsid w:val="007103CE"/>
    <w:rsid w:val="00710DBA"/>
    <w:rsid w:val="00712367"/>
    <w:rsid w:val="00712B81"/>
    <w:rsid w:val="00714FCC"/>
    <w:rsid w:val="0072070F"/>
    <w:rsid w:val="00721C17"/>
    <w:rsid w:val="00735804"/>
    <w:rsid w:val="00741FBC"/>
    <w:rsid w:val="00743EE3"/>
    <w:rsid w:val="007454AB"/>
    <w:rsid w:val="007527C5"/>
    <w:rsid w:val="007564AA"/>
    <w:rsid w:val="00757BC7"/>
    <w:rsid w:val="00757EFD"/>
    <w:rsid w:val="0076136F"/>
    <w:rsid w:val="0076137A"/>
    <w:rsid w:val="0077224F"/>
    <w:rsid w:val="0077234A"/>
    <w:rsid w:val="00772ED6"/>
    <w:rsid w:val="00781D8C"/>
    <w:rsid w:val="00783D5C"/>
    <w:rsid w:val="007840AF"/>
    <w:rsid w:val="00790EC9"/>
    <w:rsid w:val="00791427"/>
    <w:rsid w:val="0079516D"/>
    <w:rsid w:val="00797A49"/>
    <w:rsid w:val="007A1BE7"/>
    <w:rsid w:val="007A5E84"/>
    <w:rsid w:val="007B3DB4"/>
    <w:rsid w:val="007B3FCC"/>
    <w:rsid w:val="007B4D98"/>
    <w:rsid w:val="007B7345"/>
    <w:rsid w:val="007C194E"/>
    <w:rsid w:val="007C2E7A"/>
    <w:rsid w:val="007C4893"/>
    <w:rsid w:val="007C55BD"/>
    <w:rsid w:val="007D1559"/>
    <w:rsid w:val="007D2818"/>
    <w:rsid w:val="007D5BDC"/>
    <w:rsid w:val="007E0930"/>
    <w:rsid w:val="007E32CE"/>
    <w:rsid w:val="007E3F92"/>
    <w:rsid w:val="007E6F37"/>
    <w:rsid w:val="007E7680"/>
    <w:rsid w:val="007F23C3"/>
    <w:rsid w:val="00804B5C"/>
    <w:rsid w:val="00805CBF"/>
    <w:rsid w:val="00811BA8"/>
    <w:rsid w:val="00813701"/>
    <w:rsid w:val="00814DAB"/>
    <w:rsid w:val="0081612C"/>
    <w:rsid w:val="0081615D"/>
    <w:rsid w:val="00816990"/>
    <w:rsid w:val="00817689"/>
    <w:rsid w:val="00821FB9"/>
    <w:rsid w:val="00826562"/>
    <w:rsid w:val="00827B36"/>
    <w:rsid w:val="00831C0F"/>
    <w:rsid w:val="00833FDD"/>
    <w:rsid w:val="00835C3A"/>
    <w:rsid w:val="008455B3"/>
    <w:rsid w:val="00855A09"/>
    <w:rsid w:val="008568A1"/>
    <w:rsid w:val="00856946"/>
    <w:rsid w:val="00856B37"/>
    <w:rsid w:val="00861707"/>
    <w:rsid w:val="0086288A"/>
    <w:rsid w:val="00862F06"/>
    <w:rsid w:val="008630E5"/>
    <w:rsid w:val="00864936"/>
    <w:rsid w:val="008658D8"/>
    <w:rsid w:val="00865953"/>
    <w:rsid w:val="00872FD4"/>
    <w:rsid w:val="00881FAE"/>
    <w:rsid w:val="0088378E"/>
    <w:rsid w:val="00885FB1"/>
    <w:rsid w:val="00890AA9"/>
    <w:rsid w:val="00893206"/>
    <w:rsid w:val="00896792"/>
    <w:rsid w:val="008A43D6"/>
    <w:rsid w:val="008B1769"/>
    <w:rsid w:val="008B25C2"/>
    <w:rsid w:val="008B4A6B"/>
    <w:rsid w:val="008B5386"/>
    <w:rsid w:val="008C1FE1"/>
    <w:rsid w:val="008C3666"/>
    <w:rsid w:val="008C41B1"/>
    <w:rsid w:val="008C4824"/>
    <w:rsid w:val="008C6BB8"/>
    <w:rsid w:val="008D6EBA"/>
    <w:rsid w:val="008E5385"/>
    <w:rsid w:val="008E616F"/>
    <w:rsid w:val="008F2CBA"/>
    <w:rsid w:val="008F5ADE"/>
    <w:rsid w:val="008F6E63"/>
    <w:rsid w:val="009004FB"/>
    <w:rsid w:val="00900862"/>
    <w:rsid w:val="009016FA"/>
    <w:rsid w:val="009040D8"/>
    <w:rsid w:val="00904BB4"/>
    <w:rsid w:val="009069A0"/>
    <w:rsid w:val="00906C07"/>
    <w:rsid w:val="0092122A"/>
    <w:rsid w:val="00922DD7"/>
    <w:rsid w:val="00924572"/>
    <w:rsid w:val="00934638"/>
    <w:rsid w:val="009347F4"/>
    <w:rsid w:val="0093703B"/>
    <w:rsid w:val="0094797D"/>
    <w:rsid w:val="00951781"/>
    <w:rsid w:val="00952B3C"/>
    <w:rsid w:val="00955EE0"/>
    <w:rsid w:val="0095765A"/>
    <w:rsid w:val="0096392B"/>
    <w:rsid w:val="009759ED"/>
    <w:rsid w:val="0098205E"/>
    <w:rsid w:val="009848F3"/>
    <w:rsid w:val="00985B84"/>
    <w:rsid w:val="00985C08"/>
    <w:rsid w:val="00990E7B"/>
    <w:rsid w:val="0099398E"/>
    <w:rsid w:val="00997604"/>
    <w:rsid w:val="00997DF4"/>
    <w:rsid w:val="009A0FAC"/>
    <w:rsid w:val="009A498C"/>
    <w:rsid w:val="009B3014"/>
    <w:rsid w:val="009B4C1E"/>
    <w:rsid w:val="009C2793"/>
    <w:rsid w:val="009C3813"/>
    <w:rsid w:val="009D1D9C"/>
    <w:rsid w:val="009D22F6"/>
    <w:rsid w:val="009D30D0"/>
    <w:rsid w:val="009D37C9"/>
    <w:rsid w:val="009D7189"/>
    <w:rsid w:val="009E0FDC"/>
    <w:rsid w:val="009F1DA6"/>
    <w:rsid w:val="009F3CFB"/>
    <w:rsid w:val="009F4B6E"/>
    <w:rsid w:val="009F776F"/>
    <w:rsid w:val="00A017C9"/>
    <w:rsid w:val="00A017E3"/>
    <w:rsid w:val="00A019FF"/>
    <w:rsid w:val="00A0261B"/>
    <w:rsid w:val="00A07461"/>
    <w:rsid w:val="00A10D50"/>
    <w:rsid w:val="00A114D7"/>
    <w:rsid w:val="00A140C4"/>
    <w:rsid w:val="00A153C3"/>
    <w:rsid w:val="00A17705"/>
    <w:rsid w:val="00A25957"/>
    <w:rsid w:val="00A308BD"/>
    <w:rsid w:val="00A31CD8"/>
    <w:rsid w:val="00A32CDF"/>
    <w:rsid w:val="00A33DF0"/>
    <w:rsid w:val="00A45418"/>
    <w:rsid w:val="00A502D6"/>
    <w:rsid w:val="00A6246C"/>
    <w:rsid w:val="00A6301A"/>
    <w:rsid w:val="00A65C00"/>
    <w:rsid w:val="00A66A2B"/>
    <w:rsid w:val="00A67A01"/>
    <w:rsid w:val="00A7583D"/>
    <w:rsid w:val="00A80808"/>
    <w:rsid w:val="00A8452E"/>
    <w:rsid w:val="00A87995"/>
    <w:rsid w:val="00A9111F"/>
    <w:rsid w:val="00A9137F"/>
    <w:rsid w:val="00A919DC"/>
    <w:rsid w:val="00A94AB7"/>
    <w:rsid w:val="00AB036D"/>
    <w:rsid w:val="00AB55C0"/>
    <w:rsid w:val="00AC1B00"/>
    <w:rsid w:val="00AC26BD"/>
    <w:rsid w:val="00AC3E1C"/>
    <w:rsid w:val="00AC43C5"/>
    <w:rsid w:val="00AC52BE"/>
    <w:rsid w:val="00AC5659"/>
    <w:rsid w:val="00AD19C6"/>
    <w:rsid w:val="00AD6BAB"/>
    <w:rsid w:val="00AD775F"/>
    <w:rsid w:val="00AE2F04"/>
    <w:rsid w:val="00AE53FA"/>
    <w:rsid w:val="00AF6FAB"/>
    <w:rsid w:val="00B01841"/>
    <w:rsid w:val="00B02C1E"/>
    <w:rsid w:val="00B0450E"/>
    <w:rsid w:val="00B051F1"/>
    <w:rsid w:val="00B10EFA"/>
    <w:rsid w:val="00B219FB"/>
    <w:rsid w:val="00B22405"/>
    <w:rsid w:val="00B2324A"/>
    <w:rsid w:val="00B24208"/>
    <w:rsid w:val="00B30CF4"/>
    <w:rsid w:val="00B32A90"/>
    <w:rsid w:val="00B35976"/>
    <w:rsid w:val="00B36A47"/>
    <w:rsid w:val="00B40616"/>
    <w:rsid w:val="00B439F1"/>
    <w:rsid w:val="00B44AE7"/>
    <w:rsid w:val="00B56A1E"/>
    <w:rsid w:val="00B61B91"/>
    <w:rsid w:val="00B67F0E"/>
    <w:rsid w:val="00B71A3C"/>
    <w:rsid w:val="00B813DE"/>
    <w:rsid w:val="00B83734"/>
    <w:rsid w:val="00B9478D"/>
    <w:rsid w:val="00BA1113"/>
    <w:rsid w:val="00BA21F2"/>
    <w:rsid w:val="00BA2C52"/>
    <w:rsid w:val="00BB031F"/>
    <w:rsid w:val="00BB0906"/>
    <w:rsid w:val="00BB20ED"/>
    <w:rsid w:val="00BB24A5"/>
    <w:rsid w:val="00BB4E8A"/>
    <w:rsid w:val="00BB6A74"/>
    <w:rsid w:val="00BC5FE1"/>
    <w:rsid w:val="00BC5FE9"/>
    <w:rsid w:val="00BD178E"/>
    <w:rsid w:val="00BD6589"/>
    <w:rsid w:val="00BE0813"/>
    <w:rsid w:val="00BE17EE"/>
    <w:rsid w:val="00BE57FF"/>
    <w:rsid w:val="00BE5D4E"/>
    <w:rsid w:val="00BE78E5"/>
    <w:rsid w:val="00BF26C9"/>
    <w:rsid w:val="00C16F92"/>
    <w:rsid w:val="00C17356"/>
    <w:rsid w:val="00C21310"/>
    <w:rsid w:val="00C23A72"/>
    <w:rsid w:val="00C26F0B"/>
    <w:rsid w:val="00C31112"/>
    <w:rsid w:val="00C35755"/>
    <w:rsid w:val="00C40B10"/>
    <w:rsid w:val="00C412AE"/>
    <w:rsid w:val="00C41FF9"/>
    <w:rsid w:val="00C420B0"/>
    <w:rsid w:val="00C44025"/>
    <w:rsid w:val="00C5164A"/>
    <w:rsid w:val="00C5324B"/>
    <w:rsid w:val="00C56866"/>
    <w:rsid w:val="00C61AC1"/>
    <w:rsid w:val="00C67097"/>
    <w:rsid w:val="00C70579"/>
    <w:rsid w:val="00C7133B"/>
    <w:rsid w:val="00C733C5"/>
    <w:rsid w:val="00C83933"/>
    <w:rsid w:val="00C90DC9"/>
    <w:rsid w:val="00C91017"/>
    <w:rsid w:val="00C912FF"/>
    <w:rsid w:val="00CA397F"/>
    <w:rsid w:val="00CB1231"/>
    <w:rsid w:val="00CB23DC"/>
    <w:rsid w:val="00CB36B1"/>
    <w:rsid w:val="00CC0899"/>
    <w:rsid w:val="00CC1438"/>
    <w:rsid w:val="00CC2DDE"/>
    <w:rsid w:val="00CC3642"/>
    <w:rsid w:val="00CC42A1"/>
    <w:rsid w:val="00CD1C7D"/>
    <w:rsid w:val="00CD1D0D"/>
    <w:rsid w:val="00CD348A"/>
    <w:rsid w:val="00CD4536"/>
    <w:rsid w:val="00CD7B05"/>
    <w:rsid w:val="00CE0721"/>
    <w:rsid w:val="00CE305E"/>
    <w:rsid w:val="00CE4A7E"/>
    <w:rsid w:val="00CE5900"/>
    <w:rsid w:val="00CE5FB0"/>
    <w:rsid w:val="00CF1B50"/>
    <w:rsid w:val="00CF4AAB"/>
    <w:rsid w:val="00CF737E"/>
    <w:rsid w:val="00D0027D"/>
    <w:rsid w:val="00D02385"/>
    <w:rsid w:val="00D02EF2"/>
    <w:rsid w:val="00D03C49"/>
    <w:rsid w:val="00D03EB9"/>
    <w:rsid w:val="00D04A7F"/>
    <w:rsid w:val="00D04B77"/>
    <w:rsid w:val="00D06C1D"/>
    <w:rsid w:val="00D07243"/>
    <w:rsid w:val="00D109A7"/>
    <w:rsid w:val="00D1224D"/>
    <w:rsid w:val="00D25FF4"/>
    <w:rsid w:val="00D26A02"/>
    <w:rsid w:val="00D31629"/>
    <w:rsid w:val="00D35BC8"/>
    <w:rsid w:val="00D43A57"/>
    <w:rsid w:val="00D476EA"/>
    <w:rsid w:val="00D51D96"/>
    <w:rsid w:val="00D56ED6"/>
    <w:rsid w:val="00D67394"/>
    <w:rsid w:val="00D71721"/>
    <w:rsid w:val="00D7370A"/>
    <w:rsid w:val="00D74C58"/>
    <w:rsid w:val="00D76BC7"/>
    <w:rsid w:val="00D85A20"/>
    <w:rsid w:val="00D91B57"/>
    <w:rsid w:val="00D92874"/>
    <w:rsid w:val="00DA493F"/>
    <w:rsid w:val="00DB1D18"/>
    <w:rsid w:val="00DB5C33"/>
    <w:rsid w:val="00DC11B7"/>
    <w:rsid w:val="00DC16B4"/>
    <w:rsid w:val="00DC38B2"/>
    <w:rsid w:val="00DC3A8E"/>
    <w:rsid w:val="00DC5DD5"/>
    <w:rsid w:val="00DD0889"/>
    <w:rsid w:val="00DD18F3"/>
    <w:rsid w:val="00DD3583"/>
    <w:rsid w:val="00DD4528"/>
    <w:rsid w:val="00DD53CD"/>
    <w:rsid w:val="00DD5DDC"/>
    <w:rsid w:val="00DD7415"/>
    <w:rsid w:val="00DE0827"/>
    <w:rsid w:val="00DF335D"/>
    <w:rsid w:val="00DF65F3"/>
    <w:rsid w:val="00DF668C"/>
    <w:rsid w:val="00E00C49"/>
    <w:rsid w:val="00E074F5"/>
    <w:rsid w:val="00E07C54"/>
    <w:rsid w:val="00E10085"/>
    <w:rsid w:val="00E1429A"/>
    <w:rsid w:val="00E16C0D"/>
    <w:rsid w:val="00E244C2"/>
    <w:rsid w:val="00E26492"/>
    <w:rsid w:val="00E264AD"/>
    <w:rsid w:val="00E313EA"/>
    <w:rsid w:val="00E31C74"/>
    <w:rsid w:val="00E41341"/>
    <w:rsid w:val="00E44950"/>
    <w:rsid w:val="00E50A26"/>
    <w:rsid w:val="00E57073"/>
    <w:rsid w:val="00E6044E"/>
    <w:rsid w:val="00E65A19"/>
    <w:rsid w:val="00E679DB"/>
    <w:rsid w:val="00E67C94"/>
    <w:rsid w:val="00E7242F"/>
    <w:rsid w:val="00E72FE2"/>
    <w:rsid w:val="00E73A3B"/>
    <w:rsid w:val="00E75154"/>
    <w:rsid w:val="00E75451"/>
    <w:rsid w:val="00E75E35"/>
    <w:rsid w:val="00E76EA2"/>
    <w:rsid w:val="00E82EF6"/>
    <w:rsid w:val="00E8364F"/>
    <w:rsid w:val="00E84159"/>
    <w:rsid w:val="00E87AA1"/>
    <w:rsid w:val="00E90AA9"/>
    <w:rsid w:val="00EA066F"/>
    <w:rsid w:val="00EA0DE0"/>
    <w:rsid w:val="00EA1C17"/>
    <w:rsid w:val="00EA265B"/>
    <w:rsid w:val="00EA6EB2"/>
    <w:rsid w:val="00EB16CD"/>
    <w:rsid w:val="00EB28DC"/>
    <w:rsid w:val="00EB5588"/>
    <w:rsid w:val="00EC0F27"/>
    <w:rsid w:val="00EC260D"/>
    <w:rsid w:val="00EC43A0"/>
    <w:rsid w:val="00EC6FAF"/>
    <w:rsid w:val="00ED4FB1"/>
    <w:rsid w:val="00ED6805"/>
    <w:rsid w:val="00ED6DA6"/>
    <w:rsid w:val="00EE0BBB"/>
    <w:rsid w:val="00EE4DA4"/>
    <w:rsid w:val="00EE5576"/>
    <w:rsid w:val="00EE7E8E"/>
    <w:rsid w:val="00EF51C6"/>
    <w:rsid w:val="00F0229B"/>
    <w:rsid w:val="00F04378"/>
    <w:rsid w:val="00F1169E"/>
    <w:rsid w:val="00F12243"/>
    <w:rsid w:val="00F12DBF"/>
    <w:rsid w:val="00F140AE"/>
    <w:rsid w:val="00F1529F"/>
    <w:rsid w:val="00F161B9"/>
    <w:rsid w:val="00F21485"/>
    <w:rsid w:val="00F25D68"/>
    <w:rsid w:val="00F27ABE"/>
    <w:rsid w:val="00F300DD"/>
    <w:rsid w:val="00F343D8"/>
    <w:rsid w:val="00F349DD"/>
    <w:rsid w:val="00F41B7A"/>
    <w:rsid w:val="00F43862"/>
    <w:rsid w:val="00F44155"/>
    <w:rsid w:val="00F55E7E"/>
    <w:rsid w:val="00F5775F"/>
    <w:rsid w:val="00F60096"/>
    <w:rsid w:val="00F64534"/>
    <w:rsid w:val="00F6703F"/>
    <w:rsid w:val="00F71116"/>
    <w:rsid w:val="00F71CD6"/>
    <w:rsid w:val="00F73EB3"/>
    <w:rsid w:val="00F807E9"/>
    <w:rsid w:val="00F86BB8"/>
    <w:rsid w:val="00F87752"/>
    <w:rsid w:val="00F90204"/>
    <w:rsid w:val="00F91068"/>
    <w:rsid w:val="00FA3F20"/>
    <w:rsid w:val="00FA4CCA"/>
    <w:rsid w:val="00FB2579"/>
    <w:rsid w:val="00FB62F3"/>
    <w:rsid w:val="00FB6E80"/>
    <w:rsid w:val="00FC4709"/>
    <w:rsid w:val="00FC525D"/>
    <w:rsid w:val="00FD019B"/>
    <w:rsid w:val="00FD164C"/>
    <w:rsid w:val="00FD1B83"/>
    <w:rsid w:val="00FD2684"/>
    <w:rsid w:val="00FE2283"/>
    <w:rsid w:val="00FE5477"/>
    <w:rsid w:val="00FE5CC5"/>
    <w:rsid w:val="00FE79CA"/>
    <w:rsid w:val="00FF26CD"/>
    <w:rsid w:val="00FF2A64"/>
    <w:rsid w:val="00FF4E37"/>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12A78199"/>
  <w15:docId w15:val="{D453F65F-73F9-4309-BE9C-1E178DA4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9E"/>
  </w:style>
  <w:style w:type="paragraph" w:styleId="Heading1">
    <w:name w:val="heading 1"/>
    <w:basedOn w:val="Normal"/>
    <w:next w:val="Normal"/>
    <w:link w:val="Heading1Char"/>
    <w:uiPriority w:val="99"/>
    <w:qFormat/>
    <w:rsid w:val="00855A09"/>
    <w:pPr>
      <w:keepNext/>
      <w:widowControl w:val="0"/>
      <w:tabs>
        <w:tab w:val="center" w:pos="5400"/>
      </w:tabs>
      <w:autoSpaceDE w:val="0"/>
      <w:autoSpaceDN w:val="0"/>
      <w:adjustRightInd w:val="0"/>
      <w:spacing w:before="258"/>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55A09"/>
    <w:pPr>
      <w:keepNext/>
      <w:outlineLvl w:val="1"/>
    </w:pPr>
    <w:rPr>
      <w:rFonts w:ascii="Cambria" w:hAnsi="Cambria"/>
      <w:b/>
      <w:bCs/>
      <w:i/>
      <w:iCs/>
      <w:sz w:val="28"/>
      <w:szCs w:val="28"/>
    </w:rPr>
  </w:style>
  <w:style w:type="paragraph" w:styleId="Heading4">
    <w:name w:val="heading 4"/>
    <w:basedOn w:val="Normal"/>
    <w:next w:val="Normal"/>
    <w:link w:val="Heading4Char"/>
    <w:uiPriority w:val="99"/>
    <w:qFormat/>
    <w:rsid w:val="00855A09"/>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855A09"/>
    <w:pPr>
      <w:keepNext/>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7ABE"/>
    <w:rPr>
      <w:rFonts w:ascii="Cambria" w:hAnsi="Cambria" w:cs="Times New Roman"/>
      <w:b/>
      <w:bCs/>
      <w:kern w:val="32"/>
      <w:sz w:val="32"/>
      <w:szCs w:val="32"/>
    </w:rPr>
  </w:style>
  <w:style w:type="character" w:customStyle="1" w:styleId="Heading2Char">
    <w:name w:val="Heading 2 Char"/>
    <w:link w:val="Heading2"/>
    <w:uiPriority w:val="99"/>
    <w:semiHidden/>
    <w:locked/>
    <w:rsid w:val="00F27ABE"/>
    <w:rPr>
      <w:rFonts w:ascii="Cambria" w:hAnsi="Cambria" w:cs="Times New Roman"/>
      <w:b/>
      <w:bCs/>
      <w:i/>
      <w:iCs/>
      <w:sz w:val="28"/>
      <w:szCs w:val="28"/>
    </w:rPr>
  </w:style>
  <w:style w:type="character" w:customStyle="1" w:styleId="Heading4Char">
    <w:name w:val="Heading 4 Char"/>
    <w:link w:val="Heading4"/>
    <w:uiPriority w:val="99"/>
    <w:semiHidden/>
    <w:locked/>
    <w:rsid w:val="00F27ABE"/>
    <w:rPr>
      <w:rFonts w:ascii="Calibri" w:hAnsi="Calibri" w:cs="Times New Roman"/>
      <w:b/>
      <w:bCs/>
      <w:sz w:val="28"/>
      <w:szCs w:val="28"/>
    </w:rPr>
  </w:style>
  <w:style w:type="character" w:customStyle="1" w:styleId="Heading5Char">
    <w:name w:val="Heading 5 Char"/>
    <w:link w:val="Heading5"/>
    <w:uiPriority w:val="99"/>
    <w:semiHidden/>
    <w:locked/>
    <w:rsid w:val="00F27ABE"/>
    <w:rPr>
      <w:rFonts w:ascii="Calibri" w:hAnsi="Calibri" w:cs="Times New Roman"/>
      <w:b/>
      <w:bCs/>
      <w:i/>
      <w:iCs/>
      <w:sz w:val="26"/>
      <w:szCs w:val="26"/>
    </w:rPr>
  </w:style>
  <w:style w:type="paragraph" w:styleId="EnvelopeAddress">
    <w:name w:val="envelope address"/>
    <w:basedOn w:val="Normal"/>
    <w:uiPriority w:val="99"/>
    <w:rsid w:val="00855A09"/>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55A09"/>
    <w:pPr>
      <w:tabs>
        <w:tab w:val="center" w:pos="4320"/>
        <w:tab w:val="right" w:pos="8640"/>
      </w:tabs>
    </w:pPr>
  </w:style>
  <w:style w:type="character" w:customStyle="1" w:styleId="HeaderChar">
    <w:name w:val="Header Char"/>
    <w:link w:val="Header"/>
    <w:uiPriority w:val="99"/>
    <w:semiHidden/>
    <w:locked/>
    <w:rsid w:val="00F27ABE"/>
    <w:rPr>
      <w:rFonts w:cs="Times New Roman"/>
      <w:sz w:val="24"/>
      <w:szCs w:val="24"/>
    </w:rPr>
  </w:style>
  <w:style w:type="paragraph" w:styleId="Footer">
    <w:name w:val="footer"/>
    <w:basedOn w:val="Normal"/>
    <w:link w:val="FooterChar"/>
    <w:uiPriority w:val="99"/>
    <w:rsid w:val="00855A09"/>
    <w:pPr>
      <w:tabs>
        <w:tab w:val="center" w:pos="4320"/>
        <w:tab w:val="right" w:pos="8640"/>
      </w:tabs>
    </w:pPr>
  </w:style>
  <w:style w:type="character" w:customStyle="1" w:styleId="FooterChar">
    <w:name w:val="Footer Char"/>
    <w:link w:val="Footer"/>
    <w:uiPriority w:val="99"/>
    <w:locked/>
    <w:rsid w:val="00566A06"/>
    <w:rPr>
      <w:rFonts w:cs="Times New Roman"/>
      <w:sz w:val="24"/>
      <w:szCs w:val="24"/>
    </w:rPr>
  </w:style>
  <w:style w:type="character" w:styleId="PageNumber">
    <w:name w:val="page number"/>
    <w:uiPriority w:val="99"/>
    <w:rsid w:val="00855A09"/>
    <w:rPr>
      <w:rFonts w:cs="Times New Roman"/>
    </w:rPr>
  </w:style>
  <w:style w:type="paragraph" w:styleId="BodyText">
    <w:name w:val="Body Text"/>
    <w:basedOn w:val="Normal"/>
    <w:link w:val="BodyTextChar"/>
    <w:uiPriority w:val="99"/>
    <w:rsid w:val="00855A09"/>
    <w:pPr>
      <w:autoSpaceDE w:val="0"/>
      <w:autoSpaceDN w:val="0"/>
      <w:adjustRightInd w:val="0"/>
      <w:jc w:val="both"/>
    </w:pPr>
  </w:style>
  <w:style w:type="character" w:customStyle="1" w:styleId="BodyTextChar">
    <w:name w:val="Body Text Char"/>
    <w:link w:val="BodyText"/>
    <w:uiPriority w:val="99"/>
    <w:semiHidden/>
    <w:locked/>
    <w:rsid w:val="00F27ABE"/>
    <w:rPr>
      <w:rFonts w:cs="Times New Roman"/>
      <w:sz w:val="24"/>
      <w:szCs w:val="24"/>
    </w:rPr>
  </w:style>
  <w:style w:type="paragraph" w:styleId="BodyText2">
    <w:name w:val="Body Text 2"/>
    <w:basedOn w:val="Normal"/>
    <w:link w:val="BodyText2Char"/>
    <w:uiPriority w:val="99"/>
    <w:rsid w:val="00855A09"/>
    <w:pPr>
      <w:jc w:val="both"/>
    </w:pPr>
  </w:style>
  <w:style w:type="character" w:customStyle="1" w:styleId="BodyText2Char">
    <w:name w:val="Body Text 2 Char"/>
    <w:link w:val="BodyText2"/>
    <w:uiPriority w:val="99"/>
    <w:semiHidden/>
    <w:locked/>
    <w:rsid w:val="00F27ABE"/>
    <w:rPr>
      <w:rFonts w:cs="Times New Roman"/>
      <w:sz w:val="24"/>
      <w:szCs w:val="24"/>
    </w:rPr>
  </w:style>
  <w:style w:type="character" w:customStyle="1" w:styleId="SC31003">
    <w:name w:val="SC.3.1003"/>
    <w:uiPriority w:val="99"/>
    <w:rsid w:val="00855A09"/>
    <w:rPr>
      <w:b/>
      <w:color w:val="000000"/>
      <w:sz w:val="19"/>
    </w:rPr>
  </w:style>
  <w:style w:type="paragraph" w:styleId="BodyText3">
    <w:name w:val="Body Text 3"/>
    <w:basedOn w:val="Normal"/>
    <w:link w:val="BodyText3Char"/>
    <w:uiPriority w:val="99"/>
    <w:rsid w:val="00855A09"/>
    <w:rPr>
      <w:sz w:val="16"/>
      <w:szCs w:val="16"/>
    </w:rPr>
  </w:style>
  <w:style w:type="character" w:customStyle="1" w:styleId="BodyText3Char">
    <w:name w:val="Body Text 3 Char"/>
    <w:link w:val="BodyText3"/>
    <w:uiPriority w:val="99"/>
    <w:semiHidden/>
    <w:locked/>
    <w:rsid w:val="00F27ABE"/>
    <w:rPr>
      <w:rFonts w:cs="Times New Roman"/>
      <w:sz w:val="16"/>
      <w:szCs w:val="16"/>
    </w:rPr>
  </w:style>
  <w:style w:type="character" w:styleId="Hyperlink">
    <w:name w:val="Hyperlink"/>
    <w:uiPriority w:val="99"/>
    <w:rsid w:val="00855A09"/>
    <w:rPr>
      <w:rFonts w:cs="Times New Roman"/>
      <w:color w:val="0000FF"/>
      <w:u w:val="single"/>
    </w:rPr>
  </w:style>
  <w:style w:type="paragraph" w:customStyle="1" w:styleId="WPNormal">
    <w:name w:val="WP_Normal"/>
    <w:basedOn w:val="Normal"/>
    <w:uiPriority w:val="99"/>
    <w:rsid w:val="008455B3"/>
    <w:pPr>
      <w:widowControl w:val="0"/>
    </w:pPr>
    <w:rPr>
      <w:rFonts w:ascii="Chicago" w:hAnsi="Chicago"/>
    </w:rPr>
  </w:style>
  <w:style w:type="paragraph" w:styleId="BalloonText">
    <w:name w:val="Balloon Text"/>
    <w:basedOn w:val="Normal"/>
    <w:link w:val="BalloonTextChar"/>
    <w:uiPriority w:val="99"/>
    <w:semiHidden/>
    <w:rsid w:val="00F1169E"/>
  </w:style>
  <w:style w:type="character" w:customStyle="1" w:styleId="BalloonTextChar">
    <w:name w:val="Balloon Text Char"/>
    <w:link w:val="BalloonText"/>
    <w:uiPriority w:val="99"/>
    <w:semiHidden/>
    <w:locked/>
    <w:rsid w:val="00F1169E"/>
  </w:style>
  <w:style w:type="paragraph" w:styleId="ListParagraph">
    <w:name w:val="List Paragraph"/>
    <w:basedOn w:val="Normal"/>
    <w:uiPriority w:val="34"/>
    <w:qFormat/>
    <w:rsid w:val="008C41B1"/>
    <w:pPr>
      <w:ind w:left="720"/>
      <w:contextualSpacing/>
    </w:pPr>
  </w:style>
  <w:style w:type="character" w:styleId="CommentReference">
    <w:name w:val="annotation reference"/>
    <w:basedOn w:val="DefaultParagraphFont"/>
    <w:uiPriority w:val="99"/>
    <w:semiHidden/>
    <w:unhideWhenUsed/>
    <w:rsid w:val="007E32CE"/>
    <w:rPr>
      <w:sz w:val="16"/>
      <w:szCs w:val="16"/>
    </w:rPr>
  </w:style>
  <w:style w:type="paragraph" w:styleId="CommentText">
    <w:name w:val="annotation text"/>
    <w:basedOn w:val="Normal"/>
    <w:link w:val="CommentTextChar"/>
    <w:uiPriority w:val="99"/>
    <w:semiHidden/>
    <w:unhideWhenUsed/>
    <w:rsid w:val="007E32CE"/>
  </w:style>
  <w:style w:type="character" w:customStyle="1" w:styleId="CommentTextChar">
    <w:name w:val="Comment Text Char"/>
    <w:basedOn w:val="DefaultParagraphFont"/>
    <w:link w:val="CommentText"/>
    <w:uiPriority w:val="99"/>
    <w:semiHidden/>
    <w:rsid w:val="007E32CE"/>
  </w:style>
  <w:style w:type="paragraph" w:styleId="CommentSubject">
    <w:name w:val="annotation subject"/>
    <w:basedOn w:val="CommentText"/>
    <w:next w:val="CommentText"/>
    <w:link w:val="CommentSubjectChar"/>
    <w:uiPriority w:val="99"/>
    <w:semiHidden/>
    <w:unhideWhenUsed/>
    <w:rsid w:val="007E32CE"/>
    <w:rPr>
      <w:b/>
      <w:bCs/>
    </w:rPr>
  </w:style>
  <w:style w:type="character" w:customStyle="1" w:styleId="CommentSubjectChar">
    <w:name w:val="Comment Subject Char"/>
    <w:basedOn w:val="CommentTextChar"/>
    <w:link w:val="CommentSubject"/>
    <w:uiPriority w:val="99"/>
    <w:semiHidden/>
    <w:rsid w:val="007E32CE"/>
    <w:rPr>
      <w:b/>
      <w:bCs/>
    </w:rPr>
  </w:style>
  <w:style w:type="paragraph" w:styleId="Revision">
    <w:name w:val="Revision"/>
    <w:hidden/>
    <w:uiPriority w:val="99"/>
    <w:semiHidden/>
    <w:rsid w:val="007E32CE"/>
    <w:rPr>
      <w:sz w:val="24"/>
      <w:szCs w:val="24"/>
    </w:rPr>
  </w:style>
  <w:style w:type="character" w:customStyle="1" w:styleId="UnresolvedMention1">
    <w:name w:val="Unresolved Mention1"/>
    <w:basedOn w:val="DefaultParagraphFont"/>
    <w:uiPriority w:val="99"/>
    <w:semiHidden/>
    <w:unhideWhenUsed/>
    <w:rsid w:val="00EC26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353">
      <w:bodyDiv w:val="1"/>
      <w:marLeft w:val="0"/>
      <w:marRight w:val="0"/>
      <w:marTop w:val="0"/>
      <w:marBottom w:val="0"/>
      <w:divBdr>
        <w:top w:val="none" w:sz="0" w:space="0" w:color="auto"/>
        <w:left w:val="none" w:sz="0" w:space="0" w:color="auto"/>
        <w:bottom w:val="none" w:sz="0" w:space="0" w:color="auto"/>
        <w:right w:val="none" w:sz="0" w:space="0" w:color="auto"/>
      </w:divBdr>
    </w:div>
    <w:div w:id="383257477">
      <w:marLeft w:val="0"/>
      <w:marRight w:val="0"/>
      <w:marTop w:val="0"/>
      <w:marBottom w:val="0"/>
      <w:divBdr>
        <w:top w:val="none" w:sz="0" w:space="0" w:color="auto"/>
        <w:left w:val="none" w:sz="0" w:space="0" w:color="auto"/>
        <w:bottom w:val="none" w:sz="0" w:space="0" w:color="auto"/>
        <w:right w:val="none" w:sz="0" w:space="0" w:color="auto"/>
      </w:divBdr>
    </w:div>
    <w:div w:id="383257478">
      <w:marLeft w:val="0"/>
      <w:marRight w:val="0"/>
      <w:marTop w:val="0"/>
      <w:marBottom w:val="0"/>
      <w:divBdr>
        <w:top w:val="none" w:sz="0" w:space="0" w:color="auto"/>
        <w:left w:val="none" w:sz="0" w:space="0" w:color="auto"/>
        <w:bottom w:val="none" w:sz="0" w:space="0" w:color="auto"/>
        <w:right w:val="none" w:sz="0" w:space="0" w:color="auto"/>
      </w:divBdr>
    </w:div>
    <w:div w:id="383257479">
      <w:marLeft w:val="0"/>
      <w:marRight w:val="0"/>
      <w:marTop w:val="0"/>
      <w:marBottom w:val="0"/>
      <w:divBdr>
        <w:top w:val="none" w:sz="0" w:space="0" w:color="auto"/>
        <w:left w:val="none" w:sz="0" w:space="0" w:color="auto"/>
        <w:bottom w:val="none" w:sz="0" w:space="0" w:color="auto"/>
        <w:right w:val="none" w:sz="0" w:space="0" w:color="auto"/>
      </w:divBdr>
    </w:div>
    <w:div w:id="544635188">
      <w:bodyDiv w:val="1"/>
      <w:marLeft w:val="0"/>
      <w:marRight w:val="0"/>
      <w:marTop w:val="0"/>
      <w:marBottom w:val="0"/>
      <w:divBdr>
        <w:top w:val="none" w:sz="0" w:space="0" w:color="auto"/>
        <w:left w:val="none" w:sz="0" w:space="0" w:color="auto"/>
        <w:bottom w:val="none" w:sz="0" w:space="0" w:color="auto"/>
        <w:right w:val="none" w:sz="0" w:space="0" w:color="auto"/>
      </w:divBdr>
    </w:div>
    <w:div w:id="579560757">
      <w:bodyDiv w:val="1"/>
      <w:marLeft w:val="0"/>
      <w:marRight w:val="0"/>
      <w:marTop w:val="0"/>
      <w:marBottom w:val="0"/>
      <w:divBdr>
        <w:top w:val="none" w:sz="0" w:space="0" w:color="auto"/>
        <w:left w:val="none" w:sz="0" w:space="0" w:color="auto"/>
        <w:bottom w:val="none" w:sz="0" w:space="0" w:color="auto"/>
        <w:right w:val="none" w:sz="0" w:space="0" w:color="auto"/>
      </w:divBdr>
    </w:div>
    <w:div w:id="1194227149">
      <w:bodyDiv w:val="1"/>
      <w:marLeft w:val="0"/>
      <w:marRight w:val="0"/>
      <w:marTop w:val="0"/>
      <w:marBottom w:val="0"/>
      <w:divBdr>
        <w:top w:val="none" w:sz="0" w:space="0" w:color="auto"/>
        <w:left w:val="none" w:sz="0" w:space="0" w:color="auto"/>
        <w:bottom w:val="none" w:sz="0" w:space="0" w:color="auto"/>
        <w:right w:val="none" w:sz="0" w:space="0" w:color="auto"/>
      </w:divBdr>
    </w:div>
    <w:div w:id="1219247101">
      <w:bodyDiv w:val="1"/>
      <w:marLeft w:val="0"/>
      <w:marRight w:val="0"/>
      <w:marTop w:val="0"/>
      <w:marBottom w:val="0"/>
      <w:divBdr>
        <w:top w:val="none" w:sz="0" w:space="0" w:color="auto"/>
        <w:left w:val="none" w:sz="0" w:space="0" w:color="auto"/>
        <w:bottom w:val="none" w:sz="0" w:space="0" w:color="auto"/>
        <w:right w:val="none" w:sz="0" w:space="0" w:color="auto"/>
      </w:divBdr>
    </w:div>
    <w:div w:id="1284195505">
      <w:bodyDiv w:val="1"/>
      <w:marLeft w:val="0"/>
      <w:marRight w:val="0"/>
      <w:marTop w:val="0"/>
      <w:marBottom w:val="0"/>
      <w:divBdr>
        <w:top w:val="none" w:sz="0" w:space="0" w:color="auto"/>
        <w:left w:val="none" w:sz="0" w:space="0" w:color="auto"/>
        <w:bottom w:val="none" w:sz="0" w:space="0" w:color="auto"/>
        <w:right w:val="none" w:sz="0" w:space="0" w:color="auto"/>
      </w:divBdr>
    </w:div>
    <w:div w:id="1311865524">
      <w:bodyDiv w:val="1"/>
      <w:marLeft w:val="0"/>
      <w:marRight w:val="0"/>
      <w:marTop w:val="0"/>
      <w:marBottom w:val="0"/>
      <w:divBdr>
        <w:top w:val="none" w:sz="0" w:space="0" w:color="auto"/>
        <w:left w:val="none" w:sz="0" w:space="0" w:color="auto"/>
        <w:bottom w:val="none" w:sz="0" w:space="0" w:color="auto"/>
        <w:right w:val="none" w:sz="0" w:space="0" w:color="auto"/>
      </w:divBdr>
    </w:div>
    <w:div w:id="1368136717">
      <w:bodyDiv w:val="1"/>
      <w:marLeft w:val="0"/>
      <w:marRight w:val="0"/>
      <w:marTop w:val="0"/>
      <w:marBottom w:val="0"/>
      <w:divBdr>
        <w:top w:val="none" w:sz="0" w:space="0" w:color="auto"/>
        <w:left w:val="none" w:sz="0" w:space="0" w:color="auto"/>
        <w:bottom w:val="none" w:sz="0" w:space="0" w:color="auto"/>
        <w:right w:val="none" w:sz="0" w:space="0" w:color="auto"/>
      </w:divBdr>
    </w:div>
    <w:div w:id="15496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donnellan@vr.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5175-048B-44EB-83A5-FEC49A98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1258</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8844</CharactersWithSpaces>
  <SharedDoc>false</SharedDoc>
  <HLinks>
    <vt:vector size="6" baseType="variant">
      <vt:variant>
        <vt:i4>4325474</vt:i4>
      </vt:variant>
      <vt:variant>
        <vt:i4>0</vt:i4>
      </vt:variant>
      <vt:variant>
        <vt:i4>0</vt:i4>
      </vt:variant>
      <vt:variant>
        <vt:i4>5</vt:i4>
      </vt:variant>
      <vt:variant>
        <vt:lpwstr>mailto:michael.graham@vr.idaho.gov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5</cp:revision>
  <cp:lastPrinted>2021-07-21T18:46:00Z</cp:lastPrinted>
  <dcterms:created xsi:type="dcterms:W3CDTF">2021-08-16T20:40:00Z</dcterms:created>
  <dcterms:modified xsi:type="dcterms:W3CDTF">2022-06-03T01:00:00Z</dcterms:modified>
</cp:coreProperties>
</file>