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20B89" w14:textId="77777777" w:rsidR="0023561E" w:rsidRDefault="0023561E" w:rsidP="002976C8">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18916D20" w14:textId="77777777" w:rsidR="0098439D" w:rsidRDefault="0098439D" w:rsidP="00577C10">
      <w:pPr>
        <w:rPr>
          <w:rFonts w:ascii="Arial" w:hAnsi="Arial" w:cs="Arial"/>
          <w:b/>
        </w:rPr>
      </w:pPr>
    </w:p>
    <w:p w14:paraId="365DEE0C" w14:textId="77777777" w:rsidR="002575F5" w:rsidRDefault="002575F5" w:rsidP="00577C10">
      <w:pPr>
        <w:rPr>
          <w:rFonts w:ascii="Arial" w:hAnsi="Arial" w:cs="Arial"/>
          <w:b/>
        </w:rPr>
      </w:pPr>
    </w:p>
    <w:p w14:paraId="1E141CC0" w14:textId="1E622624" w:rsidR="00197268" w:rsidRDefault="00C2697F" w:rsidP="00577C10">
      <w:pPr>
        <w:rPr>
          <w:rFonts w:ascii="Arial" w:hAnsi="Arial" w:cs="Arial"/>
          <w:b/>
        </w:rPr>
      </w:pPr>
      <w:r w:rsidRPr="001E1705">
        <w:rPr>
          <w:rFonts w:ascii="Arial" w:hAnsi="Arial" w:cs="Arial"/>
          <w:b/>
        </w:rPr>
        <w:t>Agency Overview</w:t>
      </w:r>
    </w:p>
    <w:p w14:paraId="58778B4A" w14:textId="2DD37A9E" w:rsidR="006B258F" w:rsidRPr="006B258F" w:rsidRDefault="006B258F" w:rsidP="00A45BB2">
      <w:pPr>
        <w:contextualSpacing/>
        <w:jc w:val="both"/>
        <w:rPr>
          <w:rFonts w:ascii="Arial" w:hAnsi="Arial" w:cs="Arial"/>
          <w:bCs/>
          <w:sz w:val="20"/>
          <w:szCs w:val="20"/>
        </w:rPr>
      </w:pPr>
      <w:r>
        <w:rPr>
          <w:rFonts w:ascii="Arial" w:hAnsi="Arial" w:cs="Arial"/>
          <w:bCs/>
          <w:sz w:val="20"/>
          <w:szCs w:val="20"/>
        </w:rPr>
        <w:t xml:space="preserve">The Office of </w:t>
      </w:r>
      <w:r w:rsidR="005B661B" w:rsidRPr="006B258F">
        <w:rPr>
          <w:rFonts w:ascii="Arial" w:hAnsi="Arial" w:cs="Arial"/>
          <w:bCs/>
          <w:sz w:val="20"/>
          <w:szCs w:val="20"/>
        </w:rPr>
        <w:t>I</w:t>
      </w:r>
      <w:r w:rsidR="00CB538D" w:rsidRPr="006B258F">
        <w:rPr>
          <w:rFonts w:ascii="Arial" w:hAnsi="Arial" w:cs="Arial"/>
          <w:bCs/>
          <w:sz w:val="20"/>
          <w:szCs w:val="20"/>
        </w:rPr>
        <w:t xml:space="preserve">nformation </w:t>
      </w:r>
      <w:r w:rsidR="005B661B" w:rsidRPr="006B258F">
        <w:rPr>
          <w:rFonts w:ascii="Arial" w:hAnsi="Arial" w:cs="Arial"/>
          <w:bCs/>
          <w:sz w:val="20"/>
          <w:szCs w:val="20"/>
        </w:rPr>
        <w:t>T</w:t>
      </w:r>
      <w:r w:rsidR="00CB538D" w:rsidRPr="006B258F">
        <w:rPr>
          <w:rFonts w:ascii="Arial" w:hAnsi="Arial" w:cs="Arial"/>
          <w:bCs/>
          <w:sz w:val="20"/>
          <w:szCs w:val="20"/>
        </w:rPr>
        <w:t>echnology</w:t>
      </w:r>
      <w:r w:rsidR="005B661B" w:rsidRPr="006B258F">
        <w:rPr>
          <w:rFonts w:ascii="Arial" w:hAnsi="Arial" w:cs="Arial"/>
          <w:bCs/>
          <w:sz w:val="20"/>
          <w:szCs w:val="20"/>
        </w:rPr>
        <w:t xml:space="preserve"> Service</w:t>
      </w:r>
      <w:r w:rsidRPr="006B258F">
        <w:rPr>
          <w:rFonts w:ascii="Arial" w:hAnsi="Arial" w:cs="Arial"/>
          <w:bCs/>
          <w:sz w:val="20"/>
          <w:szCs w:val="20"/>
        </w:rPr>
        <w:t xml:space="preserve"> (ITS)</w:t>
      </w:r>
      <w:r>
        <w:rPr>
          <w:rFonts w:ascii="Arial" w:hAnsi="Arial" w:cs="Arial"/>
          <w:bCs/>
          <w:sz w:val="20"/>
          <w:szCs w:val="20"/>
        </w:rPr>
        <w:t xml:space="preserve"> was created in 2018 to facilitate a centralized approach </w:t>
      </w:r>
      <w:r w:rsidR="0068377A">
        <w:rPr>
          <w:rFonts w:ascii="Arial" w:hAnsi="Arial" w:cs="Arial"/>
          <w:bCs/>
          <w:sz w:val="20"/>
          <w:szCs w:val="20"/>
        </w:rPr>
        <w:t>for</w:t>
      </w:r>
      <w:r>
        <w:rPr>
          <w:rFonts w:ascii="Arial" w:hAnsi="Arial" w:cs="Arial"/>
          <w:bCs/>
          <w:sz w:val="20"/>
          <w:szCs w:val="20"/>
        </w:rPr>
        <w:t xml:space="preserve"> </w:t>
      </w:r>
      <w:r w:rsidR="0068377A">
        <w:rPr>
          <w:rFonts w:ascii="Arial" w:hAnsi="Arial" w:cs="Arial"/>
          <w:bCs/>
          <w:sz w:val="20"/>
          <w:szCs w:val="20"/>
        </w:rPr>
        <w:t xml:space="preserve">the State of Idaho to acquire </w:t>
      </w:r>
      <w:r>
        <w:rPr>
          <w:rFonts w:ascii="Arial" w:hAnsi="Arial" w:cs="Arial"/>
          <w:bCs/>
          <w:sz w:val="20"/>
          <w:szCs w:val="20"/>
        </w:rPr>
        <w:t xml:space="preserve">and </w:t>
      </w:r>
      <w:r w:rsidR="0068377A">
        <w:rPr>
          <w:rFonts w:ascii="Arial" w:hAnsi="Arial" w:cs="Arial"/>
          <w:bCs/>
          <w:sz w:val="20"/>
          <w:szCs w:val="20"/>
        </w:rPr>
        <w:t xml:space="preserve">evaluate </w:t>
      </w:r>
      <w:r w:rsidR="002C3EC9">
        <w:rPr>
          <w:rFonts w:ascii="Arial" w:hAnsi="Arial" w:cs="Arial"/>
          <w:bCs/>
          <w:sz w:val="20"/>
          <w:szCs w:val="20"/>
        </w:rPr>
        <w:t>technology and</w:t>
      </w:r>
      <w:r>
        <w:rPr>
          <w:rFonts w:ascii="Arial" w:hAnsi="Arial" w:cs="Arial"/>
          <w:bCs/>
          <w:sz w:val="20"/>
          <w:szCs w:val="20"/>
        </w:rPr>
        <w:t xml:space="preserve"> develop a statewide strategic plan for coordinated information technology (IT) and telecommunications. ITS oversees and executes the coordination and implementation of all IT services and cybersecurity policies within the state.</w:t>
      </w:r>
    </w:p>
    <w:p w14:paraId="6D0CDCD8" w14:textId="77777777" w:rsidR="006B258F" w:rsidRDefault="006B258F" w:rsidP="00A45BB2">
      <w:pPr>
        <w:contextualSpacing/>
        <w:jc w:val="both"/>
        <w:rPr>
          <w:rFonts w:ascii="Arial" w:hAnsi="Arial" w:cs="Arial"/>
          <w:b/>
          <w:sz w:val="20"/>
          <w:szCs w:val="20"/>
        </w:rPr>
      </w:pPr>
    </w:p>
    <w:p w14:paraId="7C1F5103" w14:textId="34835E0B" w:rsidR="00B9465D" w:rsidRDefault="008732BA" w:rsidP="004D5D33">
      <w:pPr>
        <w:contextualSpacing/>
        <w:jc w:val="both"/>
        <w:rPr>
          <w:rFonts w:ascii="Arial" w:hAnsi="Arial" w:cs="Arial"/>
          <w:sz w:val="20"/>
          <w:szCs w:val="20"/>
        </w:rPr>
      </w:pPr>
      <w:r>
        <w:rPr>
          <w:rFonts w:ascii="Arial" w:hAnsi="Arial" w:cs="Arial"/>
          <w:sz w:val="20"/>
          <w:szCs w:val="20"/>
        </w:rPr>
        <w:t xml:space="preserve">Governor Brad Little appointed </w:t>
      </w:r>
      <w:r w:rsidR="007D7DBD">
        <w:rPr>
          <w:rFonts w:ascii="Arial" w:hAnsi="Arial" w:cs="Arial"/>
          <w:sz w:val="20"/>
          <w:szCs w:val="20"/>
        </w:rPr>
        <w:t>Alberto Gonzalez</w:t>
      </w:r>
      <w:r>
        <w:rPr>
          <w:rFonts w:ascii="Arial" w:hAnsi="Arial" w:cs="Arial"/>
          <w:sz w:val="20"/>
          <w:szCs w:val="20"/>
        </w:rPr>
        <w:t xml:space="preserve"> as administrator in 20</w:t>
      </w:r>
      <w:r w:rsidR="007D7DBD">
        <w:rPr>
          <w:rFonts w:ascii="Arial" w:hAnsi="Arial" w:cs="Arial"/>
          <w:sz w:val="20"/>
          <w:szCs w:val="20"/>
        </w:rPr>
        <w:t>22</w:t>
      </w:r>
      <w:r>
        <w:rPr>
          <w:rFonts w:ascii="Arial" w:hAnsi="Arial" w:cs="Arial"/>
          <w:sz w:val="20"/>
          <w:szCs w:val="20"/>
        </w:rPr>
        <w:t xml:space="preserve"> to </w:t>
      </w:r>
      <w:r w:rsidR="007D7DBD">
        <w:rPr>
          <w:rFonts w:ascii="Arial" w:hAnsi="Arial" w:cs="Arial"/>
          <w:sz w:val="20"/>
          <w:szCs w:val="20"/>
        </w:rPr>
        <w:t>continue</w:t>
      </w:r>
      <w:r>
        <w:rPr>
          <w:rFonts w:ascii="Arial" w:hAnsi="Arial" w:cs="Arial"/>
          <w:sz w:val="20"/>
          <w:szCs w:val="20"/>
        </w:rPr>
        <w:t xml:space="preserve"> </w:t>
      </w:r>
      <w:r w:rsidR="000208EF">
        <w:rPr>
          <w:rFonts w:ascii="Arial" w:hAnsi="Arial" w:cs="Arial"/>
          <w:sz w:val="20"/>
          <w:szCs w:val="20"/>
        </w:rPr>
        <w:t>the</w:t>
      </w:r>
      <w:r>
        <w:rPr>
          <w:rFonts w:ascii="Arial" w:hAnsi="Arial" w:cs="Arial"/>
          <w:sz w:val="20"/>
          <w:szCs w:val="20"/>
        </w:rPr>
        <w:t xml:space="preserve"> IT Modernization initiative. Today he leads </w:t>
      </w:r>
      <w:r w:rsidR="003D5039">
        <w:rPr>
          <w:rFonts w:ascii="Arial" w:hAnsi="Arial" w:cs="Arial"/>
          <w:sz w:val="20"/>
          <w:szCs w:val="20"/>
        </w:rPr>
        <w:t xml:space="preserve">ITS </w:t>
      </w:r>
      <w:r>
        <w:rPr>
          <w:rFonts w:ascii="Arial" w:hAnsi="Arial" w:cs="Arial"/>
          <w:sz w:val="20"/>
          <w:szCs w:val="20"/>
        </w:rPr>
        <w:t>and its</w:t>
      </w:r>
      <w:r w:rsidR="003D5039">
        <w:rPr>
          <w:rFonts w:ascii="Arial" w:hAnsi="Arial" w:cs="Arial"/>
          <w:sz w:val="20"/>
          <w:szCs w:val="20"/>
        </w:rPr>
        <w:t xml:space="preserve"> </w:t>
      </w:r>
      <w:r w:rsidR="007D7DBD">
        <w:rPr>
          <w:rFonts w:ascii="Arial" w:hAnsi="Arial" w:cs="Arial"/>
          <w:sz w:val="20"/>
          <w:szCs w:val="20"/>
        </w:rPr>
        <w:t>four major</w:t>
      </w:r>
      <w:r w:rsidR="003D5039">
        <w:rPr>
          <w:rFonts w:ascii="Arial" w:hAnsi="Arial" w:cs="Arial"/>
          <w:sz w:val="20"/>
          <w:szCs w:val="20"/>
        </w:rPr>
        <w:t xml:space="preserve"> </w:t>
      </w:r>
      <w:r w:rsidR="007D7DBD">
        <w:rPr>
          <w:rFonts w:ascii="Arial" w:hAnsi="Arial" w:cs="Arial"/>
          <w:sz w:val="20"/>
          <w:szCs w:val="20"/>
        </w:rPr>
        <w:t>business areas</w:t>
      </w:r>
      <w:r w:rsidR="003D5039">
        <w:rPr>
          <w:rFonts w:ascii="Arial" w:hAnsi="Arial" w:cs="Arial"/>
          <w:sz w:val="20"/>
          <w:szCs w:val="20"/>
        </w:rPr>
        <w:t xml:space="preserve"> including IT </w:t>
      </w:r>
      <w:r w:rsidR="002C3EC9">
        <w:rPr>
          <w:rFonts w:ascii="Arial" w:hAnsi="Arial" w:cs="Arial"/>
          <w:sz w:val="20"/>
          <w:szCs w:val="20"/>
        </w:rPr>
        <w:t>o</w:t>
      </w:r>
      <w:r w:rsidR="003D5039">
        <w:rPr>
          <w:rFonts w:ascii="Arial" w:hAnsi="Arial" w:cs="Arial"/>
          <w:sz w:val="20"/>
          <w:szCs w:val="20"/>
        </w:rPr>
        <w:t xml:space="preserve">perations, </w:t>
      </w:r>
      <w:r w:rsidR="002C3EC9">
        <w:rPr>
          <w:rFonts w:ascii="Arial" w:hAnsi="Arial" w:cs="Arial"/>
          <w:sz w:val="20"/>
          <w:szCs w:val="20"/>
        </w:rPr>
        <w:t>c</w:t>
      </w:r>
      <w:r w:rsidR="003D5039">
        <w:rPr>
          <w:rFonts w:ascii="Arial" w:hAnsi="Arial" w:cs="Arial"/>
          <w:sz w:val="20"/>
          <w:szCs w:val="20"/>
        </w:rPr>
        <w:t>ybersecurity</w:t>
      </w:r>
      <w:r w:rsidR="0077155A">
        <w:rPr>
          <w:rFonts w:ascii="Arial" w:hAnsi="Arial" w:cs="Arial"/>
          <w:sz w:val="20"/>
          <w:szCs w:val="20"/>
        </w:rPr>
        <w:t>/</w:t>
      </w:r>
      <w:r w:rsidR="002C3EC9">
        <w:rPr>
          <w:rFonts w:ascii="Arial" w:hAnsi="Arial" w:cs="Arial"/>
          <w:sz w:val="20"/>
          <w:szCs w:val="20"/>
        </w:rPr>
        <w:t>c</w:t>
      </w:r>
      <w:r w:rsidR="0077155A">
        <w:rPr>
          <w:rFonts w:ascii="Arial" w:hAnsi="Arial" w:cs="Arial"/>
          <w:sz w:val="20"/>
          <w:szCs w:val="20"/>
        </w:rPr>
        <w:t>ompliance</w:t>
      </w:r>
      <w:r w:rsidR="003D5039">
        <w:rPr>
          <w:rFonts w:ascii="Arial" w:hAnsi="Arial" w:cs="Arial"/>
          <w:sz w:val="20"/>
          <w:szCs w:val="20"/>
        </w:rPr>
        <w:t xml:space="preserve">, </w:t>
      </w:r>
      <w:r w:rsidR="00C54749">
        <w:rPr>
          <w:rFonts w:ascii="Arial" w:hAnsi="Arial" w:cs="Arial"/>
          <w:sz w:val="20"/>
          <w:szCs w:val="20"/>
        </w:rPr>
        <w:t>IT architecture, geospatial information services</w:t>
      </w:r>
      <w:r w:rsidR="003D5039">
        <w:rPr>
          <w:rFonts w:ascii="Arial" w:hAnsi="Arial" w:cs="Arial"/>
          <w:sz w:val="20"/>
          <w:szCs w:val="20"/>
        </w:rPr>
        <w:t xml:space="preserve">, </w:t>
      </w:r>
      <w:r w:rsidR="007D7DBD">
        <w:rPr>
          <w:rFonts w:ascii="Arial" w:hAnsi="Arial" w:cs="Arial"/>
          <w:sz w:val="20"/>
          <w:szCs w:val="20"/>
        </w:rPr>
        <w:t xml:space="preserve">and </w:t>
      </w:r>
      <w:r w:rsidR="002C3EC9">
        <w:rPr>
          <w:rFonts w:ascii="Arial" w:hAnsi="Arial" w:cs="Arial"/>
          <w:sz w:val="20"/>
          <w:szCs w:val="20"/>
        </w:rPr>
        <w:t>a</w:t>
      </w:r>
      <w:r w:rsidR="007D7DBD">
        <w:rPr>
          <w:rFonts w:ascii="Arial" w:hAnsi="Arial" w:cs="Arial"/>
          <w:sz w:val="20"/>
          <w:szCs w:val="20"/>
        </w:rPr>
        <w:t>dministration</w:t>
      </w:r>
      <w:r w:rsidR="003D5039">
        <w:rPr>
          <w:rFonts w:ascii="Arial" w:hAnsi="Arial" w:cs="Arial"/>
          <w:sz w:val="20"/>
          <w:szCs w:val="20"/>
        </w:rPr>
        <w:t xml:space="preserve">. With a total of </w:t>
      </w:r>
      <w:r w:rsidR="003D5039" w:rsidRPr="0002004E">
        <w:rPr>
          <w:rFonts w:ascii="Arial" w:hAnsi="Arial" w:cs="Arial"/>
          <w:sz w:val="20"/>
          <w:szCs w:val="20"/>
        </w:rPr>
        <w:t>1</w:t>
      </w:r>
      <w:r w:rsidR="0002004E" w:rsidRPr="0002004E">
        <w:rPr>
          <w:rFonts w:ascii="Arial" w:hAnsi="Arial" w:cs="Arial"/>
          <w:sz w:val="20"/>
          <w:szCs w:val="20"/>
        </w:rPr>
        <w:t>7</w:t>
      </w:r>
      <w:r w:rsidR="0002004E">
        <w:rPr>
          <w:rFonts w:ascii="Arial" w:hAnsi="Arial" w:cs="Arial"/>
          <w:sz w:val="20"/>
          <w:szCs w:val="20"/>
        </w:rPr>
        <w:t>6</w:t>
      </w:r>
      <w:r w:rsidR="003D5039">
        <w:rPr>
          <w:rFonts w:ascii="Arial" w:hAnsi="Arial" w:cs="Arial"/>
          <w:sz w:val="20"/>
          <w:szCs w:val="20"/>
        </w:rPr>
        <w:t xml:space="preserve"> FTPs, ITS is headquartered at the Chinden Campus in Boise with support staff at several </w:t>
      </w:r>
      <w:r w:rsidR="0068377A">
        <w:rPr>
          <w:rFonts w:ascii="Arial" w:hAnsi="Arial" w:cs="Arial"/>
          <w:sz w:val="20"/>
          <w:szCs w:val="20"/>
        </w:rPr>
        <w:t xml:space="preserve">northern and eastern Idaho locations </w:t>
      </w:r>
      <w:r w:rsidR="003D5039">
        <w:rPr>
          <w:rFonts w:ascii="Arial" w:hAnsi="Arial" w:cs="Arial"/>
          <w:sz w:val="20"/>
          <w:szCs w:val="20"/>
        </w:rPr>
        <w:t>to better serve our customers.</w:t>
      </w:r>
      <w:r w:rsidR="00935D70">
        <w:rPr>
          <w:rFonts w:ascii="Arial" w:hAnsi="Arial" w:cs="Arial"/>
          <w:sz w:val="20"/>
          <w:szCs w:val="20"/>
        </w:rPr>
        <w:t xml:space="preserve"> ITS currently supports </w:t>
      </w:r>
      <w:r w:rsidR="0068377A" w:rsidRPr="0002004E">
        <w:rPr>
          <w:rFonts w:ascii="Arial" w:hAnsi="Arial" w:cs="Arial"/>
          <w:sz w:val="20"/>
          <w:szCs w:val="20"/>
        </w:rPr>
        <w:t>4</w:t>
      </w:r>
      <w:r w:rsidR="007D7DBD" w:rsidRPr="0002004E">
        <w:rPr>
          <w:rFonts w:ascii="Arial" w:hAnsi="Arial" w:cs="Arial"/>
          <w:sz w:val="20"/>
          <w:szCs w:val="20"/>
        </w:rPr>
        <w:t>8</w:t>
      </w:r>
      <w:r w:rsidR="00935D70">
        <w:rPr>
          <w:rFonts w:ascii="Arial" w:hAnsi="Arial" w:cs="Arial"/>
          <w:sz w:val="20"/>
          <w:szCs w:val="20"/>
        </w:rPr>
        <w:t xml:space="preserve"> agencies, boards, and commission</w:t>
      </w:r>
      <w:r w:rsidR="00721E17">
        <w:rPr>
          <w:rFonts w:ascii="Arial" w:hAnsi="Arial" w:cs="Arial"/>
          <w:sz w:val="20"/>
          <w:szCs w:val="20"/>
        </w:rPr>
        <w:t>s.</w:t>
      </w:r>
    </w:p>
    <w:p w14:paraId="65EF728E" w14:textId="2E0A9983" w:rsidR="00935D70" w:rsidRDefault="00935D70" w:rsidP="004D5D33">
      <w:pPr>
        <w:contextualSpacing/>
        <w:jc w:val="both"/>
        <w:rPr>
          <w:rFonts w:ascii="Arial" w:hAnsi="Arial" w:cs="Arial"/>
          <w:sz w:val="20"/>
          <w:szCs w:val="20"/>
        </w:rPr>
      </w:pPr>
    </w:p>
    <w:p w14:paraId="67B00DF4" w14:textId="2E77325A" w:rsidR="00935D70" w:rsidRDefault="00935D70" w:rsidP="004D5D33">
      <w:pPr>
        <w:contextualSpacing/>
        <w:jc w:val="both"/>
        <w:rPr>
          <w:rFonts w:ascii="Arial" w:hAnsi="Arial" w:cs="Arial"/>
          <w:sz w:val="20"/>
          <w:szCs w:val="20"/>
        </w:rPr>
      </w:pPr>
      <w:r>
        <w:rPr>
          <w:rFonts w:ascii="Arial" w:hAnsi="Arial" w:cs="Arial"/>
          <w:sz w:val="20"/>
          <w:szCs w:val="20"/>
        </w:rPr>
        <w:t xml:space="preserve">The agency’s mission is to </w:t>
      </w:r>
      <w:r w:rsidR="007D7DBD">
        <w:rPr>
          <w:rFonts w:ascii="Arial" w:hAnsi="Arial" w:cs="Arial"/>
          <w:sz w:val="20"/>
          <w:szCs w:val="20"/>
        </w:rPr>
        <w:t>‘C</w:t>
      </w:r>
      <w:r>
        <w:rPr>
          <w:rFonts w:ascii="Arial" w:hAnsi="Arial" w:cs="Arial"/>
          <w:sz w:val="20"/>
          <w:szCs w:val="20"/>
        </w:rPr>
        <w:t>onnect citizens with their government</w:t>
      </w:r>
      <w:r w:rsidR="007D7DBD">
        <w:rPr>
          <w:rFonts w:ascii="Arial" w:hAnsi="Arial" w:cs="Arial"/>
          <w:sz w:val="20"/>
          <w:szCs w:val="20"/>
        </w:rPr>
        <w:t>”</w:t>
      </w:r>
      <w:r>
        <w:rPr>
          <w:rFonts w:ascii="Arial" w:hAnsi="Arial" w:cs="Arial"/>
          <w:sz w:val="20"/>
          <w:szCs w:val="20"/>
        </w:rPr>
        <w:t xml:space="preserve"> and the ITS staff are committed to inspiring trust and confidence in state government through modern solutions for technical services. The agency’s funding primarily comes from dedicated funds with some supplement</w:t>
      </w:r>
      <w:r w:rsidR="00B663EE">
        <w:rPr>
          <w:rFonts w:ascii="Arial" w:hAnsi="Arial" w:cs="Arial"/>
          <w:sz w:val="20"/>
          <w:szCs w:val="20"/>
        </w:rPr>
        <w:t>al</w:t>
      </w:r>
      <w:r>
        <w:rPr>
          <w:rFonts w:ascii="Arial" w:hAnsi="Arial" w:cs="Arial"/>
          <w:sz w:val="20"/>
          <w:szCs w:val="20"/>
        </w:rPr>
        <w:t xml:space="preserve"> general funds and </w:t>
      </w:r>
      <w:r w:rsidR="00B663EE">
        <w:rPr>
          <w:rFonts w:ascii="Arial" w:hAnsi="Arial" w:cs="Arial"/>
          <w:sz w:val="20"/>
          <w:szCs w:val="20"/>
        </w:rPr>
        <w:t>the Technology Infrastructure Stabilization Fund.</w:t>
      </w:r>
      <w:r w:rsidR="00741F98">
        <w:rPr>
          <w:rFonts w:ascii="Arial" w:hAnsi="Arial" w:cs="Arial"/>
          <w:sz w:val="20"/>
          <w:szCs w:val="20"/>
        </w:rPr>
        <w:t xml:space="preserve"> A large portion of the ITS budget pays for phone, network, and enterprise licenses for supported agencies.</w:t>
      </w:r>
    </w:p>
    <w:p w14:paraId="71247324" w14:textId="77777777" w:rsidR="002575F5" w:rsidRDefault="002575F5" w:rsidP="00577C10">
      <w:pPr>
        <w:jc w:val="both"/>
        <w:rPr>
          <w:rFonts w:ascii="Arial" w:hAnsi="Arial" w:cs="Arial"/>
          <w:b/>
        </w:rPr>
      </w:pPr>
    </w:p>
    <w:p w14:paraId="480C579D" w14:textId="00E876DB" w:rsidR="00C2697F" w:rsidRDefault="00C2697F" w:rsidP="00577C10">
      <w:pPr>
        <w:jc w:val="both"/>
        <w:rPr>
          <w:rFonts w:ascii="Arial" w:hAnsi="Arial" w:cs="Arial"/>
          <w:b/>
        </w:rPr>
      </w:pPr>
      <w:r w:rsidRPr="001E1705">
        <w:rPr>
          <w:rFonts w:ascii="Arial" w:hAnsi="Arial" w:cs="Arial"/>
          <w:b/>
        </w:rPr>
        <w:t>Core Functions/Idaho Code</w:t>
      </w:r>
    </w:p>
    <w:p w14:paraId="49A7CFD5" w14:textId="4597722E" w:rsidR="00DF3A5A" w:rsidRDefault="00F3638A" w:rsidP="004D5D33">
      <w:pPr>
        <w:contextualSpacing/>
        <w:jc w:val="both"/>
        <w:rPr>
          <w:rFonts w:ascii="Arial" w:hAnsi="Arial" w:cs="Arial"/>
          <w:sz w:val="20"/>
          <w:szCs w:val="20"/>
        </w:rPr>
      </w:pPr>
      <w:r>
        <w:rPr>
          <w:rFonts w:ascii="Arial" w:hAnsi="Arial" w:cs="Arial"/>
          <w:sz w:val="20"/>
          <w:szCs w:val="20"/>
        </w:rPr>
        <w:t>Idaho Code Title 67 Chapter 8 defines the statutory authority and responsibility of Information Technology Services.</w:t>
      </w:r>
    </w:p>
    <w:p w14:paraId="5293F028" w14:textId="10711C01" w:rsidR="00F3638A" w:rsidRDefault="00F3638A" w:rsidP="004D5D33">
      <w:pPr>
        <w:contextualSpacing/>
        <w:jc w:val="both"/>
        <w:rPr>
          <w:rFonts w:ascii="Arial" w:hAnsi="Arial" w:cs="Arial"/>
          <w:sz w:val="20"/>
          <w:szCs w:val="20"/>
        </w:rPr>
      </w:pPr>
    </w:p>
    <w:p w14:paraId="5E4C144C" w14:textId="02D8BB2A" w:rsidR="00F3638A" w:rsidRPr="00956F6D" w:rsidRDefault="00956F6D" w:rsidP="004D5D33">
      <w:pPr>
        <w:contextualSpacing/>
        <w:jc w:val="both"/>
        <w:rPr>
          <w:rFonts w:ascii="Arial" w:hAnsi="Arial" w:cs="Arial"/>
          <w:b/>
          <w:bCs/>
          <w:sz w:val="20"/>
          <w:szCs w:val="20"/>
        </w:rPr>
      </w:pPr>
      <w:r w:rsidRPr="00956F6D">
        <w:rPr>
          <w:rFonts w:ascii="Arial" w:hAnsi="Arial" w:cs="Arial"/>
          <w:b/>
          <w:bCs/>
          <w:sz w:val="20"/>
          <w:szCs w:val="20"/>
        </w:rPr>
        <w:t>Information Technology Services</w:t>
      </w:r>
    </w:p>
    <w:p w14:paraId="1C8A01CC" w14:textId="2513C3A9" w:rsidR="007B3F88" w:rsidRPr="009819AC" w:rsidRDefault="00956F6D" w:rsidP="004D5D33">
      <w:pPr>
        <w:contextualSpacing/>
        <w:jc w:val="both"/>
        <w:rPr>
          <w:rFonts w:ascii="Arial" w:hAnsi="Arial" w:cs="Arial"/>
          <w:sz w:val="20"/>
          <w:szCs w:val="20"/>
        </w:rPr>
      </w:pPr>
      <w:r w:rsidRPr="00250963">
        <w:rPr>
          <w:rFonts w:ascii="Arial" w:hAnsi="Arial" w:cs="Arial"/>
          <w:sz w:val="20"/>
          <w:szCs w:val="20"/>
        </w:rPr>
        <w:t xml:space="preserve">ITS </w:t>
      </w:r>
      <w:r>
        <w:rPr>
          <w:rFonts w:ascii="Arial" w:hAnsi="Arial" w:cs="Arial"/>
          <w:sz w:val="20"/>
          <w:szCs w:val="20"/>
        </w:rPr>
        <w:t xml:space="preserve">currently </w:t>
      </w:r>
      <w:r w:rsidRPr="00250963">
        <w:rPr>
          <w:rFonts w:ascii="Arial" w:hAnsi="Arial" w:cs="Arial"/>
          <w:sz w:val="20"/>
          <w:szCs w:val="20"/>
        </w:rPr>
        <w:t xml:space="preserve">provides </w:t>
      </w:r>
      <w:r w:rsidR="00922044">
        <w:rPr>
          <w:rFonts w:ascii="Arial" w:hAnsi="Arial" w:cs="Arial"/>
          <w:sz w:val="20"/>
          <w:szCs w:val="20"/>
        </w:rPr>
        <w:t xml:space="preserve">services </w:t>
      </w:r>
      <w:r w:rsidR="000208EF">
        <w:rPr>
          <w:rFonts w:ascii="Arial" w:hAnsi="Arial" w:cs="Arial"/>
          <w:sz w:val="20"/>
          <w:szCs w:val="20"/>
        </w:rPr>
        <w:t>including the</w:t>
      </w:r>
      <w:r>
        <w:rPr>
          <w:rFonts w:ascii="Arial" w:hAnsi="Arial" w:cs="Arial"/>
          <w:sz w:val="20"/>
          <w:szCs w:val="20"/>
        </w:rPr>
        <w:t xml:space="preserve"> </w:t>
      </w:r>
      <w:r w:rsidR="000208EF" w:rsidRPr="000208EF">
        <w:rPr>
          <w:rFonts w:ascii="Arial" w:hAnsi="Arial" w:cs="Arial"/>
          <w:sz w:val="20"/>
          <w:szCs w:val="20"/>
        </w:rPr>
        <w:t xml:space="preserve">state network, server, and storage infrastructure; cybersecurity; telephone services; application development; service desk; data analytics; regional support; project management; compliance; </w:t>
      </w:r>
      <w:r w:rsidR="000208EF">
        <w:rPr>
          <w:rFonts w:ascii="Arial" w:hAnsi="Arial" w:cs="Arial"/>
          <w:sz w:val="20"/>
          <w:szCs w:val="20"/>
        </w:rPr>
        <w:t xml:space="preserve">and </w:t>
      </w:r>
      <w:r w:rsidR="000208EF" w:rsidRPr="000208EF">
        <w:rPr>
          <w:rFonts w:ascii="Arial" w:hAnsi="Arial" w:cs="Arial"/>
          <w:sz w:val="20"/>
          <w:szCs w:val="20"/>
        </w:rPr>
        <w:t>licensing and enterprise architecture.</w:t>
      </w:r>
      <w:r w:rsidR="000208EF">
        <w:rPr>
          <w:rFonts w:ascii="Arial" w:hAnsi="Arial" w:cs="Arial"/>
          <w:sz w:val="20"/>
          <w:szCs w:val="20"/>
        </w:rPr>
        <w:t xml:space="preserve"> </w:t>
      </w:r>
      <w:r w:rsidR="007B3F88" w:rsidRPr="008C457D">
        <w:rPr>
          <w:rFonts w:ascii="Arial" w:hAnsi="Arial" w:cs="Arial"/>
          <w:sz w:val="20"/>
          <w:szCs w:val="20"/>
        </w:rPr>
        <w:t>(Idaho Code Sections 67-8</w:t>
      </w:r>
      <w:r w:rsidR="00F42697">
        <w:rPr>
          <w:rFonts w:ascii="Arial" w:hAnsi="Arial" w:cs="Arial"/>
          <w:sz w:val="20"/>
          <w:szCs w:val="20"/>
        </w:rPr>
        <w:t>27</w:t>
      </w:r>
      <w:r w:rsidR="007B3F88" w:rsidRPr="008C457D">
        <w:rPr>
          <w:rFonts w:ascii="Arial" w:hAnsi="Arial" w:cs="Arial"/>
          <w:sz w:val="20"/>
          <w:szCs w:val="20"/>
        </w:rPr>
        <w:t xml:space="preserve"> through 67-83</w:t>
      </w:r>
      <w:r w:rsidR="00DF3A5A">
        <w:rPr>
          <w:rFonts w:ascii="Arial" w:hAnsi="Arial" w:cs="Arial"/>
          <w:sz w:val="20"/>
          <w:szCs w:val="20"/>
        </w:rPr>
        <w:t>1</w:t>
      </w:r>
      <w:r w:rsidR="007B3F88" w:rsidRPr="008C457D">
        <w:rPr>
          <w:rFonts w:ascii="Arial" w:hAnsi="Arial" w:cs="Arial"/>
          <w:sz w:val="20"/>
          <w:szCs w:val="20"/>
        </w:rPr>
        <w:t>).</w:t>
      </w:r>
    </w:p>
    <w:p w14:paraId="7573A7D4" w14:textId="4F90E57E" w:rsidR="0080302A" w:rsidRDefault="0080302A" w:rsidP="004D5D33">
      <w:pPr>
        <w:contextualSpacing/>
        <w:jc w:val="both"/>
        <w:rPr>
          <w:rFonts w:ascii="Arial" w:hAnsi="Arial" w:cs="Arial"/>
          <w:sz w:val="20"/>
          <w:szCs w:val="20"/>
        </w:rPr>
      </w:pPr>
    </w:p>
    <w:p w14:paraId="04C0E533" w14:textId="59CA8B5C" w:rsidR="00956F6D" w:rsidRDefault="00956F6D" w:rsidP="004D5D33">
      <w:pPr>
        <w:contextualSpacing/>
        <w:jc w:val="both"/>
        <w:rPr>
          <w:rFonts w:ascii="Arial" w:hAnsi="Arial" w:cs="Arial"/>
          <w:b/>
          <w:bCs/>
          <w:sz w:val="20"/>
          <w:szCs w:val="20"/>
        </w:rPr>
      </w:pPr>
      <w:r>
        <w:rPr>
          <w:rFonts w:ascii="Arial" w:hAnsi="Arial" w:cs="Arial"/>
          <w:b/>
          <w:bCs/>
          <w:sz w:val="20"/>
          <w:szCs w:val="20"/>
        </w:rPr>
        <w:t>Cybersecurity</w:t>
      </w:r>
    </w:p>
    <w:p w14:paraId="4A511D2A" w14:textId="0245F015" w:rsidR="00956F6D" w:rsidRDefault="00956F6D" w:rsidP="004D5D33">
      <w:pPr>
        <w:contextualSpacing/>
        <w:jc w:val="both"/>
        <w:rPr>
          <w:rFonts w:ascii="Arial" w:hAnsi="Arial" w:cs="Arial"/>
          <w:sz w:val="20"/>
          <w:szCs w:val="20"/>
        </w:rPr>
      </w:pPr>
      <w:r>
        <w:rPr>
          <w:rFonts w:ascii="Arial" w:hAnsi="Arial" w:cs="Arial"/>
          <w:sz w:val="20"/>
          <w:szCs w:val="20"/>
        </w:rPr>
        <w:t xml:space="preserve">Originally set forth in Executive Order 2017-02, cybersecurity standards were outlined for all agencies in accordance with the National Institute of Standards and Technology Framework. Under Idaho Code 67-827A, ITS continues to implement cybersecurity policies and coordinate </w:t>
      </w:r>
      <w:r w:rsidR="00A36CDB">
        <w:rPr>
          <w:rFonts w:ascii="Arial" w:hAnsi="Arial" w:cs="Arial"/>
          <w:sz w:val="20"/>
          <w:szCs w:val="20"/>
        </w:rPr>
        <w:t>with state agencies on testing and scans to assess and mitigate risks.</w:t>
      </w:r>
    </w:p>
    <w:p w14:paraId="629144B1" w14:textId="77777777" w:rsidR="00A36CDB" w:rsidRPr="00956F6D" w:rsidRDefault="00A36CDB" w:rsidP="004D5D33">
      <w:pPr>
        <w:contextualSpacing/>
        <w:jc w:val="both"/>
        <w:rPr>
          <w:rFonts w:ascii="Arial" w:hAnsi="Arial" w:cs="Arial"/>
          <w:sz w:val="20"/>
          <w:szCs w:val="20"/>
        </w:rPr>
      </w:pPr>
    </w:p>
    <w:p w14:paraId="7E27872F" w14:textId="7D754D62" w:rsidR="00956F6D" w:rsidRPr="00A36CDB" w:rsidRDefault="00A36CDB" w:rsidP="004D5D33">
      <w:pPr>
        <w:contextualSpacing/>
        <w:jc w:val="both"/>
        <w:rPr>
          <w:rFonts w:ascii="Arial" w:hAnsi="Arial" w:cs="Arial"/>
          <w:b/>
          <w:bCs/>
          <w:sz w:val="20"/>
          <w:szCs w:val="20"/>
        </w:rPr>
      </w:pPr>
      <w:r>
        <w:rPr>
          <w:rFonts w:ascii="Arial" w:hAnsi="Arial" w:cs="Arial"/>
          <w:b/>
          <w:bCs/>
          <w:sz w:val="20"/>
          <w:szCs w:val="20"/>
        </w:rPr>
        <w:t>Idaho Technology Authority</w:t>
      </w:r>
    </w:p>
    <w:p w14:paraId="70FA5D1C" w14:textId="50180642" w:rsidR="0080302A" w:rsidRDefault="000208EF" w:rsidP="000208EF">
      <w:pPr>
        <w:contextualSpacing/>
        <w:jc w:val="both"/>
        <w:rPr>
          <w:rFonts w:ascii="Arial" w:hAnsi="Arial" w:cs="Arial"/>
          <w:sz w:val="20"/>
          <w:szCs w:val="20"/>
        </w:rPr>
      </w:pPr>
      <w:bookmarkStart w:id="0" w:name="_Hlk80189736"/>
      <w:r w:rsidRPr="009819AC">
        <w:rPr>
          <w:rFonts w:ascii="Arial" w:hAnsi="Arial" w:cs="Arial"/>
          <w:sz w:val="20"/>
          <w:szCs w:val="20"/>
        </w:rPr>
        <w:t>The Idaho Technology Authority (ITA) establishes statewide IT and telecommunications policies, standards, guidelines, and conventions assuring uniformity and compatibility of state agency systems.</w:t>
      </w:r>
      <w:r>
        <w:rPr>
          <w:rFonts w:ascii="Arial" w:hAnsi="Arial" w:cs="Arial"/>
          <w:sz w:val="20"/>
          <w:szCs w:val="20"/>
        </w:rPr>
        <w:t xml:space="preserve"> </w:t>
      </w:r>
      <w:r w:rsidR="0080302A" w:rsidRPr="009819AC">
        <w:rPr>
          <w:rFonts w:ascii="Arial" w:hAnsi="Arial" w:cs="Arial"/>
          <w:sz w:val="20"/>
          <w:szCs w:val="20"/>
        </w:rPr>
        <w:t xml:space="preserve">The </w:t>
      </w:r>
      <w:r>
        <w:rPr>
          <w:rFonts w:ascii="Arial" w:hAnsi="Arial" w:cs="Arial"/>
          <w:sz w:val="20"/>
          <w:szCs w:val="20"/>
        </w:rPr>
        <w:t>committee’s</w:t>
      </w:r>
      <w:r w:rsidR="0080302A" w:rsidRPr="009819AC">
        <w:rPr>
          <w:rFonts w:ascii="Arial" w:hAnsi="Arial" w:cs="Arial"/>
          <w:sz w:val="20"/>
          <w:szCs w:val="20"/>
        </w:rPr>
        <w:t xml:space="preserve"> composition ensures those affected by policy decisions have a role and say in policy direction.</w:t>
      </w:r>
      <w:r w:rsidR="00A60D71">
        <w:rPr>
          <w:rFonts w:ascii="Arial" w:hAnsi="Arial" w:cs="Arial"/>
          <w:sz w:val="20"/>
          <w:szCs w:val="20"/>
        </w:rPr>
        <w:t xml:space="preserve"> </w:t>
      </w:r>
      <w:r>
        <w:rPr>
          <w:rFonts w:ascii="Arial" w:hAnsi="Arial" w:cs="Arial"/>
          <w:sz w:val="20"/>
          <w:szCs w:val="20"/>
        </w:rPr>
        <w:t>The</w:t>
      </w:r>
      <w:r w:rsidRPr="009819AC">
        <w:rPr>
          <w:rFonts w:ascii="Arial" w:hAnsi="Arial" w:cs="Arial"/>
          <w:sz w:val="20"/>
          <w:szCs w:val="20"/>
        </w:rPr>
        <w:t xml:space="preserve"> primary committee and three subcommittees are supported by ITS staff.</w:t>
      </w:r>
      <w:r>
        <w:rPr>
          <w:rFonts w:ascii="Arial" w:hAnsi="Arial" w:cs="Arial"/>
          <w:sz w:val="20"/>
          <w:szCs w:val="20"/>
        </w:rPr>
        <w:t xml:space="preserve"> </w:t>
      </w:r>
      <w:r w:rsidRPr="009819AC">
        <w:rPr>
          <w:rFonts w:ascii="Arial" w:hAnsi="Arial" w:cs="Arial"/>
          <w:sz w:val="20"/>
          <w:szCs w:val="20"/>
        </w:rPr>
        <w:t>The three subcommittees focus on specific portions of the ITA mission: The Access Idaho Steering Committee, the IT Leadership Council, and the Idaho Geospatial Council-Executive Committee.</w:t>
      </w:r>
      <w:r>
        <w:rPr>
          <w:rFonts w:ascii="Arial" w:hAnsi="Arial" w:cs="Arial"/>
          <w:sz w:val="20"/>
          <w:szCs w:val="20"/>
        </w:rPr>
        <w:t xml:space="preserve"> (Idaho Code</w:t>
      </w:r>
      <w:r w:rsidRPr="009819AC">
        <w:rPr>
          <w:rFonts w:ascii="Arial" w:hAnsi="Arial" w:cs="Arial"/>
          <w:sz w:val="20"/>
          <w:szCs w:val="20"/>
        </w:rPr>
        <w:t xml:space="preserve"> 67-831</w:t>
      </w:r>
      <w:r>
        <w:rPr>
          <w:rFonts w:ascii="Arial" w:hAnsi="Arial" w:cs="Arial"/>
          <w:sz w:val="20"/>
          <w:szCs w:val="20"/>
        </w:rPr>
        <w:t xml:space="preserve"> through 67-</w:t>
      </w:r>
      <w:r w:rsidRPr="009819AC">
        <w:rPr>
          <w:rFonts w:ascii="Arial" w:hAnsi="Arial" w:cs="Arial"/>
          <w:sz w:val="20"/>
          <w:szCs w:val="20"/>
        </w:rPr>
        <w:t>833</w:t>
      </w:r>
      <w:r>
        <w:rPr>
          <w:rFonts w:ascii="Arial" w:hAnsi="Arial" w:cs="Arial"/>
          <w:sz w:val="20"/>
          <w:szCs w:val="20"/>
        </w:rPr>
        <w:t>)</w:t>
      </w:r>
      <w:r w:rsidR="00C54749">
        <w:rPr>
          <w:rFonts w:ascii="Arial" w:hAnsi="Arial" w:cs="Arial"/>
          <w:sz w:val="20"/>
          <w:szCs w:val="20"/>
        </w:rPr>
        <w:t>.</w:t>
      </w:r>
    </w:p>
    <w:bookmarkEnd w:id="0"/>
    <w:p w14:paraId="2AA4B6D9" w14:textId="0C07696B" w:rsidR="00A36CDB" w:rsidRDefault="00A36CDB" w:rsidP="004D5D33">
      <w:pPr>
        <w:contextualSpacing/>
        <w:jc w:val="both"/>
        <w:rPr>
          <w:rFonts w:ascii="Arial" w:hAnsi="Arial" w:cs="Arial"/>
          <w:sz w:val="20"/>
          <w:szCs w:val="20"/>
        </w:rPr>
      </w:pPr>
    </w:p>
    <w:p w14:paraId="7D6CBDA8" w14:textId="1BA4C631" w:rsidR="002575F5" w:rsidRDefault="002575F5">
      <w:pPr>
        <w:rPr>
          <w:rFonts w:ascii="Arial" w:hAnsi="Arial" w:cs="Arial"/>
        </w:rPr>
      </w:pPr>
      <w:r>
        <w:rPr>
          <w:rFonts w:ascii="Arial" w:hAnsi="Arial" w:cs="Arial"/>
        </w:rPr>
        <w:br w:type="page"/>
      </w:r>
    </w:p>
    <w:p w14:paraId="1B541501" w14:textId="77777777" w:rsidR="0080302A" w:rsidRPr="002E0962" w:rsidRDefault="0080302A" w:rsidP="0080302A">
      <w:pPr>
        <w:rPr>
          <w:rFonts w:ascii="Arial" w:hAnsi="Arial" w:cs="Arial"/>
        </w:rPr>
      </w:pPr>
    </w:p>
    <w:p w14:paraId="68F486CC" w14:textId="77777777" w:rsidR="00B93397" w:rsidRDefault="00B93397" w:rsidP="00577C10">
      <w:pPr>
        <w:rPr>
          <w:rFonts w:ascii="Arial" w:hAnsi="Arial" w:cs="Arial"/>
          <w:b/>
        </w:rPr>
      </w:pPr>
      <w:r w:rsidRPr="00032412">
        <w:rPr>
          <w:rFonts w:ascii="Arial" w:hAnsi="Arial" w:cs="Arial"/>
          <w:b/>
        </w:rPr>
        <w:t>Revenue and Expenditures</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620"/>
        <w:gridCol w:w="1530"/>
        <w:gridCol w:w="1530"/>
        <w:gridCol w:w="1615"/>
      </w:tblGrid>
      <w:tr w:rsidR="006A3612" w14:paraId="4C3E715A" w14:textId="77777777" w:rsidTr="00B663EE">
        <w:trPr>
          <w:cantSplit/>
          <w:trHeight w:val="300"/>
          <w:jc w:val="right"/>
        </w:trPr>
        <w:tc>
          <w:tcPr>
            <w:tcW w:w="3785" w:type="dxa"/>
            <w:tcBorders>
              <w:bottom w:val="single" w:sz="4" w:space="0" w:color="auto"/>
            </w:tcBorders>
            <w:shd w:val="clear" w:color="000000" w:fill="000080"/>
            <w:vAlign w:val="center"/>
            <w:hideMark/>
          </w:tcPr>
          <w:p w14:paraId="07E428DD" w14:textId="77777777" w:rsidR="006A3612" w:rsidRDefault="006A3612" w:rsidP="006A3612">
            <w:pPr>
              <w:keepNext/>
              <w:rPr>
                <w:rFonts w:ascii="Arial" w:hAnsi="Arial" w:cs="Arial"/>
                <w:b/>
                <w:bCs/>
                <w:color w:val="FFFFFF"/>
                <w:sz w:val="20"/>
                <w:szCs w:val="20"/>
              </w:rPr>
            </w:pPr>
            <w:r>
              <w:rPr>
                <w:rFonts w:ascii="Arial" w:hAnsi="Arial" w:cs="Arial"/>
                <w:b/>
                <w:bCs/>
                <w:color w:val="FFFFFF"/>
                <w:sz w:val="20"/>
              </w:rPr>
              <w:t>Revenue</w:t>
            </w:r>
          </w:p>
        </w:tc>
        <w:tc>
          <w:tcPr>
            <w:tcW w:w="1620" w:type="dxa"/>
            <w:tcBorders>
              <w:bottom w:val="single" w:sz="4" w:space="0" w:color="auto"/>
            </w:tcBorders>
            <w:shd w:val="clear" w:color="000000" w:fill="000080"/>
          </w:tcPr>
          <w:p w14:paraId="57005736" w14:textId="58E9F800" w:rsidR="006A3612" w:rsidRDefault="003941A9" w:rsidP="006A3612">
            <w:pPr>
              <w:keepNext/>
              <w:jc w:val="right"/>
              <w:rPr>
                <w:rFonts w:ascii="Arial" w:hAnsi="Arial" w:cs="Arial"/>
                <w:b/>
                <w:bCs/>
                <w:color w:val="FFFFFF"/>
                <w:sz w:val="20"/>
              </w:rPr>
            </w:pPr>
            <w:r>
              <w:rPr>
                <w:rFonts w:ascii="Arial" w:hAnsi="Arial" w:cs="Arial"/>
                <w:b/>
                <w:bCs/>
                <w:color w:val="FFFFFF"/>
                <w:sz w:val="20"/>
              </w:rPr>
              <w:t>FY 2021</w:t>
            </w:r>
          </w:p>
        </w:tc>
        <w:tc>
          <w:tcPr>
            <w:tcW w:w="1530" w:type="dxa"/>
            <w:tcBorders>
              <w:bottom w:val="single" w:sz="4" w:space="0" w:color="auto"/>
            </w:tcBorders>
            <w:shd w:val="clear" w:color="000000" w:fill="000080"/>
          </w:tcPr>
          <w:p w14:paraId="431EA3E9" w14:textId="730BD8B2" w:rsidR="006A3612" w:rsidRDefault="003941A9" w:rsidP="006A3612">
            <w:pPr>
              <w:keepNext/>
              <w:jc w:val="right"/>
              <w:rPr>
                <w:rFonts w:ascii="Arial" w:hAnsi="Arial" w:cs="Arial"/>
                <w:b/>
                <w:bCs/>
                <w:color w:val="FFFFFF"/>
                <w:sz w:val="20"/>
              </w:rPr>
            </w:pPr>
            <w:r>
              <w:rPr>
                <w:rFonts w:ascii="Arial" w:hAnsi="Arial" w:cs="Arial"/>
                <w:b/>
                <w:bCs/>
                <w:color w:val="FFFFFF"/>
                <w:sz w:val="20"/>
              </w:rPr>
              <w:t>FY 2022</w:t>
            </w:r>
          </w:p>
        </w:tc>
        <w:tc>
          <w:tcPr>
            <w:tcW w:w="1530" w:type="dxa"/>
            <w:tcBorders>
              <w:bottom w:val="single" w:sz="4" w:space="0" w:color="auto"/>
            </w:tcBorders>
            <w:shd w:val="clear" w:color="000000" w:fill="000080"/>
          </w:tcPr>
          <w:p w14:paraId="0982EDB3" w14:textId="4933901D" w:rsidR="006A3612" w:rsidRDefault="003941A9" w:rsidP="006A3612">
            <w:pPr>
              <w:keepNext/>
              <w:jc w:val="right"/>
              <w:rPr>
                <w:rFonts w:ascii="Arial" w:hAnsi="Arial" w:cs="Arial"/>
                <w:b/>
                <w:bCs/>
                <w:color w:val="FFFFFF"/>
                <w:sz w:val="20"/>
              </w:rPr>
            </w:pPr>
            <w:r>
              <w:rPr>
                <w:rFonts w:ascii="Arial" w:hAnsi="Arial" w:cs="Arial"/>
                <w:b/>
                <w:bCs/>
                <w:color w:val="FFFFFF"/>
                <w:sz w:val="20"/>
              </w:rPr>
              <w:t>FY 2023</w:t>
            </w:r>
          </w:p>
        </w:tc>
        <w:tc>
          <w:tcPr>
            <w:tcW w:w="1615" w:type="dxa"/>
            <w:tcBorders>
              <w:bottom w:val="single" w:sz="4" w:space="0" w:color="auto"/>
            </w:tcBorders>
            <w:shd w:val="clear" w:color="000000" w:fill="000080"/>
            <w:hideMark/>
          </w:tcPr>
          <w:p w14:paraId="7EE5AD83" w14:textId="72E234D5" w:rsidR="006A3612" w:rsidRDefault="003941A9" w:rsidP="006A3612">
            <w:pPr>
              <w:keepNext/>
              <w:jc w:val="right"/>
              <w:rPr>
                <w:rFonts w:ascii="Arial" w:hAnsi="Arial" w:cs="Arial"/>
                <w:b/>
                <w:bCs/>
                <w:color w:val="FFFFFF"/>
                <w:sz w:val="20"/>
              </w:rPr>
            </w:pPr>
            <w:r>
              <w:rPr>
                <w:rFonts w:ascii="Arial" w:hAnsi="Arial" w:cs="Arial"/>
                <w:b/>
                <w:bCs/>
                <w:color w:val="FFFFFF"/>
                <w:sz w:val="20"/>
              </w:rPr>
              <w:t>FY 2024</w:t>
            </w:r>
          </w:p>
        </w:tc>
      </w:tr>
      <w:tr w:rsidR="003941A9" w14:paraId="2558A584" w14:textId="77777777" w:rsidTr="00FC4F05">
        <w:trPr>
          <w:cantSplit/>
          <w:trHeight w:val="315"/>
          <w:jc w:val="right"/>
        </w:trPr>
        <w:tc>
          <w:tcPr>
            <w:tcW w:w="3785" w:type="dxa"/>
            <w:tcBorders>
              <w:bottom w:val="dashSmallGap" w:sz="4" w:space="0" w:color="auto"/>
              <w:right w:val="dashSmallGap" w:sz="4" w:space="0" w:color="auto"/>
            </w:tcBorders>
            <w:shd w:val="clear" w:color="auto" w:fill="auto"/>
            <w:vAlign w:val="center"/>
            <w:hideMark/>
          </w:tcPr>
          <w:p w14:paraId="128F5FCB" w14:textId="1C23EE8B" w:rsidR="003941A9" w:rsidRDefault="003941A9" w:rsidP="003941A9">
            <w:pPr>
              <w:keepNext/>
              <w:rPr>
                <w:rFonts w:ascii="Arial" w:hAnsi="Arial" w:cs="Arial"/>
                <w:color w:val="000000"/>
                <w:sz w:val="20"/>
                <w:szCs w:val="20"/>
              </w:rPr>
            </w:pPr>
            <w:r>
              <w:rPr>
                <w:rFonts w:ascii="Arial" w:hAnsi="Arial" w:cs="Arial"/>
                <w:color w:val="000000"/>
                <w:sz w:val="20"/>
                <w:szCs w:val="20"/>
              </w:rPr>
              <w:t xml:space="preserve">General Fund </w:t>
            </w:r>
            <w:r w:rsidRPr="00B430F7">
              <w:rPr>
                <w:rFonts w:ascii="Arial" w:hAnsi="Arial" w:cs="Arial"/>
                <w:color w:val="000000"/>
                <w:sz w:val="20"/>
                <w:szCs w:val="20"/>
              </w:rPr>
              <w:t>(0001)</w:t>
            </w:r>
          </w:p>
        </w:tc>
        <w:tc>
          <w:tcPr>
            <w:tcW w:w="1620" w:type="dxa"/>
            <w:tcBorders>
              <w:left w:val="dashSmallGap" w:sz="4" w:space="0" w:color="auto"/>
              <w:bottom w:val="dashSmallGap" w:sz="4" w:space="0" w:color="auto"/>
              <w:right w:val="dashSmallGap" w:sz="4" w:space="0" w:color="auto"/>
            </w:tcBorders>
            <w:vAlign w:val="bottom"/>
          </w:tcPr>
          <w:p w14:paraId="215A96E9" w14:textId="78D963E9" w:rsidR="003941A9" w:rsidRPr="00B430F7" w:rsidRDefault="003941A9" w:rsidP="003941A9">
            <w:pPr>
              <w:keepNext/>
              <w:jc w:val="right"/>
              <w:rPr>
                <w:rFonts w:ascii="Arial" w:hAnsi="Arial" w:cs="Arial"/>
                <w:color w:val="000000"/>
                <w:sz w:val="20"/>
                <w:szCs w:val="20"/>
              </w:rPr>
            </w:pPr>
            <w:r w:rsidRPr="00B430F7">
              <w:rPr>
                <w:rFonts w:ascii="Arial" w:hAnsi="Arial" w:cs="Arial"/>
                <w:color w:val="000000"/>
                <w:sz w:val="20"/>
                <w:szCs w:val="20"/>
              </w:rPr>
              <w:t xml:space="preserve">3,357,900 </w:t>
            </w:r>
          </w:p>
        </w:tc>
        <w:tc>
          <w:tcPr>
            <w:tcW w:w="1530" w:type="dxa"/>
            <w:tcBorders>
              <w:left w:val="dashSmallGap" w:sz="4" w:space="0" w:color="auto"/>
              <w:bottom w:val="dashSmallGap" w:sz="4" w:space="0" w:color="auto"/>
              <w:right w:val="dashSmallGap" w:sz="4" w:space="0" w:color="auto"/>
            </w:tcBorders>
            <w:shd w:val="clear" w:color="auto" w:fill="auto"/>
            <w:vAlign w:val="bottom"/>
          </w:tcPr>
          <w:p w14:paraId="2B5C29E9" w14:textId="414AB77A" w:rsidR="003941A9" w:rsidRPr="00B430F7" w:rsidRDefault="003941A9" w:rsidP="003941A9">
            <w:pPr>
              <w:keepNext/>
              <w:jc w:val="right"/>
              <w:rPr>
                <w:rFonts w:ascii="Arial" w:hAnsi="Arial" w:cs="Arial"/>
                <w:color w:val="000000"/>
                <w:sz w:val="20"/>
                <w:szCs w:val="20"/>
              </w:rPr>
            </w:pPr>
            <w:r w:rsidRPr="00B430F7">
              <w:rPr>
                <w:rFonts w:ascii="Arial" w:hAnsi="Arial" w:cs="Arial"/>
                <w:color w:val="000000"/>
                <w:sz w:val="20"/>
                <w:szCs w:val="20"/>
              </w:rPr>
              <w:t xml:space="preserve">1,908,800 </w:t>
            </w:r>
          </w:p>
        </w:tc>
        <w:tc>
          <w:tcPr>
            <w:tcW w:w="1530" w:type="dxa"/>
            <w:tcBorders>
              <w:left w:val="dashSmallGap" w:sz="4" w:space="0" w:color="auto"/>
              <w:bottom w:val="dashSmallGap" w:sz="4" w:space="0" w:color="auto"/>
              <w:right w:val="dashSmallGap" w:sz="4" w:space="0" w:color="auto"/>
            </w:tcBorders>
            <w:shd w:val="clear" w:color="auto" w:fill="auto"/>
            <w:vAlign w:val="bottom"/>
          </w:tcPr>
          <w:p w14:paraId="09C08B24" w14:textId="4BC3E227" w:rsidR="003941A9" w:rsidRPr="00B430F7" w:rsidRDefault="003941A9" w:rsidP="003941A9">
            <w:pPr>
              <w:keepNext/>
              <w:jc w:val="right"/>
              <w:rPr>
                <w:rFonts w:ascii="Arial" w:hAnsi="Arial" w:cs="Arial"/>
                <w:color w:val="000000"/>
                <w:sz w:val="20"/>
                <w:szCs w:val="20"/>
              </w:rPr>
            </w:pPr>
            <w:r w:rsidRPr="00B430F7">
              <w:rPr>
                <w:rFonts w:ascii="Arial" w:hAnsi="Arial" w:cs="Arial"/>
                <w:color w:val="000000"/>
                <w:sz w:val="20"/>
                <w:szCs w:val="20"/>
              </w:rPr>
              <w:t xml:space="preserve">2,589,100 </w:t>
            </w:r>
          </w:p>
        </w:tc>
        <w:tc>
          <w:tcPr>
            <w:tcW w:w="1615" w:type="dxa"/>
            <w:tcBorders>
              <w:left w:val="dashSmallGap" w:sz="4" w:space="0" w:color="auto"/>
              <w:bottom w:val="dashSmallGap" w:sz="4" w:space="0" w:color="auto"/>
            </w:tcBorders>
            <w:shd w:val="clear" w:color="auto" w:fill="auto"/>
            <w:vAlign w:val="bottom"/>
          </w:tcPr>
          <w:p w14:paraId="3AA6A019" w14:textId="6860D52D" w:rsidR="003941A9" w:rsidRPr="00B430F7" w:rsidRDefault="003941A9" w:rsidP="003941A9">
            <w:pPr>
              <w:keepNext/>
              <w:jc w:val="right"/>
              <w:rPr>
                <w:rFonts w:ascii="Arial" w:hAnsi="Arial" w:cs="Arial"/>
                <w:color w:val="000000"/>
                <w:sz w:val="20"/>
                <w:szCs w:val="20"/>
              </w:rPr>
            </w:pPr>
          </w:p>
        </w:tc>
      </w:tr>
      <w:tr w:rsidR="003941A9" w14:paraId="045A6F4B" w14:textId="77777777" w:rsidTr="00B663EE">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tcPr>
          <w:p w14:paraId="54D288E7" w14:textId="1397924B" w:rsidR="003941A9" w:rsidRDefault="003941A9" w:rsidP="003941A9">
            <w:pPr>
              <w:keepNext/>
              <w:rPr>
                <w:rFonts w:ascii="Arial" w:hAnsi="Arial" w:cs="Arial"/>
                <w:color w:val="000000"/>
                <w:sz w:val="20"/>
                <w:szCs w:val="20"/>
              </w:rPr>
            </w:pPr>
            <w:r>
              <w:rPr>
                <w:rFonts w:ascii="Arial" w:hAnsi="Arial" w:cs="Arial"/>
                <w:color w:val="000000"/>
                <w:sz w:val="20"/>
                <w:szCs w:val="20"/>
              </w:rPr>
              <w:t xml:space="preserve">Tech. Infrastructure Stabilization </w:t>
            </w:r>
            <w:r w:rsidRPr="00B430F7">
              <w:rPr>
                <w:rFonts w:ascii="Arial" w:hAnsi="Arial" w:cs="Arial"/>
                <w:color w:val="000000"/>
                <w:sz w:val="20"/>
                <w:szCs w:val="20"/>
              </w:rPr>
              <w:t>(0128)</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2BDAD87E" w14:textId="46DAE9B7" w:rsidR="003941A9" w:rsidRDefault="003941A9" w:rsidP="003941A9">
            <w:pPr>
              <w:keepNext/>
              <w:jc w:val="right"/>
              <w:rPr>
                <w:rFonts w:ascii="Arial" w:hAnsi="Arial" w:cs="Arial"/>
                <w:color w:val="000000"/>
                <w:sz w:val="20"/>
                <w:szCs w:val="20"/>
              </w:rPr>
            </w:pP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5B013B2" w14:textId="537BE18B" w:rsidR="003941A9" w:rsidRDefault="003941A9" w:rsidP="003941A9">
            <w:pPr>
              <w:keepNext/>
              <w:jc w:val="right"/>
              <w:rPr>
                <w:rFonts w:ascii="Arial" w:hAnsi="Arial" w:cs="Arial"/>
                <w:color w:val="000000"/>
                <w:sz w:val="20"/>
                <w:szCs w:val="20"/>
              </w:rPr>
            </w:pP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EF056CD" w14:textId="528881BD" w:rsidR="003941A9" w:rsidRDefault="003941A9" w:rsidP="003941A9">
            <w:pPr>
              <w:keepNext/>
              <w:jc w:val="right"/>
              <w:rPr>
                <w:rFonts w:ascii="Arial" w:hAnsi="Arial" w:cs="Arial"/>
                <w:color w:val="000000"/>
                <w:sz w:val="20"/>
                <w:szCs w:val="20"/>
              </w:rPr>
            </w:pPr>
          </w:p>
        </w:tc>
        <w:tc>
          <w:tcPr>
            <w:tcW w:w="1615" w:type="dxa"/>
            <w:tcBorders>
              <w:top w:val="dashSmallGap" w:sz="4" w:space="0" w:color="auto"/>
              <w:left w:val="dashSmallGap" w:sz="4" w:space="0" w:color="auto"/>
              <w:bottom w:val="dashSmallGap" w:sz="4" w:space="0" w:color="auto"/>
            </w:tcBorders>
            <w:shd w:val="clear" w:color="auto" w:fill="auto"/>
            <w:vAlign w:val="center"/>
          </w:tcPr>
          <w:p w14:paraId="753EC6B8" w14:textId="59E60D3F" w:rsidR="003941A9" w:rsidRDefault="003941A9" w:rsidP="003941A9">
            <w:pPr>
              <w:keepNext/>
              <w:jc w:val="right"/>
              <w:rPr>
                <w:rFonts w:ascii="Arial" w:hAnsi="Arial" w:cs="Arial"/>
                <w:color w:val="000000"/>
                <w:sz w:val="20"/>
                <w:szCs w:val="20"/>
              </w:rPr>
            </w:pPr>
          </w:p>
        </w:tc>
      </w:tr>
      <w:tr w:rsidR="003941A9" w14:paraId="499C6D84" w14:textId="77777777" w:rsidTr="00DE4EC6">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tcPr>
          <w:p w14:paraId="1C6C39D5" w14:textId="78D70044" w:rsidR="003941A9" w:rsidRDefault="003941A9" w:rsidP="003941A9">
            <w:pPr>
              <w:keepNext/>
              <w:rPr>
                <w:rFonts w:ascii="Arial" w:hAnsi="Arial" w:cs="Arial"/>
                <w:color w:val="000000"/>
                <w:sz w:val="20"/>
                <w:szCs w:val="20"/>
              </w:rPr>
            </w:pPr>
            <w:r>
              <w:rPr>
                <w:rFonts w:ascii="Arial" w:hAnsi="Arial" w:cs="Arial"/>
                <w:color w:val="000000"/>
                <w:sz w:val="20"/>
                <w:szCs w:val="20"/>
              </w:rPr>
              <w:t xml:space="preserve">Admin. &amp; Accounting Services </w:t>
            </w:r>
            <w:r w:rsidRPr="00B430F7">
              <w:rPr>
                <w:rFonts w:ascii="Arial" w:hAnsi="Arial" w:cs="Arial"/>
                <w:color w:val="000000"/>
                <w:sz w:val="20"/>
                <w:szCs w:val="20"/>
              </w:rPr>
              <w:t>(0345)</w:t>
            </w:r>
          </w:p>
        </w:tc>
        <w:tc>
          <w:tcPr>
            <w:tcW w:w="1620" w:type="dxa"/>
            <w:tcBorders>
              <w:top w:val="dashSmallGap" w:sz="4" w:space="0" w:color="auto"/>
              <w:left w:val="dashSmallGap" w:sz="4" w:space="0" w:color="auto"/>
              <w:bottom w:val="dashSmallGap" w:sz="4" w:space="0" w:color="auto"/>
              <w:right w:val="dashSmallGap" w:sz="4" w:space="0" w:color="auto"/>
            </w:tcBorders>
            <w:vAlign w:val="bottom"/>
          </w:tcPr>
          <w:p w14:paraId="7EF372F2" w14:textId="093583C7" w:rsidR="003941A9" w:rsidRPr="00B430F7" w:rsidRDefault="003941A9" w:rsidP="003941A9">
            <w:pPr>
              <w:keepNext/>
              <w:jc w:val="right"/>
              <w:rPr>
                <w:rFonts w:ascii="Arial" w:hAnsi="Arial" w:cs="Arial"/>
                <w:color w:val="000000"/>
                <w:sz w:val="20"/>
                <w:szCs w:val="20"/>
              </w:rPr>
            </w:pPr>
            <w:r w:rsidRPr="00B430F7">
              <w:rPr>
                <w:rFonts w:ascii="Arial" w:hAnsi="Arial" w:cs="Arial"/>
                <w:color w:val="000000"/>
                <w:sz w:val="20"/>
                <w:szCs w:val="20"/>
              </w:rPr>
              <w:t xml:space="preserve">27,224,700 </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14:paraId="5C8DB48F" w14:textId="070B43E9" w:rsidR="003941A9" w:rsidRPr="00B430F7" w:rsidRDefault="003941A9" w:rsidP="003941A9">
            <w:pPr>
              <w:keepNext/>
              <w:jc w:val="right"/>
              <w:rPr>
                <w:rFonts w:ascii="Arial" w:hAnsi="Arial" w:cs="Arial"/>
                <w:color w:val="000000"/>
                <w:sz w:val="20"/>
                <w:szCs w:val="20"/>
              </w:rPr>
            </w:pPr>
            <w:r w:rsidRPr="00B430F7">
              <w:rPr>
                <w:rFonts w:ascii="Arial" w:hAnsi="Arial" w:cs="Arial"/>
                <w:color w:val="000000"/>
                <w:sz w:val="20"/>
                <w:szCs w:val="20"/>
              </w:rPr>
              <w:t xml:space="preserve">24,474,200 </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54BB86" w14:textId="705D3539" w:rsidR="003941A9" w:rsidRPr="00B430F7" w:rsidRDefault="003941A9" w:rsidP="003941A9">
            <w:pPr>
              <w:keepNext/>
              <w:jc w:val="right"/>
              <w:rPr>
                <w:rFonts w:ascii="Arial" w:hAnsi="Arial" w:cs="Arial"/>
                <w:color w:val="000000"/>
                <w:sz w:val="20"/>
                <w:szCs w:val="20"/>
              </w:rPr>
            </w:pPr>
            <w:r w:rsidRPr="007061B2">
              <w:rPr>
                <w:rFonts w:ascii="Arial" w:hAnsi="Arial" w:cs="Arial"/>
                <w:color w:val="000000"/>
                <w:sz w:val="20"/>
                <w:szCs w:val="20"/>
              </w:rPr>
              <w:t>29,224,800</w:t>
            </w:r>
          </w:p>
        </w:tc>
        <w:tc>
          <w:tcPr>
            <w:tcW w:w="1615" w:type="dxa"/>
            <w:tcBorders>
              <w:top w:val="dashSmallGap" w:sz="4" w:space="0" w:color="auto"/>
              <w:left w:val="dashSmallGap" w:sz="4" w:space="0" w:color="auto"/>
              <w:bottom w:val="dashSmallGap" w:sz="4" w:space="0" w:color="auto"/>
            </w:tcBorders>
            <w:shd w:val="clear" w:color="auto" w:fill="auto"/>
            <w:vAlign w:val="center"/>
          </w:tcPr>
          <w:p w14:paraId="24AADAE6" w14:textId="65DF0B78" w:rsidR="003941A9" w:rsidRPr="001F3D5F" w:rsidRDefault="003941A9" w:rsidP="003941A9">
            <w:pPr>
              <w:keepNext/>
              <w:jc w:val="right"/>
              <w:rPr>
                <w:rFonts w:ascii="Arial" w:hAnsi="Arial" w:cs="Arial"/>
                <w:color w:val="000000"/>
                <w:sz w:val="20"/>
                <w:szCs w:val="20"/>
              </w:rPr>
            </w:pPr>
          </w:p>
        </w:tc>
      </w:tr>
      <w:tr w:rsidR="003941A9" w14:paraId="1F6AFB87" w14:textId="77777777" w:rsidTr="00B663EE">
        <w:trPr>
          <w:cantSplit/>
          <w:trHeight w:val="330"/>
          <w:jc w:val="right"/>
        </w:trPr>
        <w:tc>
          <w:tcPr>
            <w:tcW w:w="3785" w:type="dxa"/>
            <w:tcBorders>
              <w:top w:val="dashSmallGap" w:sz="4" w:space="0" w:color="auto"/>
              <w:bottom w:val="single" w:sz="4" w:space="0" w:color="auto"/>
              <w:right w:val="dashSmallGap" w:sz="4" w:space="0" w:color="auto"/>
            </w:tcBorders>
            <w:shd w:val="clear" w:color="auto" w:fill="auto"/>
            <w:vAlign w:val="center"/>
          </w:tcPr>
          <w:p w14:paraId="06B8C713" w14:textId="2DDD4FE5" w:rsidR="003941A9" w:rsidRPr="00B430F7" w:rsidRDefault="003941A9" w:rsidP="003941A9">
            <w:pPr>
              <w:keepNext/>
              <w:rPr>
                <w:rFonts w:ascii="Arial" w:hAnsi="Arial" w:cs="Arial"/>
                <w:color w:val="000000"/>
                <w:sz w:val="20"/>
                <w:szCs w:val="20"/>
              </w:rPr>
            </w:pPr>
            <w:r>
              <w:rPr>
                <w:rFonts w:ascii="Arial" w:hAnsi="Arial" w:cs="Arial"/>
                <w:color w:val="000000"/>
                <w:sz w:val="20"/>
                <w:szCs w:val="20"/>
              </w:rPr>
              <w:t xml:space="preserve">Federal Fund </w:t>
            </w:r>
            <w:r w:rsidRPr="00B430F7">
              <w:rPr>
                <w:rFonts w:ascii="Arial" w:hAnsi="Arial" w:cs="Arial"/>
                <w:color w:val="000000"/>
                <w:sz w:val="20"/>
                <w:szCs w:val="20"/>
              </w:rPr>
              <w:t>(0450)</w:t>
            </w:r>
          </w:p>
        </w:tc>
        <w:tc>
          <w:tcPr>
            <w:tcW w:w="1620" w:type="dxa"/>
            <w:tcBorders>
              <w:top w:val="dashSmallGap" w:sz="4" w:space="0" w:color="auto"/>
              <w:left w:val="dashSmallGap" w:sz="4" w:space="0" w:color="auto"/>
              <w:bottom w:val="single" w:sz="4" w:space="0" w:color="auto"/>
              <w:right w:val="dashSmallGap" w:sz="4" w:space="0" w:color="auto"/>
            </w:tcBorders>
            <w:vAlign w:val="center"/>
          </w:tcPr>
          <w:p w14:paraId="79B9DF04" w14:textId="650D1221" w:rsidR="003941A9" w:rsidRPr="005936FE" w:rsidRDefault="003941A9" w:rsidP="003941A9">
            <w:pPr>
              <w:keepNext/>
              <w:jc w:val="right"/>
              <w:rPr>
                <w:rFonts w:ascii="Arial" w:hAnsi="Arial" w:cs="Arial"/>
                <w:b/>
                <w:bCs/>
                <w:color w:val="000000"/>
                <w:sz w:val="20"/>
                <w:szCs w:val="20"/>
              </w:rPr>
            </w:pPr>
            <w:r w:rsidRPr="00B430F7">
              <w:rPr>
                <w:rFonts w:ascii="Arial" w:hAnsi="Arial" w:cs="Arial"/>
                <w:color w:val="000000"/>
                <w:sz w:val="20"/>
                <w:szCs w:val="20"/>
              </w:rPr>
              <w:t>13,336,200</w:t>
            </w:r>
          </w:p>
        </w:tc>
        <w:tc>
          <w:tcPr>
            <w:tcW w:w="1530"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6AADA8B7" w14:textId="5638FBCA" w:rsidR="003941A9" w:rsidRPr="00B430F7" w:rsidRDefault="003941A9" w:rsidP="003941A9">
            <w:pPr>
              <w:keepNext/>
              <w:jc w:val="right"/>
              <w:rPr>
                <w:rFonts w:ascii="Arial" w:hAnsi="Arial" w:cs="Arial"/>
                <w:color w:val="000000"/>
                <w:sz w:val="20"/>
                <w:szCs w:val="20"/>
              </w:rPr>
            </w:pPr>
          </w:p>
        </w:tc>
        <w:tc>
          <w:tcPr>
            <w:tcW w:w="1530"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232E75E2" w14:textId="77777777" w:rsidR="003941A9" w:rsidRDefault="003941A9" w:rsidP="003941A9">
            <w:pPr>
              <w:keepNext/>
              <w:jc w:val="right"/>
              <w:rPr>
                <w:rFonts w:ascii="Arial" w:hAnsi="Arial" w:cs="Arial"/>
                <w:b/>
                <w:bCs/>
                <w:color w:val="000000"/>
                <w:sz w:val="20"/>
                <w:szCs w:val="20"/>
              </w:rPr>
            </w:pPr>
          </w:p>
        </w:tc>
        <w:tc>
          <w:tcPr>
            <w:tcW w:w="1615" w:type="dxa"/>
            <w:tcBorders>
              <w:top w:val="dashSmallGap" w:sz="4" w:space="0" w:color="auto"/>
              <w:left w:val="dashSmallGap" w:sz="4" w:space="0" w:color="auto"/>
              <w:bottom w:val="single" w:sz="4" w:space="0" w:color="auto"/>
            </w:tcBorders>
            <w:shd w:val="clear" w:color="auto" w:fill="auto"/>
            <w:vAlign w:val="center"/>
          </w:tcPr>
          <w:p w14:paraId="486D2D2D" w14:textId="77777777" w:rsidR="003941A9" w:rsidRDefault="003941A9" w:rsidP="003941A9">
            <w:pPr>
              <w:keepNext/>
              <w:jc w:val="right"/>
              <w:rPr>
                <w:rFonts w:ascii="Arial" w:hAnsi="Arial" w:cs="Arial"/>
                <w:b/>
                <w:bCs/>
                <w:color w:val="000000"/>
                <w:sz w:val="20"/>
                <w:szCs w:val="20"/>
              </w:rPr>
            </w:pPr>
          </w:p>
        </w:tc>
      </w:tr>
      <w:tr w:rsidR="003941A9" w14:paraId="62ABC001" w14:textId="77777777" w:rsidTr="00DE4EC6">
        <w:trPr>
          <w:cantSplit/>
          <w:trHeight w:val="330"/>
          <w:jc w:val="right"/>
        </w:trPr>
        <w:tc>
          <w:tcPr>
            <w:tcW w:w="3785" w:type="dxa"/>
            <w:tcBorders>
              <w:top w:val="dashSmallGap" w:sz="4" w:space="0" w:color="auto"/>
              <w:bottom w:val="single" w:sz="4" w:space="0" w:color="auto"/>
              <w:right w:val="dashSmallGap" w:sz="4" w:space="0" w:color="auto"/>
            </w:tcBorders>
            <w:shd w:val="clear" w:color="auto" w:fill="auto"/>
            <w:vAlign w:val="center"/>
            <w:hideMark/>
          </w:tcPr>
          <w:p w14:paraId="11223121" w14:textId="77777777" w:rsidR="003941A9" w:rsidRDefault="003941A9" w:rsidP="003941A9">
            <w:pPr>
              <w:keepNext/>
              <w:spacing w:line="360" w:lineRule="auto"/>
              <w:jc w:val="right"/>
              <w:rPr>
                <w:rFonts w:ascii="Arial" w:hAnsi="Arial" w:cs="Arial"/>
                <w:b/>
                <w:bCs/>
                <w:color w:val="000000"/>
                <w:sz w:val="20"/>
                <w:szCs w:val="20"/>
              </w:rPr>
            </w:pPr>
            <w:r>
              <w:rPr>
                <w:rFonts w:ascii="Arial" w:hAnsi="Arial" w:cs="Arial"/>
                <w:b/>
                <w:bCs/>
                <w:color w:val="000000"/>
                <w:sz w:val="20"/>
                <w:szCs w:val="20"/>
              </w:rPr>
              <w:t>Total</w:t>
            </w:r>
          </w:p>
        </w:tc>
        <w:tc>
          <w:tcPr>
            <w:tcW w:w="1620" w:type="dxa"/>
            <w:tcBorders>
              <w:top w:val="dashSmallGap" w:sz="4" w:space="0" w:color="auto"/>
              <w:left w:val="dashSmallGap" w:sz="4" w:space="0" w:color="auto"/>
              <w:bottom w:val="single" w:sz="4" w:space="0" w:color="auto"/>
              <w:right w:val="dashSmallGap" w:sz="4" w:space="0" w:color="auto"/>
            </w:tcBorders>
          </w:tcPr>
          <w:p w14:paraId="67C38019" w14:textId="0049D814" w:rsidR="003941A9" w:rsidRPr="00B430F7" w:rsidRDefault="003941A9" w:rsidP="003941A9">
            <w:pPr>
              <w:spacing w:line="360" w:lineRule="auto"/>
              <w:jc w:val="right"/>
              <w:rPr>
                <w:rFonts w:ascii="Arial" w:hAnsi="Arial" w:cs="Arial"/>
                <w:b/>
                <w:bCs/>
                <w:color w:val="000000"/>
                <w:sz w:val="20"/>
                <w:szCs w:val="20"/>
              </w:rPr>
            </w:pPr>
            <w:r w:rsidRPr="00B430F7">
              <w:rPr>
                <w:rFonts w:ascii="Arial" w:hAnsi="Arial" w:cs="Arial"/>
                <w:b/>
                <w:bCs/>
                <w:sz w:val="20"/>
                <w:szCs w:val="20"/>
              </w:rPr>
              <w:t>$43,918,800</w:t>
            </w:r>
          </w:p>
        </w:tc>
        <w:tc>
          <w:tcPr>
            <w:tcW w:w="1530" w:type="dxa"/>
            <w:tcBorders>
              <w:top w:val="dashSmallGap" w:sz="4" w:space="0" w:color="auto"/>
              <w:left w:val="dashSmallGap" w:sz="4" w:space="0" w:color="auto"/>
              <w:bottom w:val="single" w:sz="4" w:space="0" w:color="auto"/>
              <w:right w:val="dashSmallGap" w:sz="4" w:space="0" w:color="auto"/>
            </w:tcBorders>
            <w:shd w:val="clear" w:color="auto" w:fill="auto"/>
          </w:tcPr>
          <w:p w14:paraId="5216395D" w14:textId="6920B57B" w:rsidR="003941A9" w:rsidRPr="00B430F7" w:rsidRDefault="003941A9" w:rsidP="003941A9">
            <w:pPr>
              <w:spacing w:line="360" w:lineRule="auto"/>
              <w:jc w:val="right"/>
              <w:rPr>
                <w:rFonts w:ascii="Arial" w:hAnsi="Arial" w:cs="Arial"/>
                <w:b/>
                <w:bCs/>
                <w:color w:val="000000"/>
                <w:sz w:val="20"/>
                <w:szCs w:val="20"/>
              </w:rPr>
            </w:pPr>
            <w:r w:rsidRPr="00B430F7">
              <w:rPr>
                <w:rFonts w:ascii="Arial" w:hAnsi="Arial" w:cs="Arial"/>
                <w:b/>
                <w:bCs/>
                <w:sz w:val="20"/>
                <w:szCs w:val="20"/>
              </w:rPr>
              <w:t>$26,383,000</w:t>
            </w:r>
          </w:p>
        </w:tc>
        <w:tc>
          <w:tcPr>
            <w:tcW w:w="1530"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39A38F69" w14:textId="37084FD3" w:rsidR="003941A9" w:rsidRPr="00B430F7" w:rsidRDefault="003941A9" w:rsidP="003941A9">
            <w:pPr>
              <w:spacing w:line="360" w:lineRule="auto"/>
              <w:jc w:val="right"/>
              <w:rPr>
                <w:rFonts w:ascii="Arial" w:hAnsi="Arial" w:cs="Arial"/>
                <w:b/>
                <w:bCs/>
                <w:color w:val="000000"/>
                <w:sz w:val="20"/>
                <w:szCs w:val="20"/>
              </w:rPr>
            </w:pPr>
            <w:r w:rsidRPr="00B430F7">
              <w:rPr>
                <w:rFonts w:ascii="Arial" w:hAnsi="Arial" w:cs="Arial"/>
                <w:b/>
                <w:bCs/>
                <w:color w:val="000000"/>
                <w:sz w:val="20"/>
                <w:szCs w:val="20"/>
              </w:rPr>
              <w:t>$31,813,900</w:t>
            </w:r>
          </w:p>
        </w:tc>
        <w:tc>
          <w:tcPr>
            <w:tcW w:w="1615" w:type="dxa"/>
            <w:tcBorders>
              <w:top w:val="dashSmallGap" w:sz="4" w:space="0" w:color="auto"/>
              <w:left w:val="dashSmallGap" w:sz="4" w:space="0" w:color="auto"/>
              <w:bottom w:val="single" w:sz="4" w:space="0" w:color="auto"/>
            </w:tcBorders>
            <w:shd w:val="clear" w:color="auto" w:fill="auto"/>
            <w:vAlign w:val="center"/>
          </w:tcPr>
          <w:p w14:paraId="52C174D4" w14:textId="38C7D88E" w:rsidR="003941A9" w:rsidRPr="00B430F7" w:rsidRDefault="003941A9" w:rsidP="003941A9">
            <w:pPr>
              <w:spacing w:line="360" w:lineRule="auto"/>
              <w:jc w:val="right"/>
              <w:rPr>
                <w:rFonts w:ascii="Arial" w:hAnsi="Arial" w:cs="Arial"/>
                <w:b/>
                <w:bCs/>
                <w:color w:val="000000"/>
                <w:sz w:val="20"/>
                <w:szCs w:val="20"/>
              </w:rPr>
            </w:pPr>
          </w:p>
        </w:tc>
      </w:tr>
      <w:tr w:rsidR="006A3612" w14:paraId="5AE9C9F7" w14:textId="77777777" w:rsidTr="002575F5">
        <w:trPr>
          <w:cantSplit/>
          <w:trHeight w:val="315"/>
          <w:jc w:val="right"/>
        </w:trPr>
        <w:tc>
          <w:tcPr>
            <w:tcW w:w="3785" w:type="dxa"/>
            <w:tcBorders>
              <w:bottom w:val="nil"/>
              <w:right w:val="nil"/>
            </w:tcBorders>
            <w:shd w:val="clear" w:color="000000" w:fill="000080"/>
            <w:vAlign w:val="center"/>
            <w:hideMark/>
          </w:tcPr>
          <w:p w14:paraId="71F1E224" w14:textId="5718FABF" w:rsidR="006A3612" w:rsidRDefault="006A3612" w:rsidP="006A3612">
            <w:pPr>
              <w:keepNext/>
              <w:pageBreakBefore/>
              <w:jc w:val="both"/>
              <w:rPr>
                <w:rFonts w:ascii="Arial" w:hAnsi="Arial" w:cs="Arial"/>
                <w:b/>
                <w:bCs/>
                <w:color w:val="FFFFFF"/>
                <w:sz w:val="20"/>
                <w:szCs w:val="20"/>
              </w:rPr>
            </w:pPr>
            <w:r>
              <w:rPr>
                <w:rFonts w:ascii="Arial" w:hAnsi="Arial" w:cs="Arial"/>
                <w:b/>
                <w:bCs/>
                <w:color w:val="FFFFFF"/>
                <w:sz w:val="20"/>
              </w:rPr>
              <w:t>Expenditures</w:t>
            </w:r>
          </w:p>
        </w:tc>
        <w:tc>
          <w:tcPr>
            <w:tcW w:w="1620" w:type="dxa"/>
            <w:tcBorders>
              <w:left w:val="nil"/>
              <w:bottom w:val="nil"/>
              <w:right w:val="nil"/>
            </w:tcBorders>
            <w:shd w:val="clear" w:color="000000" w:fill="000080"/>
          </w:tcPr>
          <w:p w14:paraId="677D81FA" w14:textId="6D8897DE" w:rsidR="006A3612" w:rsidRPr="00B430F7" w:rsidRDefault="003941A9" w:rsidP="00B430F7">
            <w:pPr>
              <w:rPr>
                <w:rFonts w:ascii="Arial" w:hAnsi="Arial" w:cs="Arial"/>
                <w:b/>
                <w:bCs/>
                <w:color w:val="FFFFFF"/>
                <w:sz w:val="20"/>
                <w:szCs w:val="20"/>
              </w:rPr>
            </w:pPr>
            <w:r>
              <w:rPr>
                <w:rFonts w:ascii="Arial" w:hAnsi="Arial" w:cs="Arial"/>
                <w:b/>
                <w:bCs/>
                <w:color w:val="FFFFFF"/>
                <w:sz w:val="20"/>
                <w:szCs w:val="20"/>
              </w:rPr>
              <w:t>FY 2021</w:t>
            </w:r>
          </w:p>
        </w:tc>
        <w:tc>
          <w:tcPr>
            <w:tcW w:w="1530" w:type="dxa"/>
            <w:tcBorders>
              <w:left w:val="nil"/>
              <w:bottom w:val="nil"/>
              <w:right w:val="nil"/>
            </w:tcBorders>
            <w:shd w:val="clear" w:color="000000" w:fill="000080"/>
          </w:tcPr>
          <w:p w14:paraId="54F03A3F" w14:textId="17CA200D" w:rsidR="006A3612" w:rsidRPr="00B430F7" w:rsidRDefault="003941A9" w:rsidP="00B430F7">
            <w:pPr>
              <w:rPr>
                <w:rFonts w:ascii="Arial" w:hAnsi="Arial" w:cs="Arial"/>
                <w:b/>
                <w:bCs/>
                <w:color w:val="FFFFFF"/>
                <w:sz w:val="20"/>
                <w:szCs w:val="20"/>
              </w:rPr>
            </w:pPr>
            <w:r>
              <w:rPr>
                <w:rFonts w:ascii="Arial" w:hAnsi="Arial" w:cs="Arial"/>
                <w:b/>
                <w:bCs/>
                <w:color w:val="FFFFFF"/>
                <w:sz w:val="20"/>
                <w:szCs w:val="20"/>
              </w:rPr>
              <w:t>FY 2022</w:t>
            </w:r>
          </w:p>
        </w:tc>
        <w:tc>
          <w:tcPr>
            <w:tcW w:w="1530" w:type="dxa"/>
            <w:tcBorders>
              <w:left w:val="nil"/>
              <w:bottom w:val="nil"/>
              <w:right w:val="nil"/>
            </w:tcBorders>
            <w:shd w:val="clear" w:color="000000" w:fill="000080"/>
          </w:tcPr>
          <w:p w14:paraId="1EF76858" w14:textId="768FE5B1" w:rsidR="006A3612" w:rsidRPr="00B430F7" w:rsidRDefault="003941A9" w:rsidP="00B430F7">
            <w:pPr>
              <w:rPr>
                <w:rFonts w:ascii="Arial" w:hAnsi="Arial" w:cs="Arial"/>
                <w:b/>
                <w:bCs/>
                <w:color w:val="FFFFFF"/>
                <w:sz w:val="20"/>
                <w:szCs w:val="20"/>
              </w:rPr>
            </w:pPr>
            <w:r>
              <w:rPr>
                <w:rFonts w:ascii="Arial" w:hAnsi="Arial" w:cs="Arial"/>
                <w:b/>
                <w:bCs/>
                <w:color w:val="FFFFFF"/>
                <w:sz w:val="20"/>
                <w:szCs w:val="20"/>
              </w:rPr>
              <w:t>FY 2023</w:t>
            </w:r>
          </w:p>
        </w:tc>
        <w:tc>
          <w:tcPr>
            <w:tcW w:w="1615" w:type="dxa"/>
            <w:tcBorders>
              <w:left w:val="nil"/>
              <w:bottom w:val="nil"/>
            </w:tcBorders>
            <w:shd w:val="clear" w:color="000000" w:fill="000080"/>
            <w:hideMark/>
          </w:tcPr>
          <w:p w14:paraId="146AA933" w14:textId="2441654B" w:rsidR="006A3612" w:rsidRPr="00B430F7" w:rsidRDefault="003941A9" w:rsidP="00B430F7">
            <w:pPr>
              <w:rPr>
                <w:rFonts w:ascii="Arial" w:hAnsi="Arial" w:cs="Arial"/>
                <w:b/>
                <w:bCs/>
                <w:color w:val="FFFFFF"/>
                <w:sz w:val="20"/>
                <w:szCs w:val="20"/>
              </w:rPr>
            </w:pPr>
            <w:r>
              <w:rPr>
                <w:rFonts w:ascii="Arial" w:hAnsi="Arial" w:cs="Arial"/>
                <w:b/>
                <w:bCs/>
                <w:color w:val="FFFFFF"/>
                <w:sz w:val="20"/>
                <w:szCs w:val="20"/>
              </w:rPr>
              <w:t>FY 2024</w:t>
            </w:r>
          </w:p>
        </w:tc>
      </w:tr>
      <w:tr w:rsidR="003941A9" w14:paraId="20C22811" w14:textId="77777777" w:rsidTr="00B4013F">
        <w:trPr>
          <w:cantSplit/>
          <w:trHeight w:val="300"/>
          <w:jc w:val="right"/>
        </w:trPr>
        <w:tc>
          <w:tcPr>
            <w:tcW w:w="3785" w:type="dxa"/>
            <w:tcBorders>
              <w:top w:val="nil"/>
              <w:bottom w:val="dashSmallGap" w:sz="4" w:space="0" w:color="auto"/>
              <w:right w:val="dashSmallGap" w:sz="4" w:space="0" w:color="auto"/>
            </w:tcBorders>
            <w:shd w:val="clear" w:color="auto" w:fill="auto"/>
            <w:vAlign w:val="center"/>
            <w:hideMark/>
          </w:tcPr>
          <w:p w14:paraId="55F5EAA9" w14:textId="77777777" w:rsidR="003941A9" w:rsidRDefault="003941A9" w:rsidP="003941A9">
            <w:pPr>
              <w:keepNext/>
              <w:rPr>
                <w:rFonts w:ascii="Arial" w:hAnsi="Arial" w:cs="Arial"/>
                <w:color w:val="000000"/>
                <w:sz w:val="20"/>
                <w:szCs w:val="20"/>
              </w:rPr>
            </w:pPr>
            <w:r>
              <w:rPr>
                <w:rFonts w:ascii="Arial" w:hAnsi="Arial" w:cs="Arial"/>
                <w:color w:val="000000"/>
                <w:sz w:val="20"/>
              </w:rPr>
              <w:t>Personnel Costs</w:t>
            </w:r>
          </w:p>
        </w:tc>
        <w:tc>
          <w:tcPr>
            <w:tcW w:w="1620" w:type="dxa"/>
            <w:tcBorders>
              <w:top w:val="nil"/>
              <w:left w:val="dashSmallGap" w:sz="4" w:space="0" w:color="auto"/>
              <w:bottom w:val="dashSmallGap" w:sz="4" w:space="0" w:color="auto"/>
              <w:right w:val="dashSmallGap" w:sz="4" w:space="0" w:color="auto"/>
            </w:tcBorders>
          </w:tcPr>
          <w:p w14:paraId="56383EBE" w14:textId="1CC62DD3"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12,136,900 </w:t>
            </w:r>
          </w:p>
        </w:tc>
        <w:tc>
          <w:tcPr>
            <w:tcW w:w="1530" w:type="dxa"/>
            <w:tcBorders>
              <w:top w:val="nil"/>
              <w:left w:val="dashSmallGap" w:sz="4" w:space="0" w:color="auto"/>
              <w:bottom w:val="dashSmallGap" w:sz="4" w:space="0" w:color="auto"/>
              <w:right w:val="dashSmallGap" w:sz="4" w:space="0" w:color="auto"/>
            </w:tcBorders>
            <w:shd w:val="clear" w:color="auto" w:fill="auto"/>
          </w:tcPr>
          <w:p w14:paraId="46CBE7B3" w14:textId="4BAE67ED"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12,760,500 </w:t>
            </w:r>
          </w:p>
        </w:tc>
        <w:tc>
          <w:tcPr>
            <w:tcW w:w="1530" w:type="dxa"/>
            <w:tcBorders>
              <w:top w:val="nil"/>
              <w:left w:val="dashSmallGap" w:sz="4" w:space="0" w:color="auto"/>
              <w:bottom w:val="dashSmallGap" w:sz="4" w:space="0" w:color="auto"/>
            </w:tcBorders>
            <w:shd w:val="clear" w:color="auto" w:fill="auto"/>
          </w:tcPr>
          <w:p w14:paraId="17848E5A" w14:textId="5798288B"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13,621,000 </w:t>
            </w:r>
          </w:p>
        </w:tc>
        <w:tc>
          <w:tcPr>
            <w:tcW w:w="1615" w:type="dxa"/>
            <w:tcBorders>
              <w:top w:val="nil"/>
              <w:left w:val="dashSmallGap" w:sz="4" w:space="0" w:color="auto"/>
              <w:bottom w:val="dashSmallGap" w:sz="4" w:space="0" w:color="auto"/>
            </w:tcBorders>
            <w:shd w:val="clear" w:color="auto" w:fill="auto"/>
          </w:tcPr>
          <w:p w14:paraId="5355E1BE" w14:textId="6F8A2387" w:rsidR="003941A9" w:rsidRPr="00B430F7" w:rsidRDefault="003941A9" w:rsidP="003941A9">
            <w:pPr>
              <w:keepNext/>
              <w:jc w:val="right"/>
              <w:rPr>
                <w:rFonts w:ascii="Arial" w:hAnsi="Arial" w:cs="Arial"/>
                <w:color w:val="000000"/>
                <w:sz w:val="20"/>
                <w:szCs w:val="20"/>
              </w:rPr>
            </w:pPr>
          </w:p>
        </w:tc>
      </w:tr>
      <w:tr w:rsidR="003941A9" w14:paraId="30A996CB" w14:textId="77777777" w:rsidTr="00011787">
        <w:trPr>
          <w:cantSplit/>
          <w:trHeight w:val="306"/>
          <w:jc w:val="right"/>
        </w:trPr>
        <w:tc>
          <w:tcPr>
            <w:tcW w:w="3785" w:type="dxa"/>
            <w:tcBorders>
              <w:top w:val="dashSmallGap" w:sz="4" w:space="0" w:color="auto"/>
              <w:bottom w:val="dashSmallGap" w:sz="4" w:space="0" w:color="auto"/>
              <w:right w:val="dashSmallGap" w:sz="4" w:space="0" w:color="auto"/>
            </w:tcBorders>
            <w:shd w:val="clear" w:color="auto" w:fill="auto"/>
            <w:vAlign w:val="center"/>
            <w:hideMark/>
          </w:tcPr>
          <w:p w14:paraId="5387D92F" w14:textId="77777777" w:rsidR="003941A9" w:rsidRDefault="003941A9" w:rsidP="003941A9">
            <w:pPr>
              <w:keepNext/>
              <w:rPr>
                <w:rFonts w:ascii="Arial" w:hAnsi="Arial" w:cs="Arial"/>
                <w:color w:val="000000"/>
                <w:sz w:val="20"/>
                <w:szCs w:val="20"/>
              </w:rPr>
            </w:pPr>
            <w:r>
              <w:rPr>
                <w:rFonts w:ascii="Arial" w:hAnsi="Arial" w:cs="Arial"/>
                <w:color w:val="000000"/>
                <w:sz w:val="20"/>
              </w:rPr>
              <w:t>Operating Expenditures</w:t>
            </w:r>
          </w:p>
        </w:tc>
        <w:tc>
          <w:tcPr>
            <w:tcW w:w="1620" w:type="dxa"/>
            <w:tcBorders>
              <w:top w:val="dashSmallGap" w:sz="4" w:space="0" w:color="auto"/>
              <w:left w:val="dashSmallGap" w:sz="4" w:space="0" w:color="auto"/>
              <w:bottom w:val="dashSmallGap" w:sz="4" w:space="0" w:color="auto"/>
              <w:right w:val="dashSmallGap" w:sz="4" w:space="0" w:color="auto"/>
            </w:tcBorders>
          </w:tcPr>
          <w:p w14:paraId="1DA3C514" w14:textId="0D00D66D"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16,863,400 </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tcPr>
          <w:p w14:paraId="2ECC6469" w14:textId="31B84348"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2,759,200 </w:t>
            </w:r>
          </w:p>
        </w:tc>
        <w:tc>
          <w:tcPr>
            <w:tcW w:w="1530" w:type="dxa"/>
            <w:tcBorders>
              <w:top w:val="dashSmallGap" w:sz="4" w:space="0" w:color="auto"/>
              <w:left w:val="dashSmallGap" w:sz="4" w:space="0" w:color="auto"/>
              <w:bottom w:val="dashSmallGap" w:sz="4" w:space="0" w:color="auto"/>
            </w:tcBorders>
            <w:shd w:val="clear" w:color="auto" w:fill="auto"/>
          </w:tcPr>
          <w:p w14:paraId="7234E94E" w14:textId="69B65816"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3,814,800 </w:t>
            </w:r>
          </w:p>
        </w:tc>
        <w:tc>
          <w:tcPr>
            <w:tcW w:w="1615" w:type="dxa"/>
            <w:tcBorders>
              <w:top w:val="dashSmallGap" w:sz="4" w:space="0" w:color="auto"/>
              <w:left w:val="dashSmallGap" w:sz="4" w:space="0" w:color="auto"/>
              <w:bottom w:val="dashSmallGap" w:sz="4" w:space="0" w:color="auto"/>
            </w:tcBorders>
            <w:shd w:val="clear" w:color="auto" w:fill="auto"/>
          </w:tcPr>
          <w:p w14:paraId="72E75B61" w14:textId="2181DE9E" w:rsidR="003941A9" w:rsidRPr="00B430F7" w:rsidRDefault="003941A9" w:rsidP="003941A9">
            <w:pPr>
              <w:keepNext/>
              <w:jc w:val="right"/>
              <w:rPr>
                <w:rFonts w:ascii="Arial" w:hAnsi="Arial" w:cs="Arial"/>
                <w:color w:val="000000"/>
                <w:sz w:val="20"/>
                <w:szCs w:val="20"/>
              </w:rPr>
            </w:pPr>
          </w:p>
        </w:tc>
      </w:tr>
      <w:tr w:rsidR="003941A9" w14:paraId="2B917ACA" w14:textId="77777777" w:rsidTr="009C7A06">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hideMark/>
          </w:tcPr>
          <w:p w14:paraId="750ABBA4" w14:textId="77777777" w:rsidR="003941A9" w:rsidRDefault="003941A9" w:rsidP="003941A9">
            <w:pPr>
              <w:keepNext/>
              <w:rPr>
                <w:rFonts w:ascii="Arial" w:hAnsi="Arial" w:cs="Arial"/>
                <w:color w:val="000000"/>
                <w:sz w:val="20"/>
                <w:szCs w:val="20"/>
              </w:rPr>
            </w:pPr>
            <w:r>
              <w:rPr>
                <w:rFonts w:ascii="Arial" w:hAnsi="Arial" w:cs="Arial"/>
                <w:color w:val="000000"/>
                <w:sz w:val="20"/>
              </w:rPr>
              <w:t>Capital Outlay</w:t>
            </w:r>
          </w:p>
        </w:tc>
        <w:tc>
          <w:tcPr>
            <w:tcW w:w="1620" w:type="dxa"/>
            <w:tcBorders>
              <w:top w:val="dashSmallGap" w:sz="4" w:space="0" w:color="auto"/>
              <w:left w:val="dashSmallGap" w:sz="4" w:space="0" w:color="auto"/>
              <w:bottom w:val="dashSmallGap" w:sz="4" w:space="0" w:color="auto"/>
              <w:right w:val="dashSmallGap" w:sz="4" w:space="0" w:color="auto"/>
            </w:tcBorders>
          </w:tcPr>
          <w:p w14:paraId="37CD70E0" w14:textId="420530A9"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2,506,000 </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tcPr>
          <w:p w14:paraId="5F70033C" w14:textId="03756D74"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2,300 </w:t>
            </w:r>
          </w:p>
        </w:tc>
        <w:tc>
          <w:tcPr>
            <w:tcW w:w="1530" w:type="dxa"/>
            <w:tcBorders>
              <w:top w:val="dashSmallGap" w:sz="4" w:space="0" w:color="auto"/>
              <w:left w:val="dashSmallGap" w:sz="4" w:space="0" w:color="auto"/>
              <w:bottom w:val="dashSmallGap" w:sz="4" w:space="0" w:color="auto"/>
              <w:right w:val="single" w:sz="4" w:space="0" w:color="auto"/>
            </w:tcBorders>
            <w:shd w:val="clear" w:color="auto" w:fill="auto"/>
          </w:tcPr>
          <w:p w14:paraId="67390809" w14:textId="1E4EF32C"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178,900 </w:t>
            </w:r>
          </w:p>
        </w:tc>
        <w:tc>
          <w:tcPr>
            <w:tcW w:w="1615" w:type="dxa"/>
            <w:tcBorders>
              <w:top w:val="dashSmallGap" w:sz="4" w:space="0" w:color="auto"/>
              <w:left w:val="dashSmallGap" w:sz="4" w:space="0" w:color="auto"/>
              <w:bottom w:val="dashSmallGap" w:sz="4" w:space="0" w:color="auto"/>
              <w:right w:val="single" w:sz="4" w:space="0" w:color="auto"/>
            </w:tcBorders>
            <w:shd w:val="clear" w:color="auto" w:fill="auto"/>
          </w:tcPr>
          <w:p w14:paraId="11F6290C" w14:textId="0E460E85" w:rsidR="003941A9" w:rsidRPr="00B430F7" w:rsidRDefault="003941A9" w:rsidP="003941A9">
            <w:pPr>
              <w:keepNext/>
              <w:jc w:val="right"/>
              <w:rPr>
                <w:rFonts w:ascii="Arial" w:hAnsi="Arial" w:cs="Arial"/>
                <w:color w:val="000000"/>
                <w:sz w:val="20"/>
                <w:szCs w:val="20"/>
              </w:rPr>
            </w:pPr>
          </w:p>
        </w:tc>
      </w:tr>
      <w:tr w:rsidR="003941A9" w14:paraId="5C5426B2" w14:textId="77777777" w:rsidTr="00665AC3">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tcPr>
          <w:p w14:paraId="07207186" w14:textId="1B9AAC1D" w:rsidR="003941A9" w:rsidRDefault="003941A9" w:rsidP="003941A9">
            <w:pPr>
              <w:keepNext/>
              <w:rPr>
                <w:rFonts w:ascii="Arial" w:hAnsi="Arial" w:cs="Arial"/>
                <w:color w:val="000000"/>
                <w:sz w:val="20"/>
              </w:rPr>
            </w:pPr>
            <w:r>
              <w:rPr>
                <w:rFonts w:ascii="Arial" w:hAnsi="Arial" w:cs="Arial"/>
                <w:color w:val="000000"/>
                <w:sz w:val="20"/>
              </w:rPr>
              <w:t>Trustee and Benefits Payments</w:t>
            </w:r>
          </w:p>
        </w:tc>
        <w:tc>
          <w:tcPr>
            <w:tcW w:w="1620" w:type="dxa"/>
            <w:tcBorders>
              <w:top w:val="dashSmallGap" w:sz="4" w:space="0" w:color="auto"/>
              <w:left w:val="dashSmallGap" w:sz="4" w:space="0" w:color="auto"/>
              <w:bottom w:val="dashSmallGap" w:sz="4" w:space="0" w:color="auto"/>
              <w:right w:val="dashSmallGap" w:sz="4" w:space="0" w:color="auto"/>
            </w:tcBorders>
          </w:tcPr>
          <w:p w14:paraId="02AFE8DE" w14:textId="1C9ADEAE"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12,412,500 </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tcPr>
          <w:p w14:paraId="31852F31" w14:textId="2734FC93"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10,636,000 </w:t>
            </w:r>
          </w:p>
        </w:tc>
        <w:tc>
          <w:tcPr>
            <w:tcW w:w="1530" w:type="dxa"/>
            <w:tcBorders>
              <w:top w:val="dashSmallGap" w:sz="4" w:space="0" w:color="auto"/>
              <w:left w:val="dashSmallGap" w:sz="4" w:space="0" w:color="auto"/>
              <w:bottom w:val="dashSmallGap" w:sz="4" w:space="0" w:color="auto"/>
            </w:tcBorders>
            <w:shd w:val="clear" w:color="auto" w:fill="auto"/>
          </w:tcPr>
          <w:p w14:paraId="5D703A86" w14:textId="3266F65E" w:rsidR="003941A9" w:rsidRPr="00B430F7" w:rsidRDefault="003941A9" w:rsidP="003941A9">
            <w:pPr>
              <w:keepNext/>
              <w:jc w:val="right"/>
              <w:rPr>
                <w:rFonts w:ascii="Arial" w:hAnsi="Arial" w:cs="Arial"/>
                <w:color w:val="000000"/>
                <w:sz w:val="20"/>
                <w:szCs w:val="20"/>
              </w:rPr>
            </w:pPr>
            <w:r w:rsidRPr="00B430F7">
              <w:rPr>
                <w:rFonts w:ascii="Arial" w:hAnsi="Arial" w:cs="Arial"/>
                <w:sz w:val="20"/>
                <w:szCs w:val="20"/>
              </w:rPr>
              <w:t xml:space="preserve">14,199,200 </w:t>
            </w:r>
          </w:p>
        </w:tc>
        <w:tc>
          <w:tcPr>
            <w:tcW w:w="1615" w:type="dxa"/>
            <w:tcBorders>
              <w:top w:val="dashSmallGap" w:sz="4" w:space="0" w:color="auto"/>
              <w:left w:val="dashSmallGap" w:sz="4" w:space="0" w:color="auto"/>
              <w:bottom w:val="dashSmallGap" w:sz="4" w:space="0" w:color="auto"/>
            </w:tcBorders>
            <w:shd w:val="clear" w:color="auto" w:fill="auto"/>
          </w:tcPr>
          <w:p w14:paraId="358221B7" w14:textId="30A7C3DB" w:rsidR="003941A9" w:rsidRPr="00B430F7" w:rsidRDefault="003941A9" w:rsidP="003941A9">
            <w:pPr>
              <w:keepNext/>
              <w:jc w:val="right"/>
              <w:rPr>
                <w:rFonts w:ascii="Arial" w:hAnsi="Arial" w:cs="Arial"/>
                <w:color w:val="000000"/>
                <w:sz w:val="20"/>
                <w:szCs w:val="20"/>
              </w:rPr>
            </w:pPr>
          </w:p>
        </w:tc>
      </w:tr>
      <w:tr w:rsidR="003941A9" w14:paraId="4F638040" w14:textId="77777777" w:rsidTr="00B663EE">
        <w:trPr>
          <w:cantSplit/>
          <w:trHeight w:val="330"/>
          <w:jc w:val="right"/>
        </w:trPr>
        <w:tc>
          <w:tcPr>
            <w:tcW w:w="3785" w:type="dxa"/>
            <w:tcBorders>
              <w:top w:val="dashSmallGap" w:sz="4" w:space="0" w:color="auto"/>
              <w:right w:val="dashSmallGap" w:sz="4" w:space="0" w:color="auto"/>
            </w:tcBorders>
            <w:shd w:val="clear" w:color="auto" w:fill="auto"/>
            <w:vAlign w:val="center"/>
            <w:hideMark/>
          </w:tcPr>
          <w:p w14:paraId="235D63DE" w14:textId="77777777" w:rsidR="003941A9" w:rsidRDefault="003941A9" w:rsidP="003941A9">
            <w:pPr>
              <w:keepNext/>
              <w:jc w:val="right"/>
              <w:rPr>
                <w:rFonts w:ascii="Arial" w:hAnsi="Arial" w:cs="Arial"/>
                <w:b/>
                <w:bCs/>
                <w:color w:val="000000"/>
                <w:sz w:val="20"/>
                <w:szCs w:val="20"/>
              </w:rPr>
            </w:pPr>
            <w:r>
              <w:rPr>
                <w:rFonts w:ascii="Arial" w:hAnsi="Arial" w:cs="Arial"/>
                <w:b/>
                <w:bCs/>
                <w:color w:val="000000"/>
                <w:sz w:val="20"/>
              </w:rPr>
              <w:t>Total</w:t>
            </w:r>
          </w:p>
        </w:tc>
        <w:tc>
          <w:tcPr>
            <w:tcW w:w="1620" w:type="dxa"/>
            <w:tcBorders>
              <w:top w:val="dashSmallGap" w:sz="4" w:space="0" w:color="auto"/>
              <w:left w:val="dashSmallGap" w:sz="4" w:space="0" w:color="auto"/>
              <w:right w:val="dashSmallGap" w:sz="4" w:space="0" w:color="auto"/>
            </w:tcBorders>
            <w:vAlign w:val="center"/>
          </w:tcPr>
          <w:p w14:paraId="50CCF006" w14:textId="27F4240B" w:rsidR="003941A9" w:rsidRPr="005936FE" w:rsidRDefault="003941A9" w:rsidP="003941A9">
            <w:pPr>
              <w:keepNext/>
              <w:jc w:val="right"/>
              <w:rPr>
                <w:rFonts w:ascii="Arial" w:hAnsi="Arial" w:cs="Arial"/>
                <w:b/>
                <w:bCs/>
                <w:color w:val="000000"/>
                <w:sz w:val="20"/>
                <w:szCs w:val="20"/>
              </w:rPr>
            </w:pPr>
            <w:r>
              <w:rPr>
                <w:rFonts w:ascii="Arial" w:hAnsi="Arial" w:cs="Arial"/>
                <w:b/>
                <w:bCs/>
                <w:color w:val="000000"/>
                <w:sz w:val="20"/>
                <w:szCs w:val="20"/>
              </w:rPr>
              <w:t>$43,918,800</w:t>
            </w:r>
          </w:p>
        </w:tc>
        <w:tc>
          <w:tcPr>
            <w:tcW w:w="1530" w:type="dxa"/>
            <w:tcBorders>
              <w:top w:val="dashSmallGap" w:sz="4" w:space="0" w:color="auto"/>
              <w:left w:val="dashSmallGap" w:sz="4" w:space="0" w:color="auto"/>
              <w:right w:val="dashSmallGap" w:sz="4" w:space="0" w:color="auto"/>
            </w:tcBorders>
            <w:shd w:val="clear" w:color="auto" w:fill="auto"/>
            <w:vAlign w:val="center"/>
          </w:tcPr>
          <w:p w14:paraId="6120EEBE" w14:textId="0A4FE8EE" w:rsidR="003941A9" w:rsidRPr="005936FE" w:rsidRDefault="003941A9" w:rsidP="003941A9">
            <w:pPr>
              <w:keepNext/>
              <w:jc w:val="right"/>
              <w:rPr>
                <w:rFonts w:ascii="Arial" w:hAnsi="Arial" w:cs="Arial"/>
                <w:b/>
                <w:bCs/>
                <w:color w:val="000000"/>
                <w:sz w:val="20"/>
                <w:szCs w:val="20"/>
              </w:rPr>
            </w:pPr>
            <w:r>
              <w:rPr>
                <w:rFonts w:ascii="Arial" w:hAnsi="Arial" w:cs="Arial"/>
                <w:b/>
                <w:bCs/>
                <w:color w:val="000000"/>
                <w:sz w:val="20"/>
                <w:szCs w:val="20"/>
              </w:rPr>
              <w:t>$26,158,000</w:t>
            </w:r>
          </w:p>
        </w:tc>
        <w:tc>
          <w:tcPr>
            <w:tcW w:w="1530" w:type="dxa"/>
            <w:tcBorders>
              <w:top w:val="dashSmallGap" w:sz="4" w:space="0" w:color="auto"/>
              <w:left w:val="dashSmallGap" w:sz="4" w:space="0" w:color="auto"/>
            </w:tcBorders>
            <w:shd w:val="clear" w:color="auto" w:fill="auto"/>
            <w:vAlign w:val="center"/>
          </w:tcPr>
          <w:p w14:paraId="4773E3B0" w14:textId="0F7E278A" w:rsidR="003941A9" w:rsidRPr="005936FE" w:rsidRDefault="003941A9" w:rsidP="003941A9">
            <w:pPr>
              <w:keepNext/>
              <w:jc w:val="right"/>
              <w:rPr>
                <w:rFonts w:ascii="Arial" w:hAnsi="Arial" w:cs="Arial"/>
                <w:b/>
                <w:bCs/>
                <w:color w:val="000000"/>
                <w:sz w:val="20"/>
                <w:szCs w:val="20"/>
              </w:rPr>
            </w:pPr>
            <w:r>
              <w:rPr>
                <w:rFonts w:ascii="Arial" w:hAnsi="Arial" w:cs="Arial"/>
                <w:b/>
                <w:bCs/>
                <w:color w:val="000000"/>
                <w:sz w:val="20"/>
                <w:szCs w:val="20"/>
              </w:rPr>
              <w:t>$31,813,900</w:t>
            </w:r>
          </w:p>
        </w:tc>
        <w:tc>
          <w:tcPr>
            <w:tcW w:w="1615" w:type="dxa"/>
            <w:tcBorders>
              <w:top w:val="dashSmallGap" w:sz="4" w:space="0" w:color="auto"/>
              <w:left w:val="dashSmallGap" w:sz="4" w:space="0" w:color="auto"/>
            </w:tcBorders>
            <w:shd w:val="clear" w:color="auto" w:fill="auto"/>
            <w:vAlign w:val="center"/>
          </w:tcPr>
          <w:p w14:paraId="43F2A9A9" w14:textId="2F118399" w:rsidR="003941A9" w:rsidRPr="005936FE" w:rsidRDefault="003941A9" w:rsidP="003941A9">
            <w:pPr>
              <w:keepNext/>
              <w:jc w:val="right"/>
              <w:rPr>
                <w:rFonts w:ascii="Arial" w:hAnsi="Arial" w:cs="Arial"/>
                <w:b/>
                <w:bCs/>
                <w:color w:val="000000"/>
                <w:sz w:val="20"/>
                <w:szCs w:val="20"/>
              </w:rPr>
            </w:pPr>
          </w:p>
        </w:tc>
      </w:tr>
    </w:tbl>
    <w:p w14:paraId="373BF882" w14:textId="77777777" w:rsidR="00367228" w:rsidRPr="001E1705" w:rsidRDefault="00367228" w:rsidP="00577C10">
      <w:pPr>
        <w:rPr>
          <w:rFonts w:ascii="Arial" w:hAnsi="Arial" w:cs="Arial"/>
        </w:rPr>
      </w:pPr>
    </w:p>
    <w:p w14:paraId="12B9643A" w14:textId="3AFB00A7" w:rsidR="00C2697F" w:rsidRDefault="00C2697F" w:rsidP="00577C10">
      <w:pPr>
        <w:rPr>
          <w:rFonts w:ascii="Arial" w:hAnsi="Arial" w:cs="Arial"/>
          <w:b/>
          <w:bCs/>
        </w:rPr>
      </w:pPr>
      <w:bookmarkStart w:id="1" w:name="_Hlk143768365"/>
      <w:r>
        <w:rPr>
          <w:rFonts w:ascii="Arial" w:hAnsi="Arial" w:cs="Arial"/>
          <w:b/>
          <w:bCs/>
        </w:rPr>
        <w:t>Profile of Cases Managed and/or Key Services Provided</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350"/>
        <w:gridCol w:w="1260"/>
        <w:gridCol w:w="1260"/>
        <w:gridCol w:w="1260"/>
      </w:tblGrid>
      <w:tr w:rsidR="006A3612" w14:paraId="261D3CE2" w14:textId="77777777" w:rsidTr="00253FBC">
        <w:tc>
          <w:tcPr>
            <w:tcW w:w="4950" w:type="dxa"/>
            <w:shd w:val="clear" w:color="auto" w:fill="000080"/>
          </w:tcPr>
          <w:p w14:paraId="6D46C61B" w14:textId="77777777" w:rsidR="006A3612" w:rsidRPr="002A0614" w:rsidRDefault="006A3612" w:rsidP="006A3612">
            <w:pPr>
              <w:spacing w:after="60"/>
              <w:rPr>
                <w:rFonts w:ascii="Arial" w:hAnsi="Arial" w:cs="Arial"/>
                <w:b/>
                <w:sz w:val="20"/>
                <w:szCs w:val="20"/>
              </w:rPr>
            </w:pPr>
            <w:r w:rsidRPr="002A0614">
              <w:rPr>
                <w:rFonts w:ascii="Arial" w:hAnsi="Arial" w:cs="Arial"/>
                <w:b/>
                <w:sz w:val="20"/>
                <w:szCs w:val="20"/>
              </w:rPr>
              <w:t>Cases Managed and/or Key Services Provided</w:t>
            </w:r>
          </w:p>
        </w:tc>
        <w:tc>
          <w:tcPr>
            <w:tcW w:w="1350" w:type="dxa"/>
            <w:shd w:val="clear" w:color="auto" w:fill="000080"/>
          </w:tcPr>
          <w:p w14:paraId="4F2AED1F" w14:textId="55DCCD42" w:rsidR="006A3612" w:rsidRPr="002A0614" w:rsidRDefault="003941A9" w:rsidP="006A3612">
            <w:pPr>
              <w:spacing w:after="60"/>
              <w:jc w:val="right"/>
              <w:rPr>
                <w:rFonts w:ascii="Arial" w:hAnsi="Arial" w:cs="Arial"/>
                <w:b/>
                <w:sz w:val="20"/>
                <w:szCs w:val="20"/>
              </w:rPr>
            </w:pPr>
            <w:r>
              <w:rPr>
                <w:rFonts w:ascii="Arial" w:hAnsi="Arial" w:cs="Arial"/>
                <w:b/>
                <w:sz w:val="20"/>
                <w:szCs w:val="20"/>
              </w:rPr>
              <w:t>FY 2021</w:t>
            </w:r>
          </w:p>
        </w:tc>
        <w:tc>
          <w:tcPr>
            <w:tcW w:w="1260" w:type="dxa"/>
            <w:shd w:val="clear" w:color="auto" w:fill="000080"/>
          </w:tcPr>
          <w:p w14:paraId="3CD7AD15" w14:textId="66ADDE0C" w:rsidR="006A3612" w:rsidRPr="002A0614" w:rsidRDefault="003941A9" w:rsidP="006A3612">
            <w:pPr>
              <w:spacing w:after="60"/>
              <w:jc w:val="right"/>
              <w:rPr>
                <w:rFonts w:ascii="Arial" w:hAnsi="Arial" w:cs="Arial"/>
                <w:b/>
                <w:sz w:val="20"/>
                <w:szCs w:val="20"/>
              </w:rPr>
            </w:pPr>
            <w:r>
              <w:rPr>
                <w:rFonts w:ascii="Arial" w:hAnsi="Arial" w:cs="Arial"/>
                <w:b/>
                <w:sz w:val="20"/>
                <w:szCs w:val="20"/>
              </w:rPr>
              <w:t>FY 2022</w:t>
            </w:r>
          </w:p>
        </w:tc>
        <w:tc>
          <w:tcPr>
            <w:tcW w:w="1260" w:type="dxa"/>
            <w:shd w:val="clear" w:color="auto" w:fill="000080"/>
          </w:tcPr>
          <w:p w14:paraId="3917CAE8" w14:textId="05AAB355" w:rsidR="006A3612" w:rsidRPr="002A0614" w:rsidRDefault="003941A9" w:rsidP="006A3612">
            <w:pPr>
              <w:spacing w:after="60"/>
              <w:jc w:val="right"/>
              <w:rPr>
                <w:rFonts w:ascii="Arial" w:hAnsi="Arial" w:cs="Arial"/>
                <w:b/>
                <w:sz w:val="20"/>
                <w:szCs w:val="20"/>
              </w:rPr>
            </w:pPr>
            <w:r>
              <w:rPr>
                <w:rFonts w:ascii="Arial" w:hAnsi="Arial" w:cs="Arial"/>
                <w:b/>
                <w:sz w:val="20"/>
                <w:szCs w:val="20"/>
              </w:rPr>
              <w:t>FY 2023</w:t>
            </w:r>
          </w:p>
        </w:tc>
        <w:tc>
          <w:tcPr>
            <w:tcW w:w="1260" w:type="dxa"/>
            <w:shd w:val="clear" w:color="auto" w:fill="000080"/>
          </w:tcPr>
          <w:p w14:paraId="60CFFCAC" w14:textId="1D2CE7CF" w:rsidR="006A3612" w:rsidRPr="002A0614" w:rsidRDefault="003941A9" w:rsidP="006A3612">
            <w:pPr>
              <w:spacing w:after="60"/>
              <w:jc w:val="right"/>
              <w:rPr>
                <w:rFonts w:ascii="Arial" w:hAnsi="Arial" w:cs="Arial"/>
                <w:b/>
                <w:sz w:val="20"/>
                <w:szCs w:val="20"/>
              </w:rPr>
            </w:pPr>
            <w:r>
              <w:rPr>
                <w:rFonts w:ascii="Arial" w:hAnsi="Arial" w:cs="Arial"/>
                <w:b/>
                <w:sz w:val="20"/>
                <w:szCs w:val="20"/>
              </w:rPr>
              <w:t>FY 2024</w:t>
            </w:r>
          </w:p>
        </w:tc>
      </w:tr>
      <w:tr w:rsidR="003941A9" w:rsidRPr="008344E6" w14:paraId="6A84029F" w14:textId="77777777" w:rsidTr="00253FBC">
        <w:tc>
          <w:tcPr>
            <w:tcW w:w="4950" w:type="dxa"/>
          </w:tcPr>
          <w:p w14:paraId="550CF8CC" w14:textId="6101DC18" w:rsidR="003941A9" w:rsidRPr="008344E6" w:rsidRDefault="003941A9" w:rsidP="003941A9">
            <w:pPr>
              <w:spacing w:after="60"/>
              <w:rPr>
                <w:rFonts w:ascii="Arial" w:hAnsi="Arial" w:cs="Arial"/>
                <w:color w:val="000000"/>
                <w:sz w:val="20"/>
                <w:szCs w:val="20"/>
              </w:rPr>
            </w:pPr>
            <w:bookmarkStart w:id="2" w:name="_Hlk15886821"/>
            <w:r>
              <w:rPr>
                <w:rFonts w:ascii="Arial" w:hAnsi="Arial" w:cs="Arial"/>
                <w:color w:val="000000"/>
                <w:sz w:val="20"/>
                <w:szCs w:val="20"/>
              </w:rPr>
              <w:t>S</w:t>
            </w:r>
            <w:r w:rsidRPr="008344E6">
              <w:rPr>
                <w:rFonts w:ascii="Arial" w:hAnsi="Arial" w:cs="Arial"/>
                <w:color w:val="000000"/>
                <w:sz w:val="20"/>
                <w:szCs w:val="20"/>
              </w:rPr>
              <w:t xml:space="preserve">ervice desk tickets </w:t>
            </w:r>
            <w:proofErr w:type="gramStart"/>
            <w:r w:rsidRPr="008344E6">
              <w:rPr>
                <w:rFonts w:ascii="Arial" w:hAnsi="Arial" w:cs="Arial"/>
                <w:color w:val="000000"/>
                <w:sz w:val="20"/>
                <w:szCs w:val="20"/>
              </w:rPr>
              <w:t>resolved</w:t>
            </w:r>
            <w:r w:rsidRPr="00DC7A12">
              <w:rPr>
                <w:rFonts w:ascii="Arial" w:hAnsi="Arial" w:cs="Arial"/>
                <w:color w:val="000000"/>
                <w:sz w:val="20"/>
                <w:szCs w:val="20"/>
                <w:vertAlign w:val="superscript"/>
              </w:rPr>
              <w:t>(</w:t>
            </w:r>
            <w:proofErr w:type="gramEnd"/>
            <w:r>
              <w:rPr>
                <w:rFonts w:ascii="Arial" w:hAnsi="Arial" w:cs="Arial"/>
                <w:color w:val="000000"/>
                <w:sz w:val="20"/>
                <w:szCs w:val="20"/>
                <w:vertAlign w:val="superscript"/>
              </w:rPr>
              <w:t>1</w:t>
            </w:r>
            <w:r w:rsidRPr="00DC7A12">
              <w:rPr>
                <w:rFonts w:ascii="Arial" w:hAnsi="Arial" w:cs="Arial"/>
                <w:color w:val="000000"/>
                <w:sz w:val="20"/>
                <w:szCs w:val="20"/>
                <w:vertAlign w:val="superscript"/>
              </w:rPr>
              <w:t>)</w:t>
            </w:r>
          </w:p>
        </w:tc>
        <w:tc>
          <w:tcPr>
            <w:tcW w:w="1350" w:type="dxa"/>
          </w:tcPr>
          <w:p w14:paraId="6DB18D03" w14:textId="4A35CAD4" w:rsidR="003941A9" w:rsidRPr="008344E6" w:rsidRDefault="003941A9" w:rsidP="003941A9">
            <w:pPr>
              <w:spacing w:after="60"/>
              <w:jc w:val="right"/>
              <w:rPr>
                <w:rFonts w:ascii="Arial" w:hAnsi="Arial" w:cs="Arial"/>
                <w:color w:val="000000"/>
                <w:sz w:val="20"/>
                <w:szCs w:val="20"/>
              </w:rPr>
            </w:pPr>
            <w:r>
              <w:rPr>
                <w:rFonts w:ascii="Arial" w:hAnsi="Arial" w:cs="Arial"/>
                <w:color w:val="000000"/>
                <w:sz w:val="20"/>
                <w:szCs w:val="20"/>
              </w:rPr>
              <w:t>60,585</w:t>
            </w:r>
          </w:p>
        </w:tc>
        <w:tc>
          <w:tcPr>
            <w:tcW w:w="1260" w:type="dxa"/>
            <w:shd w:val="clear" w:color="auto" w:fill="auto"/>
          </w:tcPr>
          <w:p w14:paraId="4F7BA34D" w14:textId="2CA37AF9"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64,442</w:t>
            </w:r>
          </w:p>
        </w:tc>
        <w:tc>
          <w:tcPr>
            <w:tcW w:w="1260" w:type="dxa"/>
            <w:shd w:val="clear" w:color="auto" w:fill="auto"/>
          </w:tcPr>
          <w:p w14:paraId="55349A83" w14:textId="4BD969C9" w:rsidR="003941A9" w:rsidRDefault="003941A9" w:rsidP="003941A9">
            <w:pPr>
              <w:spacing w:after="60"/>
              <w:jc w:val="right"/>
              <w:rPr>
                <w:rFonts w:ascii="Arial" w:hAnsi="Arial" w:cs="Arial"/>
                <w:color w:val="000000"/>
                <w:sz w:val="20"/>
                <w:szCs w:val="20"/>
              </w:rPr>
            </w:pPr>
            <w:r w:rsidRPr="00253FBC">
              <w:rPr>
                <w:rFonts w:ascii="Arial" w:hAnsi="Arial" w:cs="Arial"/>
                <w:sz w:val="20"/>
                <w:szCs w:val="20"/>
              </w:rPr>
              <w:t>58,042</w:t>
            </w:r>
          </w:p>
        </w:tc>
        <w:tc>
          <w:tcPr>
            <w:tcW w:w="1260" w:type="dxa"/>
            <w:shd w:val="clear" w:color="auto" w:fill="auto"/>
          </w:tcPr>
          <w:p w14:paraId="5E186FC0" w14:textId="1AE17694" w:rsidR="003941A9" w:rsidRPr="00253FBC" w:rsidRDefault="003941A9" w:rsidP="003941A9">
            <w:pPr>
              <w:spacing w:after="60"/>
              <w:jc w:val="right"/>
              <w:rPr>
                <w:rFonts w:ascii="Arial" w:hAnsi="Arial" w:cs="Arial"/>
                <w:color w:val="000000"/>
                <w:sz w:val="20"/>
                <w:szCs w:val="20"/>
              </w:rPr>
            </w:pPr>
          </w:p>
        </w:tc>
      </w:tr>
      <w:tr w:rsidR="003941A9" w:rsidRPr="008344E6" w14:paraId="0B0E826C" w14:textId="77777777" w:rsidTr="00253FBC">
        <w:tc>
          <w:tcPr>
            <w:tcW w:w="4950" w:type="dxa"/>
            <w:tcBorders>
              <w:bottom w:val="single" w:sz="4" w:space="0" w:color="auto"/>
            </w:tcBorders>
          </w:tcPr>
          <w:p w14:paraId="656580DA" w14:textId="38402B93" w:rsidR="003941A9" w:rsidRPr="008344E6" w:rsidRDefault="003941A9" w:rsidP="003941A9">
            <w:pPr>
              <w:spacing w:after="60"/>
              <w:rPr>
                <w:rFonts w:ascii="Arial" w:hAnsi="Arial" w:cs="Arial"/>
                <w:color w:val="000000"/>
                <w:sz w:val="20"/>
                <w:szCs w:val="20"/>
              </w:rPr>
            </w:pPr>
            <w:r w:rsidRPr="008344E6">
              <w:rPr>
                <w:rFonts w:ascii="Arial" w:hAnsi="Arial" w:cs="Arial"/>
                <w:color w:val="000000"/>
                <w:sz w:val="20"/>
                <w:szCs w:val="20"/>
              </w:rPr>
              <w:t xml:space="preserve">Number of </w:t>
            </w:r>
            <w:r>
              <w:rPr>
                <w:rFonts w:ascii="Arial" w:hAnsi="Arial" w:cs="Arial"/>
                <w:color w:val="000000"/>
                <w:sz w:val="20"/>
                <w:szCs w:val="20"/>
              </w:rPr>
              <w:t xml:space="preserve">supported </w:t>
            </w:r>
            <w:r w:rsidRPr="008344E6">
              <w:rPr>
                <w:rFonts w:ascii="Arial" w:hAnsi="Arial" w:cs="Arial"/>
                <w:color w:val="000000"/>
                <w:sz w:val="20"/>
                <w:szCs w:val="20"/>
              </w:rPr>
              <w:t>customers</w:t>
            </w:r>
            <w:r>
              <w:rPr>
                <w:rFonts w:ascii="Arial" w:hAnsi="Arial" w:cs="Arial"/>
                <w:color w:val="000000"/>
                <w:sz w:val="20"/>
                <w:szCs w:val="20"/>
              </w:rPr>
              <w:t xml:space="preserve"> </w:t>
            </w:r>
            <w:r>
              <w:rPr>
                <w:rFonts w:ascii="Arial" w:hAnsi="Arial" w:cs="Arial"/>
                <w:color w:val="000000"/>
                <w:sz w:val="20"/>
                <w:szCs w:val="20"/>
                <w:vertAlign w:val="superscript"/>
              </w:rPr>
              <w:t>(a)</w:t>
            </w:r>
          </w:p>
        </w:tc>
        <w:tc>
          <w:tcPr>
            <w:tcW w:w="1350" w:type="dxa"/>
            <w:tcBorders>
              <w:bottom w:val="single" w:sz="4" w:space="0" w:color="auto"/>
            </w:tcBorders>
          </w:tcPr>
          <w:p w14:paraId="020D050A" w14:textId="4D791D99" w:rsidR="003941A9" w:rsidRPr="008344E6" w:rsidRDefault="003941A9" w:rsidP="003941A9">
            <w:pPr>
              <w:spacing w:after="60"/>
              <w:jc w:val="right"/>
              <w:rPr>
                <w:rFonts w:ascii="Arial" w:hAnsi="Arial" w:cs="Arial"/>
                <w:color w:val="000000"/>
                <w:sz w:val="20"/>
                <w:szCs w:val="20"/>
              </w:rPr>
            </w:pPr>
            <w:r w:rsidRPr="008344E6">
              <w:rPr>
                <w:rFonts w:ascii="Arial" w:hAnsi="Arial" w:cs="Arial"/>
                <w:color w:val="000000"/>
                <w:sz w:val="20"/>
                <w:szCs w:val="20"/>
              </w:rPr>
              <w:t>7</w:t>
            </w:r>
            <w:r>
              <w:rPr>
                <w:rFonts w:ascii="Arial" w:hAnsi="Arial" w:cs="Arial"/>
                <w:color w:val="000000"/>
                <w:sz w:val="20"/>
                <w:szCs w:val="20"/>
              </w:rPr>
              <w:t>,</w:t>
            </w:r>
            <w:r w:rsidRPr="008344E6">
              <w:rPr>
                <w:rFonts w:ascii="Arial" w:hAnsi="Arial" w:cs="Arial"/>
                <w:color w:val="000000"/>
                <w:sz w:val="20"/>
                <w:szCs w:val="20"/>
              </w:rPr>
              <w:t>055</w:t>
            </w:r>
          </w:p>
        </w:tc>
        <w:tc>
          <w:tcPr>
            <w:tcW w:w="1260" w:type="dxa"/>
            <w:tcBorders>
              <w:bottom w:val="single" w:sz="4" w:space="0" w:color="auto"/>
            </w:tcBorders>
            <w:shd w:val="clear" w:color="auto" w:fill="auto"/>
          </w:tcPr>
          <w:p w14:paraId="4886FBF1" w14:textId="2FC11AE4"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7,055</w:t>
            </w:r>
          </w:p>
        </w:tc>
        <w:tc>
          <w:tcPr>
            <w:tcW w:w="1260" w:type="dxa"/>
            <w:tcBorders>
              <w:bottom w:val="single" w:sz="4" w:space="0" w:color="auto"/>
            </w:tcBorders>
            <w:shd w:val="clear" w:color="auto" w:fill="auto"/>
          </w:tcPr>
          <w:p w14:paraId="7D7C25F0" w14:textId="43CC3BD5" w:rsidR="003941A9" w:rsidRDefault="003941A9" w:rsidP="003941A9">
            <w:pPr>
              <w:spacing w:after="60"/>
              <w:jc w:val="right"/>
              <w:rPr>
                <w:rFonts w:ascii="Arial" w:hAnsi="Arial" w:cs="Arial"/>
                <w:color w:val="000000"/>
                <w:sz w:val="20"/>
                <w:szCs w:val="20"/>
              </w:rPr>
            </w:pPr>
            <w:r>
              <w:rPr>
                <w:rFonts w:ascii="Arial" w:hAnsi="Arial" w:cs="Arial"/>
                <w:sz w:val="20"/>
                <w:szCs w:val="20"/>
              </w:rPr>
              <w:t>10</w:t>
            </w:r>
            <w:r w:rsidRPr="00253FBC">
              <w:rPr>
                <w:rFonts w:ascii="Arial" w:hAnsi="Arial" w:cs="Arial"/>
                <w:sz w:val="20"/>
                <w:szCs w:val="20"/>
              </w:rPr>
              <w:t>,</w:t>
            </w:r>
            <w:r>
              <w:rPr>
                <w:rFonts w:ascii="Arial" w:hAnsi="Arial" w:cs="Arial"/>
                <w:sz w:val="20"/>
                <w:szCs w:val="20"/>
              </w:rPr>
              <w:t>309</w:t>
            </w:r>
          </w:p>
        </w:tc>
        <w:tc>
          <w:tcPr>
            <w:tcW w:w="1260" w:type="dxa"/>
            <w:tcBorders>
              <w:bottom w:val="single" w:sz="4" w:space="0" w:color="auto"/>
            </w:tcBorders>
            <w:shd w:val="clear" w:color="auto" w:fill="auto"/>
          </w:tcPr>
          <w:p w14:paraId="1EC873C8" w14:textId="568EBB6B" w:rsidR="003941A9" w:rsidRPr="00253FBC" w:rsidRDefault="003941A9" w:rsidP="003941A9">
            <w:pPr>
              <w:spacing w:after="60"/>
              <w:jc w:val="right"/>
              <w:rPr>
                <w:rFonts w:ascii="Arial" w:hAnsi="Arial" w:cs="Arial"/>
                <w:color w:val="000000"/>
                <w:sz w:val="20"/>
                <w:szCs w:val="20"/>
              </w:rPr>
            </w:pPr>
          </w:p>
        </w:tc>
      </w:tr>
      <w:tr w:rsidR="003941A9" w:rsidRPr="008344E6" w14:paraId="1F276953" w14:textId="77777777" w:rsidTr="00253FBC">
        <w:tc>
          <w:tcPr>
            <w:tcW w:w="4950" w:type="dxa"/>
          </w:tcPr>
          <w:p w14:paraId="3C0F3083" w14:textId="42F81FD1" w:rsidR="003941A9" w:rsidRPr="008344E6" w:rsidRDefault="003941A9" w:rsidP="003941A9">
            <w:pPr>
              <w:spacing w:after="60"/>
              <w:rPr>
                <w:rFonts w:ascii="Arial" w:hAnsi="Arial" w:cs="Arial"/>
                <w:color w:val="000000"/>
                <w:sz w:val="20"/>
                <w:szCs w:val="20"/>
              </w:rPr>
            </w:pPr>
            <w:r>
              <w:rPr>
                <w:rFonts w:ascii="Arial" w:hAnsi="Arial" w:cs="Arial"/>
                <w:color w:val="000000"/>
                <w:sz w:val="20"/>
                <w:szCs w:val="20"/>
              </w:rPr>
              <w:t>U</w:t>
            </w:r>
            <w:r w:rsidRPr="008344E6">
              <w:rPr>
                <w:rFonts w:ascii="Arial" w:hAnsi="Arial" w:cs="Arial"/>
                <w:color w:val="000000"/>
                <w:sz w:val="20"/>
                <w:szCs w:val="20"/>
              </w:rPr>
              <w:t xml:space="preserve">nique visitors to </w:t>
            </w:r>
            <w:r>
              <w:rPr>
                <w:rFonts w:ascii="Arial" w:hAnsi="Arial" w:cs="Arial"/>
                <w:color w:val="000000"/>
                <w:sz w:val="20"/>
                <w:szCs w:val="20"/>
              </w:rPr>
              <w:t xml:space="preserve">the </w:t>
            </w:r>
            <w:r w:rsidRPr="008344E6">
              <w:rPr>
                <w:rFonts w:ascii="Arial" w:hAnsi="Arial" w:cs="Arial"/>
                <w:color w:val="000000"/>
                <w:sz w:val="20"/>
                <w:szCs w:val="20"/>
              </w:rPr>
              <w:t xml:space="preserve">Idaho.gov </w:t>
            </w:r>
            <w:r>
              <w:rPr>
                <w:rFonts w:ascii="Arial" w:hAnsi="Arial" w:cs="Arial"/>
                <w:color w:val="000000"/>
                <w:sz w:val="20"/>
                <w:szCs w:val="20"/>
              </w:rPr>
              <w:t>website</w:t>
            </w:r>
            <w:r w:rsidRPr="00DC7A12">
              <w:rPr>
                <w:rFonts w:ascii="Arial" w:hAnsi="Arial" w:cs="Arial"/>
                <w:color w:val="000000"/>
                <w:sz w:val="20"/>
                <w:szCs w:val="20"/>
                <w:vertAlign w:val="superscript"/>
              </w:rPr>
              <w:t>(</w:t>
            </w:r>
            <w:r>
              <w:rPr>
                <w:rFonts w:ascii="Arial" w:hAnsi="Arial" w:cs="Arial"/>
                <w:color w:val="000000"/>
                <w:sz w:val="20"/>
                <w:szCs w:val="20"/>
                <w:vertAlign w:val="superscript"/>
              </w:rPr>
              <w:t>2</w:t>
            </w:r>
            <w:r w:rsidRPr="00DC7A12">
              <w:rPr>
                <w:rFonts w:ascii="Arial" w:hAnsi="Arial" w:cs="Arial"/>
                <w:color w:val="000000"/>
                <w:sz w:val="20"/>
                <w:szCs w:val="20"/>
                <w:vertAlign w:val="superscript"/>
              </w:rPr>
              <w:t>)</w:t>
            </w:r>
            <w:r>
              <w:rPr>
                <w:rFonts w:ascii="Arial" w:hAnsi="Arial" w:cs="Arial"/>
                <w:color w:val="000000"/>
                <w:sz w:val="20"/>
                <w:szCs w:val="20"/>
                <w:vertAlign w:val="superscript"/>
              </w:rPr>
              <w:t xml:space="preserve"> (b)</w:t>
            </w:r>
          </w:p>
        </w:tc>
        <w:tc>
          <w:tcPr>
            <w:tcW w:w="1350" w:type="dxa"/>
          </w:tcPr>
          <w:p w14:paraId="2DC4F565" w14:textId="269782E2" w:rsidR="003941A9" w:rsidRPr="008344E6" w:rsidRDefault="003941A9" w:rsidP="003941A9">
            <w:pPr>
              <w:spacing w:after="60"/>
              <w:jc w:val="right"/>
              <w:rPr>
                <w:rFonts w:ascii="Arial" w:hAnsi="Arial" w:cs="Arial"/>
                <w:color w:val="000000"/>
                <w:sz w:val="20"/>
                <w:szCs w:val="20"/>
              </w:rPr>
            </w:pPr>
            <w:r>
              <w:rPr>
                <w:rFonts w:ascii="Arial" w:hAnsi="Arial" w:cs="Arial"/>
                <w:color w:val="000000"/>
                <w:sz w:val="20"/>
                <w:szCs w:val="20"/>
              </w:rPr>
              <w:t>1,898,424</w:t>
            </w:r>
          </w:p>
        </w:tc>
        <w:tc>
          <w:tcPr>
            <w:tcW w:w="1260" w:type="dxa"/>
            <w:shd w:val="clear" w:color="auto" w:fill="auto"/>
          </w:tcPr>
          <w:p w14:paraId="7806FB6E" w14:textId="665E00EF" w:rsidR="003941A9" w:rsidRPr="008344E6" w:rsidRDefault="003941A9" w:rsidP="003941A9">
            <w:pPr>
              <w:spacing w:after="60"/>
              <w:jc w:val="right"/>
              <w:rPr>
                <w:rFonts w:ascii="Arial" w:hAnsi="Arial" w:cs="Arial"/>
                <w:color w:val="000000"/>
                <w:sz w:val="20"/>
                <w:szCs w:val="20"/>
              </w:rPr>
            </w:pPr>
            <w:r>
              <w:rPr>
                <w:rFonts w:ascii="Arial" w:hAnsi="Arial" w:cs="Arial"/>
                <w:color w:val="000000"/>
                <w:sz w:val="20"/>
                <w:szCs w:val="20"/>
              </w:rPr>
              <w:t>871,904</w:t>
            </w:r>
          </w:p>
        </w:tc>
        <w:tc>
          <w:tcPr>
            <w:tcW w:w="1260" w:type="dxa"/>
            <w:shd w:val="clear" w:color="auto" w:fill="auto"/>
          </w:tcPr>
          <w:p w14:paraId="3EE89FB3" w14:textId="27FE9454" w:rsidR="003941A9" w:rsidRPr="008344E6" w:rsidRDefault="003941A9" w:rsidP="003941A9">
            <w:pPr>
              <w:spacing w:after="60"/>
              <w:jc w:val="right"/>
              <w:rPr>
                <w:rFonts w:ascii="Arial" w:hAnsi="Arial" w:cs="Arial"/>
                <w:color w:val="000000"/>
                <w:sz w:val="20"/>
                <w:szCs w:val="20"/>
              </w:rPr>
            </w:pPr>
            <w:r w:rsidRPr="00253FBC">
              <w:rPr>
                <w:rFonts w:ascii="Arial" w:hAnsi="Arial" w:cs="Arial"/>
                <w:sz w:val="20"/>
                <w:szCs w:val="20"/>
              </w:rPr>
              <w:t>907,921</w:t>
            </w:r>
          </w:p>
        </w:tc>
        <w:tc>
          <w:tcPr>
            <w:tcW w:w="1260" w:type="dxa"/>
            <w:shd w:val="clear" w:color="auto" w:fill="auto"/>
          </w:tcPr>
          <w:p w14:paraId="7D436FDD" w14:textId="3CB8E5CB" w:rsidR="003941A9" w:rsidRPr="00253FBC" w:rsidRDefault="003941A9" w:rsidP="003941A9">
            <w:pPr>
              <w:spacing w:after="60"/>
              <w:jc w:val="right"/>
              <w:rPr>
                <w:rFonts w:ascii="Arial" w:hAnsi="Arial" w:cs="Arial"/>
                <w:color w:val="000000"/>
                <w:sz w:val="20"/>
                <w:szCs w:val="20"/>
              </w:rPr>
            </w:pPr>
          </w:p>
        </w:tc>
      </w:tr>
      <w:tr w:rsidR="003941A9" w:rsidRPr="008344E6" w14:paraId="6F0EAAAA" w14:textId="77777777" w:rsidTr="00253FBC">
        <w:tc>
          <w:tcPr>
            <w:tcW w:w="4950" w:type="dxa"/>
          </w:tcPr>
          <w:p w14:paraId="0A73F3CF" w14:textId="249638F1" w:rsidR="003941A9" w:rsidRDefault="003941A9" w:rsidP="003941A9">
            <w:pPr>
              <w:spacing w:after="60"/>
              <w:rPr>
                <w:rFonts w:ascii="Arial" w:hAnsi="Arial" w:cs="Arial"/>
                <w:color w:val="000000"/>
                <w:sz w:val="20"/>
                <w:szCs w:val="20"/>
              </w:rPr>
            </w:pPr>
            <w:r>
              <w:rPr>
                <w:rFonts w:ascii="Arial" w:hAnsi="Arial" w:cs="Arial"/>
                <w:color w:val="000000"/>
                <w:sz w:val="20"/>
                <w:szCs w:val="20"/>
              </w:rPr>
              <w:t>Total visits to Idaho.gov website</w:t>
            </w:r>
            <w:r w:rsidRPr="000E3399">
              <w:rPr>
                <w:rFonts w:ascii="Arial" w:hAnsi="Arial" w:cs="Arial"/>
                <w:color w:val="000000"/>
                <w:sz w:val="20"/>
                <w:szCs w:val="20"/>
                <w:vertAlign w:val="superscript"/>
              </w:rPr>
              <w:t>(3)</w:t>
            </w:r>
            <w:r>
              <w:rPr>
                <w:rFonts w:ascii="Arial" w:hAnsi="Arial" w:cs="Arial"/>
                <w:color w:val="000000"/>
                <w:sz w:val="20"/>
                <w:szCs w:val="20"/>
                <w:vertAlign w:val="superscript"/>
              </w:rPr>
              <w:t xml:space="preserve"> (c)</w:t>
            </w:r>
          </w:p>
        </w:tc>
        <w:tc>
          <w:tcPr>
            <w:tcW w:w="1350" w:type="dxa"/>
          </w:tcPr>
          <w:p w14:paraId="1D5D0C6A" w14:textId="0FCCA187"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2,270,761</w:t>
            </w:r>
          </w:p>
        </w:tc>
        <w:tc>
          <w:tcPr>
            <w:tcW w:w="1260" w:type="dxa"/>
            <w:shd w:val="clear" w:color="auto" w:fill="auto"/>
          </w:tcPr>
          <w:p w14:paraId="15B20B89" w14:textId="7F8417E3"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1,071,936</w:t>
            </w:r>
          </w:p>
        </w:tc>
        <w:tc>
          <w:tcPr>
            <w:tcW w:w="1260" w:type="dxa"/>
            <w:shd w:val="clear" w:color="auto" w:fill="auto"/>
          </w:tcPr>
          <w:p w14:paraId="6A71561E" w14:textId="7BDFC99D" w:rsidR="003941A9" w:rsidRDefault="003941A9" w:rsidP="003941A9">
            <w:pPr>
              <w:spacing w:after="60"/>
              <w:jc w:val="right"/>
              <w:rPr>
                <w:rFonts w:ascii="Arial" w:hAnsi="Arial" w:cs="Arial"/>
                <w:color w:val="000000"/>
                <w:sz w:val="20"/>
                <w:szCs w:val="20"/>
              </w:rPr>
            </w:pPr>
            <w:r w:rsidRPr="00253FBC">
              <w:rPr>
                <w:rFonts w:ascii="Arial" w:hAnsi="Arial" w:cs="Arial"/>
                <w:sz w:val="20"/>
                <w:szCs w:val="20"/>
              </w:rPr>
              <w:t xml:space="preserve">908,386 </w:t>
            </w:r>
          </w:p>
        </w:tc>
        <w:tc>
          <w:tcPr>
            <w:tcW w:w="1260" w:type="dxa"/>
            <w:shd w:val="clear" w:color="auto" w:fill="auto"/>
          </w:tcPr>
          <w:p w14:paraId="1901A474" w14:textId="1C546222" w:rsidR="003941A9" w:rsidRPr="00253FBC" w:rsidRDefault="003941A9" w:rsidP="003941A9">
            <w:pPr>
              <w:spacing w:after="60"/>
              <w:jc w:val="right"/>
              <w:rPr>
                <w:rFonts w:ascii="Arial" w:hAnsi="Arial" w:cs="Arial"/>
                <w:color w:val="000000"/>
                <w:sz w:val="20"/>
                <w:szCs w:val="20"/>
              </w:rPr>
            </w:pPr>
          </w:p>
        </w:tc>
      </w:tr>
      <w:tr w:rsidR="003941A9" w:rsidRPr="008344E6" w14:paraId="739679BA" w14:textId="77777777" w:rsidTr="00253FBC">
        <w:tc>
          <w:tcPr>
            <w:tcW w:w="4950" w:type="dxa"/>
          </w:tcPr>
          <w:p w14:paraId="740C8446" w14:textId="24457608" w:rsidR="003941A9" w:rsidRDefault="003941A9" w:rsidP="003941A9">
            <w:pPr>
              <w:spacing w:after="60"/>
              <w:rPr>
                <w:rFonts w:ascii="Arial" w:hAnsi="Arial" w:cs="Arial"/>
                <w:color w:val="000000"/>
                <w:sz w:val="20"/>
                <w:szCs w:val="20"/>
              </w:rPr>
            </w:pPr>
            <w:r>
              <w:rPr>
                <w:rFonts w:ascii="Arial" w:hAnsi="Arial" w:cs="Arial"/>
                <w:color w:val="000000"/>
                <w:sz w:val="20"/>
                <w:szCs w:val="20"/>
              </w:rPr>
              <w:t xml:space="preserve">Unique visitors to Cybersecurity.Idaho.gov </w:t>
            </w:r>
          </w:p>
        </w:tc>
        <w:tc>
          <w:tcPr>
            <w:tcW w:w="1350" w:type="dxa"/>
          </w:tcPr>
          <w:p w14:paraId="1F3B70BC" w14:textId="753464FE"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12,284</w:t>
            </w:r>
          </w:p>
        </w:tc>
        <w:tc>
          <w:tcPr>
            <w:tcW w:w="1260" w:type="dxa"/>
            <w:shd w:val="clear" w:color="auto" w:fill="auto"/>
          </w:tcPr>
          <w:p w14:paraId="4660A726" w14:textId="3FBB14F1"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11,444</w:t>
            </w:r>
          </w:p>
        </w:tc>
        <w:tc>
          <w:tcPr>
            <w:tcW w:w="1260" w:type="dxa"/>
            <w:shd w:val="clear" w:color="auto" w:fill="auto"/>
          </w:tcPr>
          <w:p w14:paraId="04F94841" w14:textId="5228ECCE" w:rsidR="003941A9" w:rsidRDefault="003941A9" w:rsidP="003941A9">
            <w:pPr>
              <w:spacing w:after="60"/>
              <w:jc w:val="right"/>
              <w:rPr>
                <w:rFonts w:ascii="Arial" w:hAnsi="Arial" w:cs="Arial"/>
                <w:color w:val="000000"/>
                <w:sz w:val="20"/>
                <w:szCs w:val="20"/>
              </w:rPr>
            </w:pPr>
            <w:r w:rsidRPr="00253FBC">
              <w:rPr>
                <w:rFonts w:ascii="Arial" w:hAnsi="Arial" w:cs="Arial"/>
                <w:sz w:val="20"/>
                <w:szCs w:val="20"/>
              </w:rPr>
              <w:t>16,076</w:t>
            </w:r>
          </w:p>
        </w:tc>
        <w:tc>
          <w:tcPr>
            <w:tcW w:w="1260" w:type="dxa"/>
            <w:shd w:val="clear" w:color="auto" w:fill="auto"/>
          </w:tcPr>
          <w:p w14:paraId="6A55AB38" w14:textId="6C456D78" w:rsidR="003941A9" w:rsidRPr="00253FBC" w:rsidRDefault="003941A9" w:rsidP="003941A9">
            <w:pPr>
              <w:spacing w:after="60"/>
              <w:jc w:val="right"/>
              <w:rPr>
                <w:rFonts w:ascii="Arial" w:hAnsi="Arial" w:cs="Arial"/>
                <w:color w:val="000000"/>
                <w:sz w:val="20"/>
                <w:szCs w:val="20"/>
              </w:rPr>
            </w:pPr>
          </w:p>
        </w:tc>
      </w:tr>
      <w:tr w:rsidR="003941A9" w:rsidRPr="008344E6" w14:paraId="0E67536F" w14:textId="77777777" w:rsidTr="00253FBC">
        <w:tc>
          <w:tcPr>
            <w:tcW w:w="4950" w:type="dxa"/>
          </w:tcPr>
          <w:p w14:paraId="5A1A3AE9" w14:textId="52011AF9" w:rsidR="003941A9" w:rsidRDefault="003941A9" w:rsidP="003941A9">
            <w:pPr>
              <w:spacing w:after="60"/>
              <w:rPr>
                <w:rFonts w:ascii="Arial" w:hAnsi="Arial" w:cs="Arial"/>
                <w:color w:val="000000"/>
                <w:sz w:val="20"/>
                <w:szCs w:val="20"/>
              </w:rPr>
            </w:pPr>
            <w:r>
              <w:rPr>
                <w:rFonts w:ascii="Arial" w:hAnsi="Arial" w:cs="Arial"/>
                <w:color w:val="000000"/>
                <w:sz w:val="20"/>
                <w:szCs w:val="20"/>
              </w:rPr>
              <w:t>State of Idaho employees completing cybersecurity training</w:t>
            </w:r>
          </w:p>
        </w:tc>
        <w:tc>
          <w:tcPr>
            <w:tcW w:w="1350" w:type="dxa"/>
            <w:shd w:val="clear" w:color="auto" w:fill="auto"/>
          </w:tcPr>
          <w:p w14:paraId="3B52EAB7" w14:textId="5D8A361A"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14,272</w:t>
            </w:r>
            <w:r w:rsidRPr="005F7F55">
              <w:rPr>
                <w:rFonts w:ascii="Arial" w:hAnsi="Arial" w:cs="Arial"/>
                <w:color w:val="000000"/>
                <w:sz w:val="20"/>
                <w:szCs w:val="20"/>
                <w:vertAlign w:val="superscript"/>
              </w:rPr>
              <w:t>(</w:t>
            </w:r>
            <w:r>
              <w:rPr>
                <w:rFonts w:ascii="Arial" w:hAnsi="Arial" w:cs="Arial"/>
                <w:color w:val="000000"/>
                <w:sz w:val="20"/>
                <w:szCs w:val="20"/>
                <w:vertAlign w:val="superscript"/>
              </w:rPr>
              <w:t>4</w:t>
            </w:r>
            <w:r w:rsidRPr="005F7F55">
              <w:rPr>
                <w:rFonts w:ascii="Arial" w:hAnsi="Arial" w:cs="Arial"/>
                <w:color w:val="000000"/>
                <w:sz w:val="20"/>
                <w:szCs w:val="20"/>
                <w:vertAlign w:val="superscript"/>
              </w:rPr>
              <w:t>)</w:t>
            </w:r>
          </w:p>
        </w:tc>
        <w:tc>
          <w:tcPr>
            <w:tcW w:w="1260" w:type="dxa"/>
            <w:shd w:val="clear" w:color="auto" w:fill="auto"/>
          </w:tcPr>
          <w:p w14:paraId="770341CC" w14:textId="531F698B"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15,469</w:t>
            </w:r>
          </w:p>
        </w:tc>
        <w:tc>
          <w:tcPr>
            <w:tcW w:w="1260" w:type="dxa"/>
            <w:shd w:val="clear" w:color="auto" w:fill="auto"/>
          </w:tcPr>
          <w:p w14:paraId="53002EB6" w14:textId="46A9E082" w:rsidR="003941A9" w:rsidRDefault="003941A9" w:rsidP="003941A9">
            <w:pPr>
              <w:spacing w:after="60"/>
              <w:jc w:val="right"/>
              <w:rPr>
                <w:rFonts w:ascii="Arial" w:hAnsi="Arial" w:cs="Arial"/>
                <w:color w:val="000000"/>
                <w:sz w:val="20"/>
                <w:szCs w:val="20"/>
              </w:rPr>
            </w:pPr>
            <w:r>
              <w:rPr>
                <w:rFonts w:ascii="Arial" w:hAnsi="Arial" w:cs="Arial"/>
                <w:sz w:val="20"/>
                <w:szCs w:val="20"/>
              </w:rPr>
              <w:t>18,400</w:t>
            </w:r>
          </w:p>
        </w:tc>
        <w:tc>
          <w:tcPr>
            <w:tcW w:w="1260" w:type="dxa"/>
            <w:shd w:val="clear" w:color="auto" w:fill="auto"/>
          </w:tcPr>
          <w:p w14:paraId="490CE2D8" w14:textId="3E857A7F" w:rsidR="003941A9" w:rsidRPr="00253FBC" w:rsidRDefault="003941A9" w:rsidP="003941A9">
            <w:pPr>
              <w:spacing w:after="60"/>
              <w:jc w:val="right"/>
              <w:rPr>
                <w:rFonts w:ascii="Arial" w:hAnsi="Arial" w:cs="Arial"/>
                <w:color w:val="000000"/>
                <w:sz w:val="20"/>
                <w:szCs w:val="20"/>
              </w:rPr>
            </w:pPr>
          </w:p>
        </w:tc>
      </w:tr>
      <w:tr w:rsidR="003941A9" w:rsidRPr="008344E6" w14:paraId="722151CF" w14:textId="77777777" w:rsidTr="00253FBC">
        <w:tc>
          <w:tcPr>
            <w:tcW w:w="4950" w:type="dxa"/>
          </w:tcPr>
          <w:p w14:paraId="10590E20" w14:textId="1CC89863" w:rsidR="003941A9" w:rsidRDefault="003941A9" w:rsidP="003941A9">
            <w:pPr>
              <w:spacing w:after="60"/>
              <w:rPr>
                <w:rFonts w:ascii="Arial" w:hAnsi="Arial" w:cs="Arial"/>
                <w:color w:val="000000"/>
                <w:sz w:val="20"/>
                <w:szCs w:val="20"/>
              </w:rPr>
            </w:pPr>
            <w:r>
              <w:rPr>
                <w:rFonts w:ascii="Arial" w:hAnsi="Arial" w:cs="Arial"/>
                <w:color w:val="000000"/>
                <w:sz w:val="20"/>
                <w:szCs w:val="20"/>
              </w:rPr>
              <w:t>Total number of emails inspected</w:t>
            </w:r>
            <w:r>
              <w:rPr>
                <w:rFonts w:ascii="Arial" w:hAnsi="Arial" w:cs="Arial"/>
                <w:color w:val="000000"/>
                <w:sz w:val="20"/>
                <w:szCs w:val="20"/>
                <w:vertAlign w:val="superscript"/>
              </w:rPr>
              <w:t>(5</w:t>
            </w:r>
            <w:r w:rsidRPr="00CD2889">
              <w:rPr>
                <w:rFonts w:ascii="Arial" w:hAnsi="Arial" w:cs="Arial"/>
                <w:color w:val="000000"/>
                <w:sz w:val="20"/>
                <w:szCs w:val="20"/>
                <w:vertAlign w:val="superscript"/>
              </w:rPr>
              <w:t>)</w:t>
            </w:r>
            <w:r>
              <w:rPr>
                <w:rFonts w:ascii="Arial" w:hAnsi="Arial" w:cs="Arial"/>
                <w:color w:val="000000"/>
                <w:sz w:val="20"/>
                <w:szCs w:val="20"/>
                <w:vertAlign w:val="superscript"/>
              </w:rPr>
              <w:t xml:space="preserve"> (d)</w:t>
            </w:r>
          </w:p>
        </w:tc>
        <w:tc>
          <w:tcPr>
            <w:tcW w:w="1350" w:type="dxa"/>
            <w:shd w:val="clear" w:color="auto" w:fill="auto"/>
          </w:tcPr>
          <w:p w14:paraId="437F8D29" w14:textId="350E66FB"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N/A</w:t>
            </w:r>
          </w:p>
        </w:tc>
        <w:tc>
          <w:tcPr>
            <w:tcW w:w="1260" w:type="dxa"/>
            <w:shd w:val="clear" w:color="auto" w:fill="auto"/>
          </w:tcPr>
          <w:p w14:paraId="0F5725D4" w14:textId="43B120E3"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61 million</w:t>
            </w:r>
          </w:p>
        </w:tc>
        <w:tc>
          <w:tcPr>
            <w:tcW w:w="1260" w:type="dxa"/>
            <w:shd w:val="clear" w:color="auto" w:fill="auto"/>
          </w:tcPr>
          <w:p w14:paraId="1D52F7E1" w14:textId="46A9104E" w:rsidR="003941A9" w:rsidRDefault="003941A9" w:rsidP="003941A9">
            <w:pPr>
              <w:spacing w:after="60"/>
              <w:jc w:val="right"/>
              <w:rPr>
                <w:rFonts w:ascii="Arial" w:hAnsi="Arial" w:cs="Arial"/>
                <w:color w:val="000000"/>
                <w:sz w:val="20"/>
                <w:szCs w:val="20"/>
              </w:rPr>
            </w:pPr>
            <w:r w:rsidRPr="00253FBC">
              <w:rPr>
                <w:rFonts w:ascii="Arial" w:hAnsi="Arial" w:cs="Arial"/>
                <w:sz w:val="20"/>
                <w:szCs w:val="20"/>
              </w:rPr>
              <w:t xml:space="preserve">67.5 million </w:t>
            </w:r>
          </w:p>
        </w:tc>
        <w:tc>
          <w:tcPr>
            <w:tcW w:w="1260" w:type="dxa"/>
            <w:shd w:val="clear" w:color="auto" w:fill="auto"/>
          </w:tcPr>
          <w:p w14:paraId="12FC3F9E" w14:textId="21B9352D" w:rsidR="003941A9" w:rsidRPr="00253FBC" w:rsidRDefault="003941A9" w:rsidP="003941A9">
            <w:pPr>
              <w:spacing w:after="60"/>
              <w:jc w:val="right"/>
              <w:rPr>
                <w:rFonts w:ascii="Arial" w:hAnsi="Arial" w:cs="Arial"/>
                <w:color w:val="000000"/>
                <w:sz w:val="20"/>
                <w:szCs w:val="20"/>
              </w:rPr>
            </w:pPr>
          </w:p>
        </w:tc>
      </w:tr>
      <w:tr w:rsidR="003941A9" w:rsidRPr="008344E6" w14:paraId="5CA9EB9E" w14:textId="77777777" w:rsidTr="00253FBC">
        <w:tc>
          <w:tcPr>
            <w:tcW w:w="4950" w:type="dxa"/>
          </w:tcPr>
          <w:p w14:paraId="301433A1" w14:textId="7A265A47" w:rsidR="003941A9" w:rsidRDefault="003941A9" w:rsidP="003941A9">
            <w:pPr>
              <w:spacing w:after="60"/>
              <w:rPr>
                <w:rFonts w:ascii="Arial" w:hAnsi="Arial" w:cs="Arial"/>
                <w:color w:val="000000"/>
                <w:sz w:val="20"/>
                <w:szCs w:val="20"/>
              </w:rPr>
            </w:pPr>
            <w:r>
              <w:rPr>
                <w:rFonts w:ascii="Arial" w:hAnsi="Arial" w:cs="Arial"/>
                <w:color w:val="000000"/>
                <w:sz w:val="20"/>
                <w:szCs w:val="20"/>
              </w:rPr>
              <w:t>Total blocked and rejected emails containing suspected malicious content</w:t>
            </w:r>
            <w:r w:rsidRPr="005F7F55">
              <w:rPr>
                <w:rFonts w:ascii="Arial" w:hAnsi="Arial" w:cs="Arial"/>
                <w:color w:val="000000"/>
                <w:sz w:val="20"/>
                <w:szCs w:val="20"/>
                <w:vertAlign w:val="superscript"/>
              </w:rPr>
              <w:t>(</w:t>
            </w:r>
            <w:r>
              <w:rPr>
                <w:rFonts w:ascii="Arial" w:hAnsi="Arial" w:cs="Arial"/>
                <w:color w:val="000000"/>
                <w:sz w:val="20"/>
                <w:szCs w:val="20"/>
                <w:vertAlign w:val="superscript"/>
              </w:rPr>
              <w:t>6</w:t>
            </w:r>
            <w:r w:rsidRPr="005F7F55">
              <w:rPr>
                <w:rFonts w:ascii="Arial" w:hAnsi="Arial" w:cs="Arial"/>
                <w:color w:val="000000"/>
                <w:sz w:val="20"/>
                <w:szCs w:val="20"/>
                <w:vertAlign w:val="superscript"/>
              </w:rPr>
              <w:t>)</w:t>
            </w:r>
          </w:p>
        </w:tc>
        <w:tc>
          <w:tcPr>
            <w:tcW w:w="1350" w:type="dxa"/>
            <w:shd w:val="clear" w:color="auto" w:fill="auto"/>
          </w:tcPr>
          <w:p w14:paraId="120D6289" w14:textId="5D24CECD"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N/A</w:t>
            </w:r>
          </w:p>
        </w:tc>
        <w:tc>
          <w:tcPr>
            <w:tcW w:w="1260" w:type="dxa"/>
            <w:shd w:val="clear" w:color="auto" w:fill="auto"/>
          </w:tcPr>
          <w:p w14:paraId="2689DA58" w14:textId="381EE688" w:rsidR="003941A9" w:rsidRDefault="003941A9" w:rsidP="003941A9">
            <w:pPr>
              <w:spacing w:after="60"/>
              <w:jc w:val="right"/>
              <w:rPr>
                <w:rFonts w:ascii="Arial" w:hAnsi="Arial" w:cs="Arial"/>
                <w:color w:val="000000"/>
                <w:sz w:val="20"/>
                <w:szCs w:val="20"/>
              </w:rPr>
            </w:pPr>
            <w:r>
              <w:rPr>
                <w:rFonts w:ascii="Arial" w:hAnsi="Arial" w:cs="Arial"/>
                <w:color w:val="000000"/>
                <w:sz w:val="20"/>
                <w:szCs w:val="20"/>
              </w:rPr>
              <w:t>9.2 million</w:t>
            </w:r>
          </w:p>
        </w:tc>
        <w:tc>
          <w:tcPr>
            <w:tcW w:w="1260" w:type="dxa"/>
            <w:shd w:val="clear" w:color="auto" w:fill="auto"/>
          </w:tcPr>
          <w:p w14:paraId="118A1AC4" w14:textId="55DBA16E" w:rsidR="003941A9" w:rsidRDefault="003941A9" w:rsidP="003941A9">
            <w:pPr>
              <w:spacing w:after="60"/>
              <w:jc w:val="right"/>
              <w:rPr>
                <w:rFonts w:ascii="Arial" w:hAnsi="Arial" w:cs="Arial"/>
                <w:color w:val="000000"/>
                <w:sz w:val="20"/>
                <w:szCs w:val="20"/>
              </w:rPr>
            </w:pPr>
            <w:r w:rsidRPr="00253FBC">
              <w:rPr>
                <w:rFonts w:ascii="Arial" w:hAnsi="Arial" w:cs="Arial"/>
                <w:sz w:val="20"/>
                <w:szCs w:val="20"/>
              </w:rPr>
              <w:t xml:space="preserve">39 million </w:t>
            </w:r>
          </w:p>
        </w:tc>
        <w:tc>
          <w:tcPr>
            <w:tcW w:w="1260" w:type="dxa"/>
            <w:shd w:val="clear" w:color="auto" w:fill="auto"/>
          </w:tcPr>
          <w:p w14:paraId="7A319EE7" w14:textId="5939CD6C" w:rsidR="003941A9" w:rsidRPr="00253FBC" w:rsidRDefault="003941A9" w:rsidP="003941A9">
            <w:pPr>
              <w:spacing w:after="60"/>
              <w:jc w:val="right"/>
              <w:rPr>
                <w:rFonts w:ascii="Arial" w:hAnsi="Arial" w:cs="Arial"/>
                <w:color w:val="000000"/>
                <w:sz w:val="20"/>
                <w:szCs w:val="20"/>
              </w:rPr>
            </w:pPr>
          </w:p>
        </w:tc>
      </w:tr>
      <w:bookmarkEnd w:id="1"/>
      <w:bookmarkEnd w:id="2"/>
    </w:tbl>
    <w:p w14:paraId="2ADCCF56" w14:textId="77777777" w:rsidR="00CD2889" w:rsidRDefault="00CD2889" w:rsidP="00BE758A">
      <w:pPr>
        <w:widowControl w:val="0"/>
        <w:spacing w:after="60"/>
        <w:rPr>
          <w:rFonts w:ascii="Arial" w:hAnsi="Arial" w:cs="Arial"/>
          <w:i/>
          <w:iCs/>
          <w:color w:val="000000"/>
          <w:sz w:val="18"/>
          <w:szCs w:val="18"/>
        </w:rPr>
      </w:pPr>
    </w:p>
    <w:p w14:paraId="42FA97B6" w14:textId="04401E73" w:rsidR="00141E66" w:rsidRPr="00B94761" w:rsidRDefault="00141E66" w:rsidP="00BE758A">
      <w:pPr>
        <w:widowControl w:val="0"/>
        <w:spacing w:after="60"/>
        <w:rPr>
          <w:rFonts w:ascii="Arial" w:hAnsi="Arial" w:cs="Arial"/>
          <w:i/>
          <w:iCs/>
          <w:color w:val="000000"/>
          <w:sz w:val="18"/>
          <w:szCs w:val="18"/>
        </w:rPr>
      </w:pPr>
      <w:bookmarkStart w:id="3" w:name="_Hlk143765830"/>
      <w:r w:rsidRPr="00B94761">
        <w:rPr>
          <w:rFonts w:ascii="Arial" w:hAnsi="Arial" w:cs="Arial"/>
          <w:i/>
          <w:iCs/>
          <w:color w:val="000000"/>
          <w:sz w:val="18"/>
          <w:szCs w:val="18"/>
        </w:rPr>
        <w:t>Key Services Explanatory Note:</w:t>
      </w:r>
    </w:p>
    <w:p w14:paraId="0EB2C815" w14:textId="77777777" w:rsidR="00B94761" w:rsidRPr="00B94761" w:rsidRDefault="00B94761" w:rsidP="00BE758A">
      <w:pPr>
        <w:pStyle w:val="ListParagraph"/>
        <w:widowControl w:val="0"/>
        <w:numPr>
          <w:ilvl w:val="0"/>
          <w:numId w:val="23"/>
        </w:numPr>
        <w:jc w:val="both"/>
        <w:rPr>
          <w:rFonts w:ascii="Arial" w:hAnsi="Arial" w:cs="Arial"/>
          <w:bCs/>
          <w:sz w:val="18"/>
          <w:szCs w:val="18"/>
        </w:rPr>
      </w:pPr>
      <w:bookmarkStart w:id="4" w:name="_Hlk143768346"/>
      <w:r w:rsidRPr="00B94761">
        <w:rPr>
          <w:rFonts w:ascii="Arial" w:hAnsi="Arial" w:cs="Arial"/>
          <w:bCs/>
          <w:sz w:val="18"/>
          <w:szCs w:val="18"/>
        </w:rPr>
        <w:t>Service tickets include total incidents, service requests, and tasks.</w:t>
      </w:r>
    </w:p>
    <w:p w14:paraId="73216177" w14:textId="6C393270" w:rsidR="00141E66" w:rsidRPr="00B94761" w:rsidRDefault="000E3399" w:rsidP="00BE758A">
      <w:pPr>
        <w:pStyle w:val="ListParagraph"/>
        <w:widowControl w:val="0"/>
        <w:numPr>
          <w:ilvl w:val="0"/>
          <w:numId w:val="23"/>
        </w:numPr>
        <w:jc w:val="both"/>
        <w:rPr>
          <w:rFonts w:ascii="Arial" w:hAnsi="Arial" w:cs="Arial"/>
          <w:bCs/>
          <w:sz w:val="18"/>
          <w:szCs w:val="18"/>
        </w:rPr>
      </w:pPr>
      <w:r>
        <w:rPr>
          <w:rFonts w:ascii="Arial" w:hAnsi="Arial" w:cs="Arial"/>
          <w:bCs/>
          <w:sz w:val="18"/>
          <w:szCs w:val="18"/>
        </w:rPr>
        <w:t>I</w:t>
      </w:r>
      <w:r w:rsidR="00B94761">
        <w:rPr>
          <w:rFonts w:ascii="Arial" w:hAnsi="Arial" w:cs="Arial"/>
          <w:bCs/>
          <w:sz w:val="18"/>
          <w:szCs w:val="18"/>
        </w:rPr>
        <w:t>nclude</w:t>
      </w:r>
      <w:r>
        <w:rPr>
          <w:rFonts w:ascii="Arial" w:hAnsi="Arial" w:cs="Arial"/>
          <w:bCs/>
          <w:sz w:val="18"/>
          <w:szCs w:val="18"/>
        </w:rPr>
        <w:t>s</w:t>
      </w:r>
      <w:r w:rsidR="00B94761">
        <w:rPr>
          <w:rFonts w:ascii="Arial" w:hAnsi="Arial" w:cs="Arial"/>
          <w:bCs/>
          <w:sz w:val="18"/>
          <w:szCs w:val="18"/>
        </w:rPr>
        <w:t xml:space="preserve"> users who bypass the homepage when using search engines directing them to subpages of the main site. </w:t>
      </w:r>
    </w:p>
    <w:p w14:paraId="6DE2952C" w14:textId="54FFC979" w:rsidR="000E3399" w:rsidRDefault="000E3399" w:rsidP="00BE758A">
      <w:pPr>
        <w:pStyle w:val="ListParagraph"/>
        <w:widowControl w:val="0"/>
        <w:numPr>
          <w:ilvl w:val="0"/>
          <w:numId w:val="23"/>
        </w:numPr>
        <w:jc w:val="both"/>
        <w:rPr>
          <w:rFonts w:ascii="Arial" w:hAnsi="Arial" w:cs="Arial"/>
          <w:bCs/>
          <w:sz w:val="18"/>
          <w:szCs w:val="18"/>
        </w:rPr>
      </w:pPr>
      <w:r>
        <w:rPr>
          <w:rFonts w:ascii="Arial" w:hAnsi="Arial" w:cs="Arial"/>
          <w:bCs/>
          <w:sz w:val="18"/>
          <w:szCs w:val="18"/>
        </w:rPr>
        <w:t>Includes all unique visitors and return visits to the site homepage and subpages.</w:t>
      </w:r>
    </w:p>
    <w:p w14:paraId="33FC321E" w14:textId="5C27C0CA" w:rsidR="005F7F55" w:rsidRDefault="003941A9" w:rsidP="00BE758A">
      <w:pPr>
        <w:pStyle w:val="ListParagraph"/>
        <w:widowControl w:val="0"/>
        <w:numPr>
          <w:ilvl w:val="0"/>
          <w:numId w:val="23"/>
        </w:numPr>
        <w:jc w:val="both"/>
        <w:rPr>
          <w:rFonts w:ascii="Arial" w:hAnsi="Arial" w:cs="Arial"/>
          <w:bCs/>
          <w:sz w:val="18"/>
          <w:szCs w:val="18"/>
        </w:rPr>
      </w:pPr>
      <w:r>
        <w:rPr>
          <w:rFonts w:ascii="Arial" w:hAnsi="Arial" w:cs="Arial"/>
          <w:bCs/>
          <w:sz w:val="18"/>
          <w:szCs w:val="18"/>
        </w:rPr>
        <w:t>FY 2022</w:t>
      </w:r>
      <w:r w:rsidR="005F7F55">
        <w:rPr>
          <w:rFonts w:ascii="Arial" w:hAnsi="Arial" w:cs="Arial"/>
          <w:bCs/>
          <w:sz w:val="18"/>
          <w:szCs w:val="18"/>
        </w:rPr>
        <w:t xml:space="preserve"> was corrected from 18,247 to 14,272 to reflect consistent reporting methods. </w:t>
      </w:r>
    </w:p>
    <w:p w14:paraId="69D08DE3" w14:textId="48529845" w:rsidR="00CD2889" w:rsidRPr="00B94761" w:rsidRDefault="00CD2889" w:rsidP="00CD2889">
      <w:pPr>
        <w:pStyle w:val="ListParagraph"/>
        <w:widowControl w:val="0"/>
        <w:numPr>
          <w:ilvl w:val="0"/>
          <w:numId w:val="23"/>
        </w:numPr>
        <w:jc w:val="both"/>
        <w:rPr>
          <w:rFonts w:ascii="Arial" w:hAnsi="Arial" w:cs="Arial"/>
          <w:bCs/>
          <w:sz w:val="18"/>
          <w:szCs w:val="18"/>
        </w:rPr>
      </w:pPr>
      <w:r>
        <w:rPr>
          <w:rFonts w:ascii="Arial" w:hAnsi="Arial" w:cs="Arial"/>
          <w:bCs/>
          <w:sz w:val="18"/>
          <w:szCs w:val="18"/>
        </w:rPr>
        <w:t xml:space="preserve">Includes inbound, outbound, and internal emails. ITS migrated to a new email filtering product with a different reporting process. This updated key service expands previously reported metrics. </w:t>
      </w:r>
    </w:p>
    <w:p w14:paraId="29A48B75" w14:textId="2DCC9F9B" w:rsidR="005F7F55" w:rsidRDefault="005F7F55" w:rsidP="00BE758A">
      <w:pPr>
        <w:pStyle w:val="ListParagraph"/>
        <w:widowControl w:val="0"/>
        <w:numPr>
          <w:ilvl w:val="0"/>
          <w:numId w:val="23"/>
        </w:numPr>
        <w:jc w:val="both"/>
        <w:rPr>
          <w:rFonts w:ascii="Arial" w:hAnsi="Arial" w:cs="Arial"/>
          <w:bCs/>
          <w:sz w:val="18"/>
          <w:szCs w:val="18"/>
        </w:rPr>
      </w:pPr>
      <w:r>
        <w:rPr>
          <w:rFonts w:ascii="Arial" w:hAnsi="Arial" w:cs="Arial"/>
          <w:bCs/>
          <w:sz w:val="18"/>
          <w:szCs w:val="18"/>
        </w:rPr>
        <w:t xml:space="preserve">ITS migrated to a new email filtering product with a different reporting </w:t>
      </w:r>
      <w:r w:rsidR="00CD2889">
        <w:rPr>
          <w:rFonts w:ascii="Arial" w:hAnsi="Arial" w:cs="Arial"/>
          <w:bCs/>
          <w:sz w:val="18"/>
          <w:szCs w:val="18"/>
        </w:rPr>
        <w:t>process</w:t>
      </w:r>
      <w:r>
        <w:rPr>
          <w:rFonts w:ascii="Arial" w:hAnsi="Arial" w:cs="Arial"/>
          <w:bCs/>
          <w:sz w:val="18"/>
          <w:szCs w:val="18"/>
        </w:rPr>
        <w:t xml:space="preserve">. This </w:t>
      </w:r>
      <w:r w:rsidR="00CD2889">
        <w:rPr>
          <w:rFonts w:ascii="Arial" w:hAnsi="Arial" w:cs="Arial"/>
          <w:bCs/>
          <w:sz w:val="18"/>
          <w:szCs w:val="18"/>
        </w:rPr>
        <w:t xml:space="preserve">new </w:t>
      </w:r>
      <w:r>
        <w:rPr>
          <w:rFonts w:ascii="Arial" w:hAnsi="Arial" w:cs="Arial"/>
          <w:bCs/>
          <w:sz w:val="18"/>
          <w:szCs w:val="18"/>
        </w:rPr>
        <w:t xml:space="preserve">key service combines two </w:t>
      </w:r>
      <w:r w:rsidR="00CD2889">
        <w:rPr>
          <w:rFonts w:ascii="Arial" w:hAnsi="Arial" w:cs="Arial"/>
          <w:bCs/>
          <w:sz w:val="18"/>
          <w:szCs w:val="18"/>
        </w:rPr>
        <w:t xml:space="preserve">separate </w:t>
      </w:r>
      <w:r>
        <w:rPr>
          <w:rFonts w:ascii="Arial" w:hAnsi="Arial" w:cs="Arial"/>
          <w:bCs/>
          <w:sz w:val="18"/>
          <w:szCs w:val="18"/>
        </w:rPr>
        <w:t>key services</w:t>
      </w:r>
      <w:r w:rsidR="00CD2889" w:rsidRPr="00CD2889">
        <w:rPr>
          <w:rFonts w:ascii="Arial" w:hAnsi="Arial" w:cs="Arial"/>
          <w:bCs/>
          <w:sz w:val="18"/>
          <w:szCs w:val="18"/>
        </w:rPr>
        <w:t xml:space="preserve"> </w:t>
      </w:r>
      <w:r w:rsidR="00CD2889">
        <w:rPr>
          <w:rFonts w:ascii="Arial" w:hAnsi="Arial" w:cs="Arial"/>
          <w:bCs/>
          <w:sz w:val="18"/>
          <w:szCs w:val="18"/>
        </w:rPr>
        <w:t>previously reported</w:t>
      </w:r>
      <w:r>
        <w:rPr>
          <w:rFonts w:ascii="Arial" w:hAnsi="Arial" w:cs="Arial"/>
          <w:bCs/>
          <w:sz w:val="18"/>
          <w:szCs w:val="18"/>
        </w:rPr>
        <w:t xml:space="preserve">. </w:t>
      </w:r>
    </w:p>
    <w:p w14:paraId="5224E3D4" w14:textId="77777777" w:rsidR="00EA320B" w:rsidRDefault="00EA320B" w:rsidP="00EA320B">
      <w:pPr>
        <w:pStyle w:val="ListParagraph"/>
        <w:widowControl w:val="0"/>
        <w:ind w:left="360"/>
        <w:jc w:val="both"/>
        <w:rPr>
          <w:rFonts w:ascii="Arial" w:hAnsi="Arial" w:cs="Arial"/>
          <w:bCs/>
          <w:sz w:val="18"/>
          <w:szCs w:val="18"/>
        </w:rPr>
      </w:pPr>
    </w:p>
    <w:p w14:paraId="22C68F64" w14:textId="28BFC910" w:rsidR="00AA2122" w:rsidRPr="00DB11F7" w:rsidRDefault="00AA2122" w:rsidP="00EA320B">
      <w:pPr>
        <w:pStyle w:val="ListParagraph"/>
        <w:widowControl w:val="0"/>
        <w:numPr>
          <w:ilvl w:val="0"/>
          <w:numId w:val="30"/>
        </w:numPr>
        <w:jc w:val="both"/>
        <w:rPr>
          <w:rFonts w:ascii="Arial" w:hAnsi="Arial" w:cs="Arial"/>
          <w:bCs/>
          <w:i/>
          <w:iCs/>
          <w:sz w:val="18"/>
          <w:szCs w:val="18"/>
        </w:rPr>
      </w:pPr>
      <w:r w:rsidRPr="00AA2122">
        <w:rPr>
          <w:rFonts w:ascii="Arial" w:hAnsi="Arial" w:cs="Arial"/>
          <w:bCs/>
          <w:sz w:val="18"/>
          <w:szCs w:val="18"/>
        </w:rPr>
        <w:t xml:space="preserve"># Supported Customers is based on Agency FY23 FTE's. Includes ITD </w:t>
      </w:r>
      <w:r w:rsidRPr="00DB11F7">
        <w:rPr>
          <w:rFonts w:ascii="Arial" w:hAnsi="Arial" w:cs="Arial"/>
          <w:bCs/>
          <w:i/>
          <w:iCs/>
          <w:sz w:val="18"/>
          <w:szCs w:val="18"/>
        </w:rPr>
        <w:t>(1</w:t>
      </w:r>
      <w:r w:rsidR="004D2AAC" w:rsidRPr="00DB11F7">
        <w:rPr>
          <w:rFonts w:ascii="Arial" w:hAnsi="Arial" w:cs="Arial"/>
          <w:bCs/>
          <w:i/>
          <w:iCs/>
          <w:sz w:val="18"/>
          <w:szCs w:val="18"/>
        </w:rPr>
        <w:t>648 FTE/300 Contractors, and 500 County DMV users</w:t>
      </w:r>
      <w:r w:rsidRPr="00DB11F7">
        <w:rPr>
          <w:rFonts w:ascii="Arial" w:hAnsi="Arial" w:cs="Arial"/>
          <w:bCs/>
          <w:i/>
          <w:iCs/>
          <w:sz w:val="18"/>
          <w:szCs w:val="18"/>
        </w:rPr>
        <w:t>)</w:t>
      </w:r>
      <w:r w:rsidRPr="00AA2122">
        <w:rPr>
          <w:rFonts w:ascii="Arial" w:hAnsi="Arial" w:cs="Arial"/>
          <w:bCs/>
          <w:sz w:val="18"/>
          <w:szCs w:val="18"/>
        </w:rPr>
        <w:t xml:space="preserve"> </w:t>
      </w:r>
      <w:r w:rsidR="00DB11F7">
        <w:rPr>
          <w:rFonts w:ascii="Arial" w:hAnsi="Arial" w:cs="Arial"/>
          <w:bCs/>
          <w:sz w:val="18"/>
          <w:szCs w:val="18"/>
        </w:rPr>
        <w:t xml:space="preserve">plus </w:t>
      </w:r>
      <w:r w:rsidRPr="00AA2122">
        <w:rPr>
          <w:rFonts w:ascii="Arial" w:hAnsi="Arial" w:cs="Arial"/>
          <w:bCs/>
          <w:sz w:val="18"/>
          <w:szCs w:val="18"/>
        </w:rPr>
        <w:t xml:space="preserve">IDOC's </w:t>
      </w:r>
      <w:r w:rsidR="004D2AAC" w:rsidRPr="00DB11F7">
        <w:rPr>
          <w:rFonts w:ascii="Arial" w:hAnsi="Arial" w:cs="Arial"/>
          <w:bCs/>
          <w:i/>
          <w:iCs/>
          <w:sz w:val="18"/>
          <w:szCs w:val="18"/>
        </w:rPr>
        <w:t>(</w:t>
      </w:r>
      <w:r w:rsidRPr="00DB11F7">
        <w:rPr>
          <w:rFonts w:ascii="Arial" w:hAnsi="Arial" w:cs="Arial"/>
          <w:bCs/>
          <w:i/>
          <w:iCs/>
          <w:sz w:val="18"/>
          <w:szCs w:val="18"/>
        </w:rPr>
        <w:t>400 Contractors</w:t>
      </w:r>
      <w:r w:rsidR="004D2AAC" w:rsidRPr="00DB11F7">
        <w:rPr>
          <w:rFonts w:ascii="Arial" w:hAnsi="Arial" w:cs="Arial"/>
          <w:bCs/>
          <w:i/>
          <w:iCs/>
          <w:sz w:val="18"/>
          <w:szCs w:val="18"/>
        </w:rPr>
        <w:t>)</w:t>
      </w:r>
      <w:r w:rsidR="00DB11F7" w:rsidRPr="00DB11F7">
        <w:rPr>
          <w:rFonts w:ascii="Arial" w:hAnsi="Arial" w:cs="Arial"/>
          <w:bCs/>
          <w:sz w:val="18"/>
          <w:szCs w:val="18"/>
        </w:rPr>
        <w:t>.</w:t>
      </w:r>
    </w:p>
    <w:p w14:paraId="62D63874" w14:textId="28DF8A3A" w:rsidR="00EA320B" w:rsidRDefault="00EA320B" w:rsidP="00EA320B">
      <w:pPr>
        <w:pStyle w:val="ListParagraph"/>
        <w:widowControl w:val="0"/>
        <w:numPr>
          <w:ilvl w:val="0"/>
          <w:numId w:val="30"/>
        </w:numPr>
        <w:jc w:val="both"/>
        <w:rPr>
          <w:rFonts w:ascii="Arial" w:hAnsi="Arial" w:cs="Arial"/>
          <w:bCs/>
          <w:sz w:val="18"/>
          <w:szCs w:val="18"/>
        </w:rPr>
      </w:pPr>
      <w:r w:rsidRPr="00EA320B">
        <w:rPr>
          <w:rFonts w:ascii="Arial" w:hAnsi="Arial" w:cs="Arial"/>
          <w:bCs/>
          <w:sz w:val="18"/>
          <w:szCs w:val="18"/>
        </w:rPr>
        <w:t>The total number of 907,921 includes users who bypass the homepage reaching a subpage directly through a search engine.</w:t>
      </w:r>
    </w:p>
    <w:p w14:paraId="30B31C58" w14:textId="77777777" w:rsidR="00AA2122" w:rsidRDefault="00EA320B" w:rsidP="00AA2122">
      <w:pPr>
        <w:pStyle w:val="ListParagraph"/>
        <w:widowControl w:val="0"/>
        <w:numPr>
          <w:ilvl w:val="0"/>
          <w:numId w:val="30"/>
        </w:numPr>
        <w:jc w:val="both"/>
        <w:rPr>
          <w:rFonts w:ascii="Arial" w:hAnsi="Arial" w:cs="Arial"/>
          <w:bCs/>
          <w:sz w:val="18"/>
          <w:szCs w:val="18"/>
        </w:rPr>
      </w:pPr>
      <w:r w:rsidRPr="00EA320B">
        <w:rPr>
          <w:rFonts w:ascii="Arial" w:hAnsi="Arial" w:cs="Arial"/>
          <w:bCs/>
          <w:sz w:val="18"/>
          <w:szCs w:val="18"/>
        </w:rPr>
        <w:t>Google no longer has a clear metric for "visits".</w:t>
      </w:r>
      <w:r>
        <w:rPr>
          <w:rFonts w:ascii="Arial" w:hAnsi="Arial" w:cs="Arial"/>
          <w:bCs/>
          <w:sz w:val="18"/>
          <w:szCs w:val="18"/>
        </w:rPr>
        <w:t xml:space="preserve">  </w:t>
      </w:r>
      <w:r w:rsidRPr="00EA320B">
        <w:rPr>
          <w:rFonts w:ascii="Arial" w:hAnsi="Arial" w:cs="Arial"/>
          <w:bCs/>
          <w:sz w:val="18"/>
          <w:szCs w:val="18"/>
        </w:rPr>
        <w:t xml:space="preserve"> As browser experiences evolve, Google Analytics has changed their measurements and terms, so the definitions of "Visitors" and "Visits" are blurring.</w:t>
      </w:r>
      <w:r>
        <w:rPr>
          <w:rFonts w:ascii="Arial" w:hAnsi="Arial" w:cs="Arial"/>
          <w:bCs/>
          <w:sz w:val="18"/>
          <w:szCs w:val="18"/>
        </w:rPr>
        <w:t xml:space="preserve">  </w:t>
      </w:r>
    </w:p>
    <w:p w14:paraId="2E32AD23" w14:textId="6507168B" w:rsidR="00AA2122" w:rsidRDefault="00AA2122" w:rsidP="00AA2122">
      <w:pPr>
        <w:pStyle w:val="ListParagraph"/>
        <w:widowControl w:val="0"/>
        <w:numPr>
          <w:ilvl w:val="0"/>
          <w:numId w:val="30"/>
        </w:numPr>
        <w:jc w:val="both"/>
        <w:rPr>
          <w:rFonts w:ascii="Arial" w:hAnsi="Arial" w:cs="Arial"/>
          <w:bCs/>
          <w:sz w:val="18"/>
          <w:szCs w:val="18"/>
        </w:rPr>
      </w:pPr>
      <w:r>
        <w:rPr>
          <w:rFonts w:ascii="Arial" w:hAnsi="Arial" w:cs="Arial"/>
          <w:bCs/>
          <w:sz w:val="18"/>
          <w:szCs w:val="18"/>
        </w:rPr>
        <w:t xml:space="preserve">95.4% of 19,298 employees have completed 2023 Annual Training as of 8/25/2023. </w:t>
      </w:r>
    </w:p>
    <w:bookmarkEnd w:id="3"/>
    <w:bookmarkEnd w:id="4"/>
    <w:p w14:paraId="1CA47965" w14:textId="77777777" w:rsidR="00C54749" w:rsidRDefault="00C54749" w:rsidP="00C54749">
      <w:pPr>
        <w:widowControl w:val="0"/>
        <w:jc w:val="both"/>
        <w:rPr>
          <w:rFonts w:ascii="Arial" w:hAnsi="Arial" w:cs="Arial"/>
          <w:bCs/>
          <w:sz w:val="18"/>
          <w:szCs w:val="18"/>
        </w:rPr>
      </w:pPr>
    </w:p>
    <w:p w14:paraId="5FB82295" w14:textId="77777777" w:rsidR="00C54749" w:rsidRPr="00C54749" w:rsidRDefault="00C54749" w:rsidP="00C54749">
      <w:pPr>
        <w:widowControl w:val="0"/>
        <w:jc w:val="both"/>
        <w:rPr>
          <w:rFonts w:ascii="Arial" w:hAnsi="Arial" w:cs="Arial"/>
          <w:bCs/>
          <w:sz w:val="18"/>
          <w:szCs w:val="18"/>
        </w:rPr>
      </w:pPr>
    </w:p>
    <w:p w14:paraId="4B151EFA" w14:textId="31C0F85B" w:rsidR="005E4B8A" w:rsidRPr="00AA2122" w:rsidRDefault="003941A9" w:rsidP="00AA2122">
      <w:pPr>
        <w:widowControl w:val="0"/>
        <w:jc w:val="both"/>
        <w:rPr>
          <w:rFonts w:ascii="Arial" w:hAnsi="Arial" w:cs="Arial"/>
          <w:bCs/>
          <w:sz w:val="18"/>
          <w:szCs w:val="18"/>
        </w:rPr>
      </w:pPr>
      <w:r>
        <w:rPr>
          <w:rFonts w:ascii="Arial" w:hAnsi="Arial" w:cs="Arial"/>
          <w:b/>
          <w:bCs/>
        </w:rPr>
        <w:lastRenderedPageBreak/>
        <w:t>FY 2024</w:t>
      </w:r>
      <w:r w:rsidR="005E4B8A" w:rsidRPr="00AA2122">
        <w:rPr>
          <w:rFonts w:ascii="Arial" w:hAnsi="Arial" w:cs="Arial"/>
          <w:b/>
          <w:bCs/>
        </w:rPr>
        <w:t xml:space="preserve"> Performance Highlights</w:t>
      </w:r>
    </w:p>
    <w:p w14:paraId="2A7B96EB" w14:textId="77777777" w:rsidR="00C54749" w:rsidRDefault="00C54749" w:rsidP="00BE758A">
      <w:pPr>
        <w:widowControl w:val="0"/>
        <w:rPr>
          <w:rFonts w:ascii="Arial" w:hAnsi="Arial" w:cs="Arial"/>
          <w:sz w:val="20"/>
          <w:szCs w:val="20"/>
        </w:rPr>
      </w:pPr>
    </w:p>
    <w:p w14:paraId="0370D618" w14:textId="2EF96704" w:rsidR="005E4B8A" w:rsidRDefault="00FB67A8" w:rsidP="00BE758A">
      <w:pPr>
        <w:widowControl w:val="0"/>
        <w:rPr>
          <w:rFonts w:ascii="Arial" w:hAnsi="Arial" w:cs="Arial"/>
          <w:sz w:val="20"/>
          <w:szCs w:val="20"/>
        </w:rPr>
      </w:pPr>
      <w:r>
        <w:rPr>
          <w:rFonts w:ascii="Arial" w:hAnsi="Arial" w:cs="Arial"/>
          <w:sz w:val="20"/>
          <w:szCs w:val="20"/>
        </w:rPr>
        <w:t xml:space="preserve">Highlight of activity during </w:t>
      </w:r>
      <w:r w:rsidR="003941A9">
        <w:rPr>
          <w:rFonts w:ascii="Arial" w:hAnsi="Arial" w:cs="Arial"/>
          <w:sz w:val="20"/>
          <w:szCs w:val="20"/>
        </w:rPr>
        <w:t>FY 2023</w:t>
      </w:r>
      <w:r>
        <w:rPr>
          <w:rFonts w:ascii="Arial" w:hAnsi="Arial" w:cs="Arial"/>
          <w:sz w:val="20"/>
          <w:szCs w:val="20"/>
        </w:rPr>
        <w:t>.</w:t>
      </w:r>
    </w:p>
    <w:p w14:paraId="7CA5CE11" w14:textId="7FDF6F30" w:rsidR="00FC1CD4" w:rsidRDefault="00FC1CD4" w:rsidP="00BE758A">
      <w:pPr>
        <w:widowControl w:val="0"/>
        <w:rPr>
          <w:rFonts w:ascii="Arial" w:hAnsi="Arial" w:cs="Arial"/>
          <w:sz w:val="20"/>
          <w:szCs w:val="20"/>
        </w:rPr>
      </w:pPr>
    </w:p>
    <w:p w14:paraId="10CDF070" w14:textId="12D38766" w:rsidR="00C94073" w:rsidRDefault="00FC1CD4" w:rsidP="00BE758A">
      <w:pPr>
        <w:widowControl w:val="0"/>
        <w:rPr>
          <w:rFonts w:ascii="Arial" w:hAnsi="Arial" w:cs="Arial"/>
          <w:sz w:val="20"/>
          <w:szCs w:val="20"/>
        </w:rPr>
      </w:pPr>
      <w:r>
        <w:rPr>
          <w:rFonts w:ascii="Arial" w:hAnsi="Arial" w:cs="Arial"/>
          <w:sz w:val="20"/>
          <w:szCs w:val="20"/>
        </w:rPr>
        <w:t>Security:</w:t>
      </w:r>
    </w:p>
    <w:p w14:paraId="3CE1DC82" w14:textId="792211B7" w:rsidR="003E1FED" w:rsidRPr="003E1FED" w:rsidRDefault="003E1FED" w:rsidP="003E1FED">
      <w:pPr>
        <w:pStyle w:val="ListParagraph"/>
        <w:widowControl w:val="0"/>
        <w:numPr>
          <w:ilvl w:val="0"/>
          <w:numId w:val="26"/>
        </w:numPr>
        <w:rPr>
          <w:rFonts w:ascii="Arial" w:hAnsi="Arial" w:cs="Arial"/>
          <w:sz w:val="20"/>
          <w:szCs w:val="20"/>
        </w:rPr>
      </w:pPr>
      <w:r>
        <w:rPr>
          <w:rFonts w:ascii="Arial" w:hAnsi="Arial" w:cs="Arial"/>
          <w:sz w:val="20"/>
          <w:szCs w:val="20"/>
        </w:rPr>
        <w:t xml:space="preserve">Added Threat Detection team to our Cyber Security Arsenal </w:t>
      </w:r>
      <w:r w:rsidR="00C54749">
        <w:rPr>
          <w:rFonts w:ascii="Arial" w:hAnsi="Arial" w:cs="Arial"/>
          <w:sz w:val="20"/>
          <w:szCs w:val="20"/>
        </w:rPr>
        <w:t>to</w:t>
      </w:r>
      <w:r>
        <w:rPr>
          <w:rFonts w:ascii="Arial" w:hAnsi="Arial" w:cs="Arial"/>
          <w:sz w:val="20"/>
          <w:szCs w:val="20"/>
        </w:rPr>
        <w:t xml:space="preserve"> maintain pace with increasing security </w:t>
      </w:r>
      <w:proofErr w:type="gramStart"/>
      <w:r>
        <w:rPr>
          <w:rFonts w:ascii="Arial" w:hAnsi="Arial" w:cs="Arial"/>
          <w:sz w:val="20"/>
          <w:szCs w:val="20"/>
        </w:rPr>
        <w:t>threats</w:t>
      </w:r>
      <w:proofErr w:type="gramEnd"/>
    </w:p>
    <w:p w14:paraId="6BCD477D" w14:textId="326E116E" w:rsidR="00EA320B" w:rsidRDefault="00EA320B" w:rsidP="00C94073">
      <w:pPr>
        <w:pStyle w:val="ListParagraph"/>
        <w:widowControl w:val="0"/>
        <w:numPr>
          <w:ilvl w:val="0"/>
          <w:numId w:val="26"/>
        </w:numPr>
        <w:rPr>
          <w:rFonts w:ascii="Arial" w:hAnsi="Arial" w:cs="Arial"/>
          <w:sz w:val="20"/>
          <w:szCs w:val="20"/>
        </w:rPr>
      </w:pPr>
      <w:r>
        <w:rPr>
          <w:rFonts w:ascii="Arial" w:hAnsi="Arial" w:cs="Arial"/>
          <w:sz w:val="20"/>
          <w:szCs w:val="20"/>
        </w:rPr>
        <w:t xml:space="preserve">Conducted </w:t>
      </w:r>
      <w:r w:rsidR="003E1FED">
        <w:rPr>
          <w:rFonts w:ascii="Arial" w:hAnsi="Arial" w:cs="Arial"/>
          <w:sz w:val="20"/>
          <w:szCs w:val="20"/>
        </w:rPr>
        <w:t>annual</w:t>
      </w:r>
      <w:r>
        <w:rPr>
          <w:rFonts w:ascii="Arial" w:hAnsi="Arial" w:cs="Arial"/>
          <w:sz w:val="20"/>
          <w:szCs w:val="20"/>
        </w:rPr>
        <w:t xml:space="preserve"> Penetration test with Idaho National Guard</w:t>
      </w:r>
    </w:p>
    <w:p w14:paraId="16413D2D" w14:textId="60AFE60E" w:rsidR="00C94073" w:rsidRDefault="00EA320B" w:rsidP="00C94073">
      <w:pPr>
        <w:pStyle w:val="ListParagraph"/>
        <w:widowControl w:val="0"/>
        <w:numPr>
          <w:ilvl w:val="0"/>
          <w:numId w:val="26"/>
        </w:numPr>
        <w:rPr>
          <w:rFonts w:ascii="Arial" w:hAnsi="Arial" w:cs="Arial"/>
          <w:sz w:val="20"/>
          <w:szCs w:val="20"/>
        </w:rPr>
      </w:pPr>
      <w:r>
        <w:rPr>
          <w:rFonts w:ascii="Arial" w:hAnsi="Arial" w:cs="Arial"/>
          <w:sz w:val="20"/>
          <w:szCs w:val="20"/>
        </w:rPr>
        <w:t xml:space="preserve">Conducted Cyber Training and </w:t>
      </w:r>
      <w:r w:rsidR="003E1FED">
        <w:rPr>
          <w:rFonts w:ascii="Arial" w:hAnsi="Arial" w:cs="Arial"/>
          <w:sz w:val="20"/>
          <w:szCs w:val="20"/>
        </w:rPr>
        <w:t>a more t</w:t>
      </w:r>
      <w:r>
        <w:rPr>
          <w:rFonts w:ascii="Arial" w:hAnsi="Arial" w:cs="Arial"/>
          <w:sz w:val="20"/>
          <w:szCs w:val="20"/>
        </w:rPr>
        <w:t xml:space="preserve">horough Penetration test with multiple state’s National Guards and conducted briefings with </w:t>
      </w:r>
      <w:r w:rsidR="003E1FED">
        <w:rPr>
          <w:rFonts w:ascii="Arial" w:hAnsi="Arial" w:cs="Arial"/>
          <w:sz w:val="20"/>
          <w:szCs w:val="20"/>
        </w:rPr>
        <w:t xml:space="preserve">Idaho’s </w:t>
      </w:r>
      <w:r>
        <w:rPr>
          <w:rFonts w:ascii="Arial" w:hAnsi="Arial" w:cs="Arial"/>
          <w:sz w:val="20"/>
          <w:szCs w:val="20"/>
        </w:rPr>
        <w:t xml:space="preserve">General </w:t>
      </w:r>
      <w:proofErr w:type="spellStart"/>
      <w:r w:rsidR="003E1FED" w:rsidRPr="003E1FED">
        <w:rPr>
          <w:rFonts w:ascii="Arial" w:hAnsi="Arial" w:cs="Arial"/>
          <w:sz w:val="20"/>
          <w:szCs w:val="20"/>
        </w:rPr>
        <w:t>Garshak</w:t>
      </w:r>
      <w:proofErr w:type="spellEnd"/>
      <w:r w:rsidR="003E1FED">
        <w:rPr>
          <w:rFonts w:ascii="Arial" w:hAnsi="Arial" w:cs="Arial"/>
          <w:sz w:val="20"/>
          <w:szCs w:val="20"/>
        </w:rPr>
        <w:t xml:space="preserve">, other Generals and </w:t>
      </w:r>
      <w:proofErr w:type="gramStart"/>
      <w:r w:rsidR="003E1FED">
        <w:rPr>
          <w:rFonts w:ascii="Arial" w:hAnsi="Arial" w:cs="Arial"/>
          <w:sz w:val="20"/>
          <w:szCs w:val="20"/>
        </w:rPr>
        <w:t>guards</w:t>
      </w:r>
      <w:proofErr w:type="gramEnd"/>
    </w:p>
    <w:p w14:paraId="554124C0" w14:textId="0A3FC115" w:rsidR="00C94073" w:rsidRDefault="00C94073" w:rsidP="00C94073">
      <w:pPr>
        <w:pStyle w:val="ListParagraph"/>
        <w:widowControl w:val="0"/>
        <w:numPr>
          <w:ilvl w:val="0"/>
          <w:numId w:val="26"/>
        </w:numPr>
        <w:rPr>
          <w:rFonts w:ascii="Arial" w:hAnsi="Arial" w:cs="Arial"/>
          <w:sz w:val="20"/>
          <w:szCs w:val="20"/>
        </w:rPr>
      </w:pPr>
      <w:r>
        <w:rPr>
          <w:rFonts w:ascii="Arial" w:hAnsi="Arial" w:cs="Arial"/>
          <w:sz w:val="20"/>
          <w:szCs w:val="20"/>
        </w:rPr>
        <w:t>Conducted interagency cybersecurity tabletop exercises</w:t>
      </w:r>
      <w:r w:rsidR="00627778">
        <w:rPr>
          <w:rFonts w:ascii="Arial" w:hAnsi="Arial" w:cs="Arial"/>
          <w:sz w:val="20"/>
          <w:szCs w:val="20"/>
        </w:rPr>
        <w:t xml:space="preserve">, </w:t>
      </w:r>
      <w:r w:rsidR="0079666B">
        <w:rPr>
          <w:rFonts w:ascii="Arial" w:hAnsi="Arial" w:cs="Arial"/>
          <w:sz w:val="20"/>
          <w:szCs w:val="20"/>
        </w:rPr>
        <w:t>improv</w:t>
      </w:r>
      <w:r w:rsidR="00627778">
        <w:rPr>
          <w:rFonts w:ascii="Arial" w:hAnsi="Arial" w:cs="Arial"/>
          <w:sz w:val="20"/>
          <w:szCs w:val="20"/>
        </w:rPr>
        <w:t>ing our</w:t>
      </w:r>
      <w:r w:rsidR="0079666B">
        <w:rPr>
          <w:rFonts w:ascii="Arial" w:hAnsi="Arial" w:cs="Arial"/>
          <w:sz w:val="20"/>
          <w:szCs w:val="20"/>
        </w:rPr>
        <w:t xml:space="preserve"> team’s preparedness and coordination skills by deliberating on various simulated emergencies or rapid response </w:t>
      </w:r>
      <w:proofErr w:type="gramStart"/>
      <w:r w:rsidR="0079666B">
        <w:rPr>
          <w:rFonts w:ascii="Arial" w:hAnsi="Arial" w:cs="Arial"/>
          <w:sz w:val="20"/>
          <w:szCs w:val="20"/>
        </w:rPr>
        <w:t>situations</w:t>
      </w:r>
      <w:proofErr w:type="gramEnd"/>
    </w:p>
    <w:p w14:paraId="333B3C92" w14:textId="0B235E7B" w:rsidR="00FC1CD4" w:rsidRDefault="003E1FED" w:rsidP="003E1FED">
      <w:pPr>
        <w:pStyle w:val="ListParagraph"/>
        <w:widowControl w:val="0"/>
        <w:numPr>
          <w:ilvl w:val="0"/>
          <w:numId w:val="26"/>
        </w:numPr>
        <w:rPr>
          <w:rFonts w:ascii="Arial" w:hAnsi="Arial" w:cs="Arial"/>
          <w:sz w:val="20"/>
          <w:szCs w:val="20"/>
        </w:rPr>
      </w:pPr>
      <w:r>
        <w:rPr>
          <w:rFonts w:ascii="Arial" w:hAnsi="Arial" w:cs="Arial"/>
          <w:sz w:val="20"/>
          <w:szCs w:val="20"/>
        </w:rPr>
        <w:t xml:space="preserve">Blocked access to Tik Tok on state network and devices to reduce risk of our citizen data and </w:t>
      </w:r>
      <w:proofErr w:type="gramStart"/>
      <w:r>
        <w:rPr>
          <w:rFonts w:ascii="Arial" w:hAnsi="Arial" w:cs="Arial"/>
          <w:sz w:val="20"/>
          <w:szCs w:val="20"/>
        </w:rPr>
        <w:t>systems</w:t>
      </w:r>
      <w:proofErr w:type="gramEnd"/>
    </w:p>
    <w:p w14:paraId="3C95A5AB" w14:textId="656F08AB" w:rsidR="00FC1CD4" w:rsidRDefault="00FC1CD4" w:rsidP="00C94073">
      <w:pPr>
        <w:pStyle w:val="ListParagraph"/>
        <w:widowControl w:val="0"/>
        <w:numPr>
          <w:ilvl w:val="0"/>
          <w:numId w:val="26"/>
        </w:numPr>
        <w:rPr>
          <w:rFonts w:ascii="Arial" w:hAnsi="Arial" w:cs="Arial"/>
          <w:sz w:val="20"/>
          <w:szCs w:val="20"/>
        </w:rPr>
      </w:pPr>
      <w:r>
        <w:rPr>
          <w:rFonts w:ascii="Arial" w:hAnsi="Arial" w:cs="Arial"/>
          <w:sz w:val="20"/>
          <w:szCs w:val="20"/>
        </w:rPr>
        <w:t xml:space="preserve">Created a cybersecurity mentorship program to help new cyber warriors in their </w:t>
      </w:r>
      <w:proofErr w:type="gramStart"/>
      <w:r>
        <w:rPr>
          <w:rFonts w:ascii="Arial" w:hAnsi="Arial" w:cs="Arial"/>
          <w:sz w:val="20"/>
          <w:szCs w:val="20"/>
        </w:rPr>
        <w:t>roles</w:t>
      </w:r>
      <w:proofErr w:type="gramEnd"/>
    </w:p>
    <w:p w14:paraId="1A02D174" w14:textId="48A62D72" w:rsidR="003E1FED" w:rsidRDefault="003E1FED" w:rsidP="003E1FED">
      <w:pPr>
        <w:pStyle w:val="ListParagraph"/>
        <w:widowControl w:val="0"/>
        <w:numPr>
          <w:ilvl w:val="0"/>
          <w:numId w:val="26"/>
        </w:numPr>
        <w:rPr>
          <w:rFonts w:ascii="Arial" w:hAnsi="Arial" w:cs="Arial"/>
          <w:sz w:val="20"/>
          <w:szCs w:val="20"/>
        </w:rPr>
      </w:pPr>
      <w:r>
        <w:rPr>
          <w:rFonts w:ascii="Arial" w:hAnsi="Arial" w:cs="Arial"/>
          <w:sz w:val="20"/>
          <w:szCs w:val="20"/>
        </w:rPr>
        <w:t>Revised and Published our Cybersecurity Policy Manual for ITS</w:t>
      </w:r>
    </w:p>
    <w:p w14:paraId="4FB2D0D8" w14:textId="36AB2822" w:rsidR="003E1FED" w:rsidRPr="00C54749" w:rsidRDefault="00757C86" w:rsidP="00C54749">
      <w:pPr>
        <w:pStyle w:val="ListParagraph"/>
        <w:numPr>
          <w:ilvl w:val="0"/>
          <w:numId w:val="26"/>
        </w:numPr>
        <w:rPr>
          <w:rFonts w:ascii="Arial" w:hAnsi="Arial" w:cs="Arial"/>
          <w:sz w:val="20"/>
          <w:szCs w:val="20"/>
        </w:rPr>
      </w:pPr>
      <w:r w:rsidRPr="00757C86">
        <w:rPr>
          <w:rFonts w:ascii="Arial" w:hAnsi="Arial" w:cs="Arial"/>
          <w:sz w:val="20"/>
          <w:szCs w:val="20"/>
        </w:rPr>
        <w:t xml:space="preserve">Created a streamlined, standardized way of deploying two-factor authentication (via Duo) to agencies in an easily repeatable manner. Duo has been introduced in some manner at most agencies and we expect to have it fully deployed for all agencies by the end of the </w:t>
      </w:r>
      <w:proofErr w:type="gramStart"/>
      <w:r w:rsidRPr="00757C86">
        <w:rPr>
          <w:rFonts w:ascii="Arial" w:hAnsi="Arial" w:cs="Arial"/>
          <w:sz w:val="20"/>
          <w:szCs w:val="20"/>
        </w:rPr>
        <w:t>year</w:t>
      </w:r>
      <w:proofErr w:type="gramEnd"/>
    </w:p>
    <w:p w14:paraId="1475CC32" w14:textId="20C62ECB" w:rsidR="008237D4" w:rsidRDefault="008237D4" w:rsidP="005E4B8A">
      <w:pPr>
        <w:rPr>
          <w:rFonts w:ascii="Arial" w:hAnsi="Arial" w:cs="Arial"/>
          <w:sz w:val="20"/>
          <w:szCs w:val="20"/>
        </w:rPr>
      </w:pPr>
    </w:p>
    <w:p w14:paraId="002EFB3F" w14:textId="57FE0F3F" w:rsidR="00F43B46" w:rsidRDefault="00757C86" w:rsidP="005E4B8A">
      <w:pPr>
        <w:rPr>
          <w:rFonts w:ascii="Arial" w:hAnsi="Arial" w:cs="Arial"/>
          <w:sz w:val="20"/>
          <w:szCs w:val="20"/>
        </w:rPr>
      </w:pPr>
      <w:r>
        <w:rPr>
          <w:rFonts w:ascii="Arial" w:hAnsi="Arial" w:cs="Arial"/>
          <w:sz w:val="20"/>
          <w:szCs w:val="20"/>
        </w:rPr>
        <w:t xml:space="preserve">IT </w:t>
      </w:r>
      <w:r w:rsidR="00F43B46">
        <w:rPr>
          <w:rFonts w:ascii="Arial" w:hAnsi="Arial" w:cs="Arial"/>
          <w:sz w:val="20"/>
          <w:szCs w:val="20"/>
        </w:rPr>
        <w:t>Operations:</w:t>
      </w:r>
    </w:p>
    <w:p w14:paraId="7BD6C068" w14:textId="5F2F80EF" w:rsidR="00757C86" w:rsidRDefault="00757C86" w:rsidP="00162635">
      <w:pPr>
        <w:pStyle w:val="ListParagraph"/>
        <w:numPr>
          <w:ilvl w:val="0"/>
          <w:numId w:val="27"/>
        </w:numPr>
        <w:rPr>
          <w:rFonts w:ascii="Arial" w:hAnsi="Arial" w:cs="Arial"/>
          <w:sz w:val="20"/>
          <w:szCs w:val="20"/>
        </w:rPr>
      </w:pPr>
      <w:r>
        <w:rPr>
          <w:rFonts w:ascii="Arial" w:hAnsi="Arial" w:cs="Arial"/>
          <w:sz w:val="20"/>
          <w:szCs w:val="20"/>
        </w:rPr>
        <w:t xml:space="preserve">Designed and have nearly completed the Data Center consolidation for Idaho’s Department of Transportation avoiding millions of dollars in cost to move them out of their flooded </w:t>
      </w:r>
      <w:proofErr w:type="gramStart"/>
      <w:r>
        <w:rPr>
          <w:rFonts w:ascii="Arial" w:hAnsi="Arial" w:cs="Arial"/>
          <w:sz w:val="20"/>
          <w:szCs w:val="20"/>
        </w:rPr>
        <w:t>building</w:t>
      </w:r>
      <w:proofErr w:type="gramEnd"/>
    </w:p>
    <w:p w14:paraId="2757D8AB" w14:textId="3C722FD5" w:rsidR="00162635" w:rsidRPr="00162635" w:rsidRDefault="00162635" w:rsidP="00162635">
      <w:pPr>
        <w:pStyle w:val="ListParagraph"/>
        <w:numPr>
          <w:ilvl w:val="0"/>
          <w:numId w:val="27"/>
        </w:numPr>
        <w:rPr>
          <w:rFonts w:ascii="Arial" w:hAnsi="Arial" w:cs="Arial"/>
          <w:sz w:val="20"/>
          <w:szCs w:val="20"/>
        </w:rPr>
      </w:pPr>
      <w:r w:rsidRPr="00162635">
        <w:rPr>
          <w:rFonts w:ascii="Arial" w:hAnsi="Arial" w:cs="Arial"/>
          <w:sz w:val="20"/>
          <w:szCs w:val="20"/>
        </w:rPr>
        <w:t>Commissioned the new Veteran’s Home in Post Falls. Included technology for server, storage, networking (wired and wireless). Supporting all Veteran’s home facility operations. Supporting 64 single occupancy rooms</w:t>
      </w:r>
    </w:p>
    <w:p w14:paraId="21DBC1C7" w14:textId="4C4D9606" w:rsidR="00162635" w:rsidRPr="00162635" w:rsidRDefault="00162635" w:rsidP="00162635">
      <w:pPr>
        <w:pStyle w:val="ListParagraph"/>
        <w:numPr>
          <w:ilvl w:val="0"/>
          <w:numId w:val="27"/>
        </w:numPr>
        <w:rPr>
          <w:rFonts w:ascii="Arial" w:hAnsi="Arial" w:cs="Arial"/>
          <w:sz w:val="20"/>
          <w:szCs w:val="20"/>
        </w:rPr>
      </w:pPr>
      <w:r w:rsidRPr="00162635">
        <w:rPr>
          <w:rFonts w:ascii="Arial" w:hAnsi="Arial" w:cs="Arial"/>
          <w:sz w:val="20"/>
          <w:szCs w:val="20"/>
        </w:rPr>
        <w:t xml:space="preserve">DOPL consolidation project. Network Operations built out a new infrastructure on the first floor of building 4 Chinden Campus. Successfully moved impacted agencies out of their respective leased offices around the Treasure Valley into the new building 4 space. Removed network equipment and telecommunications circuits from leased </w:t>
      </w:r>
      <w:proofErr w:type="gramStart"/>
      <w:r w:rsidRPr="00162635">
        <w:rPr>
          <w:rFonts w:ascii="Arial" w:hAnsi="Arial" w:cs="Arial"/>
          <w:sz w:val="20"/>
          <w:szCs w:val="20"/>
        </w:rPr>
        <w:t>offices</w:t>
      </w:r>
      <w:proofErr w:type="gramEnd"/>
    </w:p>
    <w:p w14:paraId="5A0BC64D" w14:textId="578134CD" w:rsidR="00162635" w:rsidRDefault="00162635" w:rsidP="00162635">
      <w:pPr>
        <w:pStyle w:val="ListParagraph"/>
        <w:numPr>
          <w:ilvl w:val="0"/>
          <w:numId w:val="27"/>
        </w:numPr>
        <w:rPr>
          <w:rFonts w:ascii="Arial" w:hAnsi="Arial" w:cs="Arial"/>
          <w:sz w:val="20"/>
          <w:szCs w:val="20"/>
        </w:rPr>
      </w:pPr>
      <w:r w:rsidRPr="00162635">
        <w:rPr>
          <w:rFonts w:ascii="Arial" w:hAnsi="Arial" w:cs="Arial"/>
          <w:sz w:val="20"/>
          <w:szCs w:val="20"/>
        </w:rPr>
        <w:t xml:space="preserve">Finance </w:t>
      </w:r>
      <w:proofErr w:type="gramStart"/>
      <w:r w:rsidRPr="00162635">
        <w:rPr>
          <w:rFonts w:ascii="Arial" w:hAnsi="Arial" w:cs="Arial"/>
          <w:sz w:val="20"/>
          <w:szCs w:val="20"/>
        </w:rPr>
        <w:t>move</w:t>
      </w:r>
      <w:proofErr w:type="gramEnd"/>
      <w:r w:rsidRPr="00162635">
        <w:rPr>
          <w:rFonts w:ascii="Arial" w:hAnsi="Arial" w:cs="Arial"/>
          <w:sz w:val="20"/>
          <w:szCs w:val="20"/>
        </w:rPr>
        <w:t xml:space="preserve"> to Chinden Campus building 4 third floor. Network Operations built out a new infrastructure on the third floor of building 4 for finance and successfully coordinated the move from their downtown Boise location.  Removed network equipment and telecommunications circuits from the Plaza II location.</w:t>
      </w:r>
    </w:p>
    <w:p w14:paraId="6D10D416" w14:textId="3B75B99C" w:rsidR="00162635" w:rsidRDefault="00162635" w:rsidP="00162635">
      <w:pPr>
        <w:pStyle w:val="ListParagraph"/>
        <w:numPr>
          <w:ilvl w:val="0"/>
          <w:numId w:val="27"/>
        </w:numPr>
        <w:rPr>
          <w:rFonts w:ascii="Arial" w:hAnsi="Arial" w:cs="Arial"/>
          <w:sz w:val="20"/>
          <w:szCs w:val="20"/>
        </w:rPr>
      </w:pPr>
      <w:r>
        <w:rPr>
          <w:rFonts w:ascii="Arial" w:hAnsi="Arial" w:cs="Arial"/>
          <w:sz w:val="20"/>
          <w:szCs w:val="20"/>
        </w:rPr>
        <w:t xml:space="preserve">Commissioned the new correctional facility with network, security cams, and deployed devices to </w:t>
      </w:r>
      <w:proofErr w:type="gramStart"/>
      <w:r>
        <w:rPr>
          <w:rFonts w:ascii="Arial" w:hAnsi="Arial" w:cs="Arial"/>
          <w:sz w:val="20"/>
          <w:szCs w:val="20"/>
        </w:rPr>
        <w:t>staff</w:t>
      </w:r>
      <w:proofErr w:type="gramEnd"/>
    </w:p>
    <w:p w14:paraId="7C3DDE0C" w14:textId="4BA7A8FB" w:rsidR="00757C86" w:rsidRDefault="00162635" w:rsidP="00DE3FB3">
      <w:pPr>
        <w:pStyle w:val="ListParagraph"/>
        <w:numPr>
          <w:ilvl w:val="0"/>
          <w:numId w:val="27"/>
        </w:numPr>
        <w:rPr>
          <w:rFonts w:ascii="Arial" w:hAnsi="Arial" w:cs="Arial"/>
          <w:sz w:val="20"/>
          <w:szCs w:val="20"/>
        </w:rPr>
      </w:pPr>
      <w:r w:rsidRPr="00757C86">
        <w:rPr>
          <w:rFonts w:ascii="Arial" w:hAnsi="Arial" w:cs="Arial"/>
          <w:sz w:val="20"/>
          <w:szCs w:val="20"/>
        </w:rPr>
        <w:t xml:space="preserve">Commission of Pardon and Parole office remodel. Network Operations coordinated the two-phase remodel of the Commission's leased </w:t>
      </w:r>
      <w:proofErr w:type="gramStart"/>
      <w:r w:rsidRPr="00757C86">
        <w:rPr>
          <w:rFonts w:ascii="Arial" w:hAnsi="Arial" w:cs="Arial"/>
          <w:sz w:val="20"/>
          <w:szCs w:val="20"/>
        </w:rPr>
        <w:t>office</w:t>
      </w:r>
      <w:proofErr w:type="gramEnd"/>
    </w:p>
    <w:p w14:paraId="61FA037C" w14:textId="7A0A889C" w:rsidR="00162635" w:rsidRPr="00757C86" w:rsidRDefault="00162635" w:rsidP="00DE3FB3">
      <w:pPr>
        <w:pStyle w:val="ListParagraph"/>
        <w:numPr>
          <w:ilvl w:val="0"/>
          <w:numId w:val="27"/>
        </w:numPr>
        <w:rPr>
          <w:rFonts w:ascii="Arial" w:hAnsi="Arial" w:cs="Arial"/>
          <w:sz w:val="20"/>
          <w:szCs w:val="20"/>
        </w:rPr>
      </w:pPr>
      <w:r w:rsidRPr="00757C86">
        <w:rPr>
          <w:rFonts w:ascii="Arial" w:hAnsi="Arial" w:cs="Arial"/>
          <w:sz w:val="20"/>
          <w:szCs w:val="20"/>
        </w:rPr>
        <w:t xml:space="preserve">Facilitated the purchase and installation of new surveillance system hardware at several IDOC locations to resolve ongoing support </w:t>
      </w:r>
      <w:proofErr w:type="gramStart"/>
      <w:r w:rsidRPr="00757C86">
        <w:rPr>
          <w:rFonts w:ascii="Arial" w:hAnsi="Arial" w:cs="Arial"/>
          <w:sz w:val="20"/>
          <w:szCs w:val="20"/>
        </w:rPr>
        <w:t>issues</w:t>
      </w:r>
      <w:proofErr w:type="gramEnd"/>
    </w:p>
    <w:p w14:paraId="755963BF" w14:textId="37CB15CF" w:rsidR="00162635" w:rsidRDefault="00162635" w:rsidP="00162635">
      <w:pPr>
        <w:pStyle w:val="ListParagraph"/>
        <w:numPr>
          <w:ilvl w:val="0"/>
          <w:numId w:val="27"/>
        </w:numPr>
        <w:rPr>
          <w:rFonts w:ascii="Arial" w:hAnsi="Arial" w:cs="Arial"/>
          <w:sz w:val="20"/>
          <w:szCs w:val="20"/>
        </w:rPr>
      </w:pPr>
      <w:r w:rsidRPr="00162635">
        <w:rPr>
          <w:rFonts w:ascii="Arial" w:hAnsi="Arial" w:cs="Arial"/>
          <w:sz w:val="20"/>
          <w:szCs w:val="20"/>
        </w:rPr>
        <w:t>Deployed VoIP phones to several agencies including: IDVS, IDOC, IDVR, Finance, DEQ, IPC, ISDA</w:t>
      </w:r>
    </w:p>
    <w:p w14:paraId="610D7F58" w14:textId="611602EB" w:rsidR="00162635" w:rsidRDefault="00162635" w:rsidP="00162635">
      <w:pPr>
        <w:pStyle w:val="ListParagraph"/>
        <w:numPr>
          <w:ilvl w:val="0"/>
          <w:numId w:val="27"/>
        </w:numPr>
        <w:rPr>
          <w:rFonts w:ascii="Arial" w:hAnsi="Arial" w:cs="Arial"/>
          <w:sz w:val="20"/>
          <w:szCs w:val="20"/>
        </w:rPr>
      </w:pPr>
      <w:r>
        <w:rPr>
          <w:rFonts w:ascii="Arial" w:hAnsi="Arial" w:cs="Arial"/>
          <w:sz w:val="20"/>
          <w:szCs w:val="20"/>
        </w:rPr>
        <w:t>Designed and implemented updated wireless access points in IDOC and IDFG</w:t>
      </w:r>
    </w:p>
    <w:p w14:paraId="16EF3B7D" w14:textId="7F50DD5F" w:rsidR="00162635" w:rsidRDefault="00162635" w:rsidP="00162635">
      <w:pPr>
        <w:pStyle w:val="ListParagraph"/>
        <w:numPr>
          <w:ilvl w:val="0"/>
          <w:numId w:val="27"/>
        </w:numPr>
        <w:rPr>
          <w:rFonts w:ascii="Arial" w:hAnsi="Arial" w:cs="Arial"/>
          <w:sz w:val="20"/>
          <w:szCs w:val="20"/>
        </w:rPr>
      </w:pPr>
      <w:r>
        <w:rPr>
          <w:rFonts w:ascii="Arial" w:hAnsi="Arial" w:cs="Arial"/>
          <w:sz w:val="20"/>
          <w:szCs w:val="20"/>
        </w:rPr>
        <w:t xml:space="preserve">Standardized all network switches on the CORE </w:t>
      </w:r>
      <w:proofErr w:type="gramStart"/>
      <w:r>
        <w:rPr>
          <w:rFonts w:ascii="Arial" w:hAnsi="Arial" w:cs="Arial"/>
          <w:sz w:val="20"/>
          <w:szCs w:val="20"/>
        </w:rPr>
        <w:t>ring</w:t>
      </w:r>
      <w:proofErr w:type="gramEnd"/>
    </w:p>
    <w:p w14:paraId="54284DE6" w14:textId="1FEBD137" w:rsidR="00757C86" w:rsidRDefault="00757C86" w:rsidP="00162635">
      <w:pPr>
        <w:pStyle w:val="ListParagraph"/>
        <w:numPr>
          <w:ilvl w:val="0"/>
          <w:numId w:val="27"/>
        </w:numPr>
        <w:rPr>
          <w:rFonts w:ascii="Arial" w:hAnsi="Arial" w:cs="Arial"/>
          <w:sz w:val="20"/>
          <w:szCs w:val="20"/>
        </w:rPr>
      </w:pPr>
      <w:r>
        <w:rPr>
          <w:rFonts w:ascii="Arial" w:hAnsi="Arial" w:cs="Arial"/>
          <w:sz w:val="20"/>
          <w:szCs w:val="20"/>
        </w:rPr>
        <w:t>GIS</w:t>
      </w:r>
      <w:r w:rsidR="00C54749">
        <w:rPr>
          <w:rFonts w:ascii="Arial" w:hAnsi="Arial" w:cs="Arial"/>
          <w:sz w:val="20"/>
          <w:szCs w:val="20"/>
        </w:rPr>
        <w:t>—</w:t>
      </w:r>
      <w:r w:rsidRPr="00757C86">
        <w:rPr>
          <w:rFonts w:ascii="Arial" w:hAnsi="Arial" w:cs="Arial"/>
          <w:sz w:val="20"/>
          <w:szCs w:val="20"/>
        </w:rPr>
        <w:t xml:space="preserve">Supporting Broadband development in Idaho–ITS is working closely with the Idaho Department of Commerce to provide data solutions that support investments in </w:t>
      </w:r>
      <w:r w:rsidR="00C54749">
        <w:rPr>
          <w:rFonts w:ascii="Arial" w:hAnsi="Arial" w:cs="Arial"/>
          <w:sz w:val="20"/>
          <w:szCs w:val="20"/>
        </w:rPr>
        <w:t>b</w:t>
      </w:r>
      <w:r w:rsidRPr="00757C86">
        <w:rPr>
          <w:rFonts w:ascii="Arial" w:hAnsi="Arial" w:cs="Arial"/>
          <w:sz w:val="20"/>
          <w:szCs w:val="20"/>
        </w:rPr>
        <w:t xml:space="preserve">roadband infrastructure in Idaho. An app summarizing speed test results will help focus attention toward areas in Idaho that may have insufficient broadband capabilities. Ensuring all underserved households in Idaho are identified will ensure that Idaho gets their fair share of Federal infrastructure investment </w:t>
      </w:r>
      <w:proofErr w:type="gramStart"/>
      <w:r w:rsidRPr="00757C86">
        <w:rPr>
          <w:rFonts w:ascii="Arial" w:hAnsi="Arial" w:cs="Arial"/>
          <w:sz w:val="20"/>
          <w:szCs w:val="20"/>
        </w:rPr>
        <w:t>dollars</w:t>
      </w:r>
      <w:proofErr w:type="gramEnd"/>
    </w:p>
    <w:p w14:paraId="00914348" w14:textId="3BF595EF" w:rsidR="00757C86" w:rsidRDefault="00757C86" w:rsidP="00162635">
      <w:pPr>
        <w:pStyle w:val="ListParagraph"/>
        <w:numPr>
          <w:ilvl w:val="0"/>
          <w:numId w:val="27"/>
        </w:numPr>
        <w:rPr>
          <w:rFonts w:ascii="Arial" w:hAnsi="Arial" w:cs="Arial"/>
          <w:sz w:val="20"/>
          <w:szCs w:val="20"/>
        </w:rPr>
      </w:pPr>
      <w:r w:rsidRPr="00757C86">
        <w:rPr>
          <w:rFonts w:ascii="Arial" w:hAnsi="Arial" w:cs="Arial"/>
          <w:sz w:val="20"/>
          <w:szCs w:val="20"/>
        </w:rPr>
        <w:t xml:space="preserve">Making Idaho Safer–ITS is working on behalf of Idaho Office of Emergency Management to help public safety answering points improve the </w:t>
      </w:r>
      <w:r w:rsidR="00C54749">
        <w:rPr>
          <w:rFonts w:ascii="Arial" w:hAnsi="Arial" w:cs="Arial"/>
          <w:sz w:val="20"/>
          <w:szCs w:val="20"/>
        </w:rPr>
        <w:t>g</w:t>
      </w:r>
      <w:r w:rsidRPr="00757C86">
        <w:rPr>
          <w:rFonts w:ascii="Arial" w:hAnsi="Arial" w:cs="Arial"/>
          <w:sz w:val="20"/>
          <w:szCs w:val="20"/>
        </w:rPr>
        <w:t xml:space="preserve">eographic </w:t>
      </w:r>
      <w:r w:rsidR="00C54749">
        <w:rPr>
          <w:rFonts w:ascii="Arial" w:hAnsi="Arial" w:cs="Arial"/>
          <w:sz w:val="20"/>
          <w:szCs w:val="20"/>
        </w:rPr>
        <w:t>i</w:t>
      </w:r>
      <w:r w:rsidRPr="00757C86">
        <w:rPr>
          <w:rFonts w:ascii="Arial" w:hAnsi="Arial" w:cs="Arial"/>
          <w:sz w:val="20"/>
          <w:szCs w:val="20"/>
        </w:rPr>
        <w:t xml:space="preserve">nformation </w:t>
      </w:r>
      <w:r w:rsidR="00C54749">
        <w:rPr>
          <w:rFonts w:ascii="Arial" w:hAnsi="Arial" w:cs="Arial"/>
          <w:sz w:val="20"/>
          <w:szCs w:val="20"/>
        </w:rPr>
        <w:t>s</w:t>
      </w:r>
      <w:r w:rsidRPr="00757C86">
        <w:rPr>
          <w:rFonts w:ascii="Arial" w:hAnsi="Arial" w:cs="Arial"/>
          <w:sz w:val="20"/>
          <w:szCs w:val="20"/>
        </w:rPr>
        <w:t>ystem</w:t>
      </w:r>
      <w:r w:rsidR="00C54749">
        <w:rPr>
          <w:rFonts w:ascii="Arial" w:hAnsi="Arial" w:cs="Arial"/>
          <w:sz w:val="20"/>
          <w:szCs w:val="20"/>
        </w:rPr>
        <w:t xml:space="preserve"> (GIS)</w:t>
      </w:r>
      <w:r w:rsidRPr="00757C86">
        <w:rPr>
          <w:rFonts w:ascii="Arial" w:hAnsi="Arial" w:cs="Arial"/>
          <w:sz w:val="20"/>
          <w:szCs w:val="20"/>
        </w:rPr>
        <w:t xml:space="preserve"> data to support Next Generation 911 </w:t>
      </w:r>
      <w:r w:rsidR="00C54749">
        <w:rPr>
          <w:rFonts w:ascii="Arial" w:hAnsi="Arial" w:cs="Arial"/>
          <w:sz w:val="20"/>
          <w:szCs w:val="20"/>
        </w:rPr>
        <w:t xml:space="preserve">(E911) </w:t>
      </w:r>
      <w:proofErr w:type="gramStart"/>
      <w:r w:rsidRPr="00757C86">
        <w:rPr>
          <w:rFonts w:ascii="Arial" w:hAnsi="Arial" w:cs="Arial"/>
          <w:sz w:val="20"/>
          <w:szCs w:val="20"/>
        </w:rPr>
        <w:t>services</w:t>
      </w:r>
      <w:proofErr w:type="gramEnd"/>
    </w:p>
    <w:p w14:paraId="776FCAFB" w14:textId="77777777" w:rsidR="00757C86" w:rsidRDefault="00757C86" w:rsidP="00757C86">
      <w:pPr>
        <w:rPr>
          <w:rFonts w:ascii="Arial" w:hAnsi="Arial" w:cs="Arial"/>
          <w:sz w:val="20"/>
          <w:szCs w:val="20"/>
        </w:rPr>
      </w:pPr>
    </w:p>
    <w:p w14:paraId="4452F9E0" w14:textId="77777777" w:rsidR="00C54749" w:rsidRDefault="00C54749" w:rsidP="00757C86">
      <w:pPr>
        <w:rPr>
          <w:rFonts w:ascii="Arial" w:hAnsi="Arial" w:cs="Arial"/>
          <w:sz w:val="20"/>
          <w:szCs w:val="20"/>
        </w:rPr>
      </w:pPr>
    </w:p>
    <w:p w14:paraId="0E2D1FE1" w14:textId="77777777" w:rsidR="00C54749" w:rsidRDefault="00C54749" w:rsidP="00757C86">
      <w:pPr>
        <w:rPr>
          <w:rFonts w:ascii="Arial" w:hAnsi="Arial" w:cs="Arial"/>
          <w:sz w:val="20"/>
          <w:szCs w:val="20"/>
        </w:rPr>
      </w:pPr>
    </w:p>
    <w:p w14:paraId="7077CD69" w14:textId="77777777" w:rsidR="00C54749" w:rsidRDefault="00C54749" w:rsidP="00757C86">
      <w:pPr>
        <w:rPr>
          <w:rFonts w:ascii="Arial" w:hAnsi="Arial" w:cs="Arial"/>
          <w:sz w:val="20"/>
          <w:szCs w:val="20"/>
        </w:rPr>
      </w:pPr>
    </w:p>
    <w:p w14:paraId="6D8B33AD" w14:textId="0A7FA088" w:rsidR="00F43B46" w:rsidRDefault="00F43B46" w:rsidP="00A1011B">
      <w:pPr>
        <w:rPr>
          <w:rFonts w:ascii="Arial" w:hAnsi="Arial" w:cs="Arial"/>
          <w:sz w:val="20"/>
          <w:szCs w:val="20"/>
        </w:rPr>
      </w:pPr>
    </w:p>
    <w:p w14:paraId="5D3E47B0" w14:textId="611E0DC9" w:rsidR="00A1011B" w:rsidRDefault="00757C86" w:rsidP="00A1011B">
      <w:pPr>
        <w:rPr>
          <w:rFonts w:ascii="Arial" w:hAnsi="Arial" w:cs="Arial"/>
          <w:sz w:val="20"/>
          <w:szCs w:val="20"/>
        </w:rPr>
      </w:pPr>
      <w:r>
        <w:rPr>
          <w:rFonts w:ascii="Arial" w:hAnsi="Arial" w:cs="Arial"/>
          <w:sz w:val="20"/>
          <w:szCs w:val="20"/>
        </w:rPr>
        <w:lastRenderedPageBreak/>
        <w:t>General Business</w:t>
      </w:r>
      <w:r w:rsidR="00A1011B">
        <w:rPr>
          <w:rFonts w:ascii="Arial" w:hAnsi="Arial" w:cs="Arial"/>
          <w:sz w:val="20"/>
          <w:szCs w:val="20"/>
        </w:rPr>
        <w:t>:</w:t>
      </w:r>
    </w:p>
    <w:p w14:paraId="10F6CD4A" w14:textId="672E578D" w:rsidR="00A1011B" w:rsidRDefault="00A1011B" w:rsidP="00A1011B">
      <w:pPr>
        <w:rPr>
          <w:rFonts w:ascii="Arial" w:hAnsi="Arial" w:cs="Arial"/>
          <w:sz w:val="20"/>
          <w:szCs w:val="20"/>
        </w:rPr>
      </w:pPr>
    </w:p>
    <w:p w14:paraId="0736CC9D" w14:textId="734A0FDE" w:rsidR="00AF57B1" w:rsidRDefault="00757C86" w:rsidP="00757C86">
      <w:pPr>
        <w:pStyle w:val="ListParagraph"/>
        <w:numPr>
          <w:ilvl w:val="0"/>
          <w:numId w:val="28"/>
        </w:numPr>
        <w:rPr>
          <w:rFonts w:ascii="Arial" w:hAnsi="Arial" w:cs="Arial"/>
          <w:sz w:val="20"/>
          <w:szCs w:val="20"/>
        </w:rPr>
      </w:pPr>
      <w:r>
        <w:rPr>
          <w:rFonts w:ascii="Arial" w:hAnsi="Arial" w:cs="Arial"/>
          <w:sz w:val="20"/>
          <w:szCs w:val="20"/>
        </w:rPr>
        <w:t xml:space="preserve">Onboarded </w:t>
      </w:r>
      <w:r w:rsidR="00C54749">
        <w:rPr>
          <w:rFonts w:ascii="Arial" w:hAnsi="Arial" w:cs="Arial"/>
          <w:sz w:val="20"/>
          <w:szCs w:val="20"/>
        </w:rPr>
        <w:t>three</w:t>
      </w:r>
      <w:r>
        <w:rPr>
          <w:rFonts w:ascii="Arial" w:hAnsi="Arial" w:cs="Arial"/>
          <w:sz w:val="20"/>
          <w:szCs w:val="20"/>
        </w:rPr>
        <w:t xml:space="preserve"> additional </w:t>
      </w:r>
      <w:r w:rsidR="00C54749">
        <w:rPr>
          <w:rFonts w:ascii="Arial" w:hAnsi="Arial" w:cs="Arial"/>
          <w:sz w:val="20"/>
          <w:szCs w:val="20"/>
        </w:rPr>
        <w:t>s</w:t>
      </w:r>
      <w:r>
        <w:rPr>
          <w:rFonts w:ascii="Arial" w:hAnsi="Arial" w:cs="Arial"/>
          <w:sz w:val="20"/>
          <w:szCs w:val="20"/>
        </w:rPr>
        <w:t xml:space="preserve">ervice </w:t>
      </w:r>
      <w:r w:rsidR="00C54749">
        <w:rPr>
          <w:rFonts w:ascii="Arial" w:hAnsi="Arial" w:cs="Arial"/>
          <w:sz w:val="20"/>
          <w:szCs w:val="20"/>
        </w:rPr>
        <w:t>d</w:t>
      </w:r>
      <w:r>
        <w:rPr>
          <w:rFonts w:ascii="Arial" w:hAnsi="Arial" w:cs="Arial"/>
          <w:sz w:val="20"/>
          <w:szCs w:val="20"/>
        </w:rPr>
        <w:t xml:space="preserve">elivery managers </w:t>
      </w:r>
      <w:r w:rsidR="00C54749">
        <w:rPr>
          <w:rFonts w:ascii="Arial" w:hAnsi="Arial" w:cs="Arial"/>
          <w:sz w:val="20"/>
          <w:szCs w:val="20"/>
        </w:rPr>
        <w:t xml:space="preserve">(SDM) </w:t>
      </w:r>
      <w:r>
        <w:rPr>
          <w:rFonts w:ascii="Arial" w:hAnsi="Arial" w:cs="Arial"/>
          <w:sz w:val="20"/>
          <w:szCs w:val="20"/>
        </w:rPr>
        <w:t xml:space="preserve">to become agency single points of contacts to improve service and </w:t>
      </w:r>
      <w:proofErr w:type="gramStart"/>
      <w:r>
        <w:rPr>
          <w:rFonts w:ascii="Arial" w:hAnsi="Arial" w:cs="Arial"/>
          <w:sz w:val="20"/>
          <w:szCs w:val="20"/>
        </w:rPr>
        <w:t>escalations</w:t>
      </w:r>
      <w:proofErr w:type="gramEnd"/>
    </w:p>
    <w:p w14:paraId="715D548E" w14:textId="73C1ACE3" w:rsidR="00757C86" w:rsidRPr="00757C86" w:rsidRDefault="00757C86" w:rsidP="00757C86">
      <w:pPr>
        <w:pStyle w:val="ListParagraph"/>
        <w:numPr>
          <w:ilvl w:val="0"/>
          <w:numId w:val="28"/>
        </w:numPr>
        <w:rPr>
          <w:rFonts w:ascii="Arial" w:hAnsi="Arial" w:cs="Arial"/>
          <w:sz w:val="20"/>
          <w:szCs w:val="20"/>
        </w:rPr>
      </w:pPr>
      <w:r w:rsidRPr="00757C86">
        <w:rPr>
          <w:rFonts w:ascii="Arial" w:hAnsi="Arial" w:cs="Arial"/>
          <w:sz w:val="20"/>
          <w:szCs w:val="20"/>
        </w:rPr>
        <w:t xml:space="preserve">Established multiple communication channels with all agencies, ranging from scheduled SDM meetings, “hotline” chats in </w:t>
      </w:r>
      <w:r w:rsidR="00C54749">
        <w:rPr>
          <w:rFonts w:ascii="Arial" w:hAnsi="Arial" w:cs="Arial"/>
          <w:sz w:val="20"/>
          <w:szCs w:val="20"/>
        </w:rPr>
        <w:t xml:space="preserve">Microsoft </w:t>
      </w:r>
      <w:r w:rsidRPr="00757C86">
        <w:rPr>
          <w:rFonts w:ascii="Arial" w:hAnsi="Arial" w:cs="Arial"/>
          <w:sz w:val="20"/>
          <w:szCs w:val="20"/>
        </w:rPr>
        <w:t xml:space="preserve">Teams to find real-time help, an </w:t>
      </w:r>
      <w:r w:rsidR="00C54749">
        <w:rPr>
          <w:rFonts w:ascii="Arial" w:hAnsi="Arial" w:cs="Arial"/>
          <w:sz w:val="20"/>
          <w:szCs w:val="20"/>
        </w:rPr>
        <w:t xml:space="preserve">Office </w:t>
      </w:r>
      <w:r w:rsidRPr="00757C86">
        <w:rPr>
          <w:rFonts w:ascii="Arial" w:hAnsi="Arial" w:cs="Arial"/>
          <w:sz w:val="20"/>
          <w:szCs w:val="20"/>
        </w:rPr>
        <w:t xml:space="preserve">365 </w:t>
      </w:r>
      <w:r w:rsidR="00C54749">
        <w:rPr>
          <w:rFonts w:ascii="Arial" w:hAnsi="Arial" w:cs="Arial"/>
          <w:sz w:val="20"/>
          <w:szCs w:val="20"/>
        </w:rPr>
        <w:t>g</w:t>
      </w:r>
      <w:r w:rsidRPr="00757C86">
        <w:rPr>
          <w:rFonts w:ascii="Arial" w:hAnsi="Arial" w:cs="Arial"/>
          <w:sz w:val="20"/>
          <w:szCs w:val="20"/>
        </w:rPr>
        <w:t xml:space="preserve">roup for broadcast messages, monthly IT liaison meetings and </w:t>
      </w:r>
      <w:proofErr w:type="gramStart"/>
      <w:r w:rsidRPr="00757C86">
        <w:rPr>
          <w:rFonts w:ascii="Arial" w:hAnsi="Arial" w:cs="Arial"/>
          <w:sz w:val="20"/>
          <w:szCs w:val="20"/>
        </w:rPr>
        <w:t>more</w:t>
      </w:r>
      <w:proofErr w:type="gramEnd"/>
    </w:p>
    <w:p w14:paraId="43C915DB" w14:textId="3E0E317B" w:rsidR="00757C86" w:rsidRDefault="00757C86" w:rsidP="00757C86">
      <w:pPr>
        <w:pStyle w:val="ListParagraph"/>
        <w:numPr>
          <w:ilvl w:val="0"/>
          <w:numId w:val="28"/>
        </w:numPr>
        <w:rPr>
          <w:rFonts w:ascii="Arial" w:hAnsi="Arial" w:cs="Arial"/>
          <w:sz w:val="20"/>
          <w:szCs w:val="20"/>
        </w:rPr>
      </w:pPr>
      <w:r>
        <w:rPr>
          <w:rFonts w:ascii="Arial" w:hAnsi="Arial" w:cs="Arial"/>
          <w:sz w:val="20"/>
          <w:szCs w:val="20"/>
        </w:rPr>
        <w:t xml:space="preserve">Improving communications. Onboarded a new communications manager who has been establishing newsletters for internal and external purposes and has begun updating our external website and internal </w:t>
      </w:r>
      <w:r w:rsidR="00C54749">
        <w:rPr>
          <w:rFonts w:ascii="Arial" w:hAnsi="Arial" w:cs="Arial"/>
          <w:sz w:val="20"/>
          <w:szCs w:val="20"/>
        </w:rPr>
        <w:t>S</w:t>
      </w:r>
      <w:r>
        <w:rPr>
          <w:rFonts w:ascii="Arial" w:hAnsi="Arial" w:cs="Arial"/>
          <w:sz w:val="20"/>
          <w:szCs w:val="20"/>
        </w:rPr>
        <w:t>hare</w:t>
      </w:r>
      <w:r w:rsidR="00C54749">
        <w:rPr>
          <w:rFonts w:ascii="Arial" w:hAnsi="Arial" w:cs="Arial"/>
          <w:sz w:val="20"/>
          <w:szCs w:val="20"/>
        </w:rPr>
        <w:t>P</w:t>
      </w:r>
      <w:r>
        <w:rPr>
          <w:rFonts w:ascii="Arial" w:hAnsi="Arial" w:cs="Arial"/>
          <w:sz w:val="20"/>
          <w:szCs w:val="20"/>
        </w:rPr>
        <w:t>oint</w:t>
      </w:r>
      <w:r w:rsidR="00C54749">
        <w:rPr>
          <w:rFonts w:ascii="Arial" w:hAnsi="Arial" w:cs="Arial"/>
          <w:sz w:val="20"/>
          <w:szCs w:val="20"/>
        </w:rPr>
        <w:t xml:space="preserve"> </w:t>
      </w:r>
      <w:proofErr w:type="gramStart"/>
      <w:r w:rsidR="00C54749">
        <w:rPr>
          <w:rFonts w:ascii="Arial" w:hAnsi="Arial" w:cs="Arial"/>
          <w:sz w:val="20"/>
          <w:szCs w:val="20"/>
        </w:rPr>
        <w:t>intranet</w:t>
      </w:r>
      <w:proofErr w:type="gramEnd"/>
    </w:p>
    <w:p w14:paraId="11C80C91" w14:textId="4ED5E417" w:rsidR="00721E17" w:rsidRPr="00721E17" w:rsidRDefault="00721E17" w:rsidP="00721E17">
      <w:pPr>
        <w:pStyle w:val="ListParagraph"/>
        <w:numPr>
          <w:ilvl w:val="0"/>
          <w:numId w:val="28"/>
        </w:numPr>
        <w:rPr>
          <w:rFonts w:ascii="Arial" w:hAnsi="Arial" w:cs="Arial"/>
          <w:sz w:val="20"/>
          <w:szCs w:val="20"/>
        </w:rPr>
      </w:pPr>
      <w:r>
        <w:rPr>
          <w:rFonts w:ascii="Arial" w:hAnsi="Arial" w:cs="Arial"/>
          <w:sz w:val="20"/>
          <w:szCs w:val="20"/>
        </w:rPr>
        <w:t>Introduced</w:t>
      </w:r>
      <w:r w:rsidRPr="00721E17">
        <w:rPr>
          <w:rFonts w:ascii="Arial" w:hAnsi="Arial" w:cs="Arial"/>
          <w:sz w:val="20"/>
          <w:szCs w:val="20"/>
        </w:rPr>
        <w:t xml:space="preserve"> more enterprise agreements including the standard Enterprise Document Management System</w:t>
      </w:r>
    </w:p>
    <w:p w14:paraId="29F32AF3" w14:textId="556886A8" w:rsidR="00721E17" w:rsidRPr="00721E17" w:rsidRDefault="00721E17" w:rsidP="00721E17">
      <w:pPr>
        <w:pStyle w:val="ListParagraph"/>
        <w:numPr>
          <w:ilvl w:val="0"/>
          <w:numId w:val="28"/>
        </w:numPr>
        <w:rPr>
          <w:rFonts w:ascii="Arial" w:hAnsi="Arial" w:cs="Arial"/>
          <w:sz w:val="20"/>
          <w:szCs w:val="20"/>
        </w:rPr>
      </w:pPr>
      <w:r w:rsidRPr="00721E17">
        <w:rPr>
          <w:rFonts w:ascii="Arial" w:hAnsi="Arial" w:cs="Arial"/>
          <w:sz w:val="20"/>
          <w:szCs w:val="20"/>
        </w:rPr>
        <w:t xml:space="preserve">Established a </w:t>
      </w:r>
      <w:r w:rsidR="00C54749">
        <w:rPr>
          <w:rFonts w:ascii="Arial" w:hAnsi="Arial" w:cs="Arial"/>
          <w:sz w:val="20"/>
          <w:szCs w:val="20"/>
        </w:rPr>
        <w:t xml:space="preserve">new </w:t>
      </w:r>
      <w:r w:rsidRPr="00721E17">
        <w:rPr>
          <w:rFonts w:ascii="Arial" w:hAnsi="Arial" w:cs="Arial"/>
          <w:sz w:val="20"/>
          <w:szCs w:val="20"/>
        </w:rPr>
        <w:t>cost</w:t>
      </w:r>
      <w:r w:rsidR="00C54749">
        <w:rPr>
          <w:rFonts w:ascii="Arial" w:hAnsi="Arial" w:cs="Arial"/>
          <w:sz w:val="20"/>
          <w:szCs w:val="20"/>
        </w:rPr>
        <w:t>-recovery</w:t>
      </w:r>
      <w:r w:rsidRPr="00721E17">
        <w:rPr>
          <w:rFonts w:ascii="Arial" w:hAnsi="Arial" w:cs="Arial"/>
          <w:sz w:val="20"/>
          <w:szCs w:val="20"/>
        </w:rPr>
        <w:t xml:space="preserve"> model in collaboration with other agency fiscal </w:t>
      </w:r>
      <w:r w:rsidR="00C54749">
        <w:rPr>
          <w:rFonts w:ascii="Arial" w:hAnsi="Arial" w:cs="Arial"/>
          <w:sz w:val="20"/>
          <w:szCs w:val="20"/>
        </w:rPr>
        <w:t>officers, DFM and LSO.</w:t>
      </w:r>
    </w:p>
    <w:p w14:paraId="534ABCD9" w14:textId="515108E2" w:rsidR="00757C86" w:rsidRDefault="00757C86" w:rsidP="00757C86">
      <w:pPr>
        <w:pStyle w:val="ListParagraph"/>
        <w:numPr>
          <w:ilvl w:val="0"/>
          <w:numId w:val="28"/>
        </w:numPr>
        <w:rPr>
          <w:rFonts w:ascii="Arial" w:hAnsi="Arial" w:cs="Arial"/>
          <w:sz w:val="20"/>
          <w:szCs w:val="20"/>
        </w:rPr>
      </w:pPr>
      <w:r>
        <w:rPr>
          <w:rFonts w:ascii="Arial" w:hAnsi="Arial" w:cs="Arial"/>
          <w:sz w:val="20"/>
          <w:szCs w:val="20"/>
        </w:rPr>
        <w:t xml:space="preserve">Established an </w:t>
      </w:r>
      <w:r w:rsidR="00C54749">
        <w:rPr>
          <w:rFonts w:ascii="Arial" w:hAnsi="Arial" w:cs="Arial"/>
          <w:sz w:val="20"/>
          <w:szCs w:val="20"/>
        </w:rPr>
        <w:t>a</w:t>
      </w:r>
      <w:r>
        <w:rPr>
          <w:rFonts w:ascii="Arial" w:hAnsi="Arial" w:cs="Arial"/>
          <w:sz w:val="20"/>
          <w:szCs w:val="20"/>
        </w:rPr>
        <w:t xml:space="preserve">sset </w:t>
      </w:r>
      <w:r w:rsidR="00C54749">
        <w:rPr>
          <w:rFonts w:ascii="Arial" w:hAnsi="Arial" w:cs="Arial"/>
          <w:sz w:val="20"/>
          <w:szCs w:val="20"/>
        </w:rPr>
        <w:t>m</w:t>
      </w:r>
      <w:r>
        <w:rPr>
          <w:rFonts w:ascii="Arial" w:hAnsi="Arial" w:cs="Arial"/>
          <w:sz w:val="20"/>
          <w:szCs w:val="20"/>
        </w:rPr>
        <w:t xml:space="preserve">anagement program in response to agency needs. This will provide better visibility to all assets and provide roadmaps and costs </w:t>
      </w:r>
      <w:proofErr w:type="gramStart"/>
      <w:r>
        <w:rPr>
          <w:rFonts w:ascii="Arial" w:hAnsi="Arial" w:cs="Arial"/>
          <w:sz w:val="20"/>
          <w:szCs w:val="20"/>
        </w:rPr>
        <w:t>savings</w:t>
      </w:r>
      <w:proofErr w:type="gramEnd"/>
    </w:p>
    <w:p w14:paraId="08905478" w14:textId="6195F5F1" w:rsidR="00721E17" w:rsidRPr="00721E17" w:rsidRDefault="00721E17" w:rsidP="00721E17">
      <w:pPr>
        <w:pStyle w:val="ListParagraph"/>
        <w:numPr>
          <w:ilvl w:val="0"/>
          <w:numId w:val="28"/>
        </w:numPr>
        <w:rPr>
          <w:rFonts w:ascii="Arial" w:hAnsi="Arial" w:cs="Arial"/>
          <w:sz w:val="20"/>
          <w:szCs w:val="20"/>
        </w:rPr>
      </w:pPr>
      <w:r w:rsidRPr="00721E17">
        <w:rPr>
          <w:rFonts w:ascii="Arial" w:hAnsi="Arial" w:cs="Arial"/>
          <w:sz w:val="20"/>
          <w:szCs w:val="20"/>
        </w:rPr>
        <w:t>Project Management Successes:</w:t>
      </w:r>
    </w:p>
    <w:p w14:paraId="764B8DCB" w14:textId="77D3EBBC" w:rsidR="00721E17" w:rsidRPr="00721E17" w:rsidRDefault="00721E17" w:rsidP="00721E17">
      <w:pPr>
        <w:pStyle w:val="ListParagraph"/>
        <w:numPr>
          <w:ilvl w:val="1"/>
          <w:numId w:val="28"/>
        </w:numPr>
        <w:rPr>
          <w:rFonts w:ascii="Arial" w:hAnsi="Arial" w:cs="Arial"/>
          <w:sz w:val="20"/>
          <w:szCs w:val="20"/>
        </w:rPr>
      </w:pPr>
      <w:r w:rsidRPr="00721E17">
        <w:rPr>
          <w:rFonts w:ascii="Arial" w:hAnsi="Arial" w:cs="Arial"/>
          <w:sz w:val="20"/>
          <w:szCs w:val="20"/>
        </w:rPr>
        <w:t>O</w:t>
      </w:r>
      <w:r w:rsidR="00C54749">
        <w:rPr>
          <w:rFonts w:ascii="Arial" w:hAnsi="Arial" w:cs="Arial"/>
          <w:sz w:val="20"/>
          <w:szCs w:val="20"/>
        </w:rPr>
        <w:t xml:space="preserve">ffice </w:t>
      </w:r>
      <w:r w:rsidRPr="00721E17">
        <w:rPr>
          <w:rFonts w:ascii="Arial" w:hAnsi="Arial" w:cs="Arial"/>
          <w:sz w:val="20"/>
          <w:szCs w:val="20"/>
        </w:rPr>
        <w:t>365</w:t>
      </w:r>
      <w:r w:rsidR="00B55ADF">
        <w:rPr>
          <w:rFonts w:ascii="Arial" w:hAnsi="Arial" w:cs="Arial"/>
          <w:sz w:val="20"/>
          <w:szCs w:val="20"/>
        </w:rPr>
        <w:t xml:space="preserve"> </w:t>
      </w:r>
      <w:r w:rsidRPr="00721E17">
        <w:rPr>
          <w:rFonts w:ascii="Arial" w:hAnsi="Arial" w:cs="Arial"/>
          <w:sz w:val="20"/>
          <w:szCs w:val="20"/>
        </w:rPr>
        <w:t>–</w:t>
      </w:r>
      <w:r w:rsidR="00B55ADF">
        <w:rPr>
          <w:rFonts w:ascii="Arial" w:hAnsi="Arial" w:cs="Arial"/>
          <w:sz w:val="20"/>
          <w:szCs w:val="20"/>
        </w:rPr>
        <w:t xml:space="preserve"> </w:t>
      </w:r>
      <w:r w:rsidRPr="00721E17">
        <w:rPr>
          <w:rFonts w:ascii="Arial" w:hAnsi="Arial" w:cs="Arial"/>
          <w:sz w:val="20"/>
          <w:szCs w:val="20"/>
        </w:rPr>
        <w:t>Migrated ISDA, IDFG and SAPD which completed the O</w:t>
      </w:r>
      <w:r w:rsidR="00B55ADF">
        <w:rPr>
          <w:rFonts w:ascii="Arial" w:hAnsi="Arial" w:cs="Arial"/>
          <w:sz w:val="20"/>
          <w:szCs w:val="20"/>
        </w:rPr>
        <w:t xml:space="preserve">ffice </w:t>
      </w:r>
      <w:r w:rsidRPr="00721E17">
        <w:rPr>
          <w:rFonts w:ascii="Arial" w:hAnsi="Arial" w:cs="Arial"/>
          <w:sz w:val="20"/>
          <w:szCs w:val="20"/>
        </w:rPr>
        <w:t>365 migration for all ITS supported agencies who were not already on O</w:t>
      </w:r>
      <w:r w:rsidR="00B55ADF">
        <w:rPr>
          <w:rFonts w:ascii="Arial" w:hAnsi="Arial" w:cs="Arial"/>
          <w:sz w:val="20"/>
          <w:szCs w:val="20"/>
        </w:rPr>
        <w:t xml:space="preserve">ffice </w:t>
      </w:r>
      <w:r w:rsidRPr="00721E17">
        <w:rPr>
          <w:rFonts w:ascii="Arial" w:hAnsi="Arial" w:cs="Arial"/>
          <w:sz w:val="20"/>
          <w:szCs w:val="20"/>
        </w:rPr>
        <w:t>365. This reduces on-prem</w:t>
      </w:r>
      <w:r w:rsidR="00B55ADF">
        <w:rPr>
          <w:rFonts w:ascii="Arial" w:hAnsi="Arial" w:cs="Arial"/>
          <w:sz w:val="20"/>
          <w:szCs w:val="20"/>
        </w:rPr>
        <w:t>ises</w:t>
      </w:r>
      <w:r w:rsidRPr="00721E17">
        <w:rPr>
          <w:rFonts w:ascii="Arial" w:hAnsi="Arial" w:cs="Arial"/>
          <w:sz w:val="20"/>
          <w:szCs w:val="20"/>
        </w:rPr>
        <w:t xml:space="preserve"> server/storage costs, saves user licensing being part of the Enterprise Level Agreement (ELA), and creates a modern, easy</w:t>
      </w:r>
      <w:r w:rsidR="00B55ADF">
        <w:rPr>
          <w:rFonts w:ascii="Arial" w:hAnsi="Arial" w:cs="Arial"/>
          <w:sz w:val="20"/>
          <w:szCs w:val="20"/>
        </w:rPr>
        <w:t>-</w:t>
      </w:r>
      <w:r w:rsidRPr="00721E17">
        <w:rPr>
          <w:rFonts w:ascii="Arial" w:hAnsi="Arial" w:cs="Arial"/>
          <w:sz w:val="20"/>
          <w:szCs w:val="20"/>
        </w:rPr>
        <w:t>to</w:t>
      </w:r>
      <w:r w:rsidR="00B55ADF">
        <w:rPr>
          <w:rFonts w:ascii="Arial" w:hAnsi="Arial" w:cs="Arial"/>
          <w:sz w:val="20"/>
          <w:szCs w:val="20"/>
        </w:rPr>
        <w:t>-</w:t>
      </w:r>
      <w:r w:rsidRPr="00721E17">
        <w:rPr>
          <w:rFonts w:ascii="Arial" w:hAnsi="Arial" w:cs="Arial"/>
          <w:sz w:val="20"/>
          <w:szCs w:val="20"/>
        </w:rPr>
        <w:t xml:space="preserve">collaborate environment, allowing agencies to efficiently work wherever they are within the </w:t>
      </w:r>
      <w:proofErr w:type="gramStart"/>
      <w:r w:rsidRPr="00721E17">
        <w:rPr>
          <w:rFonts w:ascii="Arial" w:hAnsi="Arial" w:cs="Arial"/>
          <w:sz w:val="20"/>
          <w:szCs w:val="20"/>
        </w:rPr>
        <w:t>state</w:t>
      </w:r>
      <w:proofErr w:type="gramEnd"/>
    </w:p>
    <w:p w14:paraId="480D06F9" w14:textId="7069DBC8" w:rsidR="00721E17" w:rsidRPr="00721E17" w:rsidRDefault="00721E17" w:rsidP="00721E17">
      <w:pPr>
        <w:pStyle w:val="ListParagraph"/>
        <w:numPr>
          <w:ilvl w:val="1"/>
          <w:numId w:val="28"/>
        </w:numPr>
        <w:rPr>
          <w:rFonts w:ascii="Arial" w:hAnsi="Arial" w:cs="Arial"/>
          <w:sz w:val="20"/>
          <w:szCs w:val="20"/>
        </w:rPr>
      </w:pPr>
      <w:r w:rsidRPr="00721E17">
        <w:rPr>
          <w:rFonts w:ascii="Arial" w:hAnsi="Arial" w:cs="Arial"/>
          <w:sz w:val="20"/>
          <w:szCs w:val="20"/>
        </w:rPr>
        <w:t xml:space="preserve">Infrastructure </w:t>
      </w:r>
      <w:r w:rsidR="00B55ADF">
        <w:rPr>
          <w:rFonts w:ascii="Arial" w:hAnsi="Arial" w:cs="Arial"/>
          <w:sz w:val="20"/>
          <w:szCs w:val="20"/>
        </w:rPr>
        <w:t>m</w:t>
      </w:r>
      <w:r w:rsidRPr="00721E17">
        <w:rPr>
          <w:rFonts w:ascii="Arial" w:hAnsi="Arial" w:cs="Arial"/>
          <w:sz w:val="20"/>
          <w:szCs w:val="20"/>
        </w:rPr>
        <w:t>igrations (VxRail) – Migrated 14 agencies into the VxRail, reducing server/storage costs for individual agencies, whether physical or virtual and allowing for better security, service and support</w:t>
      </w:r>
    </w:p>
    <w:p w14:paraId="36D14AE3" w14:textId="6EFAFC8E" w:rsidR="00721E17" w:rsidRPr="00721E17" w:rsidRDefault="00721E17" w:rsidP="00721E17">
      <w:pPr>
        <w:pStyle w:val="ListParagraph"/>
        <w:numPr>
          <w:ilvl w:val="1"/>
          <w:numId w:val="28"/>
        </w:numPr>
        <w:rPr>
          <w:rFonts w:ascii="Arial" w:hAnsi="Arial" w:cs="Arial"/>
          <w:sz w:val="20"/>
          <w:szCs w:val="20"/>
        </w:rPr>
      </w:pPr>
      <w:r w:rsidRPr="00721E17">
        <w:rPr>
          <w:rFonts w:ascii="Arial" w:hAnsi="Arial" w:cs="Arial"/>
          <w:sz w:val="20"/>
          <w:szCs w:val="20"/>
        </w:rPr>
        <w:t>A</w:t>
      </w:r>
      <w:r w:rsidR="00B55ADF">
        <w:rPr>
          <w:rFonts w:ascii="Arial" w:hAnsi="Arial" w:cs="Arial"/>
          <w:sz w:val="20"/>
          <w:szCs w:val="20"/>
        </w:rPr>
        <w:t xml:space="preserve">ctive </w:t>
      </w:r>
      <w:r w:rsidRPr="00721E17">
        <w:rPr>
          <w:rFonts w:ascii="Arial" w:hAnsi="Arial" w:cs="Arial"/>
          <w:sz w:val="20"/>
          <w:szCs w:val="20"/>
        </w:rPr>
        <w:t>D</w:t>
      </w:r>
      <w:r w:rsidR="00B55ADF">
        <w:rPr>
          <w:rFonts w:ascii="Arial" w:hAnsi="Arial" w:cs="Arial"/>
          <w:sz w:val="20"/>
          <w:szCs w:val="20"/>
        </w:rPr>
        <w:t>irectory</w:t>
      </w:r>
      <w:r w:rsidRPr="00721E17">
        <w:rPr>
          <w:rFonts w:ascii="Arial" w:hAnsi="Arial" w:cs="Arial"/>
          <w:sz w:val="20"/>
          <w:szCs w:val="20"/>
        </w:rPr>
        <w:t xml:space="preserve"> Migrations – Completed Active Directory migration for </w:t>
      </w:r>
      <w:r w:rsidR="00B55ADF">
        <w:rPr>
          <w:rFonts w:ascii="Arial" w:hAnsi="Arial" w:cs="Arial"/>
          <w:sz w:val="20"/>
          <w:szCs w:val="20"/>
        </w:rPr>
        <w:t>three</w:t>
      </w:r>
      <w:r w:rsidRPr="00721E17">
        <w:rPr>
          <w:rFonts w:ascii="Arial" w:hAnsi="Arial" w:cs="Arial"/>
          <w:sz w:val="20"/>
          <w:szCs w:val="20"/>
        </w:rPr>
        <w:t xml:space="preserve"> additional agencies continuing to reduce the number of domains supported, increasing efficiencies</w:t>
      </w:r>
      <w:r w:rsidR="00B55ADF">
        <w:rPr>
          <w:rFonts w:ascii="Arial" w:hAnsi="Arial" w:cs="Arial"/>
          <w:sz w:val="20"/>
          <w:szCs w:val="20"/>
        </w:rPr>
        <w:t>,</w:t>
      </w:r>
      <w:r w:rsidRPr="00721E17">
        <w:rPr>
          <w:rFonts w:ascii="Arial" w:hAnsi="Arial" w:cs="Arial"/>
          <w:sz w:val="20"/>
          <w:szCs w:val="20"/>
        </w:rPr>
        <w:t xml:space="preserve"> and streamlining </w:t>
      </w:r>
      <w:proofErr w:type="gramStart"/>
      <w:r w:rsidRPr="00721E17">
        <w:rPr>
          <w:rFonts w:ascii="Arial" w:hAnsi="Arial" w:cs="Arial"/>
          <w:sz w:val="20"/>
          <w:szCs w:val="20"/>
        </w:rPr>
        <w:t>support</w:t>
      </w:r>
      <w:proofErr w:type="gramEnd"/>
    </w:p>
    <w:p w14:paraId="628EEECF" w14:textId="77777777" w:rsidR="00757C86" w:rsidRDefault="00757C86" w:rsidP="00721E17">
      <w:pPr>
        <w:pStyle w:val="ListParagraph"/>
        <w:ind w:left="1440"/>
        <w:rPr>
          <w:rFonts w:ascii="Arial" w:hAnsi="Arial" w:cs="Arial"/>
          <w:sz w:val="20"/>
          <w:szCs w:val="20"/>
        </w:rPr>
      </w:pPr>
    </w:p>
    <w:p w14:paraId="708B990B" w14:textId="465E385D" w:rsidR="00BE758A" w:rsidRDefault="00757C86">
      <w:pPr>
        <w:rPr>
          <w:rFonts w:ascii="Arial" w:hAnsi="Arial" w:cs="Arial"/>
          <w:b/>
          <w:i/>
          <w:color w:val="000080"/>
          <w:sz w:val="28"/>
          <w:szCs w:val="28"/>
        </w:rPr>
      </w:pPr>
      <w:bookmarkStart w:id="5" w:name="OLE_LINK5"/>
      <w:bookmarkStart w:id="6" w:name="OLE_LINK6"/>
      <w:r>
        <w:rPr>
          <w:rFonts w:ascii="Arial" w:hAnsi="Arial" w:cs="Arial"/>
          <w:b/>
          <w:i/>
          <w:color w:val="000080"/>
          <w:sz w:val="28"/>
          <w:szCs w:val="28"/>
        </w:rPr>
        <w:t xml:space="preserve"> </w:t>
      </w:r>
    </w:p>
    <w:p w14:paraId="03BA57CD" w14:textId="77777777" w:rsidR="00757C86" w:rsidRDefault="00757C86">
      <w:pPr>
        <w:rPr>
          <w:rFonts w:ascii="Arial" w:hAnsi="Arial" w:cs="Arial"/>
          <w:b/>
          <w:i/>
          <w:color w:val="000080"/>
          <w:sz w:val="28"/>
          <w:szCs w:val="28"/>
        </w:rPr>
      </w:pPr>
    </w:p>
    <w:p w14:paraId="68FE3F1A" w14:textId="77777777" w:rsidR="00757C86" w:rsidRDefault="00757C86">
      <w:pPr>
        <w:rPr>
          <w:rFonts w:ascii="Arial" w:hAnsi="Arial" w:cs="Arial"/>
          <w:b/>
          <w:i/>
          <w:color w:val="000080"/>
          <w:sz w:val="28"/>
          <w:szCs w:val="28"/>
        </w:rPr>
      </w:pPr>
    </w:p>
    <w:p w14:paraId="1458B44A" w14:textId="77777777" w:rsidR="00757C86" w:rsidRDefault="00757C86">
      <w:pPr>
        <w:rPr>
          <w:rFonts w:ascii="Arial" w:hAnsi="Arial" w:cs="Arial"/>
          <w:b/>
          <w:i/>
          <w:color w:val="000080"/>
          <w:sz w:val="28"/>
          <w:szCs w:val="28"/>
        </w:rPr>
      </w:pPr>
    </w:p>
    <w:p w14:paraId="3DB74BEC" w14:textId="77777777" w:rsidR="00757C86" w:rsidRDefault="00757C86">
      <w:pPr>
        <w:rPr>
          <w:rFonts w:ascii="Arial" w:hAnsi="Arial" w:cs="Arial"/>
          <w:b/>
          <w:i/>
          <w:color w:val="000080"/>
          <w:sz w:val="28"/>
          <w:szCs w:val="28"/>
        </w:rPr>
      </w:pPr>
    </w:p>
    <w:p w14:paraId="5E538B82" w14:textId="77777777" w:rsidR="00757C86" w:rsidRDefault="00757C86">
      <w:pPr>
        <w:rPr>
          <w:rFonts w:ascii="Arial" w:hAnsi="Arial" w:cs="Arial"/>
          <w:b/>
          <w:i/>
          <w:color w:val="000080"/>
          <w:sz w:val="28"/>
          <w:szCs w:val="28"/>
        </w:rPr>
      </w:pPr>
    </w:p>
    <w:p w14:paraId="3469E46F" w14:textId="77777777" w:rsidR="00757C86" w:rsidRDefault="00757C86">
      <w:pPr>
        <w:rPr>
          <w:rFonts w:ascii="Arial" w:hAnsi="Arial" w:cs="Arial"/>
          <w:b/>
          <w:i/>
          <w:color w:val="000080"/>
          <w:sz w:val="28"/>
          <w:szCs w:val="28"/>
        </w:rPr>
      </w:pPr>
    </w:p>
    <w:p w14:paraId="467263E0" w14:textId="77777777" w:rsidR="00757C86" w:rsidRDefault="00757C86">
      <w:pPr>
        <w:rPr>
          <w:rFonts w:ascii="Arial" w:hAnsi="Arial" w:cs="Arial"/>
          <w:b/>
          <w:i/>
          <w:color w:val="000080"/>
          <w:sz w:val="28"/>
          <w:szCs w:val="28"/>
        </w:rPr>
      </w:pPr>
    </w:p>
    <w:p w14:paraId="016C8A9E" w14:textId="77777777" w:rsidR="00757C86" w:rsidRDefault="00757C86">
      <w:pPr>
        <w:rPr>
          <w:rFonts w:ascii="Arial" w:hAnsi="Arial" w:cs="Arial"/>
          <w:b/>
          <w:i/>
          <w:color w:val="000080"/>
          <w:sz w:val="28"/>
          <w:szCs w:val="28"/>
        </w:rPr>
      </w:pPr>
    </w:p>
    <w:p w14:paraId="14F04F58" w14:textId="77777777" w:rsidR="00757C86" w:rsidRDefault="00757C86">
      <w:pPr>
        <w:rPr>
          <w:rFonts w:ascii="Arial" w:hAnsi="Arial" w:cs="Arial"/>
          <w:b/>
          <w:i/>
          <w:color w:val="000080"/>
          <w:sz w:val="28"/>
          <w:szCs w:val="28"/>
        </w:rPr>
      </w:pPr>
    </w:p>
    <w:p w14:paraId="16A5CBAF" w14:textId="77777777" w:rsidR="00757C86" w:rsidRDefault="00757C86">
      <w:pPr>
        <w:rPr>
          <w:rFonts w:ascii="Arial" w:hAnsi="Arial" w:cs="Arial"/>
          <w:b/>
          <w:i/>
          <w:color w:val="000080"/>
          <w:sz w:val="28"/>
          <w:szCs w:val="28"/>
        </w:rPr>
      </w:pPr>
    </w:p>
    <w:p w14:paraId="661B417C" w14:textId="77777777" w:rsidR="00757C86" w:rsidRDefault="00757C86">
      <w:pPr>
        <w:rPr>
          <w:rFonts w:ascii="Arial" w:hAnsi="Arial" w:cs="Arial"/>
          <w:b/>
          <w:i/>
          <w:color w:val="000080"/>
          <w:sz w:val="28"/>
          <w:szCs w:val="28"/>
        </w:rPr>
      </w:pPr>
    </w:p>
    <w:p w14:paraId="6B22802F" w14:textId="77777777" w:rsidR="00757C86" w:rsidRDefault="00757C86">
      <w:pPr>
        <w:rPr>
          <w:rFonts w:ascii="Arial" w:hAnsi="Arial" w:cs="Arial"/>
          <w:b/>
          <w:i/>
          <w:color w:val="000080"/>
          <w:sz w:val="28"/>
          <w:szCs w:val="28"/>
        </w:rPr>
      </w:pPr>
    </w:p>
    <w:p w14:paraId="7F368FF4" w14:textId="77777777" w:rsidR="00757C86" w:rsidRDefault="00757C86">
      <w:pPr>
        <w:rPr>
          <w:rFonts w:ascii="Arial" w:hAnsi="Arial" w:cs="Arial"/>
          <w:b/>
          <w:i/>
          <w:color w:val="000080"/>
          <w:sz w:val="28"/>
          <w:szCs w:val="28"/>
        </w:rPr>
      </w:pPr>
    </w:p>
    <w:p w14:paraId="31A46B0B" w14:textId="77777777" w:rsidR="00757C86" w:rsidRDefault="00757C86">
      <w:pPr>
        <w:rPr>
          <w:rFonts w:ascii="Arial" w:hAnsi="Arial" w:cs="Arial"/>
          <w:b/>
          <w:i/>
          <w:color w:val="000080"/>
          <w:sz w:val="28"/>
          <w:szCs w:val="28"/>
        </w:rPr>
      </w:pPr>
    </w:p>
    <w:p w14:paraId="45542C97" w14:textId="77777777" w:rsidR="00757C86" w:rsidRDefault="00757C86">
      <w:pPr>
        <w:rPr>
          <w:rFonts w:ascii="Arial" w:hAnsi="Arial" w:cs="Arial"/>
          <w:b/>
          <w:i/>
          <w:color w:val="000080"/>
          <w:sz w:val="28"/>
          <w:szCs w:val="28"/>
        </w:rPr>
      </w:pPr>
    </w:p>
    <w:p w14:paraId="23EA0EA1" w14:textId="77777777" w:rsidR="00757C86" w:rsidRDefault="00757C86">
      <w:pPr>
        <w:rPr>
          <w:rFonts w:ascii="Arial" w:hAnsi="Arial" w:cs="Arial"/>
          <w:b/>
          <w:i/>
          <w:color w:val="000080"/>
          <w:sz w:val="28"/>
          <w:szCs w:val="28"/>
        </w:rPr>
      </w:pPr>
    </w:p>
    <w:p w14:paraId="6374D291" w14:textId="77777777" w:rsidR="00757C86" w:rsidRDefault="00757C86">
      <w:pPr>
        <w:rPr>
          <w:rFonts w:ascii="Arial" w:hAnsi="Arial" w:cs="Arial"/>
          <w:b/>
          <w:i/>
          <w:color w:val="000080"/>
          <w:sz w:val="28"/>
          <w:szCs w:val="28"/>
        </w:rPr>
      </w:pPr>
    </w:p>
    <w:p w14:paraId="219B43E1" w14:textId="77777777" w:rsidR="00757C86" w:rsidRDefault="00757C86">
      <w:pPr>
        <w:rPr>
          <w:rFonts w:ascii="Arial" w:hAnsi="Arial" w:cs="Arial"/>
          <w:b/>
          <w:i/>
          <w:color w:val="000080"/>
          <w:sz w:val="28"/>
          <w:szCs w:val="28"/>
        </w:rPr>
      </w:pPr>
    </w:p>
    <w:p w14:paraId="3FA97640" w14:textId="749E1B56" w:rsidR="0023561E" w:rsidRDefault="0023561E" w:rsidP="002976C8">
      <w:pPr>
        <w:jc w:val="both"/>
        <w:outlineLvl w:val="0"/>
        <w:rPr>
          <w:rFonts w:ascii="Arial" w:hAnsi="Arial" w:cs="Arial"/>
          <w:b/>
          <w:i/>
          <w:color w:val="000080"/>
          <w:sz w:val="28"/>
          <w:szCs w:val="28"/>
        </w:rPr>
      </w:pPr>
      <w:r w:rsidRPr="00CA3465">
        <w:rPr>
          <w:rFonts w:ascii="Arial" w:hAnsi="Arial" w:cs="Arial"/>
          <w:b/>
          <w:i/>
          <w:color w:val="000080"/>
          <w:sz w:val="28"/>
          <w:szCs w:val="28"/>
        </w:rPr>
        <w:lastRenderedPageBreak/>
        <w:t>Part II – Performance Measures</w:t>
      </w:r>
    </w:p>
    <w:p w14:paraId="64939246" w14:textId="77777777" w:rsidR="00141E66" w:rsidRPr="00141E66" w:rsidRDefault="00141E66" w:rsidP="002976C8">
      <w:pPr>
        <w:jc w:val="both"/>
        <w:outlineLvl w:val="0"/>
        <w:rPr>
          <w:rFonts w:ascii="Arial" w:hAnsi="Arial" w:cs="Arial"/>
          <w:color w:val="00008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750"/>
        <w:gridCol w:w="779"/>
        <w:gridCol w:w="911"/>
        <w:gridCol w:w="848"/>
        <w:gridCol w:w="773"/>
        <w:gridCol w:w="767"/>
      </w:tblGrid>
      <w:tr w:rsidR="005E454A" w14:paraId="53F5094F" w14:textId="77777777" w:rsidTr="008330F8">
        <w:trPr>
          <w:trHeight w:val="510"/>
          <w:tblHeader/>
        </w:trPr>
        <w:tc>
          <w:tcPr>
            <w:tcW w:w="0" w:type="auto"/>
            <w:gridSpan w:val="2"/>
            <w:shd w:val="clear" w:color="000000" w:fill="000080"/>
            <w:vAlign w:val="center"/>
            <w:hideMark/>
          </w:tcPr>
          <w:p w14:paraId="632A4652" w14:textId="77777777" w:rsidR="001A668A" w:rsidRDefault="001A668A" w:rsidP="001A668A">
            <w:pPr>
              <w:rPr>
                <w:rFonts w:ascii="Arial" w:hAnsi="Arial" w:cs="Arial"/>
                <w:b/>
                <w:bCs/>
                <w:color w:val="FFFFFF"/>
                <w:sz w:val="20"/>
                <w:szCs w:val="20"/>
              </w:rPr>
            </w:pPr>
            <w:bookmarkStart w:id="7" w:name="_Hlk15890552"/>
            <w:r>
              <w:rPr>
                <w:rFonts w:ascii="Arial" w:hAnsi="Arial" w:cs="Arial"/>
                <w:b/>
                <w:bCs/>
                <w:color w:val="FFFFFF"/>
                <w:sz w:val="20"/>
                <w:szCs w:val="20"/>
              </w:rPr>
              <w:t>Performance Measure</w:t>
            </w:r>
          </w:p>
        </w:tc>
        <w:tc>
          <w:tcPr>
            <w:tcW w:w="0" w:type="auto"/>
            <w:shd w:val="clear" w:color="000000" w:fill="000080"/>
            <w:vAlign w:val="center"/>
            <w:hideMark/>
          </w:tcPr>
          <w:p w14:paraId="67D8A628" w14:textId="49E4CE52" w:rsidR="001A668A" w:rsidRDefault="003941A9" w:rsidP="001A668A">
            <w:pPr>
              <w:jc w:val="center"/>
              <w:rPr>
                <w:rFonts w:ascii="Arial" w:hAnsi="Arial" w:cs="Arial"/>
                <w:b/>
                <w:bCs/>
                <w:color w:val="FFFFFF"/>
                <w:sz w:val="20"/>
                <w:szCs w:val="20"/>
              </w:rPr>
            </w:pPr>
            <w:r>
              <w:rPr>
                <w:rFonts w:ascii="Arial" w:hAnsi="Arial" w:cs="Arial"/>
                <w:b/>
                <w:bCs/>
                <w:color w:val="FFFFFF"/>
                <w:sz w:val="20"/>
                <w:szCs w:val="20"/>
              </w:rPr>
              <w:t>FY 2021</w:t>
            </w:r>
          </w:p>
        </w:tc>
        <w:tc>
          <w:tcPr>
            <w:tcW w:w="0" w:type="auto"/>
            <w:shd w:val="clear" w:color="000000" w:fill="000080"/>
            <w:vAlign w:val="center"/>
            <w:hideMark/>
          </w:tcPr>
          <w:p w14:paraId="7D6B3BB9" w14:textId="7E58DA18" w:rsidR="001A668A" w:rsidRDefault="003941A9" w:rsidP="001A668A">
            <w:pPr>
              <w:jc w:val="center"/>
              <w:rPr>
                <w:rFonts w:ascii="Arial" w:hAnsi="Arial" w:cs="Arial"/>
                <w:b/>
                <w:bCs/>
                <w:color w:val="FFFFFF"/>
                <w:sz w:val="20"/>
                <w:szCs w:val="20"/>
              </w:rPr>
            </w:pPr>
            <w:r>
              <w:rPr>
                <w:rFonts w:ascii="Arial" w:hAnsi="Arial" w:cs="Arial"/>
                <w:b/>
                <w:bCs/>
                <w:color w:val="FFFFFF"/>
                <w:sz w:val="20"/>
                <w:szCs w:val="20"/>
              </w:rPr>
              <w:t>FY 2022</w:t>
            </w:r>
          </w:p>
        </w:tc>
        <w:tc>
          <w:tcPr>
            <w:tcW w:w="0" w:type="auto"/>
            <w:shd w:val="clear" w:color="000000" w:fill="000080"/>
            <w:vAlign w:val="center"/>
            <w:hideMark/>
          </w:tcPr>
          <w:p w14:paraId="15DF1754" w14:textId="4779F0FB" w:rsidR="001A668A" w:rsidRDefault="003941A9" w:rsidP="001A668A">
            <w:pPr>
              <w:jc w:val="center"/>
              <w:rPr>
                <w:rFonts w:ascii="Arial" w:hAnsi="Arial" w:cs="Arial"/>
                <w:b/>
                <w:bCs/>
                <w:color w:val="FFFFFF"/>
                <w:sz w:val="20"/>
                <w:szCs w:val="20"/>
              </w:rPr>
            </w:pPr>
            <w:r>
              <w:rPr>
                <w:rFonts w:ascii="Arial" w:hAnsi="Arial" w:cs="Arial"/>
                <w:b/>
                <w:bCs/>
                <w:color w:val="FFFFFF"/>
                <w:sz w:val="20"/>
                <w:szCs w:val="20"/>
              </w:rPr>
              <w:t>FY 2023</w:t>
            </w:r>
          </w:p>
        </w:tc>
        <w:tc>
          <w:tcPr>
            <w:tcW w:w="0" w:type="auto"/>
            <w:shd w:val="clear" w:color="000000" w:fill="000080"/>
            <w:vAlign w:val="center"/>
            <w:hideMark/>
          </w:tcPr>
          <w:p w14:paraId="2A8EB361" w14:textId="71978FCF" w:rsidR="001A668A" w:rsidRDefault="003941A9" w:rsidP="001A668A">
            <w:pPr>
              <w:jc w:val="center"/>
              <w:rPr>
                <w:rFonts w:ascii="Arial" w:hAnsi="Arial" w:cs="Arial"/>
                <w:b/>
                <w:bCs/>
                <w:color w:val="FFFFFF"/>
                <w:sz w:val="20"/>
                <w:szCs w:val="20"/>
              </w:rPr>
            </w:pPr>
            <w:r>
              <w:rPr>
                <w:rFonts w:ascii="Arial" w:hAnsi="Arial" w:cs="Arial"/>
                <w:b/>
                <w:bCs/>
                <w:color w:val="FFFFFF"/>
                <w:sz w:val="20"/>
                <w:szCs w:val="20"/>
              </w:rPr>
              <w:t>FY 2024</w:t>
            </w:r>
          </w:p>
        </w:tc>
        <w:tc>
          <w:tcPr>
            <w:tcW w:w="0" w:type="auto"/>
            <w:shd w:val="clear" w:color="000000" w:fill="000080"/>
            <w:vAlign w:val="center"/>
            <w:hideMark/>
          </w:tcPr>
          <w:p w14:paraId="3F845D1D" w14:textId="3A38C586" w:rsidR="001A668A" w:rsidRDefault="003941A9" w:rsidP="001A668A">
            <w:pPr>
              <w:jc w:val="center"/>
              <w:rPr>
                <w:rFonts w:ascii="Arial" w:hAnsi="Arial" w:cs="Arial"/>
                <w:b/>
                <w:bCs/>
                <w:color w:val="FFFFFF"/>
                <w:sz w:val="20"/>
                <w:szCs w:val="20"/>
              </w:rPr>
            </w:pPr>
            <w:r>
              <w:rPr>
                <w:rFonts w:ascii="Arial" w:hAnsi="Arial" w:cs="Arial"/>
                <w:b/>
                <w:bCs/>
                <w:color w:val="FFFFFF"/>
                <w:sz w:val="20"/>
                <w:szCs w:val="20"/>
              </w:rPr>
              <w:t>FY 2025</w:t>
            </w:r>
          </w:p>
        </w:tc>
      </w:tr>
      <w:tr w:rsidR="002A147A" w14:paraId="73EB6A43" w14:textId="77777777" w:rsidTr="005936FE">
        <w:trPr>
          <w:trHeight w:val="647"/>
        </w:trPr>
        <w:tc>
          <w:tcPr>
            <w:tcW w:w="0" w:type="auto"/>
            <w:gridSpan w:val="7"/>
            <w:shd w:val="clear" w:color="000000" w:fill="DBE5F1"/>
            <w:vAlign w:val="center"/>
            <w:hideMark/>
          </w:tcPr>
          <w:p w14:paraId="2A8CBAEA" w14:textId="6521AB32" w:rsidR="002A147A" w:rsidRPr="00470980" w:rsidRDefault="00BA7127" w:rsidP="004A52A2">
            <w:pPr>
              <w:jc w:val="center"/>
              <w:rPr>
                <w:rFonts w:ascii="Arial" w:hAnsi="Arial" w:cs="Arial"/>
                <w:sz w:val="20"/>
                <w:szCs w:val="20"/>
              </w:rPr>
            </w:pPr>
            <w:r w:rsidRPr="005C16E1">
              <w:rPr>
                <w:rFonts w:ascii="Arial" w:hAnsi="Arial" w:cs="Arial"/>
                <w:sz w:val="20"/>
                <w:szCs w:val="20"/>
              </w:rPr>
              <w:t xml:space="preserve">Goal </w:t>
            </w:r>
            <w:r w:rsidR="009335E7" w:rsidRPr="005C16E1">
              <w:rPr>
                <w:rFonts w:ascii="Arial" w:hAnsi="Arial" w:cs="Arial"/>
                <w:sz w:val="20"/>
                <w:szCs w:val="20"/>
              </w:rPr>
              <w:t>1</w:t>
            </w:r>
            <w:r w:rsidRPr="005C16E1">
              <w:rPr>
                <w:rFonts w:ascii="Arial" w:hAnsi="Arial" w:cs="Arial"/>
                <w:sz w:val="20"/>
                <w:szCs w:val="20"/>
              </w:rPr>
              <w:t xml:space="preserve"> – </w:t>
            </w:r>
            <w:r w:rsidR="00B60597">
              <w:rPr>
                <w:rFonts w:ascii="Arial" w:hAnsi="Arial" w:cs="Arial"/>
                <w:sz w:val="20"/>
                <w:szCs w:val="20"/>
              </w:rPr>
              <w:t>Strengthen Idaho’s Cybersecurity</w:t>
            </w:r>
          </w:p>
        </w:tc>
      </w:tr>
      <w:bookmarkEnd w:id="7"/>
      <w:tr w:rsidR="003941A9" w14:paraId="146393A0" w14:textId="77777777" w:rsidTr="0050155B">
        <w:trPr>
          <w:trHeight w:val="232"/>
        </w:trPr>
        <w:tc>
          <w:tcPr>
            <w:tcW w:w="0" w:type="auto"/>
            <w:vMerge w:val="restart"/>
            <w:shd w:val="clear" w:color="auto" w:fill="auto"/>
            <w:vAlign w:val="center"/>
            <w:hideMark/>
          </w:tcPr>
          <w:p w14:paraId="29588294" w14:textId="55BA27A4" w:rsidR="003941A9" w:rsidRPr="00BA7127" w:rsidRDefault="003941A9" w:rsidP="003941A9">
            <w:pPr>
              <w:rPr>
                <w:rFonts w:ascii="Arial" w:hAnsi="Arial" w:cs="Arial"/>
                <w:color w:val="000000"/>
                <w:sz w:val="20"/>
                <w:szCs w:val="20"/>
              </w:rPr>
            </w:pPr>
            <w:r>
              <w:rPr>
                <w:rFonts w:ascii="Arial" w:eastAsia="Calibri" w:hAnsi="Arial" w:cs="Arial"/>
                <w:sz w:val="20"/>
                <w:szCs w:val="20"/>
              </w:rPr>
              <w:t>1</w:t>
            </w:r>
            <w:r w:rsidRPr="00BA7127">
              <w:rPr>
                <w:rFonts w:ascii="Arial" w:eastAsia="Calibri" w:hAnsi="Arial" w:cs="Arial"/>
                <w:sz w:val="20"/>
                <w:szCs w:val="20"/>
              </w:rPr>
              <w:t xml:space="preserve">. </w:t>
            </w:r>
            <w:r>
              <w:rPr>
                <w:rFonts w:ascii="Arial" w:hAnsi="Arial" w:cs="Arial"/>
                <w:sz w:val="20"/>
                <w:szCs w:val="20"/>
              </w:rPr>
              <w:t>Mitigate 100% of critical and high-level issues identified through vulnerability scans and penetration testing within 90 days of reporting.</w:t>
            </w:r>
            <w:r w:rsidRPr="00A97843">
              <w:rPr>
                <w:rFonts w:ascii="Arial" w:eastAsia="Calibri" w:hAnsi="Arial" w:cs="Arial"/>
                <w:sz w:val="20"/>
                <w:szCs w:val="20"/>
                <w:vertAlign w:val="superscript"/>
              </w:rPr>
              <w:t xml:space="preserve"> (1)</w:t>
            </w:r>
          </w:p>
        </w:tc>
        <w:tc>
          <w:tcPr>
            <w:tcW w:w="0" w:type="auto"/>
            <w:shd w:val="clear" w:color="auto" w:fill="D9D9D9" w:themeFill="background1" w:themeFillShade="D9"/>
            <w:vAlign w:val="center"/>
            <w:hideMark/>
          </w:tcPr>
          <w:p w14:paraId="43963385" w14:textId="77777777" w:rsidR="003941A9" w:rsidRDefault="003941A9" w:rsidP="003941A9">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auto" w:fill="D9D9D9" w:themeFill="background1" w:themeFillShade="D9"/>
            <w:vAlign w:val="center"/>
          </w:tcPr>
          <w:p w14:paraId="7443414A" w14:textId="7AE6BFD4" w:rsidR="003941A9" w:rsidRDefault="003941A9" w:rsidP="003941A9">
            <w:pPr>
              <w:jc w:val="center"/>
              <w:rPr>
                <w:rFonts w:ascii="Arial" w:hAnsi="Arial" w:cs="Arial"/>
                <w:color w:val="000000"/>
                <w:sz w:val="20"/>
                <w:szCs w:val="20"/>
              </w:rPr>
            </w:pPr>
            <w:r>
              <w:rPr>
                <w:rFonts w:ascii="Arial" w:hAnsi="Arial" w:cs="Arial"/>
                <w:color w:val="000000"/>
                <w:sz w:val="20"/>
                <w:szCs w:val="20"/>
              </w:rPr>
              <w:t>100%</w:t>
            </w:r>
          </w:p>
        </w:tc>
        <w:tc>
          <w:tcPr>
            <w:tcW w:w="0" w:type="auto"/>
            <w:shd w:val="clear" w:color="auto" w:fill="D9D9D9" w:themeFill="background1" w:themeFillShade="D9"/>
            <w:vAlign w:val="center"/>
          </w:tcPr>
          <w:p w14:paraId="532CBB21" w14:textId="29AF91A4" w:rsidR="003941A9" w:rsidRDefault="003941A9" w:rsidP="003941A9">
            <w:pPr>
              <w:jc w:val="center"/>
              <w:rPr>
                <w:rFonts w:ascii="Arial" w:hAnsi="Arial" w:cs="Arial"/>
                <w:color w:val="000000"/>
                <w:sz w:val="20"/>
                <w:szCs w:val="20"/>
              </w:rPr>
            </w:pPr>
            <w:r>
              <w:rPr>
                <w:rFonts w:ascii="Arial" w:hAnsi="Arial" w:cs="Arial"/>
                <w:color w:val="000000"/>
                <w:sz w:val="20"/>
                <w:szCs w:val="20"/>
              </w:rPr>
              <w:t>95%</w:t>
            </w:r>
          </w:p>
        </w:tc>
        <w:tc>
          <w:tcPr>
            <w:tcW w:w="0" w:type="auto"/>
            <w:shd w:val="clear" w:color="auto" w:fill="D9D9D9" w:themeFill="background1" w:themeFillShade="D9"/>
            <w:vAlign w:val="center"/>
          </w:tcPr>
          <w:p w14:paraId="7613B594" w14:textId="66734656" w:rsidR="003941A9" w:rsidRDefault="003941A9" w:rsidP="003941A9">
            <w:pPr>
              <w:jc w:val="center"/>
              <w:rPr>
                <w:rFonts w:ascii="Arial" w:hAnsi="Arial" w:cs="Arial"/>
                <w:color w:val="000000"/>
                <w:sz w:val="20"/>
                <w:szCs w:val="20"/>
              </w:rPr>
            </w:pPr>
            <w:r>
              <w:rPr>
                <w:rFonts w:ascii="Arial" w:hAnsi="Arial" w:cs="Arial"/>
                <w:color w:val="000000"/>
                <w:sz w:val="20"/>
                <w:szCs w:val="20"/>
              </w:rPr>
              <w:t>95%</w:t>
            </w:r>
          </w:p>
        </w:tc>
        <w:tc>
          <w:tcPr>
            <w:tcW w:w="0" w:type="auto"/>
            <w:shd w:val="clear" w:color="auto" w:fill="D9D9D9" w:themeFill="background1" w:themeFillShade="D9"/>
            <w:vAlign w:val="center"/>
          </w:tcPr>
          <w:p w14:paraId="6D29F1BD" w14:textId="2639A160" w:rsidR="003941A9" w:rsidRDefault="003941A9" w:rsidP="003941A9">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7D2BCCFA" w14:textId="6D092406" w:rsidR="003941A9" w:rsidRDefault="003941A9" w:rsidP="003941A9">
            <w:pPr>
              <w:jc w:val="center"/>
              <w:rPr>
                <w:rFonts w:ascii="Arial" w:hAnsi="Arial" w:cs="Arial"/>
                <w:color w:val="000000"/>
                <w:sz w:val="20"/>
                <w:szCs w:val="20"/>
              </w:rPr>
            </w:pPr>
          </w:p>
        </w:tc>
      </w:tr>
      <w:tr w:rsidR="003941A9" w14:paraId="2D369ECD" w14:textId="77777777" w:rsidTr="007E6CE4">
        <w:trPr>
          <w:trHeight w:val="647"/>
        </w:trPr>
        <w:tc>
          <w:tcPr>
            <w:tcW w:w="0" w:type="auto"/>
            <w:vMerge/>
            <w:vAlign w:val="center"/>
            <w:hideMark/>
          </w:tcPr>
          <w:p w14:paraId="4B231DE4" w14:textId="77777777" w:rsidR="003941A9" w:rsidRDefault="003941A9" w:rsidP="003941A9">
            <w:pPr>
              <w:rPr>
                <w:rFonts w:ascii="Arial" w:hAnsi="Arial" w:cs="Arial"/>
                <w:color w:val="000000"/>
                <w:sz w:val="20"/>
                <w:szCs w:val="20"/>
              </w:rPr>
            </w:pPr>
          </w:p>
        </w:tc>
        <w:tc>
          <w:tcPr>
            <w:tcW w:w="0" w:type="auto"/>
            <w:shd w:val="clear" w:color="000000" w:fill="FFFFFF"/>
            <w:vAlign w:val="center"/>
            <w:hideMark/>
          </w:tcPr>
          <w:p w14:paraId="1D3E9995" w14:textId="5AB39E8F" w:rsidR="003941A9" w:rsidRPr="00BA7127" w:rsidRDefault="003941A9" w:rsidP="003941A9">
            <w:pPr>
              <w:jc w:val="center"/>
              <w:rPr>
                <w:rFonts w:ascii="Arial" w:hAnsi="Arial" w:cs="Arial"/>
                <w:i/>
                <w:iCs/>
                <w:color w:val="000000"/>
                <w:sz w:val="16"/>
                <w:szCs w:val="16"/>
              </w:rPr>
            </w:pPr>
            <w:r>
              <w:rPr>
                <w:rFonts w:ascii="Arial" w:hAnsi="Arial" w:cs="Arial"/>
                <w:i/>
                <w:iCs/>
                <w:color w:val="000000"/>
                <w:sz w:val="16"/>
                <w:szCs w:val="16"/>
              </w:rPr>
              <w:t>target</w:t>
            </w:r>
          </w:p>
        </w:tc>
        <w:tc>
          <w:tcPr>
            <w:tcW w:w="0" w:type="auto"/>
            <w:shd w:val="clear" w:color="auto" w:fill="auto"/>
            <w:vAlign w:val="center"/>
          </w:tcPr>
          <w:p w14:paraId="0596B63C" w14:textId="7B2D396E"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01D9CBC1" w14:textId="0D0B9515"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1B6A682F" w14:textId="0FCEFAF2"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5C2B87F9" w14:textId="2C061F2E"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0D0C5572" w14:textId="12B7F118" w:rsidR="003941A9" w:rsidRPr="00BA7127" w:rsidRDefault="003941A9" w:rsidP="003941A9">
            <w:pPr>
              <w:jc w:val="center"/>
              <w:rPr>
                <w:rFonts w:ascii="Arial" w:hAnsi="Arial" w:cs="Arial"/>
                <w:i/>
                <w:color w:val="000000"/>
                <w:sz w:val="16"/>
                <w:szCs w:val="16"/>
              </w:rPr>
            </w:pPr>
          </w:p>
        </w:tc>
      </w:tr>
      <w:tr w:rsidR="003941A9" w:rsidRPr="00D764B5" w14:paraId="6A01B05D" w14:textId="77777777" w:rsidTr="0050155B">
        <w:trPr>
          <w:trHeight w:val="232"/>
        </w:trPr>
        <w:tc>
          <w:tcPr>
            <w:tcW w:w="0" w:type="auto"/>
            <w:vMerge w:val="restart"/>
            <w:shd w:val="clear" w:color="auto" w:fill="auto"/>
            <w:vAlign w:val="center"/>
            <w:hideMark/>
          </w:tcPr>
          <w:p w14:paraId="4A525EA0" w14:textId="05777E32" w:rsidR="003941A9" w:rsidRPr="00FB44DA" w:rsidRDefault="003941A9" w:rsidP="003941A9">
            <w:pPr>
              <w:pStyle w:val="Default"/>
              <w:adjustRightInd/>
              <w:rPr>
                <w:rFonts w:eastAsia="Calibri"/>
                <w:color w:val="auto"/>
                <w:sz w:val="20"/>
                <w:szCs w:val="20"/>
              </w:rPr>
            </w:pPr>
            <w:r>
              <w:rPr>
                <w:rFonts w:eastAsia="Calibri"/>
                <w:color w:val="auto"/>
                <w:sz w:val="20"/>
                <w:szCs w:val="20"/>
              </w:rPr>
              <w:t xml:space="preserve">2. Facilitate cybersecurity training to raise employee awareness, measured by an employee click rate on phish training emails below the national average of 5.8%. </w:t>
            </w:r>
            <w:r>
              <w:rPr>
                <w:rFonts w:eastAsia="Calibri"/>
                <w:sz w:val="20"/>
                <w:szCs w:val="20"/>
                <w:vertAlign w:val="superscript"/>
              </w:rPr>
              <w:t>(2)</w:t>
            </w:r>
          </w:p>
          <w:p w14:paraId="55050ECB" w14:textId="77777777" w:rsidR="003941A9" w:rsidRPr="00D764B5" w:rsidRDefault="003941A9" w:rsidP="003941A9">
            <w:pPr>
              <w:rPr>
                <w:rFonts w:ascii="Arial" w:hAnsi="Arial" w:cs="Arial"/>
                <w:color w:val="000000"/>
                <w:sz w:val="20"/>
                <w:szCs w:val="20"/>
                <w:highlight w:val="yellow"/>
              </w:rPr>
            </w:pPr>
          </w:p>
        </w:tc>
        <w:tc>
          <w:tcPr>
            <w:tcW w:w="0" w:type="auto"/>
            <w:shd w:val="clear" w:color="auto" w:fill="D9D9D9" w:themeFill="background1" w:themeFillShade="D9"/>
            <w:vAlign w:val="center"/>
            <w:hideMark/>
          </w:tcPr>
          <w:p w14:paraId="3E156673" w14:textId="77777777" w:rsidR="003941A9" w:rsidRPr="00385519" w:rsidRDefault="003941A9" w:rsidP="003941A9">
            <w:pPr>
              <w:jc w:val="center"/>
              <w:rPr>
                <w:rFonts w:ascii="Arial" w:hAnsi="Arial" w:cs="Arial"/>
                <w:color w:val="000000"/>
                <w:sz w:val="20"/>
                <w:szCs w:val="20"/>
              </w:rPr>
            </w:pPr>
            <w:r w:rsidRPr="00385519">
              <w:rPr>
                <w:rFonts w:ascii="Arial" w:hAnsi="Arial" w:cs="Arial"/>
                <w:color w:val="000000"/>
                <w:sz w:val="20"/>
                <w:szCs w:val="20"/>
              </w:rPr>
              <w:t>actual</w:t>
            </w:r>
          </w:p>
        </w:tc>
        <w:tc>
          <w:tcPr>
            <w:tcW w:w="0" w:type="auto"/>
            <w:shd w:val="clear" w:color="auto" w:fill="D9D9D9" w:themeFill="background1" w:themeFillShade="D9"/>
            <w:vAlign w:val="center"/>
          </w:tcPr>
          <w:p w14:paraId="56082869" w14:textId="7785816C" w:rsidR="003941A9" w:rsidRPr="00385519" w:rsidRDefault="003941A9" w:rsidP="003941A9">
            <w:pPr>
              <w:jc w:val="center"/>
              <w:rPr>
                <w:rFonts w:ascii="Arial" w:hAnsi="Arial" w:cs="Arial"/>
                <w:color w:val="000000"/>
                <w:sz w:val="20"/>
                <w:szCs w:val="20"/>
              </w:rPr>
            </w:pPr>
            <w:r w:rsidRPr="009E35FF">
              <w:rPr>
                <w:rFonts w:ascii="Arial" w:hAnsi="Arial" w:cs="Arial"/>
                <w:color w:val="000000"/>
                <w:sz w:val="20"/>
                <w:szCs w:val="20"/>
              </w:rPr>
              <w:t>5.1</w:t>
            </w:r>
            <w:r>
              <w:rPr>
                <w:rFonts w:ascii="Arial" w:hAnsi="Arial" w:cs="Arial"/>
                <w:color w:val="000000"/>
                <w:sz w:val="20"/>
                <w:szCs w:val="20"/>
              </w:rPr>
              <w:t>%</w:t>
            </w:r>
          </w:p>
        </w:tc>
        <w:tc>
          <w:tcPr>
            <w:tcW w:w="0" w:type="auto"/>
            <w:shd w:val="clear" w:color="auto" w:fill="D9D9D9" w:themeFill="background1" w:themeFillShade="D9"/>
            <w:vAlign w:val="center"/>
          </w:tcPr>
          <w:p w14:paraId="12032DCC" w14:textId="4094AA4F" w:rsidR="003941A9" w:rsidRPr="00385519" w:rsidRDefault="003941A9" w:rsidP="003941A9">
            <w:pPr>
              <w:jc w:val="center"/>
              <w:rPr>
                <w:rFonts w:ascii="Arial" w:hAnsi="Arial" w:cs="Arial"/>
                <w:color w:val="000000"/>
                <w:sz w:val="20"/>
                <w:szCs w:val="20"/>
              </w:rPr>
            </w:pPr>
            <w:r>
              <w:rPr>
                <w:rFonts w:ascii="Arial" w:hAnsi="Arial" w:cs="Arial"/>
                <w:color w:val="000000"/>
                <w:sz w:val="20"/>
                <w:szCs w:val="20"/>
              </w:rPr>
              <w:t>4.3%</w:t>
            </w:r>
          </w:p>
        </w:tc>
        <w:tc>
          <w:tcPr>
            <w:tcW w:w="0" w:type="auto"/>
            <w:shd w:val="clear" w:color="auto" w:fill="D9D9D9" w:themeFill="background1" w:themeFillShade="D9"/>
            <w:vAlign w:val="center"/>
          </w:tcPr>
          <w:p w14:paraId="1F00A2EF" w14:textId="7CD227F3" w:rsidR="003941A9" w:rsidRPr="009E35FF" w:rsidRDefault="003941A9" w:rsidP="003941A9">
            <w:pPr>
              <w:jc w:val="center"/>
              <w:rPr>
                <w:rFonts w:ascii="Arial" w:hAnsi="Arial" w:cs="Arial"/>
                <w:color w:val="000000"/>
                <w:sz w:val="20"/>
                <w:szCs w:val="20"/>
              </w:rPr>
            </w:pPr>
            <w:r>
              <w:rPr>
                <w:rFonts w:ascii="Arial" w:hAnsi="Arial" w:cs="Arial"/>
                <w:color w:val="000000"/>
                <w:sz w:val="20"/>
                <w:szCs w:val="20"/>
              </w:rPr>
              <w:t>6.1%</w:t>
            </w:r>
          </w:p>
        </w:tc>
        <w:tc>
          <w:tcPr>
            <w:tcW w:w="0" w:type="auto"/>
            <w:shd w:val="clear" w:color="auto" w:fill="D9D9D9" w:themeFill="background1" w:themeFillShade="D9"/>
            <w:vAlign w:val="center"/>
          </w:tcPr>
          <w:p w14:paraId="76776AA9" w14:textId="1613B152" w:rsidR="003941A9" w:rsidRPr="009E35FF" w:rsidRDefault="003941A9" w:rsidP="003941A9">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5E43CC4E" w14:textId="35A8E363" w:rsidR="003941A9" w:rsidRPr="00364283" w:rsidRDefault="003941A9" w:rsidP="003941A9">
            <w:pPr>
              <w:jc w:val="center"/>
              <w:rPr>
                <w:rFonts w:ascii="Arial" w:hAnsi="Arial" w:cs="Arial"/>
                <w:color w:val="000000"/>
                <w:sz w:val="20"/>
                <w:szCs w:val="20"/>
              </w:rPr>
            </w:pPr>
          </w:p>
        </w:tc>
      </w:tr>
      <w:tr w:rsidR="003941A9" w:rsidRPr="00D764B5" w14:paraId="03D6272A" w14:textId="77777777" w:rsidTr="007E6CE4">
        <w:trPr>
          <w:trHeight w:val="647"/>
        </w:trPr>
        <w:tc>
          <w:tcPr>
            <w:tcW w:w="0" w:type="auto"/>
            <w:vMerge/>
            <w:vAlign w:val="center"/>
            <w:hideMark/>
          </w:tcPr>
          <w:p w14:paraId="5DD7CC6E" w14:textId="77777777" w:rsidR="003941A9" w:rsidRPr="00D764B5" w:rsidRDefault="003941A9" w:rsidP="003941A9">
            <w:pPr>
              <w:rPr>
                <w:rFonts w:ascii="Arial" w:hAnsi="Arial" w:cs="Arial"/>
                <w:color w:val="000000"/>
                <w:sz w:val="20"/>
                <w:szCs w:val="20"/>
                <w:highlight w:val="yellow"/>
              </w:rPr>
            </w:pPr>
          </w:p>
        </w:tc>
        <w:tc>
          <w:tcPr>
            <w:tcW w:w="0" w:type="auto"/>
            <w:shd w:val="clear" w:color="000000" w:fill="FFFFFF"/>
            <w:vAlign w:val="center"/>
            <w:hideMark/>
          </w:tcPr>
          <w:p w14:paraId="3ACA8056" w14:textId="77777777" w:rsidR="003941A9" w:rsidRPr="00385519" w:rsidRDefault="003941A9" w:rsidP="003941A9">
            <w:pPr>
              <w:jc w:val="center"/>
              <w:rPr>
                <w:rFonts w:ascii="Arial" w:hAnsi="Arial" w:cs="Arial"/>
                <w:i/>
                <w:iCs/>
                <w:color w:val="000000"/>
                <w:sz w:val="16"/>
                <w:szCs w:val="16"/>
              </w:rPr>
            </w:pPr>
            <w:r w:rsidRPr="00385519">
              <w:rPr>
                <w:rFonts w:ascii="Arial" w:hAnsi="Arial" w:cs="Arial"/>
                <w:i/>
                <w:iCs/>
                <w:color w:val="000000"/>
                <w:sz w:val="16"/>
                <w:szCs w:val="16"/>
              </w:rPr>
              <w:t>target</w:t>
            </w:r>
          </w:p>
        </w:tc>
        <w:tc>
          <w:tcPr>
            <w:tcW w:w="0" w:type="auto"/>
            <w:shd w:val="clear" w:color="auto" w:fill="auto"/>
            <w:vAlign w:val="center"/>
          </w:tcPr>
          <w:p w14:paraId="05AA3E0F" w14:textId="6CCA4429" w:rsidR="003941A9" w:rsidRPr="00385519" w:rsidRDefault="003941A9" w:rsidP="003941A9">
            <w:pPr>
              <w:jc w:val="center"/>
              <w:rPr>
                <w:rFonts w:ascii="Arial" w:hAnsi="Arial" w:cs="Arial"/>
                <w:i/>
                <w:color w:val="000000"/>
                <w:sz w:val="16"/>
                <w:szCs w:val="16"/>
              </w:rPr>
            </w:pPr>
            <w:r w:rsidRPr="009E35FF">
              <w:rPr>
                <w:rFonts w:ascii="Arial" w:hAnsi="Arial" w:cs="Arial"/>
                <w:i/>
                <w:color w:val="000000"/>
                <w:sz w:val="16"/>
                <w:szCs w:val="16"/>
              </w:rPr>
              <w:t>≤5.8</w:t>
            </w:r>
            <w:r>
              <w:rPr>
                <w:rFonts w:ascii="Arial" w:hAnsi="Arial" w:cs="Arial"/>
                <w:i/>
                <w:color w:val="000000"/>
                <w:sz w:val="16"/>
                <w:szCs w:val="16"/>
              </w:rPr>
              <w:t>%</w:t>
            </w:r>
          </w:p>
        </w:tc>
        <w:tc>
          <w:tcPr>
            <w:tcW w:w="0" w:type="auto"/>
            <w:shd w:val="clear" w:color="auto" w:fill="auto"/>
            <w:vAlign w:val="center"/>
          </w:tcPr>
          <w:p w14:paraId="6F1B7E9E" w14:textId="67AEBE3C" w:rsidR="003941A9" w:rsidRPr="00385519" w:rsidRDefault="003941A9" w:rsidP="003941A9">
            <w:pPr>
              <w:jc w:val="center"/>
              <w:rPr>
                <w:rFonts w:ascii="Arial" w:hAnsi="Arial" w:cs="Arial"/>
                <w:i/>
                <w:color w:val="000000"/>
                <w:sz w:val="16"/>
                <w:szCs w:val="16"/>
              </w:rPr>
            </w:pPr>
            <w:r>
              <w:rPr>
                <w:rFonts w:ascii="Arial" w:hAnsi="Arial" w:cs="Arial"/>
                <w:i/>
                <w:color w:val="000000"/>
                <w:sz w:val="16"/>
                <w:szCs w:val="16"/>
              </w:rPr>
              <w:t>≤5.8%</w:t>
            </w:r>
          </w:p>
        </w:tc>
        <w:tc>
          <w:tcPr>
            <w:tcW w:w="0" w:type="auto"/>
            <w:shd w:val="clear" w:color="auto" w:fill="auto"/>
            <w:vAlign w:val="center"/>
          </w:tcPr>
          <w:p w14:paraId="0CD563F2" w14:textId="0F1989C9" w:rsidR="003941A9" w:rsidRPr="009E35FF" w:rsidRDefault="003941A9" w:rsidP="003941A9">
            <w:pPr>
              <w:jc w:val="center"/>
              <w:rPr>
                <w:rFonts w:ascii="Arial" w:hAnsi="Arial" w:cs="Arial"/>
                <w:i/>
                <w:color w:val="000000"/>
                <w:sz w:val="16"/>
                <w:szCs w:val="16"/>
              </w:rPr>
            </w:pPr>
            <w:r>
              <w:rPr>
                <w:rFonts w:ascii="Arial" w:hAnsi="Arial" w:cs="Arial"/>
                <w:i/>
                <w:color w:val="000000"/>
                <w:sz w:val="16"/>
                <w:szCs w:val="16"/>
              </w:rPr>
              <w:t>≤5.8%</w:t>
            </w:r>
          </w:p>
        </w:tc>
        <w:tc>
          <w:tcPr>
            <w:tcW w:w="0" w:type="auto"/>
            <w:shd w:val="clear" w:color="auto" w:fill="auto"/>
            <w:vAlign w:val="center"/>
          </w:tcPr>
          <w:p w14:paraId="7167E7CB" w14:textId="17D61021" w:rsidR="003941A9" w:rsidRPr="009E35FF" w:rsidRDefault="003941A9" w:rsidP="003941A9">
            <w:pPr>
              <w:jc w:val="center"/>
              <w:rPr>
                <w:rFonts w:ascii="Arial" w:hAnsi="Arial" w:cs="Arial"/>
                <w:i/>
                <w:color w:val="000000"/>
                <w:sz w:val="16"/>
                <w:szCs w:val="16"/>
              </w:rPr>
            </w:pPr>
            <w:r>
              <w:rPr>
                <w:rFonts w:ascii="Arial" w:hAnsi="Arial" w:cs="Arial"/>
                <w:i/>
                <w:color w:val="000000"/>
                <w:sz w:val="16"/>
                <w:szCs w:val="16"/>
              </w:rPr>
              <w:t>≤5.8%</w:t>
            </w:r>
          </w:p>
        </w:tc>
        <w:tc>
          <w:tcPr>
            <w:tcW w:w="0" w:type="auto"/>
            <w:shd w:val="clear" w:color="auto" w:fill="auto"/>
            <w:vAlign w:val="center"/>
          </w:tcPr>
          <w:p w14:paraId="3A344F62" w14:textId="2B281340" w:rsidR="003941A9" w:rsidRPr="00364283" w:rsidRDefault="003941A9" w:rsidP="003941A9">
            <w:pPr>
              <w:jc w:val="center"/>
              <w:rPr>
                <w:rFonts w:ascii="Arial" w:hAnsi="Arial" w:cs="Arial"/>
                <w:i/>
                <w:color w:val="000000"/>
                <w:sz w:val="16"/>
                <w:szCs w:val="16"/>
              </w:rPr>
            </w:pPr>
          </w:p>
        </w:tc>
      </w:tr>
      <w:tr w:rsidR="00161F2D" w14:paraId="2C0753D6" w14:textId="77777777" w:rsidTr="00E06D94">
        <w:trPr>
          <w:trHeight w:val="611"/>
        </w:trPr>
        <w:tc>
          <w:tcPr>
            <w:tcW w:w="0" w:type="auto"/>
            <w:gridSpan w:val="7"/>
            <w:shd w:val="clear" w:color="auto" w:fill="DBE5F1" w:themeFill="accent1" w:themeFillTint="33"/>
            <w:vAlign w:val="center"/>
          </w:tcPr>
          <w:p w14:paraId="4EE46BC5" w14:textId="3EEBE597" w:rsidR="00161F2D" w:rsidRPr="00351C1E" w:rsidRDefault="00161F2D" w:rsidP="00161F2D">
            <w:pPr>
              <w:jc w:val="center"/>
              <w:rPr>
                <w:rFonts w:ascii="Arial" w:hAnsi="Arial" w:cs="Arial"/>
                <w:sz w:val="20"/>
                <w:szCs w:val="20"/>
              </w:rPr>
            </w:pPr>
            <w:r w:rsidRPr="00CF0168">
              <w:rPr>
                <w:rFonts w:ascii="Arial" w:hAnsi="Arial" w:cs="Arial"/>
                <w:sz w:val="20"/>
                <w:szCs w:val="20"/>
              </w:rPr>
              <w:t xml:space="preserve">Goal 2 </w:t>
            </w:r>
            <w:r>
              <w:rPr>
                <w:rFonts w:ascii="Arial" w:hAnsi="Arial" w:cs="Arial"/>
                <w:sz w:val="20"/>
                <w:szCs w:val="20"/>
              </w:rPr>
              <w:t>– Continue to improve the delivery of technology services</w:t>
            </w:r>
          </w:p>
        </w:tc>
      </w:tr>
      <w:tr w:rsidR="003941A9" w14:paraId="2EBBFD6D" w14:textId="77777777" w:rsidTr="0050155B">
        <w:trPr>
          <w:trHeight w:val="232"/>
        </w:trPr>
        <w:tc>
          <w:tcPr>
            <w:tcW w:w="0" w:type="auto"/>
            <w:vMerge w:val="restart"/>
            <w:shd w:val="clear" w:color="auto" w:fill="auto"/>
            <w:vAlign w:val="center"/>
            <w:hideMark/>
          </w:tcPr>
          <w:p w14:paraId="30280878" w14:textId="3F4F2FD2" w:rsidR="003941A9" w:rsidRPr="00835FC0" w:rsidRDefault="003941A9" w:rsidP="003941A9">
            <w:pPr>
              <w:rPr>
                <w:rFonts w:ascii="Arial" w:eastAsia="Calibri" w:hAnsi="Arial" w:cs="Arial"/>
                <w:sz w:val="20"/>
                <w:szCs w:val="20"/>
              </w:rPr>
            </w:pPr>
            <w:r w:rsidRPr="00835FC0">
              <w:rPr>
                <w:rFonts w:ascii="Arial" w:eastAsia="Calibri" w:hAnsi="Arial" w:cs="Arial"/>
                <w:sz w:val="20"/>
                <w:szCs w:val="20"/>
              </w:rPr>
              <w:t xml:space="preserve">3. Continuous improvement to the core network to improve reliability and increase bandwidth, measured in total uptime. </w:t>
            </w:r>
            <w:r w:rsidRPr="00835FC0">
              <w:rPr>
                <w:rFonts w:ascii="Arial" w:eastAsia="Calibri" w:hAnsi="Arial" w:cs="Arial"/>
                <w:sz w:val="20"/>
                <w:szCs w:val="20"/>
                <w:vertAlign w:val="superscript"/>
              </w:rPr>
              <w:t>(3)</w:t>
            </w:r>
          </w:p>
          <w:p w14:paraId="0AD9A143" w14:textId="77777777" w:rsidR="003941A9" w:rsidRPr="006E658E" w:rsidRDefault="003941A9" w:rsidP="003941A9">
            <w:pPr>
              <w:rPr>
                <w:rFonts w:ascii="Arial" w:hAnsi="Arial" w:cs="Arial"/>
                <w:color w:val="000000"/>
                <w:sz w:val="20"/>
                <w:szCs w:val="20"/>
                <w:highlight w:val="yellow"/>
              </w:rPr>
            </w:pPr>
          </w:p>
        </w:tc>
        <w:tc>
          <w:tcPr>
            <w:tcW w:w="0" w:type="auto"/>
            <w:shd w:val="clear" w:color="auto" w:fill="D9D9D9" w:themeFill="background1" w:themeFillShade="D9"/>
            <w:vAlign w:val="center"/>
            <w:hideMark/>
          </w:tcPr>
          <w:p w14:paraId="5A0C4D9F" w14:textId="77777777" w:rsidR="003941A9" w:rsidRPr="00835FC0" w:rsidRDefault="003941A9" w:rsidP="003941A9">
            <w:pPr>
              <w:jc w:val="center"/>
              <w:rPr>
                <w:rFonts w:ascii="Arial" w:hAnsi="Arial" w:cs="Arial"/>
                <w:color w:val="000000"/>
                <w:sz w:val="20"/>
                <w:szCs w:val="20"/>
              </w:rPr>
            </w:pPr>
            <w:r w:rsidRPr="00835FC0">
              <w:rPr>
                <w:rFonts w:ascii="Arial" w:hAnsi="Arial" w:cs="Arial"/>
                <w:color w:val="000000"/>
                <w:sz w:val="20"/>
                <w:szCs w:val="20"/>
              </w:rPr>
              <w:t>actual</w:t>
            </w:r>
          </w:p>
        </w:tc>
        <w:tc>
          <w:tcPr>
            <w:tcW w:w="0" w:type="auto"/>
            <w:shd w:val="clear" w:color="auto" w:fill="D9D9D9" w:themeFill="background1" w:themeFillShade="D9"/>
            <w:vAlign w:val="center"/>
          </w:tcPr>
          <w:p w14:paraId="250AB524" w14:textId="0288804F" w:rsidR="003941A9" w:rsidRPr="00835FC0" w:rsidRDefault="003941A9" w:rsidP="003941A9">
            <w:pPr>
              <w:jc w:val="center"/>
              <w:rPr>
                <w:rFonts w:ascii="Arial" w:hAnsi="Arial" w:cs="Arial"/>
                <w:color w:val="000000"/>
                <w:sz w:val="20"/>
                <w:szCs w:val="20"/>
              </w:rPr>
            </w:pPr>
            <w:r w:rsidRPr="00835FC0">
              <w:rPr>
                <w:rFonts w:ascii="Arial" w:hAnsi="Arial" w:cs="Arial"/>
                <w:color w:val="000000"/>
                <w:sz w:val="20"/>
                <w:szCs w:val="20"/>
              </w:rPr>
              <w:t>N/A</w:t>
            </w:r>
          </w:p>
        </w:tc>
        <w:tc>
          <w:tcPr>
            <w:tcW w:w="0" w:type="auto"/>
            <w:shd w:val="clear" w:color="auto" w:fill="D9D9D9" w:themeFill="background1" w:themeFillShade="D9"/>
            <w:vAlign w:val="center"/>
          </w:tcPr>
          <w:p w14:paraId="26D3DA88" w14:textId="1C99444E" w:rsidR="003941A9" w:rsidRPr="00835FC0" w:rsidRDefault="003941A9" w:rsidP="003941A9">
            <w:pPr>
              <w:jc w:val="center"/>
              <w:rPr>
                <w:rFonts w:ascii="Arial" w:hAnsi="Arial" w:cs="Arial"/>
                <w:color w:val="000000"/>
                <w:sz w:val="20"/>
                <w:szCs w:val="20"/>
              </w:rPr>
            </w:pPr>
            <w:r>
              <w:rPr>
                <w:rFonts w:ascii="Arial" w:hAnsi="Arial" w:cs="Arial"/>
                <w:color w:val="000000"/>
                <w:sz w:val="20"/>
                <w:szCs w:val="20"/>
              </w:rPr>
              <w:t>99.9%</w:t>
            </w:r>
          </w:p>
        </w:tc>
        <w:tc>
          <w:tcPr>
            <w:tcW w:w="0" w:type="auto"/>
            <w:shd w:val="clear" w:color="auto" w:fill="D9D9D9" w:themeFill="background1" w:themeFillShade="D9"/>
            <w:vAlign w:val="center"/>
          </w:tcPr>
          <w:p w14:paraId="28734C94" w14:textId="12FD69C7" w:rsidR="003941A9" w:rsidRPr="00835FC0" w:rsidRDefault="003941A9" w:rsidP="003941A9">
            <w:pPr>
              <w:jc w:val="center"/>
              <w:rPr>
                <w:rFonts w:ascii="Arial" w:hAnsi="Arial" w:cs="Arial"/>
                <w:color w:val="000000"/>
                <w:sz w:val="20"/>
                <w:szCs w:val="20"/>
              </w:rPr>
            </w:pPr>
            <w:r>
              <w:rPr>
                <w:rFonts w:ascii="Arial" w:hAnsi="Arial" w:cs="Arial"/>
                <w:color w:val="000000"/>
                <w:sz w:val="20"/>
                <w:szCs w:val="20"/>
              </w:rPr>
              <w:t>99.9%</w:t>
            </w:r>
          </w:p>
        </w:tc>
        <w:tc>
          <w:tcPr>
            <w:tcW w:w="0" w:type="auto"/>
            <w:shd w:val="clear" w:color="auto" w:fill="D9D9D9" w:themeFill="background1" w:themeFillShade="D9"/>
            <w:vAlign w:val="center"/>
          </w:tcPr>
          <w:p w14:paraId="6A4D93F1" w14:textId="1E9DA4B9" w:rsidR="003941A9" w:rsidRPr="00835FC0" w:rsidRDefault="003941A9" w:rsidP="003941A9">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3D317E03" w14:textId="18C64DFE" w:rsidR="003941A9" w:rsidRPr="00835FC0" w:rsidRDefault="003941A9" w:rsidP="003941A9">
            <w:pPr>
              <w:jc w:val="center"/>
              <w:rPr>
                <w:rFonts w:ascii="Arial" w:hAnsi="Arial" w:cs="Arial"/>
                <w:color w:val="000000"/>
                <w:sz w:val="20"/>
                <w:szCs w:val="20"/>
              </w:rPr>
            </w:pPr>
          </w:p>
        </w:tc>
      </w:tr>
      <w:tr w:rsidR="003941A9" w:rsidRPr="00BA7127" w14:paraId="29B061F1" w14:textId="77777777" w:rsidTr="002903FD">
        <w:trPr>
          <w:trHeight w:val="386"/>
        </w:trPr>
        <w:tc>
          <w:tcPr>
            <w:tcW w:w="0" w:type="auto"/>
            <w:vMerge/>
            <w:vAlign w:val="center"/>
            <w:hideMark/>
          </w:tcPr>
          <w:p w14:paraId="7CF60B3F" w14:textId="77777777" w:rsidR="003941A9" w:rsidRDefault="003941A9" w:rsidP="003941A9">
            <w:pPr>
              <w:rPr>
                <w:rFonts w:ascii="Arial" w:hAnsi="Arial" w:cs="Arial"/>
                <w:color w:val="000000"/>
                <w:sz w:val="20"/>
                <w:szCs w:val="20"/>
              </w:rPr>
            </w:pPr>
          </w:p>
        </w:tc>
        <w:tc>
          <w:tcPr>
            <w:tcW w:w="0" w:type="auto"/>
            <w:shd w:val="clear" w:color="000000" w:fill="FFFFFF"/>
            <w:vAlign w:val="center"/>
            <w:hideMark/>
          </w:tcPr>
          <w:p w14:paraId="061A6920" w14:textId="77777777" w:rsidR="003941A9" w:rsidRPr="00BA7127" w:rsidRDefault="003941A9" w:rsidP="003941A9">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3E3FA034" w14:textId="5A4BBBD9"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29F1D1D8" w14:textId="6B7A9EC1" w:rsidR="003941A9" w:rsidRPr="00BA7127" w:rsidRDefault="003941A9" w:rsidP="003941A9">
            <w:pPr>
              <w:jc w:val="center"/>
              <w:rPr>
                <w:rFonts w:ascii="Arial" w:hAnsi="Arial" w:cs="Arial"/>
                <w:i/>
                <w:color w:val="000000"/>
                <w:sz w:val="16"/>
                <w:szCs w:val="16"/>
              </w:rPr>
            </w:pPr>
            <w:r w:rsidRPr="0027518F">
              <w:rPr>
                <w:rFonts w:ascii="Arial" w:hAnsi="Arial" w:cs="Arial"/>
                <w:i/>
                <w:color w:val="000000"/>
                <w:sz w:val="16"/>
                <w:szCs w:val="16"/>
              </w:rPr>
              <w:t>99.9%</w:t>
            </w:r>
          </w:p>
        </w:tc>
        <w:tc>
          <w:tcPr>
            <w:tcW w:w="0" w:type="auto"/>
            <w:shd w:val="clear" w:color="auto" w:fill="auto"/>
            <w:vAlign w:val="center"/>
          </w:tcPr>
          <w:p w14:paraId="3D0C14F9" w14:textId="20DF8D58"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99.9%</w:t>
            </w:r>
          </w:p>
        </w:tc>
        <w:tc>
          <w:tcPr>
            <w:tcW w:w="0" w:type="auto"/>
            <w:shd w:val="clear" w:color="auto" w:fill="auto"/>
            <w:vAlign w:val="center"/>
          </w:tcPr>
          <w:p w14:paraId="138D7591" w14:textId="454CD67B" w:rsidR="003941A9" w:rsidRPr="0027518F" w:rsidRDefault="003941A9" w:rsidP="003941A9">
            <w:pPr>
              <w:jc w:val="center"/>
              <w:rPr>
                <w:rFonts w:ascii="Arial" w:hAnsi="Arial" w:cs="Arial"/>
                <w:i/>
                <w:color w:val="000000"/>
                <w:sz w:val="16"/>
                <w:szCs w:val="16"/>
              </w:rPr>
            </w:pPr>
            <w:r>
              <w:rPr>
                <w:rFonts w:ascii="Arial" w:hAnsi="Arial" w:cs="Arial"/>
                <w:i/>
                <w:color w:val="000000"/>
                <w:sz w:val="16"/>
                <w:szCs w:val="16"/>
              </w:rPr>
              <w:t>99.9%</w:t>
            </w:r>
          </w:p>
        </w:tc>
        <w:tc>
          <w:tcPr>
            <w:tcW w:w="0" w:type="auto"/>
            <w:shd w:val="clear" w:color="auto" w:fill="auto"/>
            <w:vAlign w:val="center"/>
          </w:tcPr>
          <w:p w14:paraId="34E3FEBD" w14:textId="0AAAD7BA" w:rsidR="003941A9" w:rsidRPr="00BA7127" w:rsidRDefault="003941A9" w:rsidP="003941A9">
            <w:pPr>
              <w:jc w:val="center"/>
              <w:rPr>
                <w:rFonts w:ascii="Arial" w:hAnsi="Arial" w:cs="Arial"/>
                <w:i/>
                <w:color w:val="000000"/>
                <w:sz w:val="16"/>
                <w:szCs w:val="16"/>
              </w:rPr>
            </w:pPr>
          </w:p>
        </w:tc>
      </w:tr>
      <w:tr w:rsidR="003941A9" w14:paraId="274F0851" w14:textId="77777777" w:rsidTr="0050155B">
        <w:trPr>
          <w:trHeight w:val="232"/>
        </w:trPr>
        <w:tc>
          <w:tcPr>
            <w:tcW w:w="0" w:type="auto"/>
            <w:vMerge w:val="restart"/>
            <w:shd w:val="clear" w:color="auto" w:fill="auto"/>
            <w:vAlign w:val="center"/>
            <w:hideMark/>
          </w:tcPr>
          <w:p w14:paraId="109D898A" w14:textId="0B658204" w:rsidR="003941A9" w:rsidRPr="006E658E" w:rsidRDefault="003941A9" w:rsidP="003941A9">
            <w:pPr>
              <w:rPr>
                <w:rFonts w:ascii="Arial" w:eastAsia="Calibri" w:hAnsi="Arial" w:cs="Arial"/>
                <w:sz w:val="20"/>
                <w:szCs w:val="20"/>
                <w:vertAlign w:val="superscript"/>
              </w:rPr>
            </w:pPr>
            <w:r>
              <w:rPr>
                <w:rFonts w:ascii="Arial" w:eastAsia="Calibri" w:hAnsi="Arial" w:cs="Arial"/>
                <w:sz w:val="20"/>
                <w:szCs w:val="20"/>
              </w:rPr>
              <w:t>4. Migrate supported agencies to virtual firewalls.</w:t>
            </w:r>
          </w:p>
        </w:tc>
        <w:tc>
          <w:tcPr>
            <w:tcW w:w="0" w:type="auto"/>
            <w:shd w:val="clear" w:color="auto" w:fill="D9D9D9" w:themeFill="background1" w:themeFillShade="D9"/>
            <w:vAlign w:val="center"/>
            <w:hideMark/>
          </w:tcPr>
          <w:p w14:paraId="06B23B4B" w14:textId="77777777" w:rsidR="003941A9" w:rsidRDefault="003941A9" w:rsidP="003941A9">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auto" w:fill="D9D9D9" w:themeFill="background1" w:themeFillShade="D9"/>
            <w:vAlign w:val="center"/>
          </w:tcPr>
          <w:p w14:paraId="7E995CA5" w14:textId="0E6D3F5E" w:rsidR="003941A9" w:rsidRDefault="003941A9" w:rsidP="003941A9">
            <w:pPr>
              <w:jc w:val="center"/>
              <w:rPr>
                <w:rFonts w:ascii="Arial" w:hAnsi="Arial" w:cs="Arial"/>
                <w:color w:val="000000"/>
                <w:sz w:val="20"/>
                <w:szCs w:val="20"/>
              </w:rPr>
            </w:pPr>
            <w:r>
              <w:rPr>
                <w:rFonts w:ascii="Arial" w:hAnsi="Arial" w:cs="Arial"/>
                <w:color w:val="000000"/>
                <w:sz w:val="20"/>
                <w:szCs w:val="20"/>
              </w:rPr>
              <w:t>44%</w:t>
            </w:r>
          </w:p>
        </w:tc>
        <w:tc>
          <w:tcPr>
            <w:tcW w:w="0" w:type="auto"/>
            <w:shd w:val="clear" w:color="auto" w:fill="D9D9D9" w:themeFill="background1" w:themeFillShade="D9"/>
            <w:vAlign w:val="center"/>
          </w:tcPr>
          <w:p w14:paraId="5C84332E" w14:textId="7D47EAC1" w:rsidR="003941A9" w:rsidRDefault="003941A9" w:rsidP="003941A9">
            <w:pPr>
              <w:jc w:val="center"/>
              <w:rPr>
                <w:rFonts w:ascii="Arial" w:hAnsi="Arial" w:cs="Arial"/>
                <w:color w:val="000000"/>
                <w:sz w:val="20"/>
                <w:szCs w:val="20"/>
              </w:rPr>
            </w:pPr>
            <w:r w:rsidRPr="0027518F">
              <w:rPr>
                <w:rFonts w:ascii="Arial" w:hAnsi="Arial" w:cs="Arial"/>
                <w:color w:val="000000"/>
                <w:sz w:val="20"/>
                <w:szCs w:val="20"/>
              </w:rPr>
              <w:t>88%</w:t>
            </w:r>
          </w:p>
        </w:tc>
        <w:tc>
          <w:tcPr>
            <w:tcW w:w="0" w:type="auto"/>
            <w:shd w:val="clear" w:color="auto" w:fill="D9D9D9" w:themeFill="background1" w:themeFillShade="D9"/>
            <w:vAlign w:val="center"/>
          </w:tcPr>
          <w:p w14:paraId="56AC54AF" w14:textId="59714C1A" w:rsidR="003941A9" w:rsidRDefault="003941A9" w:rsidP="003941A9">
            <w:pPr>
              <w:jc w:val="center"/>
              <w:rPr>
                <w:rFonts w:ascii="Arial" w:hAnsi="Arial" w:cs="Arial"/>
                <w:color w:val="000000"/>
                <w:sz w:val="20"/>
                <w:szCs w:val="20"/>
              </w:rPr>
            </w:pPr>
            <w:r>
              <w:rPr>
                <w:rFonts w:ascii="Arial" w:hAnsi="Arial" w:cs="Arial"/>
                <w:color w:val="000000"/>
                <w:sz w:val="20"/>
                <w:szCs w:val="20"/>
              </w:rPr>
              <w:t>90%</w:t>
            </w:r>
          </w:p>
        </w:tc>
        <w:tc>
          <w:tcPr>
            <w:tcW w:w="0" w:type="auto"/>
            <w:shd w:val="clear" w:color="auto" w:fill="D9D9D9" w:themeFill="background1" w:themeFillShade="D9"/>
            <w:vAlign w:val="center"/>
          </w:tcPr>
          <w:p w14:paraId="2C39A9C6" w14:textId="686BC9BF" w:rsidR="003941A9" w:rsidRPr="0027518F" w:rsidRDefault="003941A9" w:rsidP="003941A9">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3B32CF7F" w14:textId="5722B4DD" w:rsidR="003941A9" w:rsidRPr="0027518F" w:rsidRDefault="003941A9" w:rsidP="003941A9">
            <w:pPr>
              <w:jc w:val="center"/>
              <w:rPr>
                <w:rFonts w:ascii="Arial" w:hAnsi="Arial" w:cs="Arial"/>
                <w:color w:val="000000"/>
                <w:sz w:val="20"/>
                <w:szCs w:val="20"/>
              </w:rPr>
            </w:pPr>
          </w:p>
        </w:tc>
      </w:tr>
      <w:tr w:rsidR="003941A9" w:rsidRPr="00BA7127" w14:paraId="5C1031D1" w14:textId="77777777" w:rsidTr="002903FD">
        <w:trPr>
          <w:trHeight w:val="377"/>
        </w:trPr>
        <w:tc>
          <w:tcPr>
            <w:tcW w:w="0" w:type="auto"/>
            <w:vMerge/>
            <w:vAlign w:val="center"/>
            <w:hideMark/>
          </w:tcPr>
          <w:p w14:paraId="1DFEC25A" w14:textId="77777777" w:rsidR="003941A9" w:rsidRDefault="003941A9" w:rsidP="003941A9">
            <w:pPr>
              <w:rPr>
                <w:rFonts w:ascii="Arial" w:hAnsi="Arial" w:cs="Arial"/>
                <w:color w:val="000000"/>
                <w:sz w:val="20"/>
                <w:szCs w:val="20"/>
              </w:rPr>
            </w:pPr>
          </w:p>
        </w:tc>
        <w:tc>
          <w:tcPr>
            <w:tcW w:w="0" w:type="auto"/>
            <w:shd w:val="clear" w:color="000000" w:fill="FFFFFF"/>
            <w:vAlign w:val="center"/>
            <w:hideMark/>
          </w:tcPr>
          <w:p w14:paraId="5172AFA4" w14:textId="77777777" w:rsidR="003941A9" w:rsidRPr="00BA7127" w:rsidRDefault="003941A9" w:rsidP="003941A9">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37C90237" w14:textId="6D9FBE06"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25%</w:t>
            </w:r>
          </w:p>
        </w:tc>
        <w:tc>
          <w:tcPr>
            <w:tcW w:w="0" w:type="auto"/>
            <w:shd w:val="clear" w:color="auto" w:fill="auto"/>
            <w:vAlign w:val="center"/>
          </w:tcPr>
          <w:p w14:paraId="3566D771" w14:textId="3D131111" w:rsidR="003941A9" w:rsidRPr="00BA7127" w:rsidRDefault="003941A9" w:rsidP="003941A9">
            <w:pPr>
              <w:jc w:val="center"/>
              <w:rPr>
                <w:rFonts w:ascii="Arial" w:hAnsi="Arial" w:cs="Arial"/>
                <w:i/>
                <w:color w:val="000000"/>
                <w:sz w:val="16"/>
                <w:szCs w:val="16"/>
              </w:rPr>
            </w:pPr>
            <w:r w:rsidRPr="0027518F">
              <w:rPr>
                <w:rFonts w:ascii="Arial" w:hAnsi="Arial" w:cs="Arial"/>
                <w:i/>
                <w:color w:val="000000"/>
                <w:sz w:val="16"/>
                <w:szCs w:val="16"/>
              </w:rPr>
              <w:t>50%</w:t>
            </w:r>
          </w:p>
        </w:tc>
        <w:tc>
          <w:tcPr>
            <w:tcW w:w="0" w:type="auto"/>
            <w:shd w:val="clear" w:color="auto" w:fill="auto"/>
            <w:vAlign w:val="center"/>
          </w:tcPr>
          <w:p w14:paraId="4563CD43" w14:textId="00ABC4C8" w:rsidR="003941A9" w:rsidRPr="00BA7127" w:rsidRDefault="003941A9" w:rsidP="003941A9">
            <w:pPr>
              <w:jc w:val="center"/>
              <w:rPr>
                <w:rFonts w:ascii="Arial" w:hAnsi="Arial" w:cs="Arial"/>
                <w:i/>
                <w:color w:val="000000"/>
                <w:sz w:val="16"/>
                <w:szCs w:val="16"/>
              </w:rPr>
            </w:pPr>
            <w:r w:rsidRPr="0027518F">
              <w:rPr>
                <w:rFonts w:ascii="Arial" w:hAnsi="Arial" w:cs="Arial"/>
                <w:i/>
                <w:color w:val="000000"/>
                <w:sz w:val="16"/>
                <w:szCs w:val="16"/>
              </w:rPr>
              <w:t>95%</w:t>
            </w:r>
          </w:p>
        </w:tc>
        <w:tc>
          <w:tcPr>
            <w:tcW w:w="0" w:type="auto"/>
            <w:shd w:val="clear" w:color="auto" w:fill="auto"/>
            <w:vAlign w:val="center"/>
          </w:tcPr>
          <w:p w14:paraId="20C65A8F" w14:textId="292ABCD9" w:rsidR="003941A9" w:rsidRPr="0027518F" w:rsidRDefault="003941A9" w:rsidP="003941A9">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748CE3E8" w14:textId="69816843" w:rsidR="003941A9" w:rsidRPr="0027518F" w:rsidRDefault="003941A9" w:rsidP="003941A9">
            <w:pPr>
              <w:jc w:val="center"/>
              <w:rPr>
                <w:rFonts w:ascii="Arial" w:hAnsi="Arial" w:cs="Arial"/>
                <w:i/>
                <w:color w:val="000000"/>
                <w:sz w:val="16"/>
                <w:szCs w:val="16"/>
              </w:rPr>
            </w:pPr>
          </w:p>
        </w:tc>
      </w:tr>
      <w:tr w:rsidR="003941A9" w14:paraId="21D242CD" w14:textId="77777777" w:rsidTr="0050155B">
        <w:trPr>
          <w:trHeight w:val="232"/>
        </w:trPr>
        <w:tc>
          <w:tcPr>
            <w:tcW w:w="0" w:type="auto"/>
            <w:vMerge w:val="restart"/>
            <w:shd w:val="clear" w:color="auto" w:fill="auto"/>
            <w:vAlign w:val="center"/>
            <w:hideMark/>
          </w:tcPr>
          <w:p w14:paraId="6CF2948A" w14:textId="1EB22E06" w:rsidR="003941A9" w:rsidRPr="00CC294B" w:rsidRDefault="003941A9" w:rsidP="003941A9">
            <w:pPr>
              <w:rPr>
                <w:rFonts w:ascii="Arial" w:eastAsia="Calibri" w:hAnsi="Arial" w:cs="Arial"/>
                <w:sz w:val="20"/>
                <w:szCs w:val="20"/>
              </w:rPr>
            </w:pPr>
            <w:bookmarkStart w:id="8" w:name="_Hlk111709706"/>
            <w:r>
              <w:rPr>
                <w:rFonts w:ascii="Arial" w:eastAsia="Calibri" w:hAnsi="Arial" w:cs="Arial"/>
                <w:sz w:val="20"/>
                <w:szCs w:val="20"/>
              </w:rPr>
              <w:t xml:space="preserve">5. </w:t>
            </w:r>
            <w:bookmarkStart w:id="9" w:name="_Hlk80775512"/>
            <w:r>
              <w:rPr>
                <w:rFonts w:ascii="Arial" w:eastAsia="Calibri" w:hAnsi="Arial" w:cs="Arial"/>
                <w:sz w:val="20"/>
                <w:szCs w:val="20"/>
              </w:rPr>
              <w:t>Transition and support a total of 7,000 end users to the upgraded Microsoft Office365 platform.</w:t>
            </w:r>
            <w:r w:rsidRPr="00B60597">
              <w:rPr>
                <w:rFonts w:ascii="Arial" w:eastAsia="Calibri" w:hAnsi="Arial" w:cs="Arial"/>
                <w:sz w:val="20"/>
                <w:szCs w:val="20"/>
              </w:rPr>
              <w:t xml:space="preserve"> </w:t>
            </w:r>
            <w:bookmarkEnd w:id="9"/>
          </w:p>
          <w:p w14:paraId="568C3114" w14:textId="77777777" w:rsidR="003941A9" w:rsidRPr="00BA7127" w:rsidRDefault="003941A9" w:rsidP="003941A9">
            <w:pPr>
              <w:rPr>
                <w:rFonts w:ascii="Arial" w:hAnsi="Arial" w:cs="Arial"/>
                <w:color w:val="000000"/>
                <w:sz w:val="20"/>
                <w:szCs w:val="20"/>
              </w:rPr>
            </w:pPr>
          </w:p>
        </w:tc>
        <w:tc>
          <w:tcPr>
            <w:tcW w:w="0" w:type="auto"/>
            <w:shd w:val="clear" w:color="auto" w:fill="D9D9D9" w:themeFill="background1" w:themeFillShade="D9"/>
            <w:vAlign w:val="center"/>
            <w:hideMark/>
          </w:tcPr>
          <w:p w14:paraId="5B43AECC" w14:textId="77777777" w:rsidR="003941A9" w:rsidRDefault="003941A9" w:rsidP="003941A9">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auto" w:fill="D9D9D9" w:themeFill="background1" w:themeFillShade="D9"/>
            <w:vAlign w:val="center"/>
          </w:tcPr>
          <w:p w14:paraId="4E959C7A" w14:textId="3EEACC38" w:rsidR="003941A9" w:rsidRDefault="003941A9" w:rsidP="003941A9">
            <w:pPr>
              <w:jc w:val="center"/>
              <w:rPr>
                <w:rFonts w:ascii="Arial" w:hAnsi="Arial" w:cs="Arial"/>
                <w:color w:val="000000"/>
                <w:sz w:val="20"/>
                <w:szCs w:val="20"/>
              </w:rPr>
            </w:pPr>
            <w:r>
              <w:rPr>
                <w:rFonts w:ascii="Arial" w:hAnsi="Arial" w:cs="Arial"/>
                <w:color w:val="000000"/>
                <w:sz w:val="20"/>
                <w:szCs w:val="20"/>
              </w:rPr>
              <w:t>4,490</w:t>
            </w:r>
          </w:p>
        </w:tc>
        <w:tc>
          <w:tcPr>
            <w:tcW w:w="0" w:type="auto"/>
            <w:shd w:val="clear" w:color="auto" w:fill="D9D9D9" w:themeFill="background1" w:themeFillShade="D9"/>
            <w:vAlign w:val="center"/>
          </w:tcPr>
          <w:p w14:paraId="5CA0E263" w14:textId="705FE5D6" w:rsidR="003941A9" w:rsidRDefault="003941A9" w:rsidP="003941A9">
            <w:pPr>
              <w:jc w:val="center"/>
              <w:rPr>
                <w:rFonts w:ascii="Arial" w:hAnsi="Arial" w:cs="Arial"/>
                <w:color w:val="000000"/>
                <w:sz w:val="20"/>
                <w:szCs w:val="20"/>
              </w:rPr>
            </w:pPr>
            <w:r>
              <w:rPr>
                <w:rFonts w:ascii="Arial" w:hAnsi="Arial" w:cs="Arial"/>
                <w:color w:val="000000"/>
                <w:sz w:val="20"/>
                <w:szCs w:val="20"/>
              </w:rPr>
              <w:t>6,067</w:t>
            </w:r>
          </w:p>
        </w:tc>
        <w:tc>
          <w:tcPr>
            <w:tcW w:w="0" w:type="auto"/>
            <w:shd w:val="clear" w:color="auto" w:fill="D9D9D9" w:themeFill="background1" w:themeFillShade="D9"/>
            <w:vAlign w:val="center"/>
          </w:tcPr>
          <w:p w14:paraId="2319E9A7" w14:textId="5FCE1F7E" w:rsidR="003941A9" w:rsidRDefault="003941A9" w:rsidP="003941A9">
            <w:pPr>
              <w:jc w:val="center"/>
              <w:rPr>
                <w:rFonts w:ascii="Arial" w:hAnsi="Arial" w:cs="Arial"/>
                <w:color w:val="000000"/>
                <w:sz w:val="20"/>
                <w:szCs w:val="20"/>
              </w:rPr>
            </w:pPr>
            <w:r>
              <w:rPr>
                <w:rFonts w:ascii="Arial" w:hAnsi="Arial" w:cs="Arial"/>
                <w:color w:val="000000"/>
                <w:sz w:val="20"/>
                <w:szCs w:val="20"/>
              </w:rPr>
              <w:t>7,398</w:t>
            </w:r>
          </w:p>
        </w:tc>
        <w:tc>
          <w:tcPr>
            <w:tcW w:w="0" w:type="auto"/>
            <w:shd w:val="clear" w:color="auto" w:fill="D9D9D9" w:themeFill="background1" w:themeFillShade="D9"/>
            <w:vAlign w:val="center"/>
          </w:tcPr>
          <w:p w14:paraId="34255E8C" w14:textId="54CAD563" w:rsidR="003941A9" w:rsidRDefault="003941A9" w:rsidP="003941A9">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18A8E127" w14:textId="2489B459" w:rsidR="003941A9" w:rsidRDefault="003941A9" w:rsidP="003941A9">
            <w:pPr>
              <w:jc w:val="center"/>
              <w:rPr>
                <w:rFonts w:ascii="Arial" w:hAnsi="Arial" w:cs="Arial"/>
                <w:color w:val="000000"/>
                <w:sz w:val="20"/>
                <w:szCs w:val="20"/>
              </w:rPr>
            </w:pPr>
          </w:p>
        </w:tc>
      </w:tr>
      <w:bookmarkEnd w:id="8"/>
      <w:tr w:rsidR="003941A9" w:rsidRPr="00BA7127" w14:paraId="7DE656B3" w14:textId="77777777" w:rsidTr="007E6CE4">
        <w:trPr>
          <w:trHeight w:val="494"/>
        </w:trPr>
        <w:tc>
          <w:tcPr>
            <w:tcW w:w="0" w:type="auto"/>
            <w:vMerge/>
            <w:vAlign w:val="center"/>
            <w:hideMark/>
          </w:tcPr>
          <w:p w14:paraId="1A597DB4" w14:textId="77777777" w:rsidR="003941A9" w:rsidRDefault="003941A9" w:rsidP="003941A9">
            <w:pPr>
              <w:rPr>
                <w:rFonts w:ascii="Arial" w:hAnsi="Arial" w:cs="Arial"/>
                <w:color w:val="000000"/>
                <w:sz w:val="20"/>
                <w:szCs w:val="20"/>
              </w:rPr>
            </w:pPr>
          </w:p>
        </w:tc>
        <w:tc>
          <w:tcPr>
            <w:tcW w:w="0" w:type="auto"/>
            <w:shd w:val="clear" w:color="000000" w:fill="FFFFFF"/>
            <w:vAlign w:val="center"/>
            <w:hideMark/>
          </w:tcPr>
          <w:p w14:paraId="763823F3" w14:textId="77777777" w:rsidR="003941A9" w:rsidRPr="00BA7127" w:rsidRDefault="003941A9" w:rsidP="003941A9">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62C81F01" w14:textId="0BDBAFEA"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7,000</w:t>
            </w:r>
          </w:p>
        </w:tc>
        <w:tc>
          <w:tcPr>
            <w:tcW w:w="0" w:type="auto"/>
            <w:shd w:val="clear" w:color="auto" w:fill="auto"/>
            <w:vAlign w:val="center"/>
          </w:tcPr>
          <w:p w14:paraId="325A61C6" w14:textId="0C32FDF2"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7,000</w:t>
            </w:r>
          </w:p>
        </w:tc>
        <w:tc>
          <w:tcPr>
            <w:tcW w:w="0" w:type="auto"/>
            <w:shd w:val="clear" w:color="auto" w:fill="auto"/>
            <w:vAlign w:val="center"/>
          </w:tcPr>
          <w:p w14:paraId="5065BECC" w14:textId="32D5F6D2"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7,000</w:t>
            </w:r>
          </w:p>
        </w:tc>
        <w:tc>
          <w:tcPr>
            <w:tcW w:w="0" w:type="auto"/>
            <w:shd w:val="clear" w:color="auto" w:fill="auto"/>
            <w:vAlign w:val="center"/>
          </w:tcPr>
          <w:p w14:paraId="6A557817" w14:textId="4ECA7418" w:rsidR="003941A9" w:rsidRPr="00BA7127" w:rsidRDefault="003941A9" w:rsidP="003941A9">
            <w:pPr>
              <w:jc w:val="center"/>
              <w:rPr>
                <w:rFonts w:ascii="Arial" w:hAnsi="Arial" w:cs="Arial"/>
                <w:i/>
                <w:color w:val="000000"/>
                <w:sz w:val="16"/>
                <w:szCs w:val="16"/>
              </w:rPr>
            </w:pPr>
            <w:r>
              <w:rPr>
                <w:rFonts w:ascii="Arial" w:hAnsi="Arial" w:cs="Arial"/>
                <w:i/>
                <w:color w:val="000000"/>
                <w:sz w:val="16"/>
                <w:szCs w:val="16"/>
              </w:rPr>
              <w:t>9,000</w:t>
            </w:r>
          </w:p>
        </w:tc>
        <w:tc>
          <w:tcPr>
            <w:tcW w:w="0" w:type="auto"/>
            <w:shd w:val="clear" w:color="auto" w:fill="auto"/>
            <w:vAlign w:val="center"/>
          </w:tcPr>
          <w:p w14:paraId="6BECFE58" w14:textId="183C158D" w:rsidR="003941A9" w:rsidRPr="00BA7127" w:rsidRDefault="003941A9" w:rsidP="003941A9">
            <w:pPr>
              <w:jc w:val="center"/>
              <w:rPr>
                <w:rFonts w:ascii="Arial" w:hAnsi="Arial" w:cs="Arial"/>
                <w:i/>
                <w:color w:val="000000"/>
                <w:sz w:val="16"/>
                <w:szCs w:val="16"/>
              </w:rPr>
            </w:pPr>
          </w:p>
        </w:tc>
      </w:tr>
      <w:tr w:rsidR="00161F2D" w:rsidRPr="00D764B5" w14:paraId="2F338C21" w14:textId="77777777" w:rsidTr="00E06D94">
        <w:trPr>
          <w:trHeight w:val="611"/>
        </w:trPr>
        <w:tc>
          <w:tcPr>
            <w:tcW w:w="0" w:type="auto"/>
            <w:gridSpan w:val="7"/>
            <w:shd w:val="clear" w:color="auto" w:fill="DBE5F1" w:themeFill="accent1" w:themeFillTint="33"/>
            <w:vAlign w:val="center"/>
          </w:tcPr>
          <w:p w14:paraId="3EE9ECF0" w14:textId="7AA517FE" w:rsidR="00161F2D" w:rsidRPr="00D764B5" w:rsidRDefault="00161F2D" w:rsidP="00161F2D">
            <w:pPr>
              <w:ind w:left="100" w:right="63"/>
              <w:jc w:val="center"/>
              <w:rPr>
                <w:rFonts w:ascii="Calibri" w:eastAsia="Calibri" w:hAnsi="Calibri" w:cs="Calibri"/>
                <w:highlight w:val="yellow"/>
              </w:rPr>
            </w:pPr>
            <w:bookmarkStart w:id="10" w:name="_Hlk47343980"/>
            <w:r w:rsidRPr="00197671">
              <w:rPr>
                <w:rFonts w:ascii="Arial" w:hAnsi="Arial" w:cs="Arial"/>
                <w:sz w:val="20"/>
                <w:szCs w:val="20"/>
              </w:rPr>
              <w:t xml:space="preserve">Goal </w:t>
            </w:r>
            <w:r>
              <w:rPr>
                <w:rFonts w:ascii="Arial" w:hAnsi="Arial" w:cs="Arial"/>
                <w:sz w:val="20"/>
                <w:szCs w:val="20"/>
              </w:rPr>
              <w:t>3</w:t>
            </w:r>
            <w:r w:rsidRPr="00197671">
              <w:rPr>
                <w:rFonts w:ascii="Arial" w:hAnsi="Arial" w:cs="Arial"/>
                <w:sz w:val="20"/>
                <w:szCs w:val="20"/>
              </w:rPr>
              <w:t xml:space="preserve"> </w:t>
            </w:r>
            <w:r>
              <w:rPr>
                <w:rFonts w:ascii="Arial" w:hAnsi="Arial" w:cs="Arial"/>
                <w:sz w:val="20"/>
                <w:szCs w:val="20"/>
              </w:rPr>
              <w:t>–</w:t>
            </w:r>
            <w:r w:rsidRPr="00197671">
              <w:rPr>
                <w:rFonts w:ascii="Arial" w:hAnsi="Arial" w:cs="Arial"/>
                <w:sz w:val="20"/>
                <w:szCs w:val="20"/>
              </w:rPr>
              <w:t xml:space="preserve"> </w:t>
            </w:r>
            <w:r>
              <w:rPr>
                <w:rFonts w:ascii="Arial" w:hAnsi="Arial" w:cs="Arial"/>
                <w:sz w:val="20"/>
                <w:szCs w:val="20"/>
              </w:rPr>
              <w:t>Evolve the Enterprise</w:t>
            </w:r>
          </w:p>
        </w:tc>
      </w:tr>
      <w:bookmarkEnd w:id="10"/>
      <w:tr w:rsidR="003941A9" w:rsidRPr="00D764B5" w14:paraId="11E69AC3" w14:textId="77777777" w:rsidTr="0050155B">
        <w:trPr>
          <w:trHeight w:val="232"/>
        </w:trPr>
        <w:tc>
          <w:tcPr>
            <w:tcW w:w="0" w:type="auto"/>
            <w:vMerge w:val="restart"/>
            <w:shd w:val="clear" w:color="auto" w:fill="auto"/>
            <w:vAlign w:val="center"/>
            <w:hideMark/>
          </w:tcPr>
          <w:p w14:paraId="679398C4" w14:textId="6B132090" w:rsidR="003941A9" w:rsidRPr="00FB44DA" w:rsidRDefault="003941A9" w:rsidP="003941A9">
            <w:pPr>
              <w:pStyle w:val="Default"/>
              <w:adjustRightInd/>
              <w:rPr>
                <w:rFonts w:eastAsia="Calibri"/>
                <w:color w:val="auto"/>
                <w:sz w:val="20"/>
                <w:szCs w:val="20"/>
              </w:rPr>
            </w:pPr>
            <w:r>
              <w:rPr>
                <w:rFonts w:eastAsia="Calibri"/>
                <w:color w:val="auto"/>
                <w:sz w:val="20"/>
                <w:szCs w:val="20"/>
              </w:rPr>
              <w:t>6</w:t>
            </w:r>
            <w:r w:rsidRPr="00FB44DA">
              <w:rPr>
                <w:rFonts w:eastAsia="Calibri"/>
                <w:color w:val="auto"/>
                <w:sz w:val="20"/>
                <w:szCs w:val="20"/>
              </w:rPr>
              <w:t xml:space="preserve">. </w:t>
            </w:r>
            <w:r>
              <w:rPr>
                <w:rFonts w:eastAsia="Calibri"/>
                <w:color w:val="auto"/>
                <w:sz w:val="20"/>
                <w:szCs w:val="20"/>
              </w:rPr>
              <w:t xml:space="preserve">Migrate ITS </w:t>
            </w:r>
            <w:proofErr w:type="spellStart"/>
            <w:r>
              <w:rPr>
                <w:rFonts w:eastAsia="Calibri"/>
                <w:color w:val="auto"/>
                <w:sz w:val="20"/>
                <w:szCs w:val="20"/>
              </w:rPr>
              <w:t>and</w:t>
            </w:r>
            <w:proofErr w:type="spellEnd"/>
            <w:r>
              <w:rPr>
                <w:rFonts w:eastAsia="Calibri"/>
                <w:color w:val="auto"/>
                <w:sz w:val="20"/>
                <w:szCs w:val="20"/>
              </w:rPr>
              <w:t xml:space="preserve"> agency virtual machines to new, modern server and storage infrastructure.</w:t>
            </w:r>
          </w:p>
          <w:p w14:paraId="24587BAF" w14:textId="77777777" w:rsidR="003941A9" w:rsidRPr="00D764B5" w:rsidRDefault="003941A9" w:rsidP="003941A9">
            <w:pPr>
              <w:rPr>
                <w:rFonts w:ascii="Arial" w:hAnsi="Arial" w:cs="Arial"/>
                <w:color w:val="000000"/>
                <w:sz w:val="20"/>
                <w:szCs w:val="20"/>
                <w:highlight w:val="yellow"/>
              </w:rPr>
            </w:pPr>
          </w:p>
        </w:tc>
        <w:tc>
          <w:tcPr>
            <w:tcW w:w="0" w:type="auto"/>
            <w:shd w:val="clear" w:color="auto" w:fill="D9D9D9" w:themeFill="background1" w:themeFillShade="D9"/>
            <w:vAlign w:val="center"/>
            <w:hideMark/>
          </w:tcPr>
          <w:p w14:paraId="718DB24D" w14:textId="77777777" w:rsidR="003941A9" w:rsidRPr="00385519" w:rsidRDefault="003941A9" w:rsidP="003941A9">
            <w:pPr>
              <w:jc w:val="center"/>
              <w:rPr>
                <w:rFonts w:ascii="Arial" w:hAnsi="Arial" w:cs="Arial"/>
                <w:color w:val="000000"/>
                <w:sz w:val="20"/>
                <w:szCs w:val="20"/>
              </w:rPr>
            </w:pPr>
            <w:r w:rsidRPr="00385519">
              <w:rPr>
                <w:rFonts w:ascii="Arial" w:hAnsi="Arial" w:cs="Arial"/>
                <w:color w:val="000000"/>
                <w:sz w:val="20"/>
                <w:szCs w:val="20"/>
              </w:rPr>
              <w:t>actual</w:t>
            </w:r>
          </w:p>
        </w:tc>
        <w:tc>
          <w:tcPr>
            <w:tcW w:w="0" w:type="auto"/>
            <w:shd w:val="clear" w:color="auto" w:fill="D9D9D9" w:themeFill="background1" w:themeFillShade="D9"/>
            <w:vAlign w:val="center"/>
          </w:tcPr>
          <w:p w14:paraId="63FE29FC" w14:textId="2E604D37" w:rsidR="003941A9" w:rsidRPr="00385519" w:rsidRDefault="003941A9" w:rsidP="003941A9">
            <w:pPr>
              <w:jc w:val="center"/>
              <w:rPr>
                <w:rFonts w:ascii="Arial" w:hAnsi="Arial" w:cs="Arial"/>
                <w:color w:val="000000"/>
                <w:sz w:val="20"/>
                <w:szCs w:val="20"/>
              </w:rPr>
            </w:pPr>
            <w:r w:rsidRPr="009E35FF">
              <w:rPr>
                <w:rFonts w:ascii="Arial" w:hAnsi="Arial" w:cs="Arial"/>
                <w:color w:val="000000"/>
                <w:sz w:val="20"/>
                <w:szCs w:val="20"/>
              </w:rPr>
              <w:t>N/A</w:t>
            </w:r>
          </w:p>
        </w:tc>
        <w:tc>
          <w:tcPr>
            <w:tcW w:w="0" w:type="auto"/>
            <w:shd w:val="clear" w:color="auto" w:fill="D9D9D9" w:themeFill="background1" w:themeFillShade="D9"/>
            <w:vAlign w:val="center"/>
          </w:tcPr>
          <w:p w14:paraId="289D85AF" w14:textId="61045838" w:rsidR="003941A9" w:rsidRPr="00385519" w:rsidRDefault="003941A9" w:rsidP="003941A9">
            <w:pPr>
              <w:jc w:val="center"/>
              <w:rPr>
                <w:rFonts w:ascii="Arial" w:hAnsi="Arial" w:cs="Arial"/>
                <w:color w:val="000000"/>
                <w:sz w:val="20"/>
                <w:szCs w:val="20"/>
              </w:rPr>
            </w:pPr>
            <w:r>
              <w:rPr>
                <w:rFonts w:ascii="Arial" w:hAnsi="Arial" w:cs="Arial"/>
                <w:color w:val="000000"/>
                <w:sz w:val="20"/>
                <w:szCs w:val="20"/>
              </w:rPr>
              <w:t>221</w:t>
            </w:r>
          </w:p>
        </w:tc>
        <w:tc>
          <w:tcPr>
            <w:tcW w:w="0" w:type="auto"/>
            <w:shd w:val="clear" w:color="auto" w:fill="D9D9D9" w:themeFill="background1" w:themeFillShade="D9"/>
            <w:vAlign w:val="center"/>
          </w:tcPr>
          <w:p w14:paraId="3E1E5BF2" w14:textId="14E31A2E" w:rsidR="003941A9" w:rsidRPr="009E35FF" w:rsidRDefault="003941A9" w:rsidP="003941A9">
            <w:pPr>
              <w:jc w:val="center"/>
              <w:rPr>
                <w:rFonts w:ascii="Arial" w:hAnsi="Arial" w:cs="Arial"/>
                <w:color w:val="000000"/>
                <w:sz w:val="20"/>
                <w:szCs w:val="20"/>
              </w:rPr>
            </w:pPr>
            <w:r>
              <w:rPr>
                <w:rFonts w:ascii="Arial" w:hAnsi="Arial" w:cs="Arial"/>
                <w:color w:val="000000"/>
                <w:sz w:val="20"/>
                <w:szCs w:val="20"/>
              </w:rPr>
              <w:t>296</w:t>
            </w:r>
          </w:p>
        </w:tc>
        <w:tc>
          <w:tcPr>
            <w:tcW w:w="0" w:type="auto"/>
            <w:shd w:val="clear" w:color="auto" w:fill="D9D9D9" w:themeFill="background1" w:themeFillShade="D9"/>
            <w:vAlign w:val="center"/>
          </w:tcPr>
          <w:p w14:paraId="2DBA36CB" w14:textId="4AD1D395" w:rsidR="003941A9" w:rsidRPr="009E35FF" w:rsidRDefault="003941A9" w:rsidP="003941A9">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5BD4E874" w14:textId="0A7767F0" w:rsidR="003941A9" w:rsidRPr="00364283" w:rsidRDefault="003941A9" w:rsidP="003941A9">
            <w:pPr>
              <w:jc w:val="center"/>
              <w:rPr>
                <w:rFonts w:ascii="Arial" w:hAnsi="Arial" w:cs="Arial"/>
                <w:color w:val="000000"/>
                <w:sz w:val="20"/>
                <w:szCs w:val="20"/>
              </w:rPr>
            </w:pPr>
          </w:p>
        </w:tc>
      </w:tr>
      <w:tr w:rsidR="003941A9" w:rsidRPr="00D764B5" w14:paraId="64F36FD1" w14:textId="77777777" w:rsidTr="007E6CE4">
        <w:trPr>
          <w:trHeight w:val="386"/>
        </w:trPr>
        <w:tc>
          <w:tcPr>
            <w:tcW w:w="0" w:type="auto"/>
            <w:vMerge/>
            <w:vAlign w:val="center"/>
            <w:hideMark/>
          </w:tcPr>
          <w:p w14:paraId="56CBDE8A" w14:textId="77777777" w:rsidR="003941A9" w:rsidRPr="00D764B5" w:rsidRDefault="003941A9" w:rsidP="003941A9">
            <w:pPr>
              <w:rPr>
                <w:rFonts w:ascii="Arial" w:hAnsi="Arial" w:cs="Arial"/>
                <w:color w:val="000000"/>
                <w:sz w:val="20"/>
                <w:szCs w:val="20"/>
                <w:highlight w:val="yellow"/>
              </w:rPr>
            </w:pPr>
          </w:p>
        </w:tc>
        <w:tc>
          <w:tcPr>
            <w:tcW w:w="0" w:type="auto"/>
            <w:shd w:val="clear" w:color="000000" w:fill="FFFFFF"/>
            <w:vAlign w:val="center"/>
            <w:hideMark/>
          </w:tcPr>
          <w:p w14:paraId="66253AB5" w14:textId="77777777" w:rsidR="003941A9" w:rsidRPr="00385519" w:rsidRDefault="003941A9" w:rsidP="003941A9">
            <w:pPr>
              <w:jc w:val="center"/>
              <w:rPr>
                <w:rFonts w:ascii="Arial" w:hAnsi="Arial" w:cs="Arial"/>
                <w:i/>
                <w:iCs/>
                <w:color w:val="000000"/>
                <w:sz w:val="16"/>
                <w:szCs w:val="16"/>
              </w:rPr>
            </w:pPr>
            <w:r w:rsidRPr="00385519">
              <w:rPr>
                <w:rFonts w:ascii="Arial" w:hAnsi="Arial" w:cs="Arial"/>
                <w:i/>
                <w:iCs/>
                <w:color w:val="000000"/>
                <w:sz w:val="16"/>
                <w:szCs w:val="16"/>
              </w:rPr>
              <w:t>target</w:t>
            </w:r>
          </w:p>
        </w:tc>
        <w:tc>
          <w:tcPr>
            <w:tcW w:w="0" w:type="auto"/>
            <w:shd w:val="clear" w:color="auto" w:fill="auto"/>
            <w:vAlign w:val="center"/>
          </w:tcPr>
          <w:p w14:paraId="3D4A2525" w14:textId="0584BEB1" w:rsidR="003941A9" w:rsidRPr="00385519" w:rsidRDefault="003941A9" w:rsidP="003941A9">
            <w:pPr>
              <w:jc w:val="center"/>
              <w:rPr>
                <w:rFonts w:ascii="Arial" w:hAnsi="Arial" w:cs="Arial"/>
                <w:i/>
                <w:color w:val="000000"/>
                <w:sz w:val="16"/>
                <w:szCs w:val="16"/>
              </w:rPr>
            </w:pPr>
            <w:r w:rsidRPr="009E35FF">
              <w:rPr>
                <w:rFonts w:ascii="Arial" w:hAnsi="Arial" w:cs="Arial"/>
                <w:i/>
                <w:color w:val="000000"/>
                <w:sz w:val="16"/>
                <w:szCs w:val="16"/>
              </w:rPr>
              <w:t>N/A</w:t>
            </w:r>
          </w:p>
        </w:tc>
        <w:tc>
          <w:tcPr>
            <w:tcW w:w="0" w:type="auto"/>
            <w:shd w:val="clear" w:color="auto" w:fill="auto"/>
            <w:vAlign w:val="center"/>
          </w:tcPr>
          <w:p w14:paraId="607FCBCA" w14:textId="259C5581" w:rsidR="003941A9" w:rsidRPr="00385519" w:rsidRDefault="003941A9" w:rsidP="003941A9">
            <w:pPr>
              <w:jc w:val="center"/>
              <w:rPr>
                <w:rFonts w:ascii="Arial" w:hAnsi="Arial" w:cs="Arial"/>
                <w:i/>
                <w:color w:val="000000"/>
                <w:sz w:val="16"/>
                <w:szCs w:val="16"/>
              </w:rPr>
            </w:pPr>
            <w:r>
              <w:rPr>
                <w:rFonts w:ascii="Arial" w:hAnsi="Arial" w:cs="Arial"/>
                <w:i/>
                <w:color w:val="000000"/>
                <w:sz w:val="16"/>
                <w:szCs w:val="16"/>
              </w:rPr>
              <w:t>390</w:t>
            </w:r>
          </w:p>
        </w:tc>
        <w:tc>
          <w:tcPr>
            <w:tcW w:w="0" w:type="auto"/>
            <w:shd w:val="clear" w:color="auto" w:fill="auto"/>
            <w:vAlign w:val="center"/>
          </w:tcPr>
          <w:p w14:paraId="21B9EBF0" w14:textId="4FA2AC5A" w:rsidR="003941A9" w:rsidRPr="009E35FF" w:rsidRDefault="003941A9" w:rsidP="003941A9">
            <w:pPr>
              <w:jc w:val="center"/>
              <w:rPr>
                <w:rFonts w:ascii="Arial" w:hAnsi="Arial" w:cs="Arial"/>
                <w:i/>
                <w:color w:val="000000"/>
                <w:sz w:val="16"/>
                <w:szCs w:val="16"/>
              </w:rPr>
            </w:pPr>
            <w:r>
              <w:rPr>
                <w:rFonts w:ascii="Arial" w:hAnsi="Arial" w:cs="Arial"/>
                <w:i/>
                <w:color w:val="000000"/>
                <w:sz w:val="16"/>
                <w:szCs w:val="16"/>
              </w:rPr>
              <w:t>390</w:t>
            </w:r>
          </w:p>
        </w:tc>
        <w:tc>
          <w:tcPr>
            <w:tcW w:w="0" w:type="auto"/>
            <w:shd w:val="clear" w:color="auto" w:fill="auto"/>
            <w:vAlign w:val="center"/>
          </w:tcPr>
          <w:p w14:paraId="749D0AB6" w14:textId="42DCAEE6" w:rsidR="003941A9" w:rsidRPr="009E35FF" w:rsidRDefault="003941A9" w:rsidP="003941A9">
            <w:pPr>
              <w:jc w:val="center"/>
              <w:rPr>
                <w:rFonts w:ascii="Arial" w:hAnsi="Arial" w:cs="Arial"/>
                <w:i/>
                <w:color w:val="000000"/>
                <w:sz w:val="16"/>
                <w:szCs w:val="16"/>
              </w:rPr>
            </w:pPr>
            <w:r>
              <w:rPr>
                <w:rFonts w:ascii="Arial" w:hAnsi="Arial" w:cs="Arial"/>
                <w:i/>
                <w:color w:val="000000"/>
                <w:sz w:val="16"/>
                <w:szCs w:val="16"/>
              </w:rPr>
              <w:t>355</w:t>
            </w:r>
          </w:p>
        </w:tc>
        <w:tc>
          <w:tcPr>
            <w:tcW w:w="0" w:type="auto"/>
            <w:shd w:val="clear" w:color="auto" w:fill="auto"/>
            <w:vAlign w:val="center"/>
          </w:tcPr>
          <w:p w14:paraId="47B0CE9E" w14:textId="21DB137E" w:rsidR="003941A9" w:rsidRPr="00364283" w:rsidRDefault="003941A9" w:rsidP="003941A9">
            <w:pPr>
              <w:jc w:val="center"/>
              <w:rPr>
                <w:rFonts w:ascii="Arial" w:hAnsi="Arial" w:cs="Arial"/>
                <w:i/>
                <w:color w:val="000000"/>
                <w:sz w:val="16"/>
                <w:szCs w:val="16"/>
              </w:rPr>
            </w:pPr>
          </w:p>
        </w:tc>
      </w:tr>
      <w:tr w:rsidR="00161F2D" w:rsidRPr="000F25AC" w14:paraId="2DE3F15A" w14:textId="77777777" w:rsidTr="0061732A">
        <w:trPr>
          <w:trHeight w:val="611"/>
        </w:trPr>
        <w:tc>
          <w:tcPr>
            <w:tcW w:w="0" w:type="auto"/>
            <w:gridSpan w:val="7"/>
            <w:shd w:val="clear" w:color="auto" w:fill="DBE5F1" w:themeFill="accent1" w:themeFillTint="33"/>
            <w:vAlign w:val="center"/>
          </w:tcPr>
          <w:p w14:paraId="62C8013A" w14:textId="75560062" w:rsidR="00161F2D" w:rsidRPr="00625F87" w:rsidRDefault="00161F2D" w:rsidP="00161F2D">
            <w:pPr>
              <w:ind w:left="100" w:right="63"/>
              <w:jc w:val="center"/>
              <w:rPr>
                <w:rFonts w:ascii="Calibri" w:eastAsia="Calibri" w:hAnsi="Calibri" w:cs="Calibri"/>
                <w:highlight w:val="yellow"/>
              </w:rPr>
            </w:pPr>
            <w:r w:rsidRPr="00987F44">
              <w:rPr>
                <w:rFonts w:ascii="Arial" w:hAnsi="Arial" w:cs="Arial"/>
                <w:sz w:val="20"/>
                <w:szCs w:val="20"/>
              </w:rPr>
              <w:t xml:space="preserve">Goal 4 </w:t>
            </w:r>
            <w:r>
              <w:rPr>
                <w:rFonts w:ascii="Arial" w:hAnsi="Arial" w:cs="Arial"/>
                <w:sz w:val="20"/>
                <w:szCs w:val="20"/>
              </w:rPr>
              <w:t>–</w:t>
            </w:r>
            <w:r w:rsidRPr="00987F44">
              <w:rPr>
                <w:rFonts w:ascii="Arial" w:hAnsi="Arial" w:cs="Arial"/>
                <w:sz w:val="20"/>
                <w:szCs w:val="20"/>
              </w:rPr>
              <w:t xml:space="preserve"> </w:t>
            </w:r>
            <w:r>
              <w:rPr>
                <w:rFonts w:ascii="Arial" w:hAnsi="Arial" w:cs="Arial"/>
                <w:sz w:val="20"/>
                <w:szCs w:val="20"/>
              </w:rPr>
              <w:t>Organizational Excellence</w:t>
            </w:r>
          </w:p>
        </w:tc>
      </w:tr>
      <w:tr w:rsidR="003941A9" w:rsidRPr="00D764B5" w14:paraId="6C7ACA66" w14:textId="77777777" w:rsidTr="0050155B">
        <w:trPr>
          <w:trHeight w:val="232"/>
        </w:trPr>
        <w:tc>
          <w:tcPr>
            <w:tcW w:w="0" w:type="auto"/>
            <w:vMerge w:val="restart"/>
            <w:shd w:val="clear" w:color="auto" w:fill="auto"/>
            <w:vAlign w:val="center"/>
            <w:hideMark/>
          </w:tcPr>
          <w:p w14:paraId="1CAED706" w14:textId="4EACE196" w:rsidR="003941A9" w:rsidRPr="000F25AC" w:rsidRDefault="003941A9" w:rsidP="003941A9">
            <w:pPr>
              <w:rPr>
                <w:rFonts w:ascii="Arial" w:eastAsia="Calibri" w:hAnsi="Arial" w:cs="Arial"/>
                <w:sz w:val="20"/>
                <w:szCs w:val="20"/>
              </w:rPr>
            </w:pPr>
            <w:bookmarkStart w:id="11" w:name="_Hlk111711389"/>
            <w:r>
              <w:rPr>
                <w:rFonts w:ascii="Arial" w:eastAsia="Calibri" w:hAnsi="Arial" w:cs="Arial"/>
                <w:sz w:val="20"/>
                <w:szCs w:val="20"/>
              </w:rPr>
              <w:t>7</w:t>
            </w:r>
            <w:r w:rsidRPr="000F25AC">
              <w:rPr>
                <w:rFonts w:ascii="Arial" w:eastAsia="Calibri" w:hAnsi="Arial" w:cs="Arial"/>
                <w:sz w:val="20"/>
                <w:szCs w:val="20"/>
              </w:rPr>
              <w:t xml:space="preserve">. </w:t>
            </w:r>
            <w:r>
              <w:rPr>
                <w:rFonts w:ascii="Arial" w:eastAsia="Calibri" w:hAnsi="Arial" w:cs="Arial"/>
                <w:sz w:val="20"/>
                <w:szCs w:val="20"/>
              </w:rPr>
              <w:t>Average Service Desk survey results.</w:t>
            </w:r>
          </w:p>
          <w:p w14:paraId="7A7BC609" w14:textId="77777777" w:rsidR="003941A9" w:rsidRPr="00D764B5" w:rsidRDefault="003941A9" w:rsidP="003941A9">
            <w:pPr>
              <w:rPr>
                <w:rFonts w:ascii="Arial" w:hAnsi="Arial" w:cs="Arial"/>
                <w:color w:val="000000"/>
                <w:sz w:val="20"/>
                <w:szCs w:val="20"/>
                <w:highlight w:val="yellow"/>
              </w:rPr>
            </w:pPr>
          </w:p>
        </w:tc>
        <w:tc>
          <w:tcPr>
            <w:tcW w:w="0" w:type="auto"/>
            <w:shd w:val="clear" w:color="auto" w:fill="D9D9D9" w:themeFill="background1" w:themeFillShade="D9"/>
            <w:vAlign w:val="center"/>
            <w:hideMark/>
          </w:tcPr>
          <w:p w14:paraId="796944B2" w14:textId="77777777" w:rsidR="003941A9" w:rsidRPr="00987F44" w:rsidRDefault="003941A9" w:rsidP="003941A9">
            <w:pPr>
              <w:jc w:val="center"/>
              <w:rPr>
                <w:rFonts w:ascii="Arial" w:hAnsi="Arial" w:cs="Arial"/>
                <w:color w:val="000000"/>
                <w:sz w:val="20"/>
                <w:szCs w:val="20"/>
              </w:rPr>
            </w:pPr>
            <w:r w:rsidRPr="00987F44">
              <w:rPr>
                <w:rFonts w:ascii="Arial" w:hAnsi="Arial" w:cs="Arial"/>
                <w:color w:val="000000"/>
                <w:sz w:val="20"/>
                <w:szCs w:val="20"/>
              </w:rPr>
              <w:t>actual</w:t>
            </w:r>
          </w:p>
        </w:tc>
        <w:tc>
          <w:tcPr>
            <w:tcW w:w="0" w:type="auto"/>
            <w:shd w:val="clear" w:color="auto" w:fill="D9D9D9" w:themeFill="background1" w:themeFillShade="D9"/>
            <w:vAlign w:val="center"/>
          </w:tcPr>
          <w:p w14:paraId="567D6390" w14:textId="5CEDB014" w:rsidR="003941A9" w:rsidRPr="00987F44" w:rsidRDefault="003941A9" w:rsidP="003941A9">
            <w:pPr>
              <w:jc w:val="center"/>
              <w:rPr>
                <w:rFonts w:ascii="Arial" w:hAnsi="Arial" w:cs="Arial"/>
                <w:color w:val="000000"/>
                <w:sz w:val="20"/>
                <w:szCs w:val="20"/>
              </w:rPr>
            </w:pPr>
            <w:r>
              <w:rPr>
                <w:rFonts w:ascii="Arial" w:hAnsi="Arial" w:cs="Arial"/>
                <w:color w:val="000000"/>
                <w:sz w:val="20"/>
                <w:szCs w:val="20"/>
              </w:rPr>
              <w:t>4.72</w:t>
            </w:r>
          </w:p>
        </w:tc>
        <w:tc>
          <w:tcPr>
            <w:tcW w:w="0" w:type="auto"/>
            <w:shd w:val="clear" w:color="auto" w:fill="D9D9D9" w:themeFill="background1" w:themeFillShade="D9"/>
            <w:vAlign w:val="center"/>
          </w:tcPr>
          <w:p w14:paraId="236171BE" w14:textId="2AB461D3" w:rsidR="003941A9" w:rsidRPr="00987F44" w:rsidRDefault="003941A9" w:rsidP="003941A9">
            <w:pPr>
              <w:jc w:val="center"/>
              <w:rPr>
                <w:rFonts w:ascii="Arial" w:hAnsi="Arial" w:cs="Arial"/>
                <w:color w:val="000000"/>
                <w:sz w:val="20"/>
                <w:szCs w:val="20"/>
              </w:rPr>
            </w:pPr>
            <w:r>
              <w:rPr>
                <w:rFonts w:ascii="Arial" w:hAnsi="Arial" w:cs="Arial"/>
                <w:color w:val="000000"/>
                <w:sz w:val="20"/>
                <w:szCs w:val="20"/>
              </w:rPr>
              <w:t>4.6</w:t>
            </w:r>
          </w:p>
        </w:tc>
        <w:tc>
          <w:tcPr>
            <w:tcW w:w="0" w:type="auto"/>
            <w:shd w:val="clear" w:color="auto" w:fill="D9D9D9" w:themeFill="background1" w:themeFillShade="D9"/>
            <w:vAlign w:val="center"/>
          </w:tcPr>
          <w:p w14:paraId="6C55451C" w14:textId="67C88758" w:rsidR="003941A9" w:rsidRPr="00987F44" w:rsidRDefault="003941A9" w:rsidP="003941A9">
            <w:pPr>
              <w:jc w:val="center"/>
              <w:rPr>
                <w:rFonts w:ascii="Arial" w:hAnsi="Arial" w:cs="Arial"/>
                <w:color w:val="000000"/>
                <w:sz w:val="20"/>
                <w:szCs w:val="20"/>
              </w:rPr>
            </w:pPr>
            <w:r>
              <w:rPr>
                <w:rFonts w:ascii="Arial" w:hAnsi="Arial" w:cs="Arial"/>
                <w:color w:val="000000"/>
                <w:sz w:val="20"/>
                <w:szCs w:val="20"/>
              </w:rPr>
              <w:t>4.6</w:t>
            </w:r>
          </w:p>
        </w:tc>
        <w:tc>
          <w:tcPr>
            <w:tcW w:w="0" w:type="auto"/>
            <w:shd w:val="clear" w:color="auto" w:fill="D9D9D9" w:themeFill="background1" w:themeFillShade="D9"/>
            <w:vAlign w:val="center"/>
          </w:tcPr>
          <w:p w14:paraId="1E494121" w14:textId="6C83DB86" w:rsidR="003941A9" w:rsidRPr="00987F44" w:rsidRDefault="003941A9" w:rsidP="003941A9">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7B544F80" w14:textId="491DDF26" w:rsidR="003941A9" w:rsidRPr="00364283" w:rsidRDefault="003941A9" w:rsidP="003941A9">
            <w:pPr>
              <w:jc w:val="center"/>
              <w:rPr>
                <w:rFonts w:ascii="Arial" w:hAnsi="Arial" w:cs="Arial"/>
                <w:color w:val="000000"/>
                <w:sz w:val="20"/>
                <w:szCs w:val="20"/>
              </w:rPr>
            </w:pPr>
          </w:p>
        </w:tc>
      </w:tr>
      <w:bookmarkEnd w:id="11"/>
      <w:tr w:rsidR="003941A9" w:rsidRPr="00D764B5" w14:paraId="7B902BA7" w14:textId="77777777" w:rsidTr="007E6CE4">
        <w:trPr>
          <w:trHeight w:val="386"/>
        </w:trPr>
        <w:tc>
          <w:tcPr>
            <w:tcW w:w="0" w:type="auto"/>
            <w:vMerge/>
            <w:vAlign w:val="center"/>
            <w:hideMark/>
          </w:tcPr>
          <w:p w14:paraId="3DB39049" w14:textId="77777777" w:rsidR="003941A9" w:rsidRPr="00D764B5" w:rsidRDefault="003941A9" w:rsidP="003941A9">
            <w:pPr>
              <w:rPr>
                <w:rFonts w:ascii="Arial" w:hAnsi="Arial" w:cs="Arial"/>
                <w:color w:val="000000"/>
                <w:sz w:val="20"/>
                <w:szCs w:val="20"/>
                <w:highlight w:val="yellow"/>
              </w:rPr>
            </w:pPr>
          </w:p>
        </w:tc>
        <w:tc>
          <w:tcPr>
            <w:tcW w:w="0" w:type="auto"/>
            <w:shd w:val="clear" w:color="000000" w:fill="FFFFFF"/>
            <w:vAlign w:val="center"/>
            <w:hideMark/>
          </w:tcPr>
          <w:p w14:paraId="2CB30348" w14:textId="77777777" w:rsidR="003941A9" w:rsidRPr="00987F44" w:rsidRDefault="003941A9" w:rsidP="003941A9">
            <w:pPr>
              <w:jc w:val="center"/>
              <w:rPr>
                <w:rFonts w:ascii="Arial" w:hAnsi="Arial" w:cs="Arial"/>
                <w:i/>
                <w:iCs/>
                <w:color w:val="000000"/>
                <w:sz w:val="16"/>
                <w:szCs w:val="16"/>
              </w:rPr>
            </w:pPr>
            <w:r w:rsidRPr="00987F44">
              <w:rPr>
                <w:rFonts w:ascii="Arial" w:hAnsi="Arial" w:cs="Arial"/>
                <w:i/>
                <w:iCs/>
                <w:color w:val="000000"/>
                <w:sz w:val="16"/>
                <w:szCs w:val="16"/>
              </w:rPr>
              <w:t>target</w:t>
            </w:r>
          </w:p>
        </w:tc>
        <w:tc>
          <w:tcPr>
            <w:tcW w:w="0" w:type="auto"/>
            <w:shd w:val="clear" w:color="auto" w:fill="auto"/>
            <w:vAlign w:val="center"/>
          </w:tcPr>
          <w:p w14:paraId="6A91B4EC" w14:textId="10240E1B" w:rsidR="003941A9" w:rsidRPr="00987F44" w:rsidRDefault="003941A9" w:rsidP="003941A9">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72D6C4C8" w14:textId="22D39CCC" w:rsidR="003941A9" w:rsidRPr="00987F44" w:rsidRDefault="003941A9" w:rsidP="003941A9">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344820F2" w14:textId="16C5A4D1" w:rsidR="003941A9" w:rsidRPr="00987F44" w:rsidRDefault="003941A9" w:rsidP="003941A9">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4E24BA28" w14:textId="4FFC4B4D" w:rsidR="003941A9" w:rsidRPr="00987F44" w:rsidRDefault="003941A9" w:rsidP="003941A9">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72066CFD" w14:textId="0D8160B7" w:rsidR="003941A9" w:rsidRPr="00364283" w:rsidRDefault="003941A9" w:rsidP="003941A9">
            <w:pPr>
              <w:jc w:val="center"/>
              <w:rPr>
                <w:rFonts w:ascii="Arial" w:hAnsi="Arial" w:cs="Arial"/>
                <w:i/>
                <w:color w:val="000000"/>
                <w:sz w:val="16"/>
                <w:szCs w:val="16"/>
              </w:rPr>
            </w:pPr>
          </w:p>
        </w:tc>
      </w:tr>
      <w:tr w:rsidR="003941A9" w:rsidRPr="00D764B5" w14:paraId="47DF90C4" w14:textId="77777777" w:rsidTr="003941A9">
        <w:trPr>
          <w:trHeight w:val="232"/>
        </w:trPr>
        <w:tc>
          <w:tcPr>
            <w:tcW w:w="5251" w:type="dxa"/>
            <w:vMerge w:val="restart"/>
            <w:shd w:val="clear" w:color="auto" w:fill="auto"/>
            <w:vAlign w:val="center"/>
            <w:hideMark/>
          </w:tcPr>
          <w:p w14:paraId="1EB4D055" w14:textId="0E4FF787" w:rsidR="003941A9" w:rsidRPr="000F25AC" w:rsidRDefault="003941A9" w:rsidP="003941A9">
            <w:pPr>
              <w:rPr>
                <w:rFonts w:ascii="Arial" w:eastAsia="Calibri" w:hAnsi="Arial" w:cs="Arial"/>
                <w:sz w:val="20"/>
                <w:szCs w:val="20"/>
              </w:rPr>
            </w:pPr>
            <w:r w:rsidRPr="00C631BA">
              <w:rPr>
                <w:rFonts w:ascii="Arial" w:eastAsia="Calibri" w:hAnsi="Arial" w:cs="Arial"/>
                <w:sz w:val="20"/>
                <w:szCs w:val="20"/>
              </w:rPr>
              <w:t>8. Resolve tickets within Service Level Agreements at least 90% of the time.</w:t>
            </w:r>
            <w:r w:rsidRPr="00C631BA">
              <w:rPr>
                <w:rFonts w:ascii="Arial" w:eastAsia="Calibri" w:hAnsi="Arial" w:cs="Arial"/>
                <w:sz w:val="20"/>
                <w:szCs w:val="20"/>
                <w:vertAlign w:val="superscript"/>
              </w:rPr>
              <w:t>(</w:t>
            </w:r>
            <w:r>
              <w:rPr>
                <w:rFonts w:ascii="Arial" w:eastAsia="Calibri" w:hAnsi="Arial" w:cs="Arial"/>
                <w:sz w:val="20"/>
                <w:szCs w:val="20"/>
                <w:vertAlign w:val="superscript"/>
              </w:rPr>
              <w:t>4</w:t>
            </w:r>
            <w:r w:rsidRPr="00C631BA">
              <w:rPr>
                <w:rFonts w:ascii="Arial" w:eastAsia="Calibri" w:hAnsi="Arial" w:cs="Arial"/>
                <w:sz w:val="20"/>
                <w:szCs w:val="20"/>
                <w:vertAlign w:val="superscript"/>
              </w:rPr>
              <w:t>)</w:t>
            </w:r>
          </w:p>
          <w:p w14:paraId="19A902D4" w14:textId="77777777" w:rsidR="003941A9" w:rsidRPr="00D764B5" w:rsidRDefault="003941A9" w:rsidP="003941A9">
            <w:pPr>
              <w:rPr>
                <w:rFonts w:ascii="Arial" w:hAnsi="Arial" w:cs="Arial"/>
                <w:color w:val="000000"/>
                <w:sz w:val="20"/>
                <w:szCs w:val="20"/>
                <w:highlight w:val="yellow"/>
              </w:rPr>
            </w:pPr>
          </w:p>
        </w:tc>
        <w:tc>
          <w:tcPr>
            <w:tcW w:w="750" w:type="dxa"/>
            <w:shd w:val="clear" w:color="auto" w:fill="D9D9D9" w:themeFill="background1" w:themeFillShade="D9"/>
            <w:vAlign w:val="center"/>
            <w:hideMark/>
          </w:tcPr>
          <w:p w14:paraId="03DE5077" w14:textId="77777777" w:rsidR="003941A9" w:rsidRPr="00987F44" w:rsidRDefault="003941A9" w:rsidP="003941A9">
            <w:pPr>
              <w:jc w:val="center"/>
              <w:rPr>
                <w:rFonts w:ascii="Arial" w:hAnsi="Arial" w:cs="Arial"/>
                <w:color w:val="000000"/>
                <w:sz w:val="20"/>
                <w:szCs w:val="20"/>
              </w:rPr>
            </w:pPr>
            <w:r w:rsidRPr="00987F44">
              <w:rPr>
                <w:rFonts w:ascii="Arial" w:hAnsi="Arial" w:cs="Arial"/>
                <w:color w:val="000000"/>
                <w:sz w:val="20"/>
                <w:szCs w:val="20"/>
              </w:rPr>
              <w:t>actual</w:t>
            </w:r>
          </w:p>
        </w:tc>
        <w:tc>
          <w:tcPr>
            <w:tcW w:w="779" w:type="dxa"/>
            <w:shd w:val="clear" w:color="auto" w:fill="D9D9D9" w:themeFill="background1" w:themeFillShade="D9"/>
            <w:vAlign w:val="center"/>
          </w:tcPr>
          <w:p w14:paraId="02C1A9B8" w14:textId="2BF22340" w:rsidR="003941A9" w:rsidRPr="00987F44" w:rsidRDefault="003941A9" w:rsidP="003941A9">
            <w:pPr>
              <w:jc w:val="center"/>
              <w:rPr>
                <w:rFonts w:ascii="Arial" w:hAnsi="Arial" w:cs="Arial"/>
                <w:color w:val="000000"/>
                <w:sz w:val="20"/>
                <w:szCs w:val="20"/>
              </w:rPr>
            </w:pPr>
            <w:r>
              <w:rPr>
                <w:rFonts w:ascii="Arial" w:hAnsi="Arial" w:cs="Arial"/>
                <w:color w:val="000000"/>
                <w:sz w:val="20"/>
                <w:szCs w:val="20"/>
              </w:rPr>
              <w:t>N/A</w:t>
            </w:r>
          </w:p>
        </w:tc>
        <w:tc>
          <w:tcPr>
            <w:tcW w:w="911" w:type="dxa"/>
            <w:shd w:val="clear" w:color="auto" w:fill="D9D9D9" w:themeFill="background1" w:themeFillShade="D9"/>
            <w:vAlign w:val="center"/>
          </w:tcPr>
          <w:p w14:paraId="5A98AC11" w14:textId="5F5077CC" w:rsidR="003941A9" w:rsidRPr="00987F44" w:rsidRDefault="003941A9" w:rsidP="003941A9">
            <w:pPr>
              <w:jc w:val="center"/>
              <w:rPr>
                <w:rFonts w:ascii="Arial" w:hAnsi="Arial" w:cs="Arial"/>
                <w:color w:val="000000"/>
                <w:sz w:val="20"/>
                <w:szCs w:val="20"/>
              </w:rPr>
            </w:pPr>
            <w:r>
              <w:rPr>
                <w:rFonts w:ascii="Arial" w:hAnsi="Arial" w:cs="Arial"/>
                <w:color w:val="000000"/>
                <w:sz w:val="20"/>
                <w:szCs w:val="20"/>
              </w:rPr>
              <w:t>89.5%</w:t>
            </w:r>
          </w:p>
        </w:tc>
        <w:tc>
          <w:tcPr>
            <w:tcW w:w="0" w:type="auto"/>
            <w:shd w:val="clear" w:color="auto" w:fill="D9D9D9" w:themeFill="background1" w:themeFillShade="D9"/>
            <w:vAlign w:val="center"/>
          </w:tcPr>
          <w:p w14:paraId="2E0DF92C" w14:textId="2A985067" w:rsidR="003941A9" w:rsidRPr="00987F44" w:rsidRDefault="003941A9" w:rsidP="003941A9">
            <w:pPr>
              <w:jc w:val="center"/>
              <w:rPr>
                <w:rFonts w:ascii="Arial" w:hAnsi="Arial" w:cs="Arial"/>
                <w:color w:val="000000"/>
                <w:sz w:val="20"/>
                <w:szCs w:val="20"/>
              </w:rPr>
            </w:pPr>
            <w:r>
              <w:rPr>
                <w:rFonts w:ascii="Arial" w:hAnsi="Arial" w:cs="Arial"/>
                <w:color w:val="000000"/>
                <w:sz w:val="20"/>
                <w:szCs w:val="20"/>
              </w:rPr>
              <w:t>93.1%</w:t>
            </w:r>
          </w:p>
        </w:tc>
        <w:tc>
          <w:tcPr>
            <w:tcW w:w="0" w:type="auto"/>
            <w:shd w:val="clear" w:color="auto" w:fill="D9D9D9" w:themeFill="background1" w:themeFillShade="D9"/>
            <w:vAlign w:val="center"/>
          </w:tcPr>
          <w:p w14:paraId="691CD42A" w14:textId="15BD07EC" w:rsidR="003941A9" w:rsidRPr="00987F44" w:rsidRDefault="003941A9" w:rsidP="003941A9">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12043E88" w14:textId="37680EB8" w:rsidR="003941A9" w:rsidRPr="00364283" w:rsidRDefault="003941A9" w:rsidP="003941A9">
            <w:pPr>
              <w:jc w:val="center"/>
              <w:rPr>
                <w:rFonts w:ascii="Arial" w:hAnsi="Arial" w:cs="Arial"/>
                <w:color w:val="000000"/>
                <w:sz w:val="20"/>
                <w:szCs w:val="20"/>
              </w:rPr>
            </w:pPr>
          </w:p>
        </w:tc>
      </w:tr>
      <w:tr w:rsidR="003941A9" w:rsidRPr="00D764B5" w14:paraId="38E78D8A" w14:textId="77777777" w:rsidTr="007E6CE4">
        <w:trPr>
          <w:trHeight w:val="386"/>
        </w:trPr>
        <w:tc>
          <w:tcPr>
            <w:tcW w:w="0" w:type="auto"/>
            <w:vMerge/>
            <w:vAlign w:val="center"/>
          </w:tcPr>
          <w:p w14:paraId="5A8C3FC2" w14:textId="77777777" w:rsidR="003941A9" w:rsidRPr="00D764B5" w:rsidRDefault="003941A9" w:rsidP="003941A9">
            <w:pPr>
              <w:rPr>
                <w:rFonts w:ascii="Arial" w:hAnsi="Arial" w:cs="Arial"/>
                <w:color w:val="000000"/>
                <w:sz w:val="20"/>
                <w:szCs w:val="20"/>
                <w:highlight w:val="yellow"/>
              </w:rPr>
            </w:pPr>
          </w:p>
        </w:tc>
        <w:tc>
          <w:tcPr>
            <w:tcW w:w="0" w:type="auto"/>
            <w:shd w:val="clear" w:color="000000" w:fill="FFFFFF"/>
            <w:vAlign w:val="center"/>
          </w:tcPr>
          <w:p w14:paraId="5176ED5C" w14:textId="3167167D" w:rsidR="003941A9" w:rsidRPr="00987F44" w:rsidRDefault="003941A9" w:rsidP="003941A9">
            <w:pPr>
              <w:jc w:val="center"/>
              <w:rPr>
                <w:rFonts w:ascii="Arial" w:hAnsi="Arial" w:cs="Arial"/>
                <w:i/>
                <w:iCs/>
                <w:color w:val="000000"/>
                <w:sz w:val="16"/>
                <w:szCs w:val="16"/>
              </w:rPr>
            </w:pPr>
            <w:r>
              <w:rPr>
                <w:rFonts w:ascii="Arial" w:hAnsi="Arial" w:cs="Arial"/>
                <w:i/>
                <w:iCs/>
                <w:color w:val="000000"/>
                <w:sz w:val="16"/>
                <w:szCs w:val="16"/>
              </w:rPr>
              <w:t>target</w:t>
            </w:r>
          </w:p>
        </w:tc>
        <w:tc>
          <w:tcPr>
            <w:tcW w:w="0" w:type="auto"/>
            <w:shd w:val="clear" w:color="auto" w:fill="auto"/>
            <w:vAlign w:val="center"/>
          </w:tcPr>
          <w:p w14:paraId="5A7CD43D" w14:textId="25CFD01C" w:rsidR="003941A9" w:rsidRDefault="003941A9" w:rsidP="003941A9">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01E6FEA2" w14:textId="7473F7D7" w:rsidR="003941A9" w:rsidRDefault="003941A9" w:rsidP="003941A9">
            <w:pPr>
              <w:jc w:val="center"/>
              <w:rPr>
                <w:rFonts w:ascii="Arial" w:hAnsi="Arial" w:cs="Arial"/>
                <w:i/>
                <w:color w:val="000000"/>
                <w:sz w:val="16"/>
                <w:szCs w:val="16"/>
              </w:rPr>
            </w:pPr>
            <w:r>
              <w:rPr>
                <w:rFonts w:ascii="Arial" w:hAnsi="Arial" w:cs="Arial"/>
                <w:i/>
                <w:color w:val="000000"/>
                <w:sz w:val="16"/>
                <w:szCs w:val="16"/>
              </w:rPr>
              <w:t>90%</w:t>
            </w:r>
          </w:p>
        </w:tc>
        <w:tc>
          <w:tcPr>
            <w:tcW w:w="0" w:type="auto"/>
            <w:shd w:val="clear" w:color="auto" w:fill="auto"/>
            <w:vAlign w:val="center"/>
          </w:tcPr>
          <w:p w14:paraId="15C3317F" w14:textId="379B7B89" w:rsidR="003941A9" w:rsidRDefault="003941A9" w:rsidP="003941A9">
            <w:pPr>
              <w:jc w:val="center"/>
              <w:rPr>
                <w:rFonts w:ascii="Arial" w:hAnsi="Arial" w:cs="Arial"/>
                <w:i/>
                <w:color w:val="000000"/>
                <w:sz w:val="16"/>
                <w:szCs w:val="16"/>
              </w:rPr>
            </w:pPr>
            <w:r>
              <w:rPr>
                <w:rFonts w:ascii="Arial" w:hAnsi="Arial" w:cs="Arial"/>
                <w:i/>
                <w:color w:val="000000"/>
                <w:sz w:val="16"/>
                <w:szCs w:val="16"/>
              </w:rPr>
              <w:t>90%</w:t>
            </w:r>
          </w:p>
        </w:tc>
        <w:tc>
          <w:tcPr>
            <w:tcW w:w="0" w:type="auto"/>
            <w:shd w:val="clear" w:color="auto" w:fill="auto"/>
            <w:vAlign w:val="center"/>
          </w:tcPr>
          <w:p w14:paraId="7C4E81CB" w14:textId="75C37F81" w:rsidR="003941A9" w:rsidRDefault="003941A9" w:rsidP="003941A9">
            <w:pPr>
              <w:jc w:val="center"/>
              <w:rPr>
                <w:rFonts w:ascii="Arial" w:hAnsi="Arial" w:cs="Arial"/>
                <w:i/>
                <w:color w:val="000000"/>
                <w:sz w:val="16"/>
                <w:szCs w:val="16"/>
              </w:rPr>
            </w:pPr>
            <w:r>
              <w:rPr>
                <w:rFonts w:ascii="Arial" w:hAnsi="Arial" w:cs="Arial"/>
                <w:i/>
                <w:color w:val="000000"/>
                <w:sz w:val="16"/>
                <w:szCs w:val="16"/>
              </w:rPr>
              <w:t>90%</w:t>
            </w:r>
          </w:p>
        </w:tc>
        <w:tc>
          <w:tcPr>
            <w:tcW w:w="0" w:type="auto"/>
            <w:shd w:val="clear" w:color="auto" w:fill="auto"/>
            <w:vAlign w:val="center"/>
          </w:tcPr>
          <w:p w14:paraId="6AD6437A" w14:textId="2E097DB4" w:rsidR="003941A9" w:rsidRDefault="003941A9" w:rsidP="003941A9">
            <w:pPr>
              <w:jc w:val="center"/>
              <w:rPr>
                <w:rFonts w:ascii="Arial" w:hAnsi="Arial" w:cs="Arial"/>
                <w:i/>
                <w:color w:val="000000"/>
                <w:sz w:val="16"/>
                <w:szCs w:val="16"/>
              </w:rPr>
            </w:pPr>
          </w:p>
        </w:tc>
      </w:tr>
    </w:tbl>
    <w:p w14:paraId="0BEFD0E4" w14:textId="77777777" w:rsidR="00D764B5" w:rsidRDefault="00D764B5" w:rsidP="00D764B5">
      <w:pPr>
        <w:rPr>
          <w:rFonts w:ascii="Arial" w:hAnsi="Arial" w:cs="Arial"/>
        </w:rPr>
      </w:pPr>
    </w:p>
    <w:bookmarkEnd w:id="5"/>
    <w:bookmarkEnd w:id="6"/>
    <w:p w14:paraId="336ED4C0" w14:textId="0DB3B07D" w:rsidR="001A668A" w:rsidRDefault="001A668A" w:rsidP="001A668A">
      <w:pPr>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p w14:paraId="5080A519" w14:textId="646ECC0D" w:rsidR="00A97843" w:rsidRPr="0094526F" w:rsidRDefault="0038660F" w:rsidP="000029AE">
      <w:pPr>
        <w:pStyle w:val="ListParagraph"/>
        <w:numPr>
          <w:ilvl w:val="0"/>
          <w:numId w:val="25"/>
        </w:numPr>
        <w:jc w:val="both"/>
        <w:rPr>
          <w:rFonts w:ascii="Arial" w:hAnsi="Arial" w:cs="Arial"/>
          <w:sz w:val="18"/>
          <w:szCs w:val="18"/>
        </w:rPr>
      </w:pPr>
      <w:r>
        <w:rPr>
          <w:rFonts w:ascii="Arial" w:hAnsi="Arial" w:cs="Arial"/>
          <w:sz w:val="18"/>
          <w:szCs w:val="18"/>
        </w:rPr>
        <w:t>This measure was combined with another from prior years</w:t>
      </w:r>
      <w:r w:rsidR="00A97843" w:rsidRPr="0094526F">
        <w:rPr>
          <w:rFonts w:ascii="Arial" w:hAnsi="Arial" w:cs="Arial"/>
          <w:sz w:val="18"/>
          <w:szCs w:val="18"/>
        </w:rPr>
        <w:t>.</w:t>
      </w:r>
      <w:r>
        <w:rPr>
          <w:rFonts w:ascii="Arial" w:hAnsi="Arial" w:cs="Arial"/>
          <w:sz w:val="18"/>
          <w:szCs w:val="18"/>
        </w:rPr>
        <w:t xml:space="preserve"> The measure now accounts for both critical and high-level issues rather than measuring them </w:t>
      </w:r>
      <w:r w:rsidR="00AA73DC">
        <w:rPr>
          <w:rFonts w:ascii="Arial" w:hAnsi="Arial" w:cs="Arial"/>
          <w:sz w:val="18"/>
          <w:szCs w:val="18"/>
        </w:rPr>
        <w:t>independently</w:t>
      </w:r>
      <w:r>
        <w:rPr>
          <w:rFonts w:ascii="Arial" w:hAnsi="Arial" w:cs="Arial"/>
          <w:sz w:val="18"/>
          <w:szCs w:val="18"/>
        </w:rPr>
        <w:t xml:space="preserve"> of </w:t>
      </w:r>
      <w:r w:rsidR="00AA73DC">
        <w:rPr>
          <w:rFonts w:ascii="Arial" w:hAnsi="Arial" w:cs="Arial"/>
          <w:sz w:val="18"/>
          <w:szCs w:val="18"/>
        </w:rPr>
        <w:t xml:space="preserve">one </w:t>
      </w:r>
      <w:r>
        <w:rPr>
          <w:rFonts w:ascii="Arial" w:hAnsi="Arial" w:cs="Arial"/>
          <w:sz w:val="18"/>
          <w:szCs w:val="18"/>
        </w:rPr>
        <w:t>another.</w:t>
      </w:r>
      <w:r w:rsidR="00835FC0">
        <w:rPr>
          <w:rFonts w:ascii="Arial" w:hAnsi="Arial" w:cs="Arial"/>
          <w:sz w:val="18"/>
          <w:szCs w:val="18"/>
        </w:rPr>
        <w:t xml:space="preserve"> The mitigation efforts for </w:t>
      </w:r>
      <w:r w:rsidR="003941A9">
        <w:rPr>
          <w:rFonts w:ascii="Arial" w:hAnsi="Arial" w:cs="Arial"/>
          <w:sz w:val="18"/>
          <w:szCs w:val="18"/>
        </w:rPr>
        <w:t>FY 2023</w:t>
      </w:r>
      <w:r w:rsidR="00835FC0">
        <w:rPr>
          <w:rFonts w:ascii="Arial" w:hAnsi="Arial" w:cs="Arial"/>
          <w:sz w:val="18"/>
          <w:szCs w:val="18"/>
        </w:rPr>
        <w:t xml:space="preserve"> are ongoing due to the timing of the penetration test in June 2022.  </w:t>
      </w:r>
    </w:p>
    <w:p w14:paraId="7B135872" w14:textId="382100BE" w:rsidR="000029AE" w:rsidRDefault="0094526F" w:rsidP="000029AE">
      <w:pPr>
        <w:pStyle w:val="ListParagraph"/>
        <w:numPr>
          <w:ilvl w:val="0"/>
          <w:numId w:val="25"/>
        </w:numPr>
        <w:jc w:val="both"/>
        <w:rPr>
          <w:rFonts w:ascii="Arial" w:hAnsi="Arial" w:cs="Arial"/>
          <w:sz w:val="18"/>
          <w:szCs w:val="18"/>
        </w:rPr>
      </w:pPr>
      <w:r w:rsidRPr="0094526F">
        <w:rPr>
          <w:rFonts w:ascii="Arial" w:hAnsi="Arial" w:cs="Arial"/>
          <w:sz w:val="18"/>
          <w:szCs w:val="18"/>
        </w:rPr>
        <w:t xml:space="preserve">ITS conducts regular phishing campaigns on state employees to test their cybersecurity maturity. These emails target random employees to see if they will click on a link </w:t>
      </w:r>
      <w:r w:rsidR="00FB67A8">
        <w:rPr>
          <w:rFonts w:ascii="Arial" w:hAnsi="Arial" w:cs="Arial"/>
          <w:sz w:val="18"/>
          <w:szCs w:val="18"/>
        </w:rPr>
        <w:t>to</w:t>
      </w:r>
      <w:r w:rsidRPr="0094526F">
        <w:rPr>
          <w:rFonts w:ascii="Arial" w:hAnsi="Arial" w:cs="Arial"/>
          <w:sz w:val="18"/>
          <w:szCs w:val="18"/>
        </w:rPr>
        <w:t xml:space="preserve"> a suspected phishing email. The national click-through average is 5.8%. Our goal is to train employees well enough to be below the national average.</w:t>
      </w:r>
    </w:p>
    <w:p w14:paraId="5D2EF5C9" w14:textId="000B0F78" w:rsidR="0038660F" w:rsidRDefault="0038660F" w:rsidP="000029AE">
      <w:pPr>
        <w:pStyle w:val="ListParagraph"/>
        <w:numPr>
          <w:ilvl w:val="0"/>
          <w:numId w:val="25"/>
        </w:numPr>
        <w:jc w:val="both"/>
        <w:rPr>
          <w:rFonts w:ascii="Arial" w:hAnsi="Arial" w:cs="Arial"/>
          <w:sz w:val="18"/>
          <w:szCs w:val="18"/>
        </w:rPr>
      </w:pPr>
      <w:r>
        <w:rPr>
          <w:rFonts w:ascii="Arial" w:hAnsi="Arial" w:cs="Arial"/>
          <w:sz w:val="18"/>
          <w:szCs w:val="18"/>
        </w:rPr>
        <w:t xml:space="preserve">This is a new </w:t>
      </w:r>
      <w:r w:rsidR="00EE37A9">
        <w:rPr>
          <w:rFonts w:ascii="Arial" w:hAnsi="Arial" w:cs="Arial"/>
          <w:sz w:val="18"/>
          <w:szCs w:val="18"/>
        </w:rPr>
        <w:t>measure</w:t>
      </w:r>
      <w:r w:rsidR="00363749">
        <w:rPr>
          <w:rFonts w:ascii="Arial" w:hAnsi="Arial" w:cs="Arial"/>
          <w:sz w:val="18"/>
          <w:szCs w:val="18"/>
        </w:rPr>
        <w:t xml:space="preserve"> for </w:t>
      </w:r>
      <w:r w:rsidR="003941A9">
        <w:rPr>
          <w:rFonts w:ascii="Arial" w:hAnsi="Arial" w:cs="Arial"/>
          <w:sz w:val="18"/>
          <w:szCs w:val="18"/>
        </w:rPr>
        <w:t>FY 2023</w:t>
      </w:r>
      <w:r w:rsidR="0027518F">
        <w:rPr>
          <w:rFonts w:ascii="Arial" w:hAnsi="Arial" w:cs="Arial"/>
          <w:sz w:val="18"/>
          <w:szCs w:val="18"/>
        </w:rPr>
        <w:t xml:space="preserve">. Target uptime is consistent with the Service Level Agreement, Exhibit C. </w:t>
      </w:r>
      <w:r w:rsidR="007C2C4B">
        <w:rPr>
          <w:rFonts w:ascii="Arial" w:hAnsi="Arial" w:cs="Arial"/>
          <w:sz w:val="18"/>
          <w:szCs w:val="18"/>
        </w:rPr>
        <w:t xml:space="preserve">Downtime does not include external factors beyond ITS control; for example, road construction crews accidentally cutting fiber lines or vendor-initiated outages. </w:t>
      </w:r>
    </w:p>
    <w:p w14:paraId="59C76853" w14:textId="64DA3644" w:rsidR="00C631BA" w:rsidRPr="00C631BA" w:rsidRDefault="00C631BA" w:rsidP="00C631BA">
      <w:pPr>
        <w:pStyle w:val="ListParagraph"/>
        <w:numPr>
          <w:ilvl w:val="0"/>
          <w:numId w:val="25"/>
        </w:numPr>
        <w:jc w:val="both"/>
        <w:rPr>
          <w:rFonts w:ascii="Arial" w:hAnsi="Arial" w:cs="Arial"/>
          <w:sz w:val="18"/>
          <w:szCs w:val="18"/>
        </w:rPr>
      </w:pPr>
      <w:r>
        <w:rPr>
          <w:rFonts w:ascii="Arial" w:hAnsi="Arial" w:cs="Arial"/>
          <w:sz w:val="18"/>
          <w:szCs w:val="18"/>
        </w:rPr>
        <w:t xml:space="preserve">This is a new measure for </w:t>
      </w:r>
      <w:r w:rsidR="003941A9">
        <w:rPr>
          <w:rFonts w:ascii="Arial" w:hAnsi="Arial" w:cs="Arial"/>
          <w:sz w:val="18"/>
          <w:szCs w:val="18"/>
        </w:rPr>
        <w:t>FY 2023</w:t>
      </w:r>
      <w:r>
        <w:rPr>
          <w:rFonts w:ascii="Arial" w:hAnsi="Arial" w:cs="Arial"/>
          <w:sz w:val="18"/>
          <w:szCs w:val="18"/>
        </w:rPr>
        <w:t xml:space="preserve">. Target uptime is consistent with the Service Level Agreement, Exhibit C. </w:t>
      </w:r>
    </w:p>
    <w:p w14:paraId="5F407E87" w14:textId="77777777" w:rsidR="0034203F" w:rsidRPr="0034203F" w:rsidRDefault="0034203F" w:rsidP="0034203F">
      <w:pPr>
        <w:jc w:val="both"/>
        <w:rPr>
          <w:rFonts w:ascii="Arial" w:hAnsi="Arial" w:cs="Arial"/>
          <w:bCs/>
          <w:sz w:val="20"/>
          <w:szCs w:val="20"/>
        </w:rPr>
      </w:pPr>
    </w:p>
    <w:p w14:paraId="1C6FB7B4" w14:textId="77777777" w:rsidR="00670E4A" w:rsidRDefault="00670E4A" w:rsidP="00D612A2">
      <w:pPr>
        <w:jc w:val="both"/>
        <w:rPr>
          <w:color w:val="000000" w:themeColor="text1"/>
        </w:rPr>
      </w:pPr>
      <w:r w:rsidRPr="0099048B">
        <w:rPr>
          <w:rFonts w:asciiTheme="minorHAnsi" w:hAnsiTheme="minorHAnsi"/>
          <w:sz w:val="22"/>
          <w:szCs w:val="22"/>
        </w:rPr>
        <w:t xml:space="preserve"> </w:t>
      </w: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26EE5AC0" w14:textId="77777777" w:rsidTr="00647B81">
        <w:trPr>
          <w:jc w:val="center"/>
        </w:trPr>
        <w:tc>
          <w:tcPr>
            <w:tcW w:w="7680" w:type="dxa"/>
          </w:tcPr>
          <w:p w14:paraId="04E742C5" w14:textId="77777777" w:rsidR="00C2697F" w:rsidRDefault="00FD57C5" w:rsidP="00577C10">
            <w:pPr>
              <w:spacing w:before="120"/>
              <w:jc w:val="center"/>
              <w:rPr>
                <w:rFonts w:ascii="Arial" w:hAnsi="Arial" w:cs="Arial"/>
                <w:sz w:val="20"/>
              </w:rPr>
            </w:pPr>
            <w:r>
              <w:rPr>
                <w:rFonts w:ascii="Arial" w:hAnsi="Arial" w:cs="Arial"/>
                <w:sz w:val="20"/>
              </w:rPr>
              <w:lastRenderedPageBreak/>
              <w:br w:type="page"/>
            </w:r>
            <w:r w:rsidR="00C2697F">
              <w:rPr>
                <w:rFonts w:ascii="Arial" w:hAnsi="Arial" w:cs="Arial"/>
                <w:b/>
                <w:bCs/>
                <w:sz w:val="20"/>
              </w:rPr>
              <w:t>For More Information</w:t>
            </w:r>
            <w:r w:rsidR="007133EB">
              <w:rPr>
                <w:rFonts w:ascii="Arial" w:hAnsi="Arial" w:cs="Arial"/>
                <w:b/>
                <w:bCs/>
                <w:sz w:val="20"/>
              </w:rPr>
              <w:t>,</w:t>
            </w:r>
            <w:r w:rsidR="00C2697F">
              <w:rPr>
                <w:rFonts w:ascii="Arial" w:hAnsi="Arial" w:cs="Arial"/>
                <w:b/>
                <w:bCs/>
                <w:sz w:val="20"/>
              </w:rPr>
              <w:t xml:space="preserve"> Contact</w:t>
            </w:r>
            <w:r w:rsidR="007133EB">
              <w:rPr>
                <w:rFonts w:ascii="Arial" w:hAnsi="Arial" w:cs="Arial"/>
                <w:b/>
                <w:bCs/>
                <w:sz w:val="20"/>
              </w:rPr>
              <w:t>:</w:t>
            </w:r>
          </w:p>
          <w:p w14:paraId="36F932E5" w14:textId="77777777" w:rsidR="00C2697F" w:rsidRPr="00BE3013" w:rsidRDefault="00C2697F" w:rsidP="00577C10">
            <w:pPr>
              <w:jc w:val="center"/>
              <w:rPr>
                <w:rFonts w:ascii="Arial" w:hAnsi="Arial" w:cs="Arial"/>
                <w:sz w:val="14"/>
                <w:szCs w:val="14"/>
              </w:rPr>
            </w:pPr>
          </w:p>
          <w:p w14:paraId="11223EEE" w14:textId="2D9813EA" w:rsidR="00C2697F" w:rsidRDefault="00A3121F" w:rsidP="00577C10">
            <w:pPr>
              <w:ind w:left="252"/>
              <w:rPr>
                <w:rFonts w:ascii="Arial" w:hAnsi="Arial" w:cs="Arial"/>
                <w:sz w:val="20"/>
              </w:rPr>
            </w:pPr>
            <w:r>
              <w:rPr>
                <w:rFonts w:ascii="Arial" w:hAnsi="Arial" w:cs="Arial"/>
                <w:sz w:val="20"/>
              </w:rPr>
              <w:t>Contact Name</w:t>
            </w:r>
            <w:r w:rsidR="007D65F2">
              <w:rPr>
                <w:rFonts w:ascii="Arial" w:hAnsi="Arial" w:cs="Arial"/>
                <w:sz w:val="20"/>
              </w:rPr>
              <w:t xml:space="preserve">: </w:t>
            </w:r>
            <w:r w:rsidR="00721E17">
              <w:rPr>
                <w:rFonts w:ascii="Arial" w:hAnsi="Arial" w:cs="Arial"/>
                <w:sz w:val="20"/>
              </w:rPr>
              <w:t>Alberto Gonzalez</w:t>
            </w:r>
          </w:p>
          <w:p w14:paraId="69D4EBBA" w14:textId="0C9FB634" w:rsidR="00C2697F" w:rsidRDefault="00A3121F" w:rsidP="00577C10">
            <w:pPr>
              <w:ind w:left="252"/>
              <w:rPr>
                <w:rFonts w:ascii="Arial" w:hAnsi="Arial" w:cs="Arial"/>
                <w:sz w:val="20"/>
              </w:rPr>
            </w:pPr>
            <w:r>
              <w:rPr>
                <w:rFonts w:ascii="Arial" w:hAnsi="Arial" w:cs="Arial"/>
                <w:sz w:val="20"/>
              </w:rPr>
              <w:t>Title/Position</w:t>
            </w:r>
            <w:r w:rsidR="00A2294A">
              <w:rPr>
                <w:rFonts w:ascii="Arial" w:hAnsi="Arial" w:cs="Arial"/>
                <w:sz w:val="20"/>
              </w:rPr>
              <w:t xml:space="preserve">: </w:t>
            </w:r>
            <w:r w:rsidR="00721E17">
              <w:rPr>
                <w:rFonts w:ascii="Arial" w:hAnsi="Arial" w:cs="Arial"/>
                <w:sz w:val="20"/>
              </w:rPr>
              <w:t>Chief Information Officer</w:t>
            </w:r>
          </w:p>
          <w:p w14:paraId="28643269" w14:textId="467FA5B3" w:rsidR="00C2697F" w:rsidRDefault="00A3121F" w:rsidP="00577C10">
            <w:pPr>
              <w:ind w:left="252"/>
              <w:rPr>
                <w:rFonts w:ascii="Arial" w:hAnsi="Arial" w:cs="Arial"/>
                <w:sz w:val="20"/>
              </w:rPr>
            </w:pPr>
            <w:r>
              <w:rPr>
                <w:rFonts w:ascii="Arial" w:hAnsi="Arial" w:cs="Arial"/>
                <w:sz w:val="20"/>
              </w:rPr>
              <w:t>State Agency</w:t>
            </w:r>
            <w:r w:rsidR="007D65F2">
              <w:rPr>
                <w:rFonts w:ascii="Arial" w:hAnsi="Arial" w:cs="Arial"/>
                <w:sz w:val="20"/>
              </w:rPr>
              <w:t xml:space="preserve">: </w:t>
            </w:r>
            <w:r w:rsidR="002C3EC9">
              <w:rPr>
                <w:rFonts w:ascii="Arial" w:hAnsi="Arial" w:cs="Arial"/>
                <w:sz w:val="20"/>
              </w:rPr>
              <w:t xml:space="preserve">Office of </w:t>
            </w:r>
            <w:r w:rsidR="00E9068F">
              <w:rPr>
                <w:rFonts w:ascii="Arial" w:hAnsi="Arial" w:cs="Arial"/>
                <w:sz w:val="20"/>
              </w:rPr>
              <w:t xml:space="preserve">Information Technology </w:t>
            </w:r>
            <w:r w:rsidR="00D40DE4">
              <w:rPr>
                <w:rFonts w:ascii="Arial" w:hAnsi="Arial" w:cs="Arial"/>
                <w:sz w:val="20"/>
              </w:rPr>
              <w:t>Services</w:t>
            </w:r>
          </w:p>
          <w:p w14:paraId="26EEB8F1" w14:textId="630D4D0F" w:rsidR="00C2697F" w:rsidRDefault="003A0009" w:rsidP="00577C10">
            <w:pPr>
              <w:ind w:left="252"/>
              <w:rPr>
                <w:rFonts w:ascii="Arial" w:hAnsi="Arial" w:cs="Arial"/>
                <w:sz w:val="20"/>
              </w:rPr>
            </w:pPr>
            <w:r>
              <w:rPr>
                <w:rFonts w:ascii="Arial" w:hAnsi="Arial" w:cs="Arial"/>
                <w:sz w:val="20"/>
              </w:rPr>
              <w:t>Address</w:t>
            </w:r>
            <w:r w:rsidR="00237E38">
              <w:rPr>
                <w:rFonts w:ascii="Arial" w:hAnsi="Arial" w:cs="Arial"/>
                <w:sz w:val="20"/>
              </w:rPr>
              <w:t xml:space="preserve">: </w:t>
            </w:r>
            <w:r w:rsidR="00E26370">
              <w:rPr>
                <w:rFonts w:ascii="Arial" w:hAnsi="Arial" w:cs="Arial"/>
                <w:sz w:val="20"/>
              </w:rPr>
              <w:t>11331 W Chinden Blvd</w:t>
            </w:r>
            <w:r w:rsidR="002C3EC9">
              <w:rPr>
                <w:rFonts w:ascii="Arial" w:hAnsi="Arial" w:cs="Arial"/>
                <w:sz w:val="20"/>
              </w:rPr>
              <w:t xml:space="preserve">, Suite </w:t>
            </w:r>
            <w:r w:rsidR="00E26370">
              <w:rPr>
                <w:rFonts w:ascii="Arial" w:hAnsi="Arial" w:cs="Arial"/>
                <w:sz w:val="20"/>
              </w:rPr>
              <w:t>B201</w:t>
            </w:r>
          </w:p>
          <w:p w14:paraId="2F39C460" w14:textId="0A0BAF19" w:rsidR="00C2697F" w:rsidRDefault="00C2697F" w:rsidP="00577C10">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w:t>
            </w:r>
            <w:r w:rsidR="002C3EC9">
              <w:rPr>
                <w:rFonts w:ascii="Arial" w:hAnsi="Arial" w:cs="Arial"/>
                <w:noProof/>
                <w:sz w:val="20"/>
              </w:rPr>
              <w:t>daho</w:t>
            </w:r>
            <w:r>
              <w:rPr>
                <w:rFonts w:ascii="Arial" w:hAnsi="Arial" w:cs="Arial"/>
                <w:sz w:val="20"/>
              </w:rPr>
              <w:t xml:space="preserve"> </w:t>
            </w:r>
            <w:r w:rsidR="00A2294A">
              <w:rPr>
                <w:rFonts w:ascii="Arial" w:hAnsi="Arial" w:cs="Arial"/>
                <w:sz w:val="20"/>
              </w:rPr>
              <w:t>837</w:t>
            </w:r>
            <w:r w:rsidR="00E26370">
              <w:rPr>
                <w:rFonts w:ascii="Arial" w:hAnsi="Arial" w:cs="Arial"/>
                <w:sz w:val="20"/>
              </w:rPr>
              <w:t>14</w:t>
            </w:r>
          </w:p>
          <w:p w14:paraId="562F7403" w14:textId="0AB405BA" w:rsidR="00C2697F" w:rsidRDefault="007133EB" w:rsidP="00577C10">
            <w:pPr>
              <w:ind w:left="252"/>
              <w:rPr>
                <w:rFonts w:ascii="Arial" w:hAnsi="Arial" w:cs="Arial"/>
                <w:sz w:val="20"/>
                <w:szCs w:val="17"/>
              </w:rPr>
            </w:pPr>
            <w:r>
              <w:rPr>
                <w:rFonts w:ascii="Arial" w:hAnsi="Arial" w:cs="Arial"/>
                <w:sz w:val="20"/>
              </w:rPr>
              <w:t xml:space="preserve">Phone: </w:t>
            </w:r>
            <w:r w:rsidR="00B36DC2">
              <w:rPr>
                <w:rFonts w:ascii="Arial" w:hAnsi="Arial" w:cs="Arial"/>
                <w:sz w:val="20"/>
              </w:rPr>
              <w:t>208</w:t>
            </w:r>
            <w:r w:rsidR="002C3EC9">
              <w:rPr>
                <w:rFonts w:ascii="Arial" w:hAnsi="Arial" w:cs="Arial"/>
                <w:sz w:val="20"/>
              </w:rPr>
              <w:t>-</w:t>
            </w:r>
            <w:r w:rsidR="0067063E">
              <w:rPr>
                <w:rFonts w:ascii="Arial" w:hAnsi="Arial" w:cs="Arial"/>
                <w:sz w:val="20"/>
              </w:rPr>
              <w:t>605-</w:t>
            </w:r>
            <w:r w:rsidR="00721E17">
              <w:rPr>
                <w:rFonts w:ascii="Arial" w:hAnsi="Arial" w:cs="Arial"/>
                <w:sz w:val="20"/>
              </w:rPr>
              <w:t>4067</w:t>
            </w:r>
          </w:p>
          <w:p w14:paraId="75826876" w14:textId="3F690F3A" w:rsidR="0033778E" w:rsidRPr="0033778E" w:rsidRDefault="00C2697F" w:rsidP="0033778E">
            <w:pPr>
              <w:spacing w:after="120"/>
              <w:ind w:left="252"/>
              <w:rPr>
                <w:rFonts w:ascii="Arial" w:hAnsi="Arial" w:cs="Arial"/>
                <w:sz w:val="20"/>
                <w:szCs w:val="17"/>
              </w:rPr>
            </w:pPr>
            <w:r>
              <w:rPr>
                <w:rFonts w:ascii="Arial" w:hAnsi="Arial" w:cs="Arial"/>
                <w:sz w:val="20"/>
                <w:szCs w:val="17"/>
              </w:rPr>
              <w:t xml:space="preserve">E-mail: </w:t>
            </w:r>
            <w:r w:rsidR="00721E17">
              <w:rPr>
                <w:rFonts w:ascii="Arial" w:hAnsi="Arial" w:cs="Arial"/>
                <w:sz w:val="20"/>
                <w:szCs w:val="17"/>
              </w:rPr>
              <w:t>Alberto.Gonzalez</w:t>
            </w:r>
            <w:r w:rsidR="0033778E" w:rsidRPr="000E6328">
              <w:rPr>
                <w:rFonts w:ascii="Arial" w:hAnsi="Arial" w:cs="Arial"/>
                <w:sz w:val="20"/>
                <w:szCs w:val="17"/>
              </w:rPr>
              <w:t>@its.idaho.gov</w:t>
            </w:r>
          </w:p>
        </w:tc>
      </w:tr>
    </w:tbl>
    <w:p w14:paraId="211C302C" w14:textId="77777777" w:rsidR="00C2697F" w:rsidRDefault="00C2697F" w:rsidP="00577C10">
      <w:pPr>
        <w:jc w:val="both"/>
        <w:rPr>
          <w:rFonts w:ascii="Arial" w:hAnsi="Arial" w:cs="Arial"/>
          <w:sz w:val="16"/>
          <w:szCs w:val="16"/>
        </w:rPr>
      </w:pPr>
    </w:p>
    <w:p w14:paraId="5170D935" w14:textId="77777777" w:rsidR="002256F9" w:rsidRDefault="002256F9" w:rsidP="00577C10">
      <w:pPr>
        <w:jc w:val="both"/>
        <w:rPr>
          <w:rFonts w:ascii="Arial" w:hAnsi="Arial" w:cs="Arial"/>
          <w:sz w:val="16"/>
          <w:szCs w:val="16"/>
        </w:rPr>
      </w:pPr>
    </w:p>
    <w:p w14:paraId="71499C32" w14:textId="77777777" w:rsidR="002256F9" w:rsidRDefault="002256F9" w:rsidP="00577C10">
      <w:pPr>
        <w:jc w:val="both"/>
        <w:rPr>
          <w:rFonts w:ascii="Arial" w:hAnsi="Arial" w:cs="Arial"/>
          <w:sz w:val="16"/>
          <w:szCs w:val="16"/>
        </w:rPr>
      </w:pPr>
    </w:p>
    <w:p w14:paraId="2FFA111E" w14:textId="77777777" w:rsidR="0003319A" w:rsidRDefault="0003319A" w:rsidP="002256F9">
      <w:pPr>
        <w:jc w:val="center"/>
        <w:rPr>
          <w:rFonts w:ascii="Arial" w:hAnsi="Arial" w:cs="Arial"/>
          <w:b/>
          <w:bCs/>
        </w:rPr>
      </w:pPr>
    </w:p>
    <w:p w14:paraId="276F758E" w14:textId="77777777" w:rsidR="001D48F7" w:rsidRDefault="001D48F7" w:rsidP="002256F9">
      <w:pPr>
        <w:jc w:val="center"/>
        <w:rPr>
          <w:rFonts w:ascii="Arial" w:hAnsi="Arial" w:cs="Arial"/>
          <w:b/>
          <w:bCs/>
        </w:rPr>
      </w:pPr>
    </w:p>
    <w:p w14:paraId="5E14A1AC" w14:textId="77777777" w:rsidR="00F44A4C" w:rsidRDefault="00F44A4C" w:rsidP="002256F9">
      <w:pPr>
        <w:jc w:val="center"/>
        <w:rPr>
          <w:rFonts w:ascii="Arial" w:hAnsi="Arial" w:cs="Arial"/>
          <w:b/>
          <w:bCs/>
        </w:rPr>
      </w:pPr>
    </w:p>
    <w:sectPr w:rsidR="00F44A4C" w:rsidSect="004C7363">
      <w:headerReference w:type="default" r:id="rId11"/>
      <w:footerReference w:type="default" r:id="rId12"/>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C7148" w14:textId="77777777" w:rsidR="00ED2AF1" w:rsidRDefault="00ED2AF1">
      <w:r>
        <w:separator/>
      </w:r>
    </w:p>
  </w:endnote>
  <w:endnote w:type="continuationSeparator" w:id="0">
    <w:p w14:paraId="1229B705" w14:textId="77777777" w:rsidR="00ED2AF1" w:rsidRDefault="00ED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015502"/>
      <w:docPartObj>
        <w:docPartGallery w:val="Page Numbers (Bottom of Page)"/>
        <w:docPartUnique/>
      </w:docPartObj>
    </w:sdtPr>
    <w:sdtEndPr>
      <w:rPr>
        <w:noProof/>
      </w:rPr>
    </w:sdtEndPr>
    <w:sdtContent>
      <w:p w14:paraId="0A11A897" w14:textId="7F038F75" w:rsidR="00BD0D81" w:rsidRPr="00876E1D" w:rsidRDefault="00BD0D81" w:rsidP="00194015">
        <w:pPr>
          <w:pStyle w:val="Footer"/>
          <w:tabs>
            <w:tab w:val="clear" w:pos="4320"/>
            <w:tab w:val="clear" w:pos="8640"/>
            <w:tab w:val="center" w:pos="4680"/>
            <w:tab w:val="right" w:pos="10080"/>
          </w:tabs>
          <w:rPr>
            <w:rFonts w:ascii="Arial" w:hAnsi="Arial" w:cs="Arial"/>
            <w:sz w:val="20"/>
            <w:szCs w:val="20"/>
          </w:rPr>
        </w:pPr>
      </w:p>
      <w:p w14:paraId="627D5FB4" w14:textId="7ABF6A4D" w:rsidR="00BD0D81" w:rsidRPr="00194015" w:rsidRDefault="00BD0D81" w:rsidP="00194015">
        <w:pPr>
          <w:pStyle w:val="Footer"/>
          <w:tabs>
            <w:tab w:val="clear" w:pos="4320"/>
            <w:tab w:val="clear" w:pos="8640"/>
            <w:tab w:val="center" w:pos="4680"/>
            <w:tab w:val="right" w:pos="10080"/>
          </w:tabs>
          <w:rPr>
            <w:rFonts w:ascii="Arial" w:hAnsi="Arial" w:cs="Arial"/>
            <w:sz w:val="20"/>
            <w:szCs w:val="20"/>
          </w:rPr>
        </w:pPr>
        <w:r w:rsidRPr="00876E1D">
          <w:rPr>
            <w:rFonts w:ascii="Arial" w:hAnsi="Arial" w:cs="Arial"/>
            <w:sz w:val="20"/>
            <w:szCs w:val="20"/>
          </w:rPr>
          <w:t>State of</w:t>
        </w:r>
        <w:r>
          <w:rPr>
            <w:rFonts w:ascii="Arial" w:hAnsi="Arial" w:cs="Arial"/>
            <w:sz w:val="20"/>
            <w:szCs w:val="20"/>
          </w:rPr>
          <w:t xml:space="preserve">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10549" w14:textId="77777777" w:rsidR="00ED2AF1" w:rsidRDefault="00ED2AF1">
      <w:r>
        <w:separator/>
      </w:r>
    </w:p>
  </w:footnote>
  <w:footnote w:type="continuationSeparator" w:id="0">
    <w:p w14:paraId="043174E8" w14:textId="77777777" w:rsidR="00ED2AF1" w:rsidRDefault="00ED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BD0D81" w14:paraId="659369D5" w14:textId="77777777" w:rsidTr="004D5D33">
      <w:tc>
        <w:tcPr>
          <w:tcW w:w="10080" w:type="dxa"/>
          <w:shd w:val="clear" w:color="auto" w:fill="000080"/>
        </w:tcPr>
        <w:p w14:paraId="6BD500FA" w14:textId="77777777" w:rsidR="00BD0D81" w:rsidRDefault="00BD0D81" w:rsidP="00FC1DCC">
          <w:pPr>
            <w:tabs>
              <w:tab w:val="right" w:pos="9852"/>
            </w:tabs>
            <w:rPr>
              <w:rFonts w:ascii="Arial" w:hAnsi="Arial" w:cs="Arial"/>
              <w:color w:val="FFFFFF"/>
            </w:rPr>
          </w:pPr>
          <w:r>
            <w:rPr>
              <w:rFonts w:ascii="Arial" w:hAnsi="Arial" w:cs="Arial"/>
              <w:b/>
              <w:bCs/>
              <w:color w:val="FFFFFF"/>
            </w:rPr>
            <w:t>I</w:t>
          </w:r>
          <w:r w:rsidR="002826B5">
            <w:rPr>
              <w:rFonts w:ascii="Arial" w:hAnsi="Arial" w:cs="Arial"/>
              <w:b/>
              <w:bCs/>
              <w:color w:val="FFFFFF"/>
            </w:rPr>
            <w:t xml:space="preserve">nformation </w:t>
          </w:r>
          <w:r>
            <w:rPr>
              <w:rFonts w:ascii="Arial" w:hAnsi="Arial" w:cs="Arial"/>
              <w:b/>
              <w:bCs/>
              <w:color w:val="FFFFFF"/>
            </w:rPr>
            <w:t>T</w:t>
          </w:r>
          <w:r w:rsidR="002826B5">
            <w:rPr>
              <w:rFonts w:ascii="Arial" w:hAnsi="Arial" w:cs="Arial"/>
              <w:b/>
              <w:bCs/>
              <w:color w:val="FFFFFF"/>
            </w:rPr>
            <w:t>echnology</w:t>
          </w:r>
          <w:r>
            <w:rPr>
              <w:rFonts w:ascii="Arial" w:hAnsi="Arial" w:cs="Arial"/>
              <w:b/>
              <w:bCs/>
              <w:color w:val="FFFFFF"/>
            </w:rPr>
            <w:t xml:space="preserve"> Services</w:t>
          </w:r>
          <w:r w:rsidR="00780D97">
            <w:rPr>
              <w:rFonts w:ascii="Arial" w:hAnsi="Arial" w:cs="Arial"/>
              <w:b/>
              <w:bCs/>
              <w:color w:val="FFFFFF"/>
            </w:rPr>
            <w:t>, Office of</w:t>
          </w:r>
          <w:r>
            <w:rPr>
              <w:rFonts w:ascii="Arial" w:hAnsi="Arial" w:cs="Arial"/>
              <w:b/>
              <w:bCs/>
              <w:color w:val="FFFFFF"/>
            </w:rPr>
            <w:tab/>
          </w:r>
          <w:r>
            <w:rPr>
              <w:rFonts w:ascii="Arial" w:hAnsi="Arial" w:cs="Arial"/>
              <w:color w:val="FFFFFF"/>
            </w:rPr>
            <w:t>Performance Report</w:t>
          </w:r>
        </w:p>
      </w:tc>
    </w:tr>
    <w:tr w:rsidR="00BD0D81" w14:paraId="109081B4" w14:textId="77777777" w:rsidTr="004D5D33">
      <w:trPr>
        <w:trHeight w:hRule="exact" w:val="90"/>
      </w:trPr>
      <w:tc>
        <w:tcPr>
          <w:tcW w:w="10080" w:type="dxa"/>
          <w:tcBorders>
            <w:top w:val="nil"/>
            <w:bottom w:val="single" w:sz="4" w:space="0" w:color="auto"/>
          </w:tcBorders>
        </w:tcPr>
        <w:p w14:paraId="635009B0" w14:textId="77777777" w:rsidR="00BD0D81" w:rsidRDefault="00BD0D81" w:rsidP="00BD0D81"/>
      </w:tc>
    </w:tr>
    <w:tr w:rsidR="00BD0D81" w14:paraId="4B1423DB" w14:textId="77777777" w:rsidTr="004D5D33">
      <w:tc>
        <w:tcPr>
          <w:tcW w:w="10080" w:type="dxa"/>
          <w:tcBorders>
            <w:top w:val="single" w:sz="4" w:space="0" w:color="auto"/>
            <w:bottom w:val="nil"/>
          </w:tcBorders>
          <w:shd w:val="clear" w:color="auto" w:fill="000080"/>
        </w:tcPr>
        <w:p w14:paraId="12CC84ED" w14:textId="77777777" w:rsidR="00BD0D81" w:rsidRDefault="00BD0D81" w:rsidP="00F27E9D">
          <w:pPr>
            <w:tabs>
              <w:tab w:val="left" w:pos="3630"/>
            </w:tabs>
          </w:pPr>
        </w:p>
      </w:tc>
    </w:tr>
  </w:tbl>
  <w:p w14:paraId="5EB06565" w14:textId="77777777" w:rsidR="00BD0D81" w:rsidRDefault="00BD0D81" w:rsidP="003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B7392EA"/>
    <w:multiLevelType w:val="hybridMultilevel"/>
    <w:tmpl w:val="8E01AB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2AB8182E"/>
    <w:multiLevelType w:val="hybridMultilevel"/>
    <w:tmpl w:val="B712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77900"/>
    <w:multiLevelType w:val="hybridMultilevel"/>
    <w:tmpl w:val="E2B25B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E3E127B"/>
    <w:multiLevelType w:val="hybridMultilevel"/>
    <w:tmpl w:val="9D9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56820"/>
    <w:multiLevelType w:val="hybridMultilevel"/>
    <w:tmpl w:val="CB38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682CA7"/>
    <w:multiLevelType w:val="hybridMultilevel"/>
    <w:tmpl w:val="9D9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1361C"/>
    <w:multiLevelType w:val="hybridMultilevel"/>
    <w:tmpl w:val="E2B25B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4CA23971"/>
    <w:multiLevelType w:val="hybridMultilevel"/>
    <w:tmpl w:val="EAEA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5DEC6A23"/>
    <w:multiLevelType w:val="hybridMultilevel"/>
    <w:tmpl w:val="0B9C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770E1"/>
    <w:multiLevelType w:val="hybridMultilevel"/>
    <w:tmpl w:val="D8C21A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117104"/>
    <w:multiLevelType w:val="hybridMultilevel"/>
    <w:tmpl w:val="4C14EB9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87347BC"/>
    <w:multiLevelType w:val="hybridMultilevel"/>
    <w:tmpl w:val="647C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E7015AA"/>
    <w:multiLevelType w:val="hybridMultilevel"/>
    <w:tmpl w:val="44FAA36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1B0886"/>
    <w:multiLevelType w:val="hybridMultilevel"/>
    <w:tmpl w:val="DAE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D534C"/>
    <w:multiLevelType w:val="hybridMultilevel"/>
    <w:tmpl w:val="9E7A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92AAB"/>
    <w:multiLevelType w:val="hybridMultilevel"/>
    <w:tmpl w:val="9D9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E2C15"/>
    <w:multiLevelType w:val="hybridMultilevel"/>
    <w:tmpl w:val="18DAD76E"/>
    <w:lvl w:ilvl="0" w:tplc="42424D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1B40E6"/>
    <w:multiLevelType w:val="hybridMultilevel"/>
    <w:tmpl w:val="E2B25B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7E012D2E"/>
    <w:multiLevelType w:val="hybridMultilevel"/>
    <w:tmpl w:val="F376A1FE"/>
    <w:lvl w:ilvl="0" w:tplc="BD02A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7984478">
    <w:abstractNumId w:val="20"/>
  </w:num>
  <w:num w:numId="2" w16cid:durableId="853960994">
    <w:abstractNumId w:val="5"/>
  </w:num>
  <w:num w:numId="3" w16cid:durableId="1121191753">
    <w:abstractNumId w:val="15"/>
  </w:num>
  <w:num w:numId="4" w16cid:durableId="730270895">
    <w:abstractNumId w:val="13"/>
  </w:num>
  <w:num w:numId="5" w16cid:durableId="7372428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5986401">
    <w:abstractNumId w:val="2"/>
  </w:num>
  <w:num w:numId="7" w16cid:durableId="201018562">
    <w:abstractNumId w:val="8"/>
  </w:num>
  <w:num w:numId="8" w16cid:durableId="220681008">
    <w:abstractNumId w:val="1"/>
  </w:num>
  <w:num w:numId="9" w16cid:durableId="73429914">
    <w:abstractNumId w:val="14"/>
  </w:num>
  <w:num w:numId="10" w16cid:durableId="953098070">
    <w:abstractNumId w:val="12"/>
  </w:num>
  <w:num w:numId="11" w16cid:durableId="708143312">
    <w:abstractNumId w:val="18"/>
  </w:num>
  <w:num w:numId="12" w16cid:durableId="7799918">
    <w:abstractNumId w:val="22"/>
  </w:num>
  <w:num w:numId="13" w16cid:durableId="1150635073">
    <w:abstractNumId w:val="0"/>
  </w:num>
  <w:num w:numId="14" w16cid:durableId="371617244">
    <w:abstractNumId w:val="7"/>
  </w:num>
  <w:num w:numId="15" w16cid:durableId="1127119254">
    <w:abstractNumId w:val="10"/>
  </w:num>
  <w:num w:numId="16" w16cid:durableId="1488595532">
    <w:abstractNumId w:val="26"/>
  </w:num>
  <w:num w:numId="17" w16cid:durableId="750390124">
    <w:abstractNumId w:val="24"/>
  </w:num>
  <w:num w:numId="18" w16cid:durableId="2000881065">
    <w:abstractNumId w:val="6"/>
  </w:num>
  <w:num w:numId="19" w16cid:durableId="1170483562">
    <w:abstractNumId w:val="9"/>
  </w:num>
  <w:num w:numId="20" w16cid:durableId="1199784652">
    <w:abstractNumId w:val="4"/>
  </w:num>
  <w:num w:numId="21" w16cid:durableId="691347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7794605">
    <w:abstractNumId w:val="21"/>
  </w:num>
  <w:num w:numId="23" w16cid:durableId="1500657587">
    <w:abstractNumId w:val="25"/>
  </w:num>
  <w:num w:numId="24" w16cid:durableId="1195268953">
    <w:abstractNumId w:val="16"/>
  </w:num>
  <w:num w:numId="25" w16cid:durableId="823548628">
    <w:abstractNumId w:val="27"/>
  </w:num>
  <w:num w:numId="26" w16cid:durableId="1543591102">
    <w:abstractNumId w:val="11"/>
  </w:num>
  <w:num w:numId="27" w16cid:durableId="1599557379">
    <w:abstractNumId w:val="19"/>
  </w:num>
  <w:num w:numId="28" w16cid:durableId="331953822">
    <w:abstractNumId w:val="23"/>
  </w:num>
  <w:num w:numId="29" w16cid:durableId="1322193488">
    <w:abstractNumId w:val="3"/>
  </w:num>
  <w:num w:numId="30" w16cid:durableId="13308683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5"/>
    <w:rsid w:val="000029AE"/>
    <w:rsid w:val="000040B7"/>
    <w:rsid w:val="000042DC"/>
    <w:rsid w:val="00005CED"/>
    <w:rsid w:val="00006649"/>
    <w:rsid w:val="000124DE"/>
    <w:rsid w:val="000141B7"/>
    <w:rsid w:val="0001617C"/>
    <w:rsid w:val="0002004E"/>
    <w:rsid w:val="000208EF"/>
    <w:rsid w:val="0002160F"/>
    <w:rsid w:val="0002379F"/>
    <w:rsid w:val="000247A5"/>
    <w:rsid w:val="000266A5"/>
    <w:rsid w:val="00027C66"/>
    <w:rsid w:val="00030CFD"/>
    <w:rsid w:val="00032412"/>
    <w:rsid w:val="0003319A"/>
    <w:rsid w:val="00036706"/>
    <w:rsid w:val="000379E7"/>
    <w:rsid w:val="0004563C"/>
    <w:rsid w:val="0004597B"/>
    <w:rsid w:val="0005090C"/>
    <w:rsid w:val="00051CB4"/>
    <w:rsid w:val="0006031E"/>
    <w:rsid w:val="000604F4"/>
    <w:rsid w:val="000613DA"/>
    <w:rsid w:val="0006401E"/>
    <w:rsid w:val="00064FF6"/>
    <w:rsid w:val="0006542C"/>
    <w:rsid w:val="00066AFB"/>
    <w:rsid w:val="0007178F"/>
    <w:rsid w:val="00075F38"/>
    <w:rsid w:val="00076B90"/>
    <w:rsid w:val="00077219"/>
    <w:rsid w:val="000821D0"/>
    <w:rsid w:val="000852C8"/>
    <w:rsid w:val="000856FC"/>
    <w:rsid w:val="00091C8A"/>
    <w:rsid w:val="0009447C"/>
    <w:rsid w:val="00094970"/>
    <w:rsid w:val="00095811"/>
    <w:rsid w:val="000970DE"/>
    <w:rsid w:val="000A01BC"/>
    <w:rsid w:val="000A186C"/>
    <w:rsid w:val="000A25DD"/>
    <w:rsid w:val="000B27D3"/>
    <w:rsid w:val="000B33D1"/>
    <w:rsid w:val="000B4234"/>
    <w:rsid w:val="000B7C10"/>
    <w:rsid w:val="000C1DD3"/>
    <w:rsid w:val="000C2356"/>
    <w:rsid w:val="000C72DC"/>
    <w:rsid w:val="000C73A7"/>
    <w:rsid w:val="000D021B"/>
    <w:rsid w:val="000D1404"/>
    <w:rsid w:val="000D4EA3"/>
    <w:rsid w:val="000D5C53"/>
    <w:rsid w:val="000E0159"/>
    <w:rsid w:val="000E24B1"/>
    <w:rsid w:val="000E2D85"/>
    <w:rsid w:val="000E3399"/>
    <w:rsid w:val="000E4939"/>
    <w:rsid w:val="000E4A95"/>
    <w:rsid w:val="000E6328"/>
    <w:rsid w:val="000F0AD1"/>
    <w:rsid w:val="000F25AC"/>
    <w:rsid w:val="000F43F4"/>
    <w:rsid w:val="000F4CC6"/>
    <w:rsid w:val="001006AA"/>
    <w:rsid w:val="00104235"/>
    <w:rsid w:val="00105721"/>
    <w:rsid w:val="001069FA"/>
    <w:rsid w:val="001070EE"/>
    <w:rsid w:val="0011346A"/>
    <w:rsid w:val="00115167"/>
    <w:rsid w:val="001164F7"/>
    <w:rsid w:val="00120B24"/>
    <w:rsid w:val="00121D10"/>
    <w:rsid w:val="00121DDC"/>
    <w:rsid w:val="001228A0"/>
    <w:rsid w:val="00123A42"/>
    <w:rsid w:val="0012449D"/>
    <w:rsid w:val="00126B87"/>
    <w:rsid w:val="00130FCC"/>
    <w:rsid w:val="0013292E"/>
    <w:rsid w:val="00136AD7"/>
    <w:rsid w:val="00141E41"/>
    <w:rsid w:val="00141E66"/>
    <w:rsid w:val="00142F81"/>
    <w:rsid w:val="0014349E"/>
    <w:rsid w:val="001518D7"/>
    <w:rsid w:val="00156678"/>
    <w:rsid w:val="00161F2D"/>
    <w:rsid w:val="00162635"/>
    <w:rsid w:val="0017021B"/>
    <w:rsid w:val="001804F5"/>
    <w:rsid w:val="001818A0"/>
    <w:rsid w:val="001818F3"/>
    <w:rsid w:val="00181E22"/>
    <w:rsid w:val="00185AE2"/>
    <w:rsid w:val="001879BF"/>
    <w:rsid w:val="00187CA2"/>
    <w:rsid w:val="00190438"/>
    <w:rsid w:val="00194015"/>
    <w:rsid w:val="00195741"/>
    <w:rsid w:val="00196B8F"/>
    <w:rsid w:val="00197268"/>
    <w:rsid w:val="00197671"/>
    <w:rsid w:val="001A12E6"/>
    <w:rsid w:val="001A1A40"/>
    <w:rsid w:val="001A407E"/>
    <w:rsid w:val="001A45AA"/>
    <w:rsid w:val="001A668A"/>
    <w:rsid w:val="001A7918"/>
    <w:rsid w:val="001B046A"/>
    <w:rsid w:val="001B4932"/>
    <w:rsid w:val="001B63E3"/>
    <w:rsid w:val="001B7084"/>
    <w:rsid w:val="001B79D1"/>
    <w:rsid w:val="001C1C60"/>
    <w:rsid w:val="001C2D4D"/>
    <w:rsid w:val="001C2F0E"/>
    <w:rsid w:val="001C591C"/>
    <w:rsid w:val="001C7CB9"/>
    <w:rsid w:val="001D0746"/>
    <w:rsid w:val="001D1949"/>
    <w:rsid w:val="001D48F7"/>
    <w:rsid w:val="001D59BE"/>
    <w:rsid w:val="001D5D46"/>
    <w:rsid w:val="001D5E9B"/>
    <w:rsid w:val="001E0BB4"/>
    <w:rsid w:val="001E1705"/>
    <w:rsid w:val="001E29B1"/>
    <w:rsid w:val="001E4102"/>
    <w:rsid w:val="001E7866"/>
    <w:rsid w:val="001E7965"/>
    <w:rsid w:val="001F397A"/>
    <w:rsid w:val="001F3D5F"/>
    <w:rsid w:val="001F46D7"/>
    <w:rsid w:val="001F6239"/>
    <w:rsid w:val="00202F23"/>
    <w:rsid w:val="00203D61"/>
    <w:rsid w:val="0020579F"/>
    <w:rsid w:val="002070A7"/>
    <w:rsid w:val="00207474"/>
    <w:rsid w:val="002078B4"/>
    <w:rsid w:val="00210A52"/>
    <w:rsid w:val="00211C92"/>
    <w:rsid w:val="00212A2A"/>
    <w:rsid w:val="00220DEA"/>
    <w:rsid w:val="00223F37"/>
    <w:rsid w:val="002256F9"/>
    <w:rsid w:val="0023102E"/>
    <w:rsid w:val="0023363C"/>
    <w:rsid w:val="00234A1E"/>
    <w:rsid w:val="0023561E"/>
    <w:rsid w:val="0023750E"/>
    <w:rsid w:val="00237E38"/>
    <w:rsid w:val="00240BBD"/>
    <w:rsid w:val="0024178D"/>
    <w:rsid w:val="00241801"/>
    <w:rsid w:val="00242261"/>
    <w:rsid w:val="00244064"/>
    <w:rsid w:val="002472B3"/>
    <w:rsid w:val="00247D30"/>
    <w:rsid w:val="00250963"/>
    <w:rsid w:val="00251149"/>
    <w:rsid w:val="00253ED1"/>
    <w:rsid w:val="00253FBC"/>
    <w:rsid w:val="002575F5"/>
    <w:rsid w:val="002631A7"/>
    <w:rsid w:val="00265398"/>
    <w:rsid w:val="002715A1"/>
    <w:rsid w:val="00271E33"/>
    <w:rsid w:val="00272395"/>
    <w:rsid w:val="00272679"/>
    <w:rsid w:val="0027453D"/>
    <w:rsid w:val="0027518F"/>
    <w:rsid w:val="002766C5"/>
    <w:rsid w:val="002826B5"/>
    <w:rsid w:val="00285413"/>
    <w:rsid w:val="00286576"/>
    <w:rsid w:val="00286AD8"/>
    <w:rsid w:val="002903FD"/>
    <w:rsid w:val="0029123C"/>
    <w:rsid w:val="00295A6F"/>
    <w:rsid w:val="00296EEF"/>
    <w:rsid w:val="002976C8"/>
    <w:rsid w:val="002A0614"/>
    <w:rsid w:val="002A10B7"/>
    <w:rsid w:val="002A130F"/>
    <w:rsid w:val="002A147A"/>
    <w:rsid w:val="002A15B6"/>
    <w:rsid w:val="002A18C6"/>
    <w:rsid w:val="002B03C5"/>
    <w:rsid w:val="002B279E"/>
    <w:rsid w:val="002B3559"/>
    <w:rsid w:val="002B4C8B"/>
    <w:rsid w:val="002B55D1"/>
    <w:rsid w:val="002B693F"/>
    <w:rsid w:val="002B7F8C"/>
    <w:rsid w:val="002C0477"/>
    <w:rsid w:val="002C0F43"/>
    <w:rsid w:val="002C3EC9"/>
    <w:rsid w:val="002C603F"/>
    <w:rsid w:val="002C6456"/>
    <w:rsid w:val="002D3EBC"/>
    <w:rsid w:val="002D3F54"/>
    <w:rsid w:val="002E0962"/>
    <w:rsid w:val="002E1A16"/>
    <w:rsid w:val="002E202D"/>
    <w:rsid w:val="002E4C5A"/>
    <w:rsid w:val="002E742C"/>
    <w:rsid w:val="002F0FDC"/>
    <w:rsid w:val="002F3A33"/>
    <w:rsid w:val="002F45EC"/>
    <w:rsid w:val="002F7E9A"/>
    <w:rsid w:val="003003EB"/>
    <w:rsid w:val="00301A26"/>
    <w:rsid w:val="0030765D"/>
    <w:rsid w:val="00311333"/>
    <w:rsid w:val="00315450"/>
    <w:rsid w:val="0031611A"/>
    <w:rsid w:val="00316FDD"/>
    <w:rsid w:val="00321307"/>
    <w:rsid w:val="00322886"/>
    <w:rsid w:val="00324E96"/>
    <w:rsid w:val="00331A4B"/>
    <w:rsid w:val="00334382"/>
    <w:rsid w:val="00335504"/>
    <w:rsid w:val="0033778E"/>
    <w:rsid w:val="0034203F"/>
    <w:rsid w:val="00343AD6"/>
    <w:rsid w:val="00345C61"/>
    <w:rsid w:val="00346402"/>
    <w:rsid w:val="003468F3"/>
    <w:rsid w:val="003511B9"/>
    <w:rsid w:val="00351C1E"/>
    <w:rsid w:val="0035280C"/>
    <w:rsid w:val="00352ADE"/>
    <w:rsid w:val="00357E7A"/>
    <w:rsid w:val="00363749"/>
    <w:rsid w:val="00364283"/>
    <w:rsid w:val="00366FD1"/>
    <w:rsid w:val="00367228"/>
    <w:rsid w:val="0037319E"/>
    <w:rsid w:val="00373A2D"/>
    <w:rsid w:val="00374B0D"/>
    <w:rsid w:val="00375263"/>
    <w:rsid w:val="003761AA"/>
    <w:rsid w:val="0038085A"/>
    <w:rsid w:val="00383C45"/>
    <w:rsid w:val="00385519"/>
    <w:rsid w:val="0038660F"/>
    <w:rsid w:val="003874D0"/>
    <w:rsid w:val="00390D14"/>
    <w:rsid w:val="003941A9"/>
    <w:rsid w:val="0039484A"/>
    <w:rsid w:val="00396F2F"/>
    <w:rsid w:val="003A0009"/>
    <w:rsid w:val="003A0B71"/>
    <w:rsid w:val="003A3FC8"/>
    <w:rsid w:val="003A495A"/>
    <w:rsid w:val="003A74B8"/>
    <w:rsid w:val="003B0CCA"/>
    <w:rsid w:val="003B2519"/>
    <w:rsid w:val="003B3BA0"/>
    <w:rsid w:val="003C0579"/>
    <w:rsid w:val="003C0DA4"/>
    <w:rsid w:val="003C1DA9"/>
    <w:rsid w:val="003C3B91"/>
    <w:rsid w:val="003D00E6"/>
    <w:rsid w:val="003D0490"/>
    <w:rsid w:val="003D0C7A"/>
    <w:rsid w:val="003D2C0C"/>
    <w:rsid w:val="003D5039"/>
    <w:rsid w:val="003E128B"/>
    <w:rsid w:val="003E1330"/>
    <w:rsid w:val="003E1FED"/>
    <w:rsid w:val="003E4E49"/>
    <w:rsid w:val="003E667B"/>
    <w:rsid w:val="003F3111"/>
    <w:rsid w:val="004051EB"/>
    <w:rsid w:val="00410150"/>
    <w:rsid w:val="00412371"/>
    <w:rsid w:val="00412E2B"/>
    <w:rsid w:val="00415F69"/>
    <w:rsid w:val="004167E4"/>
    <w:rsid w:val="00425A18"/>
    <w:rsid w:val="0042666A"/>
    <w:rsid w:val="004301DA"/>
    <w:rsid w:val="004306AB"/>
    <w:rsid w:val="00430B66"/>
    <w:rsid w:val="004324F0"/>
    <w:rsid w:val="0043383A"/>
    <w:rsid w:val="00436FF3"/>
    <w:rsid w:val="00440CEC"/>
    <w:rsid w:val="00440EFF"/>
    <w:rsid w:val="00443133"/>
    <w:rsid w:val="004462DB"/>
    <w:rsid w:val="00446485"/>
    <w:rsid w:val="00446567"/>
    <w:rsid w:val="00452D35"/>
    <w:rsid w:val="00453A3C"/>
    <w:rsid w:val="00455162"/>
    <w:rsid w:val="00460F01"/>
    <w:rsid w:val="004679AB"/>
    <w:rsid w:val="004700B9"/>
    <w:rsid w:val="0047037A"/>
    <w:rsid w:val="00470980"/>
    <w:rsid w:val="00475F48"/>
    <w:rsid w:val="00477129"/>
    <w:rsid w:val="004773D8"/>
    <w:rsid w:val="00480BAD"/>
    <w:rsid w:val="004829CC"/>
    <w:rsid w:val="00484736"/>
    <w:rsid w:val="0049014C"/>
    <w:rsid w:val="00492FDB"/>
    <w:rsid w:val="004A124E"/>
    <w:rsid w:val="004A26D2"/>
    <w:rsid w:val="004A52A2"/>
    <w:rsid w:val="004A52BC"/>
    <w:rsid w:val="004A655F"/>
    <w:rsid w:val="004B050F"/>
    <w:rsid w:val="004B2482"/>
    <w:rsid w:val="004B2ED7"/>
    <w:rsid w:val="004C372C"/>
    <w:rsid w:val="004C6422"/>
    <w:rsid w:val="004C7363"/>
    <w:rsid w:val="004D020B"/>
    <w:rsid w:val="004D05F5"/>
    <w:rsid w:val="004D1749"/>
    <w:rsid w:val="004D2AAC"/>
    <w:rsid w:val="004D35FC"/>
    <w:rsid w:val="004D5D33"/>
    <w:rsid w:val="004E08E3"/>
    <w:rsid w:val="004E37EC"/>
    <w:rsid w:val="004E5BAD"/>
    <w:rsid w:val="004E7344"/>
    <w:rsid w:val="004F493A"/>
    <w:rsid w:val="004F4B4A"/>
    <w:rsid w:val="0050155B"/>
    <w:rsid w:val="005015BF"/>
    <w:rsid w:val="00506D8C"/>
    <w:rsid w:val="00507B96"/>
    <w:rsid w:val="00516B58"/>
    <w:rsid w:val="005206A7"/>
    <w:rsid w:val="005226B0"/>
    <w:rsid w:val="005236C1"/>
    <w:rsid w:val="005236C2"/>
    <w:rsid w:val="00526D98"/>
    <w:rsid w:val="00530377"/>
    <w:rsid w:val="0053065E"/>
    <w:rsid w:val="005308E9"/>
    <w:rsid w:val="00534CFE"/>
    <w:rsid w:val="00541BAE"/>
    <w:rsid w:val="0054673E"/>
    <w:rsid w:val="00546F3E"/>
    <w:rsid w:val="00553027"/>
    <w:rsid w:val="00553F61"/>
    <w:rsid w:val="005570B6"/>
    <w:rsid w:val="0056396C"/>
    <w:rsid w:val="0056671B"/>
    <w:rsid w:val="00567045"/>
    <w:rsid w:val="00576A84"/>
    <w:rsid w:val="00576E13"/>
    <w:rsid w:val="00577C10"/>
    <w:rsid w:val="00580991"/>
    <w:rsid w:val="00580FB3"/>
    <w:rsid w:val="005820A6"/>
    <w:rsid w:val="005825BD"/>
    <w:rsid w:val="0058328A"/>
    <w:rsid w:val="00584F6D"/>
    <w:rsid w:val="00586A25"/>
    <w:rsid w:val="005936FE"/>
    <w:rsid w:val="00595E4F"/>
    <w:rsid w:val="00596D71"/>
    <w:rsid w:val="005A14BC"/>
    <w:rsid w:val="005A19D2"/>
    <w:rsid w:val="005A6D65"/>
    <w:rsid w:val="005B0745"/>
    <w:rsid w:val="005B078C"/>
    <w:rsid w:val="005B1213"/>
    <w:rsid w:val="005B18C0"/>
    <w:rsid w:val="005B2952"/>
    <w:rsid w:val="005B3656"/>
    <w:rsid w:val="005B55CE"/>
    <w:rsid w:val="005B661B"/>
    <w:rsid w:val="005C1507"/>
    <w:rsid w:val="005C16E1"/>
    <w:rsid w:val="005C191E"/>
    <w:rsid w:val="005D0AB7"/>
    <w:rsid w:val="005D32AB"/>
    <w:rsid w:val="005D66E8"/>
    <w:rsid w:val="005D77E7"/>
    <w:rsid w:val="005E1055"/>
    <w:rsid w:val="005E1A5E"/>
    <w:rsid w:val="005E2AE3"/>
    <w:rsid w:val="005E2B26"/>
    <w:rsid w:val="005E2DE1"/>
    <w:rsid w:val="005E3176"/>
    <w:rsid w:val="005E454A"/>
    <w:rsid w:val="005E4B8A"/>
    <w:rsid w:val="005E5CE2"/>
    <w:rsid w:val="005F01E3"/>
    <w:rsid w:val="005F18ED"/>
    <w:rsid w:val="005F2F8C"/>
    <w:rsid w:val="005F4830"/>
    <w:rsid w:val="005F6DF0"/>
    <w:rsid w:val="005F7F55"/>
    <w:rsid w:val="00602F64"/>
    <w:rsid w:val="00606028"/>
    <w:rsid w:val="006064CE"/>
    <w:rsid w:val="006064D3"/>
    <w:rsid w:val="006079A5"/>
    <w:rsid w:val="006207CE"/>
    <w:rsid w:val="00621D81"/>
    <w:rsid w:val="00623B7A"/>
    <w:rsid w:val="00625D53"/>
    <w:rsid w:val="00625F87"/>
    <w:rsid w:val="006271A8"/>
    <w:rsid w:val="00627778"/>
    <w:rsid w:val="00632237"/>
    <w:rsid w:val="006404F8"/>
    <w:rsid w:val="0064052D"/>
    <w:rsid w:val="006405DB"/>
    <w:rsid w:val="006414C9"/>
    <w:rsid w:val="006420BF"/>
    <w:rsid w:val="00646DA1"/>
    <w:rsid w:val="00647B81"/>
    <w:rsid w:val="00653E1E"/>
    <w:rsid w:val="006544BC"/>
    <w:rsid w:val="00654D93"/>
    <w:rsid w:val="00657D4D"/>
    <w:rsid w:val="0066036F"/>
    <w:rsid w:val="00661C09"/>
    <w:rsid w:val="00666027"/>
    <w:rsid w:val="00667759"/>
    <w:rsid w:val="0067017D"/>
    <w:rsid w:val="0067063E"/>
    <w:rsid w:val="00670E4A"/>
    <w:rsid w:val="00671180"/>
    <w:rsid w:val="00674361"/>
    <w:rsid w:val="00676974"/>
    <w:rsid w:val="006774BE"/>
    <w:rsid w:val="00682B4E"/>
    <w:rsid w:val="0068377A"/>
    <w:rsid w:val="00684F8F"/>
    <w:rsid w:val="006866EA"/>
    <w:rsid w:val="00686C8E"/>
    <w:rsid w:val="00686D6F"/>
    <w:rsid w:val="00690680"/>
    <w:rsid w:val="00691707"/>
    <w:rsid w:val="006926CC"/>
    <w:rsid w:val="006949CC"/>
    <w:rsid w:val="00695186"/>
    <w:rsid w:val="00696ADD"/>
    <w:rsid w:val="00697763"/>
    <w:rsid w:val="006A1B36"/>
    <w:rsid w:val="006A3612"/>
    <w:rsid w:val="006A48F2"/>
    <w:rsid w:val="006B258F"/>
    <w:rsid w:val="006B26D4"/>
    <w:rsid w:val="006B3742"/>
    <w:rsid w:val="006C0717"/>
    <w:rsid w:val="006C3B46"/>
    <w:rsid w:val="006C43AE"/>
    <w:rsid w:val="006C5BA3"/>
    <w:rsid w:val="006D6E60"/>
    <w:rsid w:val="006D7322"/>
    <w:rsid w:val="006E0CA9"/>
    <w:rsid w:val="006E4425"/>
    <w:rsid w:val="006E658E"/>
    <w:rsid w:val="006E7D06"/>
    <w:rsid w:val="006F494C"/>
    <w:rsid w:val="006F4EEA"/>
    <w:rsid w:val="007008C5"/>
    <w:rsid w:val="00701E69"/>
    <w:rsid w:val="00703425"/>
    <w:rsid w:val="00704327"/>
    <w:rsid w:val="007061B2"/>
    <w:rsid w:val="00706323"/>
    <w:rsid w:val="007129B6"/>
    <w:rsid w:val="007133EB"/>
    <w:rsid w:val="007153B9"/>
    <w:rsid w:val="00721E17"/>
    <w:rsid w:val="00722248"/>
    <w:rsid w:val="007242D9"/>
    <w:rsid w:val="007270EF"/>
    <w:rsid w:val="00731ADE"/>
    <w:rsid w:val="007352FC"/>
    <w:rsid w:val="00741F98"/>
    <w:rsid w:val="007444D2"/>
    <w:rsid w:val="00745AB2"/>
    <w:rsid w:val="0075354A"/>
    <w:rsid w:val="007563FF"/>
    <w:rsid w:val="00757C86"/>
    <w:rsid w:val="00766F32"/>
    <w:rsid w:val="0077155A"/>
    <w:rsid w:val="00771ADD"/>
    <w:rsid w:val="007759DE"/>
    <w:rsid w:val="007807AC"/>
    <w:rsid w:val="00780D97"/>
    <w:rsid w:val="00785381"/>
    <w:rsid w:val="00785A40"/>
    <w:rsid w:val="00790F3F"/>
    <w:rsid w:val="00791F19"/>
    <w:rsid w:val="00792863"/>
    <w:rsid w:val="00793549"/>
    <w:rsid w:val="0079666B"/>
    <w:rsid w:val="007A0C25"/>
    <w:rsid w:val="007A4A39"/>
    <w:rsid w:val="007A4F96"/>
    <w:rsid w:val="007A6ED6"/>
    <w:rsid w:val="007A7AF6"/>
    <w:rsid w:val="007A7CBB"/>
    <w:rsid w:val="007B3BD2"/>
    <w:rsid w:val="007B3F88"/>
    <w:rsid w:val="007B7EE8"/>
    <w:rsid w:val="007C2C4B"/>
    <w:rsid w:val="007C3E12"/>
    <w:rsid w:val="007C4819"/>
    <w:rsid w:val="007C5CE1"/>
    <w:rsid w:val="007C5CF1"/>
    <w:rsid w:val="007C63BD"/>
    <w:rsid w:val="007C6C19"/>
    <w:rsid w:val="007C6F5A"/>
    <w:rsid w:val="007D65F2"/>
    <w:rsid w:val="007D7D1D"/>
    <w:rsid w:val="007D7DBD"/>
    <w:rsid w:val="007E0214"/>
    <w:rsid w:val="007E3FD1"/>
    <w:rsid w:val="007E5B3E"/>
    <w:rsid w:val="007E60A3"/>
    <w:rsid w:val="007E6B6D"/>
    <w:rsid w:val="007E6CE4"/>
    <w:rsid w:val="007E7048"/>
    <w:rsid w:val="007F4E27"/>
    <w:rsid w:val="00801D57"/>
    <w:rsid w:val="00802251"/>
    <w:rsid w:val="0080302A"/>
    <w:rsid w:val="008103FA"/>
    <w:rsid w:val="008118F9"/>
    <w:rsid w:val="00811A6A"/>
    <w:rsid w:val="00814FD2"/>
    <w:rsid w:val="008170F2"/>
    <w:rsid w:val="00822601"/>
    <w:rsid w:val="008227D5"/>
    <w:rsid w:val="008237D4"/>
    <w:rsid w:val="00823E0F"/>
    <w:rsid w:val="008309DE"/>
    <w:rsid w:val="00830E69"/>
    <w:rsid w:val="008320FE"/>
    <w:rsid w:val="008330F8"/>
    <w:rsid w:val="00834470"/>
    <w:rsid w:val="008344E6"/>
    <w:rsid w:val="00835C27"/>
    <w:rsid w:val="00835FC0"/>
    <w:rsid w:val="008372E5"/>
    <w:rsid w:val="00837696"/>
    <w:rsid w:val="00841C41"/>
    <w:rsid w:val="0084694F"/>
    <w:rsid w:val="00846ED5"/>
    <w:rsid w:val="008472DC"/>
    <w:rsid w:val="00850F9D"/>
    <w:rsid w:val="008557AF"/>
    <w:rsid w:val="008564B1"/>
    <w:rsid w:val="00861171"/>
    <w:rsid w:val="0086165E"/>
    <w:rsid w:val="00864F75"/>
    <w:rsid w:val="0086644D"/>
    <w:rsid w:val="008668E7"/>
    <w:rsid w:val="008732BA"/>
    <w:rsid w:val="00873ADF"/>
    <w:rsid w:val="00874760"/>
    <w:rsid w:val="008748B0"/>
    <w:rsid w:val="00874FD8"/>
    <w:rsid w:val="00876AF5"/>
    <w:rsid w:val="00876E1D"/>
    <w:rsid w:val="00881975"/>
    <w:rsid w:val="008827DD"/>
    <w:rsid w:val="00882C20"/>
    <w:rsid w:val="0088336A"/>
    <w:rsid w:val="00883922"/>
    <w:rsid w:val="00884968"/>
    <w:rsid w:val="00890932"/>
    <w:rsid w:val="00890DB4"/>
    <w:rsid w:val="00891380"/>
    <w:rsid w:val="00892362"/>
    <w:rsid w:val="0089244D"/>
    <w:rsid w:val="008948F2"/>
    <w:rsid w:val="0089610F"/>
    <w:rsid w:val="00897EC3"/>
    <w:rsid w:val="008A32D1"/>
    <w:rsid w:val="008A33B2"/>
    <w:rsid w:val="008A40A7"/>
    <w:rsid w:val="008A710F"/>
    <w:rsid w:val="008A7B1D"/>
    <w:rsid w:val="008B10C4"/>
    <w:rsid w:val="008B5C51"/>
    <w:rsid w:val="008C0CE2"/>
    <w:rsid w:val="008C457D"/>
    <w:rsid w:val="008C6FD5"/>
    <w:rsid w:val="008D0BC0"/>
    <w:rsid w:val="008D70DC"/>
    <w:rsid w:val="008E0560"/>
    <w:rsid w:val="008E4197"/>
    <w:rsid w:val="008E4C86"/>
    <w:rsid w:val="008E5E44"/>
    <w:rsid w:val="008E71EE"/>
    <w:rsid w:val="008F0909"/>
    <w:rsid w:val="008F12EA"/>
    <w:rsid w:val="008F4C70"/>
    <w:rsid w:val="008F738D"/>
    <w:rsid w:val="00901486"/>
    <w:rsid w:val="0090245C"/>
    <w:rsid w:val="009043CB"/>
    <w:rsid w:val="00907791"/>
    <w:rsid w:val="0091662A"/>
    <w:rsid w:val="00916E10"/>
    <w:rsid w:val="00922044"/>
    <w:rsid w:val="00923679"/>
    <w:rsid w:val="009252A1"/>
    <w:rsid w:val="00925893"/>
    <w:rsid w:val="00925F04"/>
    <w:rsid w:val="0092613B"/>
    <w:rsid w:val="009335E7"/>
    <w:rsid w:val="00934D77"/>
    <w:rsid w:val="0093584B"/>
    <w:rsid w:val="00935910"/>
    <w:rsid w:val="00935D70"/>
    <w:rsid w:val="009426B5"/>
    <w:rsid w:val="0094526F"/>
    <w:rsid w:val="009455FA"/>
    <w:rsid w:val="00946620"/>
    <w:rsid w:val="00946848"/>
    <w:rsid w:val="00952FCE"/>
    <w:rsid w:val="00954247"/>
    <w:rsid w:val="00956F6D"/>
    <w:rsid w:val="00960C19"/>
    <w:rsid w:val="00963F71"/>
    <w:rsid w:val="00967CE3"/>
    <w:rsid w:val="00971D7E"/>
    <w:rsid w:val="00972E5D"/>
    <w:rsid w:val="0097546B"/>
    <w:rsid w:val="00975517"/>
    <w:rsid w:val="0097595D"/>
    <w:rsid w:val="009804A7"/>
    <w:rsid w:val="009819AC"/>
    <w:rsid w:val="00982CBB"/>
    <w:rsid w:val="00983AA7"/>
    <w:rsid w:val="0098439D"/>
    <w:rsid w:val="009850A1"/>
    <w:rsid w:val="00987F44"/>
    <w:rsid w:val="0099048B"/>
    <w:rsid w:val="00990B76"/>
    <w:rsid w:val="00994842"/>
    <w:rsid w:val="009A44BE"/>
    <w:rsid w:val="009A4C2D"/>
    <w:rsid w:val="009B271D"/>
    <w:rsid w:val="009B5B8F"/>
    <w:rsid w:val="009C11B0"/>
    <w:rsid w:val="009C2EEF"/>
    <w:rsid w:val="009C3B82"/>
    <w:rsid w:val="009C4782"/>
    <w:rsid w:val="009C4803"/>
    <w:rsid w:val="009C5263"/>
    <w:rsid w:val="009C573D"/>
    <w:rsid w:val="009C656E"/>
    <w:rsid w:val="009D0D04"/>
    <w:rsid w:val="009D3A5B"/>
    <w:rsid w:val="009D437D"/>
    <w:rsid w:val="009D47C8"/>
    <w:rsid w:val="009D6179"/>
    <w:rsid w:val="009E2392"/>
    <w:rsid w:val="009E268C"/>
    <w:rsid w:val="009E35FF"/>
    <w:rsid w:val="009E5A77"/>
    <w:rsid w:val="009E6AFA"/>
    <w:rsid w:val="009F17AC"/>
    <w:rsid w:val="00A01FB2"/>
    <w:rsid w:val="00A036D2"/>
    <w:rsid w:val="00A03984"/>
    <w:rsid w:val="00A06E4C"/>
    <w:rsid w:val="00A07685"/>
    <w:rsid w:val="00A07993"/>
    <w:rsid w:val="00A07FE1"/>
    <w:rsid w:val="00A1011B"/>
    <w:rsid w:val="00A14CFF"/>
    <w:rsid w:val="00A155DF"/>
    <w:rsid w:val="00A176E0"/>
    <w:rsid w:val="00A2294A"/>
    <w:rsid w:val="00A235A5"/>
    <w:rsid w:val="00A24A32"/>
    <w:rsid w:val="00A24F9B"/>
    <w:rsid w:val="00A27692"/>
    <w:rsid w:val="00A308D7"/>
    <w:rsid w:val="00A3121F"/>
    <w:rsid w:val="00A3129F"/>
    <w:rsid w:val="00A31754"/>
    <w:rsid w:val="00A36437"/>
    <w:rsid w:val="00A36C9F"/>
    <w:rsid w:val="00A36CDB"/>
    <w:rsid w:val="00A45BB2"/>
    <w:rsid w:val="00A47BF6"/>
    <w:rsid w:val="00A5456B"/>
    <w:rsid w:val="00A55AE8"/>
    <w:rsid w:val="00A60035"/>
    <w:rsid w:val="00A60D71"/>
    <w:rsid w:val="00A61C6B"/>
    <w:rsid w:val="00A62408"/>
    <w:rsid w:val="00A63203"/>
    <w:rsid w:val="00A72D16"/>
    <w:rsid w:val="00A73D1F"/>
    <w:rsid w:val="00A8255B"/>
    <w:rsid w:val="00A85AC4"/>
    <w:rsid w:val="00A91883"/>
    <w:rsid w:val="00A957D3"/>
    <w:rsid w:val="00A964AC"/>
    <w:rsid w:val="00A97843"/>
    <w:rsid w:val="00AA00A1"/>
    <w:rsid w:val="00AA0532"/>
    <w:rsid w:val="00AA1AC6"/>
    <w:rsid w:val="00AA2122"/>
    <w:rsid w:val="00AA617A"/>
    <w:rsid w:val="00AA73DC"/>
    <w:rsid w:val="00AB1BC9"/>
    <w:rsid w:val="00AB266D"/>
    <w:rsid w:val="00AB3BA7"/>
    <w:rsid w:val="00AB4D54"/>
    <w:rsid w:val="00AB6033"/>
    <w:rsid w:val="00AC200B"/>
    <w:rsid w:val="00AC2A3D"/>
    <w:rsid w:val="00AC3FF9"/>
    <w:rsid w:val="00AC5F10"/>
    <w:rsid w:val="00AD35F1"/>
    <w:rsid w:val="00AD4B50"/>
    <w:rsid w:val="00AD62CE"/>
    <w:rsid w:val="00AE1CAD"/>
    <w:rsid w:val="00AE26B0"/>
    <w:rsid w:val="00AE3B0E"/>
    <w:rsid w:val="00AE5FA0"/>
    <w:rsid w:val="00AE600C"/>
    <w:rsid w:val="00AF0F9E"/>
    <w:rsid w:val="00AF0FEB"/>
    <w:rsid w:val="00AF31C6"/>
    <w:rsid w:val="00AF32D4"/>
    <w:rsid w:val="00AF57B1"/>
    <w:rsid w:val="00AF6DBB"/>
    <w:rsid w:val="00B00845"/>
    <w:rsid w:val="00B00BC7"/>
    <w:rsid w:val="00B01920"/>
    <w:rsid w:val="00B100A4"/>
    <w:rsid w:val="00B10F1B"/>
    <w:rsid w:val="00B14A3D"/>
    <w:rsid w:val="00B15109"/>
    <w:rsid w:val="00B177F3"/>
    <w:rsid w:val="00B223E7"/>
    <w:rsid w:val="00B23557"/>
    <w:rsid w:val="00B25BC8"/>
    <w:rsid w:val="00B31C6E"/>
    <w:rsid w:val="00B33109"/>
    <w:rsid w:val="00B36DC2"/>
    <w:rsid w:val="00B40A53"/>
    <w:rsid w:val="00B42A9F"/>
    <w:rsid w:val="00B430F7"/>
    <w:rsid w:val="00B43401"/>
    <w:rsid w:val="00B4658E"/>
    <w:rsid w:val="00B46B01"/>
    <w:rsid w:val="00B472A1"/>
    <w:rsid w:val="00B50730"/>
    <w:rsid w:val="00B51A5C"/>
    <w:rsid w:val="00B524DC"/>
    <w:rsid w:val="00B55405"/>
    <w:rsid w:val="00B55ADF"/>
    <w:rsid w:val="00B5743F"/>
    <w:rsid w:val="00B60597"/>
    <w:rsid w:val="00B61933"/>
    <w:rsid w:val="00B64A13"/>
    <w:rsid w:val="00B655C4"/>
    <w:rsid w:val="00B65B09"/>
    <w:rsid w:val="00B663EE"/>
    <w:rsid w:val="00B66F73"/>
    <w:rsid w:val="00B67D03"/>
    <w:rsid w:val="00B70A12"/>
    <w:rsid w:val="00B71A10"/>
    <w:rsid w:val="00B7662A"/>
    <w:rsid w:val="00B84318"/>
    <w:rsid w:val="00B86806"/>
    <w:rsid w:val="00B92290"/>
    <w:rsid w:val="00B93397"/>
    <w:rsid w:val="00B9465D"/>
    <w:rsid w:val="00B94761"/>
    <w:rsid w:val="00BA0251"/>
    <w:rsid w:val="00BA046D"/>
    <w:rsid w:val="00BA1007"/>
    <w:rsid w:val="00BA2A3E"/>
    <w:rsid w:val="00BA35BA"/>
    <w:rsid w:val="00BA5E9E"/>
    <w:rsid w:val="00BA7127"/>
    <w:rsid w:val="00BB07CE"/>
    <w:rsid w:val="00BB253A"/>
    <w:rsid w:val="00BB4134"/>
    <w:rsid w:val="00BB7355"/>
    <w:rsid w:val="00BC25C0"/>
    <w:rsid w:val="00BC38B1"/>
    <w:rsid w:val="00BC468D"/>
    <w:rsid w:val="00BD0D81"/>
    <w:rsid w:val="00BD22EB"/>
    <w:rsid w:val="00BD3515"/>
    <w:rsid w:val="00BD49F5"/>
    <w:rsid w:val="00BD4F26"/>
    <w:rsid w:val="00BD7E66"/>
    <w:rsid w:val="00BD7EDB"/>
    <w:rsid w:val="00BE03BC"/>
    <w:rsid w:val="00BE2C33"/>
    <w:rsid w:val="00BE3013"/>
    <w:rsid w:val="00BE5DCA"/>
    <w:rsid w:val="00BE758A"/>
    <w:rsid w:val="00BF054E"/>
    <w:rsid w:val="00BF40B8"/>
    <w:rsid w:val="00BF5326"/>
    <w:rsid w:val="00BF74DF"/>
    <w:rsid w:val="00C04D6F"/>
    <w:rsid w:val="00C05CDA"/>
    <w:rsid w:val="00C0601D"/>
    <w:rsid w:val="00C142E8"/>
    <w:rsid w:val="00C15044"/>
    <w:rsid w:val="00C2097C"/>
    <w:rsid w:val="00C21C26"/>
    <w:rsid w:val="00C22B37"/>
    <w:rsid w:val="00C22D98"/>
    <w:rsid w:val="00C23479"/>
    <w:rsid w:val="00C2697F"/>
    <w:rsid w:val="00C34869"/>
    <w:rsid w:val="00C3582C"/>
    <w:rsid w:val="00C422E4"/>
    <w:rsid w:val="00C43B0D"/>
    <w:rsid w:val="00C46293"/>
    <w:rsid w:val="00C475D7"/>
    <w:rsid w:val="00C52BC8"/>
    <w:rsid w:val="00C54749"/>
    <w:rsid w:val="00C5474A"/>
    <w:rsid w:val="00C56991"/>
    <w:rsid w:val="00C631BA"/>
    <w:rsid w:val="00C6369E"/>
    <w:rsid w:val="00C63AE0"/>
    <w:rsid w:val="00C63E70"/>
    <w:rsid w:val="00C817BD"/>
    <w:rsid w:val="00C81D36"/>
    <w:rsid w:val="00C82BD3"/>
    <w:rsid w:val="00C913E1"/>
    <w:rsid w:val="00C919D4"/>
    <w:rsid w:val="00C94073"/>
    <w:rsid w:val="00C969AC"/>
    <w:rsid w:val="00CA030A"/>
    <w:rsid w:val="00CA1EF0"/>
    <w:rsid w:val="00CA3465"/>
    <w:rsid w:val="00CA55E4"/>
    <w:rsid w:val="00CA63C2"/>
    <w:rsid w:val="00CB1BEF"/>
    <w:rsid w:val="00CB4661"/>
    <w:rsid w:val="00CB4692"/>
    <w:rsid w:val="00CB538D"/>
    <w:rsid w:val="00CC294B"/>
    <w:rsid w:val="00CC39BB"/>
    <w:rsid w:val="00CC3D1A"/>
    <w:rsid w:val="00CC7295"/>
    <w:rsid w:val="00CC7995"/>
    <w:rsid w:val="00CD02A6"/>
    <w:rsid w:val="00CD1298"/>
    <w:rsid w:val="00CD1547"/>
    <w:rsid w:val="00CD2889"/>
    <w:rsid w:val="00CD307A"/>
    <w:rsid w:val="00CD549B"/>
    <w:rsid w:val="00CE3C09"/>
    <w:rsid w:val="00CE44D6"/>
    <w:rsid w:val="00CE4545"/>
    <w:rsid w:val="00CE679E"/>
    <w:rsid w:val="00CE6C94"/>
    <w:rsid w:val="00CF0168"/>
    <w:rsid w:val="00CF2551"/>
    <w:rsid w:val="00CF546F"/>
    <w:rsid w:val="00D030EA"/>
    <w:rsid w:val="00D03CEE"/>
    <w:rsid w:val="00D040A2"/>
    <w:rsid w:val="00D0633A"/>
    <w:rsid w:val="00D10B15"/>
    <w:rsid w:val="00D13A7F"/>
    <w:rsid w:val="00D154B3"/>
    <w:rsid w:val="00D155DC"/>
    <w:rsid w:val="00D2003A"/>
    <w:rsid w:val="00D22BC3"/>
    <w:rsid w:val="00D23570"/>
    <w:rsid w:val="00D2391E"/>
    <w:rsid w:val="00D264BF"/>
    <w:rsid w:val="00D30568"/>
    <w:rsid w:val="00D30866"/>
    <w:rsid w:val="00D35A01"/>
    <w:rsid w:val="00D35EBC"/>
    <w:rsid w:val="00D401BA"/>
    <w:rsid w:val="00D40DE4"/>
    <w:rsid w:val="00D42CF6"/>
    <w:rsid w:val="00D46CA9"/>
    <w:rsid w:val="00D55B88"/>
    <w:rsid w:val="00D566C7"/>
    <w:rsid w:val="00D612A2"/>
    <w:rsid w:val="00D6437D"/>
    <w:rsid w:val="00D70B96"/>
    <w:rsid w:val="00D713F8"/>
    <w:rsid w:val="00D71E53"/>
    <w:rsid w:val="00D7622A"/>
    <w:rsid w:val="00D764B5"/>
    <w:rsid w:val="00D76F64"/>
    <w:rsid w:val="00D77754"/>
    <w:rsid w:val="00D81357"/>
    <w:rsid w:val="00D830CE"/>
    <w:rsid w:val="00D85E34"/>
    <w:rsid w:val="00D85E47"/>
    <w:rsid w:val="00D87B87"/>
    <w:rsid w:val="00D87F39"/>
    <w:rsid w:val="00D933BE"/>
    <w:rsid w:val="00D93633"/>
    <w:rsid w:val="00D94E39"/>
    <w:rsid w:val="00D94F92"/>
    <w:rsid w:val="00DB11F7"/>
    <w:rsid w:val="00DB527B"/>
    <w:rsid w:val="00DB6D72"/>
    <w:rsid w:val="00DC3BF3"/>
    <w:rsid w:val="00DC3EDB"/>
    <w:rsid w:val="00DC5C44"/>
    <w:rsid w:val="00DC7A12"/>
    <w:rsid w:val="00DD016B"/>
    <w:rsid w:val="00DD2C51"/>
    <w:rsid w:val="00DD5A0B"/>
    <w:rsid w:val="00DE0C1A"/>
    <w:rsid w:val="00DE17C2"/>
    <w:rsid w:val="00DE348E"/>
    <w:rsid w:val="00DE53E4"/>
    <w:rsid w:val="00DE783C"/>
    <w:rsid w:val="00DF0A93"/>
    <w:rsid w:val="00DF3A5A"/>
    <w:rsid w:val="00E0596E"/>
    <w:rsid w:val="00E05C45"/>
    <w:rsid w:val="00E06BE8"/>
    <w:rsid w:val="00E127C8"/>
    <w:rsid w:val="00E159C6"/>
    <w:rsid w:val="00E15D26"/>
    <w:rsid w:val="00E1704C"/>
    <w:rsid w:val="00E22A8B"/>
    <w:rsid w:val="00E23198"/>
    <w:rsid w:val="00E234D3"/>
    <w:rsid w:val="00E23648"/>
    <w:rsid w:val="00E23709"/>
    <w:rsid w:val="00E26370"/>
    <w:rsid w:val="00E305B2"/>
    <w:rsid w:val="00E374BE"/>
    <w:rsid w:val="00E42DEC"/>
    <w:rsid w:val="00E474E0"/>
    <w:rsid w:val="00E51672"/>
    <w:rsid w:val="00E53F1E"/>
    <w:rsid w:val="00E600D5"/>
    <w:rsid w:val="00E621F1"/>
    <w:rsid w:val="00E62AC4"/>
    <w:rsid w:val="00E62EEA"/>
    <w:rsid w:val="00E65907"/>
    <w:rsid w:val="00E701FB"/>
    <w:rsid w:val="00E73DD8"/>
    <w:rsid w:val="00E73E6F"/>
    <w:rsid w:val="00E80CC9"/>
    <w:rsid w:val="00E827A2"/>
    <w:rsid w:val="00E845AE"/>
    <w:rsid w:val="00E84AE8"/>
    <w:rsid w:val="00E86B2C"/>
    <w:rsid w:val="00E9068F"/>
    <w:rsid w:val="00E91A89"/>
    <w:rsid w:val="00E934F5"/>
    <w:rsid w:val="00E96195"/>
    <w:rsid w:val="00EA0888"/>
    <w:rsid w:val="00EA320B"/>
    <w:rsid w:val="00EB1E06"/>
    <w:rsid w:val="00EB55B6"/>
    <w:rsid w:val="00EC30FC"/>
    <w:rsid w:val="00ED11B1"/>
    <w:rsid w:val="00ED2AF1"/>
    <w:rsid w:val="00ED2F4E"/>
    <w:rsid w:val="00ED5B43"/>
    <w:rsid w:val="00ED5B9A"/>
    <w:rsid w:val="00EE2C3C"/>
    <w:rsid w:val="00EE37A9"/>
    <w:rsid w:val="00EE4BDC"/>
    <w:rsid w:val="00EE5BF7"/>
    <w:rsid w:val="00EE71D8"/>
    <w:rsid w:val="00EF424A"/>
    <w:rsid w:val="00F00039"/>
    <w:rsid w:val="00F000D1"/>
    <w:rsid w:val="00F012C9"/>
    <w:rsid w:val="00F025D6"/>
    <w:rsid w:val="00F10255"/>
    <w:rsid w:val="00F1202B"/>
    <w:rsid w:val="00F132AF"/>
    <w:rsid w:val="00F147ED"/>
    <w:rsid w:val="00F14C53"/>
    <w:rsid w:val="00F22815"/>
    <w:rsid w:val="00F24DFB"/>
    <w:rsid w:val="00F25601"/>
    <w:rsid w:val="00F276F2"/>
    <w:rsid w:val="00F277A6"/>
    <w:rsid w:val="00F27E9D"/>
    <w:rsid w:val="00F30EAF"/>
    <w:rsid w:val="00F3234D"/>
    <w:rsid w:val="00F34796"/>
    <w:rsid w:val="00F3638A"/>
    <w:rsid w:val="00F42697"/>
    <w:rsid w:val="00F435C6"/>
    <w:rsid w:val="00F43885"/>
    <w:rsid w:val="00F43B46"/>
    <w:rsid w:val="00F4445B"/>
    <w:rsid w:val="00F44A4C"/>
    <w:rsid w:val="00F47647"/>
    <w:rsid w:val="00F47A46"/>
    <w:rsid w:val="00F519AE"/>
    <w:rsid w:val="00F5244E"/>
    <w:rsid w:val="00F5367C"/>
    <w:rsid w:val="00F602C8"/>
    <w:rsid w:val="00F613E4"/>
    <w:rsid w:val="00F63ECC"/>
    <w:rsid w:val="00F6427F"/>
    <w:rsid w:val="00F646A9"/>
    <w:rsid w:val="00F70CC6"/>
    <w:rsid w:val="00F71232"/>
    <w:rsid w:val="00F71982"/>
    <w:rsid w:val="00F86386"/>
    <w:rsid w:val="00F912B9"/>
    <w:rsid w:val="00FA0738"/>
    <w:rsid w:val="00FA3DBC"/>
    <w:rsid w:val="00FB2832"/>
    <w:rsid w:val="00FB44DA"/>
    <w:rsid w:val="00FB67A8"/>
    <w:rsid w:val="00FC0718"/>
    <w:rsid w:val="00FC0E18"/>
    <w:rsid w:val="00FC1CD4"/>
    <w:rsid w:val="00FC1DCC"/>
    <w:rsid w:val="00FC31FA"/>
    <w:rsid w:val="00FC4DD0"/>
    <w:rsid w:val="00FD1F02"/>
    <w:rsid w:val="00FD2176"/>
    <w:rsid w:val="00FD24F6"/>
    <w:rsid w:val="00FD57C5"/>
    <w:rsid w:val="00FD70CD"/>
    <w:rsid w:val="00FE0C4E"/>
    <w:rsid w:val="00FE257B"/>
    <w:rsid w:val="00FE3C9F"/>
    <w:rsid w:val="00FE4698"/>
    <w:rsid w:val="00FF008D"/>
    <w:rsid w:val="00FF2075"/>
    <w:rsid w:val="00FF24EB"/>
    <w:rsid w:val="00FF28DA"/>
    <w:rsid w:val="00FF2ABC"/>
    <w:rsid w:val="00FF34CA"/>
    <w:rsid w:val="00FF64D6"/>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3E7E70"/>
  <w15:docId w15:val="{6F81F786-C5C8-407D-B576-C1D58251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4A"/>
    <w:rPr>
      <w:sz w:val="24"/>
      <w:szCs w:val="24"/>
    </w:rPr>
  </w:style>
  <w:style w:type="paragraph" w:styleId="Heading1">
    <w:name w:val="heading 1"/>
    <w:basedOn w:val="Normal"/>
    <w:next w:val="Normal"/>
    <w:link w:val="Heading1Char"/>
    <w:qFormat/>
    <w:locked/>
    <w:rsid w:val="00235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9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basedOn w:val="DefaultParagraphFont"/>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basedOn w:val="DefaultParagraphFont"/>
    <w:link w:val="Footer"/>
    <w:uiPriority w:val="99"/>
    <w:locked/>
    <w:rsid w:val="005236C1"/>
    <w:rPr>
      <w:rFonts w:cs="Times New Roman"/>
      <w:sz w:val="24"/>
      <w:szCs w:val="24"/>
    </w:rPr>
  </w:style>
  <w:style w:type="character" w:styleId="PageNumber">
    <w:name w:val="page number"/>
    <w:basedOn w:val="DefaultParagraphFont"/>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basedOn w:val="DefaultParagraphFont"/>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6C1"/>
    <w:rPr>
      <w:rFonts w:cs="Times New Roman"/>
      <w:sz w:val="2"/>
    </w:rPr>
  </w:style>
  <w:style w:type="paragraph" w:styleId="ListParagraph">
    <w:name w:val="List Paragraph"/>
    <w:basedOn w:val="Normal"/>
    <w:uiPriority w:val="34"/>
    <w:qFormat/>
    <w:rsid w:val="00646DA1"/>
    <w:pPr>
      <w:ind w:left="720"/>
      <w:contextualSpacing/>
    </w:pPr>
  </w:style>
  <w:style w:type="character" w:customStyle="1" w:styleId="Heading1Char">
    <w:name w:val="Heading 1 Char"/>
    <w:basedOn w:val="DefaultParagraphFont"/>
    <w:link w:val="Heading1"/>
    <w:rsid w:val="002356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97268"/>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367228"/>
    <w:rPr>
      <w:rFonts w:ascii="Calibri" w:eastAsiaTheme="minorHAnsi" w:hAnsi="Calibri" w:cs="Calibri"/>
      <w:sz w:val="22"/>
      <w:szCs w:val="22"/>
    </w:rPr>
  </w:style>
  <w:style w:type="character" w:styleId="Hyperlink">
    <w:name w:val="Hyperlink"/>
    <w:basedOn w:val="DefaultParagraphFont"/>
    <w:uiPriority w:val="99"/>
    <w:unhideWhenUsed/>
    <w:rsid w:val="0033778E"/>
    <w:rPr>
      <w:color w:val="0000FF" w:themeColor="hyperlink"/>
      <w:u w:val="single"/>
    </w:rPr>
  </w:style>
  <w:style w:type="character" w:styleId="UnresolvedMention">
    <w:name w:val="Unresolved Mention"/>
    <w:basedOn w:val="DefaultParagraphFont"/>
    <w:uiPriority w:val="99"/>
    <w:semiHidden/>
    <w:unhideWhenUsed/>
    <w:rsid w:val="0033778E"/>
    <w:rPr>
      <w:color w:val="808080"/>
      <w:shd w:val="clear" w:color="auto" w:fill="E6E6E6"/>
    </w:rPr>
  </w:style>
  <w:style w:type="paragraph" w:styleId="FootnoteText">
    <w:name w:val="footnote text"/>
    <w:basedOn w:val="Normal"/>
    <w:link w:val="FootnoteTextChar"/>
    <w:uiPriority w:val="99"/>
    <w:semiHidden/>
    <w:unhideWhenUsed/>
    <w:rsid w:val="0068377A"/>
    <w:rPr>
      <w:sz w:val="20"/>
      <w:szCs w:val="20"/>
    </w:rPr>
  </w:style>
  <w:style w:type="character" w:customStyle="1" w:styleId="FootnoteTextChar">
    <w:name w:val="Footnote Text Char"/>
    <w:basedOn w:val="DefaultParagraphFont"/>
    <w:link w:val="FootnoteText"/>
    <w:uiPriority w:val="99"/>
    <w:semiHidden/>
    <w:rsid w:val="0068377A"/>
    <w:rPr>
      <w:sz w:val="20"/>
      <w:szCs w:val="20"/>
    </w:rPr>
  </w:style>
  <w:style w:type="character" w:styleId="FootnoteReference">
    <w:name w:val="footnote reference"/>
    <w:basedOn w:val="DefaultParagraphFont"/>
    <w:uiPriority w:val="99"/>
    <w:semiHidden/>
    <w:unhideWhenUsed/>
    <w:rsid w:val="00683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06180">
      <w:bodyDiv w:val="1"/>
      <w:marLeft w:val="0"/>
      <w:marRight w:val="0"/>
      <w:marTop w:val="0"/>
      <w:marBottom w:val="0"/>
      <w:divBdr>
        <w:top w:val="none" w:sz="0" w:space="0" w:color="auto"/>
        <w:left w:val="none" w:sz="0" w:space="0" w:color="auto"/>
        <w:bottom w:val="none" w:sz="0" w:space="0" w:color="auto"/>
        <w:right w:val="none" w:sz="0" w:space="0" w:color="auto"/>
      </w:divBdr>
    </w:div>
    <w:div w:id="295180934">
      <w:bodyDiv w:val="1"/>
      <w:marLeft w:val="0"/>
      <w:marRight w:val="0"/>
      <w:marTop w:val="0"/>
      <w:marBottom w:val="0"/>
      <w:divBdr>
        <w:top w:val="none" w:sz="0" w:space="0" w:color="auto"/>
        <w:left w:val="none" w:sz="0" w:space="0" w:color="auto"/>
        <w:bottom w:val="none" w:sz="0" w:space="0" w:color="auto"/>
        <w:right w:val="none" w:sz="0" w:space="0" w:color="auto"/>
      </w:divBdr>
    </w:div>
    <w:div w:id="455178320">
      <w:bodyDiv w:val="1"/>
      <w:marLeft w:val="0"/>
      <w:marRight w:val="0"/>
      <w:marTop w:val="0"/>
      <w:marBottom w:val="0"/>
      <w:divBdr>
        <w:top w:val="none" w:sz="0" w:space="0" w:color="auto"/>
        <w:left w:val="none" w:sz="0" w:space="0" w:color="auto"/>
        <w:bottom w:val="none" w:sz="0" w:space="0" w:color="auto"/>
        <w:right w:val="none" w:sz="0" w:space="0" w:color="auto"/>
      </w:divBdr>
    </w:div>
    <w:div w:id="870800179">
      <w:bodyDiv w:val="1"/>
      <w:marLeft w:val="0"/>
      <w:marRight w:val="0"/>
      <w:marTop w:val="0"/>
      <w:marBottom w:val="0"/>
      <w:divBdr>
        <w:top w:val="none" w:sz="0" w:space="0" w:color="auto"/>
        <w:left w:val="none" w:sz="0" w:space="0" w:color="auto"/>
        <w:bottom w:val="none" w:sz="0" w:space="0" w:color="auto"/>
        <w:right w:val="none" w:sz="0" w:space="0" w:color="auto"/>
      </w:divBdr>
    </w:div>
    <w:div w:id="1043748970">
      <w:bodyDiv w:val="1"/>
      <w:marLeft w:val="0"/>
      <w:marRight w:val="0"/>
      <w:marTop w:val="0"/>
      <w:marBottom w:val="0"/>
      <w:divBdr>
        <w:top w:val="none" w:sz="0" w:space="0" w:color="auto"/>
        <w:left w:val="none" w:sz="0" w:space="0" w:color="auto"/>
        <w:bottom w:val="none" w:sz="0" w:space="0" w:color="auto"/>
        <w:right w:val="none" w:sz="0" w:space="0" w:color="auto"/>
      </w:divBdr>
    </w:div>
    <w:div w:id="1100368266">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198784858">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277983408">
      <w:bodyDiv w:val="1"/>
      <w:marLeft w:val="0"/>
      <w:marRight w:val="0"/>
      <w:marTop w:val="0"/>
      <w:marBottom w:val="0"/>
      <w:divBdr>
        <w:top w:val="none" w:sz="0" w:space="0" w:color="auto"/>
        <w:left w:val="none" w:sz="0" w:space="0" w:color="auto"/>
        <w:bottom w:val="none" w:sz="0" w:space="0" w:color="auto"/>
        <w:right w:val="none" w:sz="0" w:space="0" w:color="auto"/>
      </w:divBdr>
    </w:div>
    <w:div w:id="1317102309">
      <w:bodyDiv w:val="1"/>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535385127">
      <w:bodyDiv w:val="1"/>
      <w:marLeft w:val="0"/>
      <w:marRight w:val="0"/>
      <w:marTop w:val="0"/>
      <w:marBottom w:val="0"/>
      <w:divBdr>
        <w:top w:val="none" w:sz="0" w:space="0" w:color="auto"/>
        <w:left w:val="none" w:sz="0" w:space="0" w:color="auto"/>
        <w:bottom w:val="none" w:sz="0" w:space="0" w:color="auto"/>
        <w:right w:val="none" w:sz="0" w:space="0" w:color="auto"/>
      </w:divBdr>
    </w:div>
    <w:div w:id="1847356592">
      <w:bodyDiv w:val="1"/>
      <w:marLeft w:val="0"/>
      <w:marRight w:val="0"/>
      <w:marTop w:val="0"/>
      <w:marBottom w:val="0"/>
      <w:divBdr>
        <w:top w:val="none" w:sz="0" w:space="0" w:color="auto"/>
        <w:left w:val="none" w:sz="0" w:space="0" w:color="auto"/>
        <w:bottom w:val="none" w:sz="0" w:space="0" w:color="auto"/>
        <w:right w:val="none" w:sz="0" w:space="0" w:color="auto"/>
      </w:divBdr>
    </w:div>
    <w:div w:id="19819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b737f3-03e4-412f-b60b-51b4409a090f">
      <Terms xmlns="http://schemas.microsoft.com/office/infopath/2007/PartnerControls"/>
    </lcf76f155ced4ddcb4097134ff3c332f>
    <TaxCatchAll xmlns="b70b78cf-4165-40b8-8ce1-3879493f1c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B4B273C61F97418E97614CA1A6BDB0" ma:contentTypeVersion="13" ma:contentTypeDescription="Create a new document." ma:contentTypeScope="" ma:versionID="da2b415570615d54d8b9adbf6d7687a7">
  <xsd:schema xmlns:xsd="http://www.w3.org/2001/XMLSchema" xmlns:xs="http://www.w3.org/2001/XMLSchema" xmlns:p="http://schemas.microsoft.com/office/2006/metadata/properties" xmlns:ns2="9db737f3-03e4-412f-b60b-51b4409a090f" xmlns:ns3="b70b78cf-4165-40b8-8ce1-3879493f1c6a" targetNamespace="http://schemas.microsoft.com/office/2006/metadata/properties" ma:root="true" ma:fieldsID="61c5e989fd7e5f61b4c56021adccdab4" ns2:_="" ns3:_="">
    <xsd:import namespace="9db737f3-03e4-412f-b60b-51b4409a090f"/>
    <xsd:import namespace="b70b78cf-4165-40b8-8ce1-3879493f1c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737f3-03e4-412f-b60b-51b4409a0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b78cf-4165-40b8-8ce1-3879493f1c6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7f9256f-0df7-4443-9900-3c1374a95e69}" ma:internalName="TaxCatchAll" ma:showField="CatchAllData" ma:web="b70b78cf-4165-40b8-8ce1-3879493f1c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74834-EC43-4ABC-BEBF-51DCF9296192}">
  <ds:schemaRefs>
    <ds:schemaRef ds:uri="http://schemas.openxmlformats.org/officeDocument/2006/bibliography"/>
  </ds:schemaRefs>
</ds:datastoreItem>
</file>

<file path=customXml/itemProps2.xml><?xml version="1.0" encoding="utf-8"?>
<ds:datastoreItem xmlns:ds="http://schemas.openxmlformats.org/officeDocument/2006/customXml" ds:itemID="{E0408076-6B57-44D4-9286-FEE9F9B64407}">
  <ds:schemaRefs>
    <ds:schemaRef ds:uri="http://schemas.microsoft.com/office/2006/metadata/properties"/>
    <ds:schemaRef ds:uri="http://schemas.microsoft.com/office/infopath/2007/PartnerControls"/>
    <ds:schemaRef ds:uri="9db737f3-03e4-412f-b60b-51b4409a090f"/>
    <ds:schemaRef ds:uri="b70b78cf-4165-40b8-8ce1-3879493f1c6a"/>
  </ds:schemaRefs>
</ds:datastoreItem>
</file>

<file path=customXml/itemProps3.xml><?xml version="1.0" encoding="utf-8"?>
<ds:datastoreItem xmlns:ds="http://schemas.openxmlformats.org/officeDocument/2006/customXml" ds:itemID="{EC1EB3BA-216B-4103-8F15-92AFA9C84830}">
  <ds:schemaRefs>
    <ds:schemaRef ds:uri="http://schemas.microsoft.com/sharepoint/v3/contenttype/forms"/>
  </ds:schemaRefs>
</ds:datastoreItem>
</file>

<file path=customXml/itemProps4.xml><?xml version="1.0" encoding="utf-8"?>
<ds:datastoreItem xmlns:ds="http://schemas.openxmlformats.org/officeDocument/2006/customXml" ds:itemID="{1A9EC0B7-89B4-4DA2-9FF1-AAE2E4D5F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737f3-03e4-412f-b60b-51b4409a090f"/>
    <ds:schemaRef ds:uri="b70b78cf-4165-40b8-8ce1-3879493f1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1964</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2022-08-31T17:36:00Z</cp:lastPrinted>
  <dcterms:created xsi:type="dcterms:W3CDTF">2024-01-08T23:15:00Z</dcterms:created>
  <dcterms:modified xsi:type="dcterms:W3CDTF">2024-04-12T20:55:00Z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0x01010088B4B273C61F97418E97614CA1A6BDB0</vt:lpwstr>
  </property>
  <property fmtid="{D5CDD505-2E9C-101B-9397-08002B2CF9AE}" pid="3" name="MediaServiceImageTags">
    <vt:lpwstr/>
  </property>
</Properties>
</file>