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20B89" w14:textId="77777777" w:rsidR="0023561E" w:rsidRDefault="0023561E" w:rsidP="002976C8">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18916D20" w14:textId="77777777" w:rsidR="0098439D" w:rsidRDefault="0098439D" w:rsidP="00577C10">
      <w:pPr>
        <w:rPr>
          <w:rFonts w:ascii="Arial" w:hAnsi="Arial" w:cs="Arial"/>
          <w:b/>
        </w:rPr>
      </w:pPr>
    </w:p>
    <w:p w14:paraId="365DEE0C" w14:textId="77777777" w:rsidR="002575F5" w:rsidRDefault="002575F5" w:rsidP="00577C10">
      <w:pPr>
        <w:rPr>
          <w:rFonts w:ascii="Arial" w:hAnsi="Arial" w:cs="Arial"/>
          <w:b/>
        </w:rPr>
      </w:pPr>
    </w:p>
    <w:p w14:paraId="1E141CC0" w14:textId="1E622624" w:rsidR="00197268" w:rsidRDefault="00C2697F" w:rsidP="00577C10">
      <w:pPr>
        <w:rPr>
          <w:rFonts w:ascii="Arial" w:hAnsi="Arial" w:cs="Arial"/>
          <w:b/>
        </w:rPr>
      </w:pPr>
      <w:r w:rsidRPr="001E1705">
        <w:rPr>
          <w:rFonts w:ascii="Arial" w:hAnsi="Arial" w:cs="Arial"/>
          <w:b/>
        </w:rPr>
        <w:t>Agency Overview</w:t>
      </w:r>
    </w:p>
    <w:p w14:paraId="58778B4A" w14:textId="2DD37A9E" w:rsidR="006B258F" w:rsidRPr="006B258F" w:rsidRDefault="006B258F" w:rsidP="00A45BB2">
      <w:pPr>
        <w:contextualSpacing/>
        <w:jc w:val="both"/>
        <w:rPr>
          <w:rFonts w:ascii="Arial" w:hAnsi="Arial" w:cs="Arial"/>
          <w:bCs/>
          <w:sz w:val="20"/>
          <w:szCs w:val="20"/>
        </w:rPr>
      </w:pPr>
      <w:r>
        <w:rPr>
          <w:rFonts w:ascii="Arial" w:hAnsi="Arial" w:cs="Arial"/>
          <w:bCs/>
          <w:sz w:val="20"/>
          <w:szCs w:val="20"/>
        </w:rPr>
        <w:t xml:space="preserve">The Office of </w:t>
      </w:r>
      <w:r w:rsidR="005B661B" w:rsidRPr="006B258F">
        <w:rPr>
          <w:rFonts w:ascii="Arial" w:hAnsi="Arial" w:cs="Arial"/>
          <w:bCs/>
          <w:sz w:val="20"/>
          <w:szCs w:val="20"/>
        </w:rPr>
        <w:t>I</w:t>
      </w:r>
      <w:r w:rsidR="00CB538D" w:rsidRPr="006B258F">
        <w:rPr>
          <w:rFonts w:ascii="Arial" w:hAnsi="Arial" w:cs="Arial"/>
          <w:bCs/>
          <w:sz w:val="20"/>
          <w:szCs w:val="20"/>
        </w:rPr>
        <w:t xml:space="preserve">nformation </w:t>
      </w:r>
      <w:r w:rsidR="005B661B" w:rsidRPr="006B258F">
        <w:rPr>
          <w:rFonts w:ascii="Arial" w:hAnsi="Arial" w:cs="Arial"/>
          <w:bCs/>
          <w:sz w:val="20"/>
          <w:szCs w:val="20"/>
        </w:rPr>
        <w:t>T</w:t>
      </w:r>
      <w:r w:rsidR="00CB538D" w:rsidRPr="006B258F">
        <w:rPr>
          <w:rFonts w:ascii="Arial" w:hAnsi="Arial" w:cs="Arial"/>
          <w:bCs/>
          <w:sz w:val="20"/>
          <w:szCs w:val="20"/>
        </w:rPr>
        <w:t>echnology</w:t>
      </w:r>
      <w:r w:rsidR="005B661B" w:rsidRPr="006B258F">
        <w:rPr>
          <w:rFonts w:ascii="Arial" w:hAnsi="Arial" w:cs="Arial"/>
          <w:bCs/>
          <w:sz w:val="20"/>
          <w:szCs w:val="20"/>
        </w:rPr>
        <w:t xml:space="preserve"> Service</w:t>
      </w:r>
      <w:r w:rsidRPr="006B258F">
        <w:rPr>
          <w:rFonts w:ascii="Arial" w:hAnsi="Arial" w:cs="Arial"/>
          <w:bCs/>
          <w:sz w:val="20"/>
          <w:szCs w:val="20"/>
        </w:rPr>
        <w:t xml:space="preserve"> (ITS)</w:t>
      </w:r>
      <w:r>
        <w:rPr>
          <w:rFonts w:ascii="Arial" w:hAnsi="Arial" w:cs="Arial"/>
          <w:bCs/>
          <w:sz w:val="20"/>
          <w:szCs w:val="20"/>
        </w:rPr>
        <w:t xml:space="preserve"> was created in 2018 to facilitate a centralized approach </w:t>
      </w:r>
      <w:r w:rsidR="0068377A">
        <w:rPr>
          <w:rFonts w:ascii="Arial" w:hAnsi="Arial" w:cs="Arial"/>
          <w:bCs/>
          <w:sz w:val="20"/>
          <w:szCs w:val="20"/>
        </w:rPr>
        <w:t>for</w:t>
      </w:r>
      <w:r>
        <w:rPr>
          <w:rFonts w:ascii="Arial" w:hAnsi="Arial" w:cs="Arial"/>
          <w:bCs/>
          <w:sz w:val="20"/>
          <w:szCs w:val="20"/>
        </w:rPr>
        <w:t xml:space="preserve"> </w:t>
      </w:r>
      <w:r w:rsidR="0068377A">
        <w:rPr>
          <w:rFonts w:ascii="Arial" w:hAnsi="Arial" w:cs="Arial"/>
          <w:bCs/>
          <w:sz w:val="20"/>
          <w:szCs w:val="20"/>
        </w:rPr>
        <w:t xml:space="preserve">the State of Idaho to acquire </w:t>
      </w:r>
      <w:r>
        <w:rPr>
          <w:rFonts w:ascii="Arial" w:hAnsi="Arial" w:cs="Arial"/>
          <w:bCs/>
          <w:sz w:val="20"/>
          <w:szCs w:val="20"/>
        </w:rPr>
        <w:t xml:space="preserve">and </w:t>
      </w:r>
      <w:r w:rsidR="0068377A">
        <w:rPr>
          <w:rFonts w:ascii="Arial" w:hAnsi="Arial" w:cs="Arial"/>
          <w:bCs/>
          <w:sz w:val="20"/>
          <w:szCs w:val="20"/>
        </w:rPr>
        <w:t xml:space="preserve">evaluate </w:t>
      </w:r>
      <w:r w:rsidR="002C3EC9">
        <w:rPr>
          <w:rFonts w:ascii="Arial" w:hAnsi="Arial" w:cs="Arial"/>
          <w:bCs/>
          <w:sz w:val="20"/>
          <w:szCs w:val="20"/>
        </w:rPr>
        <w:t>technology and</w:t>
      </w:r>
      <w:r>
        <w:rPr>
          <w:rFonts w:ascii="Arial" w:hAnsi="Arial" w:cs="Arial"/>
          <w:bCs/>
          <w:sz w:val="20"/>
          <w:szCs w:val="20"/>
        </w:rPr>
        <w:t xml:space="preserve"> develop a statewide strategic plan for coordinated information technology (IT) and telecommunications. ITS oversees and executes the coordination and implementation of all IT services and cybersecurity policies within the state.</w:t>
      </w:r>
    </w:p>
    <w:p w14:paraId="6D0CDCD8" w14:textId="77777777" w:rsidR="006B258F" w:rsidRDefault="006B258F" w:rsidP="00A45BB2">
      <w:pPr>
        <w:contextualSpacing/>
        <w:jc w:val="both"/>
        <w:rPr>
          <w:rFonts w:ascii="Arial" w:hAnsi="Arial" w:cs="Arial"/>
          <w:b/>
          <w:sz w:val="20"/>
          <w:szCs w:val="20"/>
        </w:rPr>
      </w:pPr>
    </w:p>
    <w:p w14:paraId="7C1F5103" w14:textId="34835E0B" w:rsidR="00B9465D" w:rsidRDefault="008732BA" w:rsidP="004D5D33">
      <w:pPr>
        <w:contextualSpacing/>
        <w:jc w:val="both"/>
        <w:rPr>
          <w:rFonts w:ascii="Arial" w:hAnsi="Arial" w:cs="Arial"/>
          <w:sz w:val="20"/>
          <w:szCs w:val="20"/>
        </w:rPr>
      </w:pPr>
      <w:r>
        <w:rPr>
          <w:rFonts w:ascii="Arial" w:hAnsi="Arial" w:cs="Arial"/>
          <w:sz w:val="20"/>
          <w:szCs w:val="20"/>
        </w:rPr>
        <w:t xml:space="preserve">Governor Brad Little appointed </w:t>
      </w:r>
      <w:r w:rsidR="007D7DBD">
        <w:rPr>
          <w:rFonts w:ascii="Arial" w:hAnsi="Arial" w:cs="Arial"/>
          <w:sz w:val="20"/>
          <w:szCs w:val="20"/>
        </w:rPr>
        <w:t>Alberto Gonzalez</w:t>
      </w:r>
      <w:r>
        <w:rPr>
          <w:rFonts w:ascii="Arial" w:hAnsi="Arial" w:cs="Arial"/>
          <w:sz w:val="20"/>
          <w:szCs w:val="20"/>
        </w:rPr>
        <w:t xml:space="preserve"> as administrator in 20</w:t>
      </w:r>
      <w:r w:rsidR="007D7DBD">
        <w:rPr>
          <w:rFonts w:ascii="Arial" w:hAnsi="Arial" w:cs="Arial"/>
          <w:sz w:val="20"/>
          <w:szCs w:val="20"/>
        </w:rPr>
        <w:t>22</w:t>
      </w:r>
      <w:r>
        <w:rPr>
          <w:rFonts w:ascii="Arial" w:hAnsi="Arial" w:cs="Arial"/>
          <w:sz w:val="20"/>
          <w:szCs w:val="20"/>
        </w:rPr>
        <w:t xml:space="preserve"> to </w:t>
      </w:r>
      <w:r w:rsidR="007D7DBD">
        <w:rPr>
          <w:rFonts w:ascii="Arial" w:hAnsi="Arial" w:cs="Arial"/>
          <w:sz w:val="20"/>
          <w:szCs w:val="20"/>
        </w:rPr>
        <w:t>continue</w:t>
      </w:r>
      <w:r>
        <w:rPr>
          <w:rFonts w:ascii="Arial" w:hAnsi="Arial" w:cs="Arial"/>
          <w:sz w:val="20"/>
          <w:szCs w:val="20"/>
        </w:rPr>
        <w:t xml:space="preserve"> </w:t>
      </w:r>
      <w:r w:rsidR="000208EF">
        <w:rPr>
          <w:rFonts w:ascii="Arial" w:hAnsi="Arial" w:cs="Arial"/>
          <w:sz w:val="20"/>
          <w:szCs w:val="20"/>
        </w:rPr>
        <w:t>the</w:t>
      </w:r>
      <w:r>
        <w:rPr>
          <w:rFonts w:ascii="Arial" w:hAnsi="Arial" w:cs="Arial"/>
          <w:sz w:val="20"/>
          <w:szCs w:val="20"/>
        </w:rPr>
        <w:t xml:space="preserve"> IT Modernization initiative. Today he leads </w:t>
      </w:r>
      <w:r w:rsidR="003D5039">
        <w:rPr>
          <w:rFonts w:ascii="Arial" w:hAnsi="Arial" w:cs="Arial"/>
          <w:sz w:val="20"/>
          <w:szCs w:val="20"/>
        </w:rPr>
        <w:t xml:space="preserve">ITS </w:t>
      </w:r>
      <w:r>
        <w:rPr>
          <w:rFonts w:ascii="Arial" w:hAnsi="Arial" w:cs="Arial"/>
          <w:sz w:val="20"/>
          <w:szCs w:val="20"/>
        </w:rPr>
        <w:t>and its</w:t>
      </w:r>
      <w:r w:rsidR="003D5039">
        <w:rPr>
          <w:rFonts w:ascii="Arial" w:hAnsi="Arial" w:cs="Arial"/>
          <w:sz w:val="20"/>
          <w:szCs w:val="20"/>
        </w:rPr>
        <w:t xml:space="preserve"> </w:t>
      </w:r>
      <w:r w:rsidR="007D7DBD">
        <w:rPr>
          <w:rFonts w:ascii="Arial" w:hAnsi="Arial" w:cs="Arial"/>
          <w:sz w:val="20"/>
          <w:szCs w:val="20"/>
        </w:rPr>
        <w:t>four major</w:t>
      </w:r>
      <w:r w:rsidR="003D5039">
        <w:rPr>
          <w:rFonts w:ascii="Arial" w:hAnsi="Arial" w:cs="Arial"/>
          <w:sz w:val="20"/>
          <w:szCs w:val="20"/>
        </w:rPr>
        <w:t xml:space="preserve"> </w:t>
      </w:r>
      <w:r w:rsidR="007D7DBD">
        <w:rPr>
          <w:rFonts w:ascii="Arial" w:hAnsi="Arial" w:cs="Arial"/>
          <w:sz w:val="20"/>
          <w:szCs w:val="20"/>
        </w:rPr>
        <w:t>business areas</w:t>
      </w:r>
      <w:r w:rsidR="003D5039">
        <w:rPr>
          <w:rFonts w:ascii="Arial" w:hAnsi="Arial" w:cs="Arial"/>
          <w:sz w:val="20"/>
          <w:szCs w:val="20"/>
        </w:rPr>
        <w:t xml:space="preserve"> including IT </w:t>
      </w:r>
      <w:r w:rsidR="002C3EC9">
        <w:rPr>
          <w:rFonts w:ascii="Arial" w:hAnsi="Arial" w:cs="Arial"/>
          <w:sz w:val="20"/>
          <w:szCs w:val="20"/>
        </w:rPr>
        <w:t>o</w:t>
      </w:r>
      <w:r w:rsidR="003D5039">
        <w:rPr>
          <w:rFonts w:ascii="Arial" w:hAnsi="Arial" w:cs="Arial"/>
          <w:sz w:val="20"/>
          <w:szCs w:val="20"/>
        </w:rPr>
        <w:t xml:space="preserve">perations, </w:t>
      </w:r>
      <w:r w:rsidR="002C3EC9">
        <w:rPr>
          <w:rFonts w:ascii="Arial" w:hAnsi="Arial" w:cs="Arial"/>
          <w:sz w:val="20"/>
          <w:szCs w:val="20"/>
        </w:rPr>
        <w:t>c</w:t>
      </w:r>
      <w:r w:rsidR="003D5039">
        <w:rPr>
          <w:rFonts w:ascii="Arial" w:hAnsi="Arial" w:cs="Arial"/>
          <w:sz w:val="20"/>
          <w:szCs w:val="20"/>
        </w:rPr>
        <w:t>ybersecurity</w:t>
      </w:r>
      <w:r w:rsidR="0077155A">
        <w:rPr>
          <w:rFonts w:ascii="Arial" w:hAnsi="Arial" w:cs="Arial"/>
          <w:sz w:val="20"/>
          <w:szCs w:val="20"/>
        </w:rPr>
        <w:t>/</w:t>
      </w:r>
      <w:r w:rsidR="002C3EC9">
        <w:rPr>
          <w:rFonts w:ascii="Arial" w:hAnsi="Arial" w:cs="Arial"/>
          <w:sz w:val="20"/>
          <w:szCs w:val="20"/>
        </w:rPr>
        <w:t>c</w:t>
      </w:r>
      <w:r w:rsidR="0077155A">
        <w:rPr>
          <w:rFonts w:ascii="Arial" w:hAnsi="Arial" w:cs="Arial"/>
          <w:sz w:val="20"/>
          <w:szCs w:val="20"/>
        </w:rPr>
        <w:t>ompliance</w:t>
      </w:r>
      <w:r w:rsidR="003D5039">
        <w:rPr>
          <w:rFonts w:ascii="Arial" w:hAnsi="Arial" w:cs="Arial"/>
          <w:sz w:val="20"/>
          <w:szCs w:val="20"/>
        </w:rPr>
        <w:t xml:space="preserve">, </w:t>
      </w:r>
      <w:r w:rsidR="00C54749">
        <w:rPr>
          <w:rFonts w:ascii="Arial" w:hAnsi="Arial" w:cs="Arial"/>
          <w:sz w:val="20"/>
          <w:szCs w:val="20"/>
        </w:rPr>
        <w:t>IT architecture, geospatial information services</w:t>
      </w:r>
      <w:r w:rsidR="003D5039">
        <w:rPr>
          <w:rFonts w:ascii="Arial" w:hAnsi="Arial" w:cs="Arial"/>
          <w:sz w:val="20"/>
          <w:szCs w:val="20"/>
        </w:rPr>
        <w:t xml:space="preserve">, </w:t>
      </w:r>
      <w:r w:rsidR="007D7DBD">
        <w:rPr>
          <w:rFonts w:ascii="Arial" w:hAnsi="Arial" w:cs="Arial"/>
          <w:sz w:val="20"/>
          <w:szCs w:val="20"/>
        </w:rPr>
        <w:t xml:space="preserve">and </w:t>
      </w:r>
      <w:r w:rsidR="002C3EC9">
        <w:rPr>
          <w:rFonts w:ascii="Arial" w:hAnsi="Arial" w:cs="Arial"/>
          <w:sz w:val="20"/>
          <w:szCs w:val="20"/>
        </w:rPr>
        <w:t>a</w:t>
      </w:r>
      <w:r w:rsidR="007D7DBD">
        <w:rPr>
          <w:rFonts w:ascii="Arial" w:hAnsi="Arial" w:cs="Arial"/>
          <w:sz w:val="20"/>
          <w:szCs w:val="20"/>
        </w:rPr>
        <w:t>dministration</w:t>
      </w:r>
      <w:r w:rsidR="003D5039">
        <w:rPr>
          <w:rFonts w:ascii="Arial" w:hAnsi="Arial" w:cs="Arial"/>
          <w:sz w:val="20"/>
          <w:szCs w:val="20"/>
        </w:rPr>
        <w:t xml:space="preserve">. With a total of </w:t>
      </w:r>
      <w:r w:rsidR="003D5039" w:rsidRPr="0002004E">
        <w:rPr>
          <w:rFonts w:ascii="Arial" w:hAnsi="Arial" w:cs="Arial"/>
          <w:sz w:val="20"/>
          <w:szCs w:val="20"/>
        </w:rPr>
        <w:t>1</w:t>
      </w:r>
      <w:r w:rsidR="0002004E" w:rsidRPr="0002004E">
        <w:rPr>
          <w:rFonts w:ascii="Arial" w:hAnsi="Arial" w:cs="Arial"/>
          <w:sz w:val="20"/>
          <w:szCs w:val="20"/>
        </w:rPr>
        <w:t>7</w:t>
      </w:r>
      <w:r w:rsidR="0002004E">
        <w:rPr>
          <w:rFonts w:ascii="Arial" w:hAnsi="Arial" w:cs="Arial"/>
          <w:sz w:val="20"/>
          <w:szCs w:val="20"/>
        </w:rPr>
        <w:t>6</w:t>
      </w:r>
      <w:r w:rsidR="003D5039">
        <w:rPr>
          <w:rFonts w:ascii="Arial" w:hAnsi="Arial" w:cs="Arial"/>
          <w:sz w:val="20"/>
          <w:szCs w:val="20"/>
        </w:rPr>
        <w:t xml:space="preserve"> FTPs, ITS is headquartered at the Chinden Campus in Boise with support staff at several </w:t>
      </w:r>
      <w:r w:rsidR="0068377A">
        <w:rPr>
          <w:rFonts w:ascii="Arial" w:hAnsi="Arial" w:cs="Arial"/>
          <w:sz w:val="20"/>
          <w:szCs w:val="20"/>
        </w:rPr>
        <w:t xml:space="preserve">northern and eastern Idaho locations </w:t>
      </w:r>
      <w:r w:rsidR="003D5039">
        <w:rPr>
          <w:rFonts w:ascii="Arial" w:hAnsi="Arial" w:cs="Arial"/>
          <w:sz w:val="20"/>
          <w:szCs w:val="20"/>
        </w:rPr>
        <w:t>to better serve our customers.</w:t>
      </w:r>
      <w:r w:rsidR="00935D70">
        <w:rPr>
          <w:rFonts w:ascii="Arial" w:hAnsi="Arial" w:cs="Arial"/>
          <w:sz w:val="20"/>
          <w:szCs w:val="20"/>
        </w:rPr>
        <w:t xml:space="preserve"> ITS currently supports </w:t>
      </w:r>
      <w:r w:rsidR="0068377A" w:rsidRPr="0002004E">
        <w:rPr>
          <w:rFonts w:ascii="Arial" w:hAnsi="Arial" w:cs="Arial"/>
          <w:sz w:val="20"/>
          <w:szCs w:val="20"/>
        </w:rPr>
        <w:t>4</w:t>
      </w:r>
      <w:r w:rsidR="007D7DBD" w:rsidRPr="0002004E">
        <w:rPr>
          <w:rFonts w:ascii="Arial" w:hAnsi="Arial" w:cs="Arial"/>
          <w:sz w:val="20"/>
          <w:szCs w:val="20"/>
        </w:rPr>
        <w:t>8</w:t>
      </w:r>
      <w:r w:rsidR="00935D70">
        <w:rPr>
          <w:rFonts w:ascii="Arial" w:hAnsi="Arial" w:cs="Arial"/>
          <w:sz w:val="20"/>
          <w:szCs w:val="20"/>
        </w:rPr>
        <w:t xml:space="preserve"> agencies, boards, and commission</w:t>
      </w:r>
      <w:r w:rsidR="00721E17">
        <w:rPr>
          <w:rFonts w:ascii="Arial" w:hAnsi="Arial" w:cs="Arial"/>
          <w:sz w:val="20"/>
          <w:szCs w:val="20"/>
        </w:rPr>
        <w:t>s.</w:t>
      </w:r>
    </w:p>
    <w:p w14:paraId="65EF728E" w14:textId="2E0A9983" w:rsidR="00935D70" w:rsidRDefault="00935D70" w:rsidP="004D5D33">
      <w:pPr>
        <w:contextualSpacing/>
        <w:jc w:val="both"/>
        <w:rPr>
          <w:rFonts w:ascii="Arial" w:hAnsi="Arial" w:cs="Arial"/>
          <w:sz w:val="20"/>
          <w:szCs w:val="20"/>
        </w:rPr>
      </w:pPr>
    </w:p>
    <w:p w14:paraId="67B00DF4" w14:textId="2E77325A" w:rsidR="00935D70" w:rsidRDefault="00935D70" w:rsidP="004D5D33">
      <w:pPr>
        <w:contextualSpacing/>
        <w:jc w:val="both"/>
        <w:rPr>
          <w:rFonts w:ascii="Arial" w:hAnsi="Arial" w:cs="Arial"/>
          <w:sz w:val="20"/>
          <w:szCs w:val="20"/>
        </w:rPr>
      </w:pPr>
      <w:r>
        <w:rPr>
          <w:rFonts w:ascii="Arial" w:hAnsi="Arial" w:cs="Arial"/>
          <w:sz w:val="20"/>
          <w:szCs w:val="20"/>
        </w:rPr>
        <w:t xml:space="preserve">The agency’s mission is to </w:t>
      </w:r>
      <w:r w:rsidR="007D7DBD">
        <w:rPr>
          <w:rFonts w:ascii="Arial" w:hAnsi="Arial" w:cs="Arial"/>
          <w:sz w:val="20"/>
          <w:szCs w:val="20"/>
        </w:rPr>
        <w:t>‘C</w:t>
      </w:r>
      <w:r>
        <w:rPr>
          <w:rFonts w:ascii="Arial" w:hAnsi="Arial" w:cs="Arial"/>
          <w:sz w:val="20"/>
          <w:szCs w:val="20"/>
        </w:rPr>
        <w:t>onnect citizens with their government</w:t>
      </w:r>
      <w:r w:rsidR="007D7DBD">
        <w:rPr>
          <w:rFonts w:ascii="Arial" w:hAnsi="Arial" w:cs="Arial"/>
          <w:sz w:val="20"/>
          <w:szCs w:val="20"/>
        </w:rPr>
        <w:t>”</w:t>
      </w:r>
      <w:r>
        <w:rPr>
          <w:rFonts w:ascii="Arial" w:hAnsi="Arial" w:cs="Arial"/>
          <w:sz w:val="20"/>
          <w:szCs w:val="20"/>
        </w:rPr>
        <w:t xml:space="preserve"> and the ITS staff are committed to inspiring trust and confidence in state government through modern solutions for technical services. The agency’s funding primarily comes from dedicated funds with some supplement</w:t>
      </w:r>
      <w:r w:rsidR="00B663EE">
        <w:rPr>
          <w:rFonts w:ascii="Arial" w:hAnsi="Arial" w:cs="Arial"/>
          <w:sz w:val="20"/>
          <w:szCs w:val="20"/>
        </w:rPr>
        <w:t>al</w:t>
      </w:r>
      <w:r>
        <w:rPr>
          <w:rFonts w:ascii="Arial" w:hAnsi="Arial" w:cs="Arial"/>
          <w:sz w:val="20"/>
          <w:szCs w:val="20"/>
        </w:rPr>
        <w:t xml:space="preserve"> general funds and </w:t>
      </w:r>
      <w:r w:rsidR="00B663EE">
        <w:rPr>
          <w:rFonts w:ascii="Arial" w:hAnsi="Arial" w:cs="Arial"/>
          <w:sz w:val="20"/>
          <w:szCs w:val="20"/>
        </w:rPr>
        <w:t>the Technology Infrastructure Stabilization Fund.</w:t>
      </w:r>
      <w:r w:rsidR="00741F98">
        <w:rPr>
          <w:rFonts w:ascii="Arial" w:hAnsi="Arial" w:cs="Arial"/>
          <w:sz w:val="20"/>
          <w:szCs w:val="20"/>
        </w:rPr>
        <w:t xml:space="preserve"> A large portion of the ITS budget pays for phone, network, and enterprise licenses for supported agencies.</w:t>
      </w:r>
    </w:p>
    <w:p w14:paraId="71247324" w14:textId="77777777" w:rsidR="002575F5" w:rsidRDefault="002575F5" w:rsidP="00577C10">
      <w:pPr>
        <w:jc w:val="both"/>
        <w:rPr>
          <w:rFonts w:ascii="Arial" w:hAnsi="Arial" w:cs="Arial"/>
          <w:b/>
        </w:rPr>
      </w:pPr>
    </w:p>
    <w:p w14:paraId="480C579D" w14:textId="00E876DB" w:rsidR="00C2697F" w:rsidRDefault="00C2697F" w:rsidP="00577C10">
      <w:pPr>
        <w:jc w:val="both"/>
        <w:rPr>
          <w:rFonts w:ascii="Arial" w:hAnsi="Arial" w:cs="Arial"/>
          <w:b/>
        </w:rPr>
      </w:pPr>
      <w:r w:rsidRPr="001E1705">
        <w:rPr>
          <w:rFonts w:ascii="Arial" w:hAnsi="Arial" w:cs="Arial"/>
          <w:b/>
        </w:rPr>
        <w:t>Core Functions/Idaho Code</w:t>
      </w:r>
    </w:p>
    <w:p w14:paraId="49A7CFD5" w14:textId="4597722E" w:rsidR="00DF3A5A" w:rsidRDefault="00F3638A" w:rsidP="004D5D33">
      <w:pPr>
        <w:contextualSpacing/>
        <w:jc w:val="both"/>
        <w:rPr>
          <w:rFonts w:ascii="Arial" w:hAnsi="Arial" w:cs="Arial"/>
          <w:sz w:val="20"/>
          <w:szCs w:val="20"/>
        </w:rPr>
      </w:pPr>
      <w:r>
        <w:rPr>
          <w:rFonts w:ascii="Arial" w:hAnsi="Arial" w:cs="Arial"/>
          <w:sz w:val="20"/>
          <w:szCs w:val="20"/>
        </w:rPr>
        <w:t>Idaho Code Title 67 Chapter 8 defines the statutory authority and responsibility of Information Technology Services.</w:t>
      </w:r>
    </w:p>
    <w:p w14:paraId="5293F028" w14:textId="10711C01" w:rsidR="00F3638A" w:rsidRDefault="00F3638A" w:rsidP="004D5D33">
      <w:pPr>
        <w:contextualSpacing/>
        <w:jc w:val="both"/>
        <w:rPr>
          <w:rFonts w:ascii="Arial" w:hAnsi="Arial" w:cs="Arial"/>
          <w:sz w:val="20"/>
          <w:szCs w:val="20"/>
        </w:rPr>
      </w:pPr>
    </w:p>
    <w:p w14:paraId="5E4C144C" w14:textId="02D8BB2A" w:rsidR="00F3638A" w:rsidRPr="00956F6D" w:rsidRDefault="00956F6D" w:rsidP="004D5D33">
      <w:pPr>
        <w:contextualSpacing/>
        <w:jc w:val="both"/>
        <w:rPr>
          <w:rFonts w:ascii="Arial" w:hAnsi="Arial" w:cs="Arial"/>
          <w:b/>
          <w:bCs/>
          <w:sz w:val="20"/>
          <w:szCs w:val="20"/>
        </w:rPr>
      </w:pPr>
      <w:r w:rsidRPr="00956F6D">
        <w:rPr>
          <w:rFonts w:ascii="Arial" w:hAnsi="Arial" w:cs="Arial"/>
          <w:b/>
          <w:bCs/>
          <w:sz w:val="20"/>
          <w:szCs w:val="20"/>
        </w:rPr>
        <w:t>Information Technology Services</w:t>
      </w:r>
    </w:p>
    <w:p w14:paraId="1C8A01CC" w14:textId="2513C3A9" w:rsidR="007B3F88" w:rsidRPr="009819AC" w:rsidRDefault="00956F6D" w:rsidP="004D5D33">
      <w:pPr>
        <w:contextualSpacing/>
        <w:jc w:val="both"/>
        <w:rPr>
          <w:rFonts w:ascii="Arial" w:hAnsi="Arial" w:cs="Arial"/>
          <w:sz w:val="20"/>
          <w:szCs w:val="20"/>
        </w:rPr>
      </w:pPr>
      <w:r w:rsidRPr="00250963">
        <w:rPr>
          <w:rFonts w:ascii="Arial" w:hAnsi="Arial" w:cs="Arial"/>
          <w:sz w:val="20"/>
          <w:szCs w:val="20"/>
        </w:rPr>
        <w:t xml:space="preserve">ITS </w:t>
      </w:r>
      <w:r>
        <w:rPr>
          <w:rFonts w:ascii="Arial" w:hAnsi="Arial" w:cs="Arial"/>
          <w:sz w:val="20"/>
          <w:szCs w:val="20"/>
        </w:rPr>
        <w:t xml:space="preserve">currently </w:t>
      </w:r>
      <w:r w:rsidRPr="00250963">
        <w:rPr>
          <w:rFonts w:ascii="Arial" w:hAnsi="Arial" w:cs="Arial"/>
          <w:sz w:val="20"/>
          <w:szCs w:val="20"/>
        </w:rPr>
        <w:t xml:space="preserve">provides </w:t>
      </w:r>
      <w:r w:rsidR="00922044">
        <w:rPr>
          <w:rFonts w:ascii="Arial" w:hAnsi="Arial" w:cs="Arial"/>
          <w:sz w:val="20"/>
          <w:szCs w:val="20"/>
        </w:rPr>
        <w:t xml:space="preserve">services </w:t>
      </w:r>
      <w:r w:rsidR="000208EF">
        <w:rPr>
          <w:rFonts w:ascii="Arial" w:hAnsi="Arial" w:cs="Arial"/>
          <w:sz w:val="20"/>
          <w:szCs w:val="20"/>
        </w:rPr>
        <w:t>including the</w:t>
      </w:r>
      <w:r>
        <w:rPr>
          <w:rFonts w:ascii="Arial" w:hAnsi="Arial" w:cs="Arial"/>
          <w:sz w:val="20"/>
          <w:szCs w:val="20"/>
        </w:rPr>
        <w:t xml:space="preserve"> </w:t>
      </w:r>
      <w:r w:rsidR="000208EF" w:rsidRPr="000208EF">
        <w:rPr>
          <w:rFonts w:ascii="Arial" w:hAnsi="Arial" w:cs="Arial"/>
          <w:sz w:val="20"/>
          <w:szCs w:val="20"/>
        </w:rPr>
        <w:t xml:space="preserve">state network, server, and storage infrastructure; cybersecurity; telephone services; application development; service desk; data analytics; regional support; project management; compliance; </w:t>
      </w:r>
      <w:r w:rsidR="000208EF">
        <w:rPr>
          <w:rFonts w:ascii="Arial" w:hAnsi="Arial" w:cs="Arial"/>
          <w:sz w:val="20"/>
          <w:szCs w:val="20"/>
        </w:rPr>
        <w:t xml:space="preserve">and </w:t>
      </w:r>
      <w:r w:rsidR="000208EF" w:rsidRPr="000208EF">
        <w:rPr>
          <w:rFonts w:ascii="Arial" w:hAnsi="Arial" w:cs="Arial"/>
          <w:sz w:val="20"/>
          <w:szCs w:val="20"/>
        </w:rPr>
        <w:t>licensing and enterprise architecture.</w:t>
      </w:r>
      <w:r w:rsidR="000208EF">
        <w:rPr>
          <w:rFonts w:ascii="Arial" w:hAnsi="Arial" w:cs="Arial"/>
          <w:sz w:val="20"/>
          <w:szCs w:val="20"/>
        </w:rPr>
        <w:t xml:space="preserve"> </w:t>
      </w:r>
      <w:r w:rsidR="007B3F88" w:rsidRPr="008C457D">
        <w:rPr>
          <w:rFonts w:ascii="Arial" w:hAnsi="Arial" w:cs="Arial"/>
          <w:sz w:val="20"/>
          <w:szCs w:val="20"/>
        </w:rPr>
        <w:t>(Idaho Code Sections 67-8</w:t>
      </w:r>
      <w:r w:rsidR="00F42697">
        <w:rPr>
          <w:rFonts w:ascii="Arial" w:hAnsi="Arial" w:cs="Arial"/>
          <w:sz w:val="20"/>
          <w:szCs w:val="20"/>
        </w:rPr>
        <w:t>27</w:t>
      </w:r>
      <w:r w:rsidR="007B3F88" w:rsidRPr="008C457D">
        <w:rPr>
          <w:rFonts w:ascii="Arial" w:hAnsi="Arial" w:cs="Arial"/>
          <w:sz w:val="20"/>
          <w:szCs w:val="20"/>
        </w:rPr>
        <w:t xml:space="preserve"> through 67-83</w:t>
      </w:r>
      <w:r w:rsidR="00DF3A5A">
        <w:rPr>
          <w:rFonts w:ascii="Arial" w:hAnsi="Arial" w:cs="Arial"/>
          <w:sz w:val="20"/>
          <w:szCs w:val="20"/>
        </w:rPr>
        <w:t>1</w:t>
      </w:r>
      <w:r w:rsidR="007B3F88" w:rsidRPr="008C457D">
        <w:rPr>
          <w:rFonts w:ascii="Arial" w:hAnsi="Arial" w:cs="Arial"/>
          <w:sz w:val="20"/>
          <w:szCs w:val="20"/>
        </w:rPr>
        <w:t>).</w:t>
      </w:r>
    </w:p>
    <w:p w14:paraId="7573A7D4" w14:textId="4F90E57E" w:rsidR="0080302A" w:rsidRDefault="0080302A" w:rsidP="004D5D33">
      <w:pPr>
        <w:contextualSpacing/>
        <w:jc w:val="both"/>
        <w:rPr>
          <w:rFonts w:ascii="Arial" w:hAnsi="Arial" w:cs="Arial"/>
          <w:sz w:val="20"/>
          <w:szCs w:val="20"/>
        </w:rPr>
      </w:pPr>
    </w:p>
    <w:p w14:paraId="04C0E533" w14:textId="59CA8B5C" w:rsidR="00956F6D" w:rsidRDefault="00956F6D" w:rsidP="004D5D33">
      <w:pPr>
        <w:contextualSpacing/>
        <w:jc w:val="both"/>
        <w:rPr>
          <w:rFonts w:ascii="Arial" w:hAnsi="Arial" w:cs="Arial"/>
          <w:b/>
          <w:bCs/>
          <w:sz w:val="20"/>
          <w:szCs w:val="20"/>
        </w:rPr>
      </w:pPr>
      <w:r>
        <w:rPr>
          <w:rFonts w:ascii="Arial" w:hAnsi="Arial" w:cs="Arial"/>
          <w:b/>
          <w:bCs/>
          <w:sz w:val="20"/>
          <w:szCs w:val="20"/>
        </w:rPr>
        <w:t>Cybersecurity</w:t>
      </w:r>
    </w:p>
    <w:p w14:paraId="4A511D2A" w14:textId="0245F015" w:rsidR="00956F6D" w:rsidRDefault="00956F6D" w:rsidP="004D5D33">
      <w:pPr>
        <w:contextualSpacing/>
        <w:jc w:val="both"/>
        <w:rPr>
          <w:rFonts w:ascii="Arial" w:hAnsi="Arial" w:cs="Arial"/>
          <w:sz w:val="20"/>
          <w:szCs w:val="20"/>
        </w:rPr>
      </w:pPr>
      <w:r>
        <w:rPr>
          <w:rFonts w:ascii="Arial" w:hAnsi="Arial" w:cs="Arial"/>
          <w:sz w:val="20"/>
          <w:szCs w:val="20"/>
        </w:rPr>
        <w:t xml:space="preserve">Originally set forth in Executive Order 2017-02, cybersecurity standards were outlined for all agencies in accordance with the National Institute of Standards and Technology Framework. Under Idaho Code 67-827A, ITS continues to implement cybersecurity policies and coordinate </w:t>
      </w:r>
      <w:r w:rsidR="00A36CDB">
        <w:rPr>
          <w:rFonts w:ascii="Arial" w:hAnsi="Arial" w:cs="Arial"/>
          <w:sz w:val="20"/>
          <w:szCs w:val="20"/>
        </w:rPr>
        <w:t>with state agencies on testing and scans to assess and mitigate risks.</w:t>
      </w:r>
    </w:p>
    <w:p w14:paraId="629144B1" w14:textId="77777777" w:rsidR="00A36CDB" w:rsidRPr="00956F6D" w:rsidRDefault="00A36CDB" w:rsidP="004D5D33">
      <w:pPr>
        <w:contextualSpacing/>
        <w:jc w:val="both"/>
        <w:rPr>
          <w:rFonts w:ascii="Arial" w:hAnsi="Arial" w:cs="Arial"/>
          <w:sz w:val="20"/>
          <w:szCs w:val="20"/>
        </w:rPr>
      </w:pPr>
    </w:p>
    <w:p w14:paraId="7E27872F" w14:textId="7D754D62" w:rsidR="00956F6D" w:rsidRPr="00A36CDB" w:rsidRDefault="00A36CDB" w:rsidP="004D5D33">
      <w:pPr>
        <w:contextualSpacing/>
        <w:jc w:val="both"/>
        <w:rPr>
          <w:rFonts w:ascii="Arial" w:hAnsi="Arial" w:cs="Arial"/>
          <w:b/>
          <w:bCs/>
          <w:sz w:val="20"/>
          <w:szCs w:val="20"/>
        </w:rPr>
      </w:pPr>
      <w:r>
        <w:rPr>
          <w:rFonts w:ascii="Arial" w:hAnsi="Arial" w:cs="Arial"/>
          <w:b/>
          <w:bCs/>
          <w:sz w:val="20"/>
          <w:szCs w:val="20"/>
        </w:rPr>
        <w:t>Idaho Technology Authority</w:t>
      </w:r>
    </w:p>
    <w:p w14:paraId="70FA5D1C" w14:textId="50180642" w:rsidR="0080302A" w:rsidRDefault="000208EF" w:rsidP="000208EF">
      <w:pPr>
        <w:contextualSpacing/>
        <w:jc w:val="both"/>
        <w:rPr>
          <w:rFonts w:ascii="Arial" w:hAnsi="Arial" w:cs="Arial"/>
          <w:sz w:val="20"/>
          <w:szCs w:val="20"/>
        </w:rPr>
      </w:pPr>
      <w:bookmarkStart w:id="0" w:name="_Hlk80189736"/>
      <w:r w:rsidRPr="009819AC">
        <w:rPr>
          <w:rFonts w:ascii="Arial" w:hAnsi="Arial" w:cs="Arial"/>
          <w:sz w:val="20"/>
          <w:szCs w:val="20"/>
        </w:rPr>
        <w:t>The Idaho Technology Authority (ITA) establishes statewide IT and telecommunications policies, standards, guidelines, and conventions assuring uniformity and compatibility of state agency systems.</w:t>
      </w:r>
      <w:r>
        <w:rPr>
          <w:rFonts w:ascii="Arial" w:hAnsi="Arial" w:cs="Arial"/>
          <w:sz w:val="20"/>
          <w:szCs w:val="20"/>
        </w:rPr>
        <w:t xml:space="preserve"> </w:t>
      </w:r>
      <w:r w:rsidR="0080302A" w:rsidRPr="009819AC">
        <w:rPr>
          <w:rFonts w:ascii="Arial" w:hAnsi="Arial" w:cs="Arial"/>
          <w:sz w:val="20"/>
          <w:szCs w:val="20"/>
        </w:rPr>
        <w:t xml:space="preserve">The </w:t>
      </w:r>
      <w:r>
        <w:rPr>
          <w:rFonts w:ascii="Arial" w:hAnsi="Arial" w:cs="Arial"/>
          <w:sz w:val="20"/>
          <w:szCs w:val="20"/>
        </w:rPr>
        <w:t>committee’s</w:t>
      </w:r>
      <w:r w:rsidR="0080302A" w:rsidRPr="009819AC">
        <w:rPr>
          <w:rFonts w:ascii="Arial" w:hAnsi="Arial" w:cs="Arial"/>
          <w:sz w:val="20"/>
          <w:szCs w:val="20"/>
        </w:rPr>
        <w:t xml:space="preserve"> composition ensures those affected by policy decisions have a role and say in policy direction.</w:t>
      </w:r>
      <w:r w:rsidR="00A60D71">
        <w:rPr>
          <w:rFonts w:ascii="Arial" w:hAnsi="Arial" w:cs="Arial"/>
          <w:sz w:val="20"/>
          <w:szCs w:val="20"/>
        </w:rPr>
        <w:t xml:space="preserve"> </w:t>
      </w:r>
      <w:r>
        <w:rPr>
          <w:rFonts w:ascii="Arial" w:hAnsi="Arial" w:cs="Arial"/>
          <w:sz w:val="20"/>
          <w:szCs w:val="20"/>
        </w:rPr>
        <w:t>The</w:t>
      </w:r>
      <w:r w:rsidRPr="009819AC">
        <w:rPr>
          <w:rFonts w:ascii="Arial" w:hAnsi="Arial" w:cs="Arial"/>
          <w:sz w:val="20"/>
          <w:szCs w:val="20"/>
        </w:rPr>
        <w:t xml:space="preserve"> primary committee and three subcommittees are supported by ITS staff.</w:t>
      </w:r>
      <w:r>
        <w:rPr>
          <w:rFonts w:ascii="Arial" w:hAnsi="Arial" w:cs="Arial"/>
          <w:sz w:val="20"/>
          <w:szCs w:val="20"/>
        </w:rPr>
        <w:t xml:space="preserve"> </w:t>
      </w:r>
      <w:r w:rsidRPr="009819AC">
        <w:rPr>
          <w:rFonts w:ascii="Arial" w:hAnsi="Arial" w:cs="Arial"/>
          <w:sz w:val="20"/>
          <w:szCs w:val="20"/>
        </w:rPr>
        <w:t>The three subcommittees focus on specific portions of the ITA mission: The Access Idaho Steering Committee, the IT Leadership Council, and the Idaho Geospatial Council-Executive Committee.</w:t>
      </w:r>
      <w:r>
        <w:rPr>
          <w:rFonts w:ascii="Arial" w:hAnsi="Arial" w:cs="Arial"/>
          <w:sz w:val="20"/>
          <w:szCs w:val="20"/>
        </w:rPr>
        <w:t xml:space="preserve"> (Idaho Code</w:t>
      </w:r>
      <w:r w:rsidRPr="009819AC">
        <w:rPr>
          <w:rFonts w:ascii="Arial" w:hAnsi="Arial" w:cs="Arial"/>
          <w:sz w:val="20"/>
          <w:szCs w:val="20"/>
        </w:rPr>
        <w:t xml:space="preserve"> 67-831</w:t>
      </w:r>
      <w:r>
        <w:rPr>
          <w:rFonts w:ascii="Arial" w:hAnsi="Arial" w:cs="Arial"/>
          <w:sz w:val="20"/>
          <w:szCs w:val="20"/>
        </w:rPr>
        <w:t xml:space="preserve"> through 67-</w:t>
      </w:r>
      <w:r w:rsidRPr="009819AC">
        <w:rPr>
          <w:rFonts w:ascii="Arial" w:hAnsi="Arial" w:cs="Arial"/>
          <w:sz w:val="20"/>
          <w:szCs w:val="20"/>
        </w:rPr>
        <w:t>833</w:t>
      </w:r>
      <w:r>
        <w:rPr>
          <w:rFonts w:ascii="Arial" w:hAnsi="Arial" w:cs="Arial"/>
          <w:sz w:val="20"/>
          <w:szCs w:val="20"/>
        </w:rPr>
        <w:t>)</w:t>
      </w:r>
      <w:r w:rsidR="00C54749">
        <w:rPr>
          <w:rFonts w:ascii="Arial" w:hAnsi="Arial" w:cs="Arial"/>
          <w:sz w:val="20"/>
          <w:szCs w:val="20"/>
        </w:rPr>
        <w:t>.</w:t>
      </w:r>
    </w:p>
    <w:bookmarkEnd w:id="0"/>
    <w:p w14:paraId="2AA4B6D9" w14:textId="0C07696B" w:rsidR="00A36CDB" w:rsidRDefault="00A36CDB" w:rsidP="004D5D33">
      <w:pPr>
        <w:contextualSpacing/>
        <w:jc w:val="both"/>
        <w:rPr>
          <w:rFonts w:ascii="Arial" w:hAnsi="Arial" w:cs="Arial"/>
          <w:sz w:val="20"/>
          <w:szCs w:val="20"/>
        </w:rPr>
      </w:pPr>
    </w:p>
    <w:p w14:paraId="7D6CBDA8" w14:textId="1BA4C631" w:rsidR="002575F5" w:rsidRDefault="002575F5">
      <w:pPr>
        <w:rPr>
          <w:rFonts w:ascii="Arial" w:hAnsi="Arial" w:cs="Arial"/>
        </w:rPr>
      </w:pPr>
      <w:r>
        <w:rPr>
          <w:rFonts w:ascii="Arial" w:hAnsi="Arial" w:cs="Arial"/>
        </w:rPr>
        <w:br w:type="page"/>
      </w:r>
    </w:p>
    <w:p w14:paraId="1B541501" w14:textId="77777777" w:rsidR="0080302A" w:rsidRPr="002E0962" w:rsidRDefault="0080302A" w:rsidP="0080302A">
      <w:pPr>
        <w:rPr>
          <w:rFonts w:ascii="Arial" w:hAnsi="Arial" w:cs="Arial"/>
        </w:rPr>
      </w:pPr>
    </w:p>
    <w:p w14:paraId="68F486CC" w14:textId="77777777" w:rsidR="00B93397" w:rsidRDefault="00B93397" w:rsidP="00577C10">
      <w:pPr>
        <w:rPr>
          <w:rFonts w:ascii="Arial" w:hAnsi="Arial" w:cs="Arial"/>
          <w:b/>
        </w:rPr>
      </w:pPr>
      <w:r w:rsidRPr="00032412">
        <w:rPr>
          <w:rFonts w:ascii="Arial" w:hAnsi="Arial" w:cs="Arial"/>
          <w:b/>
        </w:rPr>
        <w:t>Revenue and Expenditures</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620"/>
        <w:gridCol w:w="1530"/>
        <w:gridCol w:w="1530"/>
        <w:gridCol w:w="1615"/>
      </w:tblGrid>
      <w:tr w:rsidR="004956BC" w14:paraId="4C3E715A" w14:textId="77777777" w:rsidTr="00B663EE">
        <w:trPr>
          <w:cantSplit/>
          <w:trHeight w:val="300"/>
          <w:jc w:val="right"/>
        </w:trPr>
        <w:tc>
          <w:tcPr>
            <w:tcW w:w="3785" w:type="dxa"/>
            <w:tcBorders>
              <w:bottom w:val="single" w:sz="4" w:space="0" w:color="auto"/>
            </w:tcBorders>
            <w:shd w:val="clear" w:color="000000" w:fill="000080"/>
            <w:vAlign w:val="center"/>
            <w:hideMark/>
          </w:tcPr>
          <w:p w14:paraId="07E428DD" w14:textId="77777777" w:rsidR="004956BC" w:rsidRDefault="004956BC" w:rsidP="004956BC">
            <w:pPr>
              <w:keepNext/>
              <w:rPr>
                <w:rFonts w:ascii="Arial" w:hAnsi="Arial" w:cs="Arial"/>
                <w:b/>
                <w:bCs/>
                <w:color w:val="FFFFFF"/>
                <w:sz w:val="20"/>
                <w:szCs w:val="20"/>
              </w:rPr>
            </w:pPr>
            <w:r>
              <w:rPr>
                <w:rFonts w:ascii="Arial" w:hAnsi="Arial" w:cs="Arial"/>
                <w:b/>
                <w:bCs/>
                <w:color w:val="FFFFFF"/>
                <w:sz w:val="20"/>
              </w:rPr>
              <w:t>Revenue</w:t>
            </w:r>
          </w:p>
        </w:tc>
        <w:tc>
          <w:tcPr>
            <w:tcW w:w="1620" w:type="dxa"/>
            <w:tcBorders>
              <w:bottom w:val="single" w:sz="4" w:space="0" w:color="auto"/>
            </w:tcBorders>
            <w:shd w:val="clear" w:color="000000" w:fill="000080"/>
          </w:tcPr>
          <w:p w14:paraId="57005736" w14:textId="735CB2A2" w:rsidR="004956BC" w:rsidRDefault="004956BC" w:rsidP="004956BC">
            <w:pPr>
              <w:keepNext/>
              <w:jc w:val="right"/>
              <w:rPr>
                <w:rFonts w:ascii="Arial" w:hAnsi="Arial" w:cs="Arial"/>
                <w:b/>
                <w:bCs/>
                <w:color w:val="FFFFFF"/>
                <w:sz w:val="20"/>
              </w:rPr>
            </w:pPr>
            <w:r>
              <w:rPr>
                <w:rFonts w:ascii="Arial" w:hAnsi="Arial" w:cs="Arial"/>
                <w:b/>
                <w:bCs/>
                <w:color w:val="FFFFFF"/>
                <w:sz w:val="20"/>
              </w:rPr>
              <w:t>FY 2022</w:t>
            </w:r>
          </w:p>
        </w:tc>
        <w:tc>
          <w:tcPr>
            <w:tcW w:w="1530" w:type="dxa"/>
            <w:tcBorders>
              <w:bottom w:val="single" w:sz="4" w:space="0" w:color="auto"/>
            </w:tcBorders>
            <w:shd w:val="clear" w:color="000000" w:fill="000080"/>
          </w:tcPr>
          <w:p w14:paraId="431EA3E9" w14:textId="508F20D5" w:rsidR="004956BC" w:rsidRDefault="004956BC" w:rsidP="004956BC">
            <w:pPr>
              <w:keepNext/>
              <w:jc w:val="right"/>
              <w:rPr>
                <w:rFonts w:ascii="Arial" w:hAnsi="Arial" w:cs="Arial"/>
                <w:b/>
                <w:bCs/>
                <w:color w:val="FFFFFF"/>
                <w:sz w:val="20"/>
              </w:rPr>
            </w:pPr>
            <w:r>
              <w:rPr>
                <w:rFonts w:ascii="Arial" w:hAnsi="Arial" w:cs="Arial"/>
                <w:b/>
                <w:bCs/>
                <w:color w:val="FFFFFF"/>
                <w:sz w:val="20"/>
              </w:rPr>
              <w:t>FY 2023</w:t>
            </w:r>
          </w:p>
        </w:tc>
        <w:tc>
          <w:tcPr>
            <w:tcW w:w="1530" w:type="dxa"/>
            <w:tcBorders>
              <w:bottom w:val="single" w:sz="4" w:space="0" w:color="auto"/>
            </w:tcBorders>
            <w:shd w:val="clear" w:color="000000" w:fill="000080"/>
          </w:tcPr>
          <w:p w14:paraId="0982EDB3" w14:textId="693B16A9" w:rsidR="004956BC" w:rsidRDefault="004956BC" w:rsidP="004956BC">
            <w:pPr>
              <w:keepNext/>
              <w:jc w:val="right"/>
              <w:rPr>
                <w:rFonts w:ascii="Arial" w:hAnsi="Arial" w:cs="Arial"/>
                <w:b/>
                <w:bCs/>
                <w:color w:val="FFFFFF"/>
                <w:sz w:val="20"/>
              </w:rPr>
            </w:pPr>
            <w:r>
              <w:rPr>
                <w:rFonts w:ascii="Arial" w:hAnsi="Arial" w:cs="Arial"/>
                <w:b/>
                <w:bCs/>
                <w:color w:val="FFFFFF"/>
                <w:sz w:val="20"/>
              </w:rPr>
              <w:t>FY 2024</w:t>
            </w:r>
          </w:p>
        </w:tc>
        <w:tc>
          <w:tcPr>
            <w:tcW w:w="1615" w:type="dxa"/>
            <w:tcBorders>
              <w:bottom w:val="single" w:sz="4" w:space="0" w:color="auto"/>
            </w:tcBorders>
            <w:shd w:val="clear" w:color="000000" w:fill="000080"/>
            <w:hideMark/>
          </w:tcPr>
          <w:p w14:paraId="7EE5AD83" w14:textId="709E5D28" w:rsidR="004956BC" w:rsidRDefault="004956BC" w:rsidP="004956BC">
            <w:pPr>
              <w:keepNext/>
              <w:jc w:val="right"/>
              <w:rPr>
                <w:rFonts w:ascii="Arial" w:hAnsi="Arial" w:cs="Arial"/>
                <w:b/>
                <w:bCs/>
                <w:color w:val="FFFFFF"/>
                <w:sz w:val="20"/>
              </w:rPr>
            </w:pPr>
            <w:r>
              <w:rPr>
                <w:rFonts w:ascii="Arial" w:hAnsi="Arial" w:cs="Arial"/>
                <w:b/>
                <w:bCs/>
                <w:color w:val="FFFFFF"/>
                <w:sz w:val="20"/>
              </w:rPr>
              <w:t>FY 202</w:t>
            </w:r>
            <w:r>
              <w:rPr>
                <w:rFonts w:ascii="Arial" w:hAnsi="Arial" w:cs="Arial"/>
                <w:b/>
                <w:bCs/>
                <w:color w:val="FFFFFF"/>
                <w:sz w:val="20"/>
              </w:rPr>
              <w:t>5</w:t>
            </w:r>
          </w:p>
        </w:tc>
      </w:tr>
      <w:tr w:rsidR="004956BC" w14:paraId="2558A584" w14:textId="77777777" w:rsidTr="00FC4F05">
        <w:trPr>
          <w:cantSplit/>
          <w:trHeight w:val="315"/>
          <w:jc w:val="right"/>
        </w:trPr>
        <w:tc>
          <w:tcPr>
            <w:tcW w:w="3785" w:type="dxa"/>
            <w:tcBorders>
              <w:bottom w:val="dashSmallGap" w:sz="4" w:space="0" w:color="auto"/>
              <w:right w:val="dashSmallGap" w:sz="4" w:space="0" w:color="auto"/>
            </w:tcBorders>
            <w:shd w:val="clear" w:color="auto" w:fill="auto"/>
            <w:vAlign w:val="center"/>
            <w:hideMark/>
          </w:tcPr>
          <w:p w14:paraId="128F5FCB" w14:textId="1C23EE8B" w:rsidR="004956BC" w:rsidRDefault="004956BC" w:rsidP="004956BC">
            <w:pPr>
              <w:keepNext/>
              <w:rPr>
                <w:rFonts w:ascii="Arial" w:hAnsi="Arial" w:cs="Arial"/>
                <w:color w:val="000000"/>
                <w:sz w:val="20"/>
                <w:szCs w:val="20"/>
              </w:rPr>
            </w:pPr>
            <w:r>
              <w:rPr>
                <w:rFonts w:ascii="Arial" w:hAnsi="Arial" w:cs="Arial"/>
                <w:color w:val="000000"/>
                <w:sz w:val="20"/>
                <w:szCs w:val="20"/>
              </w:rPr>
              <w:t xml:space="preserve">General Fund </w:t>
            </w:r>
            <w:r w:rsidRPr="00B430F7">
              <w:rPr>
                <w:rFonts w:ascii="Arial" w:hAnsi="Arial" w:cs="Arial"/>
                <w:color w:val="000000"/>
                <w:sz w:val="20"/>
                <w:szCs w:val="20"/>
              </w:rPr>
              <w:t>(0001)</w:t>
            </w:r>
          </w:p>
        </w:tc>
        <w:tc>
          <w:tcPr>
            <w:tcW w:w="1620" w:type="dxa"/>
            <w:tcBorders>
              <w:left w:val="dashSmallGap" w:sz="4" w:space="0" w:color="auto"/>
              <w:bottom w:val="dashSmallGap" w:sz="4" w:space="0" w:color="auto"/>
              <w:right w:val="dashSmallGap" w:sz="4" w:space="0" w:color="auto"/>
            </w:tcBorders>
            <w:vAlign w:val="bottom"/>
          </w:tcPr>
          <w:p w14:paraId="215A96E9" w14:textId="1A279F3C" w:rsidR="004956BC" w:rsidRPr="00B430F7" w:rsidRDefault="004956BC" w:rsidP="004956BC">
            <w:pPr>
              <w:keepNext/>
              <w:jc w:val="right"/>
              <w:rPr>
                <w:rFonts w:ascii="Arial" w:hAnsi="Arial" w:cs="Arial"/>
                <w:color w:val="000000"/>
                <w:sz w:val="20"/>
                <w:szCs w:val="20"/>
              </w:rPr>
            </w:pPr>
            <w:r w:rsidRPr="00B430F7">
              <w:rPr>
                <w:rFonts w:ascii="Arial" w:hAnsi="Arial" w:cs="Arial"/>
                <w:color w:val="000000"/>
                <w:sz w:val="20"/>
                <w:szCs w:val="20"/>
              </w:rPr>
              <w:t xml:space="preserve">1,908,800 </w:t>
            </w:r>
          </w:p>
        </w:tc>
        <w:tc>
          <w:tcPr>
            <w:tcW w:w="1530" w:type="dxa"/>
            <w:tcBorders>
              <w:left w:val="dashSmallGap" w:sz="4" w:space="0" w:color="auto"/>
              <w:bottom w:val="dashSmallGap" w:sz="4" w:space="0" w:color="auto"/>
              <w:right w:val="dashSmallGap" w:sz="4" w:space="0" w:color="auto"/>
            </w:tcBorders>
            <w:shd w:val="clear" w:color="auto" w:fill="auto"/>
            <w:vAlign w:val="bottom"/>
          </w:tcPr>
          <w:p w14:paraId="2B5C29E9" w14:textId="7D148461" w:rsidR="004956BC" w:rsidRPr="00B430F7" w:rsidRDefault="004956BC" w:rsidP="004956BC">
            <w:pPr>
              <w:keepNext/>
              <w:jc w:val="right"/>
              <w:rPr>
                <w:rFonts w:ascii="Arial" w:hAnsi="Arial" w:cs="Arial"/>
                <w:color w:val="000000"/>
                <w:sz w:val="20"/>
                <w:szCs w:val="20"/>
              </w:rPr>
            </w:pPr>
            <w:r w:rsidRPr="00B430F7">
              <w:rPr>
                <w:rFonts w:ascii="Arial" w:hAnsi="Arial" w:cs="Arial"/>
                <w:color w:val="000000"/>
                <w:sz w:val="20"/>
                <w:szCs w:val="20"/>
              </w:rPr>
              <w:t xml:space="preserve">2,589,100 </w:t>
            </w:r>
          </w:p>
        </w:tc>
        <w:tc>
          <w:tcPr>
            <w:tcW w:w="1530" w:type="dxa"/>
            <w:tcBorders>
              <w:left w:val="dashSmallGap" w:sz="4" w:space="0" w:color="auto"/>
              <w:bottom w:val="dashSmallGap" w:sz="4" w:space="0" w:color="auto"/>
              <w:right w:val="dashSmallGap" w:sz="4" w:space="0" w:color="auto"/>
            </w:tcBorders>
            <w:shd w:val="clear" w:color="auto" w:fill="auto"/>
            <w:vAlign w:val="bottom"/>
          </w:tcPr>
          <w:p w14:paraId="09C08B24" w14:textId="3E38115A" w:rsidR="004956BC" w:rsidRPr="00B430F7" w:rsidRDefault="004956BC" w:rsidP="004956BC">
            <w:pPr>
              <w:keepNext/>
              <w:jc w:val="right"/>
              <w:rPr>
                <w:rFonts w:ascii="Arial" w:hAnsi="Arial" w:cs="Arial"/>
                <w:color w:val="000000"/>
                <w:sz w:val="20"/>
                <w:szCs w:val="20"/>
              </w:rPr>
            </w:pPr>
            <w:r>
              <w:rPr>
                <w:rFonts w:ascii="Arial" w:hAnsi="Arial" w:cs="Arial"/>
                <w:color w:val="000000"/>
                <w:sz w:val="20"/>
                <w:szCs w:val="20"/>
              </w:rPr>
              <w:t>2,359,600</w:t>
            </w:r>
          </w:p>
        </w:tc>
        <w:tc>
          <w:tcPr>
            <w:tcW w:w="1615" w:type="dxa"/>
            <w:tcBorders>
              <w:left w:val="dashSmallGap" w:sz="4" w:space="0" w:color="auto"/>
              <w:bottom w:val="dashSmallGap" w:sz="4" w:space="0" w:color="auto"/>
            </w:tcBorders>
            <w:shd w:val="clear" w:color="auto" w:fill="auto"/>
            <w:vAlign w:val="bottom"/>
          </w:tcPr>
          <w:p w14:paraId="3AA6A019" w14:textId="6860D52D" w:rsidR="004956BC" w:rsidRPr="00B430F7" w:rsidRDefault="004956BC" w:rsidP="004956BC">
            <w:pPr>
              <w:keepNext/>
              <w:jc w:val="right"/>
              <w:rPr>
                <w:rFonts w:ascii="Arial" w:hAnsi="Arial" w:cs="Arial"/>
                <w:color w:val="000000"/>
                <w:sz w:val="20"/>
                <w:szCs w:val="20"/>
              </w:rPr>
            </w:pPr>
          </w:p>
        </w:tc>
      </w:tr>
      <w:tr w:rsidR="004956BC" w14:paraId="045A6F4B" w14:textId="77777777" w:rsidTr="00B663EE">
        <w:trPr>
          <w:cantSplit/>
          <w:trHeight w:val="315"/>
          <w:jc w:val="right"/>
        </w:trPr>
        <w:tc>
          <w:tcPr>
            <w:tcW w:w="3785" w:type="dxa"/>
            <w:tcBorders>
              <w:top w:val="dashSmallGap" w:sz="4" w:space="0" w:color="auto"/>
              <w:bottom w:val="dashSmallGap" w:sz="4" w:space="0" w:color="auto"/>
              <w:right w:val="dashSmallGap" w:sz="4" w:space="0" w:color="auto"/>
            </w:tcBorders>
            <w:shd w:val="clear" w:color="auto" w:fill="auto"/>
            <w:vAlign w:val="center"/>
          </w:tcPr>
          <w:p w14:paraId="54D288E7" w14:textId="1397924B" w:rsidR="004956BC" w:rsidRDefault="004956BC" w:rsidP="004956BC">
            <w:pPr>
              <w:keepNext/>
              <w:rPr>
                <w:rFonts w:ascii="Arial" w:hAnsi="Arial" w:cs="Arial"/>
                <w:color w:val="000000"/>
                <w:sz w:val="20"/>
                <w:szCs w:val="20"/>
              </w:rPr>
            </w:pPr>
            <w:r>
              <w:rPr>
                <w:rFonts w:ascii="Arial" w:hAnsi="Arial" w:cs="Arial"/>
                <w:color w:val="000000"/>
                <w:sz w:val="20"/>
                <w:szCs w:val="20"/>
              </w:rPr>
              <w:t xml:space="preserve">Tech. Infrastructure Stabilization </w:t>
            </w:r>
            <w:r w:rsidRPr="00B430F7">
              <w:rPr>
                <w:rFonts w:ascii="Arial" w:hAnsi="Arial" w:cs="Arial"/>
                <w:color w:val="000000"/>
                <w:sz w:val="20"/>
                <w:szCs w:val="20"/>
              </w:rPr>
              <w:t>(0128)</w:t>
            </w:r>
          </w:p>
        </w:tc>
        <w:tc>
          <w:tcPr>
            <w:tcW w:w="1620" w:type="dxa"/>
            <w:tcBorders>
              <w:top w:val="dashSmallGap" w:sz="4" w:space="0" w:color="auto"/>
              <w:left w:val="dashSmallGap" w:sz="4" w:space="0" w:color="auto"/>
              <w:bottom w:val="dashSmallGap" w:sz="4" w:space="0" w:color="auto"/>
              <w:right w:val="dashSmallGap" w:sz="4" w:space="0" w:color="auto"/>
            </w:tcBorders>
            <w:vAlign w:val="center"/>
          </w:tcPr>
          <w:p w14:paraId="2BDAD87E" w14:textId="46DAE9B7" w:rsidR="004956BC" w:rsidRDefault="004956BC" w:rsidP="004956BC">
            <w:pPr>
              <w:keepNext/>
              <w:jc w:val="right"/>
              <w:rPr>
                <w:rFonts w:ascii="Arial" w:hAnsi="Arial" w:cs="Arial"/>
                <w:color w:val="000000"/>
                <w:sz w:val="20"/>
                <w:szCs w:val="20"/>
              </w:rPr>
            </w:pP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5B013B2" w14:textId="537BE18B" w:rsidR="004956BC" w:rsidRDefault="004956BC" w:rsidP="004956BC">
            <w:pPr>
              <w:keepNext/>
              <w:jc w:val="right"/>
              <w:rPr>
                <w:rFonts w:ascii="Arial" w:hAnsi="Arial" w:cs="Arial"/>
                <w:color w:val="000000"/>
                <w:sz w:val="20"/>
                <w:szCs w:val="20"/>
              </w:rPr>
            </w:pP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EF056CD" w14:textId="07FE814A" w:rsidR="004956BC" w:rsidRDefault="004956BC" w:rsidP="004956BC">
            <w:pPr>
              <w:keepNext/>
              <w:jc w:val="right"/>
              <w:rPr>
                <w:rFonts w:ascii="Arial" w:hAnsi="Arial" w:cs="Arial"/>
                <w:color w:val="000000"/>
                <w:sz w:val="20"/>
                <w:szCs w:val="20"/>
              </w:rPr>
            </w:pPr>
            <w:r>
              <w:rPr>
                <w:rFonts w:ascii="Arial" w:hAnsi="Arial" w:cs="Arial"/>
                <w:color w:val="000000"/>
                <w:sz w:val="20"/>
                <w:szCs w:val="20"/>
              </w:rPr>
              <w:t>0</w:t>
            </w:r>
          </w:p>
        </w:tc>
        <w:tc>
          <w:tcPr>
            <w:tcW w:w="1615" w:type="dxa"/>
            <w:tcBorders>
              <w:top w:val="dashSmallGap" w:sz="4" w:space="0" w:color="auto"/>
              <w:left w:val="dashSmallGap" w:sz="4" w:space="0" w:color="auto"/>
              <w:bottom w:val="dashSmallGap" w:sz="4" w:space="0" w:color="auto"/>
            </w:tcBorders>
            <w:shd w:val="clear" w:color="auto" w:fill="auto"/>
            <w:vAlign w:val="center"/>
          </w:tcPr>
          <w:p w14:paraId="753EC6B8" w14:textId="59E60D3F" w:rsidR="004956BC" w:rsidRDefault="004956BC" w:rsidP="004956BC">
            <w:pPr>
              <w:keepNext/>
              <w:jc w:val="right"/>
              <w:rPr>
                <w:rFonts w:ascii="Arial" w:hAnsi="Arial" w:cs="Arial"/>
                <w:color w:val="000000"/>
                <w:sz w:val="20"/>
                <w:szCs w:val="20"/>
              </w:rPr>
            </w:pPr>
          </w:p>
        </w:tc>
      </w:tr>
      <w:tr w:rsidR="004956BC" w14:paraId="499C6D84" w14:textId="77777777" w:rsidTr="00C073FB">
        <w:trPr>
          <w:cantSplit/>
          <w:trHeight w:val="315"/>
          <w:jc w:val="right"/>
        </w:trPr>
        <w:tc>
          <w:tcPr>
            <w:tcW w:w="3785" w:type="dxa"/>
            <w:tcBorders>
              <w:top w:val="dashSmallGap" w:sz="4" w:space="0" w:color="auto"/>
              <w:bottom w:val="dashSmallGap" w:sz="4" w:space="0" w:color="auto"/>
              <w:right w:val="dashSmallGap" w:sz="4" w:space="0" w:color="auto"/>
            </w:tcBorders>
            <w:shd w:val="clear" w:color="auto" w:fill="auto"/>
            <w:vAlign w:val="center"/>
          </w:tcPr>
          <w:p w14:paraId="1C6C39D5" w14:textId="78D70044" w:rsidR="004956BC" w:rsidRDefault="004956BC" w:rsidP="004956BC">
            <w:pPr>
              <w:keepNext/>
              <w:rPr>
                <w:rFonts w:ascii="Arial" w:hAnsi="Arial" w:cs="Arial"/>
                <w:color w:val="000000"/>
                <w:sz w:val="20"/>
                <w:szCs w:val="20"/>
              </w:rPr>
            </w:pPr>
            <w:r>
              <w:rPr>
                <w:rFonts w:ascii="Arial" w:hAnsi="Arial" w:cs="Arial"/>
                <w:color w:val="000000"/>
                <w:sz w:val="20"/>
                <w:szCs w:val="20"/>
              </w:rPr>
              <w:t xml:space="preserve">Admin. &amp; Accounting Services </w:t>
            </w:r>
            <w:r w:rsidRPr="00B430F7">
              <w:rPr>
                <w:rFonts w:ascii="Arial" w:hAnsi="Arial" w:cs="Arial"/>
                <w:color w:val="000000"/>
                <w:sz w:val="20"/>
                <w:szCs w:val="20"/>
              </w:rPr>
              <w:t>(0345)</w:t>
            </w:r>
          </w:p>
        </w:tc>
        <w:tc>
          <w:tcPr>
            <w:tcW w:w="1620" w:type="dxa"/>
            <w:tcBorders>
              <w:top w:val="dashSmallGap" w:sz="4" w:space="0" w:color="auto"/>
              <w:left w:val="dashSmallGap" w:sz="4" w:space="0" w:color="auto"/>
              <w:bottom w:val="dashSmallGap" w:sz="4" w:space="0" w:color="auto"/>
              <w:right w:val="dashSmallGap" w:sz="4" w:space="0" w:color="auto"/>
            </w:tcBorders>
            <w:vAlign w:val="bottom"/>
          </w:tcPr>
          <w:p w14:paraId="7EF372F2" w14:textId="60187467" w:rsidR="004956BC" w:rsidRPr="00B430F7" w:rsidRDefault="004956BC" w:rsidP="004956BC">
            <w:pPr>
              <w:keepNext/>
              <w:jc w:val="right"/>
              <w:rPr>
                <w:rFonts w:ascii="Arial" w:hAnsi="Arial" w:cs="Arial"/>
                <w:color w:val="000000"/>
                <w:sz w:val="20"/>
                <w:szCs w:val="20"/>
              </w:rPr>
            </w:pPr>
            <w:r w:rsidRPr="00B430F7">
              <w:rPr>
                <w:rFonts w:ascii="Arial" w:hAnsi="Arial" w:cs="Arial"/>
                <w:color w:val="000000"/>
                <w:sz w:val="20"/>
                <w:szCs w:val="20"/>
              </w:rPr>
              <w:t xml:space="preserve">24,474,200 </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C8DB48F" w14:textId="25366C6F" w:rsidR="004956BC" w:rsidRPr="00B430F7" w:rsidRDefault="004956BC" w:rsidP="004956BC">
            <w:pPr>
              <w:keepNext/>
              <w:jc w:val="right"/>
              <w:rPr>
                <w:rFonts w:ascii="Arial" w:hAnsi="Arial" w:cs="Arial"/>
                <w:color w:val="000000"/>
                <w:sz w:val="20"/>
                <w:szCs w:val="20"/>
              </w:rPr>
            </w:pPr>
            <w:r w:rsidRPr="007061B2">
              <w:rPr>
                <w:rFonts w:ascii="Arial" w:hAnsi="Arial" w:cs="Arial"/>
                <w:color w:val="000000"/>
                <w:sz w:val="20"/>
                <w:szCs w:val="20"/>
              </w:rPr>
              <w:t>29,224,800</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354BB86" w14:textId="6B6E8649" w:rsidR="004956BC" w:rsidRPr="00B430F7" w:rsidRDefault="004956BC" w:rsidP="004956BC">
            <w:pPr>
              <w:keepNext/>
              <w:jc w:val="right"/>
              <w:rPr>
                <w:rFonts w:ascii="Arial" w:hAnsi="Arial" w:cs="Arial"/>
                <w:color w:val="000000"/>
                <w:sz w:val="20"/>
                <w:szCs w:val="20"/>
              </w:rPr>
            </w:pPr>
            <w:r>
              <w:rPr>
                <w:rFonts w:ascii="Arial" w:hAnsi="Arial" w:cs="Arial"/>
                <w:color w:val="000000"/>
                <w:sz w:val="20"/>
                <w:szCs w:val="20"/>
              </w:rPr>
              <w:t>39,956,000</w:t>
            </w:r>
          </w:p>
        </w:tc>
        <w:tc>
          <w:tcPr>
            <w:tcW w:w="1615" w:type="dxa"/>
            <w:tcBorders>
              <w:top w:val="dashSmallGap" w:sz="4" w:space="0" w:color="auto"/>
              <w:left w:val="dashSmallGap" w:sz="4" w:space="0" w:color="auto"/>
              <w:bottom w:val="dashSmallGap" w:sz="4" w:space="0" w:color="auto"/>
            </w:tcBorders>
            <w:shd w:val="clear" w:color="auto" w:fill="auto"/>
            <w:vAlign w:val="center"/>
          </w:tcPr>
          <w:p w14:paraId="24AADAE6" w14:textId="65DF0B78" w:rsidR="004956BC" w:rsidRPr="001F3D5F" w:rsidRDefault="004956BC" w:rsidP="004956BC">
            <w:pPr>
              <w:keepNext/>
              <w:jc w:val="right"/>
              <w:rPr>
                <w:rFonts w:ascii="Arial" w:hAnsi="Arial" w:cs="Arial"/>
                <w:color w:val="000000"/>
                <w:sz w:val="20"/>
                <w:szCs w:val="20"/>
              </w:rPr>
            </w:pPr>
          </w:p>
        </w:tc>
      </w:tr>
      <w:tr w:rsidR="004956BC" w14:paraId="1F6AFB87" w14:textId="77777777" w:rsidTr="00B663EE">
        <w:trPr>
          <w:cantSplit/>
          <w:trHeight w:val="330"/>
          <w:jc w:val="right"/>
        </w:trPr>
        <w:tc>
          <w:tcPr>
            <w:tcW w:w="3785" w:type="dxa"/>
            <w:tcBorders>
              <w:top w:val="dashSmallGap" w:sz="4" w:space="0" w:color="auto"/>
              <w:bottom w:val="single" w:sz="4" w:space="0" w:color="auto"/>
              <w:right w:val="dashSmallGap" w:sz="4" w:space="0" w:color="auto"/>
            </w:tcBorders>
            <w:shd w:val="clear" w:color="auto" w:fill="auto"/>
            <w:vAlign w:val="center"/>
          </w:tcPr>
          <w:p w14:paraId="06B8C713" w14:textId="2DDD4FE5" w:rsidR="004956BC" w:rsidRPr="00B430F7" w:rsidRDefault="004956BC" w:rsidP="004956BC">
            <w:pPr>
              <w:keepNext/>
              <w:rPr>
                <w:rFonts w:ascii="Arial" w:hAnsi="Arial" w:cs="Arial"/>
                <w:color w:val="000000"/>
                <w:sz w:val="20"/>
                <w:szCs w:val="20"/>
              </w:rPr>
            </w:pPr>
            <w:r>
              <w:rPr>
                <w:rFonts w:ascii="Arial" w:hAnsi="Arial" w:cs="Arial"/>
                <w:color w:val="000000"/>
                <w:sz w:val="20"/>
                <w:szCs w:val="20"/>
              </w:rPr>
              <w:t xml:space="preserve">Federal Fund </w:t>
            </w:r>
            <w:r w:rsidRPr="00B430F7">
              <w:rPr>
                <w:rFonts w:ascii="Arial" w:hAnsi="Arial" w:cs="Arial"/>
                <w:color w:val="000000"/>
                <w:sz w:val="20"/>
                <w:szCs w:val="20"/>
              </w:rPr>
              <w:t>(0450)</w:t>
            </w:r>
          </w:p>
        </w:tc>
        <w:tc>
          <w:tcPr>
            <w:tcW w:w="1620" w:type="dxa"/>
            <w:tcBorders>
              <w:top w:val="dashSmallGap" w:sz="4" w:space="0" w:color="auto"/>
              <w:left w:val="dashSmallGap" w:sz="4" w:space="0" w:color="auto"/>
              <w:bottom w:val="single" w:sz="4" w:space="0" w:color="auto"/>
              <w:right w:val="dashSmallGap" w:sz="4" w:space="0" w:color="auto"/>
            </w:tcBorders>
            <w:vAlign w:val="center"/>
          </w:tcPr>
          <w:p w14:paraId="79B9DF04" w14:textId="33EAB012" w:rsidR="004956BC" w:rsidRPr="005936FE" w:rsidRDefault="004956BC" w:rsidP="004956BC">
            <w:pPr>
              <w:keepNext/>
              <w:jc w:val="right"/>
              <w:rPr>
                <w:rFonts w:ascii="Arial" w:hAnsi="Arial" w:cs="Arial"/>
                <w:b/>
                <w:bCs/>
                <w:color w:val="000000"/>
                <w:sz w:val="20"/>
                <w:szCs w:val="20"/>
              </w:rPr>
            </w:pPr>
          </w:p>
        </w:tc>
        <w:tc>
          <w:tcPr>
            <w:tcW w:w="1530"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6AADA8B7" w14:textId="5638FBCA" w:rsidR="004956BC" w:rsidRPr="00B430F7" w:rsidRDefault="004956BC" w:rsidP="004956BC">
            <w:pPr>
              <w:keepNext/>
              <w:jc w:val="right"/>
              <w:rPr>
                <w:rFonts w:ascii="Arial" w:hAnsi="Arial" w:cs="Arial"/>
                <w:color w:val="000000"/>
                <w:sz w:val="20"/>
                <w:szCs w:val="20"/>
              </w:rPr>
            </w:pPr>
          </w:p>
        </w:tc>
        <w:tc>
          <w:tcPr>
            <w:tcW w:w="1530"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232E75E2" w14:textId="0A229A14" w:rsidR="004956BC" w:rsidRDefault="004956BC" w:rsidP="004956BC">
            <w:pPr>
              <w:keepNext/>
              <w:jc w:val="right"/>
              <w:rPr>
                <w:rFonts w:ascii="Arial" w:hAnsi="Arial" w:cs="Arial"/>
                <w:b/>
                <w:bCs/>
                <w:color w:val="000000"/>
                <w:sz w:val="20"/>
                <w:szCs w:val="20"/>
              </w:rPr>
            </w:pPr>
            <w:r>
              <w:rPr>
                <w:rFonts w:ascii="Arial" w:hAnsi="Arial" w:cs="Arial"/>
                <w:b/>
                <w:bCs/>
                <w:color w:val="000000"/>
                <w:sz w:val="20"/>
                <w:szCs w:val="20"/>
              </w:rPr>
              <w:t>0</w:t>
            </w:r>
          </w:p>
        </w:tc>
        <w:tc>
          <w:tcPr>
            <w:tcW w:w="1615" w:type="dxa"/>
            <w:tcBorders>
              <w:top w:val="dashSmallGap" w:sz="4" w:space="0" w:color="auto"/>
              <w:left w:val="dashSmallGap" w:sz="4" w:space="0" w:color="auto"/>
              <w:bottom w:val="single" w:sz="4" w:space="0" w:color="auto"/>
            </w:tcBorders>
            <w:shd w:val="clear" w:color="auto" w:fill="auto"/>
            <w:vAlign w:val="center"/>
          </w:tcPr>
          <w:p w14:paraId="486D2D2D" w14:textId="77777777" w:rsidR="004956BC" w:rsidRDefault="004956BC" w:rsidP="004956BC">
            <w:pPr>
              <w:keepNext/>
              <w:jc w:val="right"/>
              <w:rPr>
                <w:rFonts w:ascii="Arial" w:hAnsi="Arial" w:cs="Arial"/>
                <w:b/>
                <w:bCs/>
                <w:color w:val="000000"/>
                <w:sz w:val="20"/>
                <w:szCs w:val="20"/>
              </w:rPr>
            </w:pPr>
          </w:p>
        </w:tc>
      </w:tr>
      <w:tr w:rsidR="004956BC" w14:paraId="62ABC001" w14:textId="77777777" w:rsidTr="00C073FB">
        <w:trPr>
          <w:cantSplit/>
          <w:trHeight w:val="330"/>
          <w:jc w:val="right"/>
        </w:trPr>
        <w:tc>
          <w:tcPr>
            <w:tcW w:w="3785" w:type="dxa"/>
            <w:tcBorders>
              <w:top w:val="dashSmallGap" w:sz="4" w:space="0" w:color="auto"/>
              <w:bottom w:val="single" w:sz="4" w:space="0" w:color="auto"/>
              <w:right w:val="dashSmallGap" w:sz="4" w:space="0" w:color="auto"/>
            </w:tcBorders>
            <w:shd w:val="clear" w:color="auto" w:fill="auto"/>
            <w:vAlign w:val="center"/>
            <w:hideMark/>
          </w:tcPr>
          <w:p w14:paraId="11223121" w14:textId="77777777" w:rsidR="004956BC" w:rsidRDefault="004956BC" w:rsidP="004956BC">
            <w:pPr>
              <w:keepNext/>
              <w:spacing w:line="360" w:lineRule="auto"/>
              <w:jc w:val="right"/>
              <w:rPr>
                <w:rFonts w:ascii="Arial" w:hAnsi="Arial" w:cs="Arial"/>
                <w:b/>
                <w:bCs/>
                <w:color w:val="000000"/>
                <w:sz w:val="20"/>
                <w:szCs w:val="20"/>
              </w:rPr>
            </w:pPr>
            <w:r>
              <w:rPr>
                <w:rFonts w:ascii="Arial" w:hAnsi="Arial" w:cs="Arial"/>
                <w:b/>
                <w:bCs/>
                <w:color w:val="000000"/>
                <w:sz w:val="20"/>
                <w:szCs w:val="20"/>
              </w:rPr>
              <w:t>Total</w:t>
            </w:r>
          </w:p>
        </w:tc>
        <w:tc>
          <w:tcPr>
            <w:tcW w:w="1620" w:type="dxa"/>
            <w:tcBorders>
              <w:top w:val="dashSmallGap" w:sz="4" w:space="0" w:color="auto"/>
              <w:left w:val="dashSmallGap" w:sz="4" w:space="0" w:color="auto"/>
              <w:bottom w:val="single" w:sz="4" w:space="0" w:color="auto"/>
              <w:right w:val="dashSmallGap" w:sz="4" w:space="0" w:color="auto"/>
            </w:tcBorders>
          </w:tcPr>
          <w:p w14:paraId="67C38019" w14:textId="16B77BA9" w:rsidR="004956BC" w:rsidRPr="00B430F7" w:rsidRDefault="004956BC" w:rsidP="004956BC">
            <w:pPr>
              <w:spacing w:line="360" w:lineRule="auto"/>
              <w:jc w:val="right"/>
              <w:rPr>
                <w:rFonts w:ascii="Arial" w:hAnsi="Arial" w:cs="Arial"/>
                <w:b/>
                <w:bCs/>
                <w:color w:val="000000"/>
                <w:sz w:val="20"/>
                <w:szCs w:val="20"/>
              </w:rPr>
            </w:pPr>
            <w:r w:rsidRPr="00B430F7">
              <w:rPr>
                <w:rFonts w:ascii="Arial" w:hAnsi="Arial" w:cs="Arial"/>
                <w:b/>
                <w:bCs/>
                <w:sz w:val="20"/>
                <w:szCs w:val="20"/>
              </w:rPr>
              <w:t>$26,383,000</w:t>
            </w:r>
          </w:p>
        </w:tc>
        <w:tc>
          <w:tcPr>
            <w:tcW w:w="1530"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5216395D" w14:textId="180FCE86" w:rsidR="004956BC" w:rsidRPr="00B430F7" w:rsidRDefault="004956BC" w:rsidP="004956BC">
            <w:pPr>
              <w:spacing w:line="360" w:lineRule="auto"/>
              <w:jc w:val="right"/>
              <w:rPr>
                <w:rFonts w:ascii="Arial" w:hAnsi="Arial" w:cs="Arial"/>
                <w:b/>
                <w:bCs/>
                <w:color w:val="000000"/>
                <w:sz w:val="20"/>
                <w:szCs w:val="20"/>
              </w:rPr>
            </w:pPr>
            <w:r w:rsidRPr="00B430F7">
              <w:rPr>
                <w:rFonts w:ascii="Arial" w:hAnsi="Arial" w:cs="Arial"/>
                <w:b/>
                <w:bCs/>
                <w:color w:val="000000"/>
                <w:sz w:val="20"/>
                <w:szCs w:val="20"/>
              </w:rPr>
              <w:t>$31,813,900</w:t>
            </w:r>
          </w:p>
        </w:tc>
        <w:tc>
          <w:tcPr>
            <w:tcW w:w="1530"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39A38F69" w14:textId="1A86F64C" w:rsidR="004956BC" w:rsidRPr="00B430F7" w:rsidRDefault="004956BC" w:rsidP="004956BC">
            <w:pPr>
              <w:spacing w:line="360" w:lineRule="auto"/>
              <w:jc w:val="right"/>
              <w:rPr>
                <w:rFonts w:ascii="Arial" w:hAnsi="Arial" w:cs="Arial"/>
                <w:b/>
                <w:bCs/>
                <w:color w:val="000000"/>
                <w:sz w:val="20"/>
                <w:szCs w:val="20"/>
              </w:rPr>
            </w:pPr>
            <w:r>
              <w:rPr>
                <w:rFonts w:ascii="Arial" w:hAnsi="Arial" w:cs="Arial"/>
                <w:b/>
                <w:bCs/>
                <w:color w:val="000000"/>
                <w:sz w:val="20"/>
                <w:szCs w:val="20"/>
              </w:rPr>
              <w:t>$42,315,600</w:t>
            </w:r>
          </w:p>
        </w:tc>
        <w:tc>
          <w:tcPr>
            <w:tcW w:w="1615" w:type="dxa"/>
            <w:tcBorders>
              <w:top w:val="dashSmallGap" w:sz="4" w:space="0" w:color="auto"/>
              <w:left w:val="dashSmallGap" w:sz="4" w:space="0" w:color="auto"/>
              <w:bottom w:val="single" w:sz="4" w:space="0" w:color="auto"/>
            </w:tcBorders>
            <w:shd w:val="clear" w:color="auto" w:fill="auto"/>
            <w:vAlign w:val="center"/>
          </w:tcPr>
          <w:p w14:paraId="52C174D4" w14:textId="38C7D88E" w:rsidR="004956BC" w:rsidRPr="00B430F7" w:rsidRDefault="004956BC" w:rsidP="004956BC">
            <w:pPr>
              <w:spacing w:line="360" w:lineRule="auto"/>
              <w:jc w:val="right"/>
              <w:rPr>
                <w:rFonts w:ascii="Arial" w:hAnsi="Arial" w:cs="Arial"/>
                <w:b/>
                <w:bCs/>
                <w:color w:val="000000"/>
                <w:sz w:val="20"/>
                <w:szCs w:val="20"/>
              </w:rPr>
            </w:pPr>
          </w:p>
        </w:tc>
      </w:tr>
      <w:tr w:rsidR="004956BC" w14:paraId="5AE9C9F7" w14:textId="77777777" w:rsidTr="002575F5">
        <w:trPr>
          <w:cantSplit/>
          <w:trHeight w:val="315"/>
          <w:jc w:val="right"/>
        </w:trPr>
        <w:tc>
          <w:tcPr>
            <w:tcW w:w="3785" w:type="dxa"/>
            <w:tcBorders>
              <w:bottom w:val="nil"/>
              <w:right w:val="nil"/>
            </w:tcBorders>
            <w:shd w:val="clear" w:color="000000" w:fill="000080"/>
            <w:vAlign w:val="center"/>
            <w:hideMark/>
          </w:tcPr>
          <w:p w14:paraId="71F1E224" w14:textId="5718FABF" w:rsidR="004956BC" w:rsidRDefault="004956BC" w:rsidP="004956BC">
            <w:pPr>
              <w:keepNext/>
              <w:pageBreakBefore/>
              <w:jc w:val="both"/>
              <w:rPr>
                <w:rFonts w:ascii="Arial" w:hAnsi="Arial" w:cs="Arial"/>
                <w:b/>
                <w:bCs/>
                <w:color w:val="FFFFFF"/>
                <w:sz w:val="20"/>
                <w:szCs w:val="20"/>
              </w:rPr>
            </w:pPr>
            <w:r>
              <w:rPr>
                <w:rFonts w:ascii="Arial" w:hAnsi="Arial" w:cs="Arial"/>
                <w:b/>
                <w:bCs/>
                <w:color w:val="FFFFFF"/>
                <w:sz w:val="20"/>
              </w:rPr>
              <w:t>Expenditures</w:t>
            </w:r>
          </w:p>
        </w:tc>
        <w:tc>
          <w:tcPr>
            <w:tcW w:w="1620" w:type="dxa"/>
            <w:tcBorders>
              <w:left w:val="nil"/>
              <w:bottom w:val="nil"/>
              <w:right w:val="nil"/>
            </w:tcBorders>
            <w:shd w:val="clear" w:color="000000" w:fill="000080"/>
          </w:tcPr>
          <w:p w14:paraId="677D81FA" w14:textId="44A0523C" w:rsidR="004956BC" w:rsidRPr="00B430F7" w:rsidRDefault="004956BC" w:rsidP="004956BC">
            <w:pPr>
              <w:jc w:val="right"/>
              <w:rPr>
                <w:rFonts w:ascii="Arial" w:hAnsi="Arial" w:cs="Arial"/>
                <w:b/>
                <w:bCs/>
                <w:color w:val="FFFFFF"/>
                <w:sz w:val="20"/>
                <w:szCs w:val="20"/>
              </w:rPr>
            </w:pPr>
            <w:r>
              <w:rPr>
                <w:rFonts w:ascii="Arial" w:hAnsi="Arial" w:cs="Arial"/>
                <w:b/>
                <w:bCs/>
                <w:color w:val="FFFFFF"/>
                <w:sz w:val="20"/>
                <w:szCs w:val="20"/>
              </w:rPr>
              <w:t>FY 2022</w:t>
            </w:r>
          </w:p>
        </w:tc>
        <w:tc>
          <w:tcPr>
            <w:tcW w:w="1530" w:type="dxa"/>
            <w:tcBorders>
              <w:left w:val="nil"/>
              <w:bottom w:val="nil"/>
              <w:right w:val="nil"/>
            </w:tcBorders>
            <w:shd w:val="clear" w:color="000000" w:fill="000080"/>
          </w:tcPr>
          <w:p w14:paraId="54F03A3F" w14:textId="1B7D067E" w:rsidR="004956BC" w:rsidRPr="00B430F7" w:rsidRDefault="004956BC" w:rsidP="004956BC">
            <w:pPr>
              <w:jc w:val="right"/>
              <w:rPr>
                <w:rFonts w:ascii="Arial" w:hAnsi="Arial" w:cs="Arial"/>
                <w:b/>
                <w:bCs/>
                <w:color w:val="FFFFFF"/>
                <w:sz w:val="20"/>
                <w:szCs w:val="20"/>
              </w:rPr>
            </w:pPr>
            <w:r>
              <w:rPr>
                <w:rFonts w:ascii="Arial" w:hAnsi="Arial" w:cs="Arial"/>
                <w:b/>
                <w:bCs/>
                <w:color w:val="FFFFFF"/>
                <w:sz w:val="20"/>
                <w:szCs w:val="20"/>
              </w:rPr>
              <w:t>FY 2023</w:t>
            </w:r>
          </w:p>
        </w:tc>
        <w:tc>
          <w:tcPr>
            <w:tcW w:w="1530" w:type="dxa"/>
            <w:tcBorders>
              <w:left w:val="nil"/>
              <w:bottom w:val="nil"/>
              <w:right w:val="nil"/>
            </w:tcBorders>
            <w:shd w:val="clear" w:color="000000" w:fill="000080"/>
          </w:tcPr>
          <w:p w14:paraId="1EF76858" w14:textId="06DA0B29" w:rsidR="004956BC" w:rsidRPr="00B430F7" w:rsidRDefault="004956BC" w:rsidP="004956BC">
            <w:pPr>
              <w:jc w:val="right"/>
              <w:rPr>
                <w:rFonts w:ascii="Arial" w:hAnsi="Arial" w:cs="Arial"/>
                <w:b/>
                <w:bCs/>
                <w:color w:val="FFFFFF"/>
                <w:sz w:val="20"/>
                <w:szCs w:val="20"/>
              </w:rPr>
            </w:pPr>
            <w:r>
              <w:rPr>
                <w:rFonts w:ascii="Arial" w:hAnsi="Arial" w:cs="Arial"/>
                <w:b/>
                <w:bCs/>
                <w:color w:val="FFFFFF"/>
                <w:sz w:val="20"/>
                <w:szCs w:val="20"/>
              </w:rPr>
              <w:t>FY 2024</w:t>
            </w:r>
          </w:p>
        </w:tc>
        <w:tc>
          <w:tcPr>
            <w:tcW w:w="1615" w:type="dxa"/>
            <w:tcBorders>
              <w:left w:val="nil"/>
              <w:bottom w:val="nil"/>
            </w:tcBorders>
            <w:shd w:val="clear" w:color="000000" w:fill="000080"/>
            <w:hideMark/>
          </w:tcPr>
          <w:p w14:paraId="146AA933" w14:textId="4E40DE94" w:rsidR="004956BC" w:rsidRPr="00B430F7" w:rsidRDefault="004956BC" w:rsidP="004956BC">
            <w:pPr>
              <w:jc w:val="right"/>
              <w:rPr>
                <w:rFonts w:ascii="Arial" w:hAnsi="Arial" w:cs="Arial"/>
                <w:b/>
                <w:bCs/>
                <w:color w:val="FFFFFF"/>
                <w:sz w:val="20"/>
                <w:szCs w:val="20"/>
              </w:rPr>
            </w:pPr>
            <w:r>
              <w:rPr>
                <w:rFonts w:ascii="Arial" w:hAnsi="Arial" w:cs="Arial"/>
                <w:b/>
                <w:bCs/>
                <w:color w:val="FFFFFF"/>
                <w:sz w:val="20"/>
                <w:szCs w:val="20"/>
              </w:rPr>
              <w:t>FY 2025</w:t>
            </w:r>
          </w:p>
        </w:tc>
      </w:tr>
      <w:tr w:rsidR="004956BC" w14:paraId="20C22811" w14:textId="77777777" w:rsidTr="00B4013F">
        <w:trPr>
          <w:cantSplit/>
          <w:trHeight w:val="300"/>
          <w:jc w:val="right"/>
        </w:trPr>
        <w:tc>
          <w:tcPr>
            <w:tcW w:w="3785" w:type="dxa"/>
            <w:tcBorders>
              <w:top w:val="nil"/>
              <w:bottom w:val="dashSmallGap" w:sz="4" w:space="0" w:color="auto"/>
              <w:right w:val="dashSmallGap" w:sz="4" w:space="0" w:color="auto"/>
            </w:tcBorders>
            <w:shd w:val="clear" w:color="auto" w:fill="auto"/>
            <w:vAlign w:val="center"/>
            <w:hideMark/>
          </w:tcPr>
          <w:p w14:paraId="55F5EAA9" w14:textId="77777777" w:rsidR="004956BC" w:rsidRDefault="004956BC" w:rsidP="004956BC">
            <w:pPr>
              <w:keepNext/>
              <w:rPr>
                <w:rFonts w:ascii="Arial" w:hAnsi="Arial" w:cs="Arial"/>
                <w:color w:val="000000"/>
                <w:sz w:val="20"/>
                <w:szCs w:val="20"/>
              </w:rPr>
            </w:pPr>
            <w:r>
              <w:rPr>
                <w:rFonts w:ascii="Arial" w:hAnsi="Arial" w:cs="Arial"/>
                <w:color w:val="000000"/>
                <w:sz w:val="20"/>
              </w:rPr>
              <w:t>Personnel Costs</w:t>
            </w:r>
          </w:p>
        </w:tc>
        <w:tc>
          <w:tcPr>
            <w:tcW w:w="1620" w:type="dxa"/>
            <w:tcBorders>
              <w:top w:val="nil"/>
              <w:left w:val="dashSmallGap" w:sz="4" w:space="0" w:color="auto"/>
              <w:bottom w:val="dashSmallGap" w:sz="4" w:space="0" w:color="auto"/>
              <w:right w:val="dashSmallGap" w:sz="4" w:space="0" w:color="auto"/>
            </w:tcBorders>
          </w:tcPr>
          <w:p w14:paraId="56383EBE" w14:textId="02C75D2B" w:rsidR="004956BC" w:rsidRPr="00B430F7" w:rsidRDefault="004956BC" w:rsidP="004956BC">
            <w:pPr>
              <w:keepNext/>
              <w:jc w:val="right"/>
              <w:rPr>
                <w:rFonts w:ascii="Arial" w:hAnsi="Arial" w:cs="Arial"/>
                <w:color w:val="000000"/>
                <w:sz w:val="20"/>
                <w:szCs w:val="20"/>
              </w:rPr>
            </w:pPr>
            <w:r w:rsidRPr="00B430F7">
              <w:rPr>
                <w:rFonts w:ascii="Arial" w:hAnsi="Arial" w:cs="Arial"/>
                <w:sz w:val="20"/>
                <w:szCs w:val="20"/>
              </w:rPr>
              <w:t xml:space="preserve">12,760,500 </w:t>
            </w:r>
          </w:p>
        </w:tc>
        <w:tc>
          <w:tcPr>
            <w:tcW w:w="1530" w:type="dxa"/>
            <w:tcBorders>
              <w:top w:val="nil"/>
              <w:left w:val="dashSmallGap" w:sz="4" w:space="0" w:color="auto"/>
              <w:bottom w:val="dashSmallGap" w:sz="4" w:space="0" w:color="auto"/>
              <w:right w:val="dashSmallGap" w:sz="4" w:space="0" w:color="auto"/>
            </w:tcBorders>
            <w:shd w:val="clear" w:color="auto" w:fill="auto"/>
          </w:tcPr>
          <w:p w14:paraId="46CBE7B3" w14:textId="354DE136" w:rsidR="004956BC" w:rsidRPr="00B430F7" w:rsidRDefault="004956BC" w:rsidP="004956BC">
            <w:pPr>
              <w:keepNext/>
              <w:jc w:val="right"/>
              <w:rPr>
                <w:rFonts w:ascii="Arial" w:hAnsi="Arial" w:cs="Arial"/>
                <w:color w:val="000000"/>
                <w:sz w:val="20"/>
                <w:szCs w:val="20"/>
              </w:rPr>
            </w:pPr>
            <w:r w:rsidRPr="00B430F7">
              <w:rPr>
                <w:rFonts w:ascii="Arial" w:hAnsi="Arial" w:cs="Arial"/>
                <w:sz w:val="20"/>
                <w:szCs w:val="20"/>
              </w:rPr>
              <w:t xml:space="preserve">13,621,000 </w:t>
            </w:r>
          </w:p>
        </w:tc>
        <w:tc>
          <w:tcPr>
            <w:tcW w:w="1530" w:type="dxa"/>
            <w:tcBorders>
              <w:top w:val="nil"/>
              <w:left w:val="dashSmallGap" w:sz="4" w:space="0" w:color="auto"/>
              <w:bottom w:val="dashSmallGap" w:sz="4" w:space="0" w:color="auto"/>
            </w:tcBorders>
            <w:shd w:val="clear" w:color="auto" w:fill="auto"/>
          </w:tcPr>
          <w:p w14:paraId="17848E5A" w14:textId="3FBC6783" w:rsidR="004956BC" w:rsidRPr="00B430F7" w:rsidRDefault="004956BC" w:rsidP="004956BC">
            <w:pPr>
              <w:keepNext/>
              <w:jc w:val="right"/>
              <w:rPr>
                <w:rFonts w:ascii="Arial" w:hAnsi="Arial" w:cs="Arial"/>
                <w:color w:val="000000"/>
                <w:sz w:val="20"/>
                <w:szCs w:val="20"/>
              </w:rPr>
            </w:pPr>
            <w:r>
              <w:rPr>
                <w:rFonts w:ascii="Arial" w:hAnsi="Arial" w:cs="Arial"/>
                <w:color w:val="000000"/>
                <w:sz w:val="20"/>
                <w:szCs w:val="20"/>
              </w:rPr>
              <w:t>18,140,800</w:t>
            </w:r>
          </w:p>
        </w:tc>
        <w:tc>
          <w:tcPr>
            <w:tcW w:w="1615" w:type="dxa"/>
            <w:tcBorders>
              <w:top w:val="nil"/>
              <w:left w:val="dashSmallGap" w:sz="4" w:space="0" w:color="auto"/>
              <w:bottom w:val="dashSmallGap" w:sz="4" w:space="0" w:color="auto"/>
            </w:tcBorders>
            <w:shd w:val="clear" w:color="auto" w:fill="auto"/>
          </w:tcPr>
          <w:p w14:paraId="5355E1BE" w14:textId="6F8A2387" w:rsidR="004956BC" w:rsidRPr="00B430F7" w:rsidRDefault="004956BC" w:rsidP="004956BC">
            <w:pPr>
              <w:keepNext/>
              <w:jc w:val="right"/>
              <w:rPr>
                <w:rFonts w:ascii="Arial" w:hAnsi="Arial" w:cs="Arial"/>
                <w:color w:val="000000"/>
                <w:sz w:val="20"/>
                <w:szCs w:val="20"/>
              </w:rPr>
            </w:pPr>
          </w:p>
        </w:tc>
      </w:tr>
      <w:tr w:rsidR="004956BC" w14:paraId="30A996CB" w14:textId="77777777" w:rsidTr="00011787">
        <w:trPr>
          <w:cantSplit/>
          <w:trHeight w:val="306"/>
          <w:jc w:val="right"/>
        </w:trPr>
        <w:tc>
          <w:tcPr>
            <w:tcW w:w="3785" w:type="dxa"/>
            <w:tcBorders>
              <w:top w:val="dashSmallGap" w:sz="4" w:space="0" w:color="auto"/>
              <w:bottom w:val="dashSmallGap" w:sz="4" w:space="0" w:color="auto"/>
              <w:right w:val="dashSmallGap" w:sz="4" w:space="0" w:color="auto"/>
            </w:tcBorders>
            <w:shd w:val="clear" w:color="auto" w:fill="auto"/>
            <w:vAlign w:val="center"/>
            <w:hideMark/>
          </w:tcPr>
          <w:p w14:paraId="5387D92F" w14:textId="77777777" w:rsidR="004956BC" w:rsidRDefault="004956BC" w:rsidP="004956BC">
            <w:pPr>
              <w:keepNext/>
              <w:rPr>
                <w:rFonts w:ascii="Arial" w:hAnsi="Arial" w:cs="Arial"/>
                <w:color w:val="000000"/>
                <w:sz w:val="20"/>
                <w:szCs w:val="20"/>
              </w:rPr>
            </w:pPr>
            <w:r>
              <w:rPr>
                <w:rFonts w:ascii="Arial" w:hAnsi="Arial" w:cs="Arial"/>
                <w:color w:val="000000"/>
                <w:sz w:val="20"/>
              </w:rPr>
              <w:t>Operating Expenditures</w:t>
            </w:r>
          </w:p>
        </w:tc>
        <w:tc>
          <w:tcPr>
            <w:tcW w:w="1620" w:type="dxa"/>
            <w:tcBorders>
              <w:top w:val="dashSmallGap" w:sz="4" w:space="0" w:color="auto"/>
              <w:left w:val="dashSmallGap" w:sz="4" w:space="0" w:color="auto"/>
              <w:bottom w:val="dashSmallGap" w:sz="4" w:space="0" w:color="auto"/>
              <w:right w:val="dashSmallGap" w:sz="4" w:space="0" w:color="auto"/>
            </w:tcBorders>
          </w:tcPr>
          <w:p w14:paraId="1DA3C514" w14:textId="4324E550" w:rsidR="004956BC" w:rsidRPr="00B430F7" w:rsidRDefault="004956BC" w:rsidP="004956BC">
            <w:pPr>
              <w:keepNext/>
              <w:jc w:val="right"/>
              <w:rPr>
                <w:rFonts w:ascii="Arial" w:hAnsi="Arial" w:cs="Arial"/>
                <w:color w:val="000000"/>
                <w:sz w:val="20"/>
                <w:szCs w:val="20"/>
              </w:rPr>
            </w:pPr>
            <w:r w:rsidRPr="00B430F7">
              <w:rPr>
                <w:rFonts w:ascii="Arial" w:hAnsi="Arial" w:cs="Arial"/>
                <w:sz w:val="20"/>
                <w:szCs w:val="20"/>
              </w:rPr>
              <w:t xml:space="preserve">2,759,200 </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tcPr>
          <w:p w14:paraId="2ECC6469" w14:textId="797DFF82" w:rsidR="004956BC" w:rsidRPr="00B430F7" w:rsidRDefault="004956BC" w:rsidP="004956BC">
            <w:pPr>
              <w:keepNext/>
              <w:jc w:val="right"/>
              <w:rPr>
                <w:rFonts w:ascii="Arial" w:hAnsi="Arial" w:cs="Arial"/>
                <w:color w:val="000000"/>
                <w:sz w:val="20"/>
                <w:szCs w:val="20"/>
              </w:rPr>
            </w:pPr>
            <w:r w:rsidRPr="00B430F7">
              <w:rPr>
                <w:rFonts w:ascii="Arial" w:hAnsi="Arial" w:cs="Arial"/>
                <w:sz w:val="20"/>
                <w:szCs w:val="20"/>
              </w:rPr>
              <w:t xml:space="preserve">3,814,800 </w:t>
            </w:r>
          </w:p>
        </w:tc>
        <w:tc>
          <w:tcPr>
            <w:tcW w:w="1530" w:type="dxa"/>
            <w:tcBorders>
              <w:top w:val="dashSmallGap" w:sz="4" w:space="0" w:color="auto"/>
              <w:left w:val="dashSmallGap" w:sz="4" w:space="0" w:color="auto"/>
              <w:bottom w:val="dashSmallGap" w:sz="4" w:space="0" w:color="auto"/>
            </w:tcBorders>
            <w:shd w:val="clear" w:color="auto" w:fill="auto"/>
          </w:tcPr>
          <w:p w14:paraId="7234E94E" w14:textId="642F1975" w:rsidR="004956BC" w:rsidRPr="00B430F7" w:rsidRDefault="004956BC" w:rsidP="004956BC">
            <w:pPr>
              <w:keepNext/>
              <w:jc w:val="right"/>
              <w:rPr>
                <w:rFonts w:ascii="Arial" w:hAnsi="Arial" w:cs="Arial"/>
                <w:color w:val="000000"/>
                <w:sz w:val="20"/>
                <w:szCs w:val="20"/>
              </w:rPr>
            </w:pPr>
            <w:r>
              <w:rPr>
                <w:rFonts w:ascii="Arial" w:hAnsi="Arial" w:cs="Arial"/>
                <w:color w:val="000000"/>
                <w:sz w:val="20"/>
                <w:szCs w:val="20"/>
              </w:rPr>
              <w:t>6,565,900</w:t>
            </w:r>
          </w:p>
        </w:tc>
        <w:tc>
          <w:tcPr>
            <w:tcW w:w="1615" w:type="dxa"/>
            <w:tcBorders>
              <w:top w:val="dashSmallGap" w:sz="4" w:space="0" w:color="auto"/>
              <w:left w:val="dashSmallGap" w:sz="4" w:space="0" w:color="auto"/>
              <w:bottom w:val="dashSmallGap" w:sz="4" w:space="0" w:color="auto"/>
            </w:tcBorders>
            <w:shd w:val="clear" w:color="auto" w:fill="auto"/>
          </w:tcPr>
          <w:p w14:paraId="72E75B61" w14:textId="2181DE9E" w:rsidR="004956BC" w:rsidRPr="00B430F7" w:rsidRDefault="004956BC" w:rsidP="004956BC">
            <w:pPr>
              <w:keepNext/>
              <w:jc w:val="right"/>
              <w:rPr>
                <w:rFonts w:ascii="Arial" w:hAnsi="Arial" w:cs="Arial"/>
                <w:color w:val="000000"/>
                <w:sz w:val="20"/>
                <w:szCs w:val="20"/>
              </w:rPr>
            </w:pPr>
          </w:p>
        </w:tc>
      </w:tr>
      <w:tr w:rsidR="004956BC" w14:paraId="2B917ACA" w14:textId="77777777" w:rsidTr="009C7A06">
        <w:trPr>
          <w:cantSplit/>
          <w:trHeight w:val="315"/>
          <w:jc w:val="right"/>
        </w:trPr>
        <w:tc>
          <w:tcPr>
            <w:tcW w:w="3785" w:type="dxa"/>
            <w:tcBorders>
              <w:top w:val="dashSmallGap" w:sz="4" w:space="0" w:color="auto"/>
              <w:bottom w:val="dashSmallGap" w:sz="4" w:space="0" w:color="auto"/>
              <w:right w:val="dashSmallGap" w:sz="4" w:space="0" w:color="auto"/>
            </w:tcBorders>
            <w:shd w:val="clear" w:color="auto" w:fill="auto"/>
            <w:vAlign w:val="center"/>
            <w:hideMark/>
          </w:tcPr>
          <w:p w14:paraId="750ABBA4" w14:textId="77777777" w:rsidR="004956BC" w:rsidRDefault="004956BC" w:rsidP="004956BC">
            <w:pPr>
              <w:keepNext/>
              <w:rPr>
                <w:rFonts w:ascii="Arial" w:hAnsi="Arial" w:cs="Arial"/>
                <w:color w:val="000000"/>
                <w:sz w:val="20"/>
                <w:szCs w:val="20"/>
              </w:rPr>
            </w:pPr>
            <w:r>
              <w:rPr>
                <w:rFonts w:ascii="Arial" w:hAnsi="Arial" w:cs="Arial"/>
                <w:color w:val="000000"/>
                <w:sz w:val="20"/>
              </w:rPr>
              <w:t>Capital Outlay</w:t>
            </w:r>
          </w:p>
        </w:tc>
        <w:tc>
          <w:tcPr>
            <w:tcW w:w="1620" w:type="dxa"/>
            <w:tcBorders>
              <w:top w:val="dashSmallGap" w:sz="4" w:space="0" w:color="auto"/>
              <w:left w:val="dashSmallGap" w:sz="4" w:space="0" w:color="auto"/>
              <w:bottom w:val="dashSmallGap" w:sz="4" w:space="0" w:color="auto"/>
              <w:right w:val="dashSmallGap" w:sz="4" w:space="0" w:color="auto"/>
            </w:tcBorders>
          </w:tcPr>
          <w:p w14:paraId="37CD70E0" w14:textId="6F28F8A3" w:rsidR="004956BC" w:rsidRPr="00B430F7" w:rsidRDefault="004956BC" w:rsidP="004956BC">
            <w:pPr>
              <w:keepNext/>
              <w:jc w:val="right"/>
              <w:rPr>
                <w:rFonts w:ascii="Arial" w:hAnsi="Arial" w:cs="Arial"/>
                <w:color w:val="000000"/>
                <w:sz w:val="20"/>
                <w:szCs w:val="20"/>
              </w:rPr>
            </w:pPr>
            <w:r w:rsidRPr="00B430F7">
              <w:rPr>
                <w:rFonts w:ascii="Arial" w:hAnsi="Arial" w:cs="Arial"/>
                <w:sz w:val="20"/>
                <w:szCs w:val="20"/>
              </w:rPr>
              <w:t xml:space="preserve">2,300 </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tcPr>
          <w:p w14:paraId="5F70033C" w14:textId="11D78439" w:rsidR="004956BC" w:rsidRPr="00B430F7" w:rsidRDefault="004956BC" w:rsidP="004956BC">
            <w:pPr>
              <w:keepNext/>
              <w:jc w:val="right"/>
              <w:rPr>
                <w:rFonts w:ascii="Arial" w:hAnsi="Arial" w:cs="Arial"/>
                <w:color w:val="000000"/>
                <w:sz w:val="20"/>
                <w:szCs w:val="20"/>
              </w:rPr>
            </w:pPr>
            <w:r w:rsidRPr="00B430F7">
              <w:rPr>
                <w:rFonts w:ascii="Arial" w:hAnsi="Arial" w:cs="Arial"/>
                <w:sz w:val="20"/>
                <w:szCs w:val="20"/>
              </w:rPr>
              <w:t xml:space="preserve">178,900 </w:t>
            </w:r>
          </w:p>
        </w:tc>
        <w:tc>
          <w:tcPr>
            <w:tcW w:w="1530" w:type="dxa"/>
            <w:tcBorders>
              <w:top w:val="dashSmallGap" w:sz="4" w:space="0" w:color="auto"/>
              <w:left w:val="dashSmallGap" w:sz="4" w:space="0" w:color="auto"/>
              <w:bottom w:val="dashSmallGap" w:sz="4" w:space="0" w:color="auto"/>
              <w:right w:val="single" w:sz="4" w:space="0" w:color="auto"/>
            </w:tcBorders>
            <w:shd w:val="clear" w:color="auto" w:fill="auto"/>
          </w:tcPr>
          <w:p w14:paraId="67390809" w14:textId="1FAFD0C9" w:rsidR="004956BC" w:rsidRPr="00B430F7" w:rsidRDefault="004956BC" w:rsidP="004956BC">
            <w:pPr>
              <w:keepNext/>
              <w:jc w:val="right"/>
              <w:rPr>
                <w:rFonts w:ascii="Arial" w:hAnsi="Arial" w:cs="Arial"/>
                <w:color w:val="000000"/>
                <w:sz w:val="20"/>
                <w:szCs w:val="20"/>
              </w:rPr>
            </w:pPr>
            <w:r>
              <w:rPr>
                <w:rFonts w:ascii="Arial" w:hAnsi="Arial" w:cs="Arial"/>
                <w:color w:val="000000"/>
                <w:sz w:val="20"/>
                <w:szCs w:val="20"/>
              </w:rPr>
              <w:t>647,100</w:t>
            </w:r>
          </w:p>
        </w:tc>
        <w:tc>
          <w:tcPr>
            <w:tcW w:w="1615" w:type="dxa"/>
            <w:tcBorders>
              <w:top w:val="dashSmallGap" w:sz="4" w:space="0" w:color="auto"/>
              <w:left w:val="dashSmallGap" w:sz="4" w:space="0" w:color="auto"/>
              <w:bottom w:val="dashSmallGap" w:sz="4" w:space="0" w:color="auto"/>
              <w:right w:val="single" w:sz="4" w:space="0" w:color="auto"/>
            </w:tcBorders>
            <w:shd w:val="clear" w:color="auto" w:fill="auto"/>
          </w:tcPr>
          <w:p w14:paraId="11F6290C" w14:textId="0E460E85" w:rsidR="004956BC" w:rsidRPr="00B430F7" w:rsidRDefault="004956BC" w:rsidP="004956BC">
            <w:pPr>
              <w:keepNext/>
              <w:jc w:val="right"/>
              <w:rPr>
                <w:rFonts w:ascii="Arial" w:hAnsi="Arial" w:cs="Arial"/>
                <w:color w:val="000000"/>
                <w:sz w:val="20"/>
                <w:szCs w:val="20"/>
              </w:rPr>
            </w:pPr>
          </w:p>
        </w:tc>
      </w:tr>
      <w:tr w:rsidR="004956BC" w14:paraId="5C5426B2" w14:textId="77777777" w:rsidTr="00665AC3">
        <w:trPr>
          <w:cantSplit/>
          <w:trHeight w:val="315"/>
          <w:jc w:val="right"/>
        </w:trPr>
        <w:tc>
          <w:tcPr>
            <w:tcW w:w="3785" w:type="dxa"/>
            <w:tcBorders>
              <w:top w:val="dashSmallGap" w:sz="4" w:space="0" w:color="auto"/>
              <w:bottom w:val="dashSmallGap" w:sz="4" w:space="0" w:color="auto"/>
              <w:right w:val="dashSmallGap" w:sz="4" w:space="0" w:color="auto"/>
            </w:tcBorders>
            <w:shd w:val="clear" w:color="auto" w:fill="auto"/>
            <w:vAlign w:val="center"/>
          </w:tcPr>
          <w:p w14:paraId="07207186" w14:textId="1B9AAC1D" w:rsidR="004956BC" w:rsidRDefault="004956BC" w:rsidP="004956BC">
            <w:pPr>
              <w:keepNext/>
              <w:rPr>
                <w:rFonts w:ascii="Arial" w:hAnsi="Arial" w:cs="Arial"/>
                <w:color w:val="000000"/>
                <w:sz w:val="20"/>
              </w:rPr>
            </w:pPr>
            <w:r>
              <w:rPr>
                <w:rFonts w:ascii="Arial" w:hAnsi="Arial" w:cs="Arial"/>
                <w:color w:val="000000"/>
                <w:sz w:val="20"/>
              </w:rPr>
              <w:t>Trustee and Benefits Payments</w:t>
            </w:r>
          </w:p>
        </w:tc>
        <w:tc>
          <w:tcPr>
            <w:tcW w:w="1620" w:type="dxa"/>
            <w:tcBorders>
              <w:top w:val="dashSmallGap" w:sz="4" w:space="0" w:color="auto"/>
              <w:left w:val="dashSmallGap" w:sz="4" w:space="0" w:color="auto"/>
              <w:bottom w:val="dashSmallGap" w:sz="4" w:space="0" w:color="auto"/>
              <w:right w:val="dashSmallGap" w:sz="4" w:space="0" w:color="auto"/>
            </w:tcBorders>
          </w:tcPr>
          <w:p w14:paraId="02AFE8DE" w14:textId="32FD8E82" w:rsidR="004956BC" w:rsidRPr="00B430F7" w:rsidRDefault="004956BC" w:rsidP="004956BC">
            <w:pPr>
              <w:keepNext/>
              <w:jc w:val="right"/>
              <w:rPr>
                <w:rFonts w:ascii="Arial" w:hAnsi="Arial" w:cs="Arial"/>
                <w:color w:val="000000"/>
                <w:sz w:val="20"/>
                <w:szCs w:val="20"/>
              </w:rPr>
            </w:pPr>
            <w:r w:rsidRPr="00B430F7">
              <w:rPr>
                <w:rFonts w:ascii="Arial" w:hAnsi="Arial" w:cs="Arial"/>
                <w:sz w:val="20"/>
                <w:szCs w:val="20"/>
              </w:rPr>
              <w:t xml:space="preserve">10,636,000 </w:t>
            </w:r>
          </w:p>
        </w:tc>
        <w:tc>
          <w:tcPr>
            <w:tcW w:w="1530" w:type="dxa"/>
            <w:tcBorders>
              <w:top w:val="dashSmallGap" w:sz="4" w:space="0" w:color="auto"/>
              <w:left w:val="dashSmallGap" w:sz="4" w:space="0" w:color="auto"/>
              <w:bottom w:val="dashSmallGap" w:sz="4" w:space="0" w:color="auto"/>
              <w:right w:val="dashSmallGap" w:sz="4" w:space="0" w:color="auto"/>
            </w:tcBorders>
            <w:shd w:val="clear" w:color="auto" w:fill="auto"/>
          </w:tcPr>
          <w:p w14:paraId="31852F31" w14:textId="4450D556" w:rsidR="004956BC" w:rsidRPr="00B430F7" w:rsidRDefault="004956BC" w:rsidP="004956BC">
            <w:pPr>
              <w:keepNext/>
              <w:jc w:val="right"/>
              <w:rPr>
                <w:rFonts w:ascii="Arial" w:hAnsi="Arial" w:cs="Arial"/>
                <w:color w:val="000000"/>
                <w:sz w:val="20"/>
                <w:szCs w:val="20"/>
              </w:rPr>
            </w:pPr>
            <w:r w:rsidRPr="00B430F7">
              <w:rPr>
                <w:rFonts w:ascii="Arial" w:hAnsi="Arial" w:cs="Arial"/>
                <w:sz w:val="20"/>
                <w:szCs w:val="20"/>
              </w:rPr>
              <w:t xml:space="preserve">14,199,200 </w:t>
            </w:r>
          </w:p>
        </w:tc>
        <w:tc>
          <w:tcPr>
            <w:tcW w:w="1530" w:type="dxa"/>
            <w:tcBorders>
              <w:top w:val="dashSmallGap" w:sz="4" w:space="0" w:color="auto"/>
              <w:left w:val="dashSmallGap" w:sz="4" w:space="0" w:color="auto"/>
              <w:bottom w:val="dashSmallGap" w:sz="4" w:space="0" w:color="auto"/>
            </w:tcBorders>
            <w:shd w:val="clear" w:color="auto" w:fill="auto"/>
          </w:tcPr>
          <w:p w14:paraId="5D703A86" w14:textId="12FE1809" w:rsidR="004956BC" w:rsidRPr="00B430F7" w:rsidRDefault="004956BC" w:rsidP="004956BC">
            <w:pPr>
              <w:keepNext/>
              <w:jc w:val="right"/>
              <w:rPr>
                <w:rFonts w:ascii="Arial" w:hAnsi="Arial" w:cs="Arial"/>
                <w:color w:val="000000"/>
                <w:sz w:val="20"/>
                <w:szCs w:val="20"/>
              </w:rPr>
            </w:pPr>
            <w:r>
              <w:rPr>
                <w:rFonts w:ascii="Arial" w:hAnsi="Arial" w:cs="Arial"/>
                <w:color w:val="000000"/>
                <w:sz w:val="20"/>
                <w:szCs w:val="20"/>
              </w:rPr>
              <w:t>16,961,800</w:t>
            </w:r>
          </w:p>
        </w:tc>
        <w:tc>
          <w:tcPr>
            <w:tcW w:w="1615" w:type="dxa"/>
            <w:tcBorders>
              <w:top w:val="dashSmallGap" w:sz="4" w:space="0" w:color="auto"/>
              <w:left w:val="dashSmallGap" w:sz="4" w:space="0" w:color="auto"/>
              <w:bottom w:val="dashSmallGap" w:sz="4" w:space="0" w:color="auto"/>
            </w:tcBorders>
            <w:shd w:val="clear" w:color="auto" w:fill="auto"/>
          </w:tcPr>
          <w:p w14:paraId="358221B7" w14:textId="30A7C3DB" w:rsidR="004956BC" w:rsidRPr="00B430F7" w:rsidRDefault="004956BC" w:rsidP="004956BC">
            <w:pPr>
              <w:keepNext/>
              <w:jc w:val="right"/>
              <w:rPr>
                <w:rFonts w:ascii="Arial" w:hAnsi="Arial" w:cs="Arial"/>
                <w:color w:val="000000"/>
                <w:sz w:val="20"/>
                <w:szCs w:val="20"/>
              </w:rPr>
            </w:pPr>
          </w:p>
        </w:tc>
      </w:tr>
      <w:tr w:rsidR="004956BC" w14:paraId="4F638040" w14:textId="77777777" w:rsidTr="00B663EE">
        <w:trPr>
          <w:cantSplit/>
          <w:trHeight w:val="330"/>
          <w:jc w:val="right"/>
        </w:trPr>
        <w:tc>
          <w:tcPr>
            <w:tcW w:w="3785" w:type="dxa"/>
            <w:tcBorders>
              <w:top w:val="dashSmallGap" w:sz="4" w:space="0" w:color="auto"/>
              <w:right w:val="dashSmallGap" w:sz="4" w:space="0" w:color="auto"/>
            </w:tcBorders>
            <w:shd w:val="clear" w:color="auto" w:fill="auto"/>
            <w:vAlign w:val="center"/>
            <w:hideMark/>
          </w:tcPr>
          <w:p w14:paraId="235D63DE" w14:textId="77777777" w:rsidR="004956BC" w:rsidRDefault="004956BC" w:rsidP="004956BC">
            <w:pPr>
              <w:keepNext/>
              <w:jc w:val="right"/>
              <w:rPr>
                <w:rFonts w:ascii="Arial" w:hAnsi="Arial" w:cs="Arial"/>
                <w:b/>
                <w:bCs/>
                <w:color w:val="000000"/>
                <w:sz w:val="20"/>
                <w:szCs w:val="20"/>
              </w:rPr>
            </w:pPr>
            <w:r>
              <w:rPr>
                <w:rFonts w:ascii="Arial" w:hAnsi="Arial" w:cs="Arial"/>
                <w:b/>
                <w:bCs/>
                <w:color w:val="000000"/>
                <w:sz w:val="20"/>
              </w:rPr>
              <w:t>Total</w:t>
            </w:r>
          </w:p>
        </w:tc>
        <w:tc>
          <w:tcPr>
            <w:tcW w:w="1620" w:type="dxa"/>
            <w:tcBorders>
              <w:top w:val="dashSmallGap" w:sz="4" w:space="0" w:color="auto"/>
              <w:left w:val="dashSmallGap" w:sz="4" w:space="0" w:color="auto"/>
              <w:right w:val="dashSmallGap" w:sz="4" w:space="0" w:color="auto"/>
            </w:tcBorders>
            <w:vAlign w:val="center"/>
          </w:tcPr>
          <w:p w14:paraId="50CCF006" w14:textId="01D3B5EF" w:rsidR="004956BC" w:rsidRPr="005936FE" w:rsidRDefault="004956BC" w:rsidP="004956BC">
            <w:pPr>
              <w:keepNext/>
              <w:jc w:val="right"/>
              <w:rPr>
                <w:rFonts w:ascii="Arial" w:hAnsi="Arial" w:cs="Arial"/>
                <w:b/>
                <w:bCs/>
                <w:color w:val="000000"/>
                <w:sz w:val="20"/>
                <w:szCs w:val="20"/>
              </w:rPr>
            </w:pPr>
            <w:r>
              <w:rPr>
                <w:rFonts w:ascii="Arial" w:hAnsi="Arial" w:cs="Arial"/>
                <w:b/>
                <w:bCs/>
                <w:color w:val="000000"/>
                <w:sz w:val="20"/>
                <w:szCs w:val="20"/>
              </w:rPr>
              <w:t>$26,158,000</w:t>
            </w:r>
          </w:p>
        </w:tc>
        <w:tc>
          <w:tcPr>
            <w:tcW w:w="1530" w:type="dxa"/>
            <w:tcBorders>
              <w:top w:val="dashSmallGap" w:sz="4" w:space="0" w:color="auto"/>
              <w:left w:val="dashSmallGap" w:sz="4" w:space="0" w:color="auto"/>
              <w:right w:val="dashSmallGap" w:sz="4" w:space="0" w:color="auto"/>
            </w:tcBorders>
            <w:shd w:val="clear" w:color="auto" w:fill="auto"/>
            <w:vAlign w:val="center"/>
          </w:tcPr>
          <w:p w14:paraId="6120EEBE" w14:textId="31F74035" w:rsidR="004956BC" w:rsidRPr="005936FE" w:rsidRDefault="004956BC" w:rsidP="004956BC">
            <w:pPr>
              <w:keepNext/>
              <w:jc w:val="right"/>
              <w:rPr>
                <w:rFonts w:ascii="Arial" w:hAnsi="Arial" w:cs="Arial"/>
                <w:b/>
                <w:bCs/>
                <w:color w:val="000000"/>
                <w:sz w:val="20"/>
                <w:szCs w:val="20"/>
              </w:rPr>
            </w:pPr>
            <w:r>
              <w:rPr>
                <w:rFonts w:ascii="Arial" w:hAnsi="Arial" w:cs="Arial"/>
                <w:b/>
                <w:bCs/>
                <w:color w:val="000000"/>
                <w:sz w:val="20"/>
                <w:szCs w:val="20"/>
              </w:rPr>
              <w:t>$31,813,900</w:t>
            </w:r>
          </w:p>
        </w:tc>
        <w:tc>
          <w:tcPr>
            <w:tcW w:w="1530" w:type="dxa"/>
            <w:tcBorders>
              <w:top w:val="dashSmallGap" w:sz="4" w:space="0" w:color="auto"/>
              <w:left w:val="dashSmallGap" w:sz="4" w:space="0" w:color="auto"/>
            </w:tcBorders>
            <w:shd w:val="clear" w:color="auto" w:fill="auto"/>
            <w:vAlign w:val="center"/>
          </w:tcPr>
          <w:p w14:paraId="4773E3B0" w14:textId="06B5B59C" w:rsidR="004956BC" w:rsidRPr="005936FE" w:rsidRDefault="004956BC" w:rsidP="004956BC">
            <w:pPr>
              <w:keepNext/>
              <w:jc w:val="right"/>
              <w:rPr>
                <w:rFonts w:ascii="Arial" w:hAnsi="Arial" w:cs="Arial"/>
                <w:b/>
                <w:bCs/>
                <w:color w:val="000000"/>
                <w:sz w:val="20"/>
                <w:szCs w:val="20"/>
              </w:rPr>
            </w:pPr>
            <w:r>
              <w:rPr>
                <w:rFonts w:ascii="Arial" w:hAnsi="Arial" w:cs="Arial"/>
                <w:b/>
                <w:bCs/>
                <w:color w:val="000000"/>
                <w:sz w:val="20"/>
                <w:szCs w:val="20"/>
              </w:rPr>
              <w:t>$42,315,600</w:t>
            </w:r>
          </w:p>
        </w:tc>
        <w:tc>
          <w:tcPr>
            <w:tcW w:w="1615" w:type="dxa"/>
            <w:tcBorders>
              <w:top w:val="dashSmallGap" w:sz="4" w:space="0" w:color="auto"/>
              <w:left w:val="dashSmallGap" w:sz="4" w:space="0" w:color="auto"/>
            </w:tcBorders>
            <w:shd w:val="clear" w:color="auto" w:fill="auto"/>
            <w:vAlign w:val="center"/>
          </w:tcPr>
          <w:p w14:paraId="43F2A9A9" w14:textId="2F118399" w:rsidR="004956BC" w:rsidRPr="005936FE" w:rsidRDefault="004956BC" w:rsidP="004956BC">
            <w:pPr>
              <w:keepNext/>
              <w:jc w:val="right"/>
              <w:rPr>
                <w:rFonts w:ascii="Arial" w:hAnsi="Arial" w:cs="Arial"/>
                <w:b/>
                <w:bCs/>
                <w:color w:val="000000"/>
                <w:sz w:val="20"/>
                <w:szCs w:val="20"/>
              </w:rPr>
            </w:pPr>
          </w:p>
        </w:tc>
      </w:tr>
    </w:tbl>
    <w:p w14:paraId="373BF882" w14:textId="77777777" w:rsidR="00367228" w:rsidRPr="001E1705" w:rsidRDefault="00367228" w:rsidP="00577C10">
      <w:pPr>
        <w:rPr>
          <w:rFonts w:ascii="Arial" w:hAnsi="Arial" w:cs="Arial"/>
        </w:rPr>
      </w:pPr>
    </w:p>
    <w:p w14:paraId="12B9643A" w14:textId="3AFB00A7" w:rsidR="00C2697F" w:rsidRDefault="00C2697F" w:rsidP="00577C10">
      <w:pPr>
        <w:rPr>
          <w:rFonts w:ascii="Arial" w:hAnsi="Arial" w:cs="Arial"/>
          <w:b/>
          <w:bCs/>
        </w:rPr>
      </w:pPr>
      <w:bookmarkStart w:id="1" w:name="_Hlk143768365"/>
      <w:r>
        <w:rPr>
          <w:rFonts w:ascii="Arial" w:hAnsi="Arial" w:cs="Arial"/>
          <w:b/>
          <w:bCs/>
        </w:rPr>
        <w:t>Profile of Cases Managed and/or Key Services Provided</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1350"/>
        <w:gridCol w:w="1260"/>
        <w:gridCol w:w="1260"/>
        <w:gridCol w:w="1260"/>
      </w:tblGrid>
      <w:tr w:rsidR="004956BC" w14:paraId="261D3CE2" w14:textId="77777777" w:rsidTr="00253FBC">
        <w:tc>
          <w:tcPr>
            <w:tcW w:w="4950" w:type="dxa"/>
            <w:shd w:val="clear" w:color="auto" w:fill="000080"/>
          </w:tcPr>
          <w:p w14:paraId="6D46C61B" w14:textId="77777777" w:rsidR="004956BC" w:rsidRPr="002A0614" w:rsidRDefault="004956BC" w:rsidP="004956BC">
            <w:pPr>
              <w:spacing w:after="60"/>
              <w:rPr>
                <w:rFonts w:ascii="Arial" w:hAnsi="Arial" w:cs="Arial"/>
                <w:b/>
                <w:sz w:val="20"/>
                <w:szCs w:val="20"/>
              </w:rPr>
            </w:pPr>
            <w:r w:rsidRPr="002A0614">
              <w:rPr>
                <w:rFonts w:ascii="Arial" w:hAnsi="Arial" w:cs="Arial"/>
                <w:b/>
                <w:sz w:val="20"/>
                <w:szCs w:val="20"/>
              </w:rPr>
              <w:t>Cases Managed and/or Key Services Provided</w:t>
            </w:r>
          </w:p>
        </w:tc>
        <w:tc>
          <w:tcPr>
            <w:tcW w:w="1350" w:type="dxa"/>
            <w:shd w:val="clear" w:color="auto" w:fill="000080"/>
          </w:tcPr>
          <w:p w14:paraId="4F2AED1F" w14:textId="6B3CFA97" w:rsidR="004956BC" w:rsidRPr="002A0614" w:rsidRDefault="004956BC" w:rsidP="004956BC">
            <w:pPr>
              <w:spacing w:after="60"/>
              <w:jc w:val="right"/>
              <w:rPr>
                <w:rFonts w:ascii="Arial" w:hAnsi="Arial" w:cs="Arial"/>
                <w:b/>
                <w:sz w:val="20"/>
                <w:szCs w:val="20"/>
              </w:rPr>
            </w:pPr>
            <w:r>
              <w:rPr>
                <w:rFonts w:ascii="Arial" w:hAnsi="Arial" w:cs="Arial"/>
                <w:b/>
                <w:bCs/>
                <w:color w:val="FFFFFF"/>
                <w:sz w:val="20"/>
              </w:rPr>
              <w:t>FY 2022</w:t>
            </w:r>
          </w:p>
        </w:tc>
        <w:tc>
          <w:tcPr>
            <w:tcW w:w="1260" w:type="dxa"/>
            <w:shd w:val="clear" w:color="auto" w:fill="000080"/>
          </w:tcPr>
          <w:p w14:paraId="3CD7AD15" w14:textId="7C42303F" w:rsidR="004956BC" w:rsidRPr="002A0614" w:rsidRDefault="004956BC" w:rsidP="004956BC">
            <w:pPr>
              <w:spacing w:after="60"/>
              <w:jc w:val="right"/>
              <w:rPr>
                <w:rFonts w:ascii="Arial" w:hAnsi="Arial" w:cs="Arial"/>
                <w:b/>
                <w:sz w:val="20"/>
                <w:szCs w:val="20"/>
              </w:rPr>
            </w:pPr>
            <w:r>
              <w:rPr>
                <w:rFonts w:ascii="Arial" w:hAnsi="Arial" w:cs="Arial"/>
                <w:b/>
                <w:bCs/>
                <w:color w:val="FFFFFF"/>
                <w:sz w:val="20"/>
              </w:rPr>
              <w:t>FY 2023</w:t>
            </w:r>
          </w:p>
        </w:tc>
        <w:tc>
          <w:tcPr>
            <w:tcW w:w="1260" w:type="dxa"/>
            <w:shd w:val="clear" w:color="auto" w:fill="000080"/>
          </w:tcPr>
          <w:p w14:paraId="3917CAE8" w14:textId="05425713" w:rsidR="004956BC" w:rsidRPr="002A0614" w:rsidRDefault="004956BC" w:rsidP="004956BC">
            <w:pPr>
              <w:spacing w:after="60"/>
              <w:jc w:val="right"/>
              <w:rPr>
                <w:rFonts w:ascii="Arial" w:hAnsi="Arial" w:cs="Arial"/>
                <w:b/>
                <w:sz w:val="20"/>
                <w:szCs w:val="20"/>
              </w:rPr>
            </w:pPr>
            <w:r>
              <w:rPr>
                <w:rFonts w:ascii="Arial" w:hAnsi="Arial" w:cs="Arial"/>
                <w:b/>
                <w:bCs/>
                <w:color w:val="FFFFFF"/>
                <w:sz w:val="20"/>
              </w:rPr>
              <w:t>FY 2024</w:t>
            </w:r>
          </w:p>
        </w:tc>
        <w:tc>
          <w:tcPr>
            <w:tcW w:w="1260" w:type="dxa"/>
            <w:shd w:val="clear" w:color="auto" w:fill="000080"/>
          </w:tcPr>
          <w:p w14:paraId="60CFFCAC" w14:textId="4139B8AA" w:rsidR="004956BC" w:rsidRPr="002A0614" w:rsidRDefault="004956BC" w:rsidP="004956BC">
            <w:pPr>
              <w:spacing w:after="60"/>
              <w:jc w:val="right"/>
              <w:rPr>
                <w:rFonts w:ascii="Arial" w:hAnsi="Arial" w:cs="Arial"/>
                <w:b/>
                <w:sz w:val="20"/>
                <w:szCs w:val="20"/>
              </w:rPr>
            </w:pPr>
            <w:r>
              <w:rPr>
                <w:rFonts w:ascii="Arial" w:hAnsi="Arial" w:cs="Arial"/>
                <w:b/>
                <w:bCs/>
                <w:color w:val="FFFFFF"/>
                <w:sz w:val="20"/>
              </w:rPr>
              <w:t>FY 2025</w:t>
            </w:r>
          </w:p>
        </w:tc>
      </w:tr>
      <w:tr w:rsidR="004956BC" w:rsidRPr="008344E6" w14:paraId="6A84029F" w14:textId="77777777" w:rsidTr="00253FBC">
        <w:tc>
          <w:tcPr>
            <w:tcW w:w="4950" w:type="dxa"/>
          </w:tcPr>
          <w:p w14:paraId="550CF8CC" w14:textId="6101DC18" w:rsidR="004956BC" w:rsidRPr="008344E6" w:rsidRDefault="004956BC" w:rsidP="004956BC">
            <w:pPr>
              <w:spacing w:after="60"/>
              <w:rPr>
                <w:rFonts w:ascii="Arial" w:hAnsi="Arial" w:cs="Arial"/>
                <w:color w:val="000000"/>
                <w:sz w:val="20"/>
                <w:szCs w:val="20"/>
              </w:rPr>
            </w:pPr>
            <w:bookmarkStart w:id="2" w:name="_Hlk15886821"/>
            <w:r>
              <w:rPr>
                <w:rFonts w:ascii="Arial" w:hAnsi="Arial" w:cs="Arial"/>
                <w:color w:val="000000"/>
                <w:sz w:val="20"/>
                <w:szCs w:val="20"/>
              </w:rPr>
              <w:t>S</w:t>
            </w:r>
            <w:r w:rsidRPr="008344E6">
              <w:rPr>
                <w:rFonts w:ascii="Arial" w:hAnsi="Arial" w:cs="Arial"/>
                <w:color w:val="000000"/>
                <w:sz w:val="20"/>
                <w:szCs w:val="20"/>
              </w:rPr>
              <w:t>ervice desk tickets resolved</w:t>
            </w:r>
            <w:r w:rsidRPr="00DC7A12">
              <w:rPr>
                <w:rFonts w:ascii="Arial" w:hAnsi="Arial" w:cs="Arial"/>
                <w:color w:val="000000"/>
                <w:sz w:val="20"/>
                <w:szCs w:val="20"/>
                <w:vertAlign w:val="superscript"/>
              </w:rPr>
              <w:t>(</w:t>
            </w:r>
            <w:r>
              <w:rPr>
                <w:rFonts w:ascii="Arial" w:hAnsi="Arial" w:cs="Arial"/>
                <w:color w:val="000000"/>
                <w:sz w:val="20"/>
                <w:szCs w:val="20"/>
                <w:vertAlign w:val="superscript"/>
              </w:rPr>
              <w:t>1</w:t>
            </w:r>
            <w:r w:rsidRPr="00DC7A12">
              <w:rPr>
                <w:rFonts w:ascii="Arial" w:hAnsi="Arial" w:cs="Arial"/>
                <w:color w:val="000000"/>
                <w:sz w:val="20"/>
                <w:szCs w:val="20"/>
                <w:vertAlign w:val="superscript"/>
              </w:rPr>
              <w:t>)</w:t>
            </w:r>
          </w:p>
        </w:tc>
        <w:tc>
          <w:tcPr>
            <w:tcW w:w="1350" w:type="dxa"/>
          </w:tcPr>
          <w:p w14:paraId="6DB18D03" w14:textId="54AA5CFF" w:rsidR="004956BC" w:rsidRPr="008344E6" w:rsidRDefault="004956BC" w:rsidP="004956BC">
            <w:pPr>
              <w:spacing w:after="60"/>
              <w:jc w:val="right"/>
              <w:rPr>
                <w:rFonts w:ascii="Arial" w:hAnsi="Arial" w:cs="Arial"/>
                <w:color w:val="000000"/>
                <w:sz w:val="20"/>
                <w:szCs w:val="20"/>
              </w:rPr>
            </w:pPr>
            <w:r>
              <w:rPr>
                <w:rFonts w:ascii="Arial" w:hAnsi="Arial" w:cs="Arial"/>
                <w:color w:val="000000"/>
                <w:sz w:val="20"/>
                <w:szCs w:val="20"/>
              </w:rPr>
              <w:t>64,442</w:t>
            </w:r>
          </w:p>
        </w:tc>
        <w:tc>
          <w:tcPr>
            <w:tcW w:w="1260" w:type="dxa"/>
            <w:shd w:val="clear" w:color="auto" w:fill="auto"/>
          </w:tcPr>
          <w:p w14:paraId="4F7BA34D" w14:textId="26BE75F5" w:rsidR="004956BC" w:rsidRDefault="004956BC" w:rsidP="004956BC">
            <w:pPr>
              <w:spacing w:after="60"/>
              <w:jc w:val="right"/>
              <w:rPr>
                <w:rFonts w:ascii="Arial" w:hAnsi="Arial" w:cs="Arial"/>
                <w:color w:val="000000"/>
                <w:sz w:val="20"/>
                <w:szCs w:val="20"/>
              </w:rPr>
            </w:pPr>
            <w:r w:rsidRPr="00253FBC">
              <w:rPr>
                <w:rFonts w:ascii="Arial" w:hAnsi="Arial" w:cs="Arial"/>
                <w:sz w:val="20"/>
                <w:szCs w:val="20"/>
              </w:rPr>
              <w:t>58,042</w:t>
            </w:r>
          </w:p>
        </w:tc>
        <w:tc>
          <w:tcPr>
            <w:tcW w:w="1260" w:type="dxa"/>
            <w:shd w:val="clear" w:color="auto" w:fill="auto"/>
          </w:tcPr>
          <w:p w14:paraId="55349A83" w14:textId="591EFD73" w:rsidR="004956BC" w:rsidRDefault="004956BC" w:rsidP="004956BC">
            <w:pPr>
              <w:spacing w:after="60"/>
              <w:jc w:val="right"/>
              <w:rPr>
                <w:rFonts w:ascii="Arial" w:hAnsi="Arial" w:cs="Arial"/>
                <w:color w:val="000000"/>
                <w:sz w:val="20"/>
                <w:szCs w:val="20"/>
              </w:rPr>
            </w:pPr>
            <w:r>
              <w:rPr>
                <w:rFonts w:ascii="Arial" w:hAnsi="Arial" w:cs="Arial"/>
                <w:color w:val="000000"/>
                <w:sz w:val="20"/>
                <w:szCs w:val="20"/>
              </w:rPr>
              <w:t>59,620</w:t>
            </w:r>
          </w:p>
        </w:tc>
        <w:tc>
          <w:tcPr>
            <w:tcW w:w="1260" w:type="dxa"/>
            <w:shd w:val="clear" w:color="auto" w:fill="auto"/>
          </w:tcPr>
          <w:p w14:paraId="5E186FC0" w14:textId="1AE17694" w:rsidR="004956BC" w:rsidRPr="00253FBC" w:rsidRDefault="004956BC" w:rsidP="004956BC">
            <w:pPr>
              <w:spacing w:after="60"/>
              <w:jc w:val="right"/>
              <w:rPr>
                <w:rFonts w:ascii="Arial" w:hAnsi="Arial" w:cs="Arial"/>
                <w:color w:val="000000"/>
                <w:sz w:val="20"/>
                <w:szCs w:val="20"/>
              </w:rPr>
            </w:pPr>
          </w:p>
        </w:tc>
      </w:tr>
      <w:tr w:rsidR="004956BC" w:rsidRPr="008344E6" w14:paraId="0B0E826C" w14:textId="77777777" w:rsidTr="00253FBC">
        <w:tc>
          <w:tcPr>
            <w:tcW w:w="4950" w:type="dxa"/>
            <w:tcBorders>
              <w:bottom w:val="single" w:sz="4" w:space="0" w:color="auto"/>
            </w:tcBorders>
          </w:tcPr>
          <w:p w14:paraId="656580DA" w14:textId="38402B93" w:rsidR="004956BC" w:rsidRPr="008344E6" w:rsidRDefault="004956BC" w:rsidP="004956BC">
            <w:pPr>
              <w:spacing w:after="60"/>
              <w:rPr>
                <w:rFonts w:ascii="Arial" w:hAnsi="Arial" w:cs="Arial"/>
                <w:color w:val="000000"/>
                <w:sz w:val="20"/>
                <w:szCs w:val="20"/>
              </w:rPr>
            </w:pPr>
            <w:r w:rsidRPr="008344E6">
              <w:rPr>
                <w:rFonts w:ascii="Arial" w:hAnsi="Arial" w:cs="Arial"/>
                <w:color w:val="000000"/>
                <w:sz w:val="20"/>
                <w:szCs w:val="20"/>
              </w:rPr>
              <w:t xml:space="preserve">Number of </w:t>
            </w:r>
            <w:r>
              <w:rPr>
                <w:rFonts w:ascii="Arial" w:hAnsi="Arial" w:cs="Arial"/>
                <w:color w:val="000000"/>
                <w:sz w:val="20"/>
                <w:szCs w:val="20"/>
              </w:rPr>
              <w:t xml:space="preserve">supported </w:t>
            </w:r>
            <w:r w:rsidRPr="008344E6">
              <w:rPr>
                <w:rFonts w:ascii="Arial" w:hAnsi="Arial" w:cs="Arial"/>
                <w:color w:val="000000"/>
                <w:sz w:val="20"/>
                <w:szCs w:val="20"/>
              </w:rPr>
              <w:t>customers</w:t>
            </w:r>
            <w:r>
              <w:rPr>
                <w:rFonts w:ascii="Arial" w:hAnsi="Arial" w:cs="Arial"/>
                <w:color w:val="000000"/>
                <w:sz w:val="20"/>
                <w:szCs w:val="20"/>
              </w:rPr>
              <w:t xml:space="preserve"> </w:t>
            </w:r>
            <w:r>
              <w:rPr>
                <w:rFonts w:ascii="Arial" w:hAnsi="Arial" w:cs="Arial"/>
                <w:color w:val="000000"/>
                <w:sz w:val="20"/>
                <w:szCs w:val="20"/>
                <w:vertAlign w:val="superscript"/>
              </w:rPr>
              <w:t>(a)</w:t>
            </w:r>
          </w:p>
        </w:tc>
        <w:tc>
          <w:tcPr>
            <w:tcW w:w="1350" w:type="dxa"/>
            <w:tcBorders>
              <w:bottom w:val="single" w:sz="4" w:space="0" w:color="auto"/>
            </w:tcBorders>
          </w:tcPr>
          <w:p w14:paraId="020D050A" w14:textId="2A625E2D" w:rsidR="004956BC" w:rsidRPr="008344E6" w:rsidRDefault="004956BC" w:rsidP="004956BC">
            <w:pPr>
              <w:spacing w:after="60"/>
              <w:jc w:val="right"/>
              <w:rPr>
                <w:rFonts w:ascii="Arial" w:hAnsi="Arial" w:cs="Arial"/>
                <w:color w:val="000000"/>
                <w:sz w:val="20"/>
                <w:szCs w:val="20"/>
              </w:rPr>
            </w:pPr>
            <w:r>
              <w:rPr>
                <w:rFonts w:ascii="Arial" w:hAnsi="Arial" w:cs="Arial"/>
                <w:color w:val="000000"/>
                <w:sz w:val="20"/>
                <w:szCs w:val="20"/>
              </w:rPr>
              <w:t>7,055</w:t>
            </w:r>
          </w:p>
        </w:tc>
        <w:tc>
          <w:tcPr>
            <w:tcW w:w="1260" w:type="dxa"/>
            <w:tcBorders>
              <w:bottom w:val="single" w:sz="4" w:space="0" w:color="auto"/>
            </w:tcBorders>
            <w:shd w:val="clear" w:color="auto" w:fill="auto"/>
          </w:tcPr>
          <w:p w14:paraId="4886FBF1" w14:textId="1AC3B87F" w:rsidR="004956BC" w:rsidRDefault="004956BC" w:rsidP="004956BC">
            <w:pPr>
              <w:spacing w:after="60"/>
              <w:jc w:val="right"/>
              <w:rPr>
                <w:rFonts w:ascii="Arial" w:hAnsi="Arial" w:cs="Arial"/>
                <w:color w:val="000000"/>
                <w:sz w:val="20"/>
                <w:szCs w:val="20"/>
              </w:rPr>
            </w:pPr>
            <w:r>
              <w:rPr>
                <w:rFonts w:ascii="Arial" w:hAnsi="Arial" w:cs="Arial"/>
                <w:sz w:val="20"/>
                <w:szCs w:val="20"/>
              </w:rPr>
              <w:t>10</w:t>
            </w:r>
            <w:r w:rsidRPr="00253FBC">
              <w:rPr>
                <w:rFonts w:ascii="Arial" w:hAnsi="Arial" w:cs="Arial"/>
                <w:sz w:val="20"/>
                <w:szCs w:val="20"/>
              </w:rPr>
              <w:t>,</w:t>
            </w:r>
            <w:r>
              <w:rPr>
                <w:rFonts w:ascii="Arial" w:hAnsi="Arial" w:cs="Arial"/>
                <w:sz w:val="20"/>
                <w:szCs w:val="20"/>
              </w:rPr>
              <w:t>309</w:t>
            </w:r>
          </w:p>
        </w:tc>
        <w:tc>
          <w:tcPr>
            <w:tcW w:w="1260" w:type="dxa"/>
            <w:tcBorders>
              <w:bottom w:val="single" w:sz="4" w:space="0" w:color="auto"/>
            </w:tcBorders>
            <w:shd w:val="clear" w:color="auto" w:fill="auto"/>
          </w:tcPr>
          <w:p w14:paraId="7D7C25F0" w14:textId="251BFA56" w:rsidR="004956BC" w:rsidRDefault="004956BC" w:rsidP="004956BC">
            <w:pPr>
              <w:spacing w:after="60"/>
              <w:jc w:val="right"/>
              <w:rPr>
                <w:rFonts w:ascii="Arial" w:hAnsi="Arial" w:cs="Arial"/>
                <w:color w:val="000000"/>
                <w:sz w:val="20"/>
                <w:szCs w:val="20"/>
              </w:rPr>
            </w:pPr>
            <w:r>
              <w:rPr>
                <w:rFonts w:ascii="Arial" w:hAnsi="Arial" w:cs="Arial"/>
                <w:color w:val="000000"/>
                <w:sz w:val="20"/>
                <w:szCs w:val="20"/>
              </w:rPr>
              <w:t>14,654</w:t>
            </w:r>
          </w:p>
        </w:tc>
        <w:tc>
          <w:tcPr>
            <w:tcW w:w="1260" w:type="dxa"/>
            <w:tcBorders>
              <w:bottom w:val="single" w:sz="4" w:space="0" w:color="auto"/>
            </w:tcBorders>
            <w:shd w:val="clear" w:color="auto" w:fill="auto"/>
          </w:tcPr>
          <w:p w14:paraId="1EC873C8" w14:textId="568EBB6B" w:rsidR="004956BC" w:rsidRPr="00253FBC" w:rsidRDefault="004956BC" w:rsidP="004956BC">
            <w:pPr>
              <w:spacing w:after="60"/>
              <w:jc w:val="right"/>
              <w:rPr>
                <w:rFonts w:ascii="Arial" w:hAnsi="Arial" w:cs="Arial"/>
                <w:color w:val="000000"/>
                <w:sz w:val="20"/>
                <w:szCs w:val="20"/>
              </w:rPr>
            </w:pPr>
          </w:p>
        </w:tc>
      </w:tr>
      <w:tr w:rsidR="004956BC" w:rsidRPr="008344E6" w14:paraId="1F276953" w14:textId="77777777" w:rsidTr="00253FBC">
        <w:tc>
          <w:tcPr>
            <w:tcW w:w="4950" w:type="dxa"/>
          </w:tcPr>
          <w:p w14:paraId="3C0F3083" w14:textId="42F81FD1" w:rsidR="004956BC" w:rsidRPr="008344E6" w:rsidRDefault="004956BC" w:rsidP="004956BC">
            <w:pPr>
              <w:spacing w:after="60"/>
              <w:rPr>
                <w:rFonts w:ascii="Arial" w:hAnsi="Arial" w:cs="Arial"/>
                <w:color w:val="000000"/>
                <w:sz w:val="20"/>
                <w:szCs w:val="20"/>
              </w:rPr>
            </w:pPr>
            <w:r>
              <w:rPr>
                <w:rFonts w:ascii="Arial" w:hAnsi="Arial" w:cs="Arial"/>
                <w:color w:val="000000"/>
                <w:sz w:val="20"/>
                <w:szCs w:val="20"/>
              </w:rPr>
              <w:t>U</w:t>
            </w:r>
            <w:r w:rsidRPr="008344E6">
              <w:rPr>
                <w:rFonts w:ascii="Arial" w:hAnsi="Arial" w:cs="Arial"/>
                <w:color w:val="000000"/>
                <w:sz w:val="20"/>
                <w:szCs w:val="20"/>
              </w:rPr>
              <w:t xml:space="preserve">nique visitors to </w:t>
            </w:r>
            <w:r>
              <w:rPr>
                <w:rFonts w:ascii="Arial" w:hAnsi="Arial" w:cs="Arial"/>
                <w:color w:val="000000"/>
                <w:sz w:val="20"/>
                <w:szCs w:val="20"/>
              </w:rPr>
              <w:t xml:space="preserve">the </w:t>
            </w:r>
            <w:r w:rsidRPr="008344E6">
              <w:rPr>
                <w:rFonts w:ascii="Arial" w:hAnsi="Arial" w:cs="Arial"/>
                <w:color w:val="000000"/>
                <w:sz w:val="20"/>
                <w:szCs w:val="20"/>
              </w:rPr>
              <w:t xml:space="preserve">Idaho.gov </w:t>
            </w:r>
            <w:r>
              <w:rPr>
                <w:rFonts w:ascii="Arial" w:hAnsi="Arial" w:cs="Arial"/>
                <w:color w:val="000000"/>
                <w:sz w:val="20"/>
                <w:szCs w:val="20"/>
              </w:rPr>
              <w:t>website</w:t>
            </w:r>
            <w:r w:rsidRPr="00DC7A12">
              <w:rPr>
                <w:rFonts w:ascii="Arial" w:hAnsi="Arial" w:cs="Arial"/>
                <w:color w:val="000000"/>
                <w:sz w:val="20"/>
                <w:szCs w:val="20"/>
                <w:vertAlign w:val="superscript"/>
              </w:rPr>
              <w:t>(</w:t>
            </w:r>
            <w:r>
              <w:rPr>
                <w:rFonts w:ascii="Arial" w:hAnsi="Arial" w:cs="Arial"/>
                <w:color w:val="000000"/>
                <w:sz w:val="20"/>
                <w:szCs w:val="20"/>
                <w:vertAlign w:val="superscript"/>
              </w:rPr>
              <w:t>2</w:t>
            </w:r>
            <w:r w:rsidRPr="00DC7A12">
              <w:rPr>
                <w:rFonts w:ascii="Arial" w:hAnsi="Arial" w:cs="Arial"/>
                <w:color w:val="000000"/>
                <w:sz w:val="20"/>
                <w:szCs w:val="20"/>
                <w:vertAlign w:val="superscript"/>
              </w:rPr>
              <w:t>)</w:t>
            </w:r>
            <w:r>
              <w:rPr>
                <w:rFonts w:ascii="Arial" w:hAnsi="Arial" w:cs="Arial"/>
                <w:color w:val="000000"/>
                <w:sz w:val="20"/>
                <w:szCs w:val="20"/>
                <w:vertAlign w:val="superscript"/>
              </w:rPr>
              <w:t xml:space="preserve"> (b)</w:t>
            </w:r>
          </w:p>
        </w:tc>
        <w:tc>
          <w:tcPr>
            <w:tcW w:w="1350" w:type="dxa"/>
          </w:tcPr>
          <w:p w14:paraId="2DC4F565" w14:textId="75D6E0DE" w:rsidR="004956BC" w:rsidRPr="008344E6" w:rsidRDefault="004956BC" w:rsidP="004956BC">
            <w:pPr>
              <w:spacing w:after="60"/>
              <w:jc w:val="right"/>
              <w:rPr>
                <w:rFonts w:ascii="Arial" w:hAnsi="Arial" w:cs="Arial"/>
                <w:color w:val="000000"/>
                <w:sz w:val="20"/>
                <w:szCs w:val="20"/>
              </w:rPr>
            </w:pPr>
            <w:r>
              <w:rPr>
                <w:rFonts w:ascii="Arial" w:hAnsi="Arial" w:cs="Arial"/>
                <w:color w:val="000000"/>
                <w:sz w:val="20"/>
                <w:szCs w:val="20"/>
              </w:rPr>
              <w:t>871,904</w:t>
            </w:r>
          </w:p>
        </w:tc>
        <w:tc>
          <w:tcPr>
            <w:tcW w:w="1260" w:type="dxa"/>
            <w:shd w:val="clear" w:color="auto" w:fill="auto"/>
          </w:tcPr>
          <w:p w14:paraId="7806FB6E" w14:textId="4F7DA320" w:rsidR="004956BC" w:rsidRPr="008344E6" w:rsidRDefault="004956BC" w:rsidP="004956BC">
            <w:pPr>
              <w:spacing w:after="60"/>
              <w:jc w:val="right"/>
              <w:rPr>
                <w:rFonts w:ascii="Arial" w:hAnsi="Arial" w:cs="Arial"/>
                <w:color w:val="000000"/>
                <w:sz w:val="20"/>
                <w:szCs w:val="20"/>
              </w:rPr>
            </w:pPr>
            <w:r w:rsidRPr="00253FBC">
              <w:rPr>
                <w:rFonts w:ascii="Arial" w:hAnsi="Arial" w:cs="Arial"/>
                <w:sz w:val="20"/>
                <w:szCs w:val="20"/>
              </w:rPr>
              <w:t>907,921</w:t>
            </w:r>
          </w:p>
        </w:tc>
        <w:tc>
          <w:tcPr>
            <w:tcW w:w="1260" w:type="dxa"/>
            <w:shd w:val="clear" w:color="auto" w:fill="auto"/>
          </w:tcPr>
          <w:p w14:paraId="3EE89FB3" w14:textId="27952976" w:rsidR="004956BC" w:rsidRPr="008344E6" w:rsidRDefault="004956BC" w:rsidP="004956BC">
            <w:pPr>
              <w:spacing w:after="60"/>
              <w:jc w:val="right"/>
              <w:rPr>
                <w:rFonts w:ascii="Arial" w:hAnsi="Arial" w:cs="Arial"/>
                <w:color w:val="000000"/>
                <w:sz w:val="20"/>
                <w:szCs w:val="20"/>
              </w:rPr>
            </w:pPr>
            <w:r>
              <w:rPr>
                <w:rFonts w:ascii="Arial" w:hAnsi="Arial" w:cs="Arial"/>
                <w:color w:val="000000"/>
                <w:sz w:val="20"/>
                <w:szCs w:val="20"/>
              </w:rPr>
              <w:t>842,033</w:t>
            </w:r>
          </w:p>
        </w:tc>
        <w:tc>
          <w:tcPr>
            <w:tcW w:w="1260" w:type="dxa"/>
            <w:shd w:val="clear" w:color="auto" w:fill="auto"/>
          </w:tcPr>
          <w:p w14:paraId="7D436FDD" w14:textId="3CB8E5CB" w:rsidR="004956BC" w:rsidRPr="00253FBC" w:rsidRDefault="004956BC" w:rsidP="004956BC">
            <w:pPr>
              <w:spacing w:after="60"/>
              <w:jc w:val="right"/>
              <w:rPr>
                <w:rFonts w:ascii="Arial" w:hAnsi="Arial" w:cs="Arial"/>
                <w:color w:val="000000"/>
                <w:sz w:val="20"/>
                <w:szCs w:val="20"/>
              </w:rPr>
            </w:pPr>
          </w:p>
        </w:tc>
      </w:tr>
      <w:tr w:rsidR="004956BC" w:rsidRPr="008344E6" w14:paraId="6F0EAAAA" w14:textId="77777777" w:rsidTr="00253FBC">
        <w:tc>
          <w:tcPr>
            <w:tcW w:w="4950" w:type="dxa"/>
          </w:tcPr>
          <w:p w14:paraId="0A73F3CF" w14:textId="249638F1" w:rsidR="004956BC" w:rsidRDefault="004956BC" w:rsidP="004956BC">
            <w:pPr>
              <w:spacing w:after="60"/>
              <w:rPr>
                <w:rFonts w:ascii="Arial" w:hAnsi="Arial" w:cs="Arial"/>
                <w:color w:val="000000"/>
                <w:sz w:val="20"/>
                <w:szCs w:val="20"/>
              </w:rPr>
            </w:pPr>
            <w:r>
              <w:rPr>
                <w:rFonts w:ascii="Arial" w:hAnsi="Arial" w:cs="Arial"/>
                <w:color w:val="000000"/>
                <w:sz w:val="20"/>
                <w:szCs w:val="20"/>
              </w:rPr>
              <w:t>Total visits to Idaho.gov website</w:t>
            </w:r>
            <w:r w:rsidRPr="000E3399">
              <w:rPr>
                <w:rFonts w:ascii="Arial" w:hAnsi="Arial" w:cs="Arial"/>
                <w:color w:val="000000"/>
                <w:sz w:val="20"/>
                <w:szCs w:val="20"/>
                <w:vertAlign w:val="superscript"/>
              </w:rPr>
              <w:t>(3)</w:t>
            </w:r>
            <w:r>
              <w:rPr>
                <w:rFonts w:ascii="Arial" w:hAnsi="Arial" w:cs="Arial"/>
                <w:color w:val="000000"/>
                <w:sz w:val="20"/>
                <w:szCs w:val="20"/>
                <w:vertAlign w:val="superscript"/>
              </w:rPr>
              <w:t xml:space="preserve"> (c)</w:t>
            </w:r>
          </w:p>
        </w:tc>
        <w:tc>
          <w:tcPr>
            <w:tcW w:w="1350" w:type="dxa"/>
          </w:tcPr>
          <w:p w14:paraId="1D5D0C6A" w14:textId="5A826A8D" w:rsidR="004956BC" w:rsidRDefault="004956BC" w:rsidP="004956BC">
            <w:pPr>
              <w:spacing w:after="60"/>
              <w:jc w:val="right"/>
              <w:rPr>
                <w:rFonts w:ascii="Arial" w:hAnsi="Arial" w:cs="Arial"/>
                <w:color w:val="000000"/>
                <w:sz w:val="20"/>
                <w:szCs w:val="20"/>
              </w:rPr>
            </w:pPr>
            <w:r>
              <w:rPr>
                <w:rFonts w:ascii="Arial" w:hAnsi="Arial" w:cs="Arial"/>
                <w:color w:val="000000"/>
                <w:sz w:val="20"/>
                <w:szCs w:val="20"/>
              </w:rPr>
              <w:t>1,071,936</w:t>
            </w:r>
          </w:p>
        </w:tc>
        <w:tc>
          <w:tcPr>
            <w:tcW w:w="1260" w:type="dxa"/>
            <w:shd w:val="clear" w:color="auto" w:fill="auto"/>
          </w:tcPr>
          <w:p w14:paraId="15B20B89" w14:textId="583E8F31" w:rsidR="004956BC" w:rsidRDefault="004956BC" w:rsidP="004956BC">
            <w:pPr>
              <w:spacing w:after="60"/>
              <w:jc w:val="right"/>
              <w:rPr>
                <w:rFonts w:ascii="Arial" w:hAnsi="Arial" w:cs="Arial"/>
                <w:color w:val="000000"/>
                <w:sz w:val="20"/>
                <w:szCs w:val="20"/>
              </w:rPr>
            </w:pPr>
            <w:r w:rsidRPr="00253FBC">
              <w:rPr>
                <w:rFonts w:ascii="Arial" w:hAnsi="Arial" w:cs="Arial"/>
                <w:sz w:val="20"/>
                <w:szCs w:val="20"/>
              </w:rPr>
              <w:t xml:space="preserve">908,386 </w:t>
            </w:r>
          </w:p>
        </w:tc>
        <w:tc>
          <w:tcPr>
            <w:tcW w:w="1260" w:type="dxa"/>
            <w:shd w:val="clear" w:color="auto" w:fill="auto"/>
          </w:tcPr>
          <w:p w14:paraId="6A71561E" w14:textId="3FF853B7" w:rsidR="004956BC" w:rsidRDefault="004956BC" w:rsidP="004956BC">
            <w:pPr>
              <w:spacing w:after="60"/>
              <w:jc w:val="right"/>
              <w:rPr>
                <w:rFonts w:ascii="Arial" w:hAnsi="Arial" w:cs="Arial"/>
                <w:color w:val="000000"/>
                <w:sz w:val="20"/>
                <w:szCs w:val="20"/>
              </w:rPr>
            </w:pPr>
            <w:r>
              <w:rPr>
                <w:rFonts w:ascii="Arial" w:hAnsi="Arial" w:cs="Arial"/>
                <w:color w:val="000000"/>
                <w:sz w:val="20"/>
                <w:szCs w:val="20"/>
              </w:rPr>
              <w:t>1,372,620</w:t>
            </w:r>
          </w:p>
        </w:tc>
        <w:tc>
          <w:tcPr>
            <w:tcW w:w="1260" w:type="dxa"/>
            <w:shd w:val="clear" w:color="auto" w:fill="auto"/>
          </w:tcPr>
          <w:p w14:paraId="1901A474" w14:textId="1C546222" w:rsidR="004956BC" w:rsidRPr="00253FBC" w:rsidRDefault="004956BC" w:rsidP="004956BC">
            <w:pPr>
              <w:spacing w:after="60"/>
              <w:jc w:val="right"/>
              <w:rPr>
                <w:rFonts w:ascii="Arial" w:hAnsi="Arial" w:cs="Arial"/>
                <w:color w:val="000000"/>
                <w:sz w:val="20"/>
                <w:szCs w:val="20"/>
              </w:rPr>
            </w:pPr>
          </w:p>
        </w:tc>
      </w:tr>
      <w:tr w:rsidR="004956BC" w:rsidRPr="008344E6" w14:paraId="739679BA" w14:textId="77777777" w:rsidTr="00253FBC">
        <w:tc>
          <w:tcPr>
            <w:tcW w:w="4950" w:type="dxa"/>
          </w:tcPr>
          <w:p w14:paraId="740C8446" w14:textId="24457608" w:rsidR="004956BC" w:rsidRDefault="004956BC" w:rsidP="004956BC">
            <w:pPr>
              <w:spacing w:after="60"/>
              <w:rPr>
                <w:rFonts w:ascii="Arial" w:hAnsi="Arial" w:cs="Arial"/>
                <w:color w:val="000000"/>
                <w:sz w:val="20"/>
                <w:szCs w:val="20"/>
              </w:rPr>
            </w:pPr>
            <w:r>
              <w:rPr>
                <w:rFonts w:ascii="Arial" w:hAnsi="Arial" w:cs="Arial"/>
                <w:color w:val="000000"/>
                <w:sz w:val="20"/>
                <w:szCs w:val="20"/>
              </w:rPr>
              <w:t xml:space="preserve">Unique visitors to Cybersecurity.Idaho.gov </w:t>
            </w:r>
          </w:p>
        </w:tc>
        <w:tc>
          <w:tcPr>
            <w:tcW w:w="1350" w:type="dxa"/>
          </w:tcPr>
          <w:p w14:paraId="1F3B70BC" w14:textId="1EB9A7FB" w:rsidR="004956BC" w:rsidRDefault="004956BC" w:rsidP="004956BC">
            <w:pPr>
              <w:spacing w:after="60"/>
              <w:jc w:val="right"/>
              <w:rPr>
                <w:rFonts w:ascii="Arial" w:hAnsi="Arial" w:cs="Arial"/>
                <w:color w:val="000000"/>
                <w:sz w:val="20"/>
                <w:szCs w:val="20"/>
              </w:rPr>
            </w:pPr>
            <w:r>
              <w:rPr>
                <w:rFonts w:ascii="Arial" w:hAnsi="Arial" w:cs="Arial"/>
                <w:color w:val="000000"/>
                <w:sz w:val="20"/>
                <w:szCs w:val="20"/>
              </w:rPr>
              <w:t>11,444</w:t>
            </w:r>
          </w:p>
        </w:tc>
        <w:tc>
          <w:tcPr>
            <w:tcW w:w="1260" w:type="dxa"/>
            <w:shd w:val="clear" w:color="auto" w:fill="auto"/>
          </w:tcPr>
          <w:p w14:paraId="4660A726" w14:textId="536DFE0E" w:rsidR="004956BC" w:rsidRDefault="004956BC" w:rsidP="004956BC">
            <w:pPr>
              <w:spacing w:after="60"/>
              <w:jc w:val="right"/>
              <w:rPr>
                <w:rFonts w:ascii="Arial" w:hAnsi="Arial" w:cs="Arial"/>
                <w:color w:val="000000"/>
                <w:sz w:val="20"/>
                <w:szCs w:val="20"/>
              </w:rPr>
            </w:pPr>
            <w:r w:rsidRPr="00253FBC">
              <w:rPr>
                <w:rFonts w:ascii="Arial" w:hAnsi="Arial" w:cs="Arial"/>
                <w:sz w:val="20"/>
                <w:szCs w:val="20"/>
              </w:rPr>
              <w:t>16,076</w:t>
            </w:r>
          </w:p>
        </w:tc>
        <w:tc>
          <w:tcPr>
            <w:tcW w:w="1260" w:type="dxa"/>
            <w:shd w:val="clear" w:color="auto" w:fill="auto"/>
          </w:tcPr>
          <w:p w14:paraId="04F94841" w14:textId="70E3B503" w:rsidR="004956BC" w:rsidRDefault="004956BC" w:rsidP="004956BC">
            <w:pPr>
              <w:spacing w:after="60"/>
              <w:jc w:val="right"/>
              <w:rPr>
                <w:rFonts w:ascii="Arial" w:hAnsi="Arial" w:cs="Arial"/>
                <w:color w:val="000000"/>
                <w:sz w:val="20"/>
                <w:szCs w:val="20"/>
              </w:rPr>
            </w:pPr>
            <w:r>
              <w:rPr>
                <w:rFonts w:ascii="Arial" w:hAnsi="Arial" w:cs="Arial"/>
                <w:color w:val="000000"/>
                <w:sz w:val="20"/>
                <w:szCs w:val="20"/>
              </w:rPr>
              <w:t>1,290,559</w:t>
            </w:r>
          </w:p>
        </w:tc>
        <w:tc>
          <w:tcPr>
            <w:tcW w:w="1260" w:type="dxa"/>
            <w:shd w:val="clear" w:color="auto" w:fill="auto"/>
          </w:tcPr>
          <w:p w14:paraId="6A55AB38" w14:textId="6C456D78" w:rsidR="004956BC" w:rsidRPr="00253FBC" w:rsidRDefault="004956BC" w:rsidP="004956BC">
            <w:pPr>
              <w:spacing w:after="60"/>
              <w:jc w:val="right"/>
              <w:rPr>
                <w:rFonts w:ascii="Arial" w:hAnsi="Arial" w:cs="Arial"/>
                <w:color w:val="000000"/>
                <w:sz w:val="20"/>
                <w:szCs w:val="20"/>
              </w:rPr>
            </w:pPr>
          </w:p>
        </w:tc>
      </w:tr>
      <w:tr w:rsidR="004956BC" w:rsidRPr="008344E6" w14:paraId="0E67536F" w14:textId="77777777" w:rsidTr="00253FBC">
        <w:tc>
          <w:tcPr>
            <w:tcW w:w="4950" w:type="dxa"/>
          </w:tcPr>
          <w:p w14:paraId="5A1A3AE9" w14:textId="52011AF9" w:rsidR="004956BC" w:rsidRDefault="004956BC" w:rsidP="004956BC">
            <w:pPr>
              <w:spacing w:after="60"/>
              <w:rPr>
                <w:rFonts w:ascii="Arial" w:hAnsi="Arial" w:cs="Arial"/>
                <w:color w:val="000000"/>
                <w:sz w:val="20"/>
                <w:szCs w:val="20"/>
              </w:rPr>
            </w:pPr>
            <w:r>
              <w:rPr>
                <w:rFonts w:ascii="Arial" w:hAnsi="Arial" w:cs="Arial"/>
                <w:color w:val="000000"/>
                <w:sz w:val="20"/>
                <w:szCs w:val="20"/>
              </w:rPr>
              <w:t>State of Idaho employees completing cybersecurity training</w:t>
            </w:r>
          </w:p>
        </w:tc>
        <w:tc>
          <w:tcPr>
            <w:tcW w:w="1350" w:type="dxa"/>
            <w:shd w:val="clear" w:color="auto" w:fill="auto"/>
          </w:tcPr>
          <w:p w14:paraId="3B52EAB7" w14:textId="62DF2611" w:rsidR="004956BC" w:rsidRDefault="004956BC" w:rsidP="004956BC">
            <w:pPr>
              <w:spacing w:after="60"/>
              <w:jc w:val="right"/>
              <w:rPr>
                <w:rFonts w:ascii="Arial" w:hAnsi="Arial" w:cs="Arial"/>
                <w:color w:val="000000"/>
                <w:sz w:val="20"/>
                <w:szCs w:val="20"/>
              </w:rPr>
            </w:pPr>
            <w:r>
              <w:rPr>
                <w:rFonts w:ascii="Arial" w:hAnsi="Arial" w:cs="Arial"/>
                <w:color w:val="000000"/>
                <w:sz w:val="20"/>
                <w:szCs w:val="20"/>
              </w:rPr>
              <w:t>15,469</w:t>
            </w:r>
          </w:p>
        </w:tc>
        <w:tc>
          <w:tcPr>
            <w:tcW w:w="1260" w:type="dxa"/>
            <w:shd w:val="clear" w:color="auto" w:fill="auto"/>
          </w:tcPr>
          <w:p w14:paraId="770341CC" w14:textId="25C43464" w:rsidR="004956BC" w:rsidRDefault="004956BC" w:rsidP="004956BC">
            <w:pPr>
              <w:spacing w:after="60"/>
              <w:jc w:val="right"/>
              <w:rPr>
                <w:rFonts w:ascii="Arial" w:hAnsi="Arial" w:cs="Arial"/>
                <w:color w:val="000000"/>
                <w:sz w:val="20"/>
                <w:szCs w:val="20"/>
              </w:rPr>
            </w:pPr>
            <w:r>
              <w:rPr>
                <w:rFonts w:ascii="Arial" w:hAnsi="Arial" w:cs="Arial"/>
                <w:sz w:val="20"/>
                <w:szCs w:val="20"/>
              </w:rPr>
              <w:t>18,400</w:t>
            </w:r>
          </w:p>
        </w:tc>
        <w:tc>
          <w:tcPr>
            <w:tcW w:w="1260" w:type="dxa"/>
            <w:shd w:val="clear" w:color="auto" w:fill="auto"/>
          </w:tcPr>
          <w:p w14:paraId="53002EB6" w14:textId="5EAFC900" w:rsidR="004956BC" w:rsidRDefault="004956BC" w:rsidP="004956BC">
            <w:pPr>
              <w:spacing w:after="60"/>
              <w:jc w:val="right"/>
              <w:rPr>
                <w:rFonts w:ascii="Arial" w:hAnsi="Arial" w:cs="Arial"/>
                <w:color w:val="000000"/>
                <w:sz w:val="20"/>
                <w:szCs w:val="20"/>
              </w:rPr>
            </w:pPr>
            <w:r w:rsidRPr="004956BC">
              <w:rPr>
                <w:rFonts w:ascii="Arial" w:hAnsi="Arial" w:cs="Arial"/>
                <w:color w:val="000000"/>
                <w:sz w:val="20"/>
                <w:szCs w:val="20"/>
              </w:rPr>
              <w:t>20,150</w:t>
            </w:r>
            <w:r w:rsidRPr="00DC7A12">
              <w:rPr>
                <w:rFonts w:ascii="Arial" w:hAnsi="Arial" w:cs="Arial"/>
                <w:color w:val="000000"/>
                <w:sz w:val="20"/>
                <w:szCs w:val="20"/>
                <w:vertAlign w:val="superscript"/>
              </w:rPr>
              <w:t>(</w:t>
            </w:r>
            <w:r>
              <w:rPr>
                <w:rFonts w:ascii="Arial" w:hAnsi="Arial" w:cs="Arial"/>
                <w:color w:val="000000"/>
                <w:sz w:val="20"/>
                <w:szCs w:val="20"/>
                <w:vertAlign w:val="superscript"/>
              </w:rPr>
              <w:t>6</w:t>
            </w:r>
            <w:r w:rsidRPr="00DC7A12">
              <w:rPr>
                <w:rFonts w:ascii="Arial" w:hAnsi="Arial" w:cs="Arial"/>
                <w:color w:val="000000"/>
                <w:sz w:val="20"/>
                <w:szCs w:val="20"/>
                <w:vertAlign w:val="superscript"/>
              </w:rPr>
              <w:t>)</w:t>
            </w:r>
          </w:p>
        </w:tc>
        <w:tc>
          <w:tcPr>
            <w:tcW w:w="1260" w:type="dxa"/>
            <w:shd w:val="clear" w:color="auto" w:fill="auto"/>
          </w:tcPr>
          <w:p w14:paraId="490CE2D8" w14:textId="3E857A7F" w:rsidR="004956BC" w:rsidRPr="00253FBC" w:rsidRDefault="004956BC" w:rsidP="004956BC">
            <w:pPr>
              <w:spacing w:after="60"/>
              <w:jc w:val="right"/>
              <w:rPr>
                <w:rFonts w:ascii="Arial" w:hAnsi="Arial" w:cs="Arial"/>
                <w:color w:val="000000"/>
                <w:sz w:val="20"/>
                <w:szCs w:val="20"/>
              </w:rPr>
            </w:pPr>
          </w:p>
        </w:tc>
      </w:tr>
      <w:tr w:rsidR="004956BC" w:rsidRPr="008344E6" w14:paraId="722151CF" w14:textId="77777777" w:rsidTr="00253FBC">
        <w:tc>
          <w:tcPr>
            <w:tcW w:w="4950" w:type="dxa"/>
          </w:tcPr>
          <w:p w14:paraId="10590E20" w14:textId="1CC89863" w:rsidR="004956BC" w:rsidRDefault="004956BC" w:rsidP="004956BC">
            <w:pPr>
              <w:spacing w:after="60"/>
              <w:rPr>
                <w:rFonts w:ascii="Arial" w:hAnsi="Arial" w:cs="Arial"/>
                <w:color w:val="000000"/>
                <w:sz w:val="20"/>
                <w:szCs w:val="20"/>
              </w:rPr>
            </w:pPr>
            <w:r>
              <w:rPr>
                <w:rFonts w:ascii="Arial" w:hAnsi="Arial" w:cs="Arial"/>
                <w:color w:val="000000"/>
                <w:sz w:val="20"/>
                <w:szCs w:val="20"/>
              </w:rPr>
              <w:t>Total number of emails inspected</w:t>
            </w:r>
            <w:r>
              <w:rPr>
                <w:rFonts w:ascii="Arial" w:hAnsi="Arial" w:cs="Arial"/>
                <w:color w:val="000000"/>
                <w:sz w:val="20"/>
                <w:szCs w:val="20"/>
                <w:vertAlign w:val="superscript"/>
              </w:rPr>
              <w:t>(5</w:t>
            </w:r>
            <w:r w:rsidRPr="00CD2889">
              <w:rPr>
                <w:rFonts w:ascii="Arial" w:hAnsi="Arial" w:cs="Arial"/>
                <w:color w:val="000000"/>
                <w:sz w:val="20"/>
                <w:szCs w:val="20"/>
                <w:vertAlign w:val="superscript"/>
              </w:rPr>
              <w:t>)</w:t>
            </w:r>
            <w:r>
              <w:rPr>
                <w:rFonts w:ascii="Arial" w:hAnsi="Arial" w:cs="Arial"/>
                <w:color w:val="000000"/>
                <w:sz w:val="20"/>
                <w:szCs w:val="20"/>
                <w:vertAlign w:val="superscript"/>
              </w:rPr>
              <w:t xml:space="preserve"> (d)</w:t>
            </w:r>
          </w:p>
        </w:tc>
        <w:tc>
          <w:tcPr>
            <w:tcW w:w="1350" w:type="dxa"/>
            <w:shd w:val="clear" w:color="auto" w:fill="auto"/>
          </w:tcPr>
          <w:p w14:paraId="437F8D29" w14:textId="61A46977" w:rsidR="004956BC" w:rsidRDefault="004956BC" w:rsidP="004956BC">
            <w:pPr>
              <w:spacing w:after="60"/>
              <w:jc w:val="right"/>
              <w:rPr>
                <w:rFonts w:ascii="Arial" w:hAnsi="Arial" w:cs="Arial"/>
                <w:color w:val="000000"/>
                <w:sz w:val="20"/>
                <w:szCs w:val="20"/>
              </w:rPr>
            </w:pPr>
            <w:r>
              <w:rPr>
                <w:rFonts w:ascii="Arial" w:hAnsi="Arial" w:cs="Arial"/>
                <w:color w:val="000000"/>
                <w:sz w:val="20"/>
                <w:szCs w:val="20"/>
              </w:rPr>
              <w:t>61 million</w:t>
            </w:r>
          </w:p>
        </w:tc>
        <w:tc>
          <w:tcPr>
            <w:tcW w:w="1260" w:type="dxa"/>
            <w:shd w:val="clear" w:color="auto" w:fill="auto"/>
          </w:tcPr>
          <w:p w14:paraId="0F5725D4" w14:textId="7B6EF0D7" w:rsidR="004956BC" w:rsidRDefault="004956BC" w:rsidP="004956BC">
            <w:pPr>
              <w:spacing w:after="60"/>
              <w:jc w:val="right"/>
              <w:rPr>
                <w:rFonts w:ascii="Arial" w:hAnsi="Arial" w:cs="Arial"/>
                <w:color w:val="000000"/>
                <w:sz w:val="20"/>
                <w:szCs w:val="20"/>
              </w:rPr>
            </w:pPr>
            <w:r w:rsidRPr="00253FBC">
              <w:rPr>
                <w:rFonts w:ascii="Arial" w:hAnsi="Arial" w:cs="Arial"/>
                <w:sz w:val="20"/>
                <w:szCs w:val="20"/>
              </w:rPr>
              <w:t xml:space="preserve">67.5 million </w:t>
            </w:r>
          </w:p>
        </w:tc>
        <w:tc>
          <w:tcPr>
            <w:tcW w:w="1260" w:type="dxa"/>
            <w:shd w:val="clear" w:color="auto" w:fill="auto"/>
          </w:tcPr>
          <w:p w14:paraId="1D52F7E1" w14:textId="65229477" w:rsidR="004956BC" w:rsidRDefault="004956BC" w:rsidP="004956BC">
            <w:pPr>
              <w:spacing w:after="60"/>
              <w:jc w:val="right"/>
              <w:rPr>
                <w:rFonts w:ascii="Arial" w:hAnsi="Arial" w:cs="Arial"/>
                <w:color w:val="000000"/>
                <w:sz w:val="20"/>
                <w:szCs w:val="20"/>
              </w:rPr>
            </w:pPr>
            <w:r>
              <w:rPr>
                <w:rFonts w:ascii="Arial" w:hAnsi="Arial" w:cs="Arial"/>
                <w:color w:val="000000"/>
                <w:sz w:val="20"/>
                <w:szCs w:val="20"/>
              </w:rPr>
              <w:t>70.5 million</w:t>
            </w:r>
          </w:p>
        </w:tc>
        <w:tc>
          <w:tcPr>
            <w:tcW w:w="1260" w:type="dxa"/>
            <w:shd w:val="clear" w:color="auto" w:fill="auto"/>
          </w:tcPr>
          <w:p w14:paraId="12FC3F9E" w14:textId="21B9352D" w:rsidR="004956BC" w:rsidRPr="00253FBC" w:rsidRDefault="004956BC" w:rsidP="004956BC">
            <w:pPr>
              <w:spacing w:after="60"/>
              <w:jc w:val="right"/>
              <w:rPr>
                <w:rFonts w:ascii="Arial" w:hAnsi="Arial" w:cs="Arial"/>
                <w:color w:val="000000"/>
                <w:sz w:val="20"/>
                <w:szCs w:val="20"/>
              </w:rPr>
            </w:pPr>
          </w:p>
        </w:tc>
      </w:tr>
      <w:tr w:rsidR="004956BC" w:rsidRPr="008344E6" w14:paraId="5CA9EB9E" w14:textId="77777777" w:rsidTr="00253FBC">
        <w:tc>
          <w:tcPr>
            <w:tcW w:w="4950" w:type="dxa"/>
          </w:tcPr>
          <w:p w14:paraId="301433A1" w14:textId="7A265A47" w:rsidR="004956BC" w:rsidRDefault="004956BC" w:rsidP="004956BC">
            <w:pPr>
              <w:spacing w:after="60"/>
              <w:rPr>
                <w:rFonts w:ascii="Arial" w:hAnsi="Arial" w:cs="Arial"/>
                <w:color w:val="000000"/>
                <w:sz w:val="20"/>
                <w:szCs w:val="20"/>
              </w:rPr>
            </w:pPr>
            <w:r>
              <w:rPr>
                <w:rFonts w:ascii="Arial" w:hAnsi="Arial" w:cs="Arial"/>
                <w:color w:val="000000"/>
                <w:sz w:val="20"/>
                <w:szCs w:val="20"/>
              </w:rPr>
              <w:t>Total blocked and rejected emails containing suspected malicious content</w:t>
            </w:r>
            <w:r w:rsidRPr="005F7F55">
              <w:rPr>
                <w:rFonts w:ascii="Arial" w:hAnsi="Arial" w:cs="Arial"/>
                <w:color w:val="000000"/>
                <w:sz w:val="20"/>
                <w:szCs w:val="20"/>
                <w:vertAlign w:val="superscript"/>
              </w:rPr>
              <w:t>(</w:t>
            </w:r>
            <w:r>
              <w:rPr>
                <w:rFonts w:ascii="Arial" w:hAnsi="Arial" w:cs="Arial"/>
                <w:color w:val="000000"/>
                <w:sz w:val="20"/>
                <w:szCs w:val="20"/>
                <w:vertAlign w:val="superscript"/>
              </w:rPr>
              <w:t>6</w:t>
            </w:r>
            <w:r w:rsidRPr="005F7F55">
              <w:rPr>
                <w:rFonts w:ascii="Arial" w:hAnsi="Arial" w:cs="Arial"/>
                <w:color w:val="000000"/>
                <w:sz w:val="20"/>
                <w:szCs w:val="20"/>
                <w:vertAlign w:val="superscript"/>
              </w:rPr>
              <w:t>)</w:t>
            </w:r>
          </w:p>
        </w:tc>
        <w:tc>
          <w:tcPr>
            <w:tcW w:w="1350" w:type="dxa"/>
            <w:shd w:val="clear" w:color="auto" w:fill="auto"/>
          </w:tcPr>
          <w:p w14:paraId="120D6289" w14:textId="0F772F2D" w:rsidR="004956BC" w:rsidRDefault="004956BC" w:rsidP="004956BC">
            <w:pPr>
              <w:spacing w:after="60"/>
              <w:jc w:val="right"/>
              <w:rPr>
                <w:rFonts w:ascii="Arial" w:hAnsi="Arial" w:cs="Arial"/>
                <w:color w:val="000000"/>
                <w:sz w:val="20"/>
                <w:szCs w:val="20"/>
              </w:rPr>
            </w:pPr>
            <w:r>
              <w:rPr>
                <w:rFonts w:ascii="Arial" w:hAnsi="Arial" w:cs="Arial"/>
                <w:color w:val="000000"/>
                <w:sz w:val="20"/>
                <w:szCs w:val="20"/>
              </w:rPr>
              <w:t>9.2 million</w:t>
            </w:r>
          </w:p>
        </w:tc>
        <w:tc>
          <w:tcPr>
            <w:tcW w:w="1260" w:type="dxa"/>
            <w:shd w:val="clear" w:color="auto" w:fill="auto"/>
          </w:tcPr>
          <w:p w14:paraId="2689DA58" w14:textId="6A597D8E" w:rsidR="004956BC" w:rsidRDefault="004956BC" w:rsidP="004956BC">
            <w:pPr>
              <w:spacing w:after="60"/>
              <w:jc w:val="right"/>
              <w:rPr>
                <w:rFonts w:ascii="Arial" w:hAnsi="Arial" w:cs="Arial"/>
                <w:color w:val="000000"/>
                <w:sz w:val="20"/>
                <w:szCs w:val="20"/>
              </w:rPr>
            </w:pPr>
            <w:r w:rsidRPr="00253FBC">
              <w:rPr>
                <w:rFonts w:ascii="Arial" w:hAnsi="Arial" w:cs="Arial"/>
                <w:sz w:val="20"/>
                <w:szCs w:val="20"/>
              </w:rPr>
              <w:t xml:space="preserve">39 million </w:t>
            </w:r>
          </w:p>
        </w:tc>
        <w:tc>
          <w:tcPr>
            <w:tcW w:w="1260" w:type="dxa"/>
            <w:shd w:val="clear" w:color="auto" w:fill="auto"/>
          </w:tcPr>
          <w:p w14:paraId="118A1AC4" w14:textId="7CC7B5FD" w:rsidR="004956BC" w:rsidRDefault="004956BC" w:rsidP="004956BC">
            <w:pPr>
              <w:spacing w:after="60"/>
              <w:jc w:val="right"/>
              <w:rPr>
                <w:rFonts w:ascii="Arial" w:hAnsi="Arial" w:cs="Arial"/>
                <w:color w:val="000000"/>
                <w:sz w:val="20"/>
                <w:szCs w:val="20"/>
              </w:rPr>
            </w:pPr>
            <w:r>
              <w:rPr>
                <w:rFonts w:ascii="Arial" w:hAnsi="Arial" w:cs="Arial"/>
                <w:color w:val="000000"/>
                <w:sz w:val="20"/>
                <w:szCs w:val="20"/>
              </w:rPr>
              <w:t>40.2 million</w:t>
            </w:r>
          </w:p>
        </w:tc>
        <w:tc>
          <w:tcPr>
            <w:tcW w:w="1260" w:type="dxa"/>
            <w:shd w:val="clear" w:color="auto" w:fill="auto"/>
          </w:tcPr>
          <w:p w14:paraId="7A319EE7" w14:textId="5939CD6C" w:rsidR="004956BC" w:rsidRPr="00253FBC" w:rsidRDefault="004956BC" w:rsidP="004956BC">
            <w:pPr>
              <w:spacing w:after="60"/>
              <w:jc w:val="right"/>
              <w:rPr>
                <w:rFonts w:ascii="Arial" w:hAnsi="Arial" w:cs="Arial"/>
                <w:color w:val="000000"/>
                <w:sz w:val="20"/>
                <w:szCs w:val="20"/>
              </w:rPr>
            </w:pPr>
          </w:p>
        </w:tc>
      </w:tr>
      <w:bookmarkEnd w:id="1"/>
      <w:bookmarkEnd w:id="2"/>
    </w:tbl>
    <w:p w14:paraId="2ADCCF56" w14:textId="77777777" w:rsidR="00CD2889" w:rsidRDefault="00CD2889" w:rsidP="00BE758A">
      <w:pPr>
        <w:widowControl w:val="0"/>
        <w:spacing w:after="60"/>
        <w:rPr>
          <w:rFonts w:ascii="Arial" w:hAnsi="Arial" w:cs="Arial"/>
          <w:i/>
          <w:iCs/>
          <w:color w:val="000000"/>
          <w:sz w:val="18"/>
          <w:szCs w:val="18"/>
        </w:rPr>
      </w:pPr>
    </w:p>
    <w:p w14:paraId="42FA97B6" w14:textId="04401E73" w:rsidR="00141E66" w:rsidRPr="00B94761" w:rsidRDefault="00141E66" w:rsidP="00BE758A">
      <w:pPr>
        <w:widowControl w:val="0"/>
        <w:spacing w:after="60"/>
        <w:rPr>
          <w:rFonts w:ascii="Arial" w:hAnsi="Arial" w:cs="Arial"/>
          <w:i/>
          <w:iCs/>
          <w:color w:val="000000"/>
          <w:sz w:val="18"/>
          <w:szCs w:val="18"/>
        </w:rPr>
      </w:pPr>
      <w:bookmarkStart w:id="3" w:name="_Hlk143765830"/>
      <w:r w:rsidRPr="00B94761">
        <w:rPr>
          <w:rFonts w:ascii="Arial" w:hAnsi="Arial" w:cs="Arial"/>
          <w:i/>
          <w:iCs/>
          <w:color w:val="000000"/>
          <w:sz w:val="18"/>
          <w:szCs w:val="18"/>
        </w:rPr>
        <w:t>Key Services Explanatory Note:</w:t>
      </w:r>
    </w:p>
    <w:bookmarkEnd w:id="3"/>
    <w:p w14:paraId="4FB8DD18" w14:textId="77777777" w:rsidR="004956BC" w:rsidRPr="004956BC" w:rsidRDefault="004956BC" w:rsidP="004956BC">
      <w:pPr>
        <w:widowControl w:val="0"/>
        <w:jc w:val="both"/>
        <w:rPr>
          <w:rFonts w:ascii="Arial" w:hAnsi="Arial" w:cs="Arial"/>
          <w:bCs/>
          <w:sz w:val="18"/>
          <w:szCs w:val="18"/>
        </w:rPr>
      </w:pPr>
      <w:r w:rsidRPr="004956BC">
        <w:rPr>
          <w:rFonts w:ascii="Arial" w:hAnsi="Arial" w:cs="Arial"/>
          <w:bCs/>
          <w:sz w:val="18"/>
          <w:szCs w:val="18"/>
        </w:rPr>
        <w:t>(1) Service tickets include total incidents, service requests, and tasks.</w:t>
      </w:r>
    </w:p>
    <w:p w14:paraId="0206B93D" w14:textId="77777777" w:rsidR="004956BC" w:rsidRPr="004956BC" w:rsidRDefault="004956BC" w:rsidP="004956BC">
      <w:pPr>
        <w:widowControl w:val="0"/>
        <w:jc w:val="both"/>
        <w:rPr>
          <w:rFonts w:ascii="Arial" w:hAnsi="Arial" w:cs="Arial"/>
          <w:bCs/>
          <w:sz w:val="18"/>
          <w:szCs w:val="18"/>
        </w:rPr>
      </w:pPr>
      <w:r w:rsidRPr="004956BC">
        <w:rPr>
          <w:rFonts w:ascii="Arial" w:hAnsi="Arial" w:cs="Arial"/>
          <w:bCs/>
          <w:sz w:val="18"/>
          <w:szCs w:val="18"/>
        </w:rPr>
        <w:t>(2) Number of supported customers is based on agency FTEs.</w:t>
      </w:r>
    </w:p>
    <w:p w14:paraId="56FD12A1" w14:textId="77777777" w:rsidR="004956BC" w:rsidRPr="004956BC" w:rsidRDefault="004956BC" w:rsidP="004956BC">
      <w:pPr>
        <w:widowControl w:val="0"/>
        <w:jc w:val="both"/>
        <w:rPr>
          <w:rFonts w:ascii="Arial" w:hAnsi="Arial" w:cs="Arial"/>
          <w:bCs/>
          <w:sz w:val="18"/>
          <w:szCs w:val="18"/>
        </w:rPr>
      </w:pPr>
      <w:r w:rsidRPr="004956BC">
        <w:rPr>
          <w:rFonts w:ascii="Arial" w:hAnsi="Arial" w:cs="Arial"/>
          <w:bCs/>
          <w:sz w:val="18"/>
          <w:szCs w:val="18"/>
        </w:rPr>
        <w:t xml:space="preserve">(3) Includes users who bypass the homepage when using search engines directing them to subpages of the main site. </w:t>
      </w:r>
    </w:p>
    <w:p w14:paraId="45C0908B" w14:textId="77777777" w:rsidR="004956BC" w:rsidRPr="004956BC" w:rsidRDefault="004956BC" w:rsidP="004956BC">
      <w:pPr>
        <w:widowControl w:val="0"/>
        <w:jc w:val="both"/>
        <w:rPr>
          <w:rFonts w:ascii="Arial" w:hAnsi="Arial" w:cs="Arial"/>
          <w:bCs/>
          <w:sz w:val="18"/>
          <w:szCs w:val="18"/>
        </w:rPr>
      </w:pPr>
      <w:r w:rsidRPr="004956BC">
        <w:rPr>
          <w:rFonts w:ascii="Arial" w:hAnsi="Arial" w:cs="Arial"/>
          <w:bCs/>
          <w:sz w:val="18"/>
          <w:szCs w:val="18"/>
        </w:rPr>
        <w:t>(4) Includes all unique visitors and return visits to the site homepage and subpages.</w:t>
      </w:r>
    </w:p>
    <w:p w14:paraId="0775FE1D" w14:textId="77777777" w:rsidR="004956BC" w:rsidRPr="004956BC" w:rsidRDefault="004956BC" w:rsidP="004956BC">
      <w:pPr>
        <w:widowControl w:val="0"/>
        <w:jc w:val="both"/>
        <w:rPr>
          <w:rFonts w:ascii="Arial" w:hAnsi="Arial" w:cs="Arial"/>
          <w:bCs/>
          <w:sz w:val="18"/>
          <w:szCs w:val="18"/>
        </w:rPr>
      </w:pPr>
      <w:r w:rsidRPr="004956BC">
        <w:rPr>
          <w:rFonts w:ascii="Arial" w:hAnsi="Arial" w:cs="Arial"/>
          <w:bCs/>
          <w:sz w:val="18"/>
          <w:szCs w:val="18"/>
        </w:rPr>
        <w:t xml:space="preserve">(5) FY 2021 was corrected from 18,247 to 14,272 to reflect consistent reporting methods. </w:t>
      </w:r>
    </w:p>
    <w:p w14:paraId="54A25B4D" w14:textId="77777777" w:rsidR="004956BC" w:rsidRPr="004956BC" w:rsidRDefault="004956BC" w:rsidP="004956BC">
      <w:pPr>
        <w:widowControl w:val="0"/>
        <w:jc w:val="both"/>
        <w:rPr>
          <w:rFonts w:ascii="Arial" w:hAnsi="Arial" w:cs="Arial"/>
          <w:bCs/>
          <w:sz w:val="18"/>
          <w:szCs w:val="18"/>
        </w:rPr>
      </w:pPr>
      <w:r w:rsidRPr="004956BC">
        <w:rPr>
          <w:rFonts w:ascii="Arial" w:hAnsi="Arial" w:cs="Arial"/>
          <w:bCs/>
          <w:sz w:val="18"/>
          <w:szCs w:val="18"/>
        </w:rPr>
        <w:t>(6) FY 2024 includes all employees and new hires in Luma and higher ed and contractors taking training directly from KnowBe4.</w:t>
      </w:r>
    </w:p>
    <w:p w14:paraId="73957EB9" w14:textId="77777777" w:rsidR="004956BC" w:rsidRPr="004956BC" w:rsidRDefault="004956BC" w:rsidP="004956BC">
      <w:pPr>
        <w:widowControl w:val="0"/>
        <w:jc w:val="both"/>
        <w:rPr>
          <w:rFonts w:ascii="Arial" w:hAnsi="Arial" w:cs="Arial"/>
          <w:bCs/>
          <w:sz w:val="18"/>
          <w:szCs w:val="18"/>
        </w:rPr>
      </w:pPr>
      <w:r w:rsidRPr="004956BC">
        <w:rPr>
          <w:rFonts w:ascii="Arial" w:hAnsi="Arial" w:cs="Arial"/>
          <w:bCs/>
          <w:sz w:val="18"/>
          <w:szCs w:val="18"/>
        </w:rPr>
        <w:t xml:space="preserve">(7) Includes inbound, outbound, and internal emails. In FY 2022, ITS migrated to a new email filtering product with a different </w:t>
      </w:r>
    </w:p>
    <w:p w14:paraId="492B72AC" w14:textId="77777777" w:rsidR="004956BC" w:rsidRPr="004956BC" w:rsidRDefault="004956BC" w:rsidP="004956BC">
      <w:pPr>
        <w:widowControl w:val="0"/>
        <w:jc w:val="both"/>
        <w:rPr>
          <w:rFonts w:ascii="Arial" w:hAnsi="Arial" w:cs="Arial"/>
          <w:bCs/>
          <w:sz w:val="18"/>
          <w:szCs w:val="18"/>
        </w:rPr>
      </w:pPr>
      <w:r w:rsidRPr="004956BC">
        <w:rPr>
          <w:rFonts w:ascii="Arial" w:hAnsi="Arial" w:cs="Arial"/>
          <w:bCs/>
          <w:sz w:val="18"/>
          <w:szCs w:val="18"/>
        </w:rPr>
        <w:t xml:space="preserve">reporting process. This updated key service expands previously reported metrics. </w:t>
      </w:r>
    </w:p>
    <w:p w14:paraId="22DB06E1" w14:textId="77777777" w:rsidR="004956BC" w:rsidRPr="004956BC" w:rsidRDefault="004956BC" w:rsidP="004956BC">
      <w:pPr>
        <w:widowControl w:val="0"/>
        <w:jc w:val="both"/>
        <w:rPr>
          <w:rFonts w:ascii="Arial" w:hAnsi="Arial" w:cs="Arial"/>
          <w:bCs/>
          <w:sz w:val="18"/>
          <w:szCs w:val="18"/>
        </w:rPr>
      </w:pPr>
      <w:r w:rsidRPr="004956BC">
        <w:rPr>
          <w:rFonts w:ascii="Arial" w:hAnsi="Arial" w:cs="Arial"/>
          <w:bCs/>
          <w:sz w:val="18"/>
          <w:szCs w:val="18"/>
        </w:rPr>
        <w:t xml:space="preserve">(8) ITS migrated to a new email filtering product with a different reporting process. This new key service combines two separate </w:t>
      </w:r>
    </w:p>
    <w:p w14:paraId="1CA47965" w14:textId="47A3A9C6" w:rsidR="00C54749" w:rsidRDefault="004956BC" w:rsidP="004956BC">
      <w:pPr>
        <w:widowControl w:val="0"/>
        <w:jc w:val="both"/>
        <w:rPr>
          <w:rFonts w:ascii="Arial" w:hAnsi="Arial" w:cs="Arial"/>
          <w:bCs/>
          <w:sz w:val="18"/>
          <w:szCs w:val="18"/>
        </w:rPr>
      </w:pPr>
      <w:r w:rsidRPr="004956BC">
        <w:rPr>
          <w:rFonts w:ascii="Arial" w:hAnsi="Arial" w:cs="Arial"/>
          <w:bCs/>
          <w:sz w:val="18"/>
          <w:szCs w:val="18"/>
        </w:rPr>
        <w:t>key services previously reported.</w:t>
      </w:r>
    </w:p>
    <w:p w14:paraId="4B8EA6E6" w14:textId="77777777" w:rsidR="004956BC" w:rsidRDefault="004956BC" w:rsidP="004956BC">
      <w:pPr>
        <w:widowControl w:val="0"/>
        <w:jc w:val="both"/>
        <w:rPr>
          <w:rFonts w:ascii="Arial" w:hAnsi="Arial" w:cs="Arial"/>
          <w:bCs/>
          <w:sz w:val="18"/>
          <w:szCs w:val="18"/>
        </w:rPr>
      </w:pPr>
    </w:p>
    <w:p w14:paraId="7E39FEDC" w14:textId="77777777" w:rsidR="004956BC" w:rsidRDefault="004956BC" w:rsidP="004956BC">
      <w:pPr>
        <w:widowControl w:val="0"/>
        <w:jc w:val="both"/>
        <w:rPr>
          <w:rFonts w:ascii="Arial" w:hAnsi="Arial" w:cs="Arial"/>
          <w:bCs/>
          <w:sz w:val="18"/>
          <w:szCs w:val="18"/>
        </w:rPr>
      </w:pPr>
    </w:p>
    <w:p w14:paraId="3CE514E3" w14:textId="77777777" w:rsidR="004956BC" w:rsidRDefault="004956BC" w:rsidP="004956BC">
      <w:pPr>
        <w:widowControl w:val="0"/>
        <w:jc w:val="both"/>
        <w:rPr>
          <w:rFonts w:ascii="Arial" w:hAnsi="Arial" w:cs="Arial"/>
          <w:bCs/>
          <w:sz w:val="18"/>
          <w:szCs w:val="18"/>
        </w:rPr>
      </w:pPr>
    </w:p>
    <w:p w14:paraId="4C7FF2D3" w14:textId="77777777" w:rsidR="004956BC" w:rsidRDefault="004956BC" w:rsidP="004956BC">
      <w:pPr>
        <w:widowControl w:val="0"/>
        <w:jc w:val="both"/>
        <w:rPr>
          <w:rFonts w:ascii="Arial" w:hAnsi="Arial" w:cs="Arial"/>
          <w:bCs/>
          <w:sz w:val="18"/>
          <w:szCs w:val="18"/>
        </w:rPr>
      </w:pPr>
    </w:p>
    <w:p w14:paraId="2A4A1586" w14:textId="77777777" w:rsidR="004956BC" w:rsidRDefault="004956BC" w:rsidP="004956BC">
      <w:pPr>
        <w:widowControl w:val="0"/>
        <w:jc w:val="both"/>
        <w:rPr>
          <w:rFonts w:ascii="Arial" w:hAnsi="Arial" w:cs="Arial"/>
          <w:bCs/>
          <w:sz w:val="18"/>
          <w:szCs w:val="18"/>
        </w:rPr>
      </w:pPr>
    </w:p>
    <w:p w14:paraId="65008D92" w14:textId="77777777" w:rsidR="004956BC" w:rsidRDefault="004956BC" w:rsidP="004956BC">
      <w:pPr>
        <w:widowControl w:val="0"/>
        <w:jc w:val="both"/>
        <w:rPr>
          <w:rFonts w:ascii="Arial" w:hAnsi="Arial" w:cs="Arial"/>
          <w:bCs/>
          <w:sz w:val="18"/>
          <w:szCs w:val="18"/>
        </w:rPr>
      </w:pPr>
    </w:p>
    <w:p w14:paraId="0AAFE538" w14:textId="77777777" w:rsidR="004956BC" w:rsidRDefault="004956BC" w:rsidP="004956BC">
      <w:pPr>
        <w:widowControl w:val="0"/>
        <w:jc w:val="both"/>
        <w:rPr>
          <w:rFonts w:ascii="Arial" w:hAnsi="Arial" w:cs="Arial"/>
          <w:bCs/>
          <w:sz w:val="18"/>
          <w:szCs w:val="18"/>
        </w:rPr>
      </w:pPr>
    </w:p>
    <w:p w14:paraId="5FB82295" w14:textId="77777777" w:rsidR="00C54749" w:rsidRPr="00C54749" w:rsidRDefault="00C54749" w:rsidP="00C54749">
      <w:pPr>
        <w:widowControl w:val="0"/>
        <w:jc w:val="both"/>
        <w:rPr>
          <w:rFonts w:ascii="Arial" w:hAnsi="Arial" w:cs="Arial"/>
          <w:bCs/>
          <w:sz w:val="18"/>
          <w:szCs w:val="18"/>
        </w:rPr>
      </w:pPr>
    </w:p>
    <w:p w14:paraId="4B151EFA" w14:textId="31C0F85B" w:rsidR="005E4B8A" w:rsidRPr="00AA2122" w:rsidRDefault="003941A9" w:rsidP="00AA2122">
      <w:pPr>
        <w:widowControl w:val="0"/>
        <w:jc w:val="both"/>
        <w:rPr>
          <w:rFonts w:ascii="Arial" w:hAnsi="Arial" w:cs="Arial"/>
          <w:bCs/>
          <w:sz w:val="18"/>
          <w:szCs w:val="18"/>
        </w:rPr>
      </w:pPr>
      <w:r>
        <w:rPr>
          <w:rFonts w:ascii="Arial" w:hAnsi="Arial" w:cs="Arial"/>
          <w:b/>
          <w:bCs/>
        </w:rPr>
        <w:lastRenderedPageBreak/>
        <w:t>FY 2024</w:t>
      </w:r>
      <w:r w:rsidR="005E4B8A" w:rsidRPr="00AA2122">
        <w:rPr>
          <w:rFonts w:ascii="Arial" w:hAnsi="Arial" w:cs="Arial"/>
          <w:b/>
          <w:bCs/>
        </w:rPr>
        <w:t xml:space="preserve"> Performance Highlights</w:t>
      </w:r>
    </w:p>
    <w:p w14:paraId="7CA5CE11" w14:textId="7FDF6F30" w:rsidR="00FC1CD4" w:rsidRDefault="00FC1CD4" w:rsidP="00BE758A">
      <w:pPr>
        <w:widowControl w:val="0"/>
        <w:rPr>
          <w:rFonts w:ascii="Arial" w:hAnsi="Arial" w:cs="Arial"/>
          <w:sz w:val="20"/>
          <w:szCs w:val="20"/>
        </w:rPr>
      </w:pPr>
    </w:p>
    <w:p w14:paraId="5483F430" w14:textId="77777777" w:rsidR="006A3C9F" w:rsidRDefault="006A3C9F" w:rsidP="006A3C9F">
      <w:pPr>
        <w:pStyle w:val="NoSpacing"/>
        <w:rPr>
          <w:rFonts w:ascii="Arial" w:hAnsi="Arial" w:cs="Arial"/>
          <w:sz w:val="20"/>
          <w:szCs w:val="20"/>
        </w:rPr>
      </w:pPr>
      <w:r w:rsidRPr="00E7613C">
        <w:rPr>
          <w:rFonts w:ascii="Arial" w:hAnsi="Arial" w:cs="Arial"/>
          <w:b/>
          <w:bCs/>
          <w:sz w:val="20"/>
          <w:szCs w:val="20"/>
          <w:u w:val="single"/>
        </w:rPr>
        <w:t>Security</w:t>
      </w:r>
      <w:r w:rsidRPr="00E7613C">
        <w:rPr>
          <w:rFonts w:ascii="Arial" w:hAnsi="Arial" w:cs="Arial"/>
          <w:sz w:val="20"/>
          <w:szCs w:val="20"/>
        </w:rPr>
        <w:t xml:space="preserve"> </w:t>
      </w:r>
    </w:p>
    <w:p w14:paraId="653BAEFA" w14:textId="77777777" w:rsidR="006A3C9F" w:rsidRDefault="006A3C9F" w:rsidP="006A3C9F">
      <w:pPr>
        <w:pStyle w:val="NoSpacing"/>
        <w:numPr>
          <w:ilvl w:val="0"/>
          <w:numId w:val="31"/>
        </w:numPr>
        <w:rPr>
          <w:rFonts w:ascii="Arial" w:hAnsi="Arial" w:cs="Arial"/>
          <w:sz w:val="20"/>
          <w:szCs w:val="20"/>
        </w:rPr>
      </w:pPr>
      <w:r w:rsidRPr="00E7613C">
        <w:rPr>
          <w:rFonts w:ascii="Arial" w:hAnsi="Arial" w:cs="Arial"/>
          <w:sz w:val="20"/>
          <w:szCs w:val="20"/>
        </w:rPr>
        <w:t xml:space="preserve">Innovative Readiness Training (IRT). In partnership with the Idaho Army National Guard and the Department of Defense, ITS executed 16 cyber training assessments and trained 75 participants over 940 days with an estimated benefit of $1.43 million. </w:t>
      </w:r>
    </w:p>
    <w:p w14:paraId="3DB488FC" w14:textId="77777777" w:rsidR="006A3C9F" w:rsidRDefault="006A3C9F" w:rsidP="006A3C9F">
      <w:pPr>
        <w:pStyle w:val="NoSpacing"/>
        <w:numPr>
          <w:ilvl w:val="0"/>
          <w:numId w:val="31"/>
        </w:numPr>
        <w:rPr>
          <w:rFonts w:ascii="Arial" w:hAnsi="Arial" w:cs="Arial"/>
          <w:sz w:val="20"/>
          <w:szCs w:val="20"/>
        </w:rPr>
      </w:pPr>
      <w:r w:rsidRPr="00E7613C">
        <w:rPr>
          <w:rFonts w:ascii="Arial" w:hAnsi="Arial" w:cs="Arial"/>
          <w:sz w:val="20"/>
          <w:szCs w:val="20"/>
        </w:rPr>
        <w:t xml:space="preserve">Operation Cyber Idaho. In partnership with Boise State, ITS developed a threat detection concept for deployment throughout Idaho in FY25. This threat detection capability is targeted toward all ITS-supported state agencies along with county and city infrastructure with limited technical support staff. </w:t>
      </w:r>
    </w:p>
    <w:p w14:paraId="51F7EF0E" w14:textId="77777777" w:rsidR="006A3C9F" w:rsidRDefault="006A3C9F" w:rsidP="006A3C9F">
      <w:pPr>
        <w:pStyle w:val="NoSpacing"/>
        <w:numPr>
          <w:ilvl w:val="0"/>
          <w:numId w:val="31"/>
        </w:numPr>
        <w:rPr>
          <w:rFonts w:ascii="Arial" w:hAnsi="Arial" w:cs="Arial"/>
          <w:sz w:val="20"/>
          <w:szCs w:val="20"/>
        </w:rPr>
      </w:pPr>
      <w:r w:rsidRPr="00E7613C">
        <w:rPr>
          <w:rFonts w:ascii="Arial" w:hAnsi="Arial" w:cs="Arial"/>
          <w:sz w:val="20"/>
          <w:szCs w:val="20"/>
        </w:rPr>
        <w:t xml:space="preserve">Election Security Work Group. Supported the Secretary of State during the 2023 and 2024 elections by providing system status and threat intel. </w:t>
      </w:r>
    </w:p>
    <w:p w14:paraId="2F9ADF2D" w14:textId="77777777" w:rsidR="006A3C9F" w:rsidRDefault="006A3C9F" w:rsidP="006A3C9F">
      <w:pPr>
        <w:pStyle w:val="NoSpacing"/>
        <w:numPr>
          <w:ilvl w:val="0"/>
          <w:numId w:val="31"/>
        </w:numPr>
        <w:rPr>
          <w:rFonts w:ascii="Arial" w:hAnsi="Arial" w:cs="Arial"/>
          <w:sz w:val="20"/>
          <w:szCs w:val="20"/>
        </w:rPr>
      </w:pPr>
      <w:r w:rsidRPr="00E7613C">
        <w:rPr>
          <w:rFonts w:ascii="Arial" w:hAnsi="Arial" w:cs="Arial"/>
          <w:sz w:val="20"/>
          <w:szCs w:val="20"/>
        </w:rPr>
        <w:t xml:space="preserve">Cyber Incidents. Detected, mitigated, and responded to 12 major cyber state agency incidents, an average of 60 moderate cyber incidents per month, and about 40 million malicious emails. </w:t>
      </w:r>
    </w:p>
    <w:p w14:paraId="63709B2F" w14:textId="77777777" w:rsidR="006A3C9F" w:rsidRDefault="006A3C9F" w:rsidP="006A3C9F">
      <w:pPr>
        <w:pStyle w:val="NoSpacing"/>
        <w:numPr>
          <w:ilvl w:val="0"/>
          <w:numId w:val="31"/>
        </w:numPr>
        <w:rPr>
          <w:rFonts w:ascii="Arial" w:hAnsi="Arial" w:cs="Arial"/>
          <w:sz w:val="20"/>
          <w:szCs w:val="20"/>
        </w:rPr>
      </w:pPr>
      <w:r w:rsidRPr="00E7613C">
        <w:rPr>
          <w:rFonts w:ascii="Arial" w:hAnsi="Arial" w:cs="Arial"/>
          <w:sz w:val="20"/>
          <w:szCs w:val="20"/>
        </w:rPr>
        <w:t xml:space="preserve">Multifactor Authentication (MFA). Onboarded nearly 28 state agencies with 3,863 users bringing overall MFA compliance to nearly 80 percent. </w:t>
      </w:r>
    </w:p>
    <w:p w14:paraId="71FE521B" w14:textId="77777777" w:rsidR="006A3C9F" w:rsidRDefault="006A3C9F" w:rsidP="006A3C9F">
      <w:pPr>
        <w:pStyle w:val="NoSpacing"/>
        <w:numPr>
          <w:ilvl w:val="0"/>
          <w:numId w:val="31"/>
        </w:numPr>
        <w:rPr>
          <w:rFonts w:ascii="Arial" w:hAnsi="Arial" w:cs="Arial"/>
          <w:sz w:val="20"/>
          <w:szCs w:val="20"/>
        </w:rPr>
      </w:pPr>
      <w:r w:rsidRPr="00E7613C">
        <w:rPr>
          <w:rFonts w:ascii="Arial" w:hAnsi="Arial" w:cs="Arial"/>
          <w:sz w:val="20"/>
          <w:szCs w:val="20"/>
        </w:rPr>
        <w:t xml:space="preserve">Canaries. Deployed 28 early cyber threat warning devices to 21 state agencies. These devices are used to catch threat actors conducting reconnaissance activities and resulted in alerts on 1,065 events enhancing threat detection and reducing response time. </w:t>
      </w:r>
    </w:p>
    <w:p w14:paraId="44A0D590" w14:textId="77777777" w:rsidR="006A3C9F" w:rsidRDefault="006A3C9F" w:rsidP="006A3C9F">
      <w:pPr>
        <w:pStyle w:val="NoSpacing"/>
        <w:numPr>
          <w:ilvl w:val="0"/>
          <w:numId w:val="31"/>
        </w:numPr>
        <w:rPr>
          <w:rFonts w:ascii="Arial" w:hAnsi="Arial" w:cs="Arial"/>
          <w:sz w:val="20"/>
          <w:szCs w:val="20"/>
        </w:rPr>
      </w:pPr>
      <w:r w:rsidRPr="00E7613C">
        <w:rPr>
          <w:rFonts w:ascii="Arial" w:hAnsi="Arial" w:cs="Arial"/>
          <w:sz w:val="20"/>
          <w:szCs w:val="20"/>
        </w:rPr>
        <w:t xml:space="preserve">Tenable. Modernized, enhanced, and redeployed the vulnerability scanners across Idaho. This has upgraded our ability to detect system vulnerabilities more accurately. </w:t>
      </w:r>
    </w:p>
    <w:p w14:paraId="692DC39C" w14:textId="77777777" w:rsidR="006A3C9F" w:rsidRDefault="006A3C9F" w:rsidP="006A3C9F">
      <w:pPr>
        <w:pStyle w:val="NoSpacing"/>
        <w:numPr>
          <w:ilvl w:val="0"/>
          <w:numId w:val="31"/>
        </w:numPr>
        <w:rPr>
          <w:rFonts w:ascii="Arial" w:hAnsi="Arial" w:cs="Arial"/>
          <w:sz w:val="20"/>
          <w:szCs w:val="20"/>
        </w:rPr>
      </w:pPr>
      <w:r w:rsidRPr="00E7613C">
        <w:rPr>
          <w:rFonts w:ascii="Arial" w:hAnsi="Arial" w:cs="Arial"/>
          <w:sz w:val="20"/>
          <w:szCs w:val="20"/>
        </w:rPr>
        <w:t xml:space="preserve">Endpoint Protection. ITS reached compliance with 11,757 of 12,100 (97%) supported devices. </w:t>
      </w:r>
    </w:p>
    <w:p w14:paraId="1BB630C2" w14:textId="77777777" w:rsidR="006A3C9F" w:rsidRDefault="006A3C9F" w:rsidP="006A3C9F">
      <w:pPr>
        <w:pStyle w:val="NoSpacing"/>
        <w:numPr>
          <w:ilvl w:val="0"/>
          <w:numId w:val="31"/>
        </w:numPr>
        <w:rPr>
          <w:rFonts w:ascii="Arial" w:hAnsi="Arial" w:cs="Arial"/>
          <w:sz w:val="20"/>
          <w:szCs w:val="20"/>
        </w:rPr>
      </w:pPr>
      <w:r w:rsidRPr="00E7613C">
        <w:rPr>
          <w:rFonts w:ascii="Arial" w:hAnsi="Arial" w:cs="Arial"/>
          <w:sz w:val="20"/>
          <w:szCs w:val="20"/>
        </w:rPr>
        <w:t xml:space="preserve">Varonis. Onboarded 14 agency file repositories with 97.56 million files. This brings our total monitored agency file repositories to 21 with 128.39 million files. </w:t>
      </w:r>
    </w:p>
    <w:p w14:paraId="37794A55" w14:textId="77777777" w:rsidR="006A3C9F" w:rsidRDefault="006A3C9F" w:rsidP="006A3C9F">
      <w:pPr>
        <w:pStyle w:val="NoSpacing"/>
        <w:rPr>
          <w:rFonts w:ascii="Arial" w:hAnsi="Arial" w:cs="Arial"/>
          <w:sz w:val="20"/>
          <w:szCs w:val="20"/>
        </w:rPr>
      </w:pPr>
    </w:p>
    <w:p w14:paraId="43258023" w14:textId="77777777" w:rsidR="006A3C9F" w:rsidRDefault="006A3C9F" w:rsidP="006A3C9F">
      <w:pPr>
        <w:pStyle w:val="NoSpacing"/>
        <w:rPr>
          <w:rFonts w:ascii="Arial" w:hAnsi="Arial" w:cs="Arial"/>
          <w:sz w:val="20"/>
          <w:szCs w:val="20"/>
        </w:rPr>
      </w:pPr>
      <w:r w:rsidRPr="00E7613C">
        <w:rPr>
          <w:rFonts w:ascii="Arial" w:hAnsi="Arial" w:cs="Arial"/>
          <w:b/>
          <w:bCs/>
          <w:sz w:val="20"/>
          <w:szCs w:val="20"/>
          <w:u w:val="single"/>
        </w:rPr>
        <w:t>IT Operations</w:t>
      </w:r>
      <w:r w:rsidRPr="00E7613C">
        <w:rPr>
          <w:rFonts w:ascii="Arial" w:hAnsi="Arial" w:cs="Arial"/>
          <w:sz w:val="20"/>
          <w:szCs w:val="20"/>
        </w:rPr>
        <w:t xml:space="preserve"> </w:t>
      </w:r>
    </w:p>
    <w:p w14:paraId="10B18FB7" w14:textId="77777777" w:rsidR="006A3C9F" w:rsidRDefault="006A3C9F" w:rsidP="006A3C9F">
      <w:pPr>
        <w:pStyle w:val="NoSpacing"/>
        <w:rPr>
          <w:rFonts w:ascii="Arial" w:hAnsi="Arial" w:cs="Arial"/>
          <w:sz w:val="20"/>
          <w:szCs w:val="20"/>
        </w:rPr>
      </w:pPr>
      <w:r w:rsidRPr="00E7613C">
        <w:rPr>
          <w:rFonts w:ascii="Arial" w:hAnsi="Arial" w:cs="Arial"/>
          <w:b/>
          <w:bCs/>
          <w:sz w:val="20"/>
          <w:szCs w:val="20"/>
        </w:rPr>
        <w:t>Voice over Internet Protocol</w:t>
      </w:r>
      <w:r w:rsidRPr="00E7613C">
        <w:rPr>
          <w:rFonts w:ascii="Arial" w:hAnsi="Arial" w:cs="Arial"/>
          <w:sz w:val="20"/>
          <w:szCs w:val="20"/>
        </w:rPr>
        <w:t xml:space="preserve"> </w:t>
      </w:r>
    </w:p>
    <w:p w14:paraId="06E32086" w14:textId="77777777" w:rsidR="006A3C9F" w:rsidRDefault="006A3C9F" w:rsidP="006A3C9F">
      <w:pPr>
        <w:pStyle w:val="NoSpacing"/>
        <w:numPr>
          <w:ilvl w:val="0"/>
          <w:numId w:val="32"/>
        </w:numPr>
        <w:rPr>
          <w:rFonts w:ascii="Arial" w:hAnsi="Arial" w:cs="Arial"/>
          <w:sz w:val="20"/>
          <w:szCs w:val="20"/>
        </w:rPr>
      </w:pPr>
      <w:r>
        <w:rPr>
          <w:rFonts w:ascii="Arial" w:hAnsi="Arial" w:cs="Arial"/>
          <w:sz w:val="20"/>
          <w:szCs w:val="20"/>
        </w:rPr>
        <w:t>T</w:t>
      </w:r>
      <w:r w:rsidRPr="00E7613C">
        <w:rPr>
          <w:rFonts w:ascii="Arial" w:hAnsi="Arial" w:cs="Arial"/>
          <w:sz w:val="20"/>
          <w:szCs w:val="20"/>
        </w:rPr>
        <w:t xml:space="preserve">he VoIP and Project teams worked to implement and migrate more than 2,000 users across multiple agencies and sites to the ITS VoIP platform, including: </w:t>
      </w:r>
    </w:p>
    <w:p w14:paraId="52635B44" w14:textId="77777777" w:rsidR="006A3C9F" w:rsidRDefault="006A3C9F" w:rsidP="006A3C9F">
      <w:pPr>
        <w:pStyle w:val="NoSpacing"/>
        <w:numPr>
          <w:ilvl w:val="1"/>
          <w:numId w:val="32"/>
        </w:numPr>
        <w:rPr>
          <w:rFonts w:ascii="Arial" w:hAnsi="Arial" w:cs="Arial"/>
          <w:sz w:val="20"/>
          <w:szCs w:val="20"/>
        </w:rPr>
      </w:pPr>
      <w:r w:rsidRPr="00E7613C">
        <w:rPr>
          <w:rFonts w:ascii="Arial" w:hAnsi="Arial" w:cs="Arial"/>
          <w:sz w:val="20"/>
          <w:szCs w:val="20"/>
        </w:rPr>
        <w:t xml:space="preserve">Department of Correction (St. Anthony, District 5, District 3, ISCC, SICI, CAPP, CWC) </w:t>
      </w:r>
    </w:p>
    <w:p w14:paraId="48B12E72" w14:textId="77777777" w:rsidR="006A3C9F" w:rsidRDefault="006A3C9F" w:rsidP="006A3C9F">
      <w:pPr>
        <w:pStyle w:val="NoSpacing"/>
        <w:numPr>
          <w:ilvl w:val="1"/>
          <w:numId w:val="32"/>
        </w:numPr>
        <w:rPr>
          <w:rFonts w:ascii="Arial" w:hAnsi="Arial" w:cs="Arial"/>
          <w:sz w:val="20"/>
          <w:szCs w:val="20"/>
        </w:rPr>
      </w:pPr>
      <w:r w:rsidRPr="00E7613C">
        <w:rPr>
          <w:rFonts w:ascii="Arial" w:hAnsi="Arial" w:cs="Arial"/>
          <w:sz w:val="20"/>
          <w:szCs w:val="20"/>
        </w:rPr>
        <w:t xml:space="preserve">Department of Agriculture (Boise, Twin Falls, Idaho Falls) </w:t>
      </w:r>
    </w:p>
    <w:p w14:paraId="504FB716" w14:textId="77777777" w:rsidR="006A3C9F" w:rsidRDefault="006A3C9F" w:rsidP="006A3C9F">
      <w:pPr>
        <w:pStyle w:val="NoSpacing"/>
        <w:numPr>
          <w:ilvl w:val="1"/>
          <w:numId w:val="32"/>
        </w:numPr>
        <w:rPr>
          <w:rFonts w:ascii="Arial" w:hAnsi="Arial" w:cs="Arial"/>
          <w:sz w:val="20"/>
          <w:szCs w:val="20"/>
        </w:rPr>
      </w:pPr>
      <w:r w:rsidRPr="00E7613C">
        <w:rPr>
          <w:rFonts w:ascii="Arial" w:hAnsi="Arial" w:cs="Arial"/>
          <w:sz w:val="20"/>
          <w:szCs w:val="20"/>
        </w:rPr>
        <w:t xml:space="preserve">Department of Juvenile Corrections (Nampa) </w:t>
      </w:r>
    </w:p>
    <w:p w14:paraId="1D2FA182" w14:textId="77777777" w:rsidR="006A3C9F" w:rsidRDefault="006A3C9F" w:rsidP="006A3C9F">
      <w:pPr>
        <w:pStyle w:val="NoSpacing"/>
        <w:numPr>
          <w:ilvl w:val="1"/>
          <w:numId w:val="32"/>
        </w:numPr>
        <w:rPr>
          <w:rFonts w:ascii="Arial" w:hAnsi="Arial" w:cs="Arial"/>
          <w:sz w:val="20"/>
          <w:szCs w:val="20"/>
        </w:rPr>
      </w:pPr>
      <w:r w:rsidRPr="00E7613C">
        <w:rPr>
          <w:rFonts w:ascii="Arial" w:hAnsi="Arial" w:cs="Arial"/>
          <w:sz w:val="20"/>
          <w:szCs w:val="20"/>
        </w:rPr>
        <w:t xml:space="preserve">Division of Veteran Services (Pocatello, Post Falls, Lewiston homes) </w:t>
      </w:r>
    </w:p>
    <w:p w14:paraId="4753BBE3" w14:textId="77777777" w:rsidR="006A3C9F" w:rsidRDefault="006A3C9F" w:rsidP="006A3C9F">
      <w:pPr>
        <w:pStyle w:val="NoSpacing"/>
        <w:numPr>
          <w:ilvl w:val="1"/>
          <w:numId w:val="32"/>
        </w:numPr>
        <w:rPr>
          <w:rFonts w:ascii="Arial" w:hAnsi="Arial" w:cs="Arial"/>
          <w:sz w:val="20"/>
          <w:szCs w:val="20"/>
        </w:rPr>
      </w:pPr>
      <w:r w:rsidRPr="00E7613C">
        <w:rPr>
          <w:rFonts w:ascii="Arial" w:hAnsi="Arial" w:cs="Arial"/>
          <w:sz w:val="20"/>
          <w:szCs w:val="20"/>
        </w:rPr>
        <w:t xml:space="preserve">Department of Fish and Games (all sites statewide; decommissioned CUCM infrastructure). </w:t>
      </w:r>
    </w:p>
    <w:p w14:paraId="725BCE20" w14:textId="77777777" w:rsidR="006A3C9F" w:rsidRDefault="006A3C9F" w:rsidP="006A3C9F">
      <w:pPr>
        <w:pStyle w:val="NoSpacing"/>
        <w:rPr>
          <w:rFonts w:ascii="Arial" w:hAnsi="Arial" w:cs="Arial"/>
          <w:sz w:val="20"/>
          <w:szCs w:val="20"/>
        </w:rPr>
      </w:pPr>
      <w:r w:rsidRPr="00E7613C">
        <w:rPr>
          <w:rFonts w:ascii="Arial" w:hAnsi="Arial" w:cs="Arial"/>
          <w:b/>
          <w:bCs/>
          <w:sz w:val="20"/>
          <w:szCs w:val="20"/>
        </w:rPr>
        <w:t>System Administration</w:t>
      </w:r>
      <w:r w:rsidRPr="00E7613C">
        <w:rPr>
          <w:rFonts w:ascii="Arial" w:hAnsi="Arial" w:cs="Arial"/>
          <w:sz w:val="20"/>
          <w:szCs w:val="20"/>
        </w:rPr>
        <w:t xml:space="preserve"> </w:t>
      </w:r>
    </w:p>
    <w:p w14:paraId="46FF9996"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Decommissioned legacy endpoint management and service ticketing systems. </w:t>
      </w:r>
    </w:p>
    <w:p w14:paraId="56B3E1FD"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Deployed secure contractor access/audit solution SecureLink. </w:t>
      </w:r>
    </w:p>
    <w:p w14:paraId="4DF18039"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Closed 801 logged incidents and service request tasks since December 2023 (prior stats unavailable). </w:t>
      </w:r>
    </w:p>
    <w:p w14:paraId="44D0F854"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Completed infrastructure build of Historical Society Azure workload. </w:t>
      </w:r>
    </w:p>
    <w:p w14:paraId="1FD37E64"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Remediated all significant findings from IRS audit. </w:t>
      </w:r>
    </w:p>
    <w:p w14:paraId="0FA48DEF"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Completed OneDrive deployments for all non-compliant agencies. </w:t>
      </w:r>
    </w:p>
    <w:p w14:paraId="36E5C7DE" w14:textId="77777777" w:rsidR="006A3C9F" w:rsidRPr="00E7613C" w:rsidRDefault="006A3C9F" w:rsidP="006A3C9F">
      <w:pPr>
        <w:pStyle w:val="NoSpacing"/>
        <w:rPr>
          <w:rFonts w:ascii="Arial" w:hAnsi="Arial" w:cs="Arial"/>
          <w:b/>
          <w:bCs/>
          <w:sz w:val="20"/>
          <w:szCs w:val="20"/>
        </w:rPr>
      </w:pPr>
      <w:r w:rsidRPr="00E7613C">
        <w:rPr>
          <w:rFonts w:ascii="Arial" w:hAnsi="Arial" w:cs="Arial"/>
          <w:b/>
          <w:bCs/>
          <w:sz w:val="20"/>
          <w:szCs w:val="20"/>
        </w:rPr>
        <w:t xml:space="preserve">Application Hosting </w:t>
      </w:r>
    </w:p>
    <w:p w14:paraId="28315269"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Migrated Idaho.gov website from contractor to Chinden Campus data center. </w:t>
      </w:r>
    </w:p>
    <w:p w14:paraId="073359EB"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Completed Laserfiche infrastructure architecture improvements. </w:t>
      </w:r>
    </w:p>
    <w:p w14:paraId="580D42B1"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Recovered lost Laserfiche workloads (Public Utilities Commission, Department of Environmental Quality returned to pre-outage state), Division of Purchasing near completion, Department of Water Resources in data migration state, overall completion 86%. </w:t>
      </w:r>
    </w:p>
    <w:p w14:paraId="0FC47498"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Closed 815 logged incidents and service request tasks since December 2023 (prior stats unavailable). </w:t>
      </w:r>
    </w:p>
    <w:p w14:paraId="7EB99B18"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Built infrastructure for new its.idaho.gov website. </w:t>
      </w:r>
    </w:p>
    <w:p w14:paraId="317FEA8B" w14:textId="77777777" w:rsidR="006A3C9F" w:rsidRDefault="006A3C9F" w:rsidP="006A3C9F">
      <w:pPr>
        <w:pStyle w:val="NoSpacing"/>
        <w:numPr>
          <w:ilvl w:val="0"/>
          <w:numId w:val="32"/>
        </w:numPr>
        <w:rPr>
          <w:rFonts w:ascii="Arial" w:hAnsi="Arial" w:cs="Arial"/>
          <w:sz w:val="20"/>
          <w:szCs w:val="20"/>
        </w:rPr>
      </w:pPr>
      <w:r w:rsidRPr="00E7613C">
        <w:rPr>
          <w:rFonts w:ascii="Arial" w:hAnsi="Arial" w:cs="Arial"/>
          <w:sz w:val="20"/>
          <w:szCs w:val="20"/>
        </w:rPr>
        <w:t xml:space="preserve">Completed new Case Upload Laserfiche workflow/forms for Public Utilities Commission. </w:t>
      </w:r>
    </w:p>
    <w:p w14:paraId="1355B608" w14:textId="77777777" w:rsidR="006A3C9F" w:rsidRDefault="006A3C9F" w:rsidP="006A3C9F">
      <w:pPr>
        <w:pStyle w:val="NoSpacing"/>
        <w:rPr>
          <w:rFonts w:ascii="Arial" w:hAnsi="Arial" w:cs="Arial"/>
          <w:sz w:val="20"/>
          <w:szCs w:val="20"/>
        </w:rPr>
      </w:pPr>
      <w:r w:rsidRPr="00E7613C">
        <w:rPr>
          <w:rFonts w:ascii="Arial" w:hAnsi="Arial" w:cs="Arial"/>
          <w:b/>
          <w:bCs/>
          <w:sz w:val="20"/>
          <w:szCs w:val="20"/>
        </w:rPr>
        <w:t>ServiceNow Administration (service ticketing system)</w:t>
      </w:r>
      <w:r w:rsidRPr="00E7613C">
        <w:rPr>
          <w:rFonts w:ascii="Arial" w:hAnsi="Arial" w:cs="Arial"/>
          <w:sz w:val="20"/>
          <w:szCs w:val="20"/>
        </w:rPr>
        <w:t xml:space="preserve"> </w:t>
      </w:r>
    </w:p>
    <w:p w14:paraId="5A351B16"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Continued work to mature ServiceNow offering and functionality. </w:t>
      </w:r>
    </w:p>
    <w:p w14:paraId="425CEE16"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Onboarded six new Phase 4 agencies into ServiceNow. </w:t>
      </w:r>
    </w:p>
    <w:p w14:paraId="0226ACB2"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Phase 4 agency discovery and migration.</w:t>
      </w:r>
    </w:p>
    <w:p w14:paraId="20BBCEF4"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lastRenderedPageBreak/>
        <w:t xml:space="preserve">State Independent Living Council UPN change. </w:t>
      </w:r>
    </w:p>
    <w:p w14:paraId="5FFF3983"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Problem and knowledge management process/configuration. </w:t>
      </w:r>
    </w:p>
    <w:p w14:paraId="5D4E4362"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Closed 46 logged incidents and service request tasks since December 2023 (prior stats unavailable). Infrastructure </w:t>
      </w:r>
    </w:p>
    <w:p w14:paraId="1E7BFCEA"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Removed generator at the Veterans Cemetery safely and efficiently. </w:t>
      </w:r>
    </w:p>
    <w:p w14:paraId="15A26F95"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Set up system for Idaho State Police to remotely monitor cameras at the Chinden Campus, boosting security. </w:t>
      </w:r>
    </w:p>
    <w:p w14:paraId="139F610D"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Updated the unified computing system in the Capitol Mall. </w:t>
      </w:r>
    </w:p>
    <w:p w14:paraId="645AF2DB"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Maintained an old, end-of-life computer room air conditing unit to ensure critical cooling and prevent system failures. </w:t>
      </w:r>
    </w:p>
    <w:p w14:paraId="1023B22C"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Installed 100+ long-life, uninterruptible power supply systems at various sites, extending operation times and improving reliability. </w:t>
      </w:r>
    </w:p>
    <w:p w14:paraId="44770A11"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Upgraded the CCDC to help Idaho Transportation Department move in seamlessly, enhancing the overall infrastructure. </w:t>
      </w:r>
    </w:p>
    <w:p w14:paraId="25C9FDFA"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Planned and executed power backup solutions for the new MVTC build at Department of Correction, ensuring steady power supply. </w:t>
      </w:r>
    </w:p>
    <w:p w14:paraId="51212474"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Upgraded PURE Storage Flash for Idaho Transportation Department and ITS, boosting storage performance and capacity. </w:t>
      </w:r>
    </w:p>
    <w:p w14:paraId="7F805EA9"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Correctional Industries Backup Storage Expansion. </w:t>
      </w:r>
    </w:p>
    <w:p w14:paraId="7ABC8881"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Department of Correction HPE Renewal. </w:t>
      </w:r>
    </w:p>
    <w:p w14:paraId="2DCDBAAB"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Department of Correction Camera Installation for parking lot security. </w:t>
      </w:r>
    </w:p>
    <w:p w14:paraId="487F0B10"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Got Backups for Department of Correction started. </w:t>
      </w:r>
    </w:p>
    <w:p w14:paraId="4CD82F97"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PURE Storage enabling SAFE mode. </w:t>
      </w:r>
    </w:p>
    <w:p w14:paraId="1CA69856"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Department of Correction execution camera installation. </w:t>
      </w:r>
    </w:p>
    <w:p w14:paraId="3E2EE4F9"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Primary Maintenance and Testing on Generators at CCDC. </w:t>
      </w:r>
    </w:p>
    <w:p w14:paraId="2812F41C"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Created automation for deployment of virtual machines, saving staff time and resources. </w:t>
      </w:r>
    </w:p>
    <w:p w14:paraId="7A2B8CDE"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Discovery of Large Annual Saving for PURE backup storage. </w:t>
      </w:r>
    </w:p>
    <w:p w14:paraId="73C8116A" w14:textId="77777777" w:rsidR="006A3C9F" w:rsidRDefault="006A3C9F" w:rsidP="006A3C9F">
      <w:pPr>
        <w:pStyle w:val="NoSpacing"/>
        <w:numPr>
          <w:ilvl w:val="0"/>
          <w:numId w:val="33"/>
        </w:numPr>
        <w:rPr>
          <w:rFonts w:ascii="Arial" w:hAnsi="Arial" w:cs="Arial"/>
          <w:sz w:val="20"/>
          <w:szCs w:val="20"/>
        </w:rPr>
      </w:pPr>
      <w:r w:rsidRPr="00E7613C">
        <w:rPr>
          <w:rFonts w:ascii="Arial" w:hAnsi="Arial" w:cs="Arial"/>
          <w:sz w:val="20"/>
          <w:szCs w:val="20"/>
        </w:rPr>
        <w:t xml:space="preserve">Finished the data center outage remediation plan. </w:t>
      </w:r>
    </w:p>
    <w:p w14:paraId="5D50F795" w14:textId="77777777" w:rsidR="006A3C9F" w:rsidRDefault="006A3C9F" w:rsidP="006A3C9F">
      <w:pPr>
        <w:pStyle w:val="NoSpacing"/>
        <w:rPr>
          <w:rFonts w:ascii="Arial" w:hAnsi="Arial" w:cs="Arial"/>
          <w:sz w:val="20"/>
          <w:szCs w:val="20"/>
        </w:rPr>
      </w:pPr>
      <w:r w:rsidRPr="00E7613C">
        <w:rPr>
          <w:rFonts w:ascii="Arial" w:hAnsi="Arial" w:cs="Arial"/>
          <w:b/>
          <w:bCs/>
          <w:sz w:val="20"/>
          <w:szCs w:val="20"/>
        </w:rPr>
        <w:t>Service Desk</w:t>
      </w:r>
      <w:r w:rsidRPr="00E7613C">
        <w:rPr>
          <w:rFonts w:ascii="Arial" w:hAnsi="Arial" w:cs="Arial"/>
          <w:sz w:val="20"/>
          <w:szCs w:val="20"/>
        </w:rPr>
        <w:t xml:space="preserve"> </w:t>
      </w:r>
    </w:p>
    <w:p w14:paraId="0636F483" w14:textId="77777777" w:rsidR="006A3C9F" w:rsidRDefault="006A3C9F" w:rsidP="006A3C9F">
      <w:pPr>
        <w:pStyle w:val="NoSpacing"/>
        <w:rPr>
          <w:rFonts w:ascii="Arial" w:hAnsi="Arial" w:cs="Arial"/>
          <w:sz w:val="20"/>
          <w:szCs w:val="20"/>
        </w:rPr>
      </w:pPr>
      <w:r w:rsidRPr="00E7613C">
        <w:rPr>
          <w:rFonts w:ascii="Arial" w:hAnsi="Arial" w:cs="Arial"/>
          <w:sz w:val="20"/>
          <w:szCs w:val="20"/>
        </w:rPr>
        <w:t xml:space="preserve">Integrated new Phase 4 agencies, supporting over 1,600 new users and over 2,700 endpoints, increasing the ticket load by 20%. </w:t>
      </w:r>
    </w:p>
    <w:p w14:paraId="054EEFDA" w14:textId="77777777" w:rsidR="006A3C9F" w:rsidRDefault="006A3C9F" w:rsidP="006A3C9F">
      <w:pPr>
        <w:pStyle w:val="NoSpacing"/>
        <w:numPr>
          <w:ilvl w:val="0"/>
          <w:numId w:val="34"/>
        </w:numPr>
        <w:rPr>
          <w:rFonts w:ascii="Arial" w:hAnsi="Arial" w:cs="Arial"/>
          <w:sz w:val="20"/>
          <w:szCs w:val="20"/>
        </w:rPr>
      </w:pPr>
      <w:r w:rsidRPr="00E7613C">
        <w:rPr>
          <w:rFonts w:ascii="Arial" w:hAnsi="Arial" w:cs="Arial"/>
          <w:sz w:val="20"/>
          <w:szCs w:val="20"/>
        </w:rPr>
        <w:t xml:space="preserve">Primary Support </w:t>
      </w:r>
    </w:p>
    <w:p w14:paraId="405442C1" w14:textId="77777777" w:rsidR="006A3C9F" w:rsidRDefault="006A3C9F" w:rsidP="006A3C9F">
      <w:pPr>
        <w:pStyle w:val="NoSpacing"/>
        <w:numPr>
          <w:ilvl w:val="1"/>
          <w:numId w:val="34"/>
        </w:numPr>
        <w:rPr>
          <w:rFonts w:ascii="Arial" w:hAnsi="Arial" w:cs="Arial"/>
          <w:sz w:val="20"/>
          <w:szCs w:val="20"/>
        </w:rPr>
      </w:pPr>
      <w:r w:rsidRPr="00E7613C">
        <w:rPr>
          <w:rFonts w:ascii="Arial" w:hAnsi="Arial" w:cs="Arial"/>
          <w:sz w:val="20"/>
          <w:szCs w:val="20"/>
        </w:rPr>
        <w:t xml:space="preserve">Built and implemented a training improvement regiment for staff. </w:t>
      </w:r>
    </w:p>
    <w:p w14:paraId="7B91C7AB" w14:textId="77777777" w:rsidR="006A3C9F" w:rsidRDefault="006A3C9F" w:rsidP="006A3C9F">
      <w:pPr>
        <w:pStyle w:val="NoSpacing"/>
        <w:numPr>
          <w:ilvl w:val="1"/>
          <w:numId w:val="34"/>
        </w:numPr>
        <w:rPr>
          <w:rFonts w:ascii="Arial" w:hAnsi="Arial" w:cs="Arial"/>
          <w:sz w:val="20"/>
          <w:szCs w:val="20"/>
        </w:rPr>
      </w:pPr>
      <w:r w:rsidRPr="00E7613C">
        <w:rPr>
          <w:rFonts w:ascii="Arial" w:hAnsi="Arial" w:cs="Arial"/>
          <w:sz w:val="20"/>
          <w:szCs w:val="20"/>
        </w:rPr>
        <w:t xml:space="preserve">Reworked new employee onboarding process to include training, one-on-one job shadowing, and monthly manager follow-ups. </w:t>
      </w:r>
    </w:p>
    <w:p w14:paraId="22A5D7FE" w14:textId="77777777" w:rsidR="006A3C9F" w:rsidRDefault="006A3C9F" w:rsidP="006A3C9F">
      <w:pPr>
        <w:pStyle w:val="NoSpacing"/>
        <w:numPr>
          <w:ilvl w:val="1"/>
          <w:numId w:val="34"/>
        </w:numPr>
        <w:rPr>
          <w:rFonts w:ascii="Arial" w:hAnsi="Arial" w:cs="Arial"/>
          <w:sz w:val="20"/>
          <w:szCs w:val="20"/>
        </w:rPr>
      </w:pPr>
      <w:r w:rsidRPr="00E7613C">
        <w:rPr>
          <w:rFonts w:ascii="Arial" w:hAnsi="Arial" w:cs="Arial"/>
          <w:sz w:val="20"/>
          <w:szCs w:val="20"/>
        </w:rPr>
        <w:t xml:space="preserve">Coordinated with ITS teams to rebuild the escalation process and generate new template systems to increase communication and quality of tickets. </w:t>
      </w:r>
    </w:p>
    <w:p w14:paraId="4F5C0244" w14:textId="77777777" w:rsidR="006A3C9F" w:rsidRDefault="006A3C9F" w:rsidP="006A3C9F">
      <w:pPr>
        <w:pStyle w:val="NoSpacing"/>
        <w:numPr>
          <w:ilvl w:val="0"/>
          <w:numId w:val="34"/>
        </w:numPr>
        <w:rPr>
          <w:rFonts w:ascii="Arial" w:hAnsi="Arial" w:cs="Arial"/>
          <w:sz w:val="20"/>
          <w:szCs w:val="20"/>
        </w:rPr>
      </w:pPr>
      <w:r w:rsidRPr="00E7613C">
        <w:rPr>
          <w:rFonts w:ascii="Arial" w:hAnsi="Arial" w:cs="Arial"/>
          <w:sz w:val="20"/>
          <w:szCs w:val="20"/>
        </w:rPr>
        <w:t xml:space="preserve">Onsite </w:t>
      </w:r>
    </w:p>
    <w:p w14:paraId="17CFC020" w14:textId="77777777" w:rsidR="006A3C9F" w:rsidRDefault="006A3C9F" w:rsidP="006A3C9F">
      <w:pPr>
        <w:pStyle w:val="NoSpacing"/>
        <w:numPr>
          <w:ilvl w:val="1"/>
          <w:numId w:val="34"/>
        </w:numPr>
        <w:rPr>
          <w:rFonts w:ascii="Arial" w:hAnsi="Arial" w:cs="Arial"/>
          <w:sz w:val="20"/>
          <w:szCs w:val="20"/>
        </w:rPr>
      </w:pPr>
      <w:r w:rsidRPr="00E7613C">
        <w:rPr>
          <w:rFonts w:ascii="Arial" w:hAnsi="Arial" w:cs="Arial"/>
          <w:sz w:val="20"/>
          <w:szCs w:val="20"/>
        </w:rPr>
        <w:t xml:space="preserve">While keeping up with regular deployment tasks, onsite/deployment team was able to catch up Department of Correction, which was an entire fiscal year behind with PC deployments. </w:t>
      </w:r>
    </w:p>
    <w:p w14:paraId="180A41CD" w14:textId="77777777" w:rsidR="006A3C9F" w:rsidRDefault="006A3C9F" w:rsidP="006A3C9F">
      <w:pPr>
        <w:pStyle w:val="NoSpacing"/>
        <w:numPr>
          <w:ilvl w:val="1"/>
          <w:numId w:val="34"/>
        </w:numPr>
        <w:rPr>
          <w:rFonts w:ascii="Arial" w:hAnsi="Arial" w:cs="Arial"/>
          <w:sz w:val="20"/>
          <w:szCs w:val="20"/>
        </w:rPr>
      </w:pPr>
      <w:r w:rsidRPr="00E7613C">
        <w:rPr>
          <w:rFonts w:ascii="Arial" w:hAnsi="Arial" w:cs="Arial"/>
          <w:sz w:val="20"/>
          <w:szCs w:val="20"/>
        </w:rPr>
        <w:t xml:space="preserve">Successfully deployed Mac devices to the Governor’s staff. </w:t>
      </w:r>
    </w:p>
    <w:p w14:paraId="5C8B1576" w14:textId="77777777" w:rsidR="006A3C9F" w:rsidRDefault="006A3C9F" w:rsidP="006A3C9F">
      <w:pPr>
        <w:pStyle w:val="NoSpacing"/>
        <w:numPr>
          <w:ilvl w:val="1"/>
          <w:numId w:val="34"/>
        </w:numPr>
        <w:rPr>
          <w:rFonts w:ascii="Arial" w:hAnsi="Arial" w:cs="Arial"/>
          <w:sz w:val="20"/>
          <w:szCs w:val="20"/>
        </w:rPr>
      </w:pPr>
      <w:r w:rsidRPr="00E7613C">
        <w:rPr>
          <w:rFonts w:ascii="Arial" w:hAnsi="Arial" w:cs="Arial"/>
          <w:sz w:val="20"/>
          <w:szCs w:val="20"/>
        </w:rPr>
        <w:t xml:space="preserve">New Magic Valley staff was brought on to improve response times and relations with ITS partners in the area. </w:t>
      </w:r>
    </w:p>
    <w:p w14:paraId="5EC32E5A" w14:textId="77777777" w:rsidR="006A3C9F" w:rsidRDefault="006A3C9F" w:rsidP="006A3C9F">
      <w:pPr>
        <w:pStyle w:val="NoSpacing"/>
        <w:numPr>
          <w:ilvl w:val="1"/>
          <w:numId w:val="34"/>
        </w:numPr>
        <w:rPr>
          <w:rFonts w:ascii="Arial" w:hAnsi="Arial" w:cs="Arial"/>
          <w:sz w:val="20"/>
          <w:szCs w:val="20"/>
        </w:rPr>
      </w:pPr>
      <w:r w:rsidRPr="00E7613C">
        <w:rPr>
          <w:rFonts w:ascii="Arial" w:hAnsi="Arial" w:cs="Arial"/>
          <w:sz w:val="20"/>
          <w:szCs w:val="20"/>
        </w:rPr>
        <w:t xml:space="preserve">Deployed over 1,800 machines to agencies. </w:t>
      </w:r>
    </w:p>
    <w:p w14:paraId="00D60E69" w14:textId="77777777" w:rsidR="006A3C9F" w:rsidRDefault="006A3C9F" w:rsidP="006A3C9F">
      <w:pPr>
        <w:pStyle w:val="NoSpacing"/>
        <w:numPr>
          <w:ilvl w:val="0"/>
          <w:numId w:val="34"/>
        </w:numPr>
        <w:rPr>
          <w:rFonts w:ascii="Arial" w:hAnsi="Arial" w:cs="Arial"/>
          <w:sz w:val="20"/>
          <w:szCs w:val="20"/>
        </w:rPr>
      </w:pPr>
      <w:r w:rsidRPr="00E7613C">
        <w:rPr>
          <w:rFonts w:ascii="Arial" w:hAnsi="Arial" w:cs="Arial"/>
          <w:sz w:val="20"/>
          <w:szCs w:val="20"/>
        </w:rPr>
        <w:t xml:space="preserve">UEM </w:t>
      </w:r>
    </w:p>
    <w:p w14:paraId="2EF39236" w14:textId="77777777" w:rsidR="006A3C9F" w:rsidRDefault="006A3C9F" w:rsidP="006A3C9F">
      <w:pPr>
        <w:pStyle w:val="NoSpacing"/>
        <w:numPr>
          <w:ilvl w:val="1"/>
          <w:numId w:val="34"/>
        </w:numPr>
        <w:rPr>
          <w:rFonts w:ascii="Arial" w:hAnsi="Arial" w:cs="Arial"/>
          <w:sz w:val="20"/>
          <w:szCs w:val="20"/>
        </w:rPr>
      </w:pPr>
      <w:r w:rsidRPr="00E7613C">
        <w:rPr>
          <w:rFonts w:ascii="Arial" w:hAnsi="Arial" w:cs="Arial"/>
          <w:sz w:val="20"/>
          <w:szCs w:val="20"/>
        </w:rPr>
        <w:t xml:space="preserve">Onboarded Idaho Transportation Department into WorkspaceOne for system updates. </w:t>
      </w:r>
    </w:p>
    <w:p w14:paraId="513CE0B5" w14:textId="77777777" w:rsidR="006A3C9F" w:rsidRDefault="006A3C9F" w:rsidP="006A3C9F">
      <w:pPr>
        <w:pStyle w:val="NoSpacing"/>
        <w:numPr>
          <w:ilvl w:val="1"/>
          <w:numId w:val="34"/>
        </w:numPr>
        <w:rPr>
          <w:rFonts w:ascii="Arial" w:hAnsi="Arial" w:cs="Arial"/>
          <w:sz w:val="20"/>
          <w:szCs w:val="20"/>
        </w:rPr>
      </w:pPr>
      <w:r w:rsidRPr="00E7613C">
        <w:rPr>
          <w:rFonts w:ascii="Arial" w:hAnsi="Arial" w:cs="Arial"/>
          <w:sz w:val="20"/>
          <w:szCs w:val="20"/>
        </w:rPr>
        <w:t xml:space="preserve">Implemented factory provisioning for most state agencies, expediting deployment times. </w:t>
      </w:r>
    </w:p>
    <w:p w14:paraId="278562D9" w14:textId="77777777" w:rsidR="006A3C9F" w:rsidRDefault="006A3C9F" w:rsidP="006A3C9F">
      <w:pPr>
        <w:pStyle w:val="NoSpacing"/>
        <w:numPr>
          <w:ilvl w:val="1"/>
          <w:numId w:val="34"/>
        </w:numPr>
        <w:rPr>
          <w:rFonts w:ascii="Arial" w:hAnsi="Arial" w:cs="Arial"/>
          <w:sz w:val="20"/>
          <w:szCs w:val="20"/>
        </w:rPr>
      </w:pPr>
      <w:r w:rsidRPr="00E7613C">
        <w:rPr>
          <w:rFonts w:ascii="Arial" w:hAnsi="Arial" w:cs="Arial"/>
          <w:sz w:val="20"/>
          <w:szCs w:val="20"/>
        </w:rPr>
        <w:t xml:space="preserve">Implemented mobile device management solution in WorkspaceOne, securing state-issued mobile devices. </w:t>
      </w:r>
    </w:p>
    <w:p w14:paraId="432DEDF5" w14:textId="77777777" w:rsidR="006A3C9F" w:rsidRDefault="006A3C9F" w:rsidP="006A3C9F">
      <w:pPr>
        <w:pStyle w:val="NoSpacing"/>
        <w:numPr>
          <w:ilvl w:val="1"/>
          <w:numId w:val="34"/>
        </w:numPr>
        <w:rPr>
          <w:rFonts w:ascii="Arial" w:hAnsi="Arial" w:cs="Arial"/>
          <w:sz w:val="20"/>
          <w:szCs w:val="20"/>
        </w:rPr>
      </w:pPr>
      <w:r w:rsidRPr="00E7613C">
        <w:rPr>
          <w:rFonts w:ascii="Arial" w:hAnsi="Arial" w:cs="Arial"/>
          <w:sz w:val="20"/>
          <w:szCs w:val="20"/>
        </w:rPr>
        <w:t>Set up agency-specific SAR workflows to better capture access requirements</w:t>
      </w:r>
      <w:r>
        <w:rPr>
          <w:rFonts w:ascii="Arial" w:hAnsi="Arial" w:cs="Arial"/>
          <w:sz w:val="20"/>
          <w:szCs w:val="20"/>
        </w:rPr>
        <w:t>.</w:t>
      </w:r>
    </w:p>
    <w:p w14:paraId="540EA2A6" w14:textId="77777777" w:rsidR="006A3C9F" w:rsidRDefault="006A3C9F" w:rsidP="006A3C9F">
      <w:pPr>
        <w:pStyle w:val="NoSpacing"/>
        <w:rPr>
          <w:rFonts w:ascii="Arial" w:hAnsi="Arial" w:cs="Arial"/>
          <w:sz w:val="20"/>
          <w:szCs w:val="20"/>
        </w:rPr>
      </w:pPr>
    </w:p>
    <w:p w14:paraId="76DABCC2" w14:textId="77777777" w:rsidR="006A3C9F" w:rsidRDefault="006A3C9F" w:rsidP="006A3C9F">
      <w:pPr>
        <w:pStyle w:val="NoSpacing"/>
        <w:rPr>
          <w:rFonts w:ascii="Arial" w:hAnsi="Arial" w:cs="Arial"/>
          <w:b/>
          <w:bCs/>
          <w:sz w:val="20"/>
          <w:szCs w:val="20"/>
          <w:u w:val="single"/>
        </w:rPr>
      </w:pPr>
    </w:p>
    <w:p w14:paraId="4BCA3DC4" w14:textId="77777777" w:rsidR="006A3C9F" w:rsidRDefault="006A3C9F" w:rsidP="006A3C9F">
      <w:pPr>
        <w:pStyle w:val="NoSpacing"/>
        <w:rPr>
          <w:rFonts w:ascii="Arial" w:hAnsi="Arial" w:cs="Arial"/>
          <w:b/>
          <w:bCs/>
          <w:sz w:val="20"/>
          <w:szCs w:val="20"/>
          <w:u w:val="single"/>
        </w:rPr>
      </w:pPr>
    </w:p>
    <w:p w14:paraId="12E76393" w14:textId="77777777" w:rsidR="006A3C9F" w:rsidRDefault="006A3C9F" w:rsidP="006A3C9F">
      <w:pPr>
        <w:pStyle w:val="NoSpacing"/>
        <w:rPr>
          <w:rFonts w:ascii="Arial" w:hAnsi="Arial" w:cs="Arial"/>
          <w:b/>
          <w:bCs/>
          <w:sz w:val="20"/>
          <w:szCs w:val="20"/>
          <w:u w:val="single"/>
        </w:rPr>
      </w:pPr>
    </w:p>
    <w:p w14:paraId="5082A18E" w14:textId="28B06A36" w:rsidR="006A3C9F" w:rsidRDefault="006A3C9F" w:rsidP="006A3C9F">
      <w:pPr>
        <w:pStyle w:val="NoSpacing"/>
        <w:rPr>
          <w:rFonts w:ascii="Arial" w:hAnsi="Arial" w:cs="Arial"/>
          <w:sz w:val="20"/>
          <w:szCs w:val="20"/>
        </w:rPr>
      </w:pPr>
      <w:r w:rsidRPr="00E7613C">
        <w:rPr>
          <w:rFonts w:ascii="Arial" w:hAnsi="Arial" w:cs="Arial"/>
          <w:b/>
          <w:bCs/>
          <w:sz w:val="20"/>
          <w:szCs w:val="20"/>
          <w:u w:val="single"/>
        </w:rPr>
        <w:lastRenderedPageBreak/>
        <w:t>Enterprise Services</w:t>
      </w:r>
      <w:r w:rsidRPr="00E7613C">
        <w:rPr>
          <w:rFonts w:ascii="Arial" w:hAnsi="Arial" w:cs="Arial"/>
          <w:sz w:val="20"/>
          <w:szCs w:val="20"/>
        </w:rPr>
        <w:t xml:space="preserve"> </w:t>
      </w:r>
    </w:p>
    <w:p w14:paraId="3E7CA9F7" w14:textId="77777777" w:rsidR="006A3C9F" w:rsidRDefault="006A3C9F" w:rsidP="006A3C9F">
      <w:pPr>
        <w:pStyle w:val="NoSpacing"/>
        <w:rPr>
          <w:rFonts w:ascii="Arial" w:hAnsi="Arial" w:cs="Arial"/>
          <w:sz w:val="20"/>
          <w:szCs w:val="20"/>
        </w:rPr>
      </w:pPr>
      <w:r w:rsidRPr="00E7613C">
        <w:rPr>
          <w:rFonts w:ascii="Arial" w:hAnsi="Arial" w:cs="Arial"/>
          <w:b/>
          <w:bCs/>
          <w:sz w:val="20"/>
          <w:szCs w:val="20"/>
        </w:rPr>
        <w:t>Enterprise Architecture</w:t>
      </w:r>
      <w:r w:rsidRPr="00E7613C">
        <w:rPr>
          <w:rFonts w:ascii="Arial" w:hAnsi="Arial" w:cs="Arial"/>
          <w:sz w:val="20"/>
          <w:szCs w:val="20"/>
        </w:rPr>
        <w:t xml:space="preserve"> </w:t>
      </w:r>
    </w:p>
    <w:p w14:paraId="4F91395A" w14:textId="77777777" w:rsidR="006A3C9F" w:rsidRDefault="006A3C9F" w:rsidP="006A3C9F">
      <w:pPr>
        <w:pStyle w:val="NoSpacing"/>
        <w:numPr>
          <w:ilvl w:val="0"/>
          <w:numId w:val="35"/>
        </w:numPr>
        <w:rPr>
          <w:rFonts w:ascii="Arial" w:hAnsi="Arial" w:cs="Arial"/>
          <w:sz w:val="20"/>
          <w:szCs w:val="20"/>
        </w:rPr>
      </w:pPr>
      <w:r w:rsidRPr="00E7613C">
        <w:rPr>
          <w:rFonts w:ascii="Arial" w:hAnsi="Arial" w:cs="Arial"/>
          <w:sz w:val="20"/>
          <w:szCs w:val="20"/>
        </w:rPr>
        <w:t xml:space="preserve">Technology Roadmap. Established a comprehensive vision, strategy, tactics, and execution steps to meet customer demands. </w:t>
      </w:r>
    </w:p>
    <w:p w14:paraId="11521C9F" w14:textId="77777777" w:rsidR="006A3C9F" w:rsidRDefault="006A3C9F" w:rsidP="006A3C9F">
      <w:pPr>
        <w:pStyle w:val="NoSpacing"/>
        <w:numPr>
          <w:ilvl w:val="0"/>
          <w:numId w:val="35"/>
        </w:numPr>
        <w:rPr>
          <w:rFonts w:ascii="Arial" w:hAnsi="Arial" w:cs="Arial"/>
          <w:sz w:val="20"/>
          <w:szCs w:val="20"/>
        </w:rPr>
      </w:pPr>
      <w:r w:rsidRPr="00E7613C">
        <w:rPr>
          <w:rFonts w:ascii="Arial" w:hAnsi="Arial" w:cs="Arial"/>
          <w:sz w:val="20"/>
          <w:szCs w:val="20"/>
        </w:rPr>
        <w:t xml:space="preserve">Contract Renegotiations. Successfully renegotiated the Citizen Engagement contract, providing more modern options and flexibility for agencies to manage digital services. </w:t>
      </w:r>
    </w:p>
    <w:p w14:paraId="1620BAF5" w14:textId="77777777" w:rsidR="006A3C9F" w:rsidRDefault="006A3C9F" w:rsidP="006A3C9F">
      <w:pPr>
        <w:pStyle w:val="NoSpacing"/>
        <w:numPr>
          <w:ilvl w:val="0"/>
          <w:numId w:val="35"/>
        </w:numPr>
        <w:rPr>
          <w:rFonts w:ascii="Arial" w:hAnsi="Arial" w:cs="Arial"/>
          <w:sz w:val="20"/>
          <w:szCs w:val="20"/>
        </w:rPr>
      </w:pPr>
      <w:r w:rsidRPr="00E7613C">
        <w:rPr>
          <w:rFonts w:ascii="Arial" w:hAnsi="Arial" w:cs="Arial"/>
          <w:sz w:val="20"/>
          <w:szCs w:val="20"/>
        </w:rPr>
        <w:t xml:space="preserve">GenAI Policy. Developed and implemented a policy for the use of Generative AI. </w:t>
      </w:r>
    </w:p>
    <w:p w14:paraId="00B10F84" w14:textId="77777777" w:rsidR="006A3C9F" w:rsidRDefault="006A3C9F" w:rsidP="006A3C9F">
      <w:pPr>
        <w:pStyle w:val="NoSpacing"/>
        <w:numPr>
          <w:ilvl w:val="0"/>
          <w:numId w:val="35"/>
        </w:numPr>
        <w:rPr>
          <w:rFonts w:ascii="Arial" w:hAnsi="Arial" w:cs="Arial"/>
          <w:sz w:val="20"/>
          <w:szCs w:val="20"/>
        </w:rPr>
      </w:pPr>
      <w:r w:rsidRPr="00E7613C">
        <w:rPr>
          <w:rFonts w:ascii="Arial" w:hAnsi="Arial" w:cs="Arial"/>
          <w:sz w:val="20"/>
          <w:szCs w:val="20"/>
        </w:rPr>
        <w:t xml:space="preserve">Budget Transparency. Delivered on the promise of transparency and IT fiscal planning through a detailed budget packet. </w:t>
      </w:r>
    </w:p>
    <w:p w14:paraId="23ACEB82" w14:textId="77777777" w:rsidR="006A3C9F" w:rsidRDefault="006A3C9F" w:rsidP="006A3C9F">
      <w:pPr>
        <w:pStyle w:val="NoSpacing"/>
        <w:numPr>
          <w:ilvl w:val="0"/>
          <w:numId w:val="35"/>
        </w:numPr>
        <w:rPr>
          <w:rFonts w:ascii="Arial" w:hAnsi="Arial" w:cs="Arial"/>
          <w:sz w:val="20"/>
          <w:szCs w:val="20"/>
        </w:rPr>
      </w:pPr>
      <w:r>
        <w:rPr>
          <w:rFonts w:ascii="Arial" w:hAnsi="Arial" w:cs="Arial"/>
          <w:sz w:val="20"/>
          <w:szCs w:val="20"/>
        </w:rPr>
        <w:t>I</w:t>
      </w:r>
      <w:r w:rsidRPr="00E7613C">
        <w:rPr>
          <w:rFonts w:ascii="Arial" w:hAnsi="Arial" w:cs="Arial"/>
          <w:sz w:val="20"/>
          <w:szCs w:val="20"/>
        </w:rPr>
        <w:t xml:space="preserve">T Advisory Group. Formed an IT Advisory group to unify technology leaders and practitioners across the state for input on statewide initiatives. </w:t>
      </w:r>
    </w:p>
    <w:p w14:paraId="3BD3A8AE" w14:textId="77777777" w:rsidR="006A3C9F" w:rsidRDefault="006A3C9F" w:rsidP="006A3C9F">
      <w:pPr>
        <w:pStyle w:val="NoSpacing"/>
        <w:numPr>
          <w:ilvl w:val="0"/>
          <w:numId w:val="35"/>
        </w:numPr>
        <w:rPr>
          <w:rFonts w:ascii="Arial" w:hAnsi="Arial" w:cs="Arial"/>
          <w:sz w:val="20"/>
          <w:szCs w:val="20"/>
        </w:rPr>
      </w:pPr>
      <w:r w:rsidRPr="00E7613C">
        <w:rPr>
          <w:rFonts w:ascii="Arial" w:hAnsi="Arial" w:cs="Arial"/>
          <w:sz w:val="20"/>
          <w:szCs w:val="20"/>
        </w:rPr>
        <w:t xml:space="preserve">AWS Contact Center. Launched enterprise option to modernize, enhance customer interactions, and improve service delivery and overall operational efficiency through an AWS Contact Center. Idaho Transportation Department successfully launched this platform in March 2024. </w:t>
      </w:r>
    </w:p>
    <w:p w14:paraId="41FAE102" w14:textId="77777777" w:rsidR="006A3C9F" w:rsidRDefault="006A3C9F" w:rsidP="006A3C9F">
      <w:pPr>
        <w:pStyle w:val="NoSpacing"/>
        <w:numPr>
          <w:ilvl w:val="0"/>
          <w:numId w:val="35"/>
        </w:numPr>
        <w:rPr>
          <w:rFonts w:ascii="Arial" w:hAnsi="Arial" w:cs="Arial"/>
          <w:sz w:val="20"/>
          <w:szCs w:val="20"/>
        </w:rPr>
      </w:pPr>
      <w:r w:rsidRPr="00E7613C">
        <w:rPr>
          <w:rFonts w:ascii="Arial" w:hAnsi="Arial" w:cs="Arial"/>
          <w:sz w:val="20"/>
          <w:szCs w:val="20"/>
        </w:rPr>
        <w:t xml:space="preserve">Service Delivery Managers highlights: </w:t>
      </w:r>
    </w:p>
    <w:p w14:paraId="5096D7F3" w14:textId="77777777" w:rsidR="006A3C9F" w:rsidRDefault="006A3C9F" w:rsidP="006A3C9F">
      <w:pPr>
        <w:pStyle w:val="NoSpacing"/>
        <w:numPr>
          <w:ilvl w:val="1"/>
          <w:numId w:val="35"/>
        </w:numPr>
        <w:rPr>
          <w:rFonts w:ascii="Arial" w:hAnsi="Arial" w:cs="Arial"/>
          <w:sz w:val="20"/>
          <w:szCs w:val="20"/>
        </w:rPr>
      </w:pPr>
      <w:r w:rsidRPr="00E7613C">
        <w:rPr>
          <w:rFonts w:ascii="Arial" w:hAnsi="Arial" w:cs="Arial"/>
          <w:sz w:val="20"/>
          <w:szCs w:val="20"/>
        </w:rPr>
        <w:t xml:space="preserve">Heavy involvement in creating the agency budget packets, designed to give agencies a prediction of their IT spending for the designated budget year. </w:t>
      </w:r>
    </w:p>
    <w:p w14:paraId="45E77765" w14:textId="77777777" w:rsidR="006A3C9F" w:rsidRDefault="006A3C9F" w:rsidP="006A3C9F">
      <w:pPr>
        <w:pStyle w:val="NoSpacing"/>
        <w:numPr>
          <w:ilvl w:val="1"/>
          <w:numId w:val="35"/>
        </w:numPr>
        <w:rPr>
          <w:rFonts w:ascii="Arial" w:hAnsi="Arial" w:cs="Arial"/>
          <w:sz w:val="20"/>
          <w:szCs w:val="20"/>
        </w:rPr>
      </w:pPr>
      <w:r w:rsidRPr="00E7613C">
        <w:rPr>
          <w:rFonts w:ascii="Arial" w:hAnsi="Arial" w:cs="Arial"/>
          <w:sz w:val="20"/>
          <w:szCs w:val="20"/>
        </w:rPr>
        <w:t xml:space="preserve">Created and implemented a defined change management process, dramatically expanding the number of change windows when ITS can do necessary work while giving agencies visibility and predictability on when work will happen. </w:t>
      </w:r>
    </w:p>
    <w:p w14:paraId="5BDC29AB" w14:textId="77777777" w:rsidR="006A3C9F" w:rsidRDefault="006A3C9F" w:rsidP="006A3C9F">
      <w:pPr>
        <w:pStyle w:val="NoSpacing"/>
        <w:numPr>
          <w:ilvl w:val="1"/>
          <w:numId w:val="35"/>
        </w:numPr>
        <w:rPr>
          <w:rFonts w:ascii="Arial" w:hAnsi="Arial" w:cs="Arial"/>
          <w:sz w:val="20"/>
          <w:szCs w:val="20"/>
        </w:rPr>
      </w:pPr>
      <w:r w:rsidRPr="00E7613C">
        <w:rPr>
          <w:rFonts w:ascii="Arial" w:hAnsi="Arial" w:cs="Arial"/>
          <w:sz w:val="20"/>
          <w:szCs w:val="20"/>
        </w:rPr>
        <w:t xml:space="preserve">Facilitated rollout of two-factor authentication to more than 20 agencies, providing more state data protection. </w:t>
      </w:r>
    </w:p>
    <w:p w14:paraId="28376601" w14:textId="77777777" w:rsidR="006A3C9F" w:rsidRDefault="006A3C9F" w:rsidP="006A3C9F">
      <w:pPr>
        <w:pStyle w:val="NoSpacing"/>
        <w:numPr>
          <w:ilvl w:val="1"/>
          <w:numId w:val="35"/>
        </w:numPr>
        <w:rPr>
          <w:rFonts w:ascii="Arial" w:hAnsi="Arial" w:cs="Arial"/>
          <w:sz w:val="20"/>
          <w:szCs w:val="20"/>
        </w:rPr>
      </w:pPr>
      <w:r w:rsidRPr="00E7613C">
        <w:rPr>
          <w:rFonts w:ascii="Arial" w:hAnsi="Arial" w:cs="Arial"/>
          <w:sz w:val="20"/>
          <w:szCs w:val="20"/>
        </w:rPr>
        <w:t xml:space="preserve">Revised and updated the service level agreement (SLA) between ITS and supported agencies. </w:t>
      </w:r>
    </w:p>
    <w:p w14:paraId="705108E1" w14:textId="77777777" w:rsidR="006A3C9F" w:rsidRDefault="006A3C9F" w:rsidP="006A3C9F">
      <w:pPr>
        <w:pStyle w:val="NoSpacing"/>
        <w:rPr>
          <w:rFonts w:ascii="Arial" w:hAnsi="Arial" w:cs="Arial"/>
          <w:sz w:val="20"/>
          <w:szCs w:val="20"/>
        </w:rPr>
      </w:pPr>
      <w:r w:rsidRPr="007C59C0">
        <w:rPr>
          <w:rFonts w:ascii="Arial" w:hAnsi="Arial" w:cs="Arial"/>
          <w:b/>
          <w:bCs/>
          <w:sz w:val="20"/>
          <w:szCs w:val="20"/>
        </w:rPr>
        <w:t>Data and Spatial Services</w:t>
      </w:r>
      <w:r w:rsidRPr="00E7613C">
        <w:rPr>
          <w:rFonts w:ascii="Arial" w:hAnsi="Arial" w:cs="Arial"/>
          <w:sz w:val="20"/>
          <w:szCs w:val="20"/>
        </w:rPr>
        <w:t xml:space="preserve"> </w:t>
      </w:r>
    </w:p>
    <w:p w14:paraId="6FCE9BBE" w14:textId="77777777" w:rsidR="006A3C9F" w:rsidRDefault="006A3C9F" w:rsidP="006A3C9F">
      <w:pPr>
        <w:pStyle w:val="NoSpacing"/>
        <w:rPr>
          <w:rFonts w:ascii="Arial" w:hAnsi="Arial" w:cs="Arial"/>
          <w:sz w:val="20"/>
          <w:szCs w:val="20"/>
        </w:rPr>
      </w:pPr>
      <w:r w:rsidRPr="00E7613C">
        <w:rPr>
          <w:rFonts w:ascii="Arial" w:hAnsi="Arial" w:cs="Arial"/>
          <w:sz w:val="20"/>
          <w:szCs w:val="20"/>
        </w:rPr>
        <w:t xml:space="preserve">After dissolving the position of the Chief Data Officer last year, the staff was merged with the GIS staff in October 2024. Since then, we developed our charter and onboarded the Office of Drug Policy on the Snowflake data lake. </w:t>
      </w:r>
    </w:p>
    <w:p w14:paraId="6439B98A" w14:textId="77777777" w:rsidR="006A3C9F" w:rsidRDefault="006A3C9F" w:rsidP="006A3C9F">
      <w:pPr>
        <w:pStyle w:val="NoSpacing"/>
        <w:numPr>
          <w:ilvl w:val="0"/>
          <w:numId w:val="36"/>
        </w:numPr>
        <w:rPr>
          <w:rFonts w:ascii="Arial" w:hAnsi="Arial" w:cs="Arial"/>
          <w:sz w:val="20"/>
          <w:szCs w:val="20"/>
        </w:rPr>
      </w:pPr>
      <w:r w:rsidRPr="00E7613C">
        <w:rPr>
          <w:rFonts w:ascii="Arial" w:hAnsi="Arial" w:cs="Arial"/>
          <w:sz w:val="20"/>
          <w:szCs w:val="20"/>
        </w:rPr>
        <w:t xml:space="preserve">Agency support with GIS services: </w:t>
      </w:r>
    </w:p>
    <w:p w14:paraId="158FC42B" w14:textId="77777777" w:rsidR="006A3C9F" w:rsidRDefault="006A3C9F" w:rsidP="006A3C9F">
      <w:pPr>
        <w:pStyle w:val="NoSpacing"/>
        <w:numPr>
          <w:ilvl w:val="1"/>
          <w:numId w:val="36"/>
        </w:numPr>
        <w:rPr>
          <w:rFonts w:ascii="Arial" w:hAnsi="Arial" w:cs="Arial"/>
          <w:sz w:val="20"/>
          <w:szCs w:val="20"/>
        </w:rPr>
      </w:pPr>
      <w:r w:rsidRPr="00E7613C">
        <w:rPr>
          <w:rFonts w:ascii="Arial" w:hAnsi="Arial" w:cs="Arial"/>
          <w:sz w:val="20"/>
          <w:szCs w:val="20"/>
        </w:rPr>
        <w:t xml:space="preserve">Rebuilt 24 County Parcel Viewer applications, each customized to the specifications set by each county before returning the management and maintenance back to the Tax Commission. </w:t>
      </w:r>
    </w:p>
    <w:p w14:paraId="476561B7" w14:textId="77777777" w:rsidR="006A3C9F" w:rsidRDefault="006A3C9F" w:rsidP="006A3C9F">
      <w:pPr>
        <w:pStyle w:val="NoSpacing"/>
        <w:numPr>
          <w:ilvl w:val="1"/>
          <w:numId w:val="36"/>
        </w:numPr>
        <w:rPr>
          <w:rFonts w:ascii="Arial" w:hAnsi="Arial" w:cs="Arial"/>
          <w:sz w:val="20"/>
          <w:szCs w:val="20"/>
        </w:rPr>
      </w:pPr>
      <w:r w:rsidRPr="00E7613C">
        <w:rPr>
          <w:rFonts w:ascii="Arial" w:hAnsi="Arial" w:cs="Arial"/>
          <w:sz w:val="20"/>
          <w:szCs w:val="20"/>
        </w:rPr>
        <w:t xml:space="preserve">Provided the Department of Parks and Recreation extensive support modernizing their trails application. </w:t>
      </w:r>
    </w:p>
    <w:p w14:paraId="176276E2" w14:textId="77777777" w:rsidR="006A3C9F" w:rsidRDefault="006A3C9F" w:rsidP="006A3C9F">
      <w:pPr>
        <w:pStyle w:val="NoSpacing"/>
        <w:numPr>
          <w:ilvl w:val="1"/>
          <w:numId w:val="36"/>
        </w:numPr>
        <w:rPr>
          <w:rFonts w:ascii="Arial" w:hAnsi="Arial" w:cs="Arial"/>
          <w:sz w:val="20"/>
          <w:szCs w:val="20"/>
        </w:rPr>
      </w:pPr>
      <w:r w:rsidRPr="00E7613C">
        <w:rPr>
          <w:rFonts w:ascii="Arial" w:hAnsi="Arial" w:cs="Arial"/>
          <w:sz w:val="20"/>
          <w:szCs w:val="20"/>
        </w:rPr>
        <w:t xml:space="preserve">Created an election security application for the Secretary of State and the Idaho Office of Emergency Management that was used during the most recent primary elections. The application allows authorized users to enter and track specific incidents (like power outages, civil disturbances, etc.) and includes maps displaying polling stations, real-time power outages, weather events, and other data relevant to emergency response. </w:t>
      </w:r>
    </w:p>
    <w:p w14:paraId="377787EE" w14:textId="77777777" w:rsidR="006A3C9F" w:rsidRDefault="006A3C9F" w:rsidP="006A3C9F">
      <w:pPr>
        <w:pStyle w:val="NoSpacing"/>
        <w:numPr>
          <w:ilvl w:val="1"/>
          <w:numId w:val="36"/>
        </w:numPr>
        <w:rPr>
          <w:rFonts w:ascii="Arial" w:hAnsi="Arial" w:cs="Arial"/>
          <w:sz w:val="20"/>
          <w:szCs w:val="20"/>
        </w:rPr>
      </w:pPr>
      <w:r w:rsidRPr="00E7613C">
        <w:rPr>
          <w:rFonts w:ascii="Arial" w:hAnsi="Arial" w:cs="Arial"/>
          <w:sz w:val="20"/>
          <w:szCs w:val="20"/>
        </w:rPr>
        <w:t xml:space="preserve">Managed over 200 different GIS and Tableau licenses on behalf of over 25 different state agencies. </w:t>
      </w:r>
    </w:p>
    <w:p w14:paraId="7FA68867" w14:textId="77777777" w:rsidR="006A3C9F" w:rsidRDefault="006A3C9F" w:rsidP="006A3C9F">
      <w:pPr>
        <w:pStyle w:val="NoSpacing"/>
        <w:numPr>
          <w:ilvl w:val="0"/>
          <w:numId w:val="36"/>
        </w:numPr>
        <w:rPr>
          <w:rFonts w:ascii="Arial" w:hAnsi="Arial" w:cs="Arial"/>
          <w:sz w:val="20"/>
          <w:szCs w:val="20"/>
        </w:rPr>
      </w:pPr>
      <w:r w:rsidRPr="00E7613C">
        <w:rPr>
          <w:rFonts w:ascii="Arial" w:hAnsi="Arial" w:cs="Arial"/>
          <w:sz w:val="20"/>
          <w:szCs w:val="20"/>
        </w:rPr>
        <w:t xml:space="preserve">ITS team support: </w:t>
      </w:r>
    </w:p>
    <w:p w14:paraId="32CBDA8B" w14:textId="77777777" w:rsidR="006A3C9F" w:rsidRDefault="006A3C9F" w:rsidP="006A3C9F">
      <w:pPr>
        <w:pStyle w:val="NoSpacing"/>
        <w:numPr>
          <w:ilvl w:val="1"/>
          <w:numId w:val="36"/>
        </w:numPr>
        <w:rPr>
          <w:rFonts w:ascii="Arial" w:hAnsi="Arial" w:cs="Arial"/>
          <w:sz w:val="20"/>
          <w:szCs w:val="20"/>
        </w:rPr>
      </w:pPr>
      <w:r w:rsidRPr="00E7613C">
        <w:rPr>
          <w:rFonts w:ascii="Arial" w:hAnsi="Arial" w:cs="Arial"/>
          <w:sz w:val="20"/>
          <w:szCs w:val="20"/>
        </w:rPr>
        <w:t xml:space="preserve">Developed the Budget Package application framework. </w:t>
      </w:r>
      <w:r>
        <w:rPr>
          <w:rFonts w:ascii="Arial" w:hAnsi="Arial" w:cs="Arial"/>
          <w:sz w:val="20"/>
          <w:szCs w:val="20"/>
        </w:rPr>
        <w:tab/>
      </w:r>
    </w:p>
    <w:p w14:paraId="518BDB8A" w14:textId="77777777" w:rsidR="006A3C9F" w:rsidRDefault="006A3C9F" w:rsidP="006A3C9F">
      <w:pPr>
        <w:pStyle w:val="NoSpacing"/>
        <w:numPr>
          <w:ilvl w:val="1"/>
          <w:numId w:val="36"/>
        </w:numPr>
        <w:rPr>
          <w:rFonts w:ascii="Arial" w:hAnsi="Arial" w:cs="Arial"/>
          <w:sz w:val="20"/>
          <w:szCs w:val="20"/>
        </w:rPr>
      </w:pPr>
      <w:r w:rsidRPr="00E7613C">
        <w:rPr>
          <w:rFonts w:ascii="Arial" w:hAnsi="Arial" w:cs="Arial"/>
          <w:sz w:val="20"/>
          <w:szCs w:val="20"/>
        </w:rPr>
        <w:t xml:space="preserve">Connected license information from Microsoft, Adobe, and other vendors to a dashboard highlighting license usage and identifying licenses that have been assigned, but are no longer used. This information will help ITS manage those software licenses more efficiently. </w:t>
      </w:r>
    </w:p>
    <w:p w14:paraId="7D721D30" w14:textId="77777777" w:rsidR="006A3C9F" w:rsidRDefault="006A3C9F" w:rsidP="006A3C9F">
      <w:pPr>
        <w:pStyle w:val="NoSpacing"/>
        <w:numPr>
          <w:ilvl w:val="1"/>
          <w:numId w:val="36"/>
        </w:numPr>
        <w:rPr>
          <w:rFonts w:ascii="Arial" w:hAnsi="Arial" w:cs="Arial"/>
          <w:sz w:val="20"/>
          <w:szCs w:val="20"/>
        </w:rPr>
      </w:pPr>
      <w:r w:rsidRPr="00E7613C">
        <w:rPr>
          <w:rFonts w:ascii="Arial" w:hAnsi="Arial" w:cs="Arial"/>
          <w:sz w:val="20"/>
          <w:szCs w:val="20"/>
        </w:rPr>
        <w:t xml:space="preserve">Developed a map dashboard displaying network endpoints, internet speeds, technology, and other aspects to provide the operations team with a high-level operational picture to support planning efforts. </w:t>
      </w:r>
    </w:p>
    <w:p w14:paraId="1DD6B566" w14:textId="77777777" w:rsidR="006A3C9F" w:rsidRDefault="006A3C9F" w:rsidP="006A3C9F">
      <w:pPr>
        <w:pStyle w:val="NoSpacing"/>
        <w:numPr>
          <w:ilvl w:val="0"/>
          <w:numId w:val="36"/>
        </w:numPr>
        <w:rPr>
          <w:rFonts w:ascii="Arial" w:hAnsi="Arial" w:cs="Arial"/>
          <w:sz w:val="20"/>
          <w:szCs w:val="20"/>
        </w:rPr>
      </w:pPr>
      <w:r w:rsidRPr="007C59C0">
        <w:rPr>
          <w:rFonts w:ascii="Arial" w:hAnsi="Arial" w:cs="Arial"/>
          <w:sz w:val="20"/>
          <w:szCs w:val="20"/>
        </w:rPr>
        <w:t xml:space="preserve">Department of Commerce Idaho Broadband Office </w:t>
      </w:r>
    </w:p>
    <w:p w14:paraId="50F9C061" w14:textId="77777777" w:rsidR="006A3C9F" w:rsidRDefault="006A3C9F" w:rsidP="006A3C9F">
      <w:pPr>
        <w:pStyle w:val="NoSpacing"/>
        <w:numPr>
          <w:ilvl w:val="1"/>
          <w:numId w:val="36"/>
        </w:numPr>
        <w:rPr>
          <w:rFonts w:ascii="Arial" w:hAnsi="Arial" w:cs="Arial"/>
          <w:sz w:val="20"/>
          <w:szCs w:val="20"/>
        </w:rPr>
      </w:pPr>
      <w:r w:rsidRPr="007C59C0">
        <w:rPr>
          <w:rFonts w:ascii="Arial" w:hAnsi="Arial" w:cs="Arial"/>
          <w:sz w:val="20"/>
          <w:szCs w:val="20"/>
        </w:rPr>
        <w:t xml:space="preserve">Worked closely with the Department of Commerce to build and deploy all online tools and applications needed for the Broadband Equity, Access, and Deployment Program (BEAD) program. Doing it in-house instead of using a vendor saved Idaho money and allowed the Idaho Broadband Office to maintain control over the process and respond quickly to changing requirements. </w:t>
      </w:r>
    </w:p>
    <w:p w14:paraId="1856172B" w14:textId="77777777" w:rsidR="006A3C9F" w:rsidRDefault="006A3C9F" w:rsidP="006A3C9F">
      <w:pPr>
        <w:pStyle w:val="NoSpacing"/>
        <w:numPr>
          <w:ilvl w:val="0"/>
          <w:numId w:val="36"/>
        </w:numPr>
        <w:rPr>
          <w:rFonts w:ascii="Arial" w:hAnsi="Arial" w:cs="Arial"/>
          <w:sz w:val="20"/>
          <w:szCs w:val="20"/>
        </w:rPr>
      </w:pPr>
      <w:r w:rsidRPr="007C59C0">
        <w:rPr>
          <w:rFonts w:ascii="Arial" w:hAnsi="Arial" w:cs="Arial"/>
          <w:sz w:val="20"/>
          <w:szCs w:val="20"/>
        </w:rPr>
        <w:t xml:space="preserve">Next Generation 9-1-1 </w:t>
      </w:r>
    </w:p>
    <w:p w14:paraId="39C37C80" w14:textId="77777777" w:rsidR="006A3C9F" w:rsidRDefault="006A3C9F" w:rsidP="006A3C9F">
      <w:pPr>
        <w:pStyle w:val="NoSpacing"/>
        <w:numPr>
          <w:ilvl w:val="1"/>
          <w:numId w:val="36"/>
        </w:numPr>
        <w:rPr>
          <w:rFonts w:ascii="Arial" w:hAnsi="Arial" w:cs="Arial"/>
          <w:sz w:val="20"/>
          <w:szCs w:val="20"/>
        </w:rPr>
      </w:pPr>
      <w:r w:rsidRPr="007C59C0">
        <w:rPr>
          <w:rFonts w:ascii="Arial" w:hAnsi="Arial" w:cs="Arial"/>
          <w:sz w:val="20"/>
          <w:szCs w:val="20"/>
        </w:rPr>
        <w:t>Continued working on improving GIS data required for the planned implementation of NG9-1-1. Fixed thousands of data anomalies all over the state, educated and empowered GIS professionals in</w:t>
      </w:r>
      <w:r w:rsidRPr="007C59C0">
        <w:t xml:space="preserve"> </w:t>
      </w:r>
      <w:r w:rsidRPr="007C59C0">
        <w:rPr>
          <w:rFonts w:ascii="Arial" w:hAnsi="Arial" w:cs="Arial"/>
          <w:sz w:val="20"/>
          <w:szCs w:val="20"/>
        </w:rPr>
        <w:lastRenderedPageBreak/>
        <w:t xml:space="preserve">counties to working on their own data, and was awarded a Special Achievement in GIS (SIG) award by Esri for our efforts. </w:t>
      </w:r>
    </w:p>
    <w:p w14:paraId="1B8C16F7" w14:textId="77777777" w:rsidR="006A3C9F" w:rsidRDefault="006A3C9F" w:rsidP="006A3C9F">
      <w:pPr>
        <w:pStyle w:val="NoSpacing"/>
        <w:rPr>
          <w:rFonts w:ascii="Arial" w:hAnsi="Arial" w:cs="Arial"/>
          <w:sz w:val="20"/>
          <w:szCs w:val="20"/>
        </w:rPr>
      </w:pPr>
      <w:r w:rsidRPr="007C59C0">
        <w:rPr>
          <w:rFonts w:ascii="Arial" w:hAnsi="Arial" w:cs="Arial"/>
          <w:b/>
          <w:bCs/>
          <w:sz w:val="20"/>
          <w:szCs w:val="20"/>
        </w:rPr>
        <w:t>Application Development &amp; Database</w:t>
      </w:r>
      <w:r w:rsidRPr="007C59C0">
        <w:rPr>
          <w:rFonts w:ascii="Arial" w:hAnsi="Arial" w:cs="Arial"/>
          <w:sz w:val="20"/>
          <w:szCs w:val="20"/>
        </w:rPr>
        <w:t xml:space="preserve"> </w:t>
      </w:r>
    </w:p>
    <w:p w14:paraId="6859BAC0" w14:textId="77777777" w:rsidR="006A3C9F" w:rsidRDefault="006A3C9F" w:rsidP="006A3C9F">
      <w:pPr>
        <w:pStyle w:val="NoSpacing"/>
        <w:numPr>
          <w:ilvl w:val="0"/>
          <w:numId w:val="37"/>
        </w:numPr>
        <w:rPr>
          <w:rFonts w:ascii="Arial" w:hAnsi="Arial" w:cs="Arial"/>
          <w:sz w:val="20"/>
          <w:szCs w:val="20"/>
        </w:rPr>
      </w:pPr>
      <w:r w:rsidRPr="007C59C0">
        <w:rPr>
          <w:rFonts w:ascii="Arial" w:hAnsi="Arial" w:cs="Arial"/>
          <w:sz w:val="20"/>
          <w:szCs w:val="20"/>
        </w:rPr>
        <w:t xml:space="preserve">Created and delivered the IDWR Water District 01 billing application, an internal application tracking water users, diversions, and the associated annual payments due. This new application supports the annual billing of around 1 million dollars to approximately 430 water users representing 670 diversions. </w:t>
      </w:r>
    </w:p>
    <w:p w14:paraId="555E3A5B" w14:textId="77777777" w:rsidR="006A3C9F" w:rsidRDefault="006A3C9F" w:rsidP="006A3C9F">
      <w:pPr>
        <w:pStyle w:val="NoSpacing"/>
        <w:numPr>
          <w:ilvl w:val="0"/>
          <w:numId w:val="37"/>
        </w:numPr>
        <w:rPr>
          <w:rFonts w:ascii="Arial" w:hAnsi="Arial" w:cs="Arial"/>
          <w:sz w:val="20"/>
          <w:szCs w:val="20"/>
        </w:rPr>
      </w:pPr>
      <w:r w:rsidRPr="007C59C0">
        <w:rPr>
          <w:rFonts w:ascii="Arial" w:hAnsi="Arial" w:cs="Arial"/>
          <w:sz w:val="20"/>
          <w:szCs w:val="20"/>
        </w:rPr>
        <w:t xml:space="preserve">Developed and delivered the IDWR Well Driller application. This is a public-facing application that allows the Idaho well drillers to apply for well drilling Start Cards, Long Form Driller Permits, and Blanket Permits, as well as pay for the permits online. </w:t>
      </w:r>
    </w:p>
    <w:p w14:paraId="1AF19066" w14:textId="77777777" w:rsidR="006A3C9F" w:rsidRDefault="006A3C9F" w:rsidP="006A3C9F">
      <w:pPr>
        <w:pStyle w:val="NoSpacing"/>
        <w:numPr>
          <w:ilvl w:val="0"/>
          <w:numId w:val="37"/>
        </w:numPr>
        <w:rPr>
          <w:rFonts w:ascii="Arial" w:hAnsi="Arial" w:cs="Arial"/>
          <w:sz w:val="20"/>
          <w:szCs w:val="20"/>
        </w:rPr>
      </w:pPr>
      <w:r w:rsidRPr="007C59C0">
        <w:rPr>
          <w:rFonts w:ascii="Arial" w:hAnsi="Arial" w:cs="Arial"/>
          <w:sz w:val="20"/>
          <w:szCs w:val="20"/>
        </w:rPr>
        <w:t xml:space="preserve">Collaborated with Department of Environmental Quality to produce and launch their new air quality map. This map is now accessible as a native application on iOS and Android and a web application. </w:t>
      </w:r>
    </w:p>
    <w:p w14:paraId="403D5CA4" w14:textId="77777777" w:rsidR="006A3C9F" w:rsidRDefault="006A3C9F" w:rsidP="006A3C9F">
      <w:pPr>
        <w:pStyle w:val="NoSpacing"/>
        <w:numPr>
          <w:ilvl w:val="0"/>
          <w:numId w:val="37"/>
        </w:numPr>
        <w:rPr>
          <w:rFonts w:ascii="Arial" w:hAnsi="Arial" w:cs="Arial"/>
          <w:sz w:val="20"/>
          <w:szCs w:val="20"/>
        </w:rPr>
      </w:pPr>
      <w:r w:rsidRPr="007C59C0">
        <w:rPr>
          <w:rFonts w:ascii="Arial" w:hAnsi="Arial" w:cs="Arial"/>
          <w:sz w:val="20"/>
          <w:szCs w:val="20"/>
        </w:rPr>
        <w:t xml:space="preserve">Supported Division of Occupational and Professional Licenses and FAST Enterprises with the data migration of legacy application data during the phase one rollout of the new Oasis licensing system. </w:t>
      </w:r>
    </w:p>
    <w:p w14:paraId="0D17D347" w14:textId="77777777" w:rsidR="006A3C9F" w:rsidRDefault="006A3C9F" w:rsidP="006A3C9F">
      <w:pPr>
        <w:pStyle w:val="NoSpacing"/>
        <w:numPr>
          <w:ilvl w:val="0"/>
          <w:numId w:val="37"/>
        </w:numPr>
        <w:rPr>
          <w:rFonts w:ascii="Arial" w:hAnsi="Arial" w:cs="Arial"/>
          <w:sz w:val="20"/>
          <w:szCs w:val="20"/>
        </w:rPr>
      </w:pPr>
      <w:r w:rsidRPr="007C59C0">
        <w:rPr>
          <w:rFonts w:ascii="Arial" w:hAnsi="Arial" w:cs="Arial"/>
          <w:sz w:val="20"/>
          <w:szCs w:val="20"/>
        </w:rPr>
        <w:t xml:space="preserve">Streamlined automated LUMA interface data transfers for several state agencies (ISHS, ITS, ADM &amp; DVR). </w:t>
      </w:r>
    </w:p>
    <w:p w14:paraId="6610FA25" w14:textId="77777777" w:rsidR="006A3C9F" w:rsidRDefault="006A3C9F" w:rsidP="006A3C9F">
      <w:pPr>
        <w:pStyle w:val="NoSpacing"/>
        <w:numPr>
          <w:ilvl w:val="0"/>
          <w:numId w:val="37"/>
        </w:numPr>
        <w:rPr>
          <w:rFonts w:ascii="Arial" w:hAnsi="Arial" w:cs="Arial"/>
          <w:sz w:val="20"/>
          <w:szCs w:val="20"/>
        </w:rPr>
      </w:pPr>
      <w:r w:rsidRPr="007C59C0">
        <w:rPr>
          <w:rFonts w:ascii="Arial" w:hAnsi="Arial" w:cs="Arial"/>
          <w:sz w:val="20"/>
          <w:szCs w:val="20"/>
        </w:rPr>
        <w:t xml:space="preserve">Partnered with Broadcom to validate cloud concepts for application modernization. The application development team successfully transformed a legacy application into a cloud-ready, scalable solution. </w:t>
      </w:r>
    </w:p>
    <w:p w14:paraId="345955DA" w14:textId="77777777" w:rsidR="006A3C9F" w:rsidRDefault="006A3C9F" w:rsidP="006A3C9F">
      <w:pPr>
        <w:pStyle w:val="NoSpacing"/>
        <w:rPr>
          <w:rFonts w:ascii="Arial" w:hAnsi="Arial" w:cs="Arial"/>
          <w:sz w:val="20"/>
          <w:szCs w:val="20"/>
        </w:rPr>
      </w:pPr>
    </w:p>
    <w:p w14:paraId="623F6210" w14:textId="77777777" w:rsidR="006A3C9F" w:rsidRDefault="006A3C9F" w:rsidP="006A3C9F">
      <w:pPr>
        <w:pStyle w:val="NoSpacing"/>
        <w:rPr>
          <w:rFonts w:ascii="Arial" w:hAnsi="Arial" w:cs="Arial"/>
          <w:sz w:val="20"/>
          <w:szCs w:val="20"/>
        </w:rPr>
      </w:pPr>
      <w:r w:rsidRPr="007C59C0">
        <w:rPr>
          <w:rFonts w:ascii="Arial" w:hAnsi="Arial" w:cs="Arial"/>
          <w:b/>
          <w:bCs/>
          <w:sz w:val="20"/>
          <w:szCs w:val="20"/>
          <w:u w:val="single"/>
        </w:rPr>
        <w:t>Communications</w:t>
      </w:r>
      <w:r w:rsidRPr="007C59C0">
        <w:rPr>
          <w:rFonts w:ascii="Arial" w:hAnsi="Arial" w:cs="Arial"/>
          <w:sz w:val="20"/>
          <w:szCs w:val="20"/>
        </w:rPr>
        <w:t xml:space="preserve"> </w:t>
      </w:r>
    </w:p>
    <w:p w14:paraId="34A1DFCC" w14:textId="77777777" w:rsidR="006A3C9F" w:rsidRDefault="006A3C9F" w:rsidP="006A3C9F">
      <w:pPr>
        <w:pStyle w:val="NoSpacing"/>
        <w:numPr>
          <w:ilvl w:val="0"/>
          <w:numId w:val="38"/>
        </w:numPr>
        <w:rPr>
          <w:rFonts w:ascii="Arial" w:hAnsi="Arial" w:cs="Arial"/>
          <w:sz w:val="20"/>
          <w:szCs w:val="20"/>
        </w:rPr>
      </w:pPr>
      <w:r w:rsidRPr="007C59C0">
        <w:rPr>
          <w:rFonts w:ascii="Arial" w:hAnsi="Arial" w:cs="Arial"/>
          <w:sz w:val="20"/>
          <w:szCs w:val="20"/>
        </w:rPr>
        <w:t xml:space="preserve">Enhancing communications channels has been a priority. Deliverables have included a new website, brand guide, internal SharePoint site, monthly and quarterly email bulletins for employees and statewide customers and partners, materials for agencies joining ITS, statewide cybersecurity campaign messaging/resources, and service delivery messages about IT events. </w:t>
      </w:r>
    </w:p>
    <w:p w14:paraId="411362BC" w14:textId="77777777" w:rsidR="006A3C9F" w:rsidRDefault="006A3C9F" w:rsidP="006A3C9F">
      <w:pPr>
        <w:pStyle w:val="NoSpacing"/>
        <w:rPr>
          <w:rFonts w:ascii="Arial" w:hAnsi="Arial" w:cs="Arial"/>
          <w:sz w:val="20"/>
          <w:szCs w:val="20"/>
        </w:rPr>
      </w:pPr>
    </w:p>
    <w:p w14:paraId="1FBFA708" w14:textId="77777777" w:rsidR="006A3C9F" w:rsidRDefault="006A3C9F" w:rsidP="006A3C9F">
      <w:pPr>
        <w:pStyle w:val="NoSpacing"/>
        <w:rPr>
          <w:rFonts w:ascii="Arial" w:hAnsi="Arial" w:cs="Arial"/>
          <w:sz w:val="20"/>
          <w:szCs w:val="20"/>
        </w:rPr>
      </w:pPr>
      <w:r w:rsidRPr="007C59C0">
        <w:rPr>
          <w:rFonts w:ascii="Arial" w:hAnsi="Arial" w:cs="Arial"/>
          <w:b/>
          <w:bCs/>
          <w:sz w:val="20"/>
          <w:szCs w:val="20"/>
          <w:u w:val="single"/>
        </w:rPr>
        <w:t>Human Resources</w:t>
      </w:r>
      <w:r w:rsidRPr="007C59C0">
        <w:rPr>
          <w:rFonts w:ascii="Arial" w:hAnsi="Arial" w:cs="Arial"/>
          <w:sz w:val="20"/>
          <w:szCs w:val="20"/>
        </w:rPr>
        <w:t xml:space="preserve"> </w:t>
      </w:r>
    </w:p>
    <w:p w14:paraId="1677A47E" w14:textId="77777777" w:rsidR="006A3C9F" w:rsidRDefault="006A3C9F" w:rsidP="006A3C9F">
      <w:pPr>
        <w:pStyle w:val="NoSpacing"/>
        <w:numPr>
          <w:ilvl w:val="0"/>
          <w:numId w:val="38"/>
        </w:numPr>
        <w:rPr>
          <w:rFonts w:ascii="Arial" w:hAnsi="Arial" w:cs="Arial"/>
          <w:sz w:val="20"/>
          <w:szCs w:val="20"/>
        </w:rPr>
      </w:pPr>
      <w:r w:rsidRPr="007C59C0">
        <w:rPr>
          <w:rFonts w:ascii="Arial" w:hAnsi="Arial" w:cs="Arial"/>
          <w:sz w:val="20"/>
          <w:szCs w:val="20"/>
        </w:rPr>
        <w:t xml:space="preserve">Agency vacancy rate: 2.84% </w:t>
      </w:r>
    </w:p>
    <w:p w14:paraId="06EE2D4D" w14:textId="77777777" w:rsidR="006A3C9F" w:rsidRDefault="006A3C9F" w:rsidP="006A3C9F">
      <w:pPr>
        <w:pStyle w:val="NoSpacing"/>
        <w:numPr>
          <w:ilvl w:val="0"/>
          <w:numId w:val="38"/>
        </w:numPr>
        <w:rPr>
          <w:rFonts w:ascii="Arial" w:hAnsi="Arial" w:cs="Arial"/>
          <w:sz w:val="20"/>
          <w:szCs w:val="20"/>
        </w:rPr>
      </w:pPr>
      <w:r w:rsidRPr="007C59C0">
        <w:rPr>
          <w:rFonts w:ascii="Arial" w:hAnsi="Arial" w:cs="Arial"/>
          <w:sz w:val="20"/>
          <w:szCs w:val="20"/>
        </w:rPr>
        <w:t xml:space="preserve">Agency turnover rate: 11.96% </w:t>
      </w:r>
    </w:p>
    <w:p w14:paraId="7A4C86EF" w14:textId="77777777" w:rsidR="006A3C9F" w:rsidRDefault="006A3C9F" w:rsidP="006A3C9F">
      <w:pPr>
        <w:pStyle w:val="NoSpacing"/>
        <w:numPr>
          <w:ilvl w:val="0"/>
          <w:numId w:val="38"/>
        </w:numPr>
        <w:rPr>
          <w:rFonts w:ascii="Arial" w:hAnsi="Arial" w:cs="Arial"/>
          <w:sz w:val="20"/>
          <w:szCs w:val="20"/>
        </w:rPr>
      </w:pPr>
      <w:r w:rsidRPr="007C59C0">
        <w:rPr>
          <w:rFonts w:ascii="Arial" w:hAnsi="Arial" w:cs="Arial"/>
          <w:sz w:val="20"/>
          <w:szCs w:val="20"/>
        </w:rPr>
        <w:t xml:space="preserve">Statewide cybersecurity training completion percentage: 100% </w:t>
      </w:r>
    </w:p>
    <w:p w14:paraId="64E18638" w14:textId="77777777" w:rsidR="006A3C9F" w:rsidRDefault="006A3C9F" w:rsidP="006A3C9F">
      <w:pPr>
        <w:pStyle w:val="NoSpacing"/>
        <w:numPr>
          <w:ilvl w:val="0"/>
          <w:numId w:val="38"/>
        </w:numPr>
        <w:rPr>
          <w:rFonts w:ascii="Arial" w:hAnsi="Arial" w:cs="Arial"/>
          <w:sz w:val="20"/>
          <w:szCs w:val="20"/>
        </w:rPr>
      </w:pPr>
      <w:r w:rsidRPr="007C59C0">
        <w:rPr>
          <w:rFonts w:ascii="Arial" w:hAnsi="Arial" w:cs="Arial"/>
          <w:sz w:val="20"/>
          <w:szCs w:val="20"/>
        </w:rPr>
        <w:t xml:space="preserve">Statewide respectful workplace training completion percentage: 100% </w:t>
      </w:r>
    </w:p>
    <w:p w14:paraId="3AE6F4E0" w14:textId="77777777" w:rsidR="006A3C9F" w:rsidRDefault="006A3C9F" w:rsidP="006A3C9F">
      <w:pPr>
        <w:pStyle w:val="NoSpacing"/>
        <w:numPr>
          <w:ilvl w:val="0"/>
          <w:numId w:val="38"/>
        </w:numPr>
        <w:rPr>
          <w:rFonts w:ascii="Arial" w:hAnsi="Arial" w:cs="Arial"/>
          <w:sz w:val="20"/>
          <w:szCs w:val="20"/>
        </w:rPr>
      </w:pPr>
      <w:r w:rsidRPr="007C59C0">
        <w:rPr>
          <w:rFonts w:ascii="Arial" w:hAnsi="Arial" w:cs="Arial"/>
          <w:sz w:val="20"/>
          <w:szCs w:val="20"/>
        </w:rPr>
        <w:t xml:space="preserve">Recruiting: </w:t>
      </w:r>
    </w:p>
    <w:p w14:paraId="494D09BE" w14:textId="77777777" w:rsidR="006A3C9F" w:rsidRDefault="006A3C9F" w:rsidP="006A3C9F">
      <w:pPr>
        <w:pStyle w:val="NoSpacing"/>
        <w:numPr>
          <w:ilvl w:val="1"/>
          <w:numId w:val="38"/>
        </w:numPr>
        <w:rPr>
          <w:rFonts w:ascii="Arial" w:hAnsi="Arial" w:cs="Arial"/>
          <w:sz w:val="20"/>
          <w:szCs w:val="20"/>
        </w:rPr>
      </w:pPr>
      <w:r w:rsidRPr="007C59C0">
        <w:rPr>
          <w:rFonts w:ascii="Arial" w:hAnsi="Arial" w:cs="Arial"/>
          <w:sz w:val="20"/>
          <w:szCs w:val="20"/>
        </w:rPr>
        <w:t xml:space="preserve">88 positions hired during FY 2024 (includes 43 positions received during Phase 3 of IT Modernization). </w:t>
      </w:r>
    </w:p>
    <w:p w14:paraId="2B7BAC18" w14:textId="77777777" w:rsidR="006A3C9F" w:rsidRDefault="006A3C9F" w:rsidP="006A3C9F">
      <w:pPr>
        <w:pStyle w:val="NoSpacing"/>
        <w:numPr>
          <w:ilvl w:val="0"/>
          <w:numId w:val="38"/>
        </w:numPr>
        <w:rPr>
          <w:rFonts w:ascii="Arial" w:hAnsi="Arial" w:cs="Arial"/>
          <w:sz w:val="20"/>
          <w:szCs w:val="20"/>
        </w:rPr>
      </w:pPr>
      <w:r w:rsidRPr="007C59C0">
        <w:rPr>
          <w:rFonts w:ascii="Arial" w:hAnsi="Arial" w:cs="Arial"/>
          <w:sz w:val="20"/>
          <w:szCs w:val="20"/>
        </w:rPr>
        <w:t xml:space="preserve">Conducted Leadership Training for Managers &amp; Supervisors July-November 2023. </w:t>
      </w:r>
    </w:p>
    <w:p w14:paraId="4285E80A" w14:textId="77777777" w:rsidR="006A3C9F" w:rsidRDefault="006A3C9F" w:rsidP="006A3C9F">
      <w:pPr>
        <w:pStyle w:val="NoSpacing"/>
        <w:rPr>
          <w:rFonts w:ascii="Arial" w:hAnsi="Arial" w:cs="Arial"/>
          <w:sz w:val="20"/>
          <w:szCs w:val="20"/>
        </w:rPr>
      </w:pPr>
    </w:p>
    <w:p w14:paraId="2623A0E0" w14:textId="77777777" w:rsidR="006A3C9F" w:rsidRDefault="006A3C9F" w:rsidP="006A3C9F">
      <w:pPr>
        <w:pStyle w:val="NoSpacing"/>
        <w:rPr>
          <w:rFonts w:ascii="Arial" w:hAnsi="Arial" w:cs="Arial"/>
          <w:sz w:val="20"/>
          <w:szCs w:val="20"/>
        </w:rPr>
      </w:pPr>
      <w:r w:rsidRPr="007C59C0">
        <w:rPr>
          <w:rFonts w:ascii="Arial" w:hAnsi="Arial" w:cs="Arial"/>
          <w:b/>
          <w:bCs/>
          <w:sz w:val="20"/>
          <w:szCs w:val="20"/>
          <w:u w:val="single"/>
        </w:rPr>
        <w:t>Project Successes</w:t>
      </w:r>
      <w:r w:rsidRPr="007C59C0">
        <w:rPr>
          <w:rFonts w:ascii="Arial" w:hAnsi="Arial" w:cs="Arial"/>
          <w:sz w:val="20"/>
          <w:szCs w:val="20"/>
        </w:rPr>
        <w:t xml:space="preserve"> </w:t>
      </w:r>
    </w:p>
    <w:p w14:paraId="3FDF71AA" w14:textId="77777777" w:rsidR="006A3C9F" w:rsidRDefault="006A3C9F" w:rsidP="006A3C9F">
      <w:pPr>
        <w:pStyle w:val="NoSpacing"/>
        <w:numPr>
          <w:ilvl w:val="0"/>
          <w:numId w:val="39"/>
        </w:numPr>
        <w:rPr>
          <w:rFonts w:ascii="Arial" w:hAnsi="Arial" w:cs="Arial"/>
          <w:sz w:val="20"/>
          <w:szCs w:val="20"/>
        </w:rPr>
      </w:pPr>
      <w:r w:rsidRPr="007C59C0">
        <w:rPr>
          <w:rFonts w:ascii="Arial" w:hAnsi="Arial" w:cs="Arial"/>
          <w:sz w:val="20"/>
          <w:szCs w:val="20"/>
        </w:rPr>
        <w:t xml:space="preserve">Infrastructure migrations (VxRail). Migrated six agencies, including Idaho Transportation Department, Division of Vocational Rehabilitation, Governor’s Office, Potato Commission, Division of Occupational and Professional Licenses, and Department of Correction. This reduces server/storage costs and allows for better security, service, and support. </w:t>
      </w:r>
    </w:p>
    <w:p w14:paraId="7A185AC0" w14:textId="77777777" w:rsidR="006A3C9F" w:rsidRDefault="006A3C9F" w:rsidP="006A3C9F">
      <w:pPr>
        <w:pStyle w:val="NoSpacing"/>
        <w:numPr>
          <w:ilvl w:val="0"/>
          <w:numId w:val="39"/>
        </w:numPr>
        <w:rPr>
          <w:rFonts w:ascii="Arial" w:hAnsi="Arial" w:cs="Arial"/>
          <w:sz w:val="20"/>
          <w:szCs w:val="20"/>
        </w:rPr>
      </w:pPr>
      <w:r w:rsidRPr="007C59C0">
        <w:rPr>
          <w:rFonts w:ascii="Arial" w:hAnsi="Arial" w:cs="Arial"/>
          <w:sz w:val="20"/>
          <w:szCs w:val="20"/>
        </w:rPr>
        <w:t xml:space="preserve">Idaho Transportation Department VxRail migration. Completed 21 waves of migrations over five months. Out of 601 original servers, there were 360 total servers migrated, 82 decommissioned, 19 new servers built, and 140 evaluated and not moved. </w:t>
      </w:r>
    </w:p>
    <w:p w14:paraId="135E6958" w14:textId="77777777" w:rsidR="006A3C9F" w:rsidRDefault="006A3C9F" w:rsidP="006A3C9F">
      <w:pPr>
        <w:pStyle w:val="NoSpacing"/>
        <w:numPr>
          <w:ilvl w:val="0"/>
          <w:numId w:val="39"/>
        </w:numPr>
        <w:rPr>
          <w:rFonts w:ascii="Arial" w:hAnsi="Arial" w:cs="Arial"/>
          <w:sz w:val="20"/>
          <w:szCs w:val="20"/>
        </w:rPr>
      </w:pPr>
      <w:r w:rsidRPr="007C59C0">
        <w:rPr>
          <w:rFonts w:ascii="Arial" w:hAnsi="Arial" w:cs="Arial"/>
          <w:sz w:val="20"/>
          <w:szCs w:val="20"/>
        </w:rPr>
        <w:t xml:space="preserve">Enhanced project team to include an additional Project Manager and onboarding three Business Analysts to help facilitate project management. </w:t>
      </w:r>
    </w:p>
    <w:p w14:paraId="27FC1688" w14:textId="77777777" w:rsidR="006A3C9F" w:rsidRDefault="006A3C9F" w:rsidP="006A3C9F">
      <w:pPr>
        <w:pStyle w:val="NoSpacing"/>
        <w:numPr>
          <w:ilvl w:val="0"/>
          <w:numId w:val="39"/>
        </w:numPr>
        <w:rPr>
          <w:rFonts w:ascii="Arial" w:hAnsi="Arial" w:cs="Arial"/>
          <w:sz w:val="20"/>
          <w:szCs w:val="20"/>
        </w:rPr>
      </w:pPr>
      <w:r w:rsidRPr="007C59C0">
        <w:rPr>
          <w:rFonts w:ascii="Arial" w:hAnsi="Arial" w:cs="Arial"/>
          <w:sz w:val="20"/>
          <w:szCs w:val="20"/>
        </w:rPr>
        <w:t xml:space="preserve">Started performance reporting to teams and leadership for capacity and resource planning. </w:t>
      </w:r>
    </w:p>
    <w:p w14:paraId="0CF936C7" w14:textId="77777777" w:rsidR="006A3C9F" w:rsidRDefault="006A3C9F" w:rsidP="006A3C9F">
      <w:pPr>
        <w:pStyle w:val="NoSpacing"/>
        <w:numPr>
          <w:ilvl w:val="0"/>
          <w:numId w:val="39"/>
        </w:numPr>
        <w:rPr>
          <w:rFonts w:ascii="Arial" w:hAnsi="Arial" w:cs="Arial"/>
          <w:sz w:val="20"/>
          <w:szCs w:val="20"/>
        </w:rPr>
      </w:pPr>
      <w:r w:rsidRPr="007C59C0">
        <w:rPr>
          <w:rFonts w:ascii="Arial" w:hAnsi="Arial" w:cs="Arial"/>
          <w:sz w:val="20"/>
          <w:szCs w:val="20"/>
        </w:rPr>
        <w:t xml:space="preserve">Developed a project tracker including a collaborative effort with management to capture backlog items. </w:t>
      </w:r>
    </w:p>
    <w:p w14:paraId="4FB71BD3" w14:textId="77777777" w:rsidR="006A3C9F" w:rsidRDefault="006A3C9F" w:rsidP="006A3C9F">
      <w:pPr>
        <w:pStyle w:val="NoSpacing"/>
        <w:numPr>
          <w:ilvl w:val="0"/>
          <w:numId w:val="39"/>
        </w:numPr>
        <w:rPr>
          <w:rFonts w:ascii="Arial" w:hAnsi="Arial" w:cs="Arial"/>
          <w:sz w:val="20"/>
          <w:szCs w:val="20"/>
        </w:rPr>
      </w:pPr>
      <w:r w:rsidRPr="007C59C0">
        <w:rPr>
          <w:rFonts w:ascii="Arial" w:hAnsi="Arial" w:cs="Arial"/>
          <w:sz w:val="20"/>
          <w:szCs w:val="20"/>
        </w:rPr>
        <w:t xml:space="preserve">Set up processes and workflows for project intake. </w:t>
      </w:r>
    </w:p>
    <w:p w14:paraId="3EB35BF2" w14:textId="77777777" w:rsidR="006A3C9F" w:rsidRDefault="006A3C9F" w:rsidP="006A3C9F">
      <w:pPr>
        <w:pStyle w:val="NoSpacing"/>
        <w:numPr>
          <w:ilvl w:val="0"/>
          <w:numId w:val="39"/>
        </w:numPr>
        <w:rPr>
          <w:rFonts w:ascii="Arial" w:hAnsi="Arial" w:cs="Arial"/>
          <w:sz w:val="20"/>
          <w:szCs w:val="20"/>
        </w:rPr>
      </w:pPr>
      <w:r w:rsidRPr="007C59C0">
        <w:rPr>
          <w:rFonts w:ascii="Arial" w:hAnsi="Arial" w:cs="Arial"/>
          <w:sz w:val="20"/>
          <w:szCs w:val="20"/>
        </w:rPr>
        <w:t xml:space="preserve">Worked with leadership to develop an agency-wide mission-driven project prioritization process to ensure work aligns with the ITS strategic plan. </w:t>
      </w:r>
    </w:p>
    <w:p w14:paraId="01DB3B25" w14:textId="77777777" w:rsidR="006A3C9F" w:rsidRDefault="006A3C9F" w:rsidP="006A3C9F">
      <w:pPr>
        <w:pStyle w:val="NoSpacing"/>
        <w:numPr>
          <w:ilvl w:val="0"/>
          <w:numId w:val="39"/>
        </w:numPr>
        <w:rPr>
          <w:rFonts w:ascii="Arial" w:hAnsi="Arial" w:cs="Arial"/>
          <w:sz w:val="20"/>
          <w:szCs w:val="20"/>
        </w:rPr>
      </w:pPr>
      <w:r w:rsidRPr="007C59C0">
        <w:rPr>
          <w:rFonts w:ascii="Arial" w:hAnsi="Arial" w:cs="Arial"/>
          <w:sz w:val="20"/>
          <w:szCs w:val="20"/>
        </w:rPr>
        <w:t xml:space="preserve">Created an intermediary solution to track and monitor the work progress beyond the scope of a ticket or service request but not large enough to necessitate a dedicated project manager. </w:t>
      </w:r>
    </w:p>
    <w:p w14:paraId="5278A0F4" w14:textId="77777777" w:rsidR="006A3C9F" w:rsidRDefault="006A3C9F" w:rsidP="006A3C9F">
      <w:pPr>
        <w:pStyle w:val="NoSpacing"/>
        <w:numPr>
          <w:ilvl w:val="0"/>
          <w:numId w:val="39"/>
        </w:numPr>
        <w:rPr>
          <w:rFonts w:ascii="Arial" w:hAnsi="Arial" w:cs="Arial"/>
          <w:sz w:val="20"/>
          <w:szCs w:val="20"/>
        </w:rPr>
      </w:pPr>
      <w:r w:rsidRPr="007C59C0">
        <w:rPr>
          <w:rFonts w:ascii="Arial" w:hAnsi="Arial" w:cs="Arial"/>
          <w:sz w:val="20"/>
          <w:szCs w:val="20"/>
        </w:rPr>
        <w:t xml:space="preserve">Launched ServiceNow IT service management system in five months. </w:t>
      </w:r>
    </w:p>
    <w:p w14:paraId="78C3986A" w14:textId="77777777" w:rsidR="006A3C9F" w:rsidRPr="007C59C0" w:rsidRDefault="006A3C9F" w:rsidP="006A3C9F">
      <w:pPr>
        <w:pStyle w:val="NoSpacing"/>
        <w:numPr>
          <w:ilvl w:val="1"/>
          <w:numId w:val="39"/>
        </w:numPr>
        <w:rPr>
          <w:rFonts w:ascii="Arial" w:hAnsi="Arial" w:cs="Arial"/>
          <w:sz w:val="20"/>
          <w:szCs w:val="20"/>
        </w:rPr>
      </w:pPr>
      <w:r w:rsidRPr="007C59C0">
        <w:rPr>
          <w:rFonts w:ascii="Arial" w:hAnsi="Arial" w:cs="Arial"/>
          <w:sz w:val="20"/>
          <w:szCs w:val="20"/>
        </w:rPr>
        <w:t>Implemented baseline functionality, including problem resolution, knowledge database, virtual agent support, reports and dashboards, and developed and configured a change management system.</w:t>
      </w:r>
    </w:p>
    <w:p w14:paraId="628EEECF" w14:textId="77777777" w:rsidR="00757C86" w:rsidRDefault="00757C86" w:rsidP="00721E17">
      <w:pPr>
        <w:pStyle w:val="ListParagraph"/>
        <w:ind w:left="1440"/>
        <w:rPr>
          <w:rFonts w:ascii="Arial" w:hAnsi="Arial" w:cs="Arial"/>
          <w:sz w:val="20"/>
          <w:szCs w:val="20"/>
        </w:rPr>
      </w:pPr>
    </w:p>
    <w:p w14:paraId="3FA97640" w14:textId="3BD887CB" w:rsidR="0023561E" w:rsidRDefault="00757C86" w:rsidP="006A3C9F">
      <w:pPr>
        <w:rPr>
          <w:rFonts w:ascii="Arial" w:hAnsi="Arial" w:cs="Arial"/>
          <w:b/>
          <w:i/>
          <w:color w:val="000080"/>
          <w:sz w:val="28"/>
          <w:szCs w:val="28"/>
        </w:rPr>
      </w:pPr>
      <w:bookmarkStart w:id="4" w:name="OLE_LINK5"/>
      <w:bookmarkStart w:id="5" w:name="OLE_LINK6"/>
      <w:r>
        <w:rPr>
          <w:rFonts w:ascii="Arial" w:hAnsi="Arial" w:cs="Arial"/>
          <w:b/>
          <w:i/>
          <w:color w:val="000080"/>
          <w:sz w:val="28"/>
          <w:szCs w:val="28"/>
        </w:rPr>
        <w:t xml:space="preserve"> </w:t>
      </w:r>
      <w:r w:rsidR="0023561E" w:rsidRPr="00CA3465">
        <w:rPr>
          <w:rFonts w:ascii="Arial" w:hAnsi="Arial" w:cs="Arial"/>
          <w:b/>
          <w:i/>
          <w:color w:val="000080"/>
          <w:sz w:val="28"/>
          <w:szCs w:val="28"/>
        </w:rPr>
        <w:t>Part II – Performance Measures</w:t>
      </w:r>
    </w:p>
    <w:p w14:paraId="64939246" w14:textId="77777777" w:rsidR="00141E66" w:rsidRPr="00141E66" w:rsidRDefault="00141E66" w:rsidP="002976C8">
      <w:pPr>
        <w:jc w:val="both"/>
        <w:outlineLvl w:val="0"/>
        <w:rPr>
          <w:rFonts w:ascii="Arial" w:hAnsi="Arial" w:cs="Arial"/>
          <w:color w:val="00008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750"/>
        <w:gridCol w:w="784"/>
        <w:gridCol w:w="911"/>
        <w:gridCol w:w="947"/>
        <w:gridCol w:w="720"/>
        <w:gridCol w:w="713"/>
      </w:tblGrid>
      <w:tr w:rsidR="005E454A" w14:paraId="53F5094F" w14:textId="77777777" w:rsidTr="008330F8">
        <w:trPr>
          <w:trHeight w:val="510"/>
          <w:tblHeader/>
        </w:trPr>
        <w:tc>
          <w:tcPr>
            <w:tcW w:w="0" w:type="auto"/>
            <w:gridSpan w:val="2"/>
            <w:shd w:val="clear" w:color="000000" w:fill="000080"/>
            <w:vAlign w:val="center"/>
            <w:hideMark/>
          </w:tcPr>
          <w:p w14:paraId="632A4652" w14:textId="77777777" w:rsidR="001A668A" w:rsidRDefault="001A668A" w:rsidP="001A668A">
            <w:pPr>
              <w:rPr>
                <w:rFonts w:ascii="Arial" w:hAnsi="Arial" w:cs="Arial"/>
                <w:b/>
                <w:bCs/>
                <w:color w:val="FFFFFF"/>
                <w:sz w:val="20"/>
                <w:szCs w:val="20"/>
              </w:rPr>
            </w:pPr>
            <w:bookmarkStart w:id="6" w:name="_Hlk15890552"/>
            <w:r>
              <w:rPr>
                <w:rFonts w:ascii="Arial" w:hAnsi="Arial" w:cs="Arial"/>
                <w:b/>
                <w:bCs/>
                <w:color w:val="FFFFFF"/>
                <w:sz w:val="20"/>
                <w:szCs w:val="20"/>
              </w:rPr>
              <w:t>Performance Measure</w:t>
            </w:r>
          </w:p>
        </w:tc>
        <w:tc>
          <w:tcPr>
            <w:tcW w:w="0" w:type="auto"/>
            <w:shd w:val="clear" w:color="000000" w:fill="000080"/>
            <w:vAlign w:val="center"/>
            <w:hideMark/>
          </w:tcPr>
          <w:p w14:paraId="67D8A628" w14:textId="0A5C3036" w:rsidR="001A668A" w:rsidRDefault="003941A9" w:rsidP="001A668A">
            <w:pPr>
              <w:jc w:val="center"/>
              <w:rPr>
                <w:rFonts w:ascii="Arial" w:hAnsi="Arial" w:cs="Arial"/>
                <w:b/>
                <w:bCs/>
                <w:color w:val="FFFFFF"/>
                <w:sz w:val="20"/>
                <w:szCs w:val="20"/>
              </w:rPr>
            </w:pPr>
            <w:r>
              <w:rPr>
                <w:rFonts w:ascii="Arial" w:hAnsi="Arial" w:cs="Arial"/>
                <w:b/>
                <w:bCs/>
                <w:color w:val="FFFFFF"/>
                <w:sz w:val="20"/>
                <w:szCs w:val="20"/>
              </w:rPr>
              <w:t>FY 202</w:t>
            </w:r>
            <w:r w:rsidR="004956BC">
              <w:rPr>
                <w:rFonts w:ascii="Arial" w:hAnsi="Arial" w:cs="Arial"/>
                <w:b/>
                <w:bCs/>
                <w:color w:val="FFFFFF"/>
                <w:sz w:val="20"/>
                <w:szCs w:val="20"/>
              </w:rPr>
              <w:t>2</w:t>
            </w:r>
          </w:p>
        </w:tc>
        <w:tc>
          <w:tcPr>
            <w:tcW w:w="0" w:type="auto"/>
            <w:shd w:val="clear" w:color="000000" w:fill="000080"/>
            <w:vAlign w:val="center"/>
            <w:hideMark/>
          </w:tcPr>
          <w:p w14:paraId="7D6B3BB9" w14:textId="0AD6AAC8" w:rsidR="001A668A" w:rsidRDefault="003941A9" w:rsidP="001A668A">
            <w:pPr>
              <w:jc w:val="center"/>
              <w:rPr>
                <w:rFonts w:ascii="Arial" w:hAnsi="Arial" w:cs="Arial"/>
                <w:b/>
                <w:bCs/>
                <w:color w:val="FFFFFF"/>
                <w:sz w:val="20"/>
                <w:szCs w:val="20"/>
              </w:rPr>
            </w:pPr>
            <w:r>
              <w:rPr>
                <w:rFonts w:ascii="Arial" w:hAnsi="Arial" w:cs="Arial"/>
                <w:b/>
                <w:bCs/>
                <w:color w:val="FFFFFF"/>
                <w:sz w:val="20"/>
                <w:szCs w:val="20"/>
              </w:rPr>
              <w:t>FY 202</w:t>
            </w:r>
            <w:r w:rsidR="004956BC">
              <w:rPr>
                <w:rFonts w:ascii="Arial" w:hAnsi="Arial" w:cs="Arial"/>
                <w:b/>
                <w:bCs/>
                <w:color w:val="FFFFFF"/>
                <w:sz w:val="20"/>
                <w:szCs w:val="20"/>
              </w:rPr>
              <w:t>3</w:t>
            </w:r>
          </w:p>
        </w:tc>
        <w:tc>
          <w:tcPr>
            <w:tcW w:w="0" w:type="auto"/>
            <w:shd w:val="clear" w:color="000000" w:fill="000080"/>
            <w:vAlign w:val="center"/>
            <w:hideMark/>
          </w:tcPr>
          <w:p w14:paraId="15DF1754" w14:textId="224A89FC" w:rsidR="001A668A" w:rsidRDefault="003941A9" w:rsidP="001A668A">
            <w:pPr>
              <w:jc w:val="center"/>
              <w:rPr>
                <w:rFonts w:ascii="Arial" w:hAnsi="Arial" w:cs="Arial"/>
                <w:b/>
                <w:bCs/>
                <w:color w:val="FFFFFF"/>
                <w:sz w:val="20"/>
                <w:szCs w:val="20"/>
              </w:rPr>
            </w:pPr>
            <w:r>
              <w:rPr>
                <w:rFonts w:ascii="Arial" w:hAnsi="Arial" w:cs="Arial"/>
                <w:b/>
                <w:bCs/>
                <w:color w:val="FFFFFF"/>
                <w:sz w:val="20"/>
                <w:szCs w:val="20"/>
              </w:rPr>
              <w:t>FY 202</w:t>
            </w:r>
            <w:r w:rsidR="004956BC">
              <w:rPr>
                <w:rFonts w:ascii="Arial" w:hAnsi="Arial" w:cs="Arial"/>
                <w:b/>
                <w:bCs/>
                <w:color w:val="FFFFFF"/>
                <w:sz w:val="20"/>
                <w:szCs w:val="20"/>
              </w:rPr>
              <w:t>4</w:t>
            </w:r>
          </w:p>
        </w:tc>
        <w:tc>
          <w:tcPr>
            <w:tcW w:w="0" w:type="auto"/>
            <w:shd w:val="clear" w:color="000000" w:fill="000080"/>
            <w:vAlign w:val="center"/>
            <w:hideMark/>
          </w:tcPr>
          <w:p w14:paraId="2A8EB361" w14:textId="2635D2A7" w:rsidR="001A668A" w:rsidRDefault="003941A9" w:rsidP="001A668A">
            <w:pPr>
              <w:jc w:val="center"/>
              <w:rPr>
                <w:rFonts w:ascii="Arial" w:hAnsi="Arial" w:cs="Arial"/>
                <w:b/>
                <w:bCs/>
                <w:color w:val="FFFFFF"/>
                <w:sz w:val="20"/>
                <w:szCs w:val="20"/>
              </w:rPr>
            </w:pPr>
            <w:r>
              <w:rPr>
                <w:rFonts w:ascii="Arial" w:hAnsi="Arial" w:cs="Arial"/>
                <w:b/>
                <w:bCs/>
                <w:color w:val="FFFFFF"/>
                <w:sz w:val="20"/>
                <w:szCs w:val="20"/>
              </w:rPr>
              <w:t>FY 202</w:t>
            </w:r>
            <w:r w:rsidR="004956BC">
              <w:rPr>
                <w:rFonts w:ascii="Arial" w:hAnsi="Arial" w:cs="Arial"/>
                <w:b/>
                <w:bCs/>
                <w:color w:val="FFFFFF"/>
                <w:sz w:val="20"/>
                <w:szCs w:val="20"/>
              </w:rPr>
              <w:t>5</w:t>
            </w:r>
          </w:p>
        </w:tc>
        <w:tc>
          <w:tcPr>
            <w:tcW w:w="0" w:type="auto"/>
            <w:shd w:val="clear" w:color="000000" w:fill="000080"/>
            <w:vAlign w:val="center"/>
            <w:hideMark/>
          </w:tcPr>
          <w:p w14:paraId="3F845D1D" w14:textId="7FB6C2AF" w:rsidR="001A668A" w:rsidRDefault="003941A9" w:rsidP="001A668A">
            <w:pPr>
              <w:jc w:val="center"/>
              <w:rPr>
                <w:rFonts w:ascii="Arial" w:hAnsi="Arial" w:cs="Arial"/>
                <w:b/>
                <w:bCs/>
                <w:color w:val="FFFFFF"/>
                <w:sz w:val="20"/>
                <w:szCs w:val="20"/>
              </w:rPr>
            </w:pPr>
            <w:r>
              <w:rPr>
                <w:rFonts w:ascii="Arial" w:hAnsi="Arial" w:cs="Arial"/>
                <w:b/>
                <w:bCs/>
                <w:color w:val="FFFFFF"/>
                <w:sz w:val="20"/>
                <w:szCs w:val="20"/>
              </w:rPr>
              <w:t>FY 202</w:t>
            </w:r>
            <w:r w:rsidR="004956BC">
              <w:rPr>
                <w:rFonts w:ascii="Arial" w:hAnsi="Arial" w:cs="Arial"/>
                <w:b/>
                <w:bCs/>
                <w:color w:val="FFFFFF"/>
                <w:sz w:val="20"/>
                <w:szCs w:val="20"/>
              </w:rPr>
              <w:t>6</w:t>
            </w:r>
          </w:p>
        </w:tc>
      </w:tr>
      <w:tr w:rsidR="002A147A" w14:paraId="73EB6A43" w14:textId="77777777" w:rsidTr="005936FE">
        <w:trPr>
          <w:trHeight w:val="647"/>
        </w:trPr>
        <w:tc>
          <w:tcPr>
            <w:tcW w:w="0" w:type="auto"/>
            <w:gridSpan w:val="7"/>
            <w:shd w:val="clear" w:color="000000" w:fill="DBE5F1"/>
            <w:vAlign w:val="center"/>
            <w:hideMark/>
          </w:tcPr>
          <w:p w14:paraId="2A8CBAEA" w14:textId="6521AB32" w:rsidR="002A147A" w:rsidRPr="00470980" w:rsidRDefault="00BA7127" w:rsidP="004A52A2">
            <w:pPr>
              <w:jc w:val="center"/>
              <w:rPr>
                <w:rFonts w:ascii="Arial" w:hAnsi="Arial" w:cs="Arial"/>
                <w:sz w:val="20"/>
                <w:szCs w:val="20"/>
              </w:rPr>
            </w:pPr>
            <w:r w:rsidRPr="005C16E1">
              <w:rPr>
                <w:rFonts w:ascii="Arial" w:hAnsi="Arial" w:cs="Arial"/>
                <w:sz w:val="20"/>
                <w:szCs w:val="20"/>
              </w:rPr>
              <w:t xml:space="preserve">Goal </w:t>
            </w:r>
            <w:r w:rsidR="009335E7" w:rsidRPr="005C16E1">
              <w:rPr>
                <w:rFonts w:ascii="Arial" w:hAnsi="Arial" w:cs="Arial"/>
                <w:sz w:val="20"/>
                <w:szCs w:val="20"/>
              </w:rPr>
              <w:t>1</w:t>
            </w:r>
            <w:r w:rsidRPr="005C16E1">
              <w:rPr>
                <w:rFonts w:ascii="Arial" w:hAnsi="Arial" w:cs="Arial"/>
                <w:sz w:val="20"/>
                <w:szCs w:val="20"/>
              </w:rPr>
              <w:t xml:space="preserve"> – </w:t>
            </w:r>
            <w:r w:rsidR="00B60597">
              <w:rPr>
                <w:rFonts w:ascii="Arial" w:hAnsi="Arial" w:cs="Arial"/>
                <w:sz w:val="20"/>
                <w:szCs w:val="20"/>
              </w:rPr>
              <w:t>Strengthen Idaho’s Cybersecurity</w:t>
            </w:r>
          </w:p>
        </w:tc>
      </w:tr>
      <w:bookmarkEnd w:id="6"/>
      <w:tr w:rsidR="006A3C9F" w14:paraId="146393A0" w14:textId="77777777" w:rsidTr="0050155B">
        <w:trPr>
          <w:trHeight w:val="232"/>
        </w:trPr>
        <w:tc>
          <w:tcPr>
            <w:tcW w:w="0" w:type="auto"/>
            <w:vMerge w:val="restart"/>
            <w:shd w:val="clear" w:color="auto" w:fill="auto"/>
            <w:vAlign w:val="center"/>
            <w:hideMark/>
          </w:tcPr>
          <w:p w14:paraId="29588294" w14:textId="55BA27A4" w:rsidR="006A3C9F" w:rsidRPr="00BA7127" w:rsidRDefault="006A3C9F" w:rsidP="006A3C9F">
            <w:pPr>
              <w:rPr>
                <w:rFonts w:ascii="Arial" w:hAnsi="Arial" w:cs="Arial"/>
                <w:color w:val="000000"/>
                <w:sz w:val="20"/>
                <w:szCs w:val="20"/>
              </w:rPr>
            </w:pPr>
            <w:r>
              <w:rPr>
                <w:rFonts w:ascii="Arial" w:eastAsia="Calibri" w:hAnsi="Arial" w:cs="Arial"/>
                <w:sz w:val="20"/>
                <w:szCs w:val="20"/>
              </w:rPr>
              <w:t>1</w:t>
            </w:r>
            <w:r w:rsidRPr="00BA7127">
              <w:rPr>
                <w:rFonts w:ascii="Arial" w:eastAsia="Calibri" w:hAnsi="Arial" w:cs="Arial"/>
                <w:sz w:val="20"/>
                <w:szCs w:val="20"/>
              </w:rPr>
              <w:t xml:space="preserve">. </w:t>
            </w:r>
            <w:r>
              <w:rPr>
                <w:rFonts w:ascii="Arial" w:hAnsi="Arial" w:cs="Arial"/>
                <w:sz w:val="20"/>
                <w:szCs w:val="20"/>
              </w:rPr>
              <w:t>Mitigate 100% of critical and high-level issues identified through vulnerability scans and penetration testing within 90 days of reporting.</w:t>
            </w:r>
            <w:r w:rsidRPr="00A97843">
              <w:rPr>
                <w:rFonts w:ascii="Arial" w:eastAsia="Calibri" w:hAnsi="Arial" w:cs="Arial"/>
                <w:sz w:val="20"/>
                <w:szCs w:val="20"/>
                <w:vertAlign w:val="superscript"/>
              </w:rPr>
              <w:t xml:space="preserve"> (1)</w:t>
            </w:r>
          </w:p>
        </w:tc>
        <w:tc>
          <w:tcPr>
            <w:tcW w:w="0" w:type="auto"/>
            <w:shd w:val="clear" w:color="auto" w:fill="D9D9D9" w:themeFill="background1" w:themeFillShade="D9"/>
            <w:vAlign w:val="center"/>
            <w:hideMark/>
          </w:tcPr>
          <w:p w14:paraId="43963385" w14:textId="77777777" w:rsidR="006A3C9F" w:rsidRDefault="006A3C9F" w:rsidP="006A3C9F">
            <w:pPr>
              <w:jc w:val="center"/>
              <w:rPr>
                <w:rFonts w:ascii="Arial" w:hAnsi="Arial" w:cs="Arial"/>
                <w:color w:val="000000"/>
                <w:sz w:val="20"/>
                <w:szCs w:val="20"/>
              </w:rPr>
            </w:pPr>
            <w:r>
              <w:rPr>
                <w:rFonts w:ascii="Arial" w:hAnsi="Arial" w:cs="Arial"/>
                <w:color w:val="000000"/>
                <w:sz w:val="20"/>
                <w:szCs w:val="20"/>
              </w:rPr>
              <w:t>actual</w:t>
            </w:r>
          </w:p>
        </w:tc>
        <w:tc>
          <w:tcPr>
            <w:tcW w:w="0" w:type="auto"/>
            <w:shd w:val="clear" w:color="auto" w:fill="D9D9D9" w:themeFill="background1" w:themeFillShade="D9"/>
            <w:vAlign w:val="center"/>
          </w:tcPr>
          <w:p w14:paraId="7443414A" w14:textId="1738C7EB" w:rsidR="006A3C9F" w:rsidRDefault="006A3C9F" w:rsidP="006A3C9F">
            <w:pPr>
              <w:jc w:val="center"/>
              <w:rPr>
                <w:rFonts w:ascii="Arial" w:hAnsi="Arial" w:cs="Arial"/>
                <w:color w:val="000000"/>
                <w:sz w:val="20"/>
                <w:szCs w:val="20"/>
              </w:rPr>
            </w:pPr>
            <w:r>
              <w:rPr>
                <w:rFonts w:ascii="Arial" w:hAnsi="Arial" w:cs="Arial"/>
                <w:color w:val="000000"/>
                <w:sz w:val="20"/>
                <w:szCs w:val="20"/>
              </w:rPr>
              <w:t>95%</w:t>
            </w:r>
          </w:p>
        </w:tc>
        <w:tc>
          <w:tcPr>
            <w:tcW w:w="0" w:type="auto"/>
            <w:shd w:val="clear" w:color="auto" w:fill="D9D9D9" w:themeFill="background1" w:themeFillShade="D9"/>
            <w:vAlign w:val="center"/>
          </w:tcPr>
          <w:p w14:paraId="532CBB21" w14:textId="785A4CB2" w:rsidR="006A3C9F" w:rsidRDefault="006A3C9F" w:rsidP="006A3C9F">
            <w:pPr>
              <w:jc w:val="center"/>
              <w:rPr>
                <w:rFonts w:ascii="Arial" w:hAnsi="Arial" w:cs="Arial"/>
                <w:color w:val="000000"/>
                <w:sz w:val="20"/>
                <w:szCs w:val="20"/>
              </w:rPr>
            </w:pPr>
            <w:r>
              <w:rPr>
                <w:rFonts w:ascii="Arial" w:hAnsi="Arial" w:cs="Arial"/>
                <w:color w:val="000000"/>
                <w:sz w:val="20"/>
                <w:szCs w:val="20"/>
              </w:rPr>
              <w:t>95%</w:t>
            </w:r>
          </w:p>
        </w:tc>
        <w:tc>
          <w:tcPr>
            <w:tcW w:w="0" w:type="auto"/>
            <w:shd w:val="clear" w:color="auto" w:fill="D9D9D9" w:themeFill="background1" w:themeFillShade="D9"/>
            <w:vAlign w:val="center"/>
          </w:tcPr>
          <w:p w14:paraId="7613B594" w14:textId="1798BE45" w:rsidR="006A3C9F" w:rsidRDefault="006A3C9F" w:rsidP="006A3C9F">
            <w:pPr>
              <w:jc w:val="center"/>
              <w:rPr>
                <w:rFonts w:ascii="Arial" w:hAnsi="Arial" w:cs="Arial"/>
                <w:color w:val="000000"/>
                <w:sz w:val="20"/>
                <w:szCs w:val="20"/>
              </w:rPr>
            </w:pPr>
            <w:r>
              <w:rPr>
                <w:rFonts w:ascii="Arial" w:hAnsi="Arial" w:cs="Arial"/>
                <w:color w:val="000000"/>
                <w:sz w:val="20"/>
                <w:szCs w:val="20"/>
              </w:rPr>
              <w:t>65%</w:t>
            </w:r>
            <w:r w:rsidRPr="00DC7A12">
              <w:rPr>
                <w:rFonts w:ascii="Arial" w:hAnsi="Arial" w:cs="Arial"/>
                <w:color w:val="000000"/>
                <w:sz w:val="20"/>
                <w:szCs w:val="20"/>
                <w:vertAlign w:val="superscript"/>
              </w:rPr>
              <w:t>(</w:t>
            </w:r>
            <w:r>
              <w:rPr>
                <w:rFonts w:ascii="Arial" w:hAnsi="Arial" w:cs="Arial"/>
                <w:color w:val="000000"/>
                <w:sz w:val="20"/>
                <w:szCs w:val="20"/>
                <w:vertAlign w:val="superscript"/>
              </w:rPr>
              <w:t>1</w:t>
            </w:r>
            <w:r w:rsidRPr="00DC7A12">
              <w:rPr>
                <w:rFonts w:ascii="Arial" w:hAnsi="Arial" w:cs="Arial"/>
                <w:color w:val="000000"/>
                <w:sz w:val="20"/>
                <w:szCs w:val="20"/>
                <w:vertAlign w:val="superscript"/>
              </w:rPr>
              <w:t>)</w:t>
            </w:r>
          </w:p>
        </w:tc>
        <w:tc>
          <w:tcPr>
            <w:tcW w:w="0" w:type="auto"/>
            <w:shd w:val="clear" w:color="auto" w:fill="D9D9D9" w:themeFill="background1" w:themeFillShade="D9"/>
            <w:vAlign w:val="center"/>
          </w:tcPr>
          <w:p w14:paraId="6D29F1BD" w14:textId="248F6E37" w:rsidR="006A3C9F" w:rsidRPr="006A3C9F" w:rsidRDefault="006A3C9F" w:rsidP="006A3C9F">
            <w:pPr>
              <w:jc w:val="center"/>
            </w:pPr>
            <w:r w:rsidRPr="006A3C9F">
              <w:t>---</w:t>
            </w:r>
          </w:p>
        </w:tc>
        <w:tc>
          <w:tcPr>
            <w:tcW w:w="0" w:type="auto"/>
            <w:shd w:val="clear" w:color="auto" w:fill="D9D9D9" w:themeFill="background1" w:themeFillShade="D9"/>
            <w:vAlign w:val="center"/>
          </w:tcPr>
          <w:p w14:paraId="7D2BCCFA" w14:textId="6D092406" w:rsidR="006A3C9F" w:rsidRDefault="006A3C9F" w:rsidP="006A3C9F">
            <w:pPr>
              <w:jc w:val="center"/>
              <w:rPr>
                <w:rFonts w:ascii="Arial" w:hAnsi="Arial" w:cs="Arial"/>
                <w:color w:val="000000"/>
                <w:sz w:val="20"/>
                <w:szCs w:val="20"/>
              </w:rPr>
            </w:pPr>
          </w:p>
        </w:tc>
      </w:tr>
      <w:tr w:rsidR="006A3C9F" w14:paraId="2D369ECD" w14:textId="77777777" w:rsidTr="007E6CE4">
        <w:trPr>
          <w:trHeight w:val="647"/>
        </w:trPr>
        <w:tc>
          <w:tcPr>
            <w:tcW w:w="0" w:type="auto"/>
            <w:vMerge/>
            <w:vAlign w:val="center"/>
            <w:hideMark/>
          </w:tcPr>
          <w:p w14:paraId="4B231DE4" w14:textId="77777777" w:rsidR="006A3C9F" w:rsidRDefault="006A3C9F" w:rsidP="006A3C9F">
            <w:pPr>
              <w:rPr>
                <w:rFonts w:ascii="Arial" w:hAnsi="Arial" w:cs="Arial"/>
                <w:color w:val="000000"/>
                <w:sz w:val="20"/>
                <w:szCs w:val="20"/>
              </w:rPr>
            </w:pPr>
          </w:p>
        </w:tc>
        <w:tc>
          <w:tcPr>
            <w:tcW w:w="0" w:type="auto"/>
            <w:shd w:val="clear" w:color="000000" w:fill="FFFFFF"/>
            <w:vAlign w:val="center"/>
            <w:hideMark/>
          </w:tcPr>
          <w:p w14:paraId="1D3E9995" w14:textId="5AB39E8F" w:rsidR="006A3C9F" w:rsidRPr="00BA7127" w:rsidRDefault="006A3C9F" w:rsidP="006A3C9F">
            <w:pPr>
              <w:jc w:val="center"/>
              <w:rPr>
                <w:rFonts w:ascii="Arial" w:hAnsi="Arial" w:cs="Arial"/>
                <w:i/>
                <w:iCs/>
                <w:color w:val="000000"/>
                <w:sz w:val="16"/>
                <w:szCs w:val="16"/>
              </w:rPr>
            </w:pPr>
            <w:r>
              <w:rPr>
                <w:rFonts w:ascii="Arial" w:hAnsi="Arial" w:cs="Arial"/>
                <w:i/>
                <w:iCs/>
                <w:color w:val="000000"/>
                <w:sz w:val="16"/>
                <w:szCs w:val="16"/>
              </w:rPr>
              <w:t>target</w:t>
            </w:r>
          </w:p>
        </w:tc>
        <w:tc>
          <w:tcPr>
            <w:tcW w:w="0" w:type="auto"/>
            <w:shd w:val="clear" w:color="auto" w:fill="auto"/>
            <w:vAlign w:val="center"/>
          </w:tcPr>
          <w:p w14:paraId="0596B63C" w14:textId="25CB3E8E" w:rsidR="006A3C9F" w:rsidRPr="00BA7127" w:rsidRDefault="006A3C9F" w:rsidP="006A3C9F">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01D9CBC1" w14:textId="012B954C" w:rsidR="006A3C9F" w:rsidRPr="00BA7127" w:rsidRDefault="006A3C9F" w:rsidP="006A3C9F">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1B6A682F" w14:textId="000B3192" w:rsidR="006A3C9F" w:rsidRPr="00BA7127" w:rsidRDefault="006A3C9F" w:rsidP="006A3C9F">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5C2B87F9" w14:textId="2D84007C" w:rsidR="006A3C9F" w:rsidRPr="00BA7127" w:rsidRDefault="006A3C9F" w:rsidP="006A3C9F">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0D0C5572" w14:textId="12B7F118" w:rsidR="006A3C9F" w:rsidRPr="00BA7127" w:rsidRDefault="006A3C9F" w:rsidP="006A3C9F">
            <w:pPr>
              <w:jc w:val="center"/>
              <w:rPr>
                <w:rFonts w:ascii="Arial" w:hAnsi="Arial" w:cs="Arial"/>
                <w:i/>
                <w:color w:val="000000"/>
                <w:sz w:val="16"/>
                <w:szCs w:val="16"/>
              </w:rPr>
            </w:pPr>
          </w:p>
        </w:tc>
      </w:tr>
      <w:tr w:rsidR="006A3C9F" w:rsidRPr="00D764B5" w14:paraId="6A01B05D" w14:textId="77777777" w:rsidTr="0050155B">
        <w:trPr>
          <w:trHeight w:val="232"/>
        </w:trPr>
        <w:tc>
          <w:tcPr>
            <w:tcW w:w="0" w:type="auto"/>
            <w:vMerge w:val="restart"/>
            <w:shd w:val="clear" w:color="auto" w:fill="auto"/>
            <w:vAlign w:val="center"/>
            <w:hideMark/>
          </w:tcPr>
          <w:p w14:paraId="4A525EA0" w14:textId="05777E32" w:rsidR="006A3C9F" w:rsidRPr="00FB44DA" w:rsidRDefault="006A3C9F" w:rsidP="006A3C9F">
            <w:pPr>
              <w:pStyle w:val="Default"/>
              <w:adjustRightInd/>
              <w:rPr>
                <w:rFonts w:eastAsia="Calibri"/>
                <w:color w:val="auto"/>
                <w:sz w:val="20"/>
                <w:szCs w:val="20"/>
              </w:rPr>
            </w:pPr>
            <w:r>
              <w:rPr>
                <w:rFonts w:eastAsia="Calibri"/>
                <w:color w:val="auto"/>
                <w:sz w:val="20"/>
                <w:szCs w:val="20"/>
              </w:rPr>
              <w:t xml:space="preserve">2. Facilitate cybersecurity training to raise employee awareness, measured by an employee click rate on phish training emails below the national average of 5.8%. </w:t>
            </w:r>
            <w:r>
              <w:rPr>
                <w:rFonts w:eastAsia="Calibri"/>
                <w:sz w:val="20"/>
                <w:szCs w:val="20"/>
                <w:vertAlign w:val="superscript"/>
              </w:rPr>
              <w:t>(2)</w:t>
            </w:r>
          </w:p>
          <w:p w14:paraId="55050ECB" w14:textId="77777777" w:rsidR="006A3C9F" w:rsidRPr="00D764B5" w:rsidRDefault="006A3C9F" w:rsidP="006A3C9F">
            <w:pPr>
              <w:rPr>
                <w:rFonts w:ascii="Arial" w:hAnsi="Arial" w:cs="Arial"/>
                <w:color w:val="000000"/>
                <w:sz w:val="20"/>
                <w:szCs w:val="20"/>
                <w:highlight w:val="yellow"/>
              </w:rPr>
            </w:pPr>
          </w:p>
        </w:tc>
        <w:tc>
          <w:tcPr>
            <w:tcW w:w="0" w:type="auto"/>
            <w:shd w:val="clear" w:color="auto" w:fill="D9D9D9" w:themeFill="background1" w:themeFillShade="D9"/>
            <w:vAlign w:val="center"/>
            <w:hideMark/>
          </w:tcPr>
          <w:p w14:paraId="3E156673" w14:textId="77777777" w:rsidR="006A3C9F" w:rsidRPr="00385519" w:rsidRDefault="006A3C9F" w:rsidP="006A3C9F">
            <w:pPr>
              <w:jc w:val="center"/>
              <w:rPr>
                <w:rFonts w:ascii="Arial" w:hAnsi="Arial" w:cs="Arial"/>
                <w:color w:val="000000"/>
                <w:sz w:val="20"/>
                <w:szCs w:val="20"/>
              </w:rPr>
            </w:pPr>
            <w:r w:rsidRPr="00385519">
              <w:rPr>
                <w:rFonts w:ascii="Arial" w:hAnsi="Arial" w:cs="Arial"/>
                <w:color w:val="000000"/>
                <w:sz w:val="20"/>
                <w:szCs w:val="20"/>
              </w:rPr>
              <w:t>actual</w:t>
            </w:r>
          </w:p>
        </w:tc>
        <w:tc>
          <w:tcPr>
            <w:tcW w:w="0" w:type="auto"/>
            <w:shd w:val="clear" w:color="auto" w:fill="D9D9D9" w:themeFill="background1" w:themeFillShade="D9"/>
            <w:vAlign w:val="center"/>
          </w:tcPr>
          <w:p w14:paraId="56082869" w14:textId="7387E328" w:rsidR="006A3C9F" w:rsidRPr="00385519" w:rsidRDefault="006A3C9F" w:rsidP="006A3C9F">
            <w:pPr>
              <w:jc w:val="center"/>
              <w:rPr>
                <w:rFonts w:ascii="Arial" w:hAnsi="Arial" w:cs="Arial"/>
                <w:color w:val="000000"/>
                <w:sz w:val="20"/>
                <w:szCs w:val="20"/>
              </w:rPr>
            </w:pPr>
            <w:r>
              <w:rPr>
                <w:rFonts w:ascii="Arial" w:hAnsi="Arial" w:cs="Arial"/>
                <w:color w:val="000000"/>
                <w:sz w:val="20"/>
                <w:szCs w:val="20"/>
              </w:rPr>
              <w:t>4.3%</w:t>
            </w:r>
          </w:p>
        </w:tc>
        <w:tc>
          <w:tcPr>
            <w:tcW w:w="0" w:type="auto"/>
            <w:shd w:val="clear" w:color="auto" w:fill="D9D9D9" w:themeFill="background1" w:themeFillShade="D9"/>
            <w:vAlign w:val="center"/>
          </w:tcPr>
          <w:p w14:paraId="12032DCC" w14:textId="3F2269AC" w:rsidR="006A3C9F" w:rsidRPr="00385519" w:rsidRDefault="006A3C9F" w:rsidP="006A3C9F">
            <w:pPr>
              <w:jc w:val="center"/>
              <w:rPr>
                <w:rFonts w:ascii="Arial" w:hAnsi="Arial" w:cs="Arial"/>
                <w:color w:val="000000"/>
                <w:sz w:val="20"/>
                <w:szCs w:val="20"/>
              </w:rPr>
            </w:pPr>
            <w:r>
              <w:rPr>
                <w:rFonts w:ascii="Arial" w:hAnsi="Arial" w:cs="Arial"/>
                <w:color w:val="000000"/>
                <w:sz w:val="20"/>
                <w:szCs w:val="20"/>
              </w:rPr>
              <w:t>6.1%</w:t>
            </w:r>
          </w:p>
        </w:tc>
        <w:tc>
          <w:tcPr>
            <w:tcW w:w="0" w:type="auto"/>
            <w:shd w:val="clear" w:color="auto" w:fill="D9D9D9" w:themeFill="background1" w:themeFillShade="D9"/>
            <w:vAlign w:val="center"/>
          </w:tcPr>
          <w:p w14:paraId="1F00A2EF" w14:textId="7530070E" w:rsidR="006A3C9F" w:rsidRPr="009E35FF" w:rsidRDefault="006A3C9F" w:rsidP="006A3C9F">
            <w:pPr>
              <w:jc w:val="center"/>
              <w:rPr>
                <w:rFonts w:ascii="Arial" w:hAnsi="Arial" w:cs="Arial"/>
                <w:color w:val="000000"/>
                <w:sz w:val="20"/>
                <w:szCs w:val="20"/>
              </w:rPr>
            </w:pPr>
            <w:r>
              <w:rPr>
                <w:rFonts w:ascii="Arial" w:hAnsi="Arial" w:cs="Arial"/>
                <w:color w:val="000000"/>
                <w:sz w:val="20"/>
                <w:szCs w:val="20"/>
              </w:rPr>
              <w:t>8.25</w:t>
            </w:r>
            <w:r>
              <w:rPr>
                <w:rFonts w:ascii="Arial" w:hAnsi="Arial" w:cs="Arial"/>
                <w:color w:val="000000"/>
                <w:sz w:val="20"/>
                <w:szCs w:val="20"/>
              </w:rPr>
              <w:t>%</w:t>
            </w:r>
            <w:r w:rsidRPr="00DC7A12">
              <w:rPr>
                <w:rFonts w:ascii="Arial" w:hAnsi="Arial" w:cs="Arial"/>
                <w:color w:val="000000"/>
                <w:sz w:val="20"/>
                <w:szCs w:val="20"/>
                <w:vertAlign w:val="superscript"/>
              </w:rPr>
              <w:t>(</w:t>
            </w:r>
            <w:r>
              <w:rPr>
                <w:rFonts w:ascii="Arial" w:hAnsi="Arial" w:cs="Arial"/>
                <w:color w:val="000000"/>
                <w:sz w:val="20"/>
                <w:szCs w:val="20"/>
                <w:vertAlign w:val="superscript"/>
              </w:rPr>
              <w:t>3</w:t>
            </w:r>
            <w:r w:rsidRPr="00DC7A12">
              <w:rPr>
                <w:rFonts w:ascii="Arial" w:hAnsi="Arial" w:cs="Arial"/>
                <w:color w:val="000000"/>
                <w:sz w:val="20"/>
                <w:szCs w:val="20"/>
                <w:vertAlign w:val="superscript"/>
              </w:rPr>
              <w:t>)</w:t>
            </w:r>
          </w:p>
        </w:tc>
        <w:tc>
          <w:tcPr>
            <w:tcW w:w="0" w:type="auto"/>
            <w:shd w:val="clear" w:color="auto" w:fill="D9D9D9" w:themeFill="background1" w:themeFillShade="D9"/>
            <w:vAlign w:val="center"/>
          </w:tcPr>
          <w:p w14:paraId="76776AA9" w14:textId="3C1359FB" w:rsidR="006A3C9F" w:rsidRPr="009E35FF" w:rsidRDefault="006A3C9F" w:rsidP="006A3C9F">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auto" w:fill="D9D9D9" w:themeFill="background1" w:themeFillShade="D9"/>
            <w:vAlign w:val="center"/>
          </w:tcPr>
          <w:p w14:paraId="5E43CC4E" w14:textId="35A8E363" w:rsidR="006A3C9F" w:rsidRPr="00364283" w:rsidRDefault="006A3C9F" w:rsidP="006A3C9F">
            <w:pPr>
              <w:jc w:val="center"/>
              <w:rPr>
                <w:rFonts w:ascii="Arial" w:hAnsi="Arial" w:cs="Arial"/>
                <w:color w:val="000000"/>
                <w:sz w:val="20"/>
                <w:szCs w:val="20"/>
              </w:rPr>
            </w:pPr>
          </w:p>
        </w:tc>
      </w:tr>
      <w:tr w:rsidR="006A3C9F" w:rsidRPr="00D764B5" w14:paraId="03D6272A" w14:textId="77777777" w:rsidTr="007E6CE4">
        <w:trPr>
          <w:trHeight w:val="647"/>
        </w:trPr>
        <w:tc>
          <w:tcPr>
            <w:tcW w:w="0" w:type="auto"/>
            <w:vMerge/>
            <w:vAlign w:val="center"/>
            <w:hideMark/>
          </w:tcPr>
          <w:p w14:paraId="5DD7CC6E" w14:textId="77777777" w:rsidR="006A3C9F" w:rsidRPr="00D764B5" w:rsidRDefault="006A3C9F" w:rsidP="006A3C9F">
            <w:pPr>
              <w:rPr>
                <w:rFonts w:ascii="Arial" w:hAnsi="Arial" w:cs="Arial"/>
                <w:color w:val="000000"/>
                <w:sz w:val="20"/>
                <w:szCs w:val="20"/>
                <w:highlight w:val="yellow"/>
              </w:rPr>
            </w:pPr>
          </w:p>
        </w:tc>
        <w:tc>
          <w:tcPr>
            <w:tcW w:w="0" w:type="auto"/>
            <w:shd w:val="clear" w:color="000000" w:fill="FFFFFF"/>
            <w:vAlign w:val="center"/>
            <w:hideMark/>
          </w:tcPr>
          <w:p w14:paraId="3ACA8056" w14:textId="77777777" w:rsidR="006A3C9F" w:rsidRPr="00385519" w:rsidRDefault="006A3C9F" w:rsidP="006A3C9F">
            <w:pPr>
              <w:jc w:val="center"/>
              <w:rPr>
                <w:rFonts w:ascii="Arial" w:hAnsi="Arial" w:cs="Arial"/>
                <w:i/>
                <w:iCs/>
                <w:color w:val="000000"/>
                <w:sz w:val="16"/>
                <w:szCs w:val="16"/>
              </w:rPr>
            </w:pPr>
            <w:r w:rsidRPr="00385519">
              <w:rPr>
                <w:rFonts w:ascii="Arial" w:hAnsi="Arial" w:cs="Arial"/>
                <w:i/>
                <w:iCs/>
                <w:color w:val="000000"/>
                <w:sz w:val="16"/>
                <w:szCs w:val="16"/>
              </w:rPr>
              <w:t>target</w:t>
            </w:r>
          </w:p>
        </w:tc>
        <w:tc>
          <w:tcPr>
            <w:tcW w:w="0" w:type="auto"/>
            <w:shd w:val="clear" w:color="auto" w:fill="auto"/>
            <w:vAlign w:val="center"/>
          </w:tcPr>
          <w:p w14:paraId="05AA3E0F" w14:textId="2156CB69" w:rsidR="006A3C9F" w:rsidRPr="00385519" w:rsidRDefault="006A3C9F" w:rsidP="006A3C9F">
            <w:pPr>
              <w:jc w:val="center"/>
              <w:rPr>
                <w:rFonts w:ascii="Arial" w:hAnsi="Arial" w:cs="Arial"/>
                <w:i/>
                <w:color w:val="000000"/>
                <w:sz w:val="16"/>
                <w:szCs w:val="16"/>
              </w:rPr>
            </w:pPr>
            <w:r>
              <w:rPr>
                <w:rFonts w:ascii="Arial" w:hAnsi="Arial" w:cs="Arial"/>
                <w:i/>
                <w:color w:val="000000"/>
                <w:sz w:val="16"/>
                <w:szCs w:val="16"/>
              </w:rPr>
              <w:t>≤5.8%</w:t>
            </w:r>
          </w:p>
        </w:tc>
        <w:tc>
          <w:tcPr>
            <w:tcW w:w="0" w:type="auto"/>
            <w:shd w:val="clear" w:color="auto" w:fill="auto"/>
            <w:vAlign w:val="center"/>
          </w:tcPr>
          <w:p w14:paraId="6F1B7E9E" w14:textId="19C63F2F" w:rsidR="006A3C9F" w:rsidRPr="00385519" w:rsidRDefault="006A3C9F" w:rsidP="006A3C9F">
            <w:pPr>
              <w:jc w:val="center"/>
              <w:rPr>
                <w:rFonts w:ascii="Arial" w:hAnsi="Arial" w:cs="Arial"/>
                <w:i/>
                <w:color w:val="000000"/>
                <w:sz w:val="16"/>
                <w:szCs w:val="16"/>
              </w:rPr>
            </w:pPr>
            <w:r>
              <w:rPr>
                <w:rFonts w:ascii="Arial" w:hAnsi="Arial" w:cs="Arial"/>
                <w:i/>
                <w:color w:val="000000"/>
                <w:sz w:val="16"/>
                <w:szCs w:val="16"/>
              </w:rPr>
              <w:t>≤5.8%</w:t>
            </w:r>
          </w:p>
        </w:tc>
        <w:tc>
          <w:tcPr>
            <w:tcW w:w="0" w:type="auto"/>
            <w:shd w:val="clear" w:color="auto" w:fill="auto"/>
            <w:vAlign w:val="center"/>
          </w:tcPr>
          <w:p w14:paraId="0CD563F2" w14:textId="6572B5DB" w:rsidR="006A3C9F" w:rsidRPr="009E35FF" w:rsidRDefault="006A3C9F" w:rsidP="006A3C9F">
            <w:pPr>
              <w:jc w:val="center"/>
              <w:rPr>
                <w:rFonts w:ascii="Arial" w:hAnsi="Arial" w:cs="Arial"/>
                <w:i/>
                <w:color w:val="000000"/>
                <w:sz w:val="16"/>
                <w:szCs w:val="16"/>
              </w:rPr>
            </w:pPr>
            <w:r>
              <w:rPr>
                <w:rFonts w:ascii="Arial" w:hAnsi="Arial" w:cs="Arial"/>
                <w:i/>
                <w:color w:val="000000"/>
                <w:sz w:val="16"/>
                <w:szCs w:val="16"/>
              </w:rPr>
              <w:t>≤5.8%</w:t>
            </w:r>
          </w:p>
        </w:tc>
        <w:tc>
          <w:tcPr>
            <w:tcW w:w="0" w:type="auto"/>
            <w:shd w:val="clear" w:color="auto" w:fill="auto"/>
            <w:vAlign w:val="center"/>
          </w:tcPr>
          <w:p w14:paraId="7167E7CB" w14:textId="4D6FD038" w:rsidR="006A3C9F" w:rsidRPr="009E35FF" w:rsidRDefault="006A3C9F" w:rsidP="006A3C9F">
            <w:pPr>
              <w:jc w:val="center"/>
              <w:rPr>
                <w:rFonts w:ascii="Arial" w:hAnsi="Arial" w:cs="Arial"/>
                <w:i/>
                <w:color w:val="000000"/>
                <w:sz w:val="16"/>
                <w:szCs w:val="16"/>
              </w:rPr>
            </w:pPr>
            <w:r>
              <w:rPr>
                <w:rFonts w:ascii="Arial" w:hAnsi="Arial" w:cs="Arial"/>
                <w:i/>
                <w:color w:val="000000"/>
                <w:sz w:val="16"/>
                <w:szCs w:val="16"/>
              </w:rPr>
              <w:t>≤5.8%</w:t>
            </w:r>
          </w:p>
        </w:tc>
        <w:tc>
          <w:tcPr>
            <w:tcW w:w="0" w:type="auto"/>
            <w:shd w:val="clear" w:color="auto" w:fill="auto"/>
            <w:vAlign w:val="center"/>
          </w:tcPr>
          <w:p w14:paraId="3A344F62" w14:textId="2B281340" w:rsidR="006A3C9F" w:rsidRPr="00364283" w:rsidRDefault="006A3C9F" w:rsidP="006A3C9F">
            <w:pPr>
              <w:jc w:val="center"/>
              <w:rPr>
                <w:rFonts w:ascii="Arial" w:hAnsi="Arial" w:cs="Arial"/>
                <w:i/>
                <w:color w:val="000000"/>
                <w:sz w:val="16"/>
                <w:szCs w:val="16"/>
              </w:rPr>
            </w:pPr>
          </w:p>
        </w:tc>
      </w:tr>
      <w:tr w:rsidR="006A3C9F" w14:paraId="2C0753D6" w14:textId="77777777" w:rsidTr="00E06D94">
        <w:trPr>
          <w:trHeight w:val="611"/>
        </w:trPr>
        <w:tc>
          <w:tcPr>
            <w:tcW w:w="0" w:type="auto"/>
            <w:gridSpan w:val="7"/>
            <w:shd w:val="clear" w:color="auto" w:fill="DBE5F1" w:themeFill="accent1" w:themeFillTint="33"/>
            <w:vAlign w:val="center"/>
          </w:tcPr>
          <w:p w14:paraId="4EE46BC5" w14:textId="3EEBE597" w:rsidR="006A3C9F" w:rsidRPr="00351C1E" w:rsidRDefault="006A3C9F" w:rsidP="006A3C9F">
            <w:pPr>
              <w:jc w:val="center"/>
              <w:rPr>
                <w:rFonts w:ascii="Arial" w:hAnsi="Arial" w:cs="Arial"/>
                <w:sz w:val="20"/>
                <w:szCs w:val="20"/>
              </w:rPr>
            </w:pPr>
            <w:r w:rsidRPr="00CF0168">
              <w:rPr>
                <w:rFonts w:ascii="Arial" w:hAnsi="Arial" w:cs="Arial"/>
                <w:sz w:val="20"/>
                <w:szCs w:val="20"/>
              </w:rPr>
              <w:t xml:space="preserve">Goal 2 </w:t>
            </w:r>
            <w:r>
              <w:rPr>
                <w:rFonts w:ascii="Arial" w:hAnsi="Arial" w:cs="Arial"/>
                <w:sz w:val="20"/>
                <w:szCs w:val="20"/>
              </w:rPr>
              <w:t>– Continue to improve the delivery of technology services</w:t>
            </w:r>
          </w:p>
        </w:tc>
      </w:tr>
      <w:tr w:rsidR="006A3C9F" w14:paraId="2EBBFD6D" w14:textId="77777777" w:rsidTr="0050155B">
        <w:trPr>
          <w:trHeight w:val="232"/>
        </w:trPr>
        <w:tc>
          <w:tcPr>
            <w:tcW w:w="0" w:type="auto"/>
            <w:vMerge w:val="restart"/>
            <w:shd w:val="clear" w:color="auto" w:fill="auto"/>
            <w:vAlign w:val="center"/>
            <w:hideMark/>
          </w:tcPr>
          <w:p w14:paraId="30280878" w14:textId="3F4F2FD2" w:rsidR="006A3C9F" w:rsidRPr="00835FC0" w:rsidRDefault="006A3C9F" w:rsidP="006A3C9F">
            <w:pPr>
              <w:rPr>
                <w:rFonts w:ascii="Arial" w:eastAsia="Calibri" w:hAnsi="Arial" w:cs="Arial"/>
                <w:sz w:val="20"/>
                <w:szCs w:val="20"/>
              </w:rPr>
            </w:pPr>
            <w:r w:rsidRPr="00835FC0">
              <w:rPr>
                <w:rFonts w:ascii="Arial" w:eastAsia="Calibri" w:hAnsi="Arial" w:cs="Arial"/>
                <w:sz w:val="20"/>
                <w:szCs w:val="20"/>
              </w:rPr>
              <w:t xml:space="preserve">3. Continuous improvement to the core network to improve reliability and increase bandwidth, measured in total uptime. </w:t>
            </w:r>
            <w:r w:rsidRPr="00835FC0">
              <w:rPr>
                <w:rFonts w:ascii="Arial" w:eastAsia="Calibri" w:hAnsi="Arial" w:cs="Arial"/>
                <w:sz w:val="20"/>
                <w:szCs w:val="20"/>
                <w:vertAlign w:val="superscript"/>
              </w:rPr>
              <w:t>(3)</w:t>
            </w:r>
          </w:p>
          <w:p w14:paraId="0AD9A143" w14:textId="77777777" w:rsidR="006A3C9F" w:rsidRPr="006E658E" w:rsidRDefault="006A3C9F" w:rsidP="006A3C9F">
            <w:pPr>
              <w:rPr>
                <w:rFonts w:ascii="Arial" w:hAnsi="Arial" w:cs="Arial"/>
                <w:color w:val="000000"/>
                <w:sz w:val="20"/>
                <w:szCs w:val="20"/>
                <w:highlight w:val="yellow"/>
              </w:rPr>
            </w:pPr>
          </w:p>
        </w:tc>
        <w:tc>
          <w:tcPr>
            <w:tcW w:w="0" w:type="auto"/>
            <w:shd w:val="clear" w:color="auto" w:fill="D9D9D9" w:themeFill="background1" w:themeFillShade="D9"/>
            <w:vAlign w:val="center"/>
            <w:hideMark/>
          </w:tcPr>
          <w:p w14:paraId="5A0C4D9F" w14:textId="77777777" w:rsidR="006A3C9F" w:rsidRPr="00835FC0" w:rsidRDefault="006A3C9F" w:rsidP="006A3C9F">
            <w:pPr>
              <w:jc w:val="center"/>
              <w:rPr>
                <w:rFonts w:ascii="Arial" w:hAnsi="Arial" w:cs="Arial"/>
                <w:color w:val="000000"/>
                <w:sz w:val="20"/>
                <w:szCs w:val="20"/>
              </w:rPr>
            </w:pPr>
            <w:r w:rsidRPr="00835FC0">
              <w:rPr>
                <w:rFonts w:ascii="Arial" w:hAnsi="Arial" w:cs="Arial"/>
                <w:color w:val="000000"/>
                <w:sz w:val="20"/>
                <w:szCs w:val="20"/>
              </w:rPr>
              <w:t>actual</w:t>
            </w:r>
          </w:p>
        </w:tc>
        <w:tc>
          <w:tcPr>
            <w:tcW w:w="0" w:type="auto"/>
            <w:shd w:val="clear" w:color="auto" w:fill="D9D9D9" w:themeFill="background1" w:themeFillShade="D9"/>
            <w:vAlign w:val="center"/>
          </w:tcPr>
          <w:p w14:paraId="250AB524" w14:textId="1D8CAD22" w:rsidR="006A3C9F" w:rsidRPr="00835FC0" w:rsidRDefault="006A3C9F" w:rsidP="006A3C9F">
            <w:pPr>
              <w:jc w:val="center"/>
              <w:rPr>
                <w:rFonts w:ascii="Arial" w:hAnsi="Arial" w:cs="Arial"/>
                <w:color w:val="000000"/>
                <w:sz w:val="20"/>
                <w:szCs w:val="20"/>
              </w:rPr>
            </w:pPr>
            <w:r>
              <w:rPr>
                <w:rFonts w:ascii="Arial" w:hAnsi="Arial" w:cs="Arial"/>
                <w:color w:val="000000"/>
                <w:sz w:val="20"/>
                <w:szCs w:val="20"/>
              </w:rPr>
              <w:t>99.9%</w:t>
            </w:r>
          </w:p>
        </w:tc>
        <w:tc>
          <w:tcPr>
            <w:tcW w:w="0" w:type="auto"/>
            <w:shd w:val="clear" w:color="auto" w:fill="D9D9D9" w:themeFill="background1" w:themeFillShade="D9"/>
            <w:vAlign w:val="center"/>
          </w:tcPr>
          <w:p w14:paraId="26D3DA88" w14:textId="38DAB9F5" w:rsidR="006A3C9F" w:rsidRPr="00835FC0" w:rsidRDefault="006A3C9F" w:rsidP="006A3C9F">
            <w:pPr>
              <w:jc w:val="center"/>
              <w:rPr>
                <w:rFonts w:ascii="Arial" w:hAnsi="Arial" w:cs="Arial"/>
                <w:color w:val="000000"/>
                <w:sz w:val="20"/>
                <w:szCs w:val="20"/>
              </w:rPr>
            </w:pPr>
            <w:r>
              <w:rPr>
                <w:rFonts w:ascii="Arial" w:hAnsi="Arial" w:cs="Arial"/>
                <w:color w:val="000000"/>
                <w:sz w:val="20"/>
                <w:szCs w:val="20"/>
              </w:rPr>
              <w:t>99.9%</w:t>
            </w:r>
          </w:p>
        </w:tc>
        <w:tc>
          <w:tcPr>
            <w:tcW w:w="0" w:type="auto"/>
            <w:shd w:val="clear" w:color="auto" w:fill="D9D9D9" w:themeFill="background1" w:themeFillShade="D9"/>
            <w:vAlign w:val="center"/>
          </w:tcPr>
          <w:p w14:paraId="28734C94" w14:textId="3C219CFD" w:rsidR="006A3C9F" w:rsidRPr="00835FC0" w:rsidRDefault="006A3C9F" w:rsidP="006A3C9F">
            <w:pPr>
              <w:jc w:val="center"/>
              <w:rPr>
                <w:rFonts w:ascii="Arial" w:hAnsi="Arial" w:cs="Arial"/>
                <w:color w:val="000000"/>
                <w:sz w:val="20"/>
                <w:szCs w:val="20"/>
              </w:rPr>
            </w:pPr>
            <w:r>
              <w:rPr>
                <w:rFonts w:ascii="Arial" w:hAnsi="Arial" w:cs="Arial"/>
                <w:color w:val="000000"/>
                <w:sz w:val="20"/>
                <w:szCs w:val="20"/>
              </w:rPr>
              <w:t>99.98%</w:t>
            </w:r>
          </w:p>
        </w:tc>
        <w:tc>
          <w:tcPr>
            <w:tcW w:w="0" w:type="auto"/>
            <w:shd w:val="clear" w:color="auto" w:fill="D9D9D9" w:themeFill="background1" w:themeFillShade="D9"/>
            <w:vAlign w:val="center"/>
          </w:tcPr>
          <w:p w14:paraId="6A4D93F1" w14:textId="3E227E31" w:rsidR="006A3C9F" w:rsidRPr="00835FC0" w:rsidRDefault="006A3C9F" w:rsidP="006A3C9F">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auto" w:fill="D9D9D9" w:themeFill="background1" w:themeFillShade="D9"/>
            <w:vAlign w:val="center"/>
          </w:tcPr>
          <w:p w14:paraId="3D317E03" w14:textId="18C64DFE" w:rsidR="006A3C9F" w:rsidRPr="00835FC0" w:rsidRDefault="006A3C9F" w:rsidP="006A3C9F">
            <w:pPr>
              <w:jc w:val="center"/>
              <w:rPr>
                <w:rFonts w:ascii="Arial" w:hAnsi="Arial" w:cs="Arial"/>
                <w:color w:val="000000"/>
                <w:sz w:val="20"/>
                <w:szCs w:val="20"/>
              </w:rPr>
            </w:pPr>
          </w:p>
        </w:tc>
      </w:tr>
      <w:tr w:rsidR="006A3C9F" w:rsidRPr="00BA7127" w14:paraId="29B061F1" w14:textId="77777777" w:rsidTr="002903FD">
        <w:trPr>
          <w:trHeight w:val="386"/>
        </w:trPr>
        <w:tc>
          <w:tcPr>
            <w:tcW w:w="0" w:type="auto"/>
            <w:vMerge/>
            <w:vAlign w:val="center"/>
            <w:hideMark/>
          </w:tcPr>
          <w:p w14:paraId="7CF60B3F" w14:textId="77777777" w:rsidR="006A3C9F" w:rsidRDefault="006A3C9F" w:rsidP="006A3C9F">
            <w:pPr>
              <w:rPr>
                <w:rFonts w:ascii="Arial" w:hAnsi="Arial" w:cs="Arial"/>
                <w:color w:val="000000"/>
                <w:sz w:val="20"/>
                <w:szCs w:val="20"/>
              </w:rPr>
            </w:pPr>
          </w:p>
        </w:tc>
        <w:tc>
          <w:tcPr>
            <w:tcW w:w="0" w:type="auto"/>
            <w:shd w:val="clear" w:color="000000" w:fill="FFFFFF"/>
            <w:vAlign w:val="center"/>
            <w:hideMark/>
          </w:tcPr>
          <w:p w14:paraId="061A6920" w14:textId="77777777" w:rsidR="006A3C9F" w:rsidRPr="00BA7127" w:rsidRDefault="006A3C9F" w:rsidP="006A3C9F">
            <w:pPr>
              <w:jc w:val="center"/>
              <w:rPr>
                <w:rFonts w:ascii="Arial" w:hAnsi="Arial" w:cs="Arial"/>
                <w:i/>
                <w:iCs/>
                <w:color w:val="000000"/>
                <w:sz w:val="16"/>
                <w:szCs w:val="16"/>
              </w:rPr>
            </w:pPr>
            <w:r w:rsidRPr="00BA7127">
              <w:rPr>
                <w:rFonts w:ascii="Arial" w:hAnsi="Arial" w:cs="Arial"/>
                <w:i/>
                <w:iCs/>
                <w:color w:val="000000"/>
                <w:sz w:val="16"/>
                <w:szCs w:val="16"/>
              </w:rPr>
              <w:t>target</w:t>
            </w:r>
          </w:p>
        </w:tc>
        <w:tc>
          <w:tcPr>
            <w:tcW w:w="0" w:type="auto"/>
            <w:shd w:val="clear" w:color="auto" w:fill="auto"/>
            <w:vAlign w:val="center"/>
          </w:tcPr>
          <w:p w14:paraId="3E3FA034" w14:textId="30046CEC" w:rsidR="006A3C9F" w:rsidRPr="00BA7127" w:rsidRDefault="006A3C9F" w:rsidP="006A3C9F">
            <w:pPr>
              <w:jc w:val="center"/>
              <w:rPr>
                <w:rFonts w:ascii="Arial" w:hAnsi="Arial" w:cs="Arial"/>
                <w:i/>
                <w:color w:val="000000"/>
                <w:sz w:val="16"/>
                <w:szCs w:val="16"/>
              </w:rPr>
            </w:pPr>
            <w:r w:rsidRPr="0027518F">
              <w:rPr>
                <w:rFonts w:ascii="Arial" w:hAnsi="Arial" w:cs="Arial"/>
                <w:i/>
                <w:color w:val="000000"/>
                <w:sz w:val="16"/>
                <w:szCs w:val="16"/>
              </w:rPr>
              <w:t>99.9%</w:t>
            </w:r>
          </w:p>
        </w:tc>
        <w:tc>
          <w:tcPr>
            <w:tcW w:w="0" w:type="auto"/>
            <w:shd w:val="clear" w:color="auto" w:fill="auto"/>
            <w:vAlign w:val="center"/>
          </w:tcPr>
          <w:p w14:paraId="29F1D1D8" w14:textId="34D369FC" w:rsidR="006A3C9F" w:rsidRPr="00BA7127" w:rsidRDefault="006A3C9F" w:rsidP="006A3C9F">
            <w:pPr>
              <w:jc w:val="center"/>
              <w:rPr>
                <w:rFonts w:ascii="Arial" w:hAnsi="Arial" w:cs="Arial"/>
                <w:i/>
                <w:color w:val="000000"/>
                <w:sz w:val="16"/>
                <w:szCs w:val="16"/>
              </w:rPr>
            </w:pPr>
            <w:r>
              <w:rPr>
                <w:rFonts w:ascii="Arial" w:hAnsi="Arial" w:cs="Arial"/>
                <w:i/>
                <w:color w:val="000000"/>
                <w:sz w:val="16"/>
                <w:szCs w:val="16"/>
              </w:rPr>
              <w:t>99.9%</w:t>
            </w:r>
          </w:p>
        </w:tc>
        <w:tc>
          <w:tcPr>
            <w:tcW w:w="0" w:type="auto"/>
            <w:shd w:val="clear" w:color="auto" w:fill="auto"/>
            <w:vAlign w:val="center"/>
          </w:tcPr>
          <w:p w14:paraId="3D0C14F9" w14:textId="2D95B0A1" w:rsidR="006A3C9F" w:rsidRPr="00BA7127" w:rsidRDefault="006A3C9F" w:rsidP="006A3C9F">
            <w:pPr>
              <w:jc w:val="center"/>
              <w:rPr>
                <w:rFonts w:ascii="Arial" w:hAnsi="Arial" w:cs="Arial"/>
                <w:i/>
                <w:color w:val="000000"/>
                <w:sz w:val="16"/>
                <w:szCs w:val="16"/>
              </w:rPr>
            </w:pPr>
            <w:r>
              <w:rPr>
                <w:rFonts w:ascii="Arial" w:hAnsi="Arial" w:cs="Arial"/>
                <w:i/>
                <w:color w:val="000000"/>
                <w:sz w:val="16"/>
                <w:szCs w:val="16"/>
              </w:rPr>
              <w:t>99.9%</w:t>
            </w:r>
          </w:p>
        </w:tc>
        <w:tc>
          <w:tcPr>
            <w:tcW w:w="0" w:type="auto"/>
            <w:shd w:val="clear" w:color="auto" w:fill="auto"/>
            <w:vAlign w:val="center"/>
          </w:tcPr>
          <w:p w14:paraId="138D7591" w14:textId="4C4FE5BB" w:rsidR="006A3C9F" w:rsidRPr="0027518F" w:rsidRDefault="006A3C9F" w:rsidP="006A3C9F">
            <w:pPr>
              <w:jc w:val="center"/>
              <w:rPr>
                <w:rFonts w:ascii="Arial" w:hAnsi="Arial" w:cs="Arial"/>
                <w:i/>
                <w:color w:val="000000"/>
                <w:sz w:val="16"/>
                <w:szCs w:val="16"/>
              </w:rPr>
            </w:pPr>
            <w:r>
              <w:rPr>
                <w:rFonts w:ascii="Arial" w:hAnsi="Arial" w:cs="Arial"/>
                <w:i/>
                <w:color w:val="000000"/>
                <w:sz w:val="16"/>
                <w:szCs w:val="16"/>
              </w:rPr>
              <w:t>99.9%</w:t>
            </w:r>
          </w:p>
        </w:tc>
        <w:tc>
          <w:tcPr>
            <w:tcW w:w="0" w:type="auto"/>
            <w:shd w:val="clear" w:color="auto" w:fill="auto"/>
            <w:vAlign w:val="center"/>
          </w:tcPr>
          <w:p w14:paraId="34E3FEBD" w14:textId="0AAAD7BA" w:rsidR="006A3C9F" w:rsidRPr="00BA7127" w:rsidRDefault="006A3C9F" w:rsidP="006A3C9F">
            <w:pPr>
              <w:jc w:val="center"/>
              <w:rPr>
                <w:rFonts w:ascii="Arial" w:hAnsi="Arial" w:cs="Arial"/>
                <w:i/>
                <w:color w:val="000000"/>
                <w:sz w:val="16"/>
                <w:szCs w:val="16"/>
              </w:rPr>
            </w:pPr>
          </w:p>
        </w:tc>
      </w:tr>
      <w:tr w:rsidR="006A3C9F" w14:paraId="274F0851" w14:textId="77777777" w:rsidTr="0050155B">
        <w:trPr>
          <w:trHeight w:val="232"/>
        </w:trPr>
        <w:tc>
          <w:tcPr>
            <w:tcW w:w="0" w:type="auto"/>
            <w:vMerge w:val="restart"/>
            <w:shd w:val="clear" w:color="auto" w:fill="auto"/>
            <w:vAlign w:val="center"/>
            <w:hideMark/>
          </w:tcPr>
          <w:p w14:paraId="109D898A" w14:textId="0B658204" w:rsidR="006A3C9F" w:rsidRPr="006E658E" w:rsidRDefault="006A3C9F" w:rsidP="006A3C9F">
            <w:pPr>
              <w:rPr>
                <w:rFonts w:ascii="Arial" w:eastAsia="Calibri" w:hAnsi="Arial" w:cs="Arial"/>
                <w:sz w:val="20"/>
                <w:szCs w:val="20"/>
                <w:vertAlign w:val="superscript"/>
              </w:rPr>
            </w:pPr>
            <w:r>
              <w:rPr>
                <w:rFonts w:ascii="Arial" w:eastAsia="Calibri" w:hAnsi="Arial" w:cs="Arial"/>
                <w:sz w:val="20"/>
                <w:szCs w:val="20"/>
              </w:rPr>
              <w:t>4. Migrate supported agencies to virtual firewalls.</w:t>
            </w:r>
          </w:p>
        </w:tc>
        <w:tc>
          <w:tcPr>
            <w:tcW w:w="0" w:type="auto"/>
            <w:shd w:val="clear" w:color="auto" w:fill="D9D9D9" w:themeFill="background1" w:themeFillShade="D9"/>
            <w:vAlign w:val="center"/>
            <w:hideMark/>
          </w:tcPr>
          <w:p w14:paraId="06B23B4B" w14:textId="77777777" w:rsidR="006A3C9F" w:rsidRDefault="006A3C9F" w:rsidP="006A3C9F">
            <w:pPr>
              <w:jc w:val="center"/>
              <w:rPr>
                <w:rFonts w:ascii="Arial" w:hAnsi="Arial" w:cs="Arial"/>
                <w:color w:val="000000"/>
                <w:sz w:val="20"/>
                <w:szCs w:val="20"/>
              </w:rPr>
            </w:pPr>
            <w:r>
              <w:rPr>
                <w:rFonts w:ascii="Arial" w:hAnsi="Arial" w:cs="Arial"/>
                <w:color w:val="000000"/>
                <w:sz w:val="20"/>
                <w:szCs w:val="20"/>
              </w:rPr>
              <w:t>actual</w:t>
            </w:r>
          </w:p>
        </w:tc>
        <w:tc>
          <w:tcPr>
            <w:tcW w:w="0" w:type="auto"/>
            <w:shd w:val="clear" w:color="auto" w:fill="D9D9D9" w:themeFill="background1" w:themeFillShade="D9"/>
            <w:vAlign w:val="center"/>
          </w:tcPr>
          <w:p w14:paraId="7E995CA5" w14:textId="109A3B85" w:rsidR="006A3C9F" w:rsidRDefault="006A3C9F" w:rsidP="006A3C9F">
            <w:pPr>
              <w:jc w:val="center"/>
              <w:rPr>
                <w:rFonts w:ascii="Arial" w:hAnsi="Arial" w:cs="Arial"/>
                <w:color w:val="000000"/>
                <w:sz w:val="20"/>
                <w:szCs w:val="20"/>
              </w:rPr>
            </w:pPr>
            <w:r w:rsidRPr="0027518F">
              <w:rPr>
                <w:rFonts w:ascii="Arial" w:hAnsi="Arial" w:cs="Arial"/>
                <w:color w:val="000000"/>
                <w:sz w:val="20"/>
                <w:szCs w:val="20"/>
              </w:rPr>
              <w:t>88%</w:t>
            </w:r>
          </w:p>
        </w:tc>
        <w:tc>
          <w:tcPr>
            <w:tcW w:w="0" w:type="auto"/>
            <w:shd w:val="clear" w:color="auto" w:fill="D9D9D9" w:themeFill="background1" w:themeFillShade="D9"/>
            <w:vAlign w:val="center"/>
          </w:tcPr>
          <w:p w14:paraId="5C84332E" w14:textId="07EA1F7B" w:rsidR="006A3C9F" w:rsidRDefault="006A3C9F" w:rsidP="006A3C9F">
            <w:pPr>
              <w:jc w:val="center"/>
              <w:rPr>
                <w:rFonts w:ascii="Arial" w:hAnsi="Arial" w:cs="Arial"/>
                <w:color w:val="000000"/>
                <w:sz w:val="20"/>
                <w:szCs w:val="20"/>
              </w:rPr>
            </w:pPr>
            <w:r>
              <w:rPr>
                <w:rFonts w:ascii="Arial" w:hAnsi="Arial" w:cs="Arial"/>
                <w:color w:val="000000"/>
                <w:sz w:val="20"/>
                <w:szCs w:val="20"/>
              </w:rPr>
              <w:t>90%</w:t>
            </w:r>
          </w:p>
        </w:tc>
        <w:tc>
          <w:tcPr>
            <w:tcW w:w="0" w:type="auto"/>
            <w:shd w:val="clear" w:color="auto" w:fill="D9D9D9" w:themeFill="background1" w:themeFillShade="D9"/>
            <w:vAlign w:val="center"/>
          </w:tcPr>
          <w:p w14:paraId="56AC54AF" w14:textId="15854236" w:rsidR="006A3C9F" w:rsidRDefault="006A3C9F" w:rsidP="006A3C9F">
            <w:pPr>
              <w:jc w:val="center"/>
              <w:rPr>
                <w:rFonts w:ascii="Arial" w:hAnsi="Arial" w:cs="Arial"/>
                <w:color w:val="000000"/>
                <w:sz w:val="20"/>
                <w:szCs w:val="20"/>
              </w:rPr>
            </w:pPr>
            <w:r>
              <w:rPr>
                <w:rFonts w:ascii="Arial" w:hAnsi="Arial" w:cs="Arial"/>
                <w:color w:val="000000"/>
                <w:sz w:val="20"/>
                <w:szCs w:val="20"/>
              </w:rPr>
              <w:t>92%</w:t>
            </w:r>
          </w:p>
        </w:tc>
        <w:tc>
          <w:tcPr>
            <w:tcW w:w="0" w:type="auto"/>
            <w:shd w:val="clear" w:color="auto" w:fill="D9D9D9" w:themeFill="background1" w:themeFillShade="D9"/>
            <w:vAlign w:val="center"/>
          </w:tcPr>
          <w:p w14:paraId="2C39A9C6" w14:textId="302D1F29" w:rsidR="006A3C9F" w:rsidRPr="0027518F" w:rsidRDefault="006A3C9F" w:rsidP="006A3C9F">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auto" w:fill="D9D9D9" w:themeFill="background1" w:themeFillShade="D9"/>
            <w:vAlign w:val="center"/>
          </w:tcPr>
          <w:p w14:paraId="3B32CF7F" w14:textId="5722B4DD" w:rsidR="006A3C9F" w:rsidRPr="0027518F" w:rsidRDefault="006A3C9F" w:rsidP="006A3C9F">
            <w:pPr>
              <w:jc w:val="center"/>
              <w:rPr>
                <w:rFonts w:ascii="Arial" w:hAnsi="Arial" w:cs="Arial"/>
                <w:color w:val="000000"/>
                <w:sz w:val="20"/>
                <w:szCs w:val="20"/>
              </w:rPr>
            </w:pPr>
          </w:p>
        </w:tc>
      </w:tr>
      <w:tr w:rsidR="006A3C9F" w:rsidRPr="00BA7127" w14:paraId="5C1031D1" w14:textId="77777777" w:rsidTr="002903FD">
        <w:trPr>
          <w:trHeight w:val="377"/>
        </w:trPr>
        <w:tc>
          <w:tcPr>
            <w:tcW w:w="0" w:type="auto"/>
            <w:vMerge/>
            <w:vAlign w:val="center"/>
            <w:hideMark/>
          </w:tcPr>
          <w:p w14:paraId="1DFEC25A" w14:textId="77777777" w:rsidR="006A3C9F" w:rsidRDefault="006A3C9F" w:rsidP="006A3C9F">
            <w:pPr>
              <w:rPr>
                <w:rFonts w:ascii="Arial" w:hAnsi="Arial" w:cs="Arial"/>
                <w:color w:val="000000"/>
                <w:sz w:val="20"/>
                <w:szCs w:val="20"/>
              </w:rPr>
            </w:pPr>
          </w:p>
        </w:tc>
        <w:tc>
          <w:tcPr>
            <w:tcW w:w="0" w:type="auto"/>
            <w:shd w:val="clear" w:color="000000" w:fill="FFFFFF"/>
            <w:vAlign w:val="center"/>
            <w:hideMark/>
          </w:tcPr>
          <w:p w14:paraId="5172AFA4" w14:textId="77777777" w:rsidR="006A3C9F" w:rsidRPr="00BA7127" w:rsidRDefault="006A3C9F" w:rsidP="006A3C9F">
            <w:pPr>
              <w:jc w:val="center"/>
              <w:rPr>
                <w:rFonts w:ascii="Arial" w:hAnsi="Arial" w:cs="Arial"/>
                <w:i/>
                <w:iCs/>
                <w:color w:val="000000"/>
                <w:sz w:val="16"/>
                <w:szCs w:val="16"/>
              </w:rPr>
            </w:pPr>
            <w:r w:rsidRPr="00BA7127">
              <w:rPr>
                <w:rFonts w:ascii="Arial" w:hAnsi="Arial" w:cs="Arial"/>
                <w:i/>
                <w:iCs/>
                <w:color w:val="000000"/>
                <w:sz w:val="16"/>
                <w:szCs w:val="16"/>
              </w:rPr>
              <w:t>target</w:t>
            </w:r>
          </w:p>
        </w:tc>
        <w:tc>
          <w:tcPr>
            <w:tcW w:w="0" w:type="auto"/>
            <w:shd w:val="clear" w:color="auto" w:fill="auto"/>
            <w:vAlign w:val="center"/>
          </w:tcPr>
          <w:p w14:paraId="37C90237" w14:textId="3C9C8F4F" w:rsidR="006A3C9F" w:rsidRPr="00BA7127" w:rsidRDefault="006A3C9F" w:rsidP="006A3C9F">
            <w:pPr>
              <w:jc w:val="center"/>
              <w:rPr>
                <w:rFonts w:ascii="Arial" w:hAnsi="Arial" w:cs="Arial"/>
                <w:i/>
                <w:color w:val="000000"/>
                <w:sz w:val="16"/>
                <w:szCs w:val="16"/>
              </w:rPr>
            </w:pPr>
            <w:r w:rsidRPr="0027518F">
              <w:rPr>
                <w:rFonts w:ascii="Arial" w:hAnsi="Arial" w:cs="Arial"/>
                <w:i/>
                <w:color w:val="000000"/>
                <w:sz w:val="16"/>
                <w:szCs w:val="16"/>
              </w:rPr>
              <w:t>50%</w:t>
            </w:r>
          </w:p>
        </w:tc>
        <w:tc>
          <w:tcPr>
            <w:tcW w:w="0" w:type="auto"/>
            <w:shd w:val="clear" w:color="auto" w:fill="auto"/>
            <w:vAlign w:val="center"/>
          </w:tcPr>
          <w:p w14:paraId="3566D771" w14:textId="5D3295C0" w:rsidR="006A3C9F" w:rsidRPr="00BA7127" w:rsidRDefault="006A3C9F" w:rsidP="006A3C9F">
            <w:pPr>
              <w:jc w:val="center"/>
              <w:rPr>
                <w:rFonts w:ascii="Arial" w:hAnsi="Arial" w:cs="Arial"/>
                <w:i/>
                <w:color w:val="000000"/>
                <w:sz w:val="16"/>
                <w:szCs w:val="16"/>
              </w:rPr>
            </w:pPr>
            <w:r w:rsidRPr="0027518F">
              <w:rPr>
                <w:rFonts w:ascii="Arial" w:hAnsi="Arial" w:cs="Arial"/>
                <w:i/>
                <w:color w:val="000000"/>
                <w:sz w:val="16"/>
                <w:szCs w:val="16"/>
              </w:rPr>
              <w:t>95%</w:t>
            </w:r>
          </w:p>
        </w:tc>
        <w:tc>
          <w:tcPr>
            <w:tcW w:w="0" w:type="auto"/>
            <w:shd w:val="clear" w:color="auto" w:fill="auto"/>
            <w:vAlign w:val="center"/>
          </w:tcPr>
          <w:p w14:paraId="4563CD43" w14:textId="78A7CE99" w:rsidR="006A3C9F" w:rsidRPr="00BA7127" w:rsidRDefault="006A3C9F" w:rsidP="006A3C9F">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20C65A8F" w14:textId="4E1134C5" w:rsidR="006A3C9F" w:rsidRPr="0027518F" w:rsidRDefault="006A3C9F" w:rsidP="006A3C9F">
            <w:pPr>
              <w:jc w:val="center"/>
              <w:rPr>
                <w:rFonts w:ascii="Arial" w:hAnsi="Arial" w:cs="Arial"/>
                <w:i/>
                <w:color w:val="000000"/>
                <w:sz w:val="16"/>
                <w:szCs w:val="16"/>
              </w:rPr>
            </w:pPr>
            <w:r>
              <w:rPr>
                <w:rFonts w:ascii="Arial" w:hAnsi="Arial" w:cs="Arial"/>
                <w:i/>
                <w:color w:val="000000"/>
                <w:sz w:val="16"/>
                <w:szCs w:val="16"/>
              </w:rPr>
              <w:t>100%</w:t>
            </w:r>
          </w:p>
        </w:tc>
        <w:tc>
          <w:tcPr>
            <w:tcW w:w="0" w:type="auto"/>
            <w:shd w:val="clear" w:color="auto" w:fill="auto"/>
            <w:vAlign w:val="center"/>
          </w:tcPr>
          <w:p w14:paraId="748CE3E8" w14:textId="69816843" w:rsidR="006A3C9F" w:rsidRPr="0027518F" w:rsidRDefault="006A3C9F" w:rsidP="006A3C9F">
            <w:pPr>
              <w:jc w:val="center"/>
              <w:rPr>
                <w:rFonts w:ascii="Arial" w:hAnsi="Arial" w:cs="Arial"/>
                <w:i/>
                <w:color w:val="000000"/>
                <w:sz w:val="16"/>
                <w:szCs w:val="16"/>
              </w:rPr>
            </w:pPr>
          </w:p>
        </w:tc>
      </w:tr>
      <w:tr w:rsidR="006A3C9F" w14:paraId="21D242CD" w14:textId="77777777" w:rsidTr="0050155B">
        <w:trPr>
          <w:trHeight w:val="232"/>
        </w:trPr>
        <w:tc>
          <w:tcPr>
            <w:tcW w:w="0" w:type="auto"/>
            <w:vMerge w:val="restart"/>
            <w:shd w:val="clear" w:color="auto" w:fill="auto"/>
            <w:vAlign w:val="center"/>
            <w:hideMark/>
          </w:tcPr>
          <w:p w14:paraId="6CF2948A" w14:textId="1EB22E06" w:rsidR="006A3C9F" w:rsidRPr="00CC294B" w:rsidRDefault="006A3C9F" w:rsidP="006A3C9F">
            <w:pPr>
              <w:rPr>
                <w:rFonts w:ascii="Arial" w:eastAsia="Calibri" w:hAnsi="Arial" w:cs="Arial"/>
                <w:sz w:val="20"/>
                <w:szCs w:val="20"/>
              </w:rPr>
            </w:pPr>
            <w:bookmarkStart w:id="7" w:name="_Hlk111709706"/>
            <w:r>
              <w:rPr>
                <w:rFonts w:ascii="Arial" w:eastAsia="Calibri" w:hAnsi="Arial" w:cs="Arial"/>
                <w:sz w:val="20"/>
                <w:szCs w:val="20"/>
              </w:rPr>
              <w:t xml:space="preserve">5. </w:t>
            </w:r>
            <w:bookmarkStart w:id="8" w:name="_Hlk80775512"/>
            <w:r>
              <w:rPr>
                <w:rFonts w:ascii="Arial" w:eastAsia="Calibri" w:hAnsi="Arial" w:cs="Arial"/>
                <w:sz w:val="20"/>
                <w:szCs w:val="20"/>
              </w:rPr>
              <w:t>Transition and support a total of 7,000 end users to the upgraded Microsoft Office365 platform.</w:t>
            </w:r>
            <w:r w:rsidRPr="00B60597">
              <w:rPr>
                <w:rFonts w:ascii="Arial" w:eastAsia="Calibri" w:hAnsi="Arial" w:cs="Arial"/>
                <w:sz w:val="20"/>
                <w:szCs w:val="20"/>
              </w:rPr>
              <w:t xml:space="preserve"> </w:t>
            </w:r>
            <w:bookmarkEnd w:id="8"/>
          </w:p>
          <w:p w14:paraId="568C3114" w14:textId="77777777" w:rsidR="006A3C9F" w:rsidRPr="00BA7127" w:rsidRDefault="006A3C9F" w:rsidP="006A3C9F">
            <w:pPr>
              <w:rPr>
                <w:rFonts w:ascii="Arial" w:hAnsi="Arial" w:cs="Arial"/>
                <w:color w:val="000000"/>
                <w:sz w:val="20"/>
                <w:szCs w:val="20"/>
              </w:rPr>
            </w:pPr>
          </w:p>
        </w:tc>
        <w:tc>
          <w:tcPr>
            <w:tcW w:w="0" w:type="auto"/>
            <w:shd w:val="clear" w:color="auto" w:fill="D9D9D9" w:themeFill="background1" w:themeFillShade="D9"/>
            <w:vAlign w:val="center"/>
            <w:hideMark/>
          </w:tcPr>
          <w:p w14:paraId="5B43AECC" w14:textId="77777777" w:rsidR="006A3C9F" w:rsidRDefault="006A3C9F" w:rsidP="006A3C9F">
            <w:pPr>
              <w:jc w:val="center"/>
              <w:rPr>
                <w:rFonts w:ascii="Arial" w:hAnsi="Arial" w:cs="Arial"/>
                <w:color w:val="000000"/>
                <w:sz w:val="20"/>
                <w:szCs w:val="20"/>
              </w:rPr>
            </w:pPr>
            <w:r>
              <w:rPr>
                <w:rFonts w:ascii="Arial" w:hAnsi="Arial" w:cs="Arial"/>
                <w:color w:val="000000"/>
                <w:sz w:val="20"/>
                <w:szCs w:val="20"/>
              </w:rPr>
              <w:t>actual</w:t>
            </w:r>
          </w:p>
        </w:tc>
        <w:tc>
          <w:tcPr>
            <w:tcW w:w="0" w:type="auto"/>
            <w:shd w:val="clear" w:color="auto" w:fill="D9D9D9" w:themeFill="background1" w:themeFillShade="D9"/>
            <w:vAlign w:val="center"/>
          </w:tcPr>
          <w:p w14:paraId="4E959C7A" w14:textId="1BD29810" w:rsidR="006A3C9F" w:rsidRDefault="006A3C9F" w:rsidP="006A3C9F">
            <w:pPr>
              <w:jc w:val="center"/>
              <w:rPr>
                <w:rFonts w:ascii="Arial" w:hAnsi="Arial" w:cs="Arial"/>
                <w:color w:val="000000"/>
                <w:sz w:val="20"/>
                <w:szCs w:val="20"/>
              </w:rPr>
            </w:pPr>
            <w:r>
              <w:rPr>
                <w:rFonts w:ascii="Arial" w:hAnsi="Arial" w:cs="Arial"/>
                <w:color w:val="000000"/>
                <w:sz w:val="20"/>
                <w:szCs w:val="20"/>
              </w:rPr>
              <w:t>6,067</w:t>
            </w:r>
          </w:p>
        </w:tc>
        <w:tc>
          <w:tcPr>
            <w:tcW w:w="0" w:type="auto"/>
            <w:shd w:val="clear" w:color="auto" w:fill="D9D9D9" w:themeFill="background1" w:themeFillShade="D9"/>
            <w:vAlign w:val="center"/>
          </w:tcPr>
          <w:p w14:paraId="5CA0E263" w14:textId="79206C56" w:rsidR="006A3C9F" w:rsidRDefault="006A3C9F" w:rsidP="006A3C9F">
            <w:pPr>
              <w:jc w:val="center"/>
              <w:rPr>
                <w:rFonts w:ascii="Arial" w:hAnsi="Arial" w:cs="Arial"/>
                <w:color w:val="000000"/>
                <w:sz w:val="20"/>
                <w:szCs w:val="20"/>
              </w:rPr>
            </w:pPr>
            <w:r>
              <w:rPr>
                <w:rFonts w:ascii="Arial" w:hAnsi="Arial" w:cs="Arial"/>
                <w:color w:val="000000"/>
                <w:sz w:val="20"/>
                <w:szCs w:val="20"/>
              </w:rPr>
              <w:t>7,398</w:t>
            </w:r>
          </w:p>
        </w:tc>
        <w:tc>
          <w:tcPr>
            <w:tcW w:w="0" w:type="auto"/>
            <w:shd w:val="clear" w:color="auto" w:fill="D9D9D9" w:themeFill="background1" w:themeFillShade="D9"/>
            <w:vAlign w:val="center"/>
          </w:tcPr>
          <w:p w14:paraId="2319E9A7" w14:textId="219230D5" w:rsidR="006A3C9F" w:rsidRDefault="006A3C9F" w:rsidP="006A3C9F">
            <w:pPr>
              <w:jc w:val="center"/>
              <w:rPr>
                <w:rFonts w:ascii="Arial" w:hAnsi="Arial" w:cs="Arial"/>
                <w:color w:val="000000"/>
                <w:sz w:val="20"/>
                <w:szCs w:val="20"/>
              </w:rPr>
            </w:pPr>
            <w:r>
              <w:rPr>
                <w:rFonts w:ascii="Arial" w:hAnsi="Arial" w:cs="Arial"/>
                <w:color w:val="000000"/>
                <w:sz w:val="20"/>
                <w:szCs w:val="20"/>
              </w:rPr>
              <w:t>10,606</w:t>
            </w:r>
          </w:p>
        </w:tc>
        <w:tc>
          <w:tcPr>
            <w:tcW w:w="0" w:type="auto"/>
            <w:shd w:val="clear" w:color="auto" w:fill="D9D9D9" w:themeFill="background1" w:themeFillShade="D9"/>
            <w:vAlign w:val="center"/>
          </w:tcPr>
          <w:p w14:paraId="34255E8C" w14:textId="05225159" w:rsidR="006A3C9F" w:rsidRDefault="006A3C9F" w:rsidP="006A3C9F">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auto" w:fill="D9D9D9" w:themeFill="background1" w:themeFillShade="D9"/>
            <w:vAlign w:val="center"/>
          </w:tcPr>
          <w:p w14:paraId="18A8E127" w14:textId="2489B459" w:rsidR="006A3C9F" w:rsidRDefault="006A3C9F" w:rsidP="006A3C9F">
            <w:pPr>
              <w:jc w:val="center"/>
              <w:rPr>
                <w:rFonts w:ascii="Arial" w:hAnsi="Arial" w:cs="Arial"/>
                <w:color w:val="000000"/>
                <w:sz w:val="20"/>
                <w:szCs w:val="20"/>
              </w:rPr>
            </w:pPr>
          </w:p>
        </w:tc>
      </w:tr>
      <w:bookmarkEnd w:id="7"/>
      <w:tr w:rsidR="006A3C9F" w:rsidRPr="00BA7127" w14:paraId="7DE656B3" w14:textId="77777777" w:rsidTr="007E6CE4">
        <w:trPr>
          <w:trHeight w:val="494"/>
        </w:trPr>
        <w:tc>
          <w:tcPr>
            <w:tcW w:w="0" w:type="auto"/>
            <w:vMerge/>
            <w:vAlign w:val="center"/>
            <w:hideMark/>
          </w:tcPr>
          <w:p w14:paraId="1A597DB4" w14:textId="77777777" w:rsidR="006A3C9F" w:rsidRDefault="006A3C9F" w:rsidP="006A3C9F">
            <w:pPr>
              <w:rPr>
                <w:rFonts w:ascii="Arial" w:hAnsi="Arial" w:cs="Arial"/>
                <w:color w:val="000000"/>
                <w:sz w:val="20"/>
                <w:szCs w:val="20"/>
              </w:rPr>
            </w:pPr>
          </w:p>
        </w:tc>
        <w:tc>
          <w:tcPr>
            <w:tcW w:w="0" w:type="auto"/>
            <w:shd w:val="clear" w:color="000000" w:fill="FFFFFF"/>
            <w:vAlign w:val="center"/>
            <w:hideMark/>
          </w:tcPr>
          <w:p w14:paraId="763823F3" w14:textId="77777777" w:rsidR="006A3C9F" w:rsidRPr="00BA7127" w:rsidRDefault="006A3C9F" w:rsidP="006A3C9F">
            <w:pPr>
              <w:jc w:val="center"/>
              <w:rPr>
                <w:rFonts w:ascii="Arial" w:hAnsi="Arial" w:cs="Arial"/>
                <w:i/>
                <w:iCs/>
                <w:color w:val="000000"/>
                <w:sz w:val="16"/>
                <w:szCs w:val="16"/>
              </w:rPr>
            </w:pPr>
            <w:r w:rsidRPr="00BA7127">
              <w:rPr>
                <w:rFonts w:ascii="Arial" w:hAnsi="Arial" w:cs="Arial"/>
                <w:i/>
                <w:iCs/>
                <w:color w:val="000000"/>
                <w:sz w:val="16"/>
                <w:szCs w:val="16"/>
              </w:rPr>
              <w:t>target</w:t>
            </w:r>
          </w:p>
        </w:tc>
        <w:tc>
          <w:tcPr>
            <w:tcW w:w="0" w:type="auto"/>
            <w:shd w:val="clear" w:color="auto" w:fill="auto"/>
            <w:vAlign w:val="center"/>
          </w:tcPr>
          <w:p w14:paraId="62C81F01" w14:textId="11EE9B31" w:rsidR="006A3C9F" w:rsidRPr="00BA7127" w:rsidRDefault="006A3C9F" w:rsidP="006A3C9F">
            <w:pPr>
              <w:jc w:val="center"/>
              <w:rPr>
                <w:rFonts w:ascii="Arial" w:hAnsi="Arial" w:cs="Arial"/>
                <w:i/>
                <w:color w:val="000000"/>
                <w:sz w:val="16"/>
                <w:szCs w:val="16"/>
              </w:rPr>
            </w:pPr>
            <w:r>
              <w:rPr>
                <w:rFonts w:ascii="Arial" w:hAnsi="Arial" w:cs="Arial"/>
                <w:i/>
                <w:color w:val="000000"/>
                <w:sz w:val="16"/>
                <w:szCs w:val="16"/>
              </w:rPr>
              <w:t>7,000</w:t>
            </w:r>
          </w:p>
        </w:tc>
        <w:tc>
          <w:tcPr>
            <w:tcW w:w="0" w:type="auto"/>
            <w:shd w:val="clear" w:color="auto" w:fill="auto"/>
            <w:vAlign w:val="center"/>
          </w:tcPr>
          <w:p w14:paraId="325A61C6" w14:textId="09C47016" w:rsidR="006A3C9F" w:rsidRPr="00BA7127" w:rsidRDefault="006A3C9F" w:rsidP="006A3C9F">
            <w:pPr>
              <w:jc w:val="center"/>
              <w:rPr>
                <w:rFonts w:ascii="Arial" w:hAnsi="Arial" w:cs="Arial"/>
                <w:i/>
                <w:color w:val="000000"/>
                <w:sz w:val="16"/>
                <w:szCs w:val="16"/>
              </w:rPr>
            </w:pPr>
            <w:r>
              <w:rPr>
                <w:rFonts w:ascii="Arial" w:hAnsi="Arial" w:cs="Arial"/>
                <w:i/>
                <w:color w:val="000000"/>
                <w:sz w:val="16"/>
                <w:szCs w:val="16"/>
              </w:rPr>
              <w:t>7,000</w:t>
            </w:r>
          </w:p>
        </w:tc>
        <w:tc>
          <w:tcPr>
            <w:tcW w:w="0" w:type="auto"/>
            <w:shd w:val="clear" w:color="auto" w:fill="auto"/>
            <w:vAlign w:val="center"/>
          </w:tcPr>
          <w:p w14:paraId="5065BECC" w14:textId="500CA1D5" w:rsidR="006A3C9F" w:rsidRPr="00BA7127" w:rsidRDefault="006A3C9F" w:rsidP="006A3C9F">
            <w:pPr>
              <w:jc w:val="center"/>
              <w:rPr>
                <w:rFonts w:ascii="Arial" w:hAnsi="Arial" w:cs="Arial"/>
                <w:i/>
                <w:color w:val="000000"/>
                <w:sz w:val="16"/>
                <w:szCs w:val="16"/>
              </w:rPr>
            </w:pPr>
            <w:r>
              <w:rPr>
                <w:rFonts w:ascii="Arial" w:hAnsi="Arial" w:cs="Arial"/>
                <w:i/>
                <w:color w:val="000000"/>
                <w:sz w:val="16"/>
                <w:szCs w:val="16"/>
              </w:rPr>
              <w:t>9,000</w:t>
            </w:r>
          </w:p>
        </w:tc>
        <w:tc>
          <w:tcPr>
            <w:tcW w:w="0" w:type="auto"/>
            <w:shd w:val="clear" w:color="auto" w:fill="auto"/>
            <w:vAlign w:val="center"/>
          </w:tcPr>
          <w:p w14:paraId="6A557817" w14:textId="10976667" w:rsidR="006A3C9F" w:rsidRPr="00BA7127" w:rsidRDefault="006A3C9F" w:rsidP="006A3C9F">
            <w:pPr>
              <w:jc w:val="center"/>
              <w:rPr>
                <w:rFonts w:ascii="Arial" w:hAnsi="Arial" w:cs="Arial"/>
                <w:i/>
                <w:color w:val="000000"/>
                <w:sz w:val="16"/>
                <w:szCs w:val="16"/>
              </w:rPr>
            </w:pPr>
            <w:r>
              <w:rPr>
                <w:rFonts w:ascii="Arial" w:hAnsi="Arial" w:cs="Arial"/>
                <w:i/>
                <w:color w:val="000000"/>
                <w:sz w:val="16"/>
                <w:szCs w:val="16"/>
              </w:rPr>
              <w:t>9,000</w:t>
            </w:r>
          </w:p>
        </w:tc>
        <w:tc>
          <w:tcPr>
            <w:tcW w:w="0" w:type="auto"/>
            <w:shd w:val="clear" w:color="auto" w:fill="auto"/>
            <w:vAlign w:val="center"/>
          </w:tcPr>
          <w:p w14:paraId="6BECFE58" w14:textId="183C158D" w:rsidR="006A3C9F" w:rsidRPr="00BA7127" w:rsidRDefault="006A3C9F" w:rsidP="006A3C9F">
            <w:pPr>
              <w:jc w:val="center"/>
              <w:rPr>
                <w:rFonts w:ascii="Arial" w:hAnsi="Arial" w:cs="Arial"/>
                <w:i/>
                <w:color w:val="000000"/>
                <w:sz w:val="16"/>
                <w:szCs w:val="16"/>
              </w:rPr>
            </w:pPr>
          </w:p>
        </w:tc>
      </w:tr>
      <w:tr w:rsidR="006A3C9F" w:rsidRPr="00D764B5" w14:paraId="2F338C21" w14:textId="77777777" w:rsidTr="00E06D94">
        <w:trPr>
          <w:trHeight w:val="611"/>
        </w:trPr>
        <w:tc>
          <w:tcPr>
            <w:tcW w:w="0" w:type="auto"/>
            <w:gridSpan w:val="7"/>
            <w:shd w:val="clear" w:color="auto" w:fill="DBE5F1" w:themeFill="accent1" w:themeFillTint="33"/>
            <w:vAlign w:val="center"/>
          </w:tcPr>
          <w:p w14:paraId="3EE9ECF0" w14:textId="7AA517FE" w:rsidR="006A3C9F" w:rsidRPr="00D764B5" w:rsidRDefault="006A3C9F" w:rsidP="006A3C9F">
            <w:pPr>
              <w:ind w:left="100" w:right="63"/>
              <w:jc w:val="center"/>
              <w:rPr>
                <w:rFonts w:ascii="Calibri" w:eastAsia="Calibri" w:hAnsi="Calibri" w:cs="Calibri"/>
                <w:highlight w:val="yellow"/>
              </w:rPr>
            </w:pPr>
            <w:bookmarkStart w:id="9" w:name="_Hlk47343980"/>
            <w:r w:rsidRPr="00197671">
              <w:rPr>
                <w:rFonts w:ascii="Arial" w:hAnsi="Arial" w:cs="Arial"/>
                <w:sz w:val="20"/>
                <w:szCs w:val="20"/>
              </w:rPr>
              <w:t xml:space="preserve">Goal </w:t>
            </w:r>
            <w:r>
              <w:rPr>
                <w:rFonts w:ascii="Arial" w:hAnsi="Arial" w:cs="Arial"/>
                <w:sz w:val="20"/>
                <w:szCs w:val="20"/>
              </w:rPr>
              <w:t>3</w:t>
            </w:r>
            <w:r w:rsidRPr="00197671">
              <w:rPr>
                <w:rFonts w:ascii="Arial" w:hAnsi="Arial" w:cs="Arial"/>
                <w:sz w:val="20"/>
                <w:szCs w:val="20"/>
              </w:rPr>
              <w:t xml:space="preserve"> </w:t>
            </w:r>
            <w:r>
              <w:rPr>
                <w:rFonts w:ascii="Arial" w:hAnsi="Arial" w:cs="Arial"/>
                <w:sz w:val="20"/>
                <w:szCs w:val="20"/>
              </w:rPr>
              <w:t>–</w:t>
            </w:r>
            <w:r w:rsidRPr="00197671">
              <w:rPr>
                <w:rFonts w:ascii="Arial" w:hAnsi="Arial" w:cs="Arial"/>
                <w:sz w:val="20"/>
                <w:szCs w:val="20"/>
              </w:rPr>
              <w:t xml:space="preserve"> </w:t>
            </w:r>
            <w:r>
              <w:rPr>
                <w:rFonts w:ascii="Arial" w:hAnsi="Arial" w:cs="Arial"/>
                <w:sz w:val="20"/>
                <w:szCs w:val="20"/>
              </w:rPr>
              <w:t>Evolve the Enterprise</w:t>
            </w:r>
          </w:p>
        </w:tc>
      </w:tr>
      <w:bookmarkEnd w:id="9"/>
      <w:tr w:rsidR="006A3C9F" w:rsidRPr="00D764B5" w14:paraId="11E69AC3" w14:textId="77777777" w:rsidTr="0050155B">
        <w:trPr>
          <w:trHeight w:val="232"/>
        </w:trPr>
        <w:tc>
          <w:tcPr>
            <w:tcW w:w="0" w:type="auto"/>
            <w:vMerge w:val="restart"/>
            <w:shd w:val="clear" w:color="auto" w:fill="auto"/>
            <w:vAlign w:val="center"/>
            <w:hideMark/>
          </w:tcPr>
          <w:p w14:paraId="679398C4" w14:textId="6B132090" w:rsidR="006A3C9F" w:rsidRPr="00FB44DA" w:rsidRDefault="006A3C9F" w:rsidP="006A3C9F">
            <w:pPr>
              <w:pStyle w:val="Default"/>
              <w:adjustRightInd/>
              <w:rPr>
                <w:rFonts w:eastAsia="Calibri"/>
                <w:color w:val="auto"/>
                <w:sz w:val="20"/>
                <w:szCs w:val="20"/>
              </w:rPr>
            </w:pPr>
            <w:r>
              <w:rPr>
                <w:rFonts w:eastAsia="Calibri"/>
                <w:color w:val="auto"/>
                <w:sz w:val="20"/>
                <w:szCs w:val="20"/>
              </w:rPr>
              <w:t>6</w:t>
            </w:r>
            <w:r w:rsidRPr="00FB44DA">
              <w:rPr>
                <w:rFonts w:eastAsia="Calibri"/>
                <w:color w:val="auto"/>
                <w:sz w:val="20"/>
                <w:szCs w:val="20"/>
              </w:rPr>
              <w:t xml:space="preserve">. </w:t>
            </w:r>
            <w:r>
              <w:rPr>
                <w:rFonts w:eastAsia="Calibri"/>
                <w:color w:val="auto"/>
                <w:sz w:val="20"/>
                <w:szCs w:val="20"/>
              </w:rPr>
              <w:t>Migrate ITS and agency virtual machines to new, modern server and storage infrastructure.</w:t>
            </w:r>
          </w:p>
          <w:p w14:paraId="24587BAF" w14:textId="77777777" w:rsidR="006A3C9F" w:rsidRPr="00D764B5" w:rsidRDefault="006A3C9F" w:rsidP="006A3C9F">
            <w:pPr>
              <w:rPr>
                <w:rFonts w:ascii="Arial" w:hAnsi="Arial" w:cs="Arial"/>
                <w:color w:val="000000"/>
                <w:sz w:val="20"/>
                <w:szCs w:val="20"/>
                <w:highlight w:val="yellow"/>
              </w:rPr>
            </w:pPr>
          </w:p>
        </w:tc>
        <w:tc>
          <w:tcPr>
            <w:tcW w:w="0" w:type="auto"/>
            <w:shd w:val="clear" w:color="auto" w:fill="D9D9D9" w:themeFill="background1" w:themeFillShade="D9"/>
            <w:vAlign w:val="center"/>
            <w:hideMark/>
          </w:tcPr>
          <w:p w14:paraId="718DB24D" w14:textId="77777777" w:rsidR="006A3C9F" w:rsidRPr="00385519" w:rsidRDefault="006A3C9F" w:rsidP="006A3C9F">
            <w:pPr>
              <w:jc w:val="center"/>
              <w:rPr>
                <w:rFonts w:ascii="Arial" w:hAnsi="Arial" w:cs="Arial"/>
                <w:color w:val="000000"/>
                <w:sz w:val="20"/>
                <w:szCs w:val="20"/>
              </w:rPr>
            </w:pPr>
            <w:r w:rsidRPr="00385519">
              <w:rPr>
                <w:rFonts w:ascii="Arial" w:hAnsi="Arial" w:cs="Arial"/>
                <w:color w:val="000000"/>
                <w:sz w:val="20"/>
                <w:szCs w:val="20"/>
              </w:rPr>
              <w:t>actual</w:t>
            </w:r>
          </w:p>
        </w:tc>
        <w:tc>
          <w:tcPr>
            <w:tcW w:w="0" w:type="auto"/>
            <w:shd w:val="clear" w:color="auto" w:fill="D9D9D9" w:themeFill="background1" w:themeFillShade="D9"/>
            <w:vAlign w:val="center"/>
          </w:tcPr>
          <w:p w14:paraId="63FE29FC" w14:textId="7E1257FD" w:rsidR="006A3C9F" w:rsidRPr="00385519" w:rsidRDefault="006A3C9F" w:rsidP="006A3C9F">
            <w:pPr>
              <w:jc w:val="center"/>
              <w:rPr>
                <w:rFonts w:ascii="Arial" w:hAnsi="Arial" w:cs="Arial"/>
                <w:color w:val="000000"/>
                <w:sz w:val="20"/>
                <w:szCs w:val="20"/>
              </w:rPr>
            </w:pPr>
            <w:r>
              <w:rPr>
                <w:rFonts w:ascii="Arial" w:hAnsi="Arial" w:cs="Arial"/>
                <w:color w:val="000000"/>
                <w:sz w:val="20"/>
                <w:szCs w:val="20"/>
              </w:rPr>
              <w:t>221</w:t>
            </w:r>
          </w:p>
        </w:tc>
        <w:tc>
          <w:tcPr>
            <w:tcW w:w="0" w:type="auto"/>
            <w:shd w:val="clear" w:color="auto" w:fill="D9D9D9" w:themeFill="background1" w:themeFillShade="D9"/>
            <w:vAlign w:val="center"/>
          </w:tcPr>
          <w:p w14:paraId="289D85AF" w14:textId="20C68843" w:rsidR="006A3C9F" w:rsidRPr="00385519" w:rsidRDefault="006A3C9F" w:rsidP="006A3C9F">
            <w:pPr>
              <w:jc w:val="center"/>
              <w:rPr>
                <w:rFonts w:ascii="Arial" w:hAnsi="Arial" w:cs="Arial"/>
                <w:color w:val="000000"/>
                <w:sz w:val="20"/>
                <w:szCs w:val="20"/>
              </w:rPr>
            </w:pPr>
            <w:r>
              <w:rPr>
                <w:rFonts w:ascii="Arial" w:hAnsi="Arial" w:cs="Arial"/>
                <w:color w:val="000000"/>
                <w:sz w:val="20"/>
                <w:szCs w:val="20"/>
              </w:rPr>
              <w:t>296</w:t>
            </w:r>
          </w:p>
        </w:tc>
        <w:tc>
          <w:tcPr>
            <w:tcW w:w="0" w:type="auto"/>
            <w:shd w:val="clear" w:color="auto" w:fill="D9D9D9" w:themeFill="background1" w:themeFillShade="D9"/>
            <w:vAlign w:val="center"/>
          </w:tcPr>
          <w:p w14:paraId="3E1E5BF2" w14:textId="52D1E8E6" w:rsidR="006A3C9F" w:rsidRPr="009E35FF" w:rsidRDefault="006A3C9F" w:rsidP="006A3C9F">
            <w:pPr>
              <w:jc w:val="center"/>
              <w:rPr>
                <w:rFonts w:ascii="Arial" w:hAnsi="Arial" w:cs="Arial"/>
                <w:color w:val="000000"/>
                <w:sz w:val="20"/>
                <w:szCs w:val="20"/>
              </w:rPr>
            </w:pPr>
            <w:r>
              <w:rPr>
                <w:rFonts w:ascii="Arial" w:hAnsi="Arial" w:cs="Arial"/>
                <w:color w:val="000000"/>
                <w:sz w:val="20"/>
                <w:szCs w:val="20"/>
              </w:rPr>
              <w:t>269</w:t>
            </w:r>
          </w:p>
        </w:tc>
        <w:tc>
          <w:tcPr>
            <w:tcW w:w="0" w:type="auto"/>
            <w:shd w:val="clear" w:color="auto" w:fill="D9D9D9" w:themeFill="background1" w:themeFillShade="D9"/>
            <w:vAlign w:val="center"/>
          </w:tcPr>
          <w:p w14:paraId="2DBA36CB" w14:textId="13227516" w:rsidR="006A3C9F" w:rsidRPr="009E35FF" w:rsidRDefault="006A3C9F" w:rsidP="006A3C9F">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auto" w:fill="D9D9D9" w:themeFill="background1" w:themeFillShade="D9"/>
            <w:vAlign w:val="center"/>
          </w:tcPr>
          <w:p w14:paraId="5BD4E874" w14:textId="0A7767F0" w:rsidR="006A3C9F" w:rsidRPr="00364283" w:rsidRDefault="006A3C9F" w:rsidP="006A3C9F">
            <w:pPr>
              <w:jc w:val="center"/>
              <w:rPr>
                <w:rFonts w:ascii="Arial" w:hAnsi="Arial" w:cs="Arial"/>
                <w:color w:val="000000"/>
                <w:sz w:val="20"/>
                <w:szCs w:val="20"/>
              </w:rPr>
            </w:pPr>
          </w:p>
        </w:tc>
      </w:tr>
      <w:tr w:rsidR="006A3C9F" w:rsidRPr="00D764B5" w14:paraId="64F36FD1" w14:textId="77777777" w:rsidTr="007E6CE4">
        <w:trPr>
          <w:trHeight w:val="386"/>
        </w:trPr>
        <w:tc>
          <w:tcPr>
            <w:tcW w:w="0" w:type="auto"/>
            <w:vMerge/>
            <w:vAlign w:val="center"/>
            <w:hideMark/>
          </w:tcPr>
          <w:p w14:paraId="56CBDE8A" w14:textId="77777777" w:rsidR="006A3C9F" w:rsidRPr="00D764B5" w:rsidRDefault="006A3C9F" w:rsidP="006A3C9F">
            <w:pPr>
              <w:rPr>
                <w:rFonts w:ascii="Arial" w:hAnsi="Arial" w:cs="Arial"/>
                <w:color w:val="000000"/>
                <w:sz w:val="20"/>
                <w:szCs w:val="20"/>
                <w:highlight w:val="yellow"/>
              </w:rPr>
            </w:pPr>
          </w:p>
        </w:tc>
        <w:tc>
          <w:tcPr>
            <w:tcW w:w="0" w:type="auto"/>
            <w:shd w:val="clear" w:color="000000" w:fill="FFFFFF"/>
            <w:vAlign w:val="center"/>
            <w:hideMark/>
          </w:tcPr>
          <w:p w14:paraId="66253AB5" w14:textId="77777777" w:rsidR="006A3C9F" w:rsidRPr="00385519" w:rsidRDefault="006A3C9F" w:rsidP="006A3C9F">
            <w:pPr>
              <w:jc w:val="center"/>
              <w:rPr>
                <w:rFonts w:ascii="Arial" w:hAnsi="Arial" w:cs="Arial"/>
                <w:i/>
                <w:iCs/>
                <w:color w:val="000000"/>
                <w:sz w:val="16"/>
                <w:szCs w:val="16"/>
              </w:rPr>
            </w:pPr>
            <w:r w:rsidRPr="00385519">
              <w:rPr>
                <w:rFonts w:ascii="Arial" w:hAnsi="Arial" w:cs="Arial"/>
                <w:i/>
                <w:iCs/>
                <w:color w:val="000000"/>
                <w:sz w:val="16"/>
                <w:szCs w:val="16"/>
              </w:rPr>
              <w:t>target</w:t>
            </w:r>
          </w:p>
        </w:tc>
        <w:tc>
          <w:tcPr>
            <w:tcW w:w="0" w:type="auto"/>
            <w:shd w:val="clear" w:color="auto" w:fill="auto"/>
            <w:vAlign w:val="center"/>
          </w:tcPr>
          <w:p w14:paraId="3D4A2525" w14:textId="1DBF0F93" w:rsidR="006A3C9F" w:rsidRPr="00385519" w:rsidRDefault="006A3C9F" w:rsidP="006A3C9F">
            <w:pPr>
              <w:jc w:val="center"/>
              <w:rPr>
                <w:rFonts w:ascii="Arial" w:hAnsi="Arial" w:cs="Arial"/>
                <w:i/>
                <w:color w:val="000000"/>
                <w:sz w:val="16"/>
                <w:szCs w:val="16"/>
              </w:rPr>
            </w:pPr>
            <w:r>
              <w:rPr>
                <w:rFonts w:ascii="Arial" w:hAnsi="Arial" w:cs="Arial"/>
                <w:i/>
                <w:color w:val="000000"/>
                <w:sz w:val="16"/>
                <w:szCs w:val="16"/>
              </w:rPr>
              <w:t>390</w:t>
            </w:r>
          </w:p>
        </w:tc>
        <w:tc>
          <w:tcPr>
            <w:tcW w:w="0" w:type="auto"/>
            <w:shd w:val="clear" w:color="auto" w:fill="auto"/>
            <w:vAlign w:val="center"/>
          </w:tcPr>
          <w:p w14:paraId="607FCBCA" w14:textId="45C54C13" w:rsidR="006A3C9F" w:rsidRPr="00385519" w:rsidRDefault="006A3C9F" w:rsidP="006A3C9F">
            <w:pPr>
              <w:jc w:val="center"/>
              <w:rPr>
                <w:rFonts w:ascii="Arial" w:hAnsi="Arial" w:cs="Arial"/>
                <w:i/>
                <w:color w:val="000000"/>
                <w:sz w:val="16"/>
                <w:szCs w:val="16"/>
              </w:rPr>
            </w:pPr>
            <w:r>
              <w:rPr>
                <w:rFonts w:ascii="Arial" w:hAnsi="Arial" w:cs="Arial"/>
                <w:i/>
                <w:color w:val="000000"/>
                <w:sz w:val="16"/>
                <w:szCs w:val="16"/>
              </w:rPr>
              <w:t>390</w:t>
            </w:r>
          </w:p>
        </w:tc>
        <w:tc>
          <w:tcPr>
            <w:tcW w:w="0" w:type="auto"/>
            <w:shd w:val="clear" w:color="auto" w:fill="auto"/>
            <w:vAlign w:val="center"/>
          </w:tcPr>
          <w:p w14:paraId="21B9EBF0" w14:textId="3D044E4B" w:rsidR="006A3C9F" w:rsidRPr="009E35FF" w:rsidRDefault="006A3C9F" w:rsidP="006A3C9F">
            <w:pPr>
              <w:jc w:val="center"/>
              <w:rPr>
                <w:rFonts w:ascii="Arial" w:hAnsi="Arial" w:cs="Arial"/>
                <w:i/>
                <w:color w:val="000000"/>
                <w:sz w:val="16"/>
                <w:szCs w:val="16"/>
              </w:rPr>
            </w:pPr>
            <w:r>
              <w:rPr>
                <w:rFonts w:ascii="Arial" w:hAnsi="Arial" w:cs="Arial"/>
                <w:i/>
                <w:color w:val="000000"/>
                <w:sz w:val="16"/>
                <w:szCs w:val="16"/>
              </w:rPr>
              <w:t>355</w:t>
            </w:r>
          </w:p>
        </w:tc>
        <w:tc>
          <w:tcPr>
            <w:tcW w:w="0" w:type="auto"/>
            <w:shd w:val="clear" w:color="auto" w:fill="auto"/>
            <w:vAlign w:val="center"/>
          </w:tcPr>
          <w:p w14:paraId="749D0AB6" w14:textId="2BF282B8" w:rsidR="006A3C9F" w:rsidRPr="009E35FF" w:rsidRDefault="006A3C9F" w:rsidP="006A3C9F">
            <w:pPr>
              <w:jc w:val="center"/>
              <w:rPr>
                <w:rFonts w:ascii="Arial" w:hAnsi="Arial" w:cs="Arial"/>
                <w:i/>
                <w:color w:val="000000"/>
                <w:sz w:val="16"/>
                <w:szCs w:val="16"/>
              </w:rPr>
            </w:pPr>
            <w:r>
              <w:rPr>
                <w:rFonts w:ascii="Arial" w:hAnsi="Arial" w:cs="Arial"/>
                <w:i/>
                <w:color w:val="000000"/>
                <w:sz w:val="16"/>
                <w:szCs w:val="16"/>
              </w:rPr>
              <w:t>355</w:t>
            </w:r>
          </w:p>
        </w:tc>
        <w:tc>
          <w:tcPr>
            <w:tcW w:w="0" w:type="auto"/>
            <w:shd w:val="clear" w:color="auto" w:fill="auto"/>
            <w:vAlign w:val="center"/>
          </w:tcPr>
          <w:p w14:paraId="47B0CE9E" w14:textId="21DB137E" w:rsidR="006A3C9F" w:rsidRPr="00364283" w:rsidRDefault="006A3C9F" w:rsidP="006A3C9F">
            <w:pPr>
              <w:jc w:val="center"/>
              <w:rPr>
                <w:rFonts w:ascii="Arial" w:hAnsi="Arial" w:cs="Arial"/>
                <w:i/>
                <w:color w:val="000000"/>
                <w:sz w:val="16"/>
                <w:szCs w:val="16"/>
              </w:rPr>
            </w:pPr>
          </w:p>
        </w:tc>
      </w:tr>
      <w:tr w:rsidR="006A3C9F" w:rsidRPr="000F25AC" w14:paraId="2DE3F15A" w14:textId="77777777" w:rsidTr="0061732A">
        <w:trPr>
          <w:trHeight w:val="611"/>
        </w:trPr>
        <w:tc>
          <w:tcPr>
            <w:tcW w:w="0" w:type="auto"/>
            <w:gridSpan w:val="7"/>
            <w:shd w:val="clear" w:color="auto" w:fill="DBE5F1" w:themeFill="accent1" w:themeFillTint="33"/>
            <w:vAlign w:val="center"/>
          </w:tcPr>
          <w:p w14:paraId="62C8013A" w14:textId="75560062" w:rsidR="006A3C9F" w:rsidRPr="00625F87" w:rsidRDefault="006A3C9F" w:rsidP="006A3C9F">
            <w:pPr>
              <w:ind w:left="100" w:right="63"/>
              <w:jc w:val="center"/>
              <w:rPr>
                <w:rFonts w:ascii="Calibri" w:eastAsia="Calibri" w:hAnsi="Calibri" w:cs="Calibri"/>
                <w:highlight w:val="yellow"/>
              </w:rPr>
            </w:pPr>
            <w:r w:rsidRPr="00987F44">
              <w:rPr>
                <w:rFonts w:ascii="Arial" w:hAnsi="Arial" w:cs="Arial"/>
                <w:sz w:val="20"/>
                <w:szCs w:val="20"/>
              </w:rPr>
              <w:t xml:space="preserve">Goal 4 </w:t>
            </w:r>
            <w:r>
              <w:rPr>
                <w:rFonts w:ascii="Arial" w:hAnsi="Arial" w:cs="Arial"/>
                <w:sz w:val="20"/>
                <w:szCs w:val="20"/>
              </w:rPr>
              <w:t>–</w:t>
            </w:r>
            <w:r w:rsidRPr="00987F44">
              <w:rPr>
                <w:rFonts w:ascii="Arial" w:hAnsi="Arial" w:cs="Arial"/>
                <w:sz w:val="20"/>
                <w:szCs w:val="20"/>
              </w:rPr>
              <w:t xml:space="preserve"> </w:t>
            </w:r>
            <w:r>
              <w:rPr>
                <w:rFonts w:ascii="Arial" w:hAnsi="Arial" w:cs="Arial"/>
                <w:sz w:val="20"/>
                <w:szCs w:val="20"/>
              </w:rPr>
              <w:t>Organizational Excellence</w:t>
            </w:r>
          </w:p>
        </w:tc>
      </w:tr>
      <w:tr w:rsidR="006A3C9F" w:rsidRPr="00D764B5" w14:paraId="6C7ACA66" w14:textId="77777777" w:rsidTr="0050155B">
        <w:trPr>
          <w:trHeight w:val="232"/>
        </w:trPr>
        <w:tc>
          <w:tcPr>
            <w:tcW w:w="0" w:type="auto"/>
            <w:vMerge w:val="restart"/>
            <w:shd w:val="clear" w:color="auto" w:fill="auto"/>
            <w:vAlign w:val="center"/>
            <w:hideMark/>
          </w:tcPr>
          <w:p w14:paraId="1CAED706" w14:textId="4EACE196" w:rsidR="006A3C9F" w:rsidRPr="000F25AC" w:rsidRDefault="006A3C9F" w:rsidP="006A3C9F">
            <w:pPr>
              <w:rPr>
                <w:rFonts w:ascii="Arial" w:eastAsia="Calibri" w:hAnsi="Arial" w:cs="Arial"/>
                <w:sz w:val="20"/>
                <w:szCs w:val="20"/>
              </w:rPr>
            </w:pPr>
            <w:bookmarkStart w:id="10" w:name="_Hlk111711389"/>
            <w:r>
              <w:rPr>
                <w:rFonts w:ascii="Arial" w:eastAsia="Calibri" w:hAnsi="Arial" w:cs="Arial"/>
                <w:sz w:val="20"/>
                <w:szCs w:val="20"/>
              </w:rPr>
              <w:t>7</w:t>
            </w:r>
            <w:r w:rsidRPr="000F25AC">
              <w:rPr>
                <w:rFonts w:ascii="Arial" w:eastAsia="Calibri" w:hAnsi="Arial" w:cs="Arial"/>
                <w:sz w:val="20"/>
                <w:szCs w:val="20"/>
              </w:rPr>
              <w:t xml:space="preserve">. </w:t>
            </w:r>
            <w:r>
              <w:rPr>
                <w:rFonts w:ascii="Arial" w:eastAsia="Calibri" w:hAnsi="Arial" w:cs="Arial"/>
                <w:sz w:val="20"/>
                <w:szCs w:val="20"/>
              </w:rPr>
              <w:t>Average Service Desk survey results.</w:t>
            </w:r>
          </w:p>
          <w:p w14:paraId="7A7BC609" w14:textId="77777777" w:rsidR="006A3C9F" w:rsidRPr="00D764B5" w:rsidRDefault="006A3C9F" w:rsidP="006A3C9F">
            <w:pPr>
              <w:rPr>
                <w:rFonts w:ascii="Arial" w:hAnsi="Arial" w:cs="Arial"/>
                <w:color w:val="000000"/>
                <w:sz w:val="20"/>
                <w:szCs w:val="20"/>
                <w:highlight w:val="yellow"/>
              </w:rPr>
            </w:pPr>
          </w:p>
        </w:tc>
        <w:tc>
          <w:tcPr>
            <w:tcW w:w="0" w:type="auto"/>
            <w:shd w:val="clear" w:color="auto" w:fill="D9D9D9" w:themeFill="background1" w:themeFillShade="D9"/>
            <w:vAlign w:val="center"/>
            <w:hideMark/>
          </w:tcPr>
          <w:p w14:paraId="796944B2" w14:textId="77777777" w:rsidR="006A3C9F" w:rsidRPr="00987F44" w:rsidRDefault="006A3C9F" w:rsidP="006A3C9F">
            <w:pPr>
              <w:jc w:val="center"/>
              <w:rPr>
                <w:rFonts w:ascii="Arial" w:hAnsi="Arial" w:cs="Arial"/>
                <w:color w:val="000000"/>
                <w:sz w:val="20"/>
                <w:szCs w:val="20"/>
              </w:rPr>
            </w:pPr>
            <w:r w:rsidRPr="00987F44">
              <w:rPr>
                <w:rFonts w:ascii="Arial" w:hAnsi="Arial" w:cs="Arial"/>
                <w:color w:val="000000"/>
                <w:sz w:val="20"/>
                <w:szCs w:val="20"/>
              </w:rPr>
              <w:t>actual</w:t>
            </w:r>
          </w:p>
        </w:tc>
        <w:tc>
          <w:tcPr>
            <w:tcW w:w="0" w:type="auto"/>
            <w:shd w:val="clear" w:color="auto" w:fill="D9D9D9" w:themeFill="background1" w:themeFillShade="D9"/>
            <w:vAlign w:val="center"/>
          </w:tcPr>
          <w:p w14:paraId="567D6390" w14:textId="78B1C00F" w:rsidR="006A3C9F" w:rsidRPr="00987F44" w:rsidRDefault="006A3C9F" w:rsidP="006A3C9F">
            <w:pPr>
              <w:jc w:val="center"/>
              <w:rPr>
                <w:rFonts w:ascii="Arial" w:hAnsi="Arial" w:cs="Arial"/>
                <w:color w:val="000000"/>
                <w:sz w:val="20"/>
                <w:szCs w:val="20"/>
              </w:rPr>
            </w:pPr>
            <w:r>
              <w:rPr>
                <w:rFonts w:ascii="Arial" w:hAnsi="Arial" w:cs="Arial"/>
                <w:color w:val="000000"/>
                <w:sz w:val="20"/>
                <w:szCs w:val="20"/>
              </w:rPr>
              <w:t>4.6</w:t>
            </w:r>
          </w:p>
        </w:tc>
        <w:tc>
          <w:tcPr>
            <w:tcW w:w="0" w:type="auto"/>
            <w:shd w:val="clear" w:color="auto" w:fill="D9D9D9" w:themeFill="background1" w:themeFillShade="D9"/>
            <w:vAlign w:val="center"/>
          </w:tcPr>
          <w:p w14:paraId="236171BE" w14:textId="5621F649" w:rsidR="006A3C9F" w:rsidRPr="00987F44" w:rsidRDefault="006A3C9F" w:rsidP="006A3C9F">
            <w:pPr>
              <w:jc w:val="center"/>
              <w:rPr>
                <w:rFonts w:ascii="Arial" w:hAnsi="Arial" w:cs="Arial"/>
                <w:color w:val="000000"/>
                <w:sz w:val="20"/>
                <w:szCs w:val="20"/>
              </w:rPr>
            </w:pPr>
            <w:r>
              <w:rPr>
                <w:rFonts w:ascii="Arial" w:hAnsi="Arial" w:cs="Arial"/>
                <w:color w:val="000000"/>
                <w:sz w:val="20"/>
                <w:szCs w:val="20"/>
              </w:rPr>
              <w:t>4.6</w:t>
            </w:r>
          </w:p>
        </w:tc>
        <w:tc>
          <w:tcPr>
            <w:tcW w:w="0" w:type="auto"/>
            <w:shd w:val="clear" w:color="auto" w:fill="D9D9D9" w:themeFill="background1" w:themeFillShade="D9"/>
            <w:vAlign w:val="center"/>
          </w:tcPr>
          <w:p w14:paraId="6C55451C" w14:textId="660F738E" w:rsidR="006A3C9F" w:rsidRPr="00987F44" w:rsidRDefault="006A3C9F" w:rsidP="006A3C9F">
            <w:pPr>
              <w:jc w:val="center"/>
              <w:rPr>
                <w:rFonts w:ascii="Arial" w:hAnsi="Arial" w:cs="Arial"/>
                <w:color w:val="000000"/>
                <w:sz w:val="20"/>
                <w:szCs w:val="20"/>
              </w:rPr>
            </w:pPr>
            <w:r>
              <w:rPr>
                <w:rFonts w:ascii="Arial" w:hAnsi="Arial" w:cs="Arial"/>
                <w:color w:val="000000"/>
                <w:sz w:val="20"/>
                <w:szCs w:val="20"/>
              </w:rPr>
              <w:t>4.65</w:t>
            </w:r>
          </w:p>
        </w:tc>
        <w:tc>
          <w:tcPr>
            <w:tcW w:w="0" w:type="auto"/>
            <w:shd w:val="clear" w:color="auto" w:fill="D9D9D9" w:themeFill="background1" w:themeFillShade="D9"/>
            <w:vAlign w:val="center"/>
          </w:tcPr>
          <w:p w14:paraId="1E494121" w14:textId="258A7F24" w:rsidR="006A3C9F" w:rsidRPr="00987F44" w:rsidRDefault="006A3C9F" w:rsidP="006A3C9F">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auto" w:fill="D9D9D9" w:themeFill="background1" w:themeFillShade="D9"/>
            <w:vAlign w:val="center"/>
          </w:tcPr>
          <w:p w14:paraId="7B544F80" w14:textId="491DDF26" w:rsidR="006A3C9F" w:rsidRPr="00364283" w:rsidRDefault="006A3C9F" w:rsidP="006A3C9F">
            <w:pPr>
              <w:jc w:val="center"/>
              <w:rPr>
                <w:rFonts w:ascii="Arial" w:hAnsi="Arial" w:cs="Arial"/>
                <w:color w:val="000000"/>
                <w:sz w:val="20"/>
                <w:szCs w:val="20"/>
              </w:rPr>
            </w:pPr>
          </w:p>
        </w:tc>
      </w:tr>
      <w:bookmarkEnd w:id="10"/>
      <w:tr w:rsidR="006A3C9F" w:rsidRPr="00D764B5" w14:paraId="7B902BA7" w14:textId="77777777" w:rsidTr="007E6CE4">
        <w:trPr>
          <w:trHeight w:val="386"/>
        </w:trPr>
        <w:tc>
          <w:tcPr>
            <w:tcW w:w="0" w:type="auto"/>
            <w:vMerge/>
            <w:vAlign w:val="center"/>
            <w:hideMark/>
          </w:tcPr>
          <w:p w14:paraId="3DB39049" w14:textId="77777777" w:rsidR="006A3C9F" w:rsidRPr="00D764B5" w:rsidRDefault="006A3C9F" w:rsidP="006A3C9F">
            <w:pPr>
              <w:rPr>
                <w:rFonts w:ascii="Arial" w:hAnsi="Arial" w:cs="Arial"/>
                <w:color w:val="000000"/>
                <w:sz w:val="20"/>
                <w:szCs w:val="20"/>
                <w:highlight w:val="yellow"/>
              </w:rPr>
            </w:pPr>
          </w:p>
        </w:tc>
        <w:tc>
          <w:tcPr>
            <w:tcW w:w="0" w:type="auto"/>
            <w:shd w:val="clear" w:color="000000" w:fill="FFFFFF"/>
            <w:vAlign w:val="center"/>
            <w:hideMark/>
          </w:tcPr>
          <w:p w14:paraId="2CB30348" w14:textId="77777777" w:rsidR="006A3C9F" w:rsidRPr="00987F44" w:rsidRDefault="006A3C9F" w:rsidP="006A3C9F">
            <w:pPr>
              <w:jc w:val="center"/>
              <w:rPr>
                <w:rFonts w:ascii="Arial" w:hAnsi="Arial" w:cs="Arial"/>
                <w:i/>
                <w:iCs/>
                <w:color w:val="000000"/>
                <w:sz w:val="16"/>
                <w:szCs w:val="16"/>
              </w:rPr>
            </w:pPr>
            <w:r w:rsidRPr="00987F44">
              <w:rPr>
                <w:rFonts w:ascii="Arial" w:hAnsi="Arial" w:cs="Arial"/>
                <w:i/>
                <w:iCs/>
                <w:color w:val="000000"/>
                <w:sz w:val="16"/>
                <w:szCs w:val="16"/>
              </w:rPr>
              <w:t>target</w:t>
            </w:r>
          </w:p>
        </w:tc>
        <w:tc>
          <w:tcPr>
            <w:tcW w:w="0" w:type="auto"/>
            <w:shd w:val="clear" w:color="auto" w:fill="auto"/>
            <w:vAlign w:val="center"/>
          </w:tcPr>
          <w:p w14:paraId="6A91B4EC" w14:textId="5F805C72" w:rsidR="006A3C9F" w:rsidRPr="00987F44" w:rsidRDefault="006A3C9F" w:rsidP="006A3C9F">
            <w:pPr>
              <w:jc w:val="center"/>
              <w:rPr>
                <w:rFonts w:ascii="Arial" w:hAnsi="Arial" w:cs="Arial"/>
                <w:i/>
                <w:color w:val="000000"/>
                <w:sz w:val="16"/>
                <w:szCs w:val="16"/>
              </w:rPr>
            </w:pPr>
            <w:r>
              <w:rPr>
                <w:rFonts w:ascii="Arial" w:hAnsi="Arial" w:cs="Arial"/>
                <w:i/>
                <w:color w:val="000000"/>
                <w:sz w:val="16"/>
                <w:szCs w:val="16"/>
              </w:rPr>
              <w:t>4.5</w:t>
            </w:r>
          </w:p>
        </w:tc>
        <w:tc>
          <w:tcPr>
            <w:tcW w:w="0" w:type="auto"/>
            <w:shd w:val="clear" w:color="auto" w:fill="auto"/>
            <w:vAlign w:val="center"/>
          </w:tcPr>
          <w:p w14:paraId="72D6C4C8" w14:textId="5A676E0F" w:rsidR="006A3C9F" w:rsidRPr="00987F44" w:rsidRDefault="006A3C9F" w:rsidP="006A3C9F">
            <w:pPr>
              <w:jc w:val="center"/>
              <w:rPr>
                <w:rFonts w:ascii="Arial" w:hAnsi="Arial" w:cs="Arial"/>
                <w:i/>
                <w:color w:val="000000"/>
                <w:sz w:val="16"/>
                <w:szCs w:val="16"/>
              </w:rPr>
            </w:pPr>
            <w:r>
              <w:rPr>
                <w:rFonts w:ascii="Arial" w:hAnsi="Arial" w:cs="Arial"/>
                <w:i/>
                <w:color w:val="000000"/>
                <w:sz w:val="16"/>
                <w:szCs w:val="16"/>
              </w:rPr>
              <w:t>4.5</w:t>
            </w:r>
          </w:p>
        </w:tc>
        <w:tc>
          <w:tcPr>
            <w:tcW w:w="0" w:type="auto"/>
            <w:shd w:val="clear" w:color="auto" w:fill="auto"/>
            <w:vAlign w:val="center"/>
          </w:tcPr>
          <w:p w14:paraId="344820F2" w14:textId="4CF61DD3" w:rsidR="006A3C9F" w:rsidRPr="00987F44" w:rsidRDefault="006A3C9F" w:rsidP="006A3C9F">
            <w:pPr>
              <w:jc w:val="center"/>
              <w:rPr>
                <w:rFonts w:ascii="Arial" w:hAnsi="Arial" w:cs="Arial"/>
                <w:i/>
                <w:color w:val="000000"/>
                <w:sz w:val="16"/>
                <w:szCs w:val="16"/>
              </w:rPr>
            </w:pPr>
            <w:r>
              <w:rPr>
                <w:rFonts w:ascii="Arial" w:hAnsi="Arial" w:cs="Arial"/>
                <w:i/>
                <w:color w:val="000000"/>
                <w:sz w:val="16"/>
                <w:szCs w:val="16"/>
              </w:rPr>
              <w:t>4.5</w:t>
            </w:r>
          </w:p>
        </w:tc>
        <w:tc>
          <w:tcPr>
            <w:tcW w:w="0" w:type="auto"/>
            <w:shd w:val="clear" w:color="auto" w:fill="auto"/>
            <w:vAlign w:val="center"/>
          </w:tcPr>
          <w:p w14:paraId="4E24BA28" w14:textId="4D3C558E" w:rsidR="006A3C9F" w:rsidRPr="00987F44" w:rsidRDefault="006A3C9F" w:rsidP="006A3C9F">
            <w:pPr>
              <w:jc w:val="center"/>
              <w:rPr>
                <w:rFonts w:ascii="Arial" w:hAnsi="Arial" w:cs="Arial"/>
                <w:i/>
                <w:color w:val="000000"/>
                <w:sz w:val="16"/>
                <w:szCs w:val="16"/>
              </w:rPr>
            </w:pPr>
            <w:r>
              <w:rPr>
                <w:rFonts w:ascii="Arial" w:hAnsi="Arial" w:cs="Arial"/>
                <w:i/>
                <w:color w:val="000000"/>
                <w:sz w:val="16"/>
                <w:szCs w:val="16"/>
              </w:rPr>
              <w:t>4.5</w:t>
            </w:r>
          </w:p>
        </w:tc>
        <w:tc>
          <w:tcPr>
            <w:tcW w:w="0" w:type="auto"/>
            <w:shd w:val="clear" w:color="auto" w:fill="auto"/>
            <w:vAlign w:val="center"/>
          </w:tcPr>
          <w:p w14:paraId="72066CFD" w14:textId="0D8160B7" w:rsidR="006A3C9F" w:rsidRPr="00364283" w:rsidRDefault="006A3C9F" w:rsidP="006A3C9F">
            <w:pPr>
              <w:jc w:val="center"/>
              <w:rPr>
                <w:rFonts w:ascii="Arial" w:hAnsi="Arial" w:cs="Arial"/>
                <w:i/>
                <w:color w:val="000000"/>
                <w:sz w:val="16"/>
                <w:szCs w:val="16"/>
              </w:rPr>
            </w:pPr>
          </w:p>
        </w:tc>
      </w:tr>
      <w:tr w:rsidR="006A3C9F" w:rsidRPr="00D764B5" w14:paraId="47DF90C4" w14:textId="77777777" w:rsidTr="006A3C9F">
        <w:trPr>
          <w:trHeight w:val="232"/>
        </w:trPr>
        <w:tc>
          <w:tcPr>
            <w:tcW w:w="5255" w:type="dxa"/>
            <w:vMerge w:val="restart"/>
            <w:shd w:val="clear" w:color="auto" w:fill="auto"/>
            <w:vAlign w:val="center"/>
            <w:hideMark/>
          </w:tcPr>
          <w:p w14:paraId="1EB4D055" w14:textId="0E4FF787" w:rsidR="006A3C9F" w:rsidRPr="000F25AC" w:rsidRDefault="006A3C9F" w:rsidP="006A3C9F">
            <w:pPr>
              <w:rPr>
                <w:rFonts w:ascii="Arial" w:eastAsia="Calibri" w:hAnsi="Arial" w:cs="Arial"/>
                <w:sz w:val="20"/>
                <w:szCs w:val="20"/>
              </w:rPr>
            </w:pPr>
            <w:r w:rsidRPr="00C631BA">
              <w:rPr>
                <w:rFonts w:ascii="Arial" w:eastAsia="Calibri" w:hAnsi="Arial" w:cs="Arial"/>
                <w:sz w:val="20"/>
                <w:szCs w:val="20"/>
              </w:rPr>
              <w:t>8. Resolve tickets within Service Level Agreements at least 90% of the time.</w:t>
            </w:r>
            <w:r w:rsidRPr="00C631BA">
              <w:rPr>
                <w:rFonts w:ascii="Arial" w:eastAsia="Calibri" w:hAnsi="Arial" w:cs="Arial"/>
                <w:sz w:val="20"/>
                <w:szCs w:val="20"/>
                <w:vertAlign w:val="superscript"/>
              </w:rPr>
              <w:t>(</w:t>
            </w:r>
            <w:r>
              <w:rPr>
                <w:rFonts w:ascii="Arial" w:eastAsia="Calibri" w:hAnsi="Arial" w:cs="Arial"/>
                <w:sz w:val="20"/>
                <w:szCs w:val="20"/>
                <w:vertAlign w:val="superscript"/>
              </w:rPr>
              <w:t>4</w:t>
            </w:r>
            <w:r w:rsidRPr="00C631BA">
              <w:rPr>
                <w:rFonts w:ascii="Arial" w:eastAsia="Calibri" w:hAnsi="Arial" w:cs="Arial"/>
                <w:sz w:val="20"/>
                <w:szCs w:val="20"/>
                <w:vertAlign w:val="superscript"/>
              </w:rPr>
              <w:t>)</w:t>
            </w:r>
          </w:p>
          <w:p w14:paraId="19A902D4" w14:textId="77777777" w:rsidR="006A3C9F" w:rsidRPr="00D764B5" w:rsidRDefault="006A3C9F" w:rsidP="006A3C9F">
            <w:pPr>
              <w:rPr>
                <w:rFonts w:ascii="Arial" w:hAnsi="Arial" w:cs="Arial"/>
                <w:color w:val="000000"/>
                <w:sz w:val="20"/>
                <w:szCs w:val="20"/>
                <w:highlight w:val="yellow"/>
              </w:rPr>
            </w:pPr>
          </w:p>
        </w:tc>
        <w:tc>
          <w:tcPr>
            <w:tcW w:w="750" w:type="dxa"/>
            <w:shd w:val="clear" w:color="auto" w:fill="D9D9D9" w:themeFill="background1" w:themeFillShade="D9"/>
            <w:vAlign w:val="center"/>
            <w:hideMark/>
          </w:tcPr>
          <w:p w14:paraId="03DE5077" w14:textId="77777777" w:rsidR="006A3C9F" w:rsidRPr="00987F44" w:rsidRDefault="006A3C9F" w:rsidP="006A3C9F">
            <w:pPr>
              <w:jc w:val="center"/>
              <w:rPr>
                <w:rFonts w:ascii="Arial" w:hAnsi="Arial" w:cs="Arial"/>
                <w:color w:val="000000"/>
                <w:sz w:val="20"/>
                <w:szCs w:val="20"/>
              </w:rPr>
            </w:pPr>
            <w:r w:rsidRPr="00987F44">
              <w:rPr>
                <w:rFonts w:ascii="Arial" w:hAnsi="Arial" w:cs="Arial"/>
                <w:color w:val="000000"/>
                <w:sz w:val="20"/>
                <w:szCs w:val="20"/>
              </w:rPr>
              <w:t>actual</w:t>
            </w:r>
          </w:p>
        </w:tc>
        <w:tc>
          <w:tcPr>
            <w:tcW w:w="784" w:type="dxa"/>
            <w:shd w:val="clear" w:color="auto" w:fill="D9D9D9" w:themeFill="background1" w:themeFillShade="D9"/>
            <w:vAlign w:val="center"/>
          </w:tcPr>
          <w:p w14:paraId="02C1A9B8" w14:textId="57E26EC3" w:rsidR="006A3C9F" w:rsidRPr="00987F44" w:rsidRDefault="006A3C9F" w:rsidP="006A3C9F">
            <w:pPr>
              <w:jc w:val="center"/>
              <w:rPr>
                <w:rFonts w:ascii="Arial" w:hAnsi="Arial" w:cs="Arial"/>
                <w:color w:val="000000"/>
                <w:sz w:val="20"/>
                <w:szCs w:val="20"/>
              </w:rPr>
            </w:pPr>
            <w:r>
              <w:rPr>
                <w:rFonts w:ascii="Arial" w:hAnsi="Arial" w:cs="Arial"/>
                <w:color w:val="000000"/>
                <w:sz w:val="20"/>
                <w:szCs w:val="20"/>
              </w:rPr>
              <w:t>89.5%</w:t>
            </w:r>
          </w:p>
        </w:tc>
        <w:tc>
          <w:tcPr>
            <w:tcW w:w="911" w:type="dxa"/>
            <w:shd w:val="clear" w:color="auto" w:fill="D9D9D9" w:themeFill="background1" w:themeFillShade="D9"/>
            <w:vAlign w:val="center"/>
          </w:tcPr>
          <w:p w14:paraId="5A98AC11" w14:textId="24C01F62" w:rsidR="006A3C9F" w:rsidRPr="00987F44" w:rsidRDefault="006A3C9F" w:rsidP="006A3C9F">
            <w:pPr>
              <w:jc w:val="center"/>
              <w:rPr>
                <w:rFonts w:ascii="Arial" w:hAnsi="Arial" w:cs="Arial"/>
                <w:color w:val="000000"/>
                <w:sz w:val="20"/>
                <w:szCs w:val="20"/>
              </w:rPr>
            </w:pPr>
            <w:r>
              <w:rPr>
                <w:rFonts w:ascii="Arial" w:hAnsi="Arial" w:cs="Arial"/>
                <w:color w:val="000000"/>
                <w:sz w:val="20"/>
                <w:szCs w:val="20"/>
              </w:rPr>
              <w:t>93.1%</w:t>
            </w:r>
          </w:p>
        </w:tc>
        <w:tc>
          <w:tcPr>
            <w:tcW w:w="0" w:type="auto"/>
            <w:shd w:val="clear" w:color="auto" w:fill="D9D9D9" w:themeFill="background1" w:themeFillShade="D9"/>
            <w:vAlign w:val="center"/>
          </w:tcPr>
          <w:p w14:paraId="2E0DF92C" w14:textId="133B733E" w:rsidR="006A3C9F" w:rsidRPr="00987F44" w:rsidRDefault="006A3C9F" w:rsidP="006A3C9F">
            <w:pPr>
              <w:jc w:val="center"/>
              <w:rPr>
                <w:rFonts w:ascii="Arial" w:hAnsi="Arial" w:cs="Arial"/>
                <w:color w:val="000000"/>
                <w:sz w:val="20"/>
                <w:szCs w:val="20"/>
              </w:rPr>
            </w:pPr>
            <w:r>
              <w:rPr>
                <w:rFonts w:ascii="Arial" w:hAnsi="Arial" w:cs="Arial"/>
                <w:color w:val="000000"/>
                <w:sz w:val="20"/>
                <w:szCs w:val="20"/>
              </w:rPr>
              <w:t>N/A</w:t>
            </w:r>
            <w:r w:rsidRPr="00DC7A12">
              <w:rPr>
                <w:rFonts w:ascii="Arial" w:hAnsi="Arial" w:cs="Arial"/>
                <w:color w:val="000000"/>
                <w:sz w:val="20"/>
                <w:szCs w:val="20"/>
                <w:vertAlign w:val="superscript"/>
              </w:rPr>
              <w:t>(</w:t>
            </w:r>
            <w:r>
              <w:rPr>
                <w:rFonts w:ascii="Arial" w:hAnsi="Arial" w:cs="Arial"/>
                <w:color w:val="000000"/>
                <w:sz w:val="20"/>
                <w:szCs w:val="20"/>
                <w:vertAlign w:val="superscript"/>
              </w:rPr>
              <w:t>6</w:t>
            </w:r>
            <w:r w:rsidRPr="00DC7A12">
              <w:rPr>
                <w:rFonts w:ascii="Arial" w:hAnsi="Arial" w:cs="Arial"/>
                <w:color w:val="000000"/>
                <w:sz w:val="20"/>
                <w:szCs w:val="20"/>
                <w:vertAlign w:val="superscript"/>
              </w:rPr>
              <w:t>)</w:t>
            </w:r>
          </w:p>
        </w:tc>
        <w:tc>
          <w:tcPr>
            <w:tcW w:w="0" w:type="auto"/>
            <w:shd w:val="clear" w:color="auto" w:fill="D9D9D9" w:themeFill="background1" w:themeFillShade="D9"/>
            <w:vAlign w:val="center"/>
          </w:tcPr>
          <w:p w14:paraId="691CD42A" w14:textId="1EAAFB62" w:rsidR="006A3C9F" w:rsidRPr="00987F44" w:rsidRDefault="006A3C9F" w:rsidP="006A3C9F">
            <w:pPr>
              <w:jc w:val="center"/>
              <w:rPr>
                <w:rFonts w:ascii="Arial" w:hAnsi="Arial" w:cs="Arial"/>
                <w:color w:val="000000"/>
                <w:sz w:val="20"/>
                <w:szCs w:val="20"/>
              </w:rPr>
            </w:pPr>
            <w:r>
              <w:rPr>
                <w:rFonts w:ascii="Arial" w:hAnsi="Arial" w:cs="Arial"/>
                <w:color w:val="000000"/>
                <w:sz w:val="20"/>
                <w:szCs w:val="20"/>
              </w:rPr>
              <w:t>---</w:t>
            </w:r>
          </w:p>
        </w:tc>
        <w:tc>
          <w:tcPr>
            <w:tcW w:w="0" w:type="auto"/>
            <w:shd w:val="clear" w:color="auto" w:fill="D9D9D9" w:themeFill="background1" w:themeFillShade="D9"/>
            <w:vAlign w:val="center"/>
          </w:tcPr>
          <w:p w14:paraId="12043E88" w14:textId="37680EB8" w:rsidR="006A3C9F" w:rsidRPr="00364283" w:rsidRDefault="006A3C9F" w:rsidP="006A3C9F">
            <w:pPr>
              <w:jc w:val="center"/>
              <w:rPr>
                <w:rFonts w:ascii="Arial" w:hAnsi="Arial" w:cs="Arial"/>
                <w:color w:val="000000"/>
                <w:sz w:val="20"/>
                <w:szCs w:val="20"/>
              </w:rPr>
            </w:pPr>
          </w:p>
        </w:tc>
      </w:tr>
      <w:tr w:rsidR="006A3C9F" w:rsidRPr="00D764B5" w14:paraId="38E78D8A" w14:textId="77777777" w:rsidTr="007E6CE4">
        <w:trPr>
          <w:trHeight w:val="386"/>
        </w:trPr>
        <w:tc>
          <w:tcPr>
            <w:tcW w:w="0" w:type="auto"/>
            <w:vMerge/>
            <w:vAlign w:val="center"/>
          </w:tcPr>
          <w:p w14:paraId="5A8C3FC2" w14:textId="77777777" w:rsidR="006A3C9F" w:rsidRPr="00D764B5" w:rsidRDefault="006A3C9F" w:rsidP="006A3C9F">
            <w:pPr>
              <w:rPr>
                <w:rFonts w:ascii="Arial" w:hAnsi="Arial" w:cs="Arial"/>
                <w:color w:val="000000"/>
                <w:sz w:val="20"/>
                <w:szCs w:val="20"/>
                <w:highlight w:val="yellow"/>
              </w:rPr>
            </w:pPr>
          </w:p>
        </w:tc>
        <w:tc>
          <w:tcPr>
            <w:tcW w:w="0" w:type="auto"/>
            <w:shd w:val="clear" w:color="000000" w:fill="FFFFFF"/>
            <w:vAlign w:val="center"/>
          </w:tcPr>
          <w:p w14:paraId="5176ED5C" w14:textId="3167167D" w:rsidR="006A3C9F" w:rsidRPr="00987F44" w:rsidRDefault="006A3C9F" w:rsidP="006A3C9F">
            <w:pPr>
              <w:jc w:val="center"/>
              <w:rPr>
                <w:rFonts w:ascii="Arial" w:hAnsi="Arial" w:cs="Arial"/>
                <w:i/>
                <w:iCs/>
                <w:color w:val="000000"/>
                <w:sz w:val="16"/>
                <w:szCs w:val="16"/>
              </w:rPr>
            </w:pPr>
            <w:r>
              <w:rPr>
                <w:rFonts w:ascii="Arial" w:hAnsi="Arial" w:cs="Arial"/>
                <w:i/>
                <w:iCs/>
                <w:color w:val="000000"/>
                <w:sz w:val="16"/>
                <w:szCs w:val="16"/>
              </w:rPr>
              <w:t>target</w:t>
            </w:r>
          </w:p>
        </w:tc>
        <w:tc>
          <w:tcPr>
            <w:tcW w:w="0" w:type="auto"/>
            <w:shd w:val="clear" w:color="auto" w:fill="auto"/>
            <w:vAlign w:val="center"/>
          </w:tcPr>
          <w:p w14:paraId="5A7CD43D" w14:textId="4B724470" w:rsidR="006A3C9F" w:rsidRDefault="006A3C9F" w:rsidP="006A3C9F">
            <w:pPr>
              <w:jc w:val="center"/>
              <w:rPr>
                <w:rFonts w:ascii="Arial" w:hAnsi="Arial" w:cs="Arial"/>
                <w:i/>
                <w:color w:val="000000"/>
                <w:sz w:val="16"/>
                <w:szCs w:val="16"/>
              </w:rPr>
            </w:pPr>
            <w:r>
              <w:rPr>
                <w:rFonts w:ascii="Arial" w:hAnsi="Arial" w:cs="Arial"/>
                <w:i/>
                <w:color w:val="000000"/>
                <w:sz w:val="16"/>
                <w:szCs w:val="16"/>
              </w:rPr>
              <w:t>90%</w:t>
            </w:r>
          </w:p>
        </w:tc>
        <w:tc>
          <w:tcPr>
            <w:tcW w:w="0" w:type="auto"/>
            <w:shd w:val="clear" w:color="auto" w:fill="auto"/>
            <w:vAlign w:val="center"/>
          </w:tcPr>
          <w:p w14:paraId="01E6FEA2" w14:textId="79B84F8E" w:rsidR="006A3C9F" w:rsidRDefault="006A3C9F" w:rsidP="006A3C9F">
            <w:pPr>
              <w:jc w:val="center"/>
              <w:rPr>
                <w:rFonts w:ascii="Arial" w:hAnsi="Arial" w:cs="Arial"/>
                <w:i/>
                <w:color w:val="000000"/>
                <w:sz w:val="16"/>
                <w:szCs w:val="16"/>
              </w:rPr>
            </w:pPr>
            <w:r>
              <w:rPr>
                <w:rFonts w:ascii="Arial" w:hAnsi="Arial" w:cs="Arial"/>
                <w:i/>
                <w:color w:val="000000"/>
                <w:sz w:val="16"/>
                <w:szCs w:val="16"/>
              </w:rPr>
              <w:t>90%</w:t>
            </w:r>
          </w:p>
        </w:tc>
        <w:tc>
          <w:tcPr>
            <w:tcW w:w="0" w:type="auto"/>
            <w:shd w:val="clear" w:color="auto" w:fill="auto"/>
            <w:vAlign w:val="center"/>
          </w:tcPr>
          <w:p w14:paraId="15C3317F" w14:textId="2ED0F6BE" w:rsidR="006A3C9F" w:rsidRDefault="006A3C9F" w:rsidP="006A3C9F">
            <w:pPr>
              <w:jc w:val="center"/>
              <w:rPr>
                <w:rFonts w:ascii="Arial" w:hAnsi="Arial" w:cs="Arial"/>
                <w:i/>
                <w:color w:val="000000"/>
                <w:sz w:val="16"/>
                <w:szCs w:val="16"/>
              </w:rPr>
            </w:pPr>
            <w:r>
              <w:rPr>
                <w:rFonts w:ascii="Arial" w:hAnsi="Arial" w:cs="Arial"/>
                <w:i/>
                <w:color w:val="000000"/>
                <w:sz w:val="16"/>
                <w:szCs w:val="16"/>
              </w:rPr>
              <w:t>90%</w:t>
            </w:r>
          </w:p>
        </w:tc>
        <w:tc>
          <w:tcPr>
            <w:tcW w:w="0" w:type="auto"/>
            <w:shd w:val="clear" w:color="auto" w:fill="auto"/>
            <w:vAlign w:val="center"/>
          </w:tcPr>
          <w:p w14:paraId="7C4E81CB" w14:textId="207AAD6E" w:rsidR="006A3C9F" w:rsidRDefault="006A3C9F" w:rsidP="006A3C9F">
            <w:pPr>
              <w:jc w:val="center"/>
              <w:rPr>
                <w:rFonts w:ascii="Arial" w:hAnsi="Arial" w:cs="Arial"/>
                <w:i/>
                <w:color w:val="000000"/>
                <w:sz w:val="16"/>
                <w:szCs w:val="16"/>
              </w:rPr>
            </w:pPr>
            <w:r>
              <w:rPr>
                <w:rFonts w:ascii="Arial" w:hAnsi="Arial" w:cs="Arial"/>
                <w:i/>
                <w:color w:val="000000"/>
                <w:sz w:val="16"/>
                <w:szCs w:val="16"/>
              </w:rPr>
              <w:t>90%</w:t>
            </w:r>
          </w:p>
        </w:tc>
        <w:tc>
          <w:tcPr>
            <w:tcW w:w="0" w:type="auto"/>
            <w:shd w:val="clear" w:color="auto" w:fill="auto"/>
            <w:vAlign w:val="center"/>
          </w:tcPr>
          <w:p w14:paraId="6AD6437A" w14:textId="2E097DB4" w:rsidR="006A3C9F" w:rsidRDefault="006A3C9F" w:rsidP="006A3C9F">
            <w:pPr>
              <w:jc w:val="center"/>
              <w:rPr>
                <w:rFonts w:ascii="Arial" w:hAnsi="Arial" w:cs="Arial"/>
                <w:i/>
                <w:color w:val="000000"/>
                <w:sz w:val="16"/>
                <w:szCs w:val="16"/>
              </w:rPr>
            </w:pPr>
          </w:p>
        </w:tc>
      </w:tr>
    </w:tbl>
    <w:p w14:paraId="0BEFD0E4" w14:textId="77777777" w:rsidR="00D764B5" w:rsidRDefault="00D764B5" w:rsidP="00D764B5">
      <w:pPr>
        <w:rPr>
          <w:rFonts w:ascii="Arial" w:hAnsi="Arial" w:cs="Arial"/>
        </w:rPr>
      </w:pPr>
    </w:p>
    <w:bookmarkEnd w:id="4"/>
    <w:bookmarkEnd w:id="5"/>
    <w:p w14:paraId="336ED4C0" w14:textId="0DB3B07D" w:rsidR="001A668A" w:rsidRDefault="001A668A" w:rsidP="001A668A">
      <w:pPr>
        <w:rPr>
          <w:rFonts w:ascii="Arial" w:hAnsi="Arial" w:cs="Arial"/>
          <w:b/>
          <w:bCs/>
          <w:i/>
          <w:color w:val="FF0000"/>
        </w:rPr>
      </w:pPr>
      <w:r w:rsidRPr="00BE41B3">
        <w:rPr>
          <w:rFonts w:ascii="Arial" w:hAnsi="Arial" w:cs="Arial"/>
          <w:b/>
          <w:bCs/>
        </w:rPr>
        <w:t>Performance Measure Explanatory Note</w:t>
      </w:r>
      <w:r>
        <w:rPr>
          <w:rFonts w:ascii="Arial" w:hAnsi="Arial" w:cs="Arial"/>
          <w:b/>
          <w:bCs/>
        </w:rPr>
        <w:t>s</w:t>
      </w:r>
    </w:p>
    <w:p w14:paraId="08F129EA" w14:textId="658D2926" w:rsidR="00020DD4" w:rsidRPr="00020DD4" w:rsidRDefault="00020DD4" w:rsidP="00020DD4">
      <w:pPr>
        <w:pStyle w:val="ListParagraph"/>
        <w:numPr>
          <w:ilvl w:val="0"/>
          <w:numId w:val="40"/>
        </w:numPr>
        <w:jc w:val="both"/>
        <w:rPr>
          <w:rFonts w:ascii="Arial" w:hAnsi="Arial" w:cs="Arial"/>
          <w:sz w:val="18"/>
          <w:szCs w:val="18"/>
        </w:rPr>
      </w:pPr>
      <w:r w:rsidRPr="00020DD4">
        <w:rPr>
          <w:rFonts w:ascii="Arial" w:hAnsi="Arial" w:cs="Arial"/>
          <w:sz w:val="18"/>
          <w:szCs w:val="18"/>
        </w:rPr>
        <w:t xml:space="preserve">In FY 2024, ITS upgraded the security scanning platform and began to scan more systems supported by ITS. Because this change occurred at the end of FY 2024, ITS was unable to mitigate these issues within the fiscal year reporting period. </w:t>
      </w:r>
    </w:p>
    <w:p w14:paraId="385B40CD" w14:textId="260A077F" w:rsidR="00020DD4" w:rsidRPr="00020DD4" w:rsidRDefault="00020DD4" w:rsidP="00020DD4">
      <w:pPr>
        <w:pStyle w:val="ListParagraph"/>
        <w:numPr>
          <w:ilvl w:val="0"/>
          <w:numId w:val="40"/>
        </w:numPr>
        <w:jc w:val="both"/>
        <w:rPr>
          <w:rFonts w:ascii="Arial" w:hAnsi="Arial" w:cs="Arial"/>
          <w:sz w:val="18"/>
          <w:szCs w:val="18"/>
        </w:rPr>
      </w:pPr>
      <w:r w:rsidRPr="00020DD4">
        <w:rPr>
          <w:rFonts w:ascii="Arial" w:hAnsi="Arial" w:cs="Arial"/>
          <w:sz w:val="18"/>
          <w:szCs w:val="18"/>
        </w:rPr>
        <w:t xml:space="preserve">ITS conducts regular phishing campaigns cybersecurity maturity. These emails target random employees to see if they will click on a link to a suspected phishing email. The national click-through average is 5.8%. The goal is to be below the national average. </w:t>
      </w:r>
    </w:p>
    <w:p w14:paraId="4C9B59F8" w14:textId="194B137A" w:rsidR="00020DD4" w:rsidRPr="00020DD4" w:rsidRDefault="00020DD4" w:rsidP="00020DD4">
      <w:pPr>
        <w:pStyle w:val="ListParagraph"/>
        <w:numPr>
          <w:ilvl w:val="0"/>
          <w:numId w:val="40"/>
        </w:numPr>
        <w:jc w:val="both"/>
        <w:rPr>
          <w:rFonts w:ascii="Arial" w:hAnsi="Arial" w:cs="Arial"/>
          <w:sz w:val="18"/>
          <w:szCs w:val="18"/>
        </w:rPr>
      </w:pPr>
      <w:r w:rsidRPr="00020DD4">
        <w:rPr>
          <w:rFonts w:ascii="Arial" w:hAnsi="Arial" w:cs="Arial"/>
          <w:sz w:val="18"/>
          <w:szCs w:val="18"/>
        </w:rPr>
        <w:t xml:space="preserve">Division of Human Resources transferred ownership of cybersecurity training to ITS in FY 2024. ITS is upgrading the system to provide better training and metrics for FY 2025. </w:t>
      </w:r>
    </w:p>
    <w:p w14:paraId="29E8530E" w14:textId="78B2C2FD" w:rsidR="00020DD4" w:rsidRPr="00020DD4" w:rsidRDefault="00020DD4" w:rsidP="00020DD4">
      <w:pPr>
        <w:pStyle w:val="ListParagraph"/>
        <w:numPr>
          <w:ilvl w:val="0"/>
          <w:numId w:val="40"/>
        </w:numPr>
        <w:jc w:val="both"/>
        <w:rPr>
          <w:rFonts w:ascii="Arial" w:hAnsi="Arial" w:cs="Arial"/>
          <w:sz w:val="18"/>
          <w:szCs w:val="18"/>
        </w:rPr>
      </w:pPr>
      <w:r w:rsidRPr="00020DD4">
        <w:rPr>
          <w:rFonts w:ascii="Arial" w:hAnsi="Arial" w:cs="Arial"/>
          <w:sz w:val="18"/>
          <w:szCs w:val="18"/>
        </w:rPr>
        <w:t xml:space="preserve">Target uptime is consistent with the Service Level Agreement, Exhibit C. Downtime does not include external factors beyond ITS control; for example, road construction crews accidentally cutting fiber lines or vendor-initiated outages. </w:t>
      </w:r>
    </w:p>
    <w:p w14:paraId="7CC81DFB" w14:textId="04F2FB3B" w:rsidR="00020DD4" w:rsidRPr="00020DD4" w:rsidRDefault="00020DD4" w:rsidP="00020DD4">
      <w:pPr>
        <w:pStyle w:val="ListParagraph"/>
        <w:numPr>
          <w:ilvl w:val="0"/>
          <w:numId w:val="40"/>
        </w:numPr>
        <w:jc w:val="both"/>
        <w:rPr>
          <w:rFonts w:ascii="Arial" w:hAnsi="Arial" w:cs="Arial"/>
          <w:sz w:val="18"/>
          <w:szCs w:val="18"/>
        </w:rPr>
      </w:pPr>
      <w:r w:rsidRPr="00020DD4">
        <w:rPr>
          <w:rFonts w:ascii="Arial" w:hAnsi="Arial" w:cs="Arial"/>
          <w:sz w:val="18"/>
          <w:szCs w:val="18"/>
        </w:rPr>
        <w:t xml:space="preserve">Target uptime is consistent with the Service Level Agreement, Exhibit C. </w:t>
      </w:r>
    </w:p>
    <w:p w14:paraId="5F407E87" w14:textId="2226AD2B" w:rsidR="0034203F" w:rsidRPr="00020DD4" w:rsidRDefault="00020DD4" w:rsidP="00020DD4">
      <w:pPr>
        <w:pStyle w:val="ListParagraph"/>
        <w:numPr>
          <w:ilvl w:val="0"/>
          <w:numId w:val="40"/>
        </w:numPr>
        <w:jc w:val="both"/>
        <w:rPr>
          <w:rFonts w:ascii="Arial" w:hAnsi="Arial" w:cs="Arial"/>
          <w:bCs/>
          <w:sz w:val="20"/>
          <w:szCs w:val="20"/>
        </w:rPr>
      </w:pPr>
      <w:r w:rsidRPr="00020DD4">
        <w:rPr>
          <w:rFonts w:ascii="Arial" w:hAnsi="Arial" w:cs="Arial"/>
          <w:sz w:val="18"/>
          <w:szCs w:val="18"/>
        </w:rPr>
        <w:t>ITS is unable to provide a metric for FY 2024 as the platform was reporting incorrectly after migrating to new plat</w:t>
      </w:r>
      <w:r>
        <w:rPr>
          <w:rFonts w:ascii="Arial" w:hAnsi="Arial" w:cs="Arial"/>
          <w:sz w:val="18"/>
          <w:szCs w:val="18"/>
        </w:rPr>
        <w:t>form.</w:t>
      </w:r>
    </w:p>
    <w:p w14:paraId="1C6FB7B4" w14:textId="77777777" w:rsidR="00670E4A" w:rsidRDefault="00670E4A" w:rsidP="00D612A2">
      <w:pPr>
        <w:jc w:val="both"/>
        <w:rPr>
          <w:color w:val="000000" w:themeColor="text1"/>
        </w:rPr>
      </w:pPr>
      <w:r w:rsidRPr="0099048B">
        <w:rPr>
          <w:rFonts w:asciiTheme="minorHAnsi" w:hAnsiTheme="minorHAnsi"/>
          <w:sz w:val="22"/>
          <w:szCs w:val="22"/>
        </w:rPr>
        <w:lastRenderedPageBreak/>
        <w:t xml:space="preserve"> </w:t>
      </w: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C2697F" w14:paraId="26EE5AC0" w14:textId="77777777" w:rsidTr="00647B81">
        <w:trPr>
          <w:jc w:val="center"/>
        </w:trPr>
        <w:tc>
          <w:tcPr>
            <w:tcW w:w="7680" w:type="dxa"/>
          </w:tcPr>
          <w:p w14:paraId="04E742C5" w14:textId="77777777" w:rsidR="00C2697F" w:rsidRDefault="00FD57C5" w:rsidP="00577C10">
            <w:pPr>
              <w:spacing w:before="120"/>
              <w:jc w:val="center"/>
              <w:rPr>
                <w:rFonts w:ascii="Arial" w:hAnsi="Arial" w:cs="Arial"/>
                <w:sz w:val="20"/>
              </w:rPr>
            </w:pPr>
            <w:r>
              <w:rPr>
                <w:rFonts w:ascii="Arial" w:hAnsi="Arial" w:cs="Arial"/>
                <w:sz w:val="20"/>
              </w:rPr>
              <w:br w:type="page"/>
            </w:r>
            <w:r w:rsidR="00C2697F">
              <w:rPr>
                <w:rFonts w:ascii="Arial" w:hAnsi="Arial" w:cs="Arial"/>
                <w:b/>
                <w:bCs/>
                <w:sz w:val="20"/>
              </w:rPr>
              <w:t>For More Information</w:t>
            </w:r>
            <w:r w:rsidR="007133EB">
              <w:rPr>
                <w:rFonts w:ascii="Arial" w:hAnsi="Arial" w:cs="Arial"/>
                <w:b/>
                <w:bCs/>
                <w:sz w:val="20"/>
              </w:rPr>
              <w:t>,</w:t>
            </w:r>
            <w:r w:rsidR="00C2697F">
              <w:rPr>
                <w:rFonts w:ascii="Arial" w:hAnsi="Arial" w:cs="Arial"/>
                <w:b/>
                <w:bCs/>
                <w:sz w:val="20"/>
              </w:rPr>
              <w:t xml:space="preserve"> Contact</w:t>
            </w:r>
            <w:r w:rsidR="007133EB">
              <w:rPr>
                <w:rFonts w:ascii="Arial" w:hAnsi="Arial" w:cs="Arial"/>
                <w:b/>
                <w:bCs/>
                <w:sz w:val="20"/>
              </w:rPr>
              <w:t>:</w:t>
            </w:r>
          </w:p>
          <w:p w14:paraId="36F932E5" w14:textId="77777777" w:rsidR="00C2697F" w:rsidRPr="00BE3013" w:rsidRDefault="00C2697F" w:rsidP="00577C10">
            <w:pPr>
              <w:jc w:val="center"/>
              <w:rPr>
                <w:rFonts w:ascii="Arial" w:hAnsi="Arial" w:cs="Arial"/>
                <w:sz w:val="14"/>
                <w:szCs w:val="14"/>
              </w:rPr>
            </w:pPr>
          </w:p>
          <w:p w14:paraId="11223EEE" w14:textId="2D9813EA" w:rsidR="00C2697F" w:rsidRDefault="00A3121F" w:rsidP="00577C10">
            <w:pPr>
              <w:ind w:left="252"/>
              <w:rPr>
                <w:rFonts w:ascii="Arial" w:hAnsi="Arial" w:cs="Arial"/>
                <w:sz w:val="20"/>
              </w:rPr>
            </w:pPr>
            <w:r>
              <w:rPr>
                <w:rFonts w:ascii="Arial" w:hAnsi="Arial" w:cs="Arial"/>
                <w:sz w:val="20"/>
              </w:rPr>
              <w:t>Contact Name</w:t>
            </w:r>
            <w:r w:rsidR="007D65F2">
              <w:rPr>
                <w:rFonts w:ascii="Arial" w:hAnsi="Arial" w:cs="Arial"/>
                <w:sz w:val="20"/>
              </w:rPr>
              <w:t xml:space="preserve">: </w:t>
            </w:r>
            <w:r w:rsidR="00721E17">
              <w:rPr>
                <w:rFonts w:ascii="Arial" w:hAnsi="Arial" w:cs="Arial"/>
                <w:sz w:val="20"/>
              </w:rPr>
              <w:t>Alberto Gonzalez</w:t>
            </w:r>
          </w:p>
          <w:p w14:paraId="69D4EBBA" w14:textId="09A74831" w:rsidR="00C2697F" w:rsidRDefault="00A3121F" w:rsidP="00577C10">
            <w:pPr>
              <w:ind w:left="252"/>
              <w:rPr>
                <w:rFonts w:ascii="Arial" w:hAnsi="Arial" w:cs="Arial"/>
                <w:sz w:val="20"/>
              </w:rPr>
            </w:pPr>
            <w:r>
              <w:rPr>
                <w:rFonts w:ascii="Arial" w:hAnsi="Arial" w:cs="Arial"/>
                <w:sz w:val="20"/>
              </w:rPr>
              <w:t>Title/Position</w:t>
            </w:r>
            <w:r w:rsidR="00A2294A">
              <w:rPr>
                <w:rFonts w:ascii="Arial" w:hAnsi="Arial" w:cs="Arial"/>
                <w:sz w:val="20"/>
              </w:rPr>
              <w:t xml:space="preserve">: </w:t>
            </w:r>
            <w:r w:rsidR="00721E17">
              <w:rPr>
                <w:rFonts w:ascii="Arial" w:hAnsi="Arial" w:cs="Arial"/>
                <w:sz w:val="20"/>
              </w:rPr>
              <w:t>Chief Information Officer</w:t>
            </w:r>
            <w:r w:rsidR="00020DD4">
              <w:rPr>
                <w:rFonts w:ascii="Arial" w:hAnsi="Arial" w:cs="Arial"/>
                <w:sz w:val="20"/>
              </w:rPr>
              <w:t xml:space="preserve"> / Division Administrator</w:t>
            </w:r>
          </w:p>
          <w:p w14:paraId="28643269" w14:textId="467FA5B3" w:rsidR="00C2697F" w:rsidRDefault="00A3121F" w:rsidP="00577C10">
            <w:pPr>
              <w:ind w:left="252"/>
              <w:rPr>
                <w:rFonts w:ascii="Arial" w:hAnsi="Arial" w:cs="Arial"/>
                <w:sz w:val="20"/>
              </w:rPr>
            </w:pPr>
            <w:r>
              <w:rPr>
                <w:rFonts w:ascii="Arial" w:hAnsi="Arial" w:cs="Arial"/>
                <w:sz w:val="20"/>
              </w:rPr>
              <w:t>State Agency</w:t>
            </w:r>
            <w:r w:rsidR="007D65F2">
              <w:rPr>
                <w:rFonts w:ascii="Arial" w:hAnsi="Arial" w:cs="Arial"/>
                <w:sz w:val="20"/>
              </w:rPr>
              <w:t xml:space="preserve">: </w:t>
            </w:r>
            <w:r w:rsidR="002C3EC9">
              <w:rPr>
                <w:rFonts w:ascii="Arial" w:hAnsi="Arial" w:cs="Arial"/>
                <w:sz w:val="20"/>
              </w:rPr>
              <w:t xml:space="preserve">Office of </w:t>
            </w:r>
            <w:r w:rsidR="00E9068F">
              <w:rPr>
                <w:rFonts w:ascii="Arial" w:hAnsi="Arial" w:cs="Arial"/>
                <w:sz w:val="20"/>
              </w:rPr>
              <w:t xml:space="preserve">Information Technology </w:t>
            </w:r>
            <w:r w:rsidR="00D40DE4">
              <w:rPr>
                <w:rFonts w:ascii="Arial" w:hAnsi="Arial" w:cs="Arial"/>
                <w:sz w:val="20"/>
              </w:rPr>
              <w:t>Services</w:t>
            </w:r>
          </w:p>
          <w:p w14:paraId="2F39C460" w14:textId="46E519A2" w:rsidR="00C2697F" w:rsidRDefault="003A0009" w:rsidP="00020DD4">
            <w:pPr>
              <w:ind w:left="252"/>
              <w:rPr>
                <w:rFonts w:ascii="Arial" w:hAnsi="Arial" w:cs="Arial"/>
                <w:sz w:val="20"/>
              </w:rPr>
            </w:pPr>
            <w:r>
              <w:rPr>
                <w:rFonts w:ascii="Arial" w:hAnsi="Arial" w:cs="Arial"/>
                <w:sz w:val="20"/>
              </w:rPr>
              <w:t>Address</w:t>
            </w:r>
            <w:r w:rsidR="00237E38">
              <w:rPr>
                <w:rFonts w:ascii="Arial" w:hAnsi="Arial" w:cs="Arial"/>
                <w:sz w:val="20"/>
              </w:rPr>
              <w:t xml:space="preserve">: </w:t>
            </w:r>
            <w:r w:rsidR="00E26370">
              <w:rPr>
                <w:rFonts w:ascii="Arial" w:hAnsi="Arial" w:cs="Arial"/>
                <w:sz w:val="20"/>
              </w:rPr>
              <w:t>11331 W Chinden Blvd</w:t>
            </w:r>
            <w:r w:rsidR="002C3EC9">
              <w:rPr>
                <w:rFonts w:ascii="Arial" w:hAnsi="Arial" w:cs="Arial"/>
                <w:sz w:val="20"/>
              </w:rPr>
              <w:t xml:space="preserve">, Suite </w:t>
            </w:r>
            <w:r w:rsidR="00E26370">
              <w:rPr>
                <w:rFonts w:ascii="Arial" w:hAnsi="Arial" w:cs="Arial"/>
                <w:sz w:val="20"/>
              </w:rPr>
              <w:t>B201</w:t>
            </w:r>
            <w:r w:rsidR="00020DD4">
              <w:rPr>
                <w:rFonts w:ascii="Arial" w:hAnsi="Arial" w:cs="Arial"/>
                <w:sz w:val="20"/>
              </w:rPr>
              <w:t>, Boise, ID 83714</w:t>
            </w:r>
          </w:p>
          <w:p w14:paraId="562F7403" w14:textId="0AB405BA" w:rsidR="00C2697F" w:rsidRDefault="007133EB" w:rsidP="00577C10">
            <w:pPr>
              <w:ind w:left="252"/>
              <w:rPr>
                <w:rFonts w:ascii="Arial" w:hAnsi="Arial" w:cs="Arial"/>
                <w:sz w:val="20"/>
                <w:szCs w:val="17"/>
              </w:rPr>
            </w:pPr>
            <w:r>
              <w:rPr>
                <w:rFonts w:ascii="Arial" w:hAnsi="Arial" w:cs="Arial"/>
                <w:sz w:val="20"/>
              </w:rPr>
              <w:t xml:space="preserve">Phone: </w:t>
            </w:r>
            <w:r w:rsidR="00B36DC2">
              <w:rPr>
                <w:rFonts w:ascii="Arial" w:hAnsi="Arial" w:cs="Arial"/>
                <w:sz w:val="20"/>
              </w:rPr>
              <w:t>208</w:t>
            </w:r>
            <w:r w:rsidR="002C3EC9">
              <w:rPr>
                <w:rFonts w:ascii="Arial" w:hAnsi="Arial" w:cs="Arial"/>
                <w:sz w:val="20"/>
              </w:rPr>
              <w:t>-</w:t>
            </w:r>
            <w:r w:rsidR="0067063E">
              <w:rPr>
                <w:rFonts w:ascii="Arial" w:hAnsi="Arial" w:cs="Arial"/>
                <w:sz w:val="20"/>
              </w:rPr>
              <w:t>605-</w:t>
            </w:r>
            <w:r w:rsidR="00721E17">
              <w:rPr>
                <w:rFonts w:ascii="Arial" w:hAnsi="Arial" w:cs="Arial"/>
                <w:sz w:val="20"/>
              </w:rPr>
              <w:t>4067</w:t>
            </w:r>
          </w:p>
          <w:p w14:paraId="75826876" w14:textId="3F690F3A" w:rsidR="0033778E" w:rsidRPr="0033778E" w:rsidRDefault="00C2697F" w:rsidP="0033778E">
            <w:pPr>
              <w:spacing w:after="120"/>
              <w:ind w:left="252"/>
              <w:rPr>
                <w:rFonts w:ascii="Arial" w:hAnsi="Arial" w:cs="Arial"/>
                <w:sz w:val="20"/>
                <w:szCs w:val="17"/>
              </w:rPr>
            </w:pPr>
            <w:r>
              <w:rPr>
                <w:rFonts w:ascii="Arial" w:hAnsi="Arial" w:cs="Arial"/>
                <w:sz w:val="20"/>
                <w:szCs w:val="17"/>
              </w:rPr>
              <w:t xml:space="preserve">E-mail: </w:t>
            </w:r>
            <w:r w:rsidR="00721E17">
              <w:rPr>
                <w:rFonts w:ascii="Arial" w:hAnsi="Arial" w:cs="Arial"/>
                <w:sz w:val="20"/>
                <w:szCs w:val="17"/>
              </w:rPr>
              <w:t>Alberto.Gonzalez</w:t>
            </w:r>
            <w:r w:rsidR="0033778E" w:rsidRPr="000E6328">
              <w:rPr>
                <w:rFonts w:ascii="Arial" w:hAnsi="Arial" w:cs="Arial"/>
                <w:sz w:val="20"/>
                <w:szCs w:val="17"/>
              </w:rPr>
              <w:t>@its.idaho.gov</w:t>
            </w:r>
          </w:p>
        </w:tc>
      </w:tr>
    </w:tbl>
    <w:p w14:paraId="211C302C" w14:textId="77777777" w:rsidR="00C2697F" w:rsidRDefault="00C2697F" w:rsidP="00577C10">
      <w:pPr>
        <w:jc w:val="both"/>
        <w:rPr>
          <w:rFonts w:ascii="Arial" w:hAnsi="Arial" w:cs="Arial"/>
          <w:sz w:val="16"/>
          <w:szCs w:val="16"/>
        </w:rPr>
      </w:pPr>
    </w:p>
    <w:p w14:paraId="5170D935" w14:textId="77777777" w:rsidR="002256F9" w:rsidRDefault="002256F9" w:rsidP="00577C10">
      <w:pPr>
        <w:jc w:val="both"/>
        <w:rPr>
          <w:rFonts w:ascii="Arial" w:hAnsi="Arial" w:cs="Arial"/>
          <w:sz w:val="16"/>
          <w:szCs w:val="16"/>
        </w:rPr>
      </w:pPr>
    </w:p>
    <w:p w14:paraId="71499C32" w14:textId="77777777" w:rsidR="002256F9" w:rsidRDefault="002256F9" w:rsidP="00577C10">
      <w:pPr>
        <w:jc w:val="both"/>
        <w:rPr>
          <w:rFonts w:ascii="Arial" w:hAnsi="Arial" w:cs="Arial"/>
          <w:sz w:val="16"/>
          <w:szCs w:val="16"/>
        </w:rPr>
      </w:pPr>
    </w:p>
    <w:p w14:paraId="2FFA111E" w14:textId="77777777" w:rsidR="0003319A" w:rsidRDefault="0003319A" w:rsidP="002256F9">
      <w:pPr>
        <w:jc w:val="center"/>
        <w:rPr>
          <w:rFonts w:ascii="Arial" w:hAnsi="Arial" w:cs="Arial"/>
          <w:b/>
          <w:bCs/>
        </w:rPr>
      </w:pPr>
    </w:p>
    <w:p w14:paraId="276F758E" w14:textId="77777777" w:rsidR="001D48F7" w:rsidRDefault="001D48F7" w:rsidP="002256F9">
      <w:pPr>
        <w:jc w:val="center"/>
        <w:rPr>
          <w:rFonts w:ascii="Arial" w:hAnsi="Arial" w:cs="Arial"/>
          <w:b/>
          <w:bCs/>
        </w:rPr>
      </w:pPr>
    </w:p>
    <w:p w14:paraId="5E14A1AC" w14:textId="77777777" w:rsidR="00F44A4C" w:rsidRDefault="00F44A4C" w:rsidP="002256F9">
      <w:pPr>
        <w:jc w:val="center"/>
        <w:rPr>
          <w:rFonts w:ascii="Arial" w:hAnsi="Arial" w:cs="Arial"/>
          <w:b/>
          <w:bCs/>
        </w:rPr>
      </w:pPr>
    </w:p>
    <w:sectPr w:rsidR="00F44A4C" w:rsidSect="004C7363">
      <w:headerReference w:type="default" r:id="rId11"/>
      <w:footerReference w:type="default" r:id="rId12"/>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C7148" w14:textId="77777777" w:rsidR="00ED2AF1" w:rsidRDefault="00ED2AF1">
      <w:r>
        <w:separator/>
      </w:r>
    </w:p>
  </w:endnote>
  <w:endnote w:type="continuationSeparator" w:id="0">
    <w:p w14:paraId="1229B705" w14:textId="77777777" w:rsidR="00ED2AF1" w:rsidRDefault="00ED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 Helvetica Narrow">
    <w:altName w:val="Georg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015502"/>
      <w:docPartObj>
        <w:docPartGallery w:val="Page Numbers (Bottom of Page)"/>
        <w:docPartUnique/>
      </w:docPartObj>
    </w:sdtPr>
    <w:sdtEndPr>
      <w:rPr>
        <w:noProof/>
      </w:rPr>
    </w:sdtEndPr>
    <w:sdtContent>
      <w:p w14:paraId="0A11A897" w14:textId="7F038F75" w:rsidR="00BD0D81" w:rsidRPr="00876E1D" w:rsidRDefault="00BD0D81" w:rsidP="00194015">
        <w:pPr>
          <w:pStyle w:val="Footer"/>
          <w:tabs>
            <w:tab w:val="clear" w:pos="4320"/>
            <w:tab w:val="clear" w:pos="8640"/>
            <w:tab w:val="center" w:pos="4680"/>
            <w:tab w:val="right" w:pos="10080"/>
          </w:tabs>
          <w:rPr>
            <w:rFonts w:ascii="Arial" w:hAnsi="Arial" w:cs="Arial"/>
            <w:sz w:val="20"/>
            <w:szCs w:val="20"/>
          </w:rPr>
        </w:pPr>
      </w:p>
      <w:p w14:paraId="627D5FB4" w14:textId="7ABF6A4D" w:rsidR="00BD0D81" w:rsidRPr="00194015" w:rsidRDefault="00BD0D81" w:rsidP="00194015">
        <w:pPr>
          <w:pStyle w:val="Footer"/>
          <w:tabs>
            <w:tab w:val="clear" w:pos="4320"/>
            <w:tab w:val="clear" w:pos="8640"/>
            <w:tab w:val="center" w:pos="4680"/>
            <w:tab w:val="right" w:pos="10080"/>
          </w:tabs>
          <w:rPr>
            <w:rFonts w:ascii="Arial" w:hAnsi="Arial" w:cs="Arial"/>
            <w:sz w:val="20"/>
            <w:szCs w:val="20"/>
          </w:rPr>
        </w:pPr>
        <w:r w:rsidRPr="00876E1D">
          <w:rPr>
            <w:rFonts w:ascii="Arial" w:hAnsi="Arial" w:cs="Arial"/>
            <w:sz w:val="20"/>
            <w:szCs w:val="20"/>
          </w:rPr>
          <w:t>State of</w:t>
        </w:r>
        <w:r>
          <w:rPr>
            <w:rFonts w:ascii="Arial" w:hAnsi="Arial" w:cs="Arial"/>
            <w:sz w:val="20"/>
            <w:szCs w:val="20"/>
          </w:rPr>
          <w:t xml:space="preserve">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4</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0549" w14:textId="77777777" w:rsidR="00ED2AF1" w:rsidRDefault="00ED2AF1">
      <w:r>
        <w:separator/>
      </w:r>
    </w:p>
  </w:footnote>
  <w:footnote w:type="continuationSeparator" w:id="0">
    <w:p w14:paraId="043174E8" w14:textId="77777777" w:rsidR="00ED2AF1" w:rsidRDefault="00ED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BD0D81" w14:paraId="659369D5" w14:textId="77777777" w:rsidTr="004D5D33">
      <w:tc>
        <w:tcPr>
          <w:tcW w:w="10080" w:type="dxa"/>
          <w:shd w:val="clear" w:color="auto" w:fill="000080"/>
        </w:tcPr>
        <w:p w14:paraId="6BD500FA" w14:textId="77777777" w:rsidR="00BD0D81" w:rsidRDefault="00BD0D81" w:rsidP="00FC1DCC">
          <w:pPr>
            <w:tabs>
              <w:tab w:val="right" w:pos="9852"/>
            </w:tabs>
            <w:rPr>
              <w:rFonts w:ascii="Arial" w:hAnsi="Arial" w:cs="Arial"/>
              <w:color w:val="FFFFFF"/>
            </w:rPr>
          </w:pPr>
          <w:r>
            <w:rPr>
              <w:rFonts w:ascii="Arial" w:hAnsi="Arial" w:cs="Arial"/>
              <w:b/>
              <w:bCs/>
              <w:color w:val="FFFFFF"/>
            </w:rPr>
            <w:t>I</w:t>
          </w:r>
          <w:r w:rsidR="002826B5">
            <w:rPr>
              <w:rFonts w:ascii="Arial" w:hAnsi="Arial" w:cs="Arial"/>
              <w:b/>
              <w:bCs/>
              <w:color w:val="FFFFFF"/>
            </w:rPr>
            <w:t xml:space="preserve">nformation </w:t>
          </w:r>
          <w:r>
            <w:rPr>
              <w:rFonts w:ascii="Arial" w:hAnsi="Arial" w:cs="Arial"/>
              <w:b/>
              <w:bCs/>
              <w:color w:val="FFFFFF"/>
            </w:rPr>
            <w:t>T</w:t>
          </w:r>
          <w:r w:rsidR="002826B5">
            <w:rPr>
              <w:rFonts w:ascii="Arial" w:hAnsi="Arial" w:cs="Arial"/>
              <w:b/>
              <w:bCs/>
              <w:color w:val="FFFFFF"/>
            </w:rPr>
            <w:t>echnology</w:t>
          </w:r>
          <w:r>
            <w:rPr>
              <w:rFonts w:ascii="Arial" w:hAnsi="Arial" w:cs="Arial"/>
              <w:b/>
              <w:bCs/>
              <w:color w:val="FFFFFF"/>
            </w:rPr>
            <w:t xml:space="preserve"> Services</w:t>
          </w:r>
          <w:r w:rsidR="00780D97">
            <w:rPr>
              <w:rFonts w:ascii="Arial" w:hAnsi="Arial" w:cs="Arial"/>
              <w:b/>
              <w:bCs/>
              <w:color w:val="FFFFFF"/>
            </w:rPr>
            <w:t>, Office of</w:t>
          </w:r>
          <w:r>
            <w:rPr>
              <w:rFonts w:ascii="Arial" w:hAnsi="Arial" w:cs="Arial"/>
              <w:b/>
              <w:bCs/>
              <w:color w:val="FFFFFF"/>
            </w:rPr>
            <w:tab/>
          </w:r>
          <w:r>
            <w:rPr>
              <w:rFonts w:ascii="Arial" w:hAnsi="Arial" w:cs="Arial"/>
              <w:color w:val="FFFFFF"/>
            </w:rPr>
            <w:t>Performance Report</w:t>
          </w:r>
        </w:p>
      </w:tc>
    </w:tr>
    <w:tr w:rsidR="00BD0D81" w14:paraId="109081B4" w14:textId="77777777" w:rsidTr="004D5D33">
      <w:trPr>
        <w:trHeight w:hRule="exact" w:val="90"/>
      </w:trPr>
      <w:tc>
        <w:tcPr>
          <w:tcW w:w="10080" w:type="dxa"/>
          <w:tcBorders>
            <w:top w:val="nil"/>
            <w:bottom w:val="single" w:sz="4" w:space="0" w:color="auto"/>
          </w:tcBorders>
        </w:tcPr>
        <w:p w14:paraId="635009B0" w14:textId="77777777" w:rsidR="00BD0D81" w:rsidRDefault="00BD0D81" w:rsidP="00BD0D81"/>
      </w:tc>
    </w:tr>
    <w:tr w:rsidR="00BD0D81" w14:paraId="4B1423DB" w14:textId="77777777" w:rsidTr="004D5D33">
      <w:tc>
        <w:tcPr>
          <w:tcW w:w="10080" w:type="dxa"/>
          <w:tcBorders>
            <w:top w:val="single" w:sz="4" w:space="0" w:color="auto"/>
            <w:bottom w:val="nil"/>
          </w:tcBorders>
          <w:shd w:val="clear" w:color="auto" w:fill="000080"/>
        </w:tcPr>
        <w:p w14:paraId="12CC84ED" w14:textId="77777777" w:rsidR="00BD0D81" w:rsidRDefault="00BD0D81" w:rsidP="00F27E9D">
          <w:pPr>
            <w:tabs>
              <w:tab w:val="left" w:pos="3630"/>
            </w:tabs>
          </w:pPr>
        </w:p>
      </w:tc>
    </w:tr>
  </w:tbl>
  <w:p w14:paraId="5EB06565" w14:textId="77777777" w:rsidR="00BD0D81" w:rsidRDefault="00BD0D81" w:rsidP="003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7392EA"/>
    <w:multiLevelType w:val="hybridMultilevel"/>
    <w:tmpl w:val="8E01AB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2334D"/>
    <w:multiLevelType w:val="multilevel"/>
    <w:tmpl w:val="404609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3526D69"/>
    <w:multiLevelType w:val="hybridMultilevel"/>
    <w:tmpl w:val="3A94AF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3902EA0"/>
    <w:multiLevelType w:val="hybridMultilevel"/>
    <w:tmpl w:val="B2D667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21494"/>
    <w:multiLevelType w:val="hybridMultilevel"/>
    <w:tmpl w:val="71E27716"/>
    <w:lvl w:ilvl="0" w:tplc="42424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A7F9E"/>
    <w:multiLevelType w:val="hybridMultilevel"/>
    <w:tmpl w:val="9C0E4A68"/>
    <w:lvl w:ilvl="0" w:tplc="42424D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A31CE3"/>
    <w:multiLevelType w:val="hybridMultilevel"/>
    <w:tmpl w:val="4838DE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965D0B"/>
    <w:multiLevelType w:val="hybridMultilevel"/>
    <w:tmpl w:val="75720D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B8182E"/>
    <w:multiLevelType w:val="hybridMultilevel"/>
    <w:tmpl w:val="B712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22F7B"/>
    <w:multiLevelType w:val="hybridMultilevel"/>
    <w:tmpl w:val="A1EC6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877900"/>
    <w:multiLevelType w:val="hybridMultilevel"/>
    <w:tmpl w:val="E2B25BE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35E67B70"/>
    <w:multiLevelType w:val="hybridMultilevel"/>
    <w:tmpl w:val="748485C0"/>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BEB646B"/>
    <w:multiLevelType w:val="hybridMultilevel"/>
    <w:tmpl w:val="6FE4F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3E127B"/>
    <w:multiLevelType w:val="hybridMultilevel"/>
    <w:tmpl w:val="9D903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56820"/>
    <w:multiLevelType w:val="hybridMultilevel"/>
    <w:tmpl w:val="CB389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715D80"/>
    <w:multiLevelType w:val="hybridMultilevel"/>
    <w:tmpl w:val="741AA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AA3285"/>
    <w:multiLevelType w:val="hybridMultilevel"/>
    <w:tmpl w:val="BB485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633179"/>
    <w:multiLevelType w:val="hybridMultilevel"/>
    <w:tmpl w:val="404609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682CA7"/>
    <w:multiLevelType w:val="hybridMultilevel"/>
    <w:tmpl w:val="9D903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1361C"/>
    <w:multiLevelType w:val="hybridMultilevel"/>
    <w:tmpl w:val="E2B25BE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4CA23971"/>
    <w:multiLevelType w:val="hybridMultilevel"/>
    <w:tmpl w:val="EAEA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F0CDF"/>
    <w:multiLevelType w:val="hybridMultilevel"/>
    <w:tmpl w:val="1FF2EC7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523728E"/>
    <w:multiLevelType w:val="hybridMultilevel"/>
    <w:tmpl w:val="E528C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573F0B"/>
    <w:multiLevelType w:val="hybridMultilevel"/>
    <w:tmpl w:val="874E1EFC"/>
    <w:lvl w:ilvl="0" w:tplc="2AFEDD42">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87B3055"/>
    <w:multiLevelType w:val="hybridMultilevel"/>
    <w:tmpl w:val="B36CE2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9EB6177"/>
    <w:multiLevelType w:val="multilevel"/>
    <w:tmpl w:val="748485C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5DEC6A23"/>
    <w:multiLevelType w:val="hybridMultilevel"/>
    <w:tmpl w:val="0B9CA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770E1"/>
    <w:multiLevelType w:val="hybridMultilevel"/>
    <w:tmpl w:val="D8C21A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117104"/>
    <w:multiLevelType w:val="hybridMultilevel"/>
    <w:tmpl w:val="4C14EB9E"/>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87347BC"/>
    <w:multiLevelType w:val="hybridMultilevel"/>
    <w:tmpl w:val="647C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07543"/>
    <w:multiLevelType w:val="hybridMultilevel"/>
    <w:tmpl w:val="8C9835CE"/>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AD424B5"/>
    <w:multiLevelType w:val="hybridMultilevel"/>
    <w:tmpl w:val="EDC40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7015AA"/>
    <w:multiLevelType w:val="hybridMultilevel"/>
    <w:tmpl w:val="44FAA36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1B0886"/>
    <w:multiLevelType w:val="hybridMultilevel"/>
    <w:tmpl w:val="DAEE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ED534C"/>
    <w:multiLevelType w:val="hybridMultilevel"/>
    <w:tmpl w:val="9E7A5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92AAB"/>
    <w:multiLevelType w:val="hybridMultilevel"/>
    <w:tmpl w:val="9D903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E2C15"/>
    <w:multiLevelType w:val="hybridMultilevel"/>
    <w:tmpl w:val="18DAD76E"/>
    <w:lvl w:ilvl="0" w:tplc="42424D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1B40E6"/>
    <w:multiLevelType w:val="hybridMultilevel"/>
    <w:tmpl w:val="E2B25BE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8" w15:restartNumberingAfterBreak="0">
    <w:nsid w:val="7E012D2E"/>
    <w:multiLevelType w:val="hybridMultilevel"/>
    <w:tmpl w:val="F376A1FE"/>
    <w:lvl w:ilvl="0" w:tplc="BD02A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7984478">
    <w:abstractNumId w:val="30"/>
  </w:num>
  <w:num w:numId="2" w16cid:durableId="853960994">
    <w:abstractNumId w:val="11"/>
  </w:num>
  <w:num w:numId="3" w16cid:durableId="1121191753">
    <w:abstractNumId w:val="25"/>
  </w:num>
  <w:num w:numId="4" w16cid:durableId="730270895">
    <w:abstractNumId w:val="23"/>
  </w:num>
  <w:num w:numId="5" w16cid:durableId="7372428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5986401">
    <w:abstractNumId w:val="2"/>
  </w:num>
  <w:num w:numId="7" w16cid:durableId="201018562">
    <w:abstractNumId w:val="17"/>
  </w:num>
  <w:num w:numId="8" w16cid:durableId="220681008">
    <w:abstractNumId w:val="1"/>
  </w:num>
  <w:num w:numId="9" w16cid:durableId="73429914">
    <w:abstractNumId w:val="24"/>
  </w:num>
  <w:num w:numId="10" w16cid:durableId="953098070">
    <w:abstractNumId w:val="21"/>
  </w:num>
  <w:num w:numId="11" w16cid:durableId="708143312">
    <w:abstractNumId w:val="28"/>
  </w:num>
  <w:num w:numId="12" w16cid:durableId="7799918">
    <w:abstractNumId w:val="33"/>
  </w:num>
  <w:num w:numId="13" w16cid:durableId="1150635073">
    <w:abstractNumId w:val="0"/>
  </w:num>
  <w:num w:numId="14" w16cid:durableId="371617244">
    <w:abstractNumId w:val="14"/>
  </w:num>
  <w:num w:numId="15" w16cid:durableId="1127119254">
    <w:abstractNumId w:val="19"/>
  </w:num>
  <w:num w:numId="16" w16cid:durableId="1488595532">
    <w:abstractNumId w:val="37"/>
  </w:num>
  <w:num w:numId="17" w16cid:durableId="750390124">
    <w:abstractNumId w:val="35"/>
  </w:num>
  <w:num w:numId="18" w16cid:durableId="2000881065">
    <w:abstractNumId w:val="13"/>
  </w:num>
  <w:num w:numId="19" w16cid:durableId="1170483562">
    <w:abstractNumId w:val="18"/>
  </w:num>
  <w:num w:numId="20" w16cid:durableId="1199784652">
    <w:abstractNumId w:val="10"/>
  </w:num>
  <w:num w:numId="21" w16cid:durableId="691347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7794605">
    <w:abstractNumId w:val="32"/>
  </w:num>
  <w:num w:numId="23" w16cid:durableId="1500657587">
    <w:abstractNumId w:val="36"/>
  </w:num>
  <w:num w:numId="24" w16cid:durableId="1195268953">
    <w:abstractNumId w:val="26"/>
  </w:num>
  <w:num w:numId="25" w16cid:durableId="823548628">
    <w:abstractNumId w:val="38"/>
  </w:num>
  <w:num w:numId="26" w16cid:durableId="1543591102">
    <w:abstractNumId w:val="20"/>
  </w:num>
  <w:num w:numId="27" w16cid:durableId="1599557379">
    <w:abstractNumId w:val="29"/>
  </w:num>
  <w:num w:numId="28" w16cid:durableId="331953822">
    <w:abstractNumId w:val="34"/>
  </w:num>
  <w:num w:numId="29" w16cid:durableId="1322193488">
    <w:abstractNumId w:val="8"/>
  </w:num>
  <w:num w:numId="30" w16cid:durableId="1330868351">
    <w:abstractNumId w:val="27"/>
  </w:num>
  <w:num w:numId="31" w16cid:durableId="1402364610">
    <w:abstractNumId w:val="31"/>
  </w:num>
  <w:num w:numId="32" w16cid:durableId="1300266883">
    <w:abstractNumId w:val="7"/>
  </w:num>
  <w:num w:numId="33" w16cid:durableId="1700160542">
    <w:abstractNumId w:val="9"/>
  </w:num>
  <w:num w:numId="34" w16cid:durableId="730422189">
    <w:abstractNumId w:val="15"/>
  </w:num>
  <w:num w:numId="35" w16cid:durableId="420807226">
    <w:abstractNumId w:val="3"/>
  </w:num>
  <w:num w:numId="36" w16cid:durableId="2006666726">
    <w:abstractNumId w:val="16"/>
  </w:num>
  <w:num w:numId="37" w16cid:durableId="772743701">
    <w:abstractNumId w:val="12"/>
  </w:num>
  <w:num w:numId="38" w16cid:durableId="666446080">
    <w:abstractNumId w:val="6"/>
  </w:num>
  <w:num w:numId="39" w16cid:durableId="2091463481">
    <w:abstractNumId w:val="22"/>
  </w:num>
  <w:num w:numId="40" w16cid:durableId="978218828">
    <w:abstractNumId w:val="5"/>
  </w:num>
  <w:num w:numId="41" w16cid:durableId="2021853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A5"/>
    <w:rsid w:val="000029AE"/>
    <w:rsid w:val="000040B7"/>
    <w:rsid w:val="000042DC"/>
    <w:rsid w:val="00005CED"/>
    <w:rsid w:val="00006649"/>
    <w:rsid w:val="000124DE"/>
    <w:rsid w:val="000141B7"/>
    <w:rsid w:val="0001617C"/>
    <w:rsid w:val="0002004E"/>
    <w:rsid w:val="000208EF"/>
    <w:rsid w:val="00020DD4"/>
    <w:rsid w:val="0002160F"/>
    <w:rsid w:val="0002379F"/>
    <w:rsid w:val="000247A5"/>
    <w:rsid w:val="000266A5"/>
    <w:rsid w:val="00027C66"/>
    <w:rsid w:val="00030CFD"/>
    <w:rsid w:val="00032412"/>
    <w:rsid w:val="0003319A"/>
    <w:rsid w:val="00036706"/>
    <w:rsid w:val="000379E7"/>
    <w:rsid w:val="0004563C"/>
    <w:rsid w:val="0004597B"/>
    <w:rsid w:val="0005090C"/>
    <w:rsid w:val="00051CB4"/>
    <w:rsid w:val="0006031E"/>
    <w:rsid w:val="000604F4"/>
    <w:rsid w:val="000613DA"/>
    <w:rsid w:val="0006401E"/>
    <w:rsid w:val="00064FF6"/>
    <w:rsid w:val="0006542C"/>
    <w:rsid w:val="00066AFB"/>
    <w:rsid w:val="0007178F"/>
    <w:rsid w:val="00075F38"/>
    <w:rsid w:val="00076B90"/>
    <w:rsid w:val="00077219"/>
    <w:rsid w:val="000821D0"/>
    <w:rsid w:val="000852C8"/>
    <w:rsid w:val="000856FC"/>
    <w:rsid w:val="00091C8A"/>
    <w:rsid w:val="0009447C"/>
    <w:rsid w:val="00094970"/>
    <w:rsid w:val="00095811"/>
    <w:rsid w:val="000970DE"/>
    <w:rsid w:val="000A01BC"/>
    <w:rsid w:val="000A186C"/>
    <w:rsid w:val="000A25DD"/>
    <w:rsid w:val="000B27D3"/>
    <w:rsid w:val="000B33D1"/>
    <w:rsid w:val="000B4234"/>
    <w:rsid w:val="000B7C10"/>
    <w:rsid w:val="000C1DD3"/>
    <w:rsid w:val="000C2356"/>
    <w:rsid w:val="000C72DC"/>
    <w:rsid w:val="000C73A7"/>
    <w:rsid w:val="000D021B"/>
    <w:rsid w:val="000D07A2"/>
    <w:rsid w:val="000D1404"/>
    <w:rsid w:val="000D4EA3"/>
    <w:rsid w:val="000D5C53"/>
    <w:rsid w:val="000E0159"/>
    <w:rsid w:val="000E24B1"/>
    <w:rsid w:val="000E2D85"/>
    <w:rsid w:val="000E3399"/>
    <w:rsid w:val="000E4939"/>
    <w:rsid w:val="000E4A95"/>
    <w:rsid w:val="000E6328"/>
    <w:rsid w:val="000F0AD1"/>
    <w:rsid w:val="000F25AC"/>
    <w:rsid w:val="000F43F4"/>
    <w:rsid w:val="000F4CC6"/>
    <w:rsid w:val="001006AA"/>
    <w:rsid w:val="00104235"/>
    <w:rsid w:val="00105721"/>
    <w:rsid w:val="001069FA"/>
    <w:rsid w:val="001070EE"/>
    <w:rsid w:val="0011346A"/>
    <w:rsid w:val="00115167"/>
    <w:rsid w:val="001164F7"/>
    <w:rsid w:val="00120B24"/>
    <w:rsid w:val="00121D10"/>
    <w:rsid w:val="00121DDC"/>
    <w:rsid w:val="001228A0"/>
    <w:rsid w:val="00123A42"/>
    <w:rsid w:val="0012449D"/>
    <w:rsid w:val="00126B87"/>
    <w:rsid w:val="00130FCC"/>
    <w:rsid w:val="0013292E"/>
    <w:rsid w:val="00136AD7"/>
    <w:rsid w:val="00141E41"/>
    <w:rsid w:val="00141E66"/>
    <w:rsid w:val="00142F81"/>
    <w:rsid w:val="0014349E"/>
    <w:rsid w:val="001518D7"/>
    <w:rsid w:val="00156678"/>
    <w:rsid w:val="00161F2D"/>
    <w:rsid w:val="00162635"/>
    <w:rsid w:val="0017021B"/>
    <w:rsid w:val="001804F5"/>
    <w:rsid w:val="001818A0"/>
    <w:rsid w:val="001818F3"/>
    <w:rsid w:val="00181E22"/>
    <w:rsid w:val="00185AE2"/>
    <w:rsid w:val="001879BF"/>
    <w:rsid w:val="00187CA2"/>
    <w:rsid w:val="00190438"/>
    <w:rsid w:val="00194015"/>
    <w:rsid w:val="00195741"/>
    <w:rsid w:val="00196B8F"/>
    <w:rsid w:val="00197268"/>
    <w:rsid w:val="00197671"/>
    <w:rsid w:val="001A12E6"/>
    <w:rsid w:val="001A1A40"/>
    <w:rsid w:val="001A407E"/>
    <w:rsid w:val="001A45AA"/>
    <w:rsid w:val="001A668A"/>
    <w:rsid w:val="001A7918"/>
    <w:rsid w:val="001B046A"/>
    <w:rsid w:val="001B4932"/>
    <w:rsid w:val="001B63E3"/>
    <w:rsid w:val="001B7084"/>
    <w:rsid w:val="001B79D1"/>
    <w:rsid w:val="001C1C60"/>
    <w:rsid w:val="001C2D4D"/>
    <w:rsid w:val="001C2F0E"/>
    <w:rsid w:val="001C591C"/>
    <w:rsid w:val="001C7CB9"/>
    <w:rsid w:val="001D0746"/>
    <w:rsid w:val="001D1949"/>
    <w:rsid w:val="001D48F7"/>
    <w:rsid w:val="001D59BE"/>
    <w:rsid w:val="001D5D46"/>
    <w:rsid w:val="001D5E9B"/>
    <w:rsid w:val="001E0BB4"/>
    <w:rsid w:val="001E1705"/>
    <w:rsid w:val="001E29B1"/>
    <w:rsid w:val="001E4102"/>
    <w:rsid w:val="001E7866"/>
    <w:rsid w:val="001E7965"/>
    <w:rsid w:val="001F397A"/>
    <w:rsid w:val="001F3D5F"/>
    <w:rsid w:val="001F46D7"/>
    <w:rsid w:val="001F6239"/>
    <w:rsid w:val="00202F23"/>
    <w:rsid w:val="00203D61"/>
    <w:rsid w:val="0020579F"/>
    <w:rsid w:val="002070A7"/>
    <w:rsid w:val="00207474"/>
    <w:rsid w:val="002078B4"/>
    <w:rsid w:val="00210A52"/>
    <w:rsid w:val="00211C92"/>
    <w:rsid w:val="00212A2A"/>
    <w:rsid w:val="00220DEA"/>
    <w:rsid w:val="00223F37"/>
    <w:rsid w:val="002256F9"/>
    <w:rsid w:val="0023102E"/>
    <w:rsid w:val="0023363C"/>
    <w:rsid w:val="00234A1E"/>
    <w:rsid w:val="0023561E"/>
    <w:rsid w:val="0023750E"/>
    <w:rsid w:val="00237E38"/>
    <w:rsid w:val="00240BBD"/>
    <w:rsid w:val="0024178D"/>
    <w:rsid w:val="00241801"/>
    <w:rsid w:val="00242261"/>
    <w:rsid w:val="00244064"/>
    <w:rsid w:val="002472B3"/>
    <w:rsid w:val="00247D30"/>
    <w:rsid w:val="00250963"/>
    <w:rsid w:val="00251149"/>
    <w:rsid w:val="00253ED1"/>
    <w:rsid w:val="00253FBC"/>
    <w:rsid w:val="002575F5"/>
    <w:rsid w:val="002631A7"/>
    <w:rsid w:val="00265398"/>
    <w:rsid w:val="002715A1"/>
    <w:rsid w:val="00271E33"/>
    <w:rsid w:val="00272395"/>
    <w:rsid w:val="00272679"/>
    <w:rsid w:val="0027453D"/>
    <w:rsid w:val="0027518F"/>
    <w:rsid w:val="002766C5"/>
    <w:rsid w:val="002826B5"/>
    <w:rsid w:val="00285413"/>
    <w:rsid w:val="00286576"/>
    <w:rsid w:val="00286AD8"/>
    <w:rsid w:val="002903FD"/>
    <w:rsid w:val="0029123C"/>
    <w:rsid w:val="00295A6F"/>
    <w:rsid w:val="00296EEF"/>
    <w:rsid w:val="002976C8"/>
    <w:rsid w:val="002A0614"/>
    <w:rsid w:val="002A10B7"/>
    <w:rsid w:val="002A130F"/>
    <w:rsid w:val="002A147A"/>
    <w:rsid w:val="002A15B6"/>
    <w:rsid w:val="002A18C6"/>
    <w:rsid w:val="002B03C5"/>
    <w:rsid w:val="002B279E"/>
    <w:rsid w:val="002B3559"/>
    <w:rsid w:val="002B4C8B"/>
    <w:rsid w:val="002B55D1"/>
    <w:rsid w:val="002B693F"/>
    <w:rsid w:val="002B7F8C"/>
    <w:rsid w:val="002C0477"/>
    <w:rsid w:val="002C0F43"/>
    <w:rsid w:val="002C3EC9"/>
    <w:rsid w:val="002C603F"/>
    <w:rsid w:val="002C6456"/>
    <w:rsid w:val="002D3EBC"/>
    <w:rsid w:val="002D3F54"/>
    <w:rsid w:val="002E0962"/>
    <w:rsid w:val="002E1A16"/>
    <w:rsid w:val="002E202D"/>
    <w:rsid w:val="002E4C5A"/>
    <w:rsid w:val="002E742C"/>
    <w:rsid w:val="002F0FDC"/>
    <w:rsid w:val="002F3A33"/>
    <w:rsid w:val="002F45EC"/>
    <w:rsid w:val="002F7E9A"/>
    <w:rsid w:val="003003EB"/>
    <w:rsid w:val="00301A26"/>
    <w:rsid w:val="00301B4A"/>
    <w:rsid w:val="0030765D"/>
    <w:rsid w:val="00311333"/>
    <w:rsid w:val="00315450"/>
    <w:rsid w:val="0031611A"/>
    <w:rsid w:val="00316FDD"/>
    <w:rsid w:val="00321307"/>
    <w:rsid w:val="00322886"/>
    <w:rsid w:val="00324E96"/>
    <w:rsid w:val="00331A4B"/>
    <w:rsid w:val="00334382"/>
    <w:rsid w:val="00335504"/>
    <w:rsid w:val="0033778E"/>
    <w:rsid w:val="0034203F"/>
    <w:rsid w:val="00343AD6"/>
    <w:rsid w:val="00345C61"/>
    <w:rsid w:val="00346402"/>
    <w:rsid w:val="003468F3"/>
    <w:rsid w:val="003511B9"/>
    <w:rsid w:val="00351C1E"/>
    <w:rsid w:val="0035280C"/>
    <w:rsid w:val="00352ADE"/>
    <w:rsid w:val="00357E7A"/>
    <w:rsid w:val="00363749"/>
    <w:rsid w:val="00364283"/>
    <w:rsid w:val="00366FD1"/>
    <w:rsid w:val="00367228"/>
    <w:rsid w:val="0037319E"/>
    <w:rsid w:val="00373A2D"/>
    <w:rsid w:val="00374B0D"/>
    <w:rsid w:val="00375263"/>
    <w:rsid w:val="003761AA"/>
    <w:rsid w:val="0038085A"/>
    <w:rsid w:val="00383C45"/>
    <w:rsid w:val="00385519"/>
    <w:rsid w:val="0038660F"/>
    <w:rsid w:val="003874D0"/>
    <w:rsid w:val="00390D14"/>
    <w:rsid w:val="003941A9"/>
    <w:rsid w:val="0039484A"/>
    <w:rsid w:val="00396F2F"/>
    <w:rsid w:val="003A0009"/>
    <w:rsid w:val="003A0B71"/>
    <w:rsid w:val="003A3FC8"/>
    <w:rsid w:val="003A495A"/>
    <w:rsid w:val="003A74B8"/>
    <w:rsid w:val="003B0CCA"/>
    <w:rsid w:val="003B2519"/>
    <w:rsid w:val="003B3BA0"/>
    <w:rsid w:val="003C0579"/>
    <w:rsid w:val="003C0DA4"/>
    <w:rsid w:val="003C1DA9"/>
    <w:rsid w:val="003C3B91"/>
    <w:rsid w:val="003D00E6"/>
    <w:rsid w:val="003D0490"/>
    <w:rsid w:val="003D0C7A"/>
    <w:rsid w:val="003D2C0C"/>
    <w:rsid w:val="003D5039"/>
    <w:rsid w:val="003E128B"/>
    <w:rsid w:val="003E1330"/>
    <w:rsid w:val="003E1FED"/>
    <w:rsid w:val="003E4E49"/>
    <w:rsid w:val="003E667B"/>
    <w:rsid w:val="003F3111"/>
    <w:rsid w:val="004051EB"/>
    <w:rsid w:val="00410150"/>
    <w:rsid w:val="00412371"/>
    <w:rsid w:val="00412E2B"/>
    <w:rsid w:val="00415F69"/>
    <w:rsid w:val="004167E4"/>
    <w:rsid w:val="00425A18"/>
    <w:rsid w:val="0042666A"/>
    <w:rsid w:val="004301DA"/>
    <w:rsid w:val="004306AB"/>
    <w:rsid w:val="00430B66"/>
    <w:rsid w:val="004324F0"/>
    <w:rsid w:val="00432B16"/>
    <w:rsid w:val="0043383A"/>
    <w:rsid w:val="00436FF3"/>
    <w:rsid w:val="00440CEC"/>
    <w:rsid w:val="00440EFF"/>
    <w:rsid w:val="00443133"/>
    <w:rsid w:val="004462DB"/>
    <w:rsid w:val="00446485"/>
    <w:rsid w:val="00446567"/>
    <w:rsid w:val="00452D35"/>
    <w:rsid w:val="00453A3C"/>
    <w:rsid w:val="00455162"/>
    <w:rsid w:val="00460F01"/>
    <w:rsid w:val="004679AB"/>
    <w:rsid w:val="004700B9"/>
    <w:rsid w:val="0047037A"/>
    <w:rsid w:val="00470980"/>
    <w:rsid w:val="00475F48"/>
    <w:rsid w:val="00477129"/>
    <w:rsid w:val="004773D8"/>
    <w:rsid w:val="00480BAD"/>
    <w:rsid w:val="004829CC"/>
    <w:rsid w:val="00484736"/>
    <w:rsid w:val="0049014C"/>
    <w:rsid w:val="00492FDB"/>
    <w:rsid w:val="004956BC"/>
    <w:rsid w:val="004A124E"/>
    <w:rsid w:val="004A26D2"/>
    <w:rsid w:val="004A52A2"/>
    <w:rsid w:val="004A52BC"/>
    <w:rsid w:val="004A655F"/>
    <w:rsid w:val="004B050F"/>
    <w:rsid w:val="004B2482"/>
    <w:rsid w:val="004B2ED7"/>
    <w:rsid w:val="004C372C"/>
    <w:rsid w:val="004C6422"/>
    <w:rsid w:val="004C7363"/>
    <w:rsid w:val="004D020B"/>
    <w:rsid w:val="004D05F5"/>
    <w:rsid w:val="004D1749"/>
    <w:rsid w:val="004D2AAC"/>
    <w:rsid w:val="004D35FC"/>
    <w:rsid w:val="004D5D33"/>
    <w:rsid w:val="004E08E3"/>
    <w:rsid w:val="004E37EC"/>
    <w:rsid w:val="004E5BAD"/>
    <w:rsid w:val="004E7344"/>
    <w:rsid w:val="004F493A"/>
    <w:rsid w:val="004F4B4A"/>
    <w:rsid w:val="0050155B"/>
    <w:rsid w:val="005015BF"/>
    <w:rsid w:val="00506D8C"/>
    <w:rsid w:val="00507B96"/>
    <w:rsid w:val="00516B58"/>
    <w:rsid w:val="005206A7"/>
    <w:rsid w:val="005226B0"/>
    <w:rsid w:val="005236C1"/>
    <w:rsid w:val="005236C2"/>
    <w:rsid w:val="00526D98"/>
    <w:rsid w:val="00530377"/>
    <w:rsid w:val="0053065E"/>
    <w:rsid w:val="005308E9"/>
    <w:rsid w:val="00534CFE"/>
    <w:rsid w:val="00541BAE"/>
    <w:rsid w:val="0054673E"/>
    <w:rsid w:val="00546F3E"/>
    <w:rsid w:val="00553027"/>
    <w:rsid w:val="00553F61"/>
    <w:rsid w:val="005570B6"/>
    <w:rsid w:val="0056396C"/>
    <w:rsid w:val="0056671B"/>
    <w:rsid w:val="00567045"/>
    <w:rsid w:val="00576A84"/>
    <w:rsid w:val="00576E13"/>
    <w:rsid w:val="00577C10"/>
    <w:rsid w:val="00580991"/>
    <w:rsid w:val="00580FB3"/>
    <w:rsid w:val="005820A6"/>
    <w:rsid w:val="005825BD"/>
    <w:rsid w:val="0058328A"/>
    <w:rsid w:val="00584F6D"/>
    <w:rsid w:val="00586A25"/>
    <w:rsid w:val="005936FE"/>
    <w:rsid w:val="00595E4F"/>
    <w:rsid w:val="00596D71"/>
    <w:rsid w:val="005A14BC"/>
    <w:rsid w:val="005A19D2"/>
    <w:rsid w:val="005A6D65"/>
    <w:rsid w:val="005B0745"/>
    <w:rsid w:val="005B078C"/>
    <w:rsid w:val="005B1213"/>
    <w:rsid w:val="005B18C0"/>
    <w:rsid w:val="005B2952"/>
    <w:rsid w:val="005B3656"/>
    <w:rsid w:val="005B55CE"/>
    <w:rsid w:val="005B661B"/>
    <w:rsid w:val="005C1507"/>
    <w:rsid w:val="005C16E1"/>
    <w:rsid w:val="005C191E"/>
    <w:rsid w:val="005D0AB7"/>
    <w:rsid w:val="005D32AB"/>
    <w:rsid w:val="005D66E8"/>
    <w:rsid w:val="005D77E7"/>
    <w:rsid w:val="005E1055"/>
    <w:rsid w:val="005E1A5E"/>
    <w:rsid w:val="005E2AE3"/>
    <w:rsid w:val="005E2B26"/>
    <w:rsid w:val="005E2DE1"/>
    <w:rsid w:val="005E3176"/>
    <w:rsid w:val="005E454A"/>
    <w:rsid w:val="005E4B8A"/>
    <w:rsid w:val="005E5CE2"/>
    <w:rsid w:val="005F01E3"/>
    <w:rsid w:val="005F18ED"/>
    <w:rsid w:val="005F2F8C"/>
    <w:rsid w:val="005F4830"/>
    <w:rsid w:val="005F6DF0"/>
    <w:rsid w:val="005F7F55"/>
    <w:rsid w:val="00602F64"/>
    <w:rsid w:val="00606028"/>
    <w:rsid w:val="006064CE"/>
    <w:rsid w:val="006064D3"/>
    <w:rsid w:val="006079A5"/>
    <w:rsid w:val="006207CE"/>
    <w:rsid w:val="00621D81"/>
    <w:rsid w:val="00623B7A"/>
    <w:rsid w:val="00625D53"/>
    <w:rsid w:val="00625F87"/>
    <w:rsid w:val="006271A8"/>
    <w:rsid w:val="00627778"/>
    <w:rsid w:val="00632237"/>
    <w:rsid w:val="006404F8"/>
    <w:rsid w:val="0064052D"/>
    <w:rsid w:val="006405DB"/>
    <w:rsid w:val="006414C9"/>
    <w:rsid w:val="006420BF"/>
    <w:rsid w:val="00646DA1"/>
    <w:rsid w:val="00647B81"/>
    <w:rsid w:val="00653E1E"/>
    <w:rsid w:val="006544BC"/>
    <w:rsid w:val="00654D93"/>
    <w:rsid w:val="00657D4D"/>
    <w:rsid w:val="0066036F"/>
    <w:rsid w:val="00661C09"/>
    <w:rsid w:val="00666027"/>
    <w:rsid w:val="00667759"/>
    <w:rsid w:val="0067017D"/>
    <w:rsid w:val="0067063E"/>
    <w:rsid w:val="00670E4A"/>
    <w:rsid w:val="00671180"/>
    <w:rsid w:val="00674361"/>
    <w:rsid w:val="00676974"/>
    <w:rsid w:val="006774BE"/>
    <w:rsid w:val="00682B4E"/>
    <w:rsid w:val="0068377A"/>
    <w:rsid w:val="00684F8F"/>
    <w:rsid w:val="006866EA"/>
    <w:rsid w:val="00686C8E"/>
    <w:rsid w:val="00686D6F"/>
    <w:rsid w:val="00690680"/>
    <w:rsid w:val="00691707"/>
    <w:rsid w:val="006926CC"/>
    <w:rsid w:val="006949CC"/>
    <w:rsid w:val="00695186"/>
    <w:rsid w:val="00696ADD"/>
    <w:rsid w:val="00697763"/>
    <w:rsid w:val="006A1B36"/>
    <w:rsid w:val="006A3612"/>
    <w:rsid w:val="006A3C9F"/>
    <w:rsid w:val="006A48F2"/>
    <w:rsid w:val="006B258F"/>
    <w:rsid w:val="006B26D4"/>
    <w:rsid w:val="006B3742"/>
    <w:rsid w:val="006C0717"/>
    <w:rsid w:val="006C3B46"/>
    <w:rsid w:val="006C43AE"/>
    <w:rsid w:val="006C5BA3"/>
    <w:rsid w:val="006D6E60"/>
    <w:rsid w:val="006D7322"/>
    <w:rsid w:val="006E0CA9"/>
    <w:rsid w:val="006E4425"/>
    <w:rsid w:val="006E658E"/>
    <w:rsid w:val="006E7D06"/>
    <w:rsid w:val="006F494C"/>
    <w:rsid w:val="006F4EEA"/>
    <w:rsid w:val="007008C5"/>
    <w:rsid w:val="00701E69"/>
    <w:rsid w:val="00703425"/>
    <w:rsid w:val="00704327"/>
    <w:rsid w:val="007061B2"/>
    <w:rsid w:val="00706323"/>
    <w:rsid w:val="007129B6"/>
    <w:rsid w:val="007133EB"/>
    <w:rsid w:val="007153B9"/>
    <w:rsid w:val="00721E17"/>
    <w:rsid w:val="00722248"/>
    <w:rsid w:val="007242D9"/>
    <w:rsid w:val="007270EF"/>
    <w:rsid w:val="00731ADE"/>
    <w:rsid w:val="007352FC"/>
    <w:rsid w:val="00741F98"/>
    <w:rsid w:val="007444D2"/>
    <w:rsid w:val="00745AB2"/>
    <w:rsid w:val="0075354A"/>
    <w:rsid w:val="007563FF"/>
    <w:rsid w:val="00757C86"/>
    <w:rsid w:val="00766F32"/>
    <w:rsid w:val="0077155A"/>
    <w:rsid w:val="00771ADD"/>
    <w:rsid w:val="007759DE"/>
    <w:rsid w:val="007807AC"/>
    <w:rsid w:val="00780D97"/>
    <w:rsid w:val="00785381"/>
    <w:rsid w:val="00785A40"/>
    <w:rsid w:val="00790F3F"/>
    <w:rsid w:val="00791F19"/>
    <w:rsid w:val="00792863"/>
    <w:rsid w:val="00793549"/>
    <w:rsid w:val="0079666B"/>
    <w:rsid w:val="007A0C25"/>
    <w:rsid w:val="007A4A39"/>
    <w:rsid w:val="007A4F96"/>
    <w:rsid w:val="007A6ED6"/>
    <w:rsid w:val="007A7AF6"/>
    <w:rsid w:val="007A7CBB"/>
    <w:rsid w:val="007B3BD2"/>
    <w:rsid w:val="007B3F88"/>
    <w:rsid w:val="007B7EE8"/>
    <w:rsid w:val="007C2C4B"/>
    <w:rsid w:val="007C3E12"/>
    <w:rsid w:val="007C4819"/>
    <w:rsid w:val="007C5CE1"/>
    <w:rsid w:val="007C5CF1"/>
    <w:rsid w:val="007C63BD"/>
    <w:rsid w:val="007C6C19"/>
    <w:rsid w:val="007C6F5A"/>
    <w:rsid w:val="007D65F2"/>
    <w:rsid w:val="007D7D1D"/>
    <w:rsid w:val="007D7DBD"/>
    <w:rsid w:val="007E0214"/>
    <w:rsid w:val="007E3FD1"/>
    <w:rsid w:val="007E5B3E"/>
    <w:rsid w:val="007E60A3"/>
    <w:rsid w:val="007E6B6D"/>
    <w:rsid w:val="007E6CE4"/>
    <w:rsid w:val="007E7048"/>
    <w:rsid w:val="007F4E27"/>
    <w:rsid w:val="00801D57"/>
    <w:rsid w:val="00802251"/>
    <w:rsid w:val="0080302A"/>
    <w:rsid w:val="008103FA"/>
    <w:rsid w:val="008118F9"/>
    <w:rsid w:val="00811A6A"/>
    <w:rsid w:val="00814FD2"/>
    <w:rsid w:val="008170F2"/>
    <w:rsid w:val="00822601"/>
    <w:rsid w:val="008227D5"/>
    <w:rsid w:val="008237D4"/>
    <w:rsid w:val="00823E0F"/>
    <w:rsid w:val="008309DE"/>
    <w:rsid w:val="00830E69"/>
    <w:rsid w:val="008320FE"/>
    <w:rsid w:val="008330F8"/>
    <w:rsid w:val="00834470"/>
    <w:rsid w:val="008344E6"/>
    <w:rsid w:val="00835C27"/>
    <w:rsid w:val="00835FC0"/>
    <w:rsid w:val="008372E5"/>
    <w:rsid w:val="00837696"/>
    <w:rsid w:val="00841C41"/>
    <w:rsid w:val="0084694F"/>
    <w:rsid w:val="00846ED5"/>
    <w:rsid w:val="008472DC"/>
    <w:rsid w:val="00850F9D"/>
    <w:rsid w:val="008557AF"/>
    <w:rsid w:val="008564B1"/>
    <w:rsid w:val="00861171"/>
    <w:rsid w:val="0086165E"/>
    <w:rsid w:val="00864F75"/>
    <w:rsid w:val="0086644D"/>
    <w:rsid w:val="008668E7"/>
    <w:rsid w:val="008732BA"/>
    <w:rsid w:val="00873ADF"/>
    <w:rsid w:val="00874760"/>
    <w:rsid w:val="008748B0"/>
    <w:rsid w:val="00874FD8"/>
    <w:rsid w:val="00876AF5"/>
    <w:rsid w:val="00876E1D"/>
    <w:rsid w:val="00881975"/>
    <w:rsid w:val="008827DD"/>
    <w:rsid w:val="00882C20"/>
    <w:rsid w:val="0088336A"/>
    <w:rsid w:val="00883922"/>
    <w:rsid w:val="00884968"/>
    <w:rsid w:val="00890932"/>
    <w:rsid w:val="00890DB4"/>
    <w:rsid w:val="00891380"/>
    <w:rsid w:val="00892362"/>
    <w:rsid w:val="0089244D"/>
    <w:rsid w:val="008948F2"/>
    <w:rsid w:val="0089610F"/>
    <w:rsid w:val="00897EC3"/>
    <w:rsid w:val="008A32D1"/>
    <w:rsid w:val="008A33B2"/>
    <w:rsid w:val="008A40A7"/>
    <w:rsid w:val="008A710F"/>
    <w:rsid w:val="008A7B1D"/>
    <w:rsid w:val="008B10C4"/>
    <w:rsid w:val="008B5C51"/>
    <w:rsid w:val="008C0CE2"/>
    <w:rsid w:val="008C457D"/>
    <w:rsid w:val="008C6FD5"/>
    <w:rsid w:val="008D0BC0"/>
    <w:rsid w:val="008D70DC"/>
    <w:rsid w:val="008E0560"/>
    <w:rsid w:val="008E4197"/>
    <w:rsid w:val="008E4C86"/>
    <w:rsid w:val="008E5E44"/>
    <w:rsid w:val="008E71EE"/>
    <w:rsid w:val="008F0909"/>
    <w:rsid w:val="008F12EA"/>
    <w:rsid w:val="008F4C70"/>
    <w:rsid w:val="008F738D"/>
    <w:rsid w:val="00901486"/>
    <w:rsid w:val="0090245C"/>
    <w:rsid w:val="009043CB"/>
    <w:rsid w:val="00907791"/>
    <w:rsid w:val="0091662A"/>
    <w:rsid w:val="00916E10"/>
    <w:rsid w:val="00922044"/>
    <w:rsid w:val="00923679"/>
    <w:rsid w:val="009252A1"/>
    <w:rsid w:val="00925893"/>
    <w:rsid w:val="00925F04"/>
    <w:rsid w:val="0092613B"/>
    <w:rsid w:val="009335E7"/>
    <w:rsid w:val="00934D77"/>
    <w:rsid w:val="0093584B"/>
    <w:rsid w:val="00935910"/>
    <w:rsid w:val="00935D70"/>
    <w:rsid w:val="009426B5"/>
    <w:rsid w:val="0094526F"/>
    <w:rsid w:val="009455FA"/>
    <w:rsid w:val="00946620"/>
    <w:rsid w:val="00946848"/>
    <w:rsid w:val="00952FCE"/>
    <w:rsid w:val="00954247"/>
    <w:rsid w:val="00956F6D"/>
    <w:rsid w:val="00960C19"/>
    <w:rsid w:val="00963F71"/>
    <w:rsid w:val="00967CE3"/>
    <w:rsid w:val="00971D7E"/>
    <w:rsid w:val="00972E5D"/>
    <w:rsid w:val="0097546B"/>
    <w:rsid w:val="00975517"/>
    <w:rsid w:val="0097595D"/>
    <w:rsid w:val="009804A7"/>
    <w:rsid w:val="009819AC"/>
    <w:rsid w:val="00982CBB"/>
    <w:rsid w:val="00983AA7"/>
    <w:rsid w:val="0098439D"/>
    <w:rsid w:val="009850A1"/>
    <w:rsid w:val="00987F44"/>
    <w:rsid w:val="0099048B"/>
    <w:rsid w:val="00990B76"/>
    <w:rsid w:val="00994842"/>
    <w:rsid w:val="009A44BE"/>
    <w:rsid w:val="009A4C2D"/>
    <w:rsid w:val="009B271D"/>
    <w:rsid w:val="009B5B8F"/>
    <w:rsid w:val="009C11B0"/>
    <w:rsid w:val="009C2EEF"/>
    <w:rsid w:val="009C3B82"/>
    <w:rsid w:val="009C4782"/>
    <w:rsid w:val="009C4803"/>
    <w:rsid w:val="009C5263"/>
    <w:rsid w:val="009C573D"/>
    <w:rsid w:val="009C656E"/>
    <w:rsid w:val="009D0D04"/>
    <w:rsid w:val="009D3A5B"/>
    <w:rsid w:val="009D437D"/>
    <w:rsid w:val="009D47C8"/>
    <w:rsid w:val="009D6179"/>
    <w:rsid w:val="009E2392"/>
    <w:rsid w:val="009E268C"/>
    <w:rsid w:val="009E35FF"/>
    <w:rsid w:val="009E5A77"/>
    <w:rsid w:val="009E6AFA"/>
    <w:rsid w:val="009F17AC"/>
    <w:rsid w:val="00A01FB2"/>
    <w:rsid w:val="00A036D2"/>
    <w:rsid w:val="00A03984"/>
    <w:rsid w:val="00A06E4C"/>
    <w:rsid w:val="00A07685"/>
    <w:rsid w:val="00A07993"/>
    <w:rsid w:val="00A07FE1"/>
    <w:rsid w:val="00A1011B"/>
    <w:rsid w:val="00A14CFF"/>
    <w:rsid w:val="00A155DF"/>
    <w:rsid w:val="00A176E0"/>
    <w:rsid w:val="00A22101"/>
    <w:rsid w:val="00A2294A"/>
    <w:rsid w:val="00A235A5"/>
    <w:rsid w:val="00A24A32"/>
    <w:rsid w:val="00A24F9B"/>
    <w:rsid w:val="00A27692"/>
    <w:rsid w:val="00A308D7"/>
    <w:rsid w:val="00A3121F"/>
    <w:rsid w:val="00A3129F"/>
    <w:rsid w:val="00A31754"/>
    <w:rsid w:val="00A36437"/>
    <w:rsid w:val="00A36C9F"/>
    <w:rsid w:val="00A36CDB"/>
    <w:rsid w:val="00A45BB2"/>
    <w:rsid w:val="00A47BF6"/>
    <w:rsid w:val="00A5456B"/>
    <w:rsid w:val="00A55AE8"/>
    <w:rsid w:val="00A60035"/>
    <w:rsid w:val="00A60D71"/>
    <w:rsid w:val="00A61C6B"/>
    <w:rsid w:val="00A62408"/>
    <w:rsid w:val="00A63203"/>
    <w:rsid w:val="00A72D16"/>
    <w:rsid w:val="00A73D1F"/>
    <w:rsid w:val="00A8255B"/>
    <w:rsid w:val="00A85AC4"/>
    <w:rsid w:val="00A91883"/>
    <w:rsid w:val="00A957D3"/>
    <w:rsid w:val="00A964AC"/>
    <w:rsid w:val="00A97843"/>
    <w:rsid w:val="00AA00A1"/>
    <w:rsid w:val="00AA0532"/>
    <w:rsid w:val="00AA1AC6"/>
    <w:rsid w:val="00AA2122"/>
    <w:rsid w:val="00AA617A"/>
    <w:rsid w:val="00AA73DC"/>
    <w:rsid w:val="00AB1BC9"/>
    <w:rsid w:val="00AB266D"/>
    <w:rsid w:val="00AB3BA7"/>
    <w:rsid w:val="00AB4D54"/>
    <w:rsid w:val="00AB6033"/>
    <w:rsid w:val="00AC200B"/>
    <w:rsid w:val="00AC2A3D"/>
    <w:rsid w:val="00AC3FF9"/>
    <w:rsid w:val="00AC5F10"/>
    <w:rsid w:val="00AD35F1"/>
    <w:rsid w:val="00AD4B50"/>
    <w:rsid w:val="00AD62CE"/>
    <w:rsid w:val="00AE1CAD"/>
    <w:rsid w:val="00AE26B0"/>
    <w:rsid w:val="00AE3B0E"/>
    <w:rsid w:val="00AE5FA0"/>
    <w:rsid w:val="00AE600C"/>
    <w:rsid w:val="00AF0F9E"/>
    <w:rsid w:val="00AF0FEB"/>
    <w:rsid w:val="00AF31C6"/>
    <w:rsid w:val="00AF32D4"/>
    <w:rsid w:val="00AF57B1"/>
    <w:rsid w:val="00AF6DBB"/>
    <w:rsid w:val="00B00845"/>
    <w:rsid w:val="00B00BC7"/>
    <w:rsid w:val="00B01920"/>
    <w:rsid w:val="00B100A4"/>
    <w:rsid w:val="00B10F1B"/>
    <w:rsid w:val="00B14A3D"/>
    <w:rsid w:val="00B15109"/>
    <w:rsid w:val="00B177F3"/>
    <w:rsid w:val="00B223E7"/>
    <w:rsid w:val="00B23557"/>
    <w:rsid w:val="00B25BC8"/>
    <w:rsid w:val="00B31C6E"/>
    <w:rsid w:val="00B33109"/>
    <w:rsid w:val="00B36DC2"/>
    <w:rsid w:val="00B40A53"/>
    <w:rsid w:val="00B42A9F"/>
    <w:rsid w:val="00B430F7"/>
    <w:rsid w:val="00B43401"/>
    <w:rsid w:val="00B4658E"/>
    <w:rsid w:val="00B46B01"/>
    <w:rsid w:val="00B472A1"/>
    <w:rsid w:val="00B50730"/>
    <w:rsid w:val="00B51A5C"/>
    <w:rsid w:val="00B524DC"/>
    <w:rsid w:val="00B55405"/>
    <w:rsid w:val="00B55ADF"/>
    <w:rsid w:val="00B5743F"/>
    <w:rsid w:val="00B60597"/>
    <w:rsid w:val="00B61933"/>
    <w:rsid w:val="00B64A13"/>
    <w:rsid w:val="00B655C4"/>
    <w:rsid w:val="00B65B09"/>
    <w:rsid w:val="00B663EE"/>
    <w:rsid w:val="00B66F73"/>
    <w:rsid w:val="00B67D03"/>
    <w:rsid w:val="00B70A12"/>
    <w:rsid w:val="00B71A10"/>
    <w:rsid w:val="00B7662A"/>
    <w:rsid w:val="00B84318"/>
    <w:rsid w:val="00B86806"/>
    <w:rsid w:val="00B92290"/>
    <w:rsid w:val="00B93397"/>
    <w:rsid w:val="00B9465D"/>
    <w:rsid w:val="00B94761"/>
    <w:rsid w:val="00BA0251"/>
    <w:rsid w:val="00BA046D"/>
    <w:rsid w:val="00BA1007"/>
    <w:rsid w:val="00BA2A3E"/>
    <w:rsid w:val="00BA35BA"/>
    <w:rsid w:val="00BA5E9E"/>
    <w:rsid w:val="00BA7127"/>
    <w:rsid w:val="00BB07CE"/>
    <w:rsid w:val="00BB253A"/>
    <w:rsid w:val="00BB4134"/>
    <w:rsid w:val="00BB7355"/>
    <w:rsid w:val="00BC25C0"/>
    <w:rsid w:val="00BC38B1"/>
    <w:rsid w:val="00BC468D"/>
    <w:rsid w:val="00BD0D81"/>
    <w:rsid w:val="00BD22EB"/>
    <w:rsid w:val="00BD3515"/>
    <w:rsid w:val="00BD49F5"/>
    <w:rsid w:val="00BD4F26"/>
    <w:rsid w:val="00BD7E66"/>
    <w:rsid w:val="00BD7EDB"/>
    <w:rsid w:val="00BE03BC"/>
    <w:rsid w:val="00BE2C33"/>
    <w:rsid w:val="00BE3013"/>
    <w:rsid w:val="00BE5DCA"/>
    <w:rsid w:val="00BE758A"/>
    <w:rsid w:val="00BF054E"/>
    <w:rsid w:val="00BF40B8"/>
    <w:rsid w:val="00BF5326"/>
    <w:rsid w:val="00BF74DF"/>
    <w:rsid w:val="00C04D6F"/>
    <w:rsid w:val="00C05CDA"/>
    <w:rsid w:val="00C0601D"/>
    <w:rsid w:val="00C142E8"/>
    <w:rsid w:val="00C15044"/>
    <w:rsid w:val="00C2097C"/>
    <w:rsid w:val="00C21C26"/>
    <w:rsid w:val="00C22B37"/>
    <w:rsid w:val="00C22D98"/>
    <w:rsid w:val="00C23479"/>
    <w:rsid w:val="00C2697F"/>
    <w:rsid w:val="00C34869"/>
    <w:rsid w:val="00C3582C"/>
    <w:rsid w:val="00C422E4"/>
    <w:rsid w:val="00C43B0D"/>
    <w:rsid w:val="00C46293"/>
    <w:rsid w:val="00C475D7"/>
    <w:rsid w:val="00C52BC8"/>
    <w:rsid w:val="00C54749"/>
    <w:rsid w:val="00C5474A"/>
    <w:rsid w:val="00C56991"/>
    <w:rsid w:val="00C631BA"/>
    <w:rsid w:val="00C6369E"/>
    <w:rsid w:val="00C63AE0"/>
    <w:rsid w:val="00C63E70"/>
    <w:rsid w:val="00C817BD"/>
    <w:rsid w:val="00C81D36"/>
    <w:rsid w:val="00C82BD3"/>
    <w:rsid w:val="00C913E1"/>
    <w:rsid w:val="00C919D4"/>
    <w:rsid w:val="00C94073"/>
    <w:rsid w:val="00C969AC"/>
    <w:rsid w:val="00CA030A"/>
    <w:rsid w:val="00CA1EF0"/>
    <w:rsid w:val="00CA3465"/>
    <w:rsid w:val="00CA55E4"/>
    <w:rsid w:val="00CA63C2"/>
    <w:rsid w:val="00CB1BEF"/>
    <w:rsid w:val="00CB4661"/>
    <w:rsid w:val="00CB4692"/>
    <w:rsid w:val="00CB538D"/>
    <w:rsid w:val="00CC294B"/>
    <w:rsid w:val="00CC39BB"/>
    <w:rsid w:val="00CC3D1A"/>
    <w:rsid w:val="00CC7295"/>
    <w:rsid w:val="00CC7995"/>
    <w:rsid w:val="00CD02A6"/>
    <w:rsid w:val="00CD1298"/>
    <w:rsid w:val="00CD1547"/>
    <w:rsid w:val="00CD2889"/>
    <w:rsid w:val="00CD307A"/>
    <w:rsid w:val="00CD549B"/>
    <w:rsid w:val="00CE3C09"/>
    <w:rsid w:val="00CE44D6"/>
    <w:rsid w:val="00CE4545"/>
    <w:rsid w:val="00CE679E"/>
    <w:rsid w:val="00CE6C94"/>
    <w:rsid w:val="00CF0168"/>
    <w:rsid w:val="00CF2551"/>
    <w:rsid w:val="00CF546F"/>
    <w:rsid w:val="00D030EA"/>
    <w:rsid w:val="00D03CEE"/>
    <w:rsid w:val="00D040A2"/>
    <w:rsid w:val="00D0633A"/>
    <w:rsid w:val="00D10B15"/>
    <w:rsid w:val="00D13A7F"/>
    <w:rsid w:val="00D154B3"/>
    <w:rsid w:val="00D155DC"/>
    <w:rsid w:val="00D2003A"/>
    <w:rsid w:val="00D22BC3"/>
    <w:rsid w:val="00D23570"/>
    <w:rsid w:val="00D2391E"/>
    <w:rsid w:val="00D264BF"/>
    <w:rsid w:val="00D30568"/>
    <w:rsid w:val="00D30866"/>
    <w:rsid w:val="00D35A01"/>
    <w:rsid w:val="00D35EBC"/>
    <w:rsid w:val="00D401BA"/>
    <w:rsid w:val="00D40DE4"/>
    <w:rsid w:val="00D42CF6"/>
    <w:rsid w:val="00D46CA9"/>
    <w:rsid w:val="00D55B88"/>
    <w:rsid w:val="00D566C7"/>
    <w:rsid w:val="00D612A2"/>
    <w:rsid w:val="00D6437D"/>
    <w:rsid w:val="00D70B96"/>
    <w:rsid w:val="00D713F8"/>
    <w:rsid w:val="00D71E53"/>
    <w:rsid w:val="00D7622A"/>
    <w:rsid w:val="00D764B5"/>
    <w:rsid w:val="00D76F64"/>
    <w:rsid w:val="00D77754"/>
    <w:rsid w:val="00D81357"/>
    <w:rsid w:val="00D830CE"/>
    <w:rsid w:val="00D85E34"/>
    <w:rsid w:val="00D85E47"/>
    <w:rsid w:val="00D87B87"/>
    <w:rsid w:val="00D87F39"/>
    <w:rsid w:val="00D933BE"/>
    <w:rsid w:val="00D93633"/>
    <w:rsid w:val="00D94E39"/>
    <w:rsid w:val="00D94F92"/>
    <w:rsid w:val="00DB11F7"/>
    <w:rsid w:val="00DB527B"/>
    <w:rsid w:val="00DB6D72"/>
    <w:rsid w:val="00DC3BF3"/>
    <w:rsid w:val="00DC3EDB"/>
    <w:rsid w:val="00DC5C44"/>
    <w:rsid w:val="00DC7A12"/>
    <w:rsid w:val="00DD016B"/>
    <w:rsid w:val="00DD2C51"/>
    <w:rsid w:val="00DD5A0B"/>
    <w:rsid w:val="00DE0C1A"/>
    <w:rsid w:val="00DE17C2"/>
    <w:rsid w:val="00DE348E"/>
    <w:rsid w:val="00DE53E4"/>
    <w:rsid w:val="00DE783C"/>
    <w:rsid w:val="00DF0A93"/>
    <w:rsid w:val="00DF3A5A"/>
    <w:rsid w:val="00E0596E"/>
    <w:rsid w:val="00E05C45"/>
    <w:rsid w:val="00E06BE8"/>
    <w:rsid w:val="00E127C8"/>
    <w:rsid w:val="00E159C6"/>
    <w:rsid w:val="00E15D26"/>
    <w:rsid w:val="00E1704C"/>
    <w:rsid w:val="00E22A8B"/>
    <w:rsid w:val="00E23198"/>
    <w:rsid w:val="00E234D3"/>
    <w:rsid w:val="00E23648"/>
    <w:rsid w:val="00E23709"/>
    <w:rsid w:val="00E26370"/>
    <w:rsid w:val="00E305B2"/>
    <w:rsid w:val="00E374BE"/>
    <w:rsid w:val="00E42DEC"/>
    <w:rsid w:val="00E474E0"/>
    <w:rsid w:val="00E51672"/>
    <w:rsid w:val="00E53F1E"/>
    <w:rsid w:val="00E600D5"/>
    <w:rsid w:val="00E621F1"/>
    <w:rsid w:val="00E62AC4"/>
    <w:rsid w:val="00E62EEA"/>
    <w:rsid w:val="00E65907"/>
    <w:rsid w:val="00E701FB"/>
    <w:rsid w:val="00E73DD8"/>
    <w:rsid w:val="00E73E6F"/>
    <w:rsid w:val="00E80CC9"/>
    <w:rsid w:val="00E827A2"/>
    <w:rsid w:val="00E845AE"/>
    <w:rsid w:val="00E84AE8"/>
    <w:rsid w:val="00E86B2C"/>
    <w:rsid w:val="00E9068F"/>
    <w:rsid w:val="00E91A89"/>
    <w:rsid w:val="00E934F5"/>
    <w:rsid w:val="00E96195"/>
    <w:rsid w:val="00EA0888"/>
    <w:rsid w:val="00EA320B"/>
    <w:rsid w:val="00EB1E06"/>
    <w:rsid w:val="00EB55B6"/>
    <w:rsid w:val="00EC30FC"/>
    <w:rsid w:val="00ED11B1"/>
    <w:rsid w:val="00ED2AF1"/>
    <w:rsid w:val="00ED2F4E"/>
    <w:rsid w:val="00ED5B43"/>
    <w:rsid w:val="00ED5B9A"/>
    <w:rsid w:val="00EE2C3C"/>
    <w:rsid w:val="00EE37A9"/>
    <w:rsid w:val="00EE4BDC"/>
    <w:rsid w:val="00EE5BF7"/>
    <w:rsid w:val="00EE71D8"/>
    <w:rsid w:val="00EF424A"/>
    <w:rsid w:val="00F00039"/>
    <w:rsid w:val="00F000D1"/>
    <w:rsid w:val="00F012C9"/>
    <w:rsid w:val="00F025D6"/>
    <w:rsid w:val="00F10255"/>
    <w:rsid w:val="00F1202B"/>
    <w:rsid w:val="00F132AF"/>
    <w:rsid w:val="00F147ED"/>
    <w:rsid w:val="00F14C53"/>
    <w:rsid w:val="00F22815"/>
    <w:rsid w:val="00F24DFB"/>
    <w:rsid w:val="00F25601"/>
    <w:rsid w:val="00F276F2"/>
    <w:rsid w:val="00F277A6"/>
    <w:rsid w:val="00F27E9D"/>
    <w:rsid w:val="00F30EAF"/>
    <w:rsid w:val="00F3234D"/>
    <w:rsid w:val="00F34796"/>
    <w:rsid w:val="00F3638A"/>
    <w:rsid w:val="00F42697"/>
    <w:rsid w:val="00F435C6"/>
    <w:rsid w:val="00F43885"/>
    <w:rsid w:val="00F43B46"/>
    <w:rsid w:val="00F4445B"/>
    <w:rsid w:val="00F44A4C"/>
    <w:rsid w:val="00F47647"/>
    <w:rsid w:val="00F47A46"/>
    <w:rsid w:val="00F519AE"/>
    <w:rsid w:val="00F5244E"/>
    <w:rsid w:val="00F5367C"/>
    <w:rsid w:val="00F602C8"/>
    <w:rsid w:val="00F613E4"/>
    <w:rsid w:val="00F63ECC"/>
    <w:rsid w:val="00F6427F"/>
    <w:rsid w:val="00F646A9"/>
    <w:rsid w:val="00F70CC6"/>
    <w:rsid w:val="00F71232"/>
    <w:rsid w:val="00F71982"/>
    <w:rsid w:val="00F86386"/>
    <w:rsid w:val="00F912B9"/>
    <w:rsid w:val="00FA0738"/>
    <w:rsid w:val="00FA3DBC"/>
    <w:rsid w:val="00FB2832"/>
    <w:rsid w:val="00FB44DA"/>
    <w:rsid w:val="00FB67A8"/>
    <w:rsid w:val="00FC0718"/>
    <w:rsid w:val="00FC0E18"/>
    <w:rsid w:val="00FC1CD4"/>
    <w:rsid w:val="00FC1DCC"/>
    <w:rsid w:val="00FC31FA"/>
    <w:rsid w:val="00FC4DD0"/>
    <w:rsid w:val="00FD1F02"/>
    <w:rsid w:val="00FD2176"/>
    <w:rsid w:val="00FD24F6"/>
    <w:rsid w:val="00FD57C5"/>
    <w:rsid w:val="00FD70CD"/>
    <w:rsid w:val="00FE0C4E"/>
    <w:rsid w:val="00FE257B"/>
    <w:rsid w:val="00FE3C9F"/>
    <w:rsid w:val="00FE4698"/>
    <w:rsid w:val="00FF008D"/>
    <w:rsid w:val="00FF2075"/>
    <w:rsid w:val="00FF24EB"/>
    <w:rsid w:val="00FF28DA"/>
    <w:rsid w:val="00FF2ABC"/>
    <w:rsid w:val="00FF34CA"/>
    <w:rsid w:val="00FF64D6"/>
    <w:rsid w:val="00FF719B"/>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3E7E70"/>
  <w15:docId w15:val="{6F81F786-C5C8-407D-B576-C1D58251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54A"/>
    <w:rPr>
      <w:sz w:val="24"/>
      <w:szCs w:val="24"/>
    </w:rPr>
  </w:style>
  <w:style w:type="paragraph" w:styleId="Heading1">
    <w:name w:val="heading 1"/>
    <w:basedOn w:val="Normal"/>
    <w:next w:val="Normal"/>
    <w:link w:val="Heading1Char"/>
    <w:qFormat/>
    <w:locked/>
    <w:rsid w:val="002356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079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236C1"/>
    <w:rPr>
      <w:rFonts w:ascii="Cambria" w:hAnsi="Cambria" w:cs="Times New Roman"/>
      <w:b/>
      <w:bCs/>
      <w:i/>
      <w:iCs/>
      <w:sz w:val="28"/>
      <w:szCs w:val="28"/>
    </w:rPr>
  </w:style>
  <w:style w:type="paragraph" w:styleId="EnvelopeAddress">
    <w:name w:val="envelope address"/>
    <w:basedOn w:val="Normal"/>
    <w:uiPriority w:val="99"/>
    <w:rsid w:val="00890932"/>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90932"/>
    <w:pPr>
      <w:tabs>
        <w:tab w:val="center" w:pos="4320"/>
        <w:tab w:val="right" w:pos="8640"/>
      </w:tabs>
    </w:pPr>
  </w:style>
  <w:style w:type="character" w:customStyle="1" w:styleId="HeaderChar">
    <w:name w:val="Header Char"/>
    <w:basedOn w:val="DefaultParagraphFont"/>
    <w:link w:val="Header"/>
    <w:uiPriority w:val="99"/>
    <w:locked/>
    <w:rsid w:val="005236C1"/>
    <w:rPr>
      <w:rFonts w:cs="Times New Roman"/>
      <w:sz w:val="24"/>
      <w:szCs w:val="24"/>
    </w:rPr>
  </w:style>
  <w:style w:type="paragraph" w:styleId="Footer">
    <w:name w:val="footer"/>
    <w:basedOn w:val="Normal"/>
    <w:link w:val="FooterChar"/>
    <w:uiPriority w:val="99"/>
    <w:rsid w:val="00890932"/>
    <w:pPr>
      <w:tabs>
        <w:tab w:val="center" w:pos="4320"/>
        <w:tab w:val="right" w:pos="8640"/>
      </w:tabs>
    </w:pPr>
  </w:style>
  <w:style w:type="character" w:customStyle="1" w:styleId="FooterChar">
    <w:name w:val="Footer Char"/>
    <w:basedOn w:val="DefaultParagraphFont"/>
    <w:link w:val="Footer"/>
    <w:uiPriority w:val="99"/>
    <w:locked/>
    <w:rsid w:val="005236C1"/>
    <w:rPr>
      <w:rFonts w:cs="Times New Roman"/>
      <w:sz w:val="24"/>
      <w:szCs w:val="24"/>
    </w:rPr>
  </w:style>
  <w:style w:type="character" w:styleId="PageNumber">
    <w:name w:val="page number"/>
    <w:basedOn w:val="DefaultParagraphFont"/>
    <w:uiPriority w:val="99"/>
    <w:rsid w:val="00890932"/>
    <w:rPr>
      <w:rFonts w:cs="Times New Roman"/>
    </w:rPr>
  </w:style>
  <w:style w:type="paragraph" w:styleId="BodyText3">
    <w:name w:val="Body Text 3"/>
    <w:basedOn w:val="Normal"/>
    <w:link w:val="BodyText3Char"/>
    <w:uiPriority w:val="99"/>
    <w:rsid w:val="00890932"/>
    <w:pPr>
      <w:tabs>
        <w:tab w:val="left" w:pos="698"/>
        <w:tab w:val="left" w:pos="1058"/>
        <w:tab w:val="right" w:pos="5040"/>
        <w:tab w:val="right" w:pos="9360"/>
      </w:tabs>
    </w:pPr>
    <w:rPr>
      <w:rFonts w:ascii="N Helvetica Narrow" w:hAnsi="N Helvetica Narrow"/>
      <w:color w:val="000000"/>
      <w:sz w:val="22"/>
      <w:szCs w:val="20"/>
    </w:rPr>
  </w:style>
  <w:style w:type="character" w:customStyle="1" w:styleId="BodyText3Char">
    <w:name w:val="Body Text 3 Char"/>
    <w:basedOn w:val="DefaultParagraphFont"/>
    <w:link w:val="BodyText3"/>
    <w:uiPriority w:val="99"/>
    <w:semiHidden/>
    <w:locked/>
    <w:rsid w:val="005236C1"/>
    <w:rPr>
      <w:rFonts w:cs="Times New Roman"/>
      <w:sz w:val="16"/>
      <w:szCs w:val="16"/>
    </w:rPr>
  </w:style>
  <w:style w:type="paragraph" w:styleId="DocumentMap">
    <w:name w:val="Document Map"/>
    <w:basedOn w:val="Normal"/>
    <w:link w:val="DocumentMapChar"/>
    <w:uiPriority w:val="99"/>
    <w:semiHidden/>
    <w:rsid w:val="008909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36C1"/>
    <w:rPr>
      <w:rFonts w:cs="Times New Roman"/>
      <w:sz w:val="2"/>
    </w:rPr>
  </w:style>
  <w:style w:type="paragraph" w:styleId="NormalWeb">
    <w:name w:val="Normal (Web)"/>
    <w:basedOn w:val="Normal"/>
    <w:uiPriority w:val="99"/>
    <w:rsid w:val="00890932"/>
    <w:pPr>
      <w:spacing w:before="100" w:beforeAutospacing="1" w:after="100" w:afterAutospacing="1"/>
    </w:pPr>
  </w:style>
  <w:style w:type="paragraph" w:styleId="BalloonText">
    <w:name w:val="Balloon Text"/>
    <w:basedOn w:val="Normal"/>
    <w:link w:val="BalloonTextChar"/>
    <w:uiPriority w:val="99"/>
    <w:semiHidden/>
    <w:rsid w:val="00ED11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6C1"/>
    <w:rPr>
      <w:rFonts w:cs="Times New Roman"/>
      <w:sz w:val="2"/>
    </w:rPr>
  </w:style>
  <w:style w:type="paragraph" w:styleId="ListParagraph">
    <w:name w:val="List Paragraph"/>
    <w:basedOn w:val="Normal"/>
    <w:uiPriority w:val="34"/>
    <w:qFormat/>
    <w:rsid w:val="00646DA1"/>
    <w:pPr>
      <w:ind w:left="720"/>
      <w:contextualSpacing/>
    </w:pPr>
  </w:style>
  <w:style w:type="character" w:customStyle="1" w:styleId="Heading1Char">
    <w:name w:val="Heading 1 Char"/>
    <w:basedOn w:val="DefaultParagraphFont"/>
    <w:link w:val="Heading1"/>
    <w:rsid w:val="0023561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97268"/>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367228"/>
    <w:rPr>
      <w:rFonts w:ascii="Calibri" w:eastAsiaTheme="minorHAnsi" w:hAnsi="Calibri" w:cs="Calibri"/>
      <w:sz w:val="22"/>
      <w:szCs w:val="22"/>
    </w:rPr>
  </w:style>
  <w:style w:type="character" w:styleId="Hyperlink">
    <w:name w:val="Hyperlink"/>
    <w:basedOn w:val="DefaultParagraphFont"/>
    <w:uiPriority w:val="99"/>
    <w:unhideWhenUsed/>
    <w:rsid w:val="0033778E"/>
    <w:rPr>
      <w:color w:val="0000FF" w:themeColor="hyperlink"/>
      <w:u w:val="single"/>
    </w:rPr>
  </w:style>
  <w:style w:type="character" w:styleId="UnresolvedMention">
    <w:name w:val="Unresolved Mention"/>
    <w:basedOn w:val="DefaultParagraphFont"/>
    <w:uiPriority w:val="99"/>
    <w:semiHidden/>
    <w:unhideWhenUsed/>
    <w:rsid w:val="0033778E"/>
    <w:rPr>
      <w:color w:val="808080"/>
      <w:shd w:val="clear" w:color="auto" w:fill="E6E6E6"/>
    </w:rPr>
  </w:style>
  <w:style w:type="paragraph" w:styleId="FootnoteText">
    <w:name w:val="footnote text"/>
    <w:basedOn w:val="Normal"/>
    <w:link w:val="FootnoteTextChar"/>
    <w:uiPriority w:val="99"/>
    <w:semiHidden/>
    <w:unhideWhenUsed/>
    <w:rsid w:val="0068377A"/>
    <w:rPr>
      <w:sz w:val="20"/>
      <w:szCs w:val="20"/>
    </w:rPr>
  </w:style>
  <w:style w:type="character" w:customStyle="1" w:styleId="FootnoteTextChar">
    <w:name w:val="Footnote Text Char"/>
    <w:basedOn w:val="DefaultParagraphFont"/>
    <w:link w:val="FootnoteText"/>
    <w:uiPriority w:val="99"/>
    <w:semiHidden/>
    <w:rsid w:val="0068377A"/>
    <w:rPr>
      <w:sz w:val="20"/>
      <w:szCs w:val="20"/>
    </w:rPr>
  </w:style>
  <w:style w:type="character" w:styleId="FootnoteReference">
    <w:name w:val="footnote reference"/>
    <w:basedOn w:val="DefaultParagraphFont"/>
    <w:uiPriority w:val="99"/>
    <w:semiHidden/>
    <w:unhideWhenUsed/>
    <w:rsid w:val="0068377A"/>
    <w:rPr>
      <w:vertAlign w:val="superscript"/>
    </w:rPr>
  </w:style>
  <w:style w:type="paragraph" w:styleId="NoSpacing">
    <w:name w:val="No Spacing"/>
    <w:uiPriority w:val="1"/>
    <w:qFormat/>
    <w:rsid w:val="006A3C9F"/>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6180">
      <w:bodyDiv w:val="1"/>
      <w:marLeft w:val="0"/>
      <w:marRight w:val="0"/>
      <w:marTop w:val="0"/>
      <w:marBottom w:val="0"/>
      <w:divBdr>
        <w:top w:val="none" w:sz="0" w:space="0" w:color="auto"/>
        <w:left w:val="none" w:sz="0" w:space="0" w:color="auto"/>
        <w:bottom w:val="none" w:sz="0" w:space="0" w:color="auto"/>
        <w:right w:val="none" w:sz="0" w:space="0" w:color="auto"/>
      </w:divBdr>
    </w:div>
    <w:div w:id="295180934">
      <w:bodyDiv w:val="1"/>
      <w:marLeft w:val="0"/>
      <w:marRight w:val="0"/>
      <w:marTop w:val="0"/>
      <w:marBottom w:val="0"/>
      <w:divBdr>
        <w:top w:val="none" w:sz="0" w:space="0" w:color="auto"/>
        <w:left w:val="none" w:sz="0" w:space="0" w:color="auto"/>
        <w:bottom w:val="none" w:sz="0" w:space="0" w:color="auto"/>
        <w:right w:val="none" w:sz="0" w:space="0" w:color="auto"/>
      </w:divBdr>
    </w:div>
    <w:div w:id="455178320">
      <w:bodyDiv w:val="1"/>
      <w:marLeft w:val="0"/>
      <w:marRight w:val="0"/>
      <w:marTop w:val="0"/>
      <w:marBottom w:val="0"/>
      <w:divBdr>
        <w:top w:val="none" w:sz="0" w:space="0" w:color="auto"/>
        <w:left w:val="none" w:sz="0" w:space="0" w:color="auto"/>
        <w:bottom w:val="none" w:sz="0" w:space="0" w:color="auto"/>
        <w:right w:val="none" w:sz="0" w:space="0" w:color="auto"/>
      </w:divBdr>
    </w:div>
    <w:div w:id="870800179">
      <w:bodyDiv w:val="1"/>
      <w:marLeft w:val="0"/>
      <w:marRight w:val="0"/>
      <w:marTop w:val="0"/>
      <w:marBottom w:val="0"/>
      <w:divBdr>
        <w:top w:val="none" w:sz="0" w:space="0" w:color="auto"/>
        <w:left w:val="none" w:sz="0" w:space="0" w:color="auto"/>
        <w:bottom w:val="none" w:sz="0" w:space="0" w:color="auto"/>
        <w:right w:val="none" w:sz="0" w:space="0" w:color="auto"/>
      </w:divBdr>
    </w:div>
    <w:div w:id="1043748970">
      <w:bodyDiv w:val="1"/>
      <w:marLeft w:val="0"/>
      <w:marRight w:val="0"/>
      <w:marTop w:val="0"/>
      <w:marBottom w:val="0"/>
      <w:divBdr>
        <w:top w:val="none" w:sz="0" w:space="0" w:color="auto"/>
        <w:left w:val="none" w:sz="0" w:space="0" w:color="auto"/>
        <w:bottom w:val="none" w:sz="0" w:space="0" w:color="auto"/>
        <w:right w:val="none" w:sz="0" w:space="0" w:color="auto"/>
      </w:divBdr>
    </w:div>
    <w:div w:id="1100368266">
      <w:bodyDiv w:val="1"/>
      <w:marLeft w:val="0"/>
      <w:marRight w:val="0"/>
      <w:marTop w:val="0"/>
      <w:marBottom w:val="0"/>
      <w:divBdr>
        <w:top w:val="none" w:sz="0" w:space="0" w:color="auto"/>
        <w:left w:val="none" w:sz="0" w:space="0" w:color="auto"/>
        <w:bottom w:val="none" w:sz="0" w:space="0" w:color="auto"/>
        <w:right w:val="none" w:sz="0" w:space="0" w:color="auto"/>
      </w:divBdr>
    </w:div>
    <w:div w:id="1119686257">
      <w:bodyDiv w:val="1"/>
      <w:marLeft w:val="0"/>
      <w:marRight w:val="0"/>
      <w:marTop w:val="0"/>
      <w:marBottom w:val="0"/>
      <w:divBdr>
        <w:top w:val="none" w:sz="0" w:space="0" w:color="auto"/>
        <w:left w:val="none" w:sz="0" w:space="0" w:color="auto"/>
        <w:bottom w:val="none" w:sz="0" w:space="0" w:color="auto"/>
        <w:right w:val="none" w:sz="0" w:space="0" w:color="auto"/>
      </w:divBdr>
    </w:div>
    <w:div w:id="1150944644">
      <w:bodyDiv w:val="1"/>
      <w:marLeft w:val="0"/>
      <w:marRight w:val="0"/>
      <w:marTop w:val="0"/>
      <w:marBottom w:val="0"/>
      <w:divBdr>
        <w:top w:val="none" w:sz="0" w:space="0" w:color="auto"/>
        <w:left w:val="none" w:sz="0" w:space="0" w:color="auto"/>
        <w:bottom w:val="none" w:sz="0" w:space="0" w:color="auto"/>
        <w:right w:val="none" w:sz="0" w:space="0" w:color="auto"/>
      </w:divBdr>
    </w:div>
    <w:div w:id="1198784858">
      <w:bodyDiv w:val="1"/>
      <w:marLeft w:val="0"/>
      <w:marRight w:val="0"/>
      <w:marTop w:val="0"/>
      <w:marBottom w:val="0"/>
      <w:divBdr>
        <w:top w:val="none" w:sz="0" w:space="0" w:color="auto"/>
        <w:left w:val="none" w:sz="0" w:space="0" w:color="auto"/>
        <w:bottom w:val="none" w:sz="0" w:space="0" w:color="auto"/>
        <w:right w:val="none" w:sz="0" w:space="0" w:color="auto"/>
      </w:divBdr>
    </w:div>
    <w:div w:id="1209295691">
      <w:marLeft w:val="0"/>
      <w:marRight w:val="0"/>
      <w:marTop w:val="0"/>
      <w:marBottom w:val="0"/>
      <w:divBdr>
        <w:top w:val="none" w:sz="0" w:space="0" w:color="auto"/>
        <w:left w:val="none" w:sz="0" w:space="0" w:color="auto"/>
        <w:bottom w:val="none" w:sz="0" w:space="0" w:color="auto"/>
        <w:right w:val="none" w:sz="0" w:space="0" w:color="auto"/>
      </w:divBdr>
    </w:div>
    <w:div w:id="1209295692">
      <w:marLeft w:val="0"/>
      <w:marRight w:val="0"/>
      <w:marTop w:val="0"/>
      <w:marBottom w:val="0"/>
      <w:divBdr>
        <w:top w:val="none" w:sz="0" w:space="0" w:color="auto"/>
        <w:left w:val="none" w:sz="0" w:space="0" w:color="auto"/>
        <w:bottom w:val="none" w:sz="0" w:space="0" w:color="auto"/>
        <w:right w:val="none" w:sz="0" w:space="0" w:color="auto"/>
      </w:divBdr>
    </w:div>
    <w:div w:id="1209295693">
      <w:marLeft w:val="0"/>
      <w:marRight w:val="0"/>
      <w:marTop w:val="0"/>
      <w:marBottom w:val="0"/>
      <w:divBdr>
        <w:top w:val="none" w:sz="0" w:space="0" w:color="auto"/>
        <w:left w:val="none" w:sz="0" w:space="0" w:color="auto"/>
        <w:bottom w:val="none" w:sz="0" w:space="0" w:color="auto"/>
        <w:right w:val="none" w:sz="0" w:space="0" w:color="auto"/>
      </w:divBdr>
    </w:div>
    <w:div w:id="1209295694">
      <w:marLeft w:val="0"/>
      <w:marRight w:val="0"/>
      <w:marTop w:val="0"/>
      <w:marBottom w:val="0"/>
      <w:divBdr>
        <w:top w:val="none" w:sz="0" w:space="0" w:color="auto"/>
        <w:left w:val="none" w:sz="0" w:space="0" w:color="auto"/>
        <w:bottom w:val="none" w:sz="0" w:space="0" w:color="auto"/>
        <w:right w:val="none" w:sz="0" w:space="0" w:color="auto"/>
      </w:divBdr>
    </w:div>
    <w:div w:id="1277983408">
      <w:bodyDiv w:val="1"/>
      <w:marLeft w:val="0"/>
      <w:marRight w:val="0"/>
      <w:marTop w:val="0"/>
      <w:marBottom w:val="0"/>
      <w:divBdr>
        <w:top w:val="none" w:sz="0" w:space="0" w:color="auto"/>
        <w:left w:val="none" w:sz="0" w:space="0" w:color="auto"/>
        <w:bottom w:val="none" w:sz="0" w:space="0" w:color="auto"/>
        <w:right w:val="none" w:sz="0" w:space="0" w:color="auto"/>
      </w:divBdr>
    </w:div>
    <w:div w:id="1317102309">
      <w:bodyDiv w:val="1"/>
      <w:marLeft w:val="0"/>
      <w:marRight w:val="0"/>
      <w:marTop w:val="0"/>
      <w:marBottom w:val="0"/>
      <w:divBdr>
        <w:top w:val="none" w:sz="0" w:space="0" w:color="auto"/>
        <w:left w:val="none" w:sz="0" w:space="0" w:color="auto"/>
        <w:bottom w:val="none" w:sz="0" w:space="0" w:color="auto"/>
        <w:right w:val="none" w:sz="0" w:space="0" w:color="auto"/>
      </w:divBdr>
    </w:div>
    <w:div w:id="1317567215">
      <w:bodyDiv w:val="1"/>
      <w:marLeft w:val="0"/>
      <w:marRight w:val="0"/>
      <w:marTop w:val="0"/>
      <w:marBottom w:val="0"/>
      <w:divBdr>
        <w:top w:val="none" w:sz="0" w:space="0" w:color="auto"/>
        <w:left w:val="none" w:sz="0" w:space="0" w:color="auto"/>
        <w:bottom w:val="none" w:sz="0" w:space="0" w:color="auto"/>
        <w:right w:val="none" w:sz="0" w:space="0" w:color="auto"/>
      </w:divBdr>
    </w:div>
    <w:div w:id="1535385127">
      <w:bodyDiv w:val="1"/>
      <w:marLeft w:val="0"/>
      <w:marRight w:val="0"/>
      <w:marTop w:val="0"/>
      <w:marBottom w:val="0"/>
      <w:divBdr>
        <w:top w:val="none" w:sz="0" w:space="0" w:color="auto"/>
        <w:left w:val="none" w:sz="0" w:space="0" w:color="auto"/>
        <w:bottom w:val="none" w:sz="0" w:space="0" w:color="auto"/>
        <w:right w:val="none" w:sz="0" w:space="0" w:color="auto"/>
      </w:divBdr>
    </w:div>
    <w:div w:id="1847356592">
      <w:bodyDiv w:val="1"/>
      <w:marLeft w:val="0"/>
      <w:marRight w:val="0"/>
      <w:marTop w:val="0"/>
      <w:marBottom w:val="0"/>
      <w:divBdr>
        <w:top w:val="none" w:sz="0" w:space="0" w:color="auto"/>
        <w:left w:val="none" w:sz="0" w:space="0" w:color="auto"/>
        <w:bottom w:val="none" w:sz="0" w:space="0" w:color="auto"/>
        <w:right w:val="none" w:sz="0" w:space="0" w:color="auto"/>
      </w:divBdr>
    </w:div>
    <w:div w:id="19819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4B273C61F97418E97614CA1A6BDB0" ma:contentTypeVersion="13" ma:contentTypeDescription="Create a new document." ma:contentTypeScope="" ma:versionID="da2b415570615d54d8b9adbf6d7687a7">
  <xsd:schema xmlns:xsd="http://www.w3.org/2001/XMLSchema" xmlns:xs="http://www.w3.org/2001/XMLSchema" xmlns:p="http://schemas.microsoft.com/office/2006/metadata/properties" xmlns:ns2="9db737f3-03e4-412f-b60b-51b4409a090f" xmlns:ns3="b70b78cf-4165-40b8-8ce1-3879493f1c6a" targetNamespace="http://schemas.microsoft.com/office/2006/metadata/properties" ma:root="true" ma:fieldsID="61c5e989fd7e5f61b4c56021adccdab4" ns2:_="" ns3:_="">
    <xsd:import namespace="9db737f3-03e4-412f-b60b-51b4409a090f"/>
    <xsd:import namespace="b70b78cf-4165-40b8-8ce1-3879493f1c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737f3-03e4-412f-b60b-51b4409a0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b78cf-4165-40b8-8ce1-3879493f1c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7f9256f-0df7-4443-9900-3c1374a95e69}" ma:internalName="TaxCatchAll" ma:showField="CatchAllData" ma:web="b70b78cf-4165-40b8-8ce1-3879493f1c6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b737f3-03e4-412f-b60b-51b4409a090f">
      <Terms xmlns="http://schemas.microsoft.com/office/infopath/2007/PartnerControls"/>
    </lcf76f155ced4ddcb4097134ff3c332f>
    <TaxCatchAll xmlns="b70b78cf-4165-40b8-8ce1-3879493f1c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C0B7-89B4-4DA2-9FF1-AAE2E4D5F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737f3-03e4-412f-b60b-51b4409a090f"/>
    <ds:schemaRef ds:uri="b70b78cf-4165-40b8-8ce1-3879493f1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EB3BA-216B-4103-8F15-92AFA9C84830}">
  <ds:schemaRefs>
    <ds:schemaRef ds:uri="http://schemas.microsoft.com/sharepoint/v3/contenttype/forms"/>
  </ds:schemaRefs>
</ds:datastoreItem>
</file>

<file path=customXml/itemProps3.xml><?xml version="1.0" encoding="utf-8"?>
<ds:datastoreItem xmlns:ds="http://schemas.openxmlformats.org/officeDocument/2006/customXml" ds:itemID="{E0408076-6B57-44D4-9286-FEE9F9B64407}">
  <ds:schemaRefs>
    <ds:schemaRef ds:uri="http://schemas.microsoft.com/office/2006/metadata/properties"/>
    <ds:schemaRef ds:uri="http://schemas.microsoft.com/office/infopath/2007/PartnerControls"/>
    <ds:schemaRef ds:uri="9db737f3-03e4-412f-b60b-51b4409a090f"/>
    <ds:schemaRef ds:uri="b70b78cf-4165-40b8-8ce1-3879493f1c6a"/>
  </ds:schemaRefs>
</ds:datastoreItem>
</file>

<file path=customXml/itemProps4.xml><?xml version="1.0" encoding="utf-8"?>
<ds:datastoreItem xmlns:ds="http://schemas.openxmlformats.org/officeDocument/2006/customXml" ds:itemID="{FD074834-EC43-4ABC-BEBF-51DCF929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3141</Words>
  <Characters>19262</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3</cp:revision>
  <cp:lastPrinted>2022-08-31T17:36:00Z</cp:lastPrinted>
  <dcterms:created xsi:type="dcterms:W3CDTF">2025-06-25T22:01:00Z</dcterms:created>
  <dcterms:modified xsi:type="dcterms:W3CDTF">2025-06-25T22:34:00Z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0x01010088B4B273C61F97418E97614CA1A6BDB0</vt:lpwstr>
  </property>
  <property fmtid="{D5CDD505-2E9C-101B-9397-08002B2CF9AE}" pid="3" name="MediaServiceImageTags">
    <vt:lpwstr/>
  </property>
</Properties>
</file>