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21945" w14:textId="77777777" w:rsidR="00044A64" w:rsidRPr="00250391" w:rsidRDefault="00044A64" w:rsidP="00A5219F">
      <w:pPr>
        <w:pStyle w:val="Heading1"/>
        <w:spacing w:before="0"/>
        <w:rPr>
          <w:rFonts w:ascii="Arial" w:hAnsi="Arial" w:cs="Arial"/>
          <w:i/>
          <w:color w:val="000080"/>
          <w:szCs w:val="24"/>
        </w:rPr>
      </w:pPr>
      <w:bookmarkStart w:id="0" w:name="OLE_LINK2"/>
      <w:bookmarkStart w:id="1" w:name="OLE_LINK1"/>
      <w:r w:rsidRPr="00250391">
        <w:rPr>
          <w:rFonts w:ascii="Arial" w:hAnsi="Arial" w:cs="Arial"/>
          <w:i/>
          <w:color w:val="000080"/>
          <w:szCs w:val="24"/>
        </w:rPr>
        <w:t>Part I – Agency Profile</w:t>
      </w:r>
      <w:bookmarkEnd w:id="0"/>
      <w:bookmarkEnd w:id="1"/>
    </w:p>
    <w:p w14:paraId="12A03905" w14:textId="77777777" w:rsidR="00B37144" w:rsidRDefault="00B37144" w:rsidP="00A26074">
      <w:pPr>
        <w:rPr>
          <w:rFonts w:ascii="Arial" w:hAnsi="Arial" w:cs="Arial"/>
          <w:b/>
          <w:bCs/>
        </w:rPr>
      </w:pPr>
    </w:p>
    <w:p w14:paraId="7C73A38C" w14:textId="24A86080" w:rsidR="00DC4B2E" w:rsidRDefault="003C5B6A" w:rsidP="00A26074">
      <w:pPr>
        <w:rPr>
          <w:rFonts w:ascii="Arial" w:hAnsi="Arial" w:cs="Arial"/>
          <w:b/>
          <w:bCs/>
        </w:rPr>
      </w:pPr>
      <w:r>
        <w:rPr>
          <w:rFonts w:ascii="Arial" w:hAnsi="Arial" w:cs="Arial"/>
          <w:b/>
          <w:bCs/>
        </w:rPr>
        <w:t>Agency Overview</w:t>
      </w:r>
    </w:p>
    <w:p w14:paraId="69379A5E" w14:textId="77777777" w:rsidR="00DC4B2E" w:rsidRPr="00DC4B2E" w:rsidRDefault="00DC4B2E" w:rsidP="00A26074">
      <w:pPr>
        <w:rPr>
          <w:rFonts w:ascii="Arial" w:hAnsi="Arial" w:cs="Arial"/>
          <w:b/>
          <w:bCs/>
        </w:rPr>
      </w:pPr>
    </w:p>
    <w:p w14:paraId="46D7BF57" w14:textId="77777777" w:rsidR="00E74347" w:rsidRPr="00E74347" w:rsidRDefault="00E74347" w:rsidP="00E74347">
      <w:pPr>
        <w:jc w:val="both"/>
        <w:rPr>
          <w:rFonts w:ascii="Arial" w:hAnsi="Arial" w:cs="Arial"/>
          <w:sz w:val="20"/>
          <w:szCs w:val="20"/>
        </w:rPr>
      </w:pPr>
      <w:r w:rsidRPr="00E74347">
        <w:rPr>
          <w:rFonts w:ascii="Arial" w:hAnsi="Arial" w:cs="Arial"/>
          <w:sz w:val="20"/>
          <w:szCs w:val="20"/>
        </w:rPr>
        <w:t xml:space="preserve">The Idaho Office of Drug Policy was established by HB 106 (Idaho Code 67-821) in 2007. The Office is led by Marianne King, Administrator, and includes five additional staff members. Its purpose is to coordinate policy and programs related to the prevention of drug and substance abuse. In addition, the Office is committed to involving local communities and additional public and private stakeholders in the ongoing process of improving the effectiveness and availability of prevention work across all 44 of Idaho’s counties. </w:t>
      </w:r>
    </w:p>
    <w:p w14:paraId="30DDF642" w14:textId="77777777" w:rsidR="00A26074" w:rsidRPr="003B05D4" w:rsidRDefault="00A26074" w:rsidP="00A26074">
      <w:pPr>
        <w:jc w:val="both"/>
        <w:rPr>
          <w:rFonts w:ascii="Arial" w:hAnsi="Arial" w:cs="Arial"/>
          <w:b/>
          <w:bCs/>
          <w:szCs w:val="20"/>
          <w:highlight w:val="yellow"/>
        </w:rPr>
      </w:pPr>
    </w:p>
    <w:p w14:paraId="4E3D05A3" w14:textId="77777777" w:rsidR="00A26074" w:rsidRDefault="003C5B6A" w:rsidP="00A26074">
      <w:pPr>
        <w:jc w:val="both"/>
        <w:rPr>
          <w:rFonts w:ascii="Arial" w:hAnsi="Arial" w:cs="Arial"/>
          <w:b/>
          <w:bCs/>
        </w:rPr>
      </w:pPr>
      <w:r>
        <w:rPr>
          <w:rFonts w:ascii="Arial" w:hAnsi="Arial" w:cs="Arial"/>
          <w:b/>
          <w:bCs/>
        </w:rPr>
        <w:t>Core Functions/Idaho Code</w:t>
      </w:r>
    </w:p>
    <w:p w14:paraId="69AB2614" w14:textId="77777777" w:rsidR="00DC4B2E" w:rsidRPr="00F616F9" w:rsidRDefault="00DC4B2E" w:rsidP="00A26074">
      <w:pPr>
        <w:jc w:val="both"/>
        <w:rPr>
          <w:rFonts w:ascii="Arial" w:hAnsi="Arial" w:cs="Arial"/>
        </w:rPr>
      </w:pPr>
    </w:p>
    <w:p w14:paraId="281FAB3D" w14:textId="197D273F" w:rsidR="00E74347" w:rsidRPr="00E74347" w:rsidRDefault="00E74347" w:rsidP="00E74347">
      <w:pPr>
        <w:jc w:val="center"/>
        <w:rPr>
          <w:rFonts w:ascii="Arial" w:hAnsi="Arial" w:cs="Arial"/>
          <w:sz w:val="20"/>
          <w:szCs w:val="20"/>
        </w:rPr>
      </w:pPr>
      <w:r w:rsidRPr="00E74347">
        <w:rPr>
          <w:rFonts w:ascii="Arial" w:hAnsi="Arial" w:cs="Arial"/>
          <w:sz w:val="20"/>
          <w:szCs w:val="20"/>
        </w:rPr>
        <w:t>The Office of Drug Policy (ODP) was established by HB 106 (Idaho Code 67-821).</w:t>
      </w:r>
    </w:p>
    <w:p w14:paraId="61F8FF7A" w14:textId="77777777" w:rsidR="00E74347" w:rsidRPr="00E74347" w:rsidRDefault="00E74347" w:rsidP="00E74347">
      <w:pPr>
        <w:jc w:val="center"/>
        <w:rPr>
          <w:rFonts w:ascii="Arial" w:hAnsi="Arial" w:cs="Arial"/>
          <w:sz w:val="20"/>
          <w:szCs w:val="20"/>
        </w:rPr>
      </w:pPr>
      <w:r w:rsidRPr="00E74347">
        <w:rPr>
          <w:rFonts w:ascii="Arial" w:hAnsi="Arial" w:cs="Arial"/>
          <w:sz w:val="20"/>
          <w:szCs w:val="20"/>
        </w:rPr>
        <w:t>TITLE  67</w:t>
      </w:r>
    </w:p>
    <w:p w14:paraId="286DCDA1" w14:textId="77777777" w:rsidR="00E74347" w:rsidRPr="00E74347" w:rsidRDefault="00E74347" w:rsidP="00E74347">
      <w:pPr>
        <w:jc w:val="center"/>
        <w:rPr>
          <w:rFonts w:ascii="Arial" w:hAnsi="Arial" w:cs="Arial"/>
          <w:sz w:val="20"/>
          <w:szCs w:val="20"/>
        </w:rPr>
      </w:pPr>
      <w:r w:rsidRPr="00E74347">
        <w:rPr>
          <w:rFonts w:ascii="Arial" w:hAnsi="Arial" w:cs="Arial"/>
          <w:sz w:val="20"/>
          <w:szCs w:val="20"/>
        </w:rPr>
        <w:t>STATE GOVERNMENT AND STATE AFFAIRS</w:t>
      </w:r>
    </w:p>
    <w:p w14:paraId="177658F5" w14:textId="77777777" w:rsidR="00E74347" w:rsidRPr="00E74347" w:rsidRDefault="00E74347" w:rsidP="00E74347">
      <w:pPr>
        <w:jc w:val="center"/>
        <w:rPr>
          <w:rFonts w:ascii="Arial" w:hAnsi="Arial" w:cs="Arial"/>
          <w:sz w:val="20"/>
          <w:szCs w:val="20"/>
        </w:rPr>
      </w:pPr>
      <w:r w:rsidRPr="00E74347">
        <w:rPr>
          <w:rFonts w:ascii="Arial" w:hAnsi="Arial" w:cs="Arial"/>
          <w:sz w:val="20"/>
          <w:szCs w:val="20"/>
        </w:rPr>
        <w:t>CHAPTER 8</w:t>
      </w:r>
    </w:p>
    <w:p w14:paraId="323F5CB6" w14:textId="77777777" w:rsidR="00E74347" w:rsidRPr="00E74347" w:rsidRDefault="00E74347" w:rsidP="00E74347">
      <w:pPr>
        <w:jc w:val="center"/>
        <w:rPr>
          <w:rFonts w:ascii="Arial" w:hAnsi="Arial" w:cs="Arial"/>
          <w:sz w:val="20"/>
          <w:szCs w:val="20"/>
        </w:rPr>
      </w:pPr>
      <w:r w:rsidRPr="00E74347">
        <w:rPr>
          <w:rFonts w:ascii="Arial" w:hAnsi="Arial" w:cs="Arial"/>
          <w:sz w:val="20"/>
          <w:szCs w:val="20"/>
        </w:rPr>
        <w:t>EXECUTIVE AND ADMINISTRATIVE OFFICERS</w:t>
      </w:r>
    </w:p>
    <w:p w14:paraId="43D48450" w14:textId="77777777" w:rsidR="00E74347" w:rsidRPr="00E74347" w:rsidRDefault="00E74347" w:rsidP="00E74347">
      <w:pPr>
        <w:jc w:val="center"/>
        <w:rPr>
          <w:rFonts w:ascii="Arial" w:hAnsi="Arial" w:cs="Arial"/>
          <w:sz w:val="20"/>
          <w:szCs w:val="20"/>
        </w:rPr>
      </w:pPr>
      <w:r w:rsidRPr="00E74347">
        <w:rPr>
          <w:rFonts w:ascii="Arial" w:hAnsi="Arial" w:cs="Arial"/>
          <w:sz w:val="20"/>
          <w:szCs w:val="20"/>
        </w:rPr>
        <w:t>GOVERNOR AND LIEUTENANT-GOVERNOR</w:t>
      </w:r>
    </w:p>
    <w:p w14:paraId="4AE4D4DE" w14:textId="77777777" w:rsidR="00E74347" w:rsidRPr="00E74347" w:rsidRDefault="00E74347" w:rsidP="00E74347">
      <w:pPr>
        <w:jc w:val="both"/>
        <w:rPr>
          <w:rFonts w:ascii="Arial" w:hAnsi="Arial" w:cs="Arial"/>
          <w:sz w:val="20"/>
          <w:szCs w:val="20"/>
        </w:rPr>
      </w:pPr>
      <w:r w:rsidRPr="00E74347">
        <w:rPr>
          <w:rFonts w:ascii="Arial" w:hAnsi="Arial" w:cs="Arial"/>
          <w:sz w:val="20"/>
          <w:szCs w:val="20"/>
        </w:rPr>
        <w:t xml:space="preserve"> </w:t>
      </w:r>
    </w:p>
    <w:p w14:paraId="47C72064" w14:textId="77777777" w:rsidR="00E74347" w:rsidRDefault="00E74347" w:rsidP="00E74347">
      <w:pPr>
        <w:jc w:val="both"/>
        <w:rPr>
          <w:rFonts w:ascii="Arial" w:hAnsi="Arial" w:cs="Arial"/>
          <w:sz w:val="20"/>
          <w:szCs w:val="20"/>
        </w:rPr>
      </w:pPr>
      <w:r w:rsidRPr="00E74347">
        <w:rPr>
          <w:rFonts w:ascii="Arial" w:hAnsi="Arial" w:cs="Arial"/>
          <w:sz w:val="20"/>
          <w:szCs w:val="20"/>
        </w:rPr>
        <w:t>67-821. COORDINATION OF POLICY AND PROGRAMS RELATED TO DRUG AND SUBSTANCE ABUSE. (1) There is hereby established in the office of the governor the "Office of Drug Policy." The administrator of the office of drug policy shall be the official in the state designated to oversee and execute the coordination of all drug and substance abuse programs within the state of Idaho. The administrator shall be appointed by and shall serve at the pleasure of the governor and shall be subject to confirmation by the state senate. (2)  The office of drug policy shall:</w:t>
      </w:r>
    </w:p>
    <w:p w14:paraId="204F1E9A" w14:textId="77777777" w:rsidR="00995AE4" w:rsidRPr="00E74347" w:rsidRDefault="00995AE4" w:rsidP="00E74347">
      <w:pPr>
        <w:jc w:val="both"/>
        <w:rPr>
          <w:rFonts w:ascii="Arial" w:hAnsi="Arial" w:cs="Arial"/>
          <w:sz w:val="20"/>
          <w:szCs w:val="20"/>
        </w:rPr>
      </w:pPr>
    </w:p>
    <w:p w14:paraId="728E5B83" w14:textId="6E5951B9" w:rsidR="00995AE4" w:rsidRDefault="00E74347" w:rsidP="00995AE4">
      <w:pPr>
        <w:numPr>
          <w:ilvl w:val="0"/>
          <w:numId w:val="24"/>
        </w:numPr>
        <w:jc w:val="both"/>
        <w:rPr>
          <w:rFonts w:ascii="Arial" w:hAnsi="Arial" w:cs="Arial"/>
          <w:sz w:val="20"/>
          <w:szCs w:val="20"/>
        </w:rPr>
      </w:pPr>
      <w:r w:rsidRPr="00E74347">
        <w:rPr>
          <w:rFonts w:ascii="Arial" w:hAnsi="Arial" w:cs="Arial"/>
          <w:sz w:val="20"/>
          <w:szCs w:val="20"/>
        </w:rPr>
        <w:t>Cooperate and consult with counties, cities and local law enforcement on programs, policies and issues in combating Idaho's illegal drug and substance abuse problem.</w:t>
      </w:r>
    </w:p>
    <w:p w14:paraId="08487C19" w14:textId="77777777" w:rsidR="00995AE4" w:rsidRPr="00995AE4" w:rsidRDefault="00995AE4" w:rsidP="00995AE4">
      <w:pPr>
        <w:ind w:left="720"/>
        <w:jc w:val="both"/>
        <w:rPr>
          <w:rFonts w:ascii="Arial" w:hAnsi="Arial" w:cs="Arial"/>
          <w:sz w:val="20"/>
          <w:szCs w:val="20"/>
        </w:rPr>
      </w:pPr>
    </w:p>
    <w:p w14:paraId="52345514" w14:textId="77777777" w:rsidR="00E74347" w:rsidRDefault="00E74347" w:rsidP="00E74347">
      <w:pPr>
        <w:numPr>
          <w:ilvl w:val="0"/>
          <w:numId w:val="24"/>
        </w:numPr>
        <w:jc w:val="both"/>
        <w:rPr>
          <w:rFonts w:ascii="Arial" w:hAnsi="Arial" w:cs="Arial"/>
          <w:sz w:val="20"/>
          <w:szCs w:val="20"/>
        </w:rPr>
      </w:pPr>
      <w:r w:rsidRPr="00E74347">
        <w:rPr>
          <w:rFonts w:ascii="Arial" w:hAnsi="Arial" w:cs="Arial"/>
          <w:sz w:val="20"/>
          <w:szCs w:val="20"/>
        </w:rPr>
        <w:t>Serve as a repository of agreements, contracts, and plans concerning programs for combating illegal drug and substance abuse from community organizations and other relevant local, state, and federal agencies and shall facilitate the exchange of this information and data with relevant interstate and intrastate entities.</w:t>
      </w:r>
    </w:p>
    <w:p w14:paraId="6C236719" w14:textId="77777777" w:rsidR="00995AE4" w:rsidRPr="00E74347" w:rsidRDefault="00995AE4" w:rsidP="00995AE4">
      <w:pPr>
        <w:jc w:val="both"/>
        <w:rPr>
          <w:rFonts w:ascii="Arial" w:hAnsi="Arial" w:cs="Arial"/>
          <w:sz w:val="20"/>
          <w:szCs w:val="20"/>
        </w:rPr>
      </w:pPr>
    </w:p>
    <w:p w14:paraId="3CB0CA5D" w14:textId="77777777" w:rsidR="00E74347" w:rsidRDefault="00E74347" w:rsidP="00E74347">
      <w:pPr>
        <w:numPr>
          <w:ilvl w:val="0"/>
          <w:numId w:val="24"/>
        </w:numPr>
        <w:jc w:val="both"/>
        <w:rPr>
          <w:rFonts w:ascii="Arial" w:hAnsi="Arial" w:cs="Arial"/>
          <w:sz w:val="20"/>
          <w:szCs w:val="20"/>
        </w:rPr>
      </w:pPr>
      <w:r w:rsidRPr="00E74347">
        <w:rPr>
          <w:rFonts w:ascii="Arial" w:hAnsi="Arial" w:cs="Arial"/>
          <w:sz w:val="20"/>
          <w:szCs w:val="20"/>
        </w:rPr>
        <w:t>Provide input and comment on community, tribal and federal plans, agreements, and policies relating to illegal drug and substance abuse; and</w:t>
      </w:r>
    </w:p>
    <w:p w14:paraId="22AD9566" w14:textId="77777777" w:rsidR="00995AE4" w:rsidRPr="00E74347" w:rsidRDefault="00995AE4" w:rsidP="00995AE4">
      <w:pPr>
        <w:jc w:val="both"/>
        <w:rPr>
          <w:rFonts w:ascii="Arial" w:hAnsi="Arial" w:cs="Arial"/>
          <w:sz w:val="20"/>
          <w:szCs w:val="20"/>
        </w:rPr>
      </w:pPr>
    </w:p>
    <w:p w14:paraId="6550336A" w14:textId="77777777" w:rsidR="00E74347" w:rsidRPr="00E74347" w:rsidRDefault="00E74347" w:rsidP="00E74347">
      <w:pPr>
        <w:numPr>
          <w:ilvl w:val="0"/>
          <w:numId w:val="24"/>
        </w:numPr>
        <w:jc w:val="both"/>
        <w:rPr>
          <w:rFonts w:ascii="Arial" w:hAnsi="Arial" w:cs="Arial"/>
          <w:sz w:val="20"/>
          <w:szCs w:val="20"/>
        </w:rPr>
      </w:pPr>
      <w:r w:rsidRPr="00E74347">
        <w:rPr>
          <w:rFonts w:ascii="Arial" w:hAnsi="Arial" w:cs="Arial"/>
          <w:sz w:val="20"/>
          <w:szCs w:val="20"/>
        </w:rPr>
        <w:t>Coordinate public and private entities to develop, create and promote statewide campaigns to reduce or eliminate substance abuse.</w:t>
      </w:r>
    </w:p>
    <w:p w14:paraId="7D30CA44" w14:textId="77777777" w:rsidR="008265BC" w:rsidRDefault="008265BC" w:rsidP="00A26074">
      <w:pPr>
        <w:jc w:val="both"/>
        <w:rPr>
          <w:rFonts w:ascii="Arial" w:hAnsi="Arial" w:cs="Arial"/>
          <w:b/>
          <w:bCs/>
        </w:rPr>
      </w:pPr>
    </w:p>
    <w:p w14:paraId="071F46ED" w14:textId="77777777" w:rsidR="00DC4B2E" w:rsidRDefault="00DC4B2E" w:rsidP="007D02E3">
      <w:pPr>
        <w:jc w:val="both"/>
        <w:rPr>
          <w:rFonts w:ascii="Arial" w:hAnsi="Arial" w:cs="Arial"/>
          <w:b/>
          <w:bCs/>
        </w:rPr>
      </w:pPr>
    </w:p>
    <w:p w14:paraId="0A8B9B68" w14:textId="77777777" w:rsidR="00DC4B2E" w:rsidRDefault="00DC4B2E" w:rsidP="007D02E3">
      <w:pPr>
        <w:jc w:val="both"/>
        <w:rPr>
          <w:rFonts w:ascii="Arial" w:hAnsi="Arial" w:cs="Arial"/>
          <w:b/>
          <w:bCs/>
        </w:rPr>
      </w:pPr>
    </w:p>
    <w:p w14:paraId="2772544D" w14:textId="77777777" w:rsidR="00DC4B2E" w:rsidRDefault="00DC4B2E" w:rsidP="007D02E3">
      <w:pPr>
        <w:jc w:val="both"/>
        <w:rPr>
          <w:rFonts w:ascii="Arial" w:hAnsi="Arial" w:cs="Arial"/>
          <w:b/>
          <w:bCs/>
        </w:rPr>
      </w:pPr>
    </w:p>
    <w:p w14:paraId="1E202CA2" w14:textId="77777777" w:rsidR="00DC4B2E" w:rsidRDefault="00DC4B2E" w:rsidP="007D02E3">
      <w:pPr>
        <w:jc w:val="both"/>
        <w:rPr>
          <w:rFonts w:ascii="Arial" w:hAnsi="Arial" w:cs="Arial"/>
          <w:b/>
          <w:bCs/>
        </w:rPr>
      </w:pPr>
    </w:p>
    <w:p w14:paraId="34119BC5" w14:textId="77777777" w:rsidR="00DC4B2E" w:rsidRDefault="00DC4B2E" w:rsidP="007D02E3">
      <w:pPr>
        <w:jc w:val="both"/>
        <w:rPr>
          <w:rFonts w:ascii="Arial" w:hAnsi="Arial" w:cs="Arial"/>
          <w:b/>
          <w:bCs/>
        </w:rPr>
      </w:pPr>
    </w:p>
    <w:p w14:paraId="48726DBF" w14:textId="77777777" w:rsidR="00DC4B2E" w:rsidRDefault="00DC4B2E" w:rsidP="007D02E3">
      <w:pPr>
        <w:jc w:val="both"/>
        <w:rPr>
          <w:rFonts w:ascii="Arial" w:hAnsi="Arial" w:cs="Arial"/>
          <w:b/>
          <w:bCs/>
        </w:rPr>
      </w:pPr>
    </w:p>
    <w:p w14:paraId="536F6A15" w14:textId="77777777" w:rsidR="00DC4B2E" w:rsidRDefault="00DC4B2E" w:rsidP="007D02E3">
      <w:pPr>
        <w:jc w:val="both"/>
        <w:rPr>
          <w:rFonts w:ascii="Arial" w:hAnsi="Arial" w:cs="Arial"/>
          <w:b/>
          <w:bCs/>
        </w:rPr>
      </w:pPr>
    </w:p>
    <w:p w14:paraId="2AA9DD13" w14:textId="77777777" w:rsidR="00DC4B2E" w:rsidRDefault="00DC4B2E" w:rsidP="007D02E3">
      <w:pPr>
        <w:jc w:val="both"/>
        <w:rPr>
          <w:rFonts w:ascii="Arial" w:hAnsi="Arial" w:cs="Arial"/>
          <w:b/>
          <w:bCs/>
        </w:rPr>
      </w:pPr>
    </w:p>
    <w:p w14:paraId="0EFE77A1" w14:textId="77777777" w:rsidR="00DC4B2E" w:rsidRDefault="00DC4B2E" w:rsidP="007D02E3">
      <w:pPr>
        <w:jc w:val="both"/>
        <w:rPr>
          <w:rFonts w:ascii="Arial" w:hAnsi="Arial" w:cs="Arial"/>
          <w:b/>
          <w:bCs/>
        </w:rPr>
      </w:pPr>
    </w:p>
    <w:p w14:paraId="5D17998E" w14:textId="77777777" w:rsidR="00DC4B2E" w:rsidRDefault="00DC4B2E" w:rsidP="007D02E3">
      <w:pPr>
        <w:jc w:val="both"/>
        <w:rPr>
          <w:rFonts w:ascii="Arial" w:hAnsi="Arial" w:cs="Arial"/>
          <w:b/>
          <w:bCs/>
        </w:rPr>
      </w:pPr>
    </w:p>
    <w:p w14:paraId="32D6BA68" w14:textId="77777777" w:rsidR="00DC4B2E" w:rsidRDefault="00DC4B2E" w:rsidP="007D02E3">
      <w:pPr>
        <w:jc w:val="both"/>
        <w:rPr>
          <w:rFonts w:ascii="Arial" w:hAnsi="Arial" w:cs="Arial"/>
          <w:b/>
          <w:bCs/>
        </w:rPr>
      </w:pPr>
    </w:p>
    <w:p w14:paraId="4796B3F7" w14:textId="77777777" w:rsidR="00E74347" w:rsidRDefault="00E74347" w:rsidP="007D02E3">
      <w:pPr>
        <w:jc w:val="both"/>
        <w:rPr>
          <w:rFonts w:ascii="Arial" w:hAnsi="Arial" w:cs="Arial"/>
          <w:b/>
          <w:bCs/>
        </w:rPr>
      </w:pPr>
    </w:p>
    <w:p w14:paraId="53CC80EC" w14:textId="5378425C" w:rsidR="007D02E3" w:rsidRDefault="007D02E3" w:rsidP="007D02E3">
      <w:pPr>
        <w:jc w:val="both"/>
        <w:rPr>
          <w:rFonts w:ascii="Arial" w:hAnsi="Arial" w:cs="Arial"/>
          <w:b/>
          <w:bCs/>
        </w:rPr>
      </w:pPr>
      <w:r>
        <w:rPr>
          <w:rFonts w:ascii="Arial" w:hAnsi="Arial" w:cs="Arial"/>
          <w:b/>
          <w:bCs/>
        </w:rPr>
        <w:lastRenderedPageBreak/>
        <w:t>Revenue and Expenditures</w:t>
      </w:r>
    </w:p>
    <w:p w14:paraId="4D76FE10" w14:textId="77777777" w:rsidR="00DC4B2E" w:rsidRDefault="00DC4B2E" w:rsidP="007D02E3">
      <w:pPr>
        <w:jc w:val="both"/>
        <w:rPr>
          <w:rFonts w:ascii="Arial" w:hAnsi="Arial" w:cs="Arial"/>
          <w:b/>
          <w:bCs/>
        </w:rPr>
      </w:pPr>
    </w:p>
    <w:tbl>
      <w:tblPr>
        <w:tblW w:w="10080" w:type="dxa"/>
        <w:tblCellMar>
          <w:left w:w="0" w:type="dxa"/>
          <w:right w:w="0" w:type="dxa"/>
        </w:tblCellMar>
        <w:tblLook w:val="04A0" w:firstRow="1" w:lastRow="0" w:firstColumn="1" w:lastColumn="0" w:noHBand="0" w:noVBand="1"/>
      </w:tblPr>
      <w:tblGrid>
        <w:gridCol w:w="2745"/>
        <w:gridCol w:w="1625"/>
        <w:gridCol w:w="1757"/>
        <w:gridCol w:w="1889"/>
        <w:gridCol w:w="2064"/>
      </w:tblGrid>
      <w:tr w:rsidR="00C01F53" w14:paraId="427FDC9F" w14:textId="77777777" w:rsidTr="00326F1A">
        <w:trPr>
          <w:trHeight w:val="300"/>
        </w:trPr>
        <w:tc>
          <w:tcPr>
            <w:tcW w:w="2745" w:type="dxa"/>
            <w:tcBorders>
              <w:top w:val="single" w:sz="8" w:space="0" w:color="auto"/>
              <w:left w:val="single" w:sz="8" w:space="0" w:color="auto"/>
              <w:bottom w:val="nil"/>
              <w:right w:val="nil"/>
            </w:tcBorders>
            <w:shd w:val="clear" w:color="auto" w:fill="000080"/>
            <w:tcMar>
              <w:top w:w="0" w:type="dxa"/>
              <w:left w:w="108" w:type="dxa"/>
              <w:bottom w:w="0" w:type="dxa"/>
              <w:right w:w="108" w:type="dxa"/>
            </w:tcMar>
            <w:vAlign w:val="center"/>
            <w:hideMark/>
          </w:tcPr>
          <w:p w14:paraId="46925063" w14:textId="77777777" w:rsidR="00C01F53" w:rsidRDefault="00C01F53" w:rsidP="00C01F53">
            <w:pPr>
              <w:rPr>
                <w:rFonts w:ascii="Arial" w:hAnsi="Arial" w:cs="Arial"/>
                <w:b/>
                <w:bCs/>
                <w:color w:val="FFFFFF"/>
                <w:sz w:val="20"/>
                <w:szCs w:val="20"/>
              </w:rPr>
            </w:pPr>
            <w:r>
              <w:rPr>
                <w:rFonts w:ascii="Arial" w:hAnsi="Arial" w:cs="Arial"/>
                <w:b/>
                <w:bCs/>
                <w:color w:val="FFFFFF"/>
                <w:sz w:val="20"/>
                <w:szCs w:val="20"/>
              </w:rPr>
              <w:t>Revenue</w:t>
            </w:r>
          </w:p>
        </w:tc>
        <w:tc>
          <w:tcPr>
            <w:tcW w:w="1625" w:type="dxa"/>
            <w:tcBorders>
              <w:top w:val="single" w:sz="8" w:space="0" w:color="auto"/>
              <w:left w:val="nil"/>
              <w:bottom w:val="nil"/>
              <w:right w:val="nil"/>
            </w:tcBorders>
            <w:shd w:val="clear" w:color="auto" w:fill="000080"/>
            <w:tcMar>
              <w:top w:w="0" w:type="dxa"/>
              <w:left w:w="108" w:type="dxa"/>
              <w:bottom w:w="0" w:type="dxa"/>
              <w:right w:w="108" w:type="dxa"/>
            </w:tcMar>
            <w:vAlign w:val="center"/>
            <w:hideMark/>
          </w:tcPr>
          <w:p w14:paraId="7622BBE8" w14:textId="6010BC81" w:rsidR="00C01F53" w:rsidRDefault="00C01F53" w:rsidP="00C01F53">
            <w:pPr>
              <w:jc w:val="right"/>
              <w:rPr>
                <w:rFonts w:ascii="Arial" w:hAnsi="Arial" w:cs="Arial"/>
                <w:b/>
                <w:bCs/>
                <w:color w:val="FFFFFF"/>
                <w:sz w:val="20"/>
                <w:szCs w:val="20"/>
              </w:rPr>
            </w:pPr>
            <w:r>
              <w:rPr>
                <w:rFonts w:ascii="Arial" w:hAnsi="Arial" w:cs="Arial"/>
                <w:b/>
                <w:bCs/>
                <w:color w:val="FFFFFF"/>
                <w:sz w:val="20"/>
                <w:szCs w:val="20"/>
              </w:rPr>
              <w:t>FY 2022</w:t>
            </w:r>
          </w:p>
        </w:tc>
        <w:tc>
          <w:tcPr>
            <w:tcW w:w="1757" w:type="dxa"/>
            <w:tcBorders>
              <w:top w:val="single" w:sz="8" w:space="0" w:color="auto"/>
              <w:left w:val="nil"/>
              <w:right w:val="nil"/>
            </w:tcBorders>
            <w:shd w:val="clear" w:color="auto" w:fill="000080"/>
            <w:tcMar>
              <w:top w:w="0" w:type="dxa"/>
              <w:left w:w="108" w:type="dxa"/>
              <w:bottom w:w="0" w:type="dxa"/>
              <w:right w:w="108" w:type="dxa"/>
            </w:tcMar>
            <w:vAlign w:val="center"/>
            <w:hideMark/>
          </w:tcPr>
          <w:p w14:paraId="2D8F9A3C" w14:textId="487F5E5B" w:rsidR="00C01F53" w:rsidRDefault="00C01F53" w:rsidP="00C01F53">
            <w:pPr>
              <w:jc w:val="right"/>
              <w:rPr>
                <w:rFonts w:ascii="Arial" w:hAnsi="Arial" w:cs="Arial"/>
                <w:b/>
                <w:bCs/>
                <w:color w:val="FFFFFF"/>
                <w:sz w:val="20"/>
                <w:szCs w:val="20"/>
              </w:rPr>
            </w:pPr>
            <w:r>
              <w:rPr>
                <w:rFonts w:ascii="Arial" w:hAnsi="Arial" w:cs="Arial"/>
                <w:b/>
                <w:bCs/>
                <w:color w:val="FFFFFF"/>
                <w:sz w:val="20"/>
                <w:szCs w:val="20"/>
              </w:rPr>
              <w:t>FY 2023</w:t>
            </w:r>
          </w:p>
        </w:tc>
        <w:tc>
          <w:tcPr>
            <w:tcW w:w="1889" w:type="dxa"/>
            <w:tcBorders>
              <w:top w:val="single" w:sz="8" w:space="0" w:color="auto"/>
              <w:left w:val="nil"/>
              <w:right w:val="single" w:sz="8" w:space="0" w:color="auto"/>
            </w:tcBorders>
            <w:shd w:val="clear" w:color="auto" w:fill="000080"/>
            <w:tcMar>
              <w:top w:w="0" w:type="dxa"/>
              <w:left w:w="108" w:type="dxa"/>
              <w:bottom w:w="0" w:type="dxa"/>
              <w:right w:w="108" w:type="dxa"/>
            </w:tcMar>
            <w:vAlign w:val="center"/>
            <w:hideMark/>
          </w:tcPr>
          <w:p w14:paraId="791CB973" w14:textId="78F91F16" w:rsidR="00C01F53" w:rsidRDefault="00C01F53" w:rsidP="00C01F53">
            <w:pPr>
              <w:jc w:val="right"/>
              <w:rPr>
                <w:rFonts w:ascii="Arial" w:hAnsi="Arial" w:cs="Arial"/>
                <w:b/>
                <w:bCs/>
                <w:color w:val="FFFFFF"/>
                <w:sz w:val="20"/>
                <w:szCs w:val="20"/>
              </w:rPr>
            </w:pPr>
            <w:r>
              <w:rPr>
                <w:rFonts w:ascii="Arial" w:hAnsi="Arial" w:cs="Arial"/>
                <w:b/>
                <w:bCs/>
                <w:color w:val="FFFFFF"/>
                <w:sz w:val="20"/>
                <w:szCs w:val="20"/>
              </w:rPr>
              <w:t>FY 2024</w:t>
            </w:r>
          </w:p>
        </w:tc>
        <w:tc>
          <w:tcPr>
            <w:tcW w:w="2064" w:type="dxa"/>
            <w:tcBorders>
              <w:top w:val="single" w:sz="8" w:space="0" w:color="auto"/>
              <w:left w:val="nil"/>
              <w:right w:val="single" w:sz="8" w:space="0" w:color="auto"/>
            </w:tcBorders>
            <w:shd w:val="clear" w:color="auto" w:fill="000080"/>
            <w:tcMar>
              <w:top w:w="0" w:type="dxa"/>
              <w:left w:w="108" w:type="dxa"/>
              <w:bottom w:w="0" w:type="dxa"/>
              <w:right w:w="108" w:type="dxa"/>
            </w:tcMar>
            <w:vAlign w:val="center"/>
            <w:hideMark/>
          </w:tcPr>
          <w:p w14:paraId="5E035FD2" w14:textId="612F20A7" w:rsidR="00C01F53" w:rsidRDefault="00C01F53" w:rsidP="00C01F53">
            <w:pPr>
              <w:jc w:val="right"/>
              <w:rPr>
                <w:rFonts w:ascii="Arial" w:hAnsi="Arial" w:cs="Arial"/>
                <w:b/>
                <w:bCs/>
                <w:color w:val="FFFFFF"/>
                <w:sz w:val="20"/>
                <w:szCs w:val="20"/>
              </w:rPr>
            </w:pPr>
            <w:r>
              <w:rPr>
                <w:rFonts w:ascii="Arial" w:hAnsi="Arial" w:cs="Arial"/>
                <w:b/>
                <w:bCs/>
                <w:color w:val="FFFFFF"/>
                <w:sz w:val="20"/>
                <w:szCs w:val="20"/>
              </w:rPr>
              <w:t>FY 2025</w:t>
            </w:r>
          </w:p>
        </w:tc>
      </w:tr>
      <w:tr w:rsidR="00C01F53" w14:paraId="21B9C361" w14:textId="77777777" w:rsidTr="00326F1A">
        <w:trPr>
          <w:trHeight w:val="300"/>
        </w:trPr>
        <w:tc>
          <w:tcPr>
            <w:tcW w:w="2745" w:type="dxa"/>
            <w:tcBorders>
              <w:top w:val="nil"/>
              <w:left w:val="single" w:sz="8" w:space="0" w:color="auto"/>
              <w:bottom w:val="nil"/>
              <w:right w:val="nil"/>
            </w:tcBorders>
            <w:tcMar>
              <w:top w:w="0" w:type="dxa"/>
              <w:left w:w="108" w:type="dxa"/>
              <w:bottom w:w="0" w:type="dxa"/>
              <w:right w:w="108" w:type="dxa"/>
            </w:tcMar>
            <w:vAlign w:val="center"/>
            <w:hideMark/>
          </w:tcPr>
          <w:p w14:paraId="3E3F97BA" w14:textId="77777777" w:rsidR="00C01F53" w:rsidRDefault="00C01F53" w:rsidP="00C01F53">
            <w:pPr>
              <w:rPr>
                <w:rFonts w:ascii="Arial" w:hAnsi="Arial" w:cs="Arial"/>
                <w:color w:val="000000"/>
                <w:sz w:val="20"/>
                <w:szCs w:val="20"/>
              </w:rPr>
            </w:pPr>
            <w:r>
              <w:rPr>
                <w:rFonts w:ascii="Arial" w:hAnsi="Arial" w:cs="Arial"/>
                <w:color w:val="000000"/>
                <w:sz w:val="20"/>
                <w:szCs w:val="20"/>
              </w:rPr>
              <w:t>General Fund</w:t>
            </w:r>
          </w:p>
        </w:tc>
        <w:tc>
          <w:tcPr>
            <w:tcW w:w="1625" w:type="dxa"/>
            <w:tcBorders>
              <w:top w:val="nil"/>
              <w:left w:val="nil"/>
              <w:bottom w:val="nil"/>
            </w:tcBorders>
            <w:tcMar>
              <w:top w:w="0" w:type="dxa"/>
              <w:left w:w="108" w:type="dxa"/>
              <w:bottom w:w="0" w:type="dxa"/>
              <w:right w:w="108" w:type="dxa"/>
            </w:tcMar>
            <w:vAlign w:val="center"/>
          </w:tcPr>
          <w:p w14:paraId="28AC9DDA" w14:textId="22E2348C" w:rsidR="00C01F53" w:rsidRDefault="00C01F53" w:rsidP="00C01F53">
            <w:pPr>
              <w:jc w:val="right"/>
              <w:rPr>
                <w:rFonts w:ascii="Arial" w:hAnsi="Arial" w:cs="Arial"/>
                <w:color w:val="000000"/>
                <w:sz w:val="20"/>
                <w:szCs w:val="20"/>
              </w:rPr>
            </w:pPr>
            <w:r>
              <w:rPr>
                <w:rFonts w:ascii="Arial" w:hAnsi="Arial" w:cs="Arial"/>
                <w:color w:val="000000"/>
                <w:sz w:val="20"/>
                <w:szCs w:val="20"/>
              </w:rPr>
              <w:t>$260,300</w:t>
            </w:r>
          </w:p>
        </w:tc>
        <w:tc>
          <w:tcPr>
            <w:tcW w:w="1757" w:type="dxa"/>
            <w:tcBorders>
              <w:top w:val="nil"/>
              <w:bottom w:val="nil"/>
            </w:tcBorders>
            <w:tcMar>
              <w:top w:w="0" w:type="dxa"/>
              <w:left w:w="108" w:type="dxa"/>
              <w:bottom w:w="0" w:type="dxa"/>
              <w:right w:w="108" w:type="dxa"/>
            </w:tcMar>
            <w:vAlign w:val="center"/>
          </w:tcPr>
          <w:p w14:paraId="01308187" w14:textId="5B069315" w:rsidR="00C01F53" w:rsidRDefault="00C01F53" w:rsidP="00C01F53">
            <w:pPr>
              <w:jc w:val="right"/>
              <w:rPr>
                <w:rFonts w:ascii="Arial" w:hAnsi="Arial" w:cs="Arial"/>
                <w:color w:val="000000"/>
                <w:sz w:val="20"/>
                <w:szCs w:val="20"/>
              </w:rPr>
            </w:pPr>
            <w:r>
              <w:rPr>
                <w:rFonts w:ascii="Arial" w:hAnsi="Arial" w:cs="Arial"/>
                <w:color w:val="000000"/>
                <w:sz w:val="20"/>
                <w:szCs w:val="20"/>
              </w:rPr>
              <w:t>$323,500</w:t>
            </w:r>
          </w:p>
        </w:tc>
        <w:tc>
          <w:tcPr>
            <w:tcW w:w="1889" w:type="dxa"/>
            <w:tcBorders>
              <w:top w:val="nil"/>
              <w:left w:val="nil"/>
              <w:bottom w:val="nil"/>
            </w:tcBorders>
            <w:tcMar>
              <w:top w:w="0" w:type="dxa"/>
              <w:left w:w="108" w:type="dxa"/>
              <w:bottom w:w="0" w:type="dxa"/>
              <w:right w:w="108" w:type="dxa"/>
            </w:tcMar>
            <w:vAlign w:val="center"/>
          </w:tcPr>
          <w:p w14:paraId="3CE5B68A" w14:textId="26457D9F" w:rsidR="00C01F53" w:rsidRDefault="00C01F53" w:rsidP="00C01F53">
            <w:pPr>
              <w:jc w:val="right"/>
              <w:rPr>
                <w:rFonts w:ascii="Arial" w:hAnsi="Arial" w:cs="Arial"/>
                <w:color w:val="000000"/>
                <w:sz w:val="20"/>
                <w:szCs w:val="20"/>
              </w:rPr>
            </w:pPr>
            <w:r>
              <w:rPr>
                <w:rFonts w:ascii="Arial" w:hAnsi="Arial" w:cs="Arial"/>
                <w:color w:val="000000"/>
                <w:sz w:val="20"/>
                <w:szCs w:val="20"/>
              </w:rPr>
              <w:t>$6,800</w:t>
            </w:r>
          </w:p>
        </w:tc>
        <w:tc>
          <w:tcPr>
            <w:tcW w:w="2064" w:type="dxa"/>
            <w:tcBorders>
              <w:top w:val="nil"/>
              <w:bottom w:val="nil"/>
              <w:right w:val="single" w:sz="4" w:space="0" w:color="auto"/>
            </w:tcBorders>
            <w:tcMar>
              <w:top w:w="0" w:type="dxa"/>
              <w:left w:w="108" w:type="dxa"/>
              <w:bottom w:w="0" w:type="dxa"/>
              <w:right w:w="108" w:type="dxa"/>
            </w:tcMar>
            <w:vAlign w:val="center"/>
          </w:tcPr>
          <w:p w14:paraId="5398A333" w14:textId="15F9BB19" w:rsidR="00C01F53" w:rsidRDefault="00C01F53" w:rsidP="00C01F53">
            <w:pPr>
              <w:jc w:val="right"/>
              <w:rPr>
                <w:rFonts w:ascii="Arial" w:hAnsi="Arial" w:cs="Arial"/>
                <w:color w:val="000000"/>
                <w:sz w:val="20"/>
                <w:szCs w:val="20"/>
              </w:rPr>
            </w:pPr>
          </w:p>
        </w:tc>
      </w:tr>
      <w:tr w:rsidR="00C01F53" w14:paraId="64507B4F" w14:textId="77777777" w:rsidTr="00326F1A">
        <w:trPr>
          <w:trHeight w:val="300"/>
        </w:trPr>
        <w:tc>
          <w:tcPr>
            <w:tcW w:w="2745" w:type="dxa"/>
            <w:tcBorders>
              <w:top w:val="nil"/>
              <w:left w:val="single" w:sz="8" w:space="0" w:color="auto"/>
              <w:bottom w:val="nil"/>
              <w:right w:val="nil"/>
            </w:tcBorders>
            <w:tcMar>
              <w:top w:w="0" w:type="dxa"/>
              <w:left w:w="108" w:type="dxa"/>
              <w:bottom w:w="0" w:type="dxa"/>
              <w:right w:w="108" w:type="dxa"/>
            </w:tcMar>
            <w:vAlign w:val="center"/>
            <w:hideMark/>
          </w:tcPr>
          <w:p w14:paraId="6E8930A2" w14:textId="77777777" w:rsidR="00C01F53" w:rsidRDefault="00C01F53" w:rsidP="00C01F53">
            <w:pPr>
              <w:rPr>
                <w:rFonts w:ascii="Arial" w:hAnsi="Arial" w:cs="Arial"/>
                <w:color w:val="000000"/>
                <w:sz w:val="20"/>
                <w:szCs w:val="20"/>
              </w:rPr>
            </w:pPr>
            <w:r>
              <w:rPr>
                <w:rFonts w:ascii="Arial" w:hAnsi="Arial" w:cs="Arial"/>
                <w:color w:val="000000"/>
                <w:sz w:val="20"/>
                <w:szCs w:val="20"/>
              </w:rPr>
              <w:t>Dedicated</w:t>
            </w:r>
          </w:p>
        </w:tc>
        <w:tc>
          <w:tcPr>
            <w:tcW w:w="1625" w:type="dxa"/>
            <w:tcBorders>
              <w:top w:val="nil"/>
              <w:left w:val="nil"/>
              <w:bottom w:val="nil"/>
            </w:tcBorders>
            <w:tcMar>
              <w:top w:w="0" w:type="dxa"/>
              <w:left w:w="108" w:type="dxa"/>
              <w:bottom w:w="0" w:type="dxa"/>
              <w:right w:w="108" w:type="dxa"/>
            </w:tcMar>
            <w:vAlign w:val="center"/>
          </w:tcPr>
          <w:p w14:paraId="201BB33C" w14:textId="057E6950" w:rsidR="00C01F53" w:rsidRDefault="00C01F53" w:rsidP="00C01F53">
            <w:pPr>
              <w:jc w:val="right"/>
              <w:rPr>
                <w:rFonts w:ascii="Arial" w:hAnsi="Arial" w:cs="Arial"/>
                <w:color w:val="000000"/>
                <w:sz w:val="20"/>
                <w:szCs w:val="20"/>
              </w:rPr>
            </w:pPr>
            <w:r>
              <w:rPr>
                <w:rFonts w:ascii="Arial" w:hAnsi="Arial" w:cs="Arial"/>
                <w:color w:val="000000"/>
                <w:sz w:val="20"/>
                <w:szCs w:val="20"/>
              </w:rPr>
              <w:t>$0</w:t>
            </w:r>
          </w:p>
        </w:tc>
        <w:tc>
          <w:tcPr>
            <w:tcW w:w="1757" w:type="dxa"/>
            <w:tcBorders>
              <w:top w:val="nil"/>
              <w:bottom w:val="nil"/>
            </w:tcBorders>
            <w:tcMar>
              <w:top w:w="0" w:type="dxa"/>
              <w:left w:w="108" w:type="dxa"/>
              <w:bottom w:w="0" w:type="dxa"/>
              <w:right w:w="108" w:type="dxa"/>
            </w:tcMar>
            <w:vAlign w:val="center"/>
          </w:tcPr>
          <w:p w14:paraId="61B7CC5A" w14:textId="5D9ACA99" w:rsidR="00C01F53" w:rsidRDefault="00C01F53" w:rsidP="00C01F53">
            <w:pPr>
              <w:jc w:val="right"/>
              <w:rPr>
                <w:rFonts w:ascii="Arial" w:hAnsi="Arial" w:cs="Arial"/>
                <w:color w:val="000000"/>
                <w:sz w:val="20"/>
                <w:szCs w:val="20"/>
              </w:rPr>
            </w:pPr>
            <w:r>
              <w:rPr>
                <w:rFonts w:ascii="Arial" w:hAnsi="Arial" w:cs="Arial"/>
                <w:color w:val="000000"/>
                <w:sz w:val="20"/>
                <w:szCs w:val="20"/>
              </w:rPr>
              <w:t>$56,300</w:t>
            </w:r>
          </w:p>
        </w:tc>
        <w:tc>
          <w:tcPr>
            <w:tcW w:w="1889" w:type="dxa"/>
            <w:tcBorders>
              <w:top w:val="nil"/>
              <w:left w:val="nil"/>
              <w:bottom w:val="nil"/>
            </w:tcBorders>
            <w:tcMar>
              <w:top w:w="0" w:type="dxa"/>
              <w:left w:w="108" w:type="dxa"/>
              <w:bottom w:w="0" w:type="dxa"/>
              <w:right w:w="108" w:type="dxa"/>
            </w:tcMar>
            <w:vAlign w:val="center"/>
          </w:tcPr>
          <w:p w14:paraId="63278471" w14:textId="165B33B0" w:rsidR="00C01F53" w:rsidRDefault="00C01F53" w:rsidP="00C01F53">
            <w:pPr>
              <w:jc w:val="right"/>
              <w:rPr>
                <w:rFonts w:ascii="Arial" w:hAnsi="Arial" w:cs="Arial"/>
                <w:color w:val="000000"/>
                <w:sz w:val="20"/>
                <w:szCs w:val="20"/>
              </w:rPr>
            </w:pPr>
            <w:r>
              <w:rPr>
                <w:rFonts w:ascii="Arial" w:hAnsi="Arial" w:cs="Arial"/>
                <w:color w:val="000000"/>
                <w:sz w:val="20"/>
                <w:szCs w:val="20"/>
              </w:rPr>
              <w:t>$462,500</w:t>
            </w:r>
          </w:p>
        </w:tc>
        <w:tc>
          <w:tcPr>
            <w:tcW w:w="2064" w:type="dxa"/>
            <w:tcBorders>
              <w:top w:val="nil"/>
              <w:bottom w:val="nil"/>
              <w:right w:val="single" w:sz="4" w:space="0" w:color="auto"/>
            </w:tcBorders>
            <w:tcMar>
              <w:top w:w="0" w:type="dxa"/>
              <w:left w:w="108" w:type="dxa"/>
              <w:bottom w:w="0" w:type="dxa"/>
              <w:right w:w="108" w:type="dxa"/>
            </w:tcMar>
            <w:vAlign w:val="center"/>
          </w:tcPr>
          <w:p w14:paraId="7E10C487" w14:textId="267F44BA" w:rsidR="00C01F53" w:rsidRDefault="00C01F53" w:rsidP="00C01F53">
            <w:pPr>
              <w:jc w:val="right"/>
              <w:rPr>
                <w:rFonts w:ascii="Arial" w:hAnsi="Arial" w:cs="Arial"/>
                <w:color w:val="000000"/>
                <w:sz w:val="20"/>
                <w:szCs w:val="20"/>
              </w:rPr>
            </w:pPr>
          </w:p>
        </w:tc>
      </w:tr>
      <w:tr w:rsidR="00C01F53" w14:paraId="40718EBF" w14:textId="77777777" w:rsidTr="00326F1A">
        <w:trPr>
          <w:trHeight w:val="300"/>
        </w:trPr>
        <w:tc>
          <w:tcPr>
            <w:tcW w:w="2745" w:type="dxa"/>
            <w:tcBorders>
              <w:top w:val="nil"/>
              <w:left w:val="single" w:sz="8" w:space="0" w:color="auto"/>
              <w:bottom w:val="nil"/>
              <w:right w:val="nil"/>
            </w:tcBorders>
            <w:tcMar>
              <w:top w:w="0" w:type="dxa"/>
              <w:left w:w="108" w:type="dxa"/>
              <w:bottom w:w="0" w:type="dxa"/>
              <w:right w:w="108" w:type="dxa"/>
            </w:tcMar>
            <w:vAlign w:val="center"/>
            <w:hideMark/>
          </w:tcPr>
          <w:p w14:paraId="7E9760BC" w14:textId="4825DC0F" w:rsidR="00C01F53" w:rsidRDefault="00C01F53" w:rsidP="00C01F53">
            <w:pPr>
              <w:rPr>
                <w:rFonts w:ascii="Arial" w:hAnsi="Arial" w:cs="Arial"/>
                <w:color w:val="000000"/>
                <w:sz w:val="20"/>
                <w:szCs w:val="20"/>
              </w:rPr>
            </w:pPr>
            <w:r>
              <w:rPr>
                <w:rFonts w:ascii="Arial" w:hAnsi="Arial" w:cs="Arial"/>
                <w:color w:val="000000"/>
                <w:sz w:val="20"/>
                <w:szCs w:val="20"/>
              </w:rPr>
              <w:t>Drug-policy_office-ofFederal</w:t>
            </w:r>
          </w:p>
        </w:tc>
        <w:tc>
          <w:tcPr>
            <w:tcW w:w="1625" w:type="dxa"/>
            <w:tcBorders>
              <w:top w:val="nil"/>
              <w:left w:val="nil"/>
              <w:bottom w:val="nil"/>
            </w:tcBorders>
            <w:tcMar>
              <w:top w:w="0" w:type="dxa"/>
              <w:left w:w="108" w:type="dxa"/>
              <w:bottom w:w="0" w:type="dxa"/>
              <w:right w:w="108" w:type="dxa"/>
            </w:tcMar>
            <w:vAlign w:val="center"/>
          </w:tcPr>
          <w:p w14:paraId="106700BD" w14:textId="383F79B1" w:rsidR="00C01F53" w:rsidRDefault="00C01F53" w:rsidP="00C01F53">
            <w:pPr>
              <w:jc w:val="right"/>
              <w:rPr>
                <w:rFonts w:ascii="Arial" w:hAnsi="Arial" w:cs="Arial"/>
                <w:color w:val="000000"/>
                <w:sz w:val="20"/>
                <w:szCs w:val="20"/>
                <w:u w:val="single"/>
              </w:rPr>
            </w:pPr>
            <w:r>
              <w:rPr>
                <w:rFonts w:ascii="Arial" w:hAnsi="Arial" w:cs="Arial"/>
                <w:color w:val="000000"/>
                <w:sz w:val="20"/>
                <w:szCs w:val="20"/>
                <w:u w:val="single"/>
              </w:rPr>
              <w:t>$4,285,200</w:t>
            </w:r>
          </w:p>
        </w:tc>
        <w:tc>
          <w:tcPr>
            <w:tcW w:w="1757" w:type="dxa"/>
            <w:tcBorders>
              <w:top w:val="nil"/>
              <w:bottom w:val="nil"/>
            </w:tcBorders>
            <w:tcMar>
              <w:top w:w="0" w:type="dxa"/>
              <w:left w:w="108" w:type="dxa"/>
              <w:bottom w:w="0" w:type="dxa"/>
              <w:right w:w="108" w:type="dxa"/>
            </w:tcMar>
            <w:vAlign w:val="center"/>
          </w:tcPr>
          <w:p w14:paraId="5A9410A0" w14:textId="762C567C" w:rsidR="00C01F53" w:rsidRDefault="00C01F53" w:rsidP="00C01F53">
            <w:pPr>
              <w:jc w:val="right"/>
              <w:rPr>
                <w:rFonts w:ascii="Arial" w:hAnsi="Arial" w:cs="Arial"/>
                <w:color w:val="000000"/>
                <w:sz w:val="20"/>
                <w:szCs w:val="20"/>
                <w:u w:val="single"/>
              </w:rPr>
            </w:pPr>
            <w:r>
              <w:rPr>
                <w:rFonts w:ascii="Arial" w:hAnsi="Arial" w:cs="Arial"/>
                <w:color w:val="000000"/>
                <w:sz w:val="20"/>
                <w:szCs w:val="20"/>
                <w:u w:val="single"/>
              </w:rPr>
              <w:t>$5,965,100</w:t>
            </w:r>
          </w:p>
        </w:tc>
        <w:tc>
          <w:tcPr>
            <w:tcW w:w="1889" w:type="dxa"/>
            <w:tcBorders>
              <w:top w:val="nil"/>
              <w:left w:val="nil"/>
              <w:bottom w:val="nil"/>
            </w:tcBorders>
            <w:tcMar>
              <w:top w:w="0" w:type="dxa"/>
              <w:left w:w="108" w:type="dxa"/>
              <w:bottom w:w="0" w:type="dxa"/>
              <w:right w:w="108" w:type="dxa"/>
            </w:tcMar>
            <w:vAlign w:val="center"/>
          </w:tcPr>
          <w:p w14:paraId="7D4EAC47" w14:textId="1DFED56D" w:rsidR="00C01F53" w:rsidRDefault="00C01F53" w:rsidP="00C01F53">
            <w:pPr>
              <w:jc w:val="right"/>
              <w:rPr>
                <w:rFonts w:ascii="Arial" w:hAnsi="Arial" w:cs="Arial"/>
                <w:color w:val="000000"/>
                <w:sz w:val="20"/>
                <w:szCs w:val="20"/>
                <w:u w:val="single"/>
              </w:rPr>
            </w:pPr>
            <w:r>
              <w:rPr>
                <w:rFonts w:ascii="Arial" w:hAnsi="Arial" w:cs="Arial"/>
                <w:color w:val="000000"/>
                <w:sz w:val="20"/>
                <w:szCs w:val="20"/>
                <w:u w:val="single"/>
              </w:rPr>
              <w:t>$3,363,200</w:t>
            </w:r>
          </w:p>
        </w:tc>
        <w:tc>
          <w:tcPr>
            <w:tcW w:w="2064" w:type="dxa"/>
            <w:tcBorders>
              <w:top w:val="nil"/>
              <w:bottom w:val="nil"/>
              <w:right w:val="single" w:sz="4" w:space="0" w:color="auto"/>
            </w:tcBorders>
            <w:tcMar>
              <w:top w:w="0" w:type="dxa"/>
              <w:left w:w="108" w:type="dxa"/>
              <w:bottom w:w="0" w:type="dxa"/>
              <w:right w:w="108" w:type="dxa"/>
            </w:tcMar>
            <w:vAlign w:val="center"/>
          </w:tcPr>
          <w:p w14:paraId="4E341E0C" w14:textId="68183E24" w:rsidR="00C01F53" w:rsidRDefault="00C01F53" w:rsidP="00C01F53">
            <w:pPr>
              <w:jc w:val="right"/>
              <w:rPr>
                <w:rFonts w:ascii="Arial" w:hAnsi="Arial" w:cs="Arial"/>
                <w:color w:val="000000"/>
                <w:sz w:val="20"/>
                <w:szCs w:val="20"/>
                <w:u w:val="single"/>
              </w:rPr>
            </w:pPr>
          </w:p>
        </w:tc>
      </w:tr>
      <w:tr w:rsidR="00C01F53" w14:paraId="0F8626C7" w14:textId="77777777" w:rsidTr="00326F1A">
        <w:trPr>
          <w:trHeight w:val="300"/>
        </w:trPr>
        <w:tc>
          <w:tcPr>
            <w:tcW w:w="2745" w:type="dxa"/>
            <w:tcBorders>
              <w:top w:val="nil"/>
              <w:left w:val="single" w:sz="8" w:space="0" w:color="auto"/>
              <w:bottom w:val="nil"/>
              <w:right w:val="nil"/>
            </w:tcBorders>
            <w:tcMar>
              <w:top w:w="0" w:type="dxa"/>
              <w:left w:w="108" w:type="dxa"/>
              <w:bottom w:w="0" w:type="dxa"/>
              <w:right w:w="108" w:type="dxa"/>
            </w:tcMar>
            <w:vAlign w:val="center"/>
            <w:hideMark/>
          </w:tcPr>
          <w:p w14:paraId="5F7E0DCD" w14:textId="77777777" w:rsidR="00C01F53" w:rsidRDefault="00C01F53" w:rsidP="00C01F53">
            <w:pPr>
              <w:rPr>
                <w:rFonts w:ascii="Arial" w:hAnsi="Arial" w:cs="Arial"/>
                <w:b/>
                <w:bCs/>
                <w:color w:val="000000"/>
                <w:sz w:val="20"/>
                <w:szCs w:val="20"/>
              </w:rPr>
            </w:pPr>
            <w:r>
              <w:rPr>
                <w:rFonts w:ascii="Arial" w:hAnsi="Arial" w:cs="Arial"/>
                <w:b/>
                <w:bCs/>
                <w:color w:val="000000"/>
                <w:sz w:val="20"/>
                <w:szCs w:val="20"/>
              </w:rPr>
              <w:t>Total</w:t>
            </w:r>
          </w:p>
        </w:tc>
        <w:tc>
          <w:tcPr>
            <w:tcW w:w="1625" w:type="dxa"/>
            <w:tcBorders>
              <w:top w:val="nil"/>
              <w:left w:val="nil"/>
            </w:tcBorders>
            <w:tcMar>
              <w:top w:w="0" w:type="dxa"/>
              <w:left w:w="108" w:type="dxa"/>
              <w:bottom w:w="0" w:type="dxa"/>
              <w:right w:w="108" w:type="dxa"/>
            </w:tcMar>
            <w:vAlign w:val="center"/>
          </w:tcPr>
          <w:p w14:paraId="01E45834" w14:textId="5F98A8F4" w:rsidR="00C01F53" w:rsidRDefault="00C01F53" w:rsidP="00C01F53">
            <w:pPr>
              <w:jc w:val="right"/>
              <w:rPr>
                <w:rFonts w:ascii="Arial" w:hAnsi="Arial" w:cs="Arial"/>
                <w:b/>
                <w:bCs/>
                <w:color w:val="000000"/>
                <w:sz w:val="20"/>
                <w:szCs w:val="20"/>
              </w:rPr>
            </w:pPr>
            <w:r>
              <w:rPr>
                <w:rFonts w:ascii="Arial" w:hAnsi="Arial" w:cs="Arial"/>
                <w:b/>
                <w:bCs/>
                <w:color w:val="000000"/>
                <w:sz w:val="20"/>
                <w:szCs w:val="20"/>
              </w:rPr>
              <w:t>$4,545,500</w:t>
            </w:r>
          </w:p>
        </w:tc>
        <w:tc>
          <w:tcPr>
            <w:tcW w:w="1757" w:type="dxa"/>
            <w:tcBorders>
              <w:top w:val="nil"/>
            </w:tcBorders>
            <w:tcMar>
              <w:top w:w="0" w:type="dxa"/>
              <w:left w:w="108" w:type="dxa"/>
              <w:bottom w:w="0" w:type="dxa"/>
              <w:right w:w="108" w:type="dxa"/>
            </w:tcMar>
            <w:vAlign w:val="center"/>
          </w:tcPr>
          <w:p w14:paraId="3018777E" w14:textId="7E9671BA" w:rsidR="00C01F53" w:rsidRDefault="00C01F53" w:rsidP="00C01F53">
            <w:pPr>
              <w:jc w:val="right"/>
              <w:rPr>
                <w:rFonts w:ascii="Arial" w:hAnsi="Arial" w:cs="Arial"/>
                <w:b/>
                <w:bCs/>
                <w:color w:val="000000"/>
                <w:sz w:val="20"/>
                <w:szCs w:val="20"/>
              </w:rPr>
            </w:pPr>
            <w:r>
              <w:rPr>
                <w:rFonts w:ascii="Arial" w:hAnsi="Arial" w:cs="Arial"/>
                <w:b/>
                <w:bCs/>
                <w:color w:val="000000"/>
                <w:sz w:val="20"/>
                <w:szCs w:val="20"/>
              </w:rPr>
              <w:t>$6,344,900</w:t>
            </w:r>
          </w:p>
        </w:tc>
        <w:tc>
          <w:tcPr>
            <w:tcW w:w="1889" w:type="dxa"/>
            <w:tcBorders>
              <w:top w:val="nil"/>
              <w:left w:val="nil"/>
              <w:bottom w:val="nil"/>
            </w:tcBorders>
            <w:tcMar>
              <w:top w:w="0" w:type="dxa"/>
              <w:left w:w="108" w:type="dxa"/>
              <w:bottom w:w="0" w:type="dxa"/>
              <w:right w:w="108" w:type="dxa"/>
            </w:tcMar>
            <w:vAlign w:val="center"/>
          </w:tcPr>
          <w:p w14:paraId="35ACE3E2" w14:textId="6C95EBA5" w:rsidR="00C01F53" w:rsidRDefault="00C01F53" w:rsidP="00C01F53">
            <w:pPr>
              <w:jc w:val="right"/>
              <w:rPr>
                <w:rFonts w:ascii="Arial" w:hAnsi="Arial" w:cs="Arial"/>
                <w:b/>
                <w:bCs/>
                <w:color w:val="000000"/>
                <w:sz w:val="20"/>
                <w:szCs w:val="20"/>
              </w:rPr>
            </w:pPr>
            <w:r>
              <w:rPr>
                <w:rFonts w:ascii="Arial" w:hAnsi="Arial" w:cs="Arial"/>
                <w:b/>
                <w:bCs/>
                <w:color w:val="000000"/>
                <w:sz w:val="20"/>
                <w:szCs w:val="20"/>
              </w:rPr>
              <w:t>$3,832,500</w:t>
            </w:r>
          </w:p>
        </w:tc>
        <w:tc>
          <w:tcPr>
            <w:tcW w:w="2064" w:type="dxa"/>
            <w:tcBorders>
              <w:top w:val="nil"/>
              <w:bottom w:val="nil"/>
              <w:right w:val="single" w:sz="4" w:space="0" w:color="auto"/>
            </w:tcBorders>
            <w:tcMar>
              <w:top w:w="0" w:type="dxa"/>
              <w:left w:w="108" w:type="dxa"/>
              <w:bottom w:w="0" w:type="dxa"/>
              <w:right w:w="108" w:type="dxa"/>
            </w:tcMar>
            <w:vAlign w:val="center"/>
          </w:tcPr>
          <w:p w14:paraId="44AF2E0B" w14:textId="73A6E4E2" w:rsidR="00C01F53" w:rsidRDefault="00C01F53" w:rsidP="00C01F53">
            <w:pPr>
              <w:jc w:val="right"/>
              <w:rPr>
                <w:rFonts w:ascii="Arial" w:hAnsi="Arial" w:cs="Arial"/>
                <w:b/>
                <w:bCs/>
                <w:color w:val="000000"/>
                <w:sz w:val="20"/>
                <w:szCs w:val="20"/>
              </w:rPr>
            </w:pPr>
          </w:p>
        </w:tc>
      </w:tr>
      <w:tr w:rsidR="00C01F53" w14:paraId="188F4B1A" w14:textId="77777777" w:rsidTr="00326F1A">
        <w:trPr>
          <w:trHeight w:val="315"/>
        </w:trPr>
        <w:tc>
          <w:tcPr>
            <w:tcW w:w="2745" w:type="dxa"/>
            <w:tcBorders>
              <w:top w:val="nil"/>
              <w:left w:val="single" w:sz="8" w:space="0" w:color="auto"/>
              <w:bottom w:val="nil"/>
              <w:right w:val="nil"/>
            </w:tcBorders>
            <w:shd w:val="clear" w:color="auto" w:fill="000080"/>
            <w:tcMar>
              <w:top w:w="0" w:type="dxa"/>
              <w:left w:w="108" w:type="dxa"/>
              <w:bottom w:w="0" w:type="dxa"/>
              <w:right w:w="108" w:type="dxa"/>
            </w:tcMar>
            <w:vAlign w:val="center"/>
            <w:hideMark/>
          </w:tcPr>
          <w:p w14:paraId="288A5E69" w14:textId="77777777" w:rsidR="00C01F53" w:rsidRDefault="00C01F53" w:rsidP="00C01F53">
            <w:pPr>
              <w:rPr>
                <w:rFonts w:ascii="Arial" w:hAnsi="Arial" w:cs="Arial"/>
                <w:b/>
                <w:bCs/>
                <w:color w:val="FFFFFF"/>
                <w:sz w:val="20"/>
                <w:szCs w:val="20"/>
              </w:rPr>
            </w:pPr>
            <w:r>
              <w:rPr>
                <w:rFonts w:ascii="Arial" w:hAnsi="Arial" w:cs="Arial"/>
                <w:b/>
                <w:bCs/>
                <w:color w:val="FFFFFF"/>
                <w:sz w:val="20"/>
                <w:szCs w:val="20"/>
              </w:rPr>
              <w:t>Expenditures</w:t>
            </w:r>
          </w:p>
        </w:tc>
        <w:tc>
          <w:tcPr>
            <w:tcW w:w="1625" w:type="dxa"/>
            <w:shd w:val="clear" w:color="auto" w:fill="000080"/>
            <w:tcMar>
              <w:top w:w="0" w:type="dxa"/>
              <w:left w:w="108" w:type="dxa"/>
              <w:bottom w:w="0" w:type="dxa"/>
              <w:right w:w="108" w:type="dxa"/>
            </w:tcMar>
            <w:vAlign w:val="center"/>
            <w:hideMark/>
          </w:tcPr>
          <w:p w14:paraId="5F54ABDF" w14:textId="2ACA6B65" w:rsidR="00C01F53" w:rsidRDefault="00C01F53" w:rsidP="00C01F53">
            <w:pPr>
              <w:jc w:val="right"/>
              <w:rPr>
                <w:rFonts w:ascii="Arial" w:hAnsi="Arial" w:cs="Arial"/>
                <w:b/>
                <w:bCs/>
                <w:color w:val="FFFFFF"/>
                <w:sz w:val="20"/>
                <w:szCs w:val="20"/>
              </w:rPr>
            </w:pPr>
            <w:r>
              <w:rPr>
                <w:rFonts w:ascii="Arial" w:hAnsi="Arial" w:cs="Arial"/>
                <w:b/>
                <w:bCs/>
                <w:color w:val="FFFFFF"/>
                <w:sz w:val="20"/>
                <w:szCs w:val="20"/>
              </w:rPr>
              <w:t>FY 2022</w:t>
            </w:r>
          </w:p>
        </w:tc>
        <w:tc>
          <w:tcPr>
            <w:tcW w:w="1757" w:type="dxa"/>
            <w:shd w:val="clear" w:color="auto" w:fill="000080"/>
            <w:tcMar>
              <w:top w:w="0" w:type="dxa"/>
              <w:left w:w="108" w:type="dxa"/>
              <w:bottom w:w="0" w:type="dxa"/>
              <w:right w:w="108" w:type="dxa"/>
            </w:tcMar>
            <w:vAlign w:val="center"/>
            <w:hideMark/>
          </w:tcPr>
          <w:p w14:paraId="4E528006" w14:textId="7B027DAD" w:rsidR="00C01F53" w:rsidRDefault="00C01F53" w:rsidP="00C01F53">
            <w:pPr>
              <w:jc w:val="right"/>
              <w:rPr>
                <w:rFonts w:ascii="Arial" w:hAnsi="Arial" w:cs="Arial"/>
                <w:b/>
                <w:bCs/>
                <w:color w:val="FFFFFF"/>
                <w:sz w:val="20"/>
                <w:szCs w:val="20"/>
              </w:rPr>
            </w:pPr>
            <w:r>
              <w:rPr>
                <w:rFonts w:ascii="Arial" w:hAnsi="Arial" w:cs="Arial"/>
                <w:b/>
                <w:bCs/>
                <w:color w:val="FFFFFF"/>
                <w:sz w:val="20"/>
                <w:szCs w:val="20"/>
              </w:rPr>
              <w:t>FY 2023</w:t>
            </w:r>
          </w:p>
        </w:tc>
        <w:tc>
          <w:tcPr>
            <w:tcW w:w="1889" w:type="dxa"/>
            <w:tcBorders>
              <w:left w:val="nil"/>
            </w:tcBorders>
            <w:shd w:val="clear" w:color="auto" w:fill="000080"/>
            <w:tcMar>
              <w:top w:w="0" w:type="dxa"/>
              <w:left w:w="108" w:type="dxa"/>
              <w:bottom w:w="0" w:type="dxa"/>
              <w:right w:w="108" w:type="dxa"/>
            </w:tcMar>
            <w:vAlign w:val="center"/>
            <w:hideMark/>
          </w:tcPr>
          <w:p w14:paraId="4E06433D" w14:textId="6F8C6C39" w:rsidR="00C01F53" w:rsidRDefault="00C01F53" w:rsidP="00C01F53">
            <w:pPr>
              <w:jc w:val="right"/>
              <w:rPr>
                <w:rFonts w:ascii="Arial" w:hAnsi="Arial" w:cs="Arial"/>
                <w:b/>
                <w:bCs/>
                <w:color w:val="FFFFFF"/>
                <w:sz w:val="20"/>
                <w:szCs w:val="20"/>
              </w:rPr>
            </w:pPr>
            <w:r>
              <w:rPr>
                <w:rFonts w:ascii="Arial" w:hAnsi="Arial" w:cs="Arial"/>
                <w:b/>
                <w:bCs/>
                <w:color w:val="FFFFFF"/>
                <w:sz w:val="20"/>
                <w:szCs w:val="20"/>
              </w:rPr>
              <w:t>FY 2024</w:t>
            </w:r>
          </w:p>
        </w:tc>
        <w:tc>
          <w:tcPr>
            <w:tcW w:w="2064" w:type="dxa"/>
            <w:tcBorders>
              <w:top w:val="nil"/>
              <w:left w:val="nil"/>
              <w:right w:val="single" w:sz="8" w:space="0" w:color="auto"/>
            </w:tcBorders>
            <w:shd w:val="clear" w:color="auto" w:fill="000080"/>
            <w:tcMar>
              <w:top w:w="0" w:type="dxa"/>
              <w:left w:w="108" w:type="dxa"/>
              <w:bottom w:w="0" w:type="dxa"/>
              <w:right w:w="108" w:type="dxa"/>
            </w:tcMar>
            <w:vAlign w:val="center"/>
            <w:hideMark/>
          </w:tcPr>
          <w:p w14:paraId="614E6BED" w14:textId="77B85EC4" w:rsidR="00C01F53" w:rsidRDefault="00C01F53" w:rsidP="00C01F53">
            <w:pPr>
              <w:jc w:val="right"/>
              <w:rPr>
                <w:rFonts w:ascii="Arial" w:hAnsi="Arial" w:cs="Arial"/>
                <w:b/>
                <w:bCs/>
                <w:color w:val="FFFFFF"/>
                <w:sz w:val="20"/>
                <w:szCs w:val="20"/>
              </w:rPr>
            </w:pPr>
            <w:r>
              <w:rPr>
                <w:rFonts w:ascii="Arial" w:hAnsi="Arial" w:cs="Arial"/>
                <w:b/>
                <w:bCs/>
                <w:color w:val="FFFFFF"/>
                <w:sz w:val="20"/>
                <w:szCs w:val="20"/>
              </w:rPr>
              <w:t>FY 2025</w:t>
            </w:r>
          </w:p>
        </w:tc>
      </w:tr>
      <w:tr w:rsidR="00C01F53" w14:paraId="289B42C5" w14:textId="77777777" w:rsidTr="00326F1A">
        <w:trPr>
          <w:trHeight w:val="300"/>
        </w:trPr>
        <w:tc>
          <w:tcPr>
            <w:tcW w:w="2745" w:type="dxa"/>
            <w:tcBorders>
              <w:top w:val="nil"/>
              <w:left w:val="single" w:sz="8" w:space="0" w:color="auto"/>
              <w:bottom w:val="nil"/>
              <w:right w:val="nil"/>
            </w:tcBorders>
            <w:tcMar>
              <w:top w:w="0" w:type="dxa"/>
              <w:left w:w="108" w:type="dxa"/>
              <w:bottom w:w="0" w:type="dxa"/>
              <w:right w:w="108" w:type="dxa"/>
            </w:tcMar>
            <w:vAlign w:val="center"/>
            <w:hideMark/>
          </w:tcPr>
          <w:p w14:paraId="4C40DC6B" w14:textId="77777777" w:rsidR="00C01F53" w:rsidRDefault="00C01F53" w:rsidP="00C01F53">
            <w:pPr>
              <w:rPr>
                <w:rFonts w:ascii="Arial" w:hAnsi="Arial" w:cs="Arial"/>
                <w:color w:val="000000"/>
                <w:sz w:val="20"/>
                <w:szCs w:val="20"/>
              </w:rPr>
            </w:pPr>
            <w:r>
              <w:rPr>
                <w:rFonts w:ascii="Arial" w:hAnsi="Arial" w:cs="Arial"/>
                <w:color w:val="000000"/>
                <w:sz w:val="20"/>
                <w:szCs w:val="20"/>
              </w:rPr>
              <w:t>Personnel Costs</w:t>
            </w:r>
          </w:p>
        </w:tc>
        <w:tc>
          <w:tcPr>
            <w:tcW w:w="1625" w:type="dxa"/>
            <w:tcBorders>
              <w:top w:val="nil"/>
              <w:left w:val="nil"/>
              <w:bottom w:val="nil"/>
            </w:tcBorders>
            <w:tcMar>
              <w:top w:w="0" w:type="dxa"/>
              <w:left w:w="108" w:type="dxa"/>
              <w:bottom w:w="0" w:type="dxa"/>
              <w:right w:w="108" w:type="dxa"/>
            </w:tcMar>
            <w:vAlign w:val="center"/>
          </w:tcPr>
          <w:p w14:paraId="6F54C2A5" w14:textId="25ED44EA" w:rsidR="00C01F53" w:rsidRDefault="00C01F53" w:rsidP="00C01F53">
            <w:pPr>
              <w:jc w:val="right"/>
              <w:rPr>
                <w:rFonts w:ascii="Arial" w:hAnsi="Arial" w:cs="Arial"/>
                <w:color w:val="000000"/>
                <w:sz w:val="20"/>
                <w:szCs w:val="20"/>
              </w:rPr>
            </w:pPr>
            <w:r>
              <w:rPr>
                <w:rFonts w:ascii="Arial" w:hAnsi="Arial" w:cs="Arial"/>
                <w:color w:val="000000"/>
                <w:sz w:val="20"/>
                <w:szCs w:val="20"/>
              </w:rPr>
              <w:t>$465,100</w:t>
            </w:r>
          </w:p>
        </w:tc>
        <w:tc>
          <w:tcPr>
            <w:tcW w:w="1757" w:type="dxa"/>
            <w:tcBorders>
              <w:top w:val="nil"/>
              <w:bottom w:val="nil"/>
            </w:tcBorders>
            <w:tcMar>
              <w:top w:w="0" w:type="dxa"/>
              <w:left w:w="108" w:type="dxa"/>
              <w:bottom w:w="0" w:type="dxa"/>
              <w:right w:w="108" w:type="dxa"/>
            </w:tcMar>
            <w:vAlign w:val="center"/>
          </w:tcPr>
          <w:p w14:paraId="21BC229D" w14:textId="1A79866C" w:rsidR="00C01F53" w:rsidRDefault="00C01F53" w:rsidP="00C01F53">
            <w:pPr>
              <w:jc w:val="right"/>
              <w:rPr>
                <w:rFonts w:ascii="Arial" w:hAnsi="Arial" w:cs="Arial"/>
                <w:color w:val="000000"/>
                <w:sz w:val="20"/>
                <w:szCs w:val="20"/>
              </w:rPr>
            </w:pPr>
            <w:r>
              <w:rPr>
                <w:rFonts w:ascii="Arial" w:hAnsi="Arial" w:cs="Arial"/>
                <w:color w:val="000000"/>
                <w:sz w:val="20"/>
                <w:szCs w:val="20"/>
              </w:rPr>
              <w:t>$521,900</w:t>
            </w:r>
          </w:p>
        </w:tc>
        <w:tc>
          <w:tcPr>
            <w:tcW w:w="1889" w:type="dxa"/>
            <w:tcBorders>
              <w:top w:val="nil"/>
              <w:left w:val="nil"/>
              <w:bottom w:val="nil"/>
            </w:tcBorders>
            <w:tcMar>
              <w:top w:w="0" w:type="dxa"/>
              <w:left w:w="108" w:type="dxa"/>
              <w:bottom w:w="0" w:type="dxa"/>
              <w:right w:w="108" w:type="dxa"/>
            </w:tcMar>
            <w:vAlign w:val="center"/>
          </w:tcPr>
          <w:p w14:paraId="49889F73" w14:textId="4326A6AA" w:rsidR="00C01F53" w:rsidRDefault="00C01F53" w:rsidP="00C01F53">
            <w:pPr>
              <w:jc w:val="right"/>
              <w:rPr>
                <w:rFonts w:ascii="Arial" w:hAnsi="Arial" w:cs="Arial"/>
                <w:color w:val="000000"/>
                <w:sz w:val="20"/>
                <w:szCs w:val="20"/>
              </w:rPr>
            </w:pPr>
            <w:r>
              <w:rPr>
                <w:rFonts w:ascii="Arial" w:hAnsi="Arial" w:cs="Arial"/>
                <w:color w:val="000000"/>
                <w:sz w:val="20"/>
                <w:szCs w:val="20"/>
              </w:rPr>
              <w:t>$543,600</w:t>
            </w:r>
          </w:p>
        </w:tc>
        <w:tc>
          <w:tcPr>
            <w:tcW w:w="2064" w:type="dxa"/>
            <w:tcBorders>
              <w:top w:val="nil"/>
              <w:bottom w:val="nil"/>
              <w:right w:val="single" w:sz="4" w:space="0" w:color="auto"/>
            </w:tcBorders>
            <w:tcMar>
              <w:top w:w="0" w:type="dxa"/>
              <w:left w:w="108" w:type="dxa"/>
              <w:bottom w:w="0" w:type="dxa"/>
              <w:right w:w="108" w:type="dxa"/>
            </w:tcMar>
            <w:vAlign w:val="center"/>
          </w:tcPr>
          <w:p w14:paraId="1959E462" w14:textId="0D0BFCE7" w:rsidR="00C01F53" w:rsidRDefault="00C01F53" w:rsidP="00C01F53">
            <w:pPr>
              <w:jc w:val="right"/>
              <w:rPr>
                <w:rFonts w:ascii="Arial" w:hAnsi="Arial" w:cs="Arial"/>
                <w:color w:val="000000"/>
                <w:sz w:val="20"/>
                <w:szCs w:val="20"/>
              </w:rPr>
            </w:pPr>
          </w:p>
        </w:tc>
      </w:tr>
      <w:tr w:rsidR="00C01F53" w14:paraId="4DC4C14B" w14:textId="77777777" w:rsidTr="00326F1A">
        <w:trPr>
          <w:trHeight w:val="300"/>
        </w:trPr>
        <w:tc>
          <w:tcPr>
            <w:tcW w:w="2745" w:type="dxa"/>
            <w:tcBorders>
              <w:top w:val="nil"/>
              <w:left w:val="single" w:sz="8" w:space="0" w:color="auto"/>
              <w:bottom w:val="nil"/>
              <w:right w:val="nil"/>
            </w:tcBorders>
            <w:tcMar>
              <w:top w:w="0" w:type="dxa"/>
              <w:left w:w="108" w:type="dxa"/>
              <w:bottom w:w="0" w:type="dxa"/>
              <w:right w:w="108" w:type="dxa"/>
            </w:tcMar>
            <w:vAlign w:val="center"/>
            <w:hideMark/>
          </w:tcPr>
          <w:p w14:paraId="675D37C3" w14:textId="77777777" w:rsidR="00C01F53" w:rsidRDefault="00C01F53" w:rsidP="00C01F53">
            <w:pPr>
              <w:rPr>
                <w:rFonts w:ascii="Arial" w:hAnsi="Arial" w:cs="Arial"/>
                <w:color w:val="000000"/>
                <w:sz w:val="20"/>
                <w:szCs w:val="20"/>
              </w:rPr>
            </w:pPr>
            <w:r>
              <w:rPr>
                <w:rFonts w:ascii="Arial" w:hAnsi="Arial" w:cs="Arial"/>
                <w:color w:val="000000"/>
                <w:sz w:val="20"/>
                <w:szCs w:val="20"/>
              </w:rPr>
              <w:t>Operating Expenditures</w:t>
            </w:r>
          </w:p>
        </w:tc>
        <w:tc>
          <w:tcPr>
            <w:tcW w:w="1625" w:type="dxa"/>
            <w:tcBorders>
              <w:top w:val="nil"/>
              <w:left w:val="nil"/>
              <w:bottom w:val="nil"/>
            </w:tcBorders>
            <w:tcMar>
              <w:top w:w="0" w:type="dxa"/>
              <w:left w:w="108" w:type="dxa"/>
              <w:bottom w:w="0" w:type="dxa"/>
              <w:right w:w="108" w:type="dxa"/>
            </w:tcMar>
            <w:vAlign w:val="center"/>
          </w:tcPr>
          <w:p w14:paraId="7E311684" w14:textId="4453BBBD" w:rsidR="00C01F53" w:rsidRDefault="00C01F53" w:rsidP="00C01F53">
            <w:pPr>
              <w:jc w:val="right"/>
              <w:rPr>
                <w:rFonts w:ascii="Arial" w:hAnsi="Arial" w:cs="Arial"/>
                <w:color w:val="000000"/>
                <w:sz w:val="20"/>
                <w:szCs w:val="20"/>
              </w:rPr>
            </w:pPr>
            <w:r>
              <w:rPr>
                <w:rFonts w:ascii="Arial" w:hAnsi="Arial" w:cs="Arial"/>
                <w:color w:val="000000"/>
                <w:sz w:val="20"/>
                <w:szCs w:val="20"/>
              </w:rPr>
              <w:t>$747,400</w:t>
            </w:r>
          </w:p>
        </w:tc>
        <w:tc>
          <w:tcPr>
            <w:tcW w:w="1757" w:type="dxa"/>
            <w:tcBorders>
              <w:top w:val="nil"/>
              <w:bottom w:val="nil"/>
            </w:tcBorders>
            <w:tcMar>
              <w:top w:w="0" w:type="dxa"/>
              <w:left w:w="108" w:type="dxa"/>
              <w:bottom w:w="0" w:type="dxa"/>
              <w:right w:w="108" w:type="dxa"/>
            </w:tcMar>
            <w:vAlign w:val="center"/>
          </w:tcPr>
          <w:p w14:paraId="3C39CE9F" w14:textId="5B560A90" w:rsidR="00C01F53" w:rsidRDefault="00C01F53" w:rsidP="00C01F53">
            <w:pPr>
              <w:jc w:val="right"/>
              <w:rPr>
                <w:rFonts w:ascii="Arial" w:hAnsi="Arial" w:cs="Arial"/>
                <w:color w:val="000000"/>
                <w:sz w:val="20"/>
                <w:szCs w:val="20"/>
              </w:rPr>
            </w:pPr>
            <w:r>
              <w:rPr>
                <w:rFonts w:ascii="Arial" w:hAnsi="Arial" w:cs="Arial"/>
                <w:color w:val="000000"/>
                <w:sz w:val="20"/>
                <w:szCs w:val="20"/>
              </w:rPr>
              <w:t>$782,500</w:t>
            </w:r>
          </w:p>
        </w:tc>
        <w:tc>
          <w:tcPr>
            <w:tcW w:w="1889" w:type="dxa"/>
            <w:tcBorders>
              <w:top w:val="nil"/>
              <w:left w:val="nil"/>
              <w:bottom w:val="nil"/>
            </w:tcBorders>
            <w:tcMar>
              <w:top w:w="0" w:type="dxa"/>
              <w:left w:w="108" w:type="dxa"/>
              <w:bottom w:w="0" w:type="dxa"/>
              <w:right w:w="108" w:type="dxa"/>
            </w:tcMar>
            <w:vAlign w:val="center"/>
          </w:tcPr>
          <w:p w14:paraId="10B88F98" w14:textId="0EE02C67" w:rsidR="00C01F53" w:rsidRDefault="00C01F53" w:rsidP="00C01F53">
            <w:pPr>
              <w:jc w:val="right"/>
              <w:rPr>
                <w:rFonts w:ascii="Arial" w:hAnsi="Arial" w:cs="Arial"/>
                <w:color w:val="000000"/>
                <w:sz w:val="20"/>
                <w:szCs w:val="20"/>
              </w:rPr>
            </w:pPr>
            <w:r>
              <w:rPr>
                <w:rFonts w:ascii="Arial" w:hAnsi="Arial" w:cs="Arial"/>
                <w:color w:val="000000"/>
                <w:sz w:val="20"/>
                <w:szCs w:val="20"/>
              </w:rPr>
              <w:t>$631,500</w:t>
            </w:r>
          </w:p>
        </w:tc>
        <w:tc>
          <w:tcPr>
            <w:tcW w:w="2064" w:type="dxa"/>
            <w:tcBorders>
              <w:top w:val="nil"/>
              <w:bottom w:val="nil"/>
              <w:right w:val="single" w:sz="4" w:space="0" w:color="auto"/>
            </w:tcBorders>
            <w:tcMar>
              <w:top w:w="0" w:type="dxa"/>
              <w:left w:w="108" w:type="dxa"/>
              <w:bottom w:w="0" w:type="dxa"/>
              <w:right w:w="108" w:type="dxa"/>
            </w:tcMar>
            <w:vAlign w:val="center"/>
          </w:tcPr>
          <w:p w14:paraId="136967EE" w14:textId="7ED88BBD" w:rsidR="00C01F53" w:rsidRDefault="00C01F53" w:rsidP="00C01F53">
            <w:pPr>
              <w:jc w:val="right"/>
              <w:rPr>
                <w:rFonts w:ascii="Arial" w:hAnsi="Arial" w:cs="Arial"/>
                <w:color w:val="000000"/>
                <w:sz w:val="20"/>
                <w:szCs w:val="20"/>
              </w:rPr>
            </w:pPr>
          </w:p>
        </w:tc>
      </w:tr>
      <w:tr w:rsidR="00C01F53" w14:paraId="41B917EE" w14:textId="77777777" w:rsidTr="00326F1A">
        <w:trPr>
          <w:trHeight w:val="300"/>
        </w:trPr>
        <w:tc>
          <w:tcPr>
            <w:tcW w:w="2745" w:type="dxa"/>
            <w:tcBorders>
              <w:top w:val="nil"/>
              <w:left w:val="single" w:sz="8" w:space="0" w:color="auto"/>
              <w:bottom w:val="nil"/>
              <w:right w:val="nil"/>
            </w:tcBorders>
            <w:tcMar>
              <w:top w:w="0" w:type="dxa"/>
              <w:left w:w="108" w:type="dxa"/>
              <w:bottom w:w="0" w:type="dxa"/>
              <w:right w:w="108" w:type="dxa"/>
            </w:tcMar>
            <w:vAlign w:val="center"/>
            <w:hideMark/>
          </w:tcPr>
          <w:p w14:paraId="10383E0E" w14:textId="77777777" w:rsidR="00C01F53" w:rsidRDefault="00C01F53" w:rsidP="00C01F53">
            <w:pPr>
              <w:rPr>
                <w:rFonts w:ascii="Arial" w:hAnsi="Arial" w:cs="Arial"/>
                <w:color w:val="000000"/>
                <w:sz w:val="20"/>
                <w:szCs w:val="20"/>
              </w:rPr>
            </w:pPr>
            <w:r>
              <w:rPr>
                <w:rFonts w:ascii="Arial" w:hAnsi="Arial" w:cs="Arial"/>
                <w:color w:val="000000"/>
                <w:sz w:val="20"/>
                <w:szCs w:val="20"/>
              </w:rPr>
              <w:t>Capital Outlay</w:t>
            </w:r>
          </w:p>
        </w:tc>
        <w:tc>
          <w:tcPr>
            <w:tcW w:w="1625" w:type="dxa"/>
            <w:tcBorders>
              <w:top w:val="nil"/>
              <w:left w:val="nil"/>
              <w:bottom w:val="nil"/>
            </w:tcBorders>
            <w:tcMar>
              <w:top w:w="0" w:type="dxa"/>
              <w:left w:w="108" w:type="dxa"/>
              <w:bottom w:w="0" w:type="dxa"/>
              <w:right w:w="108" w:type="dxa"/>
            </w:tcMar>
            <w:vAlign w:val="center"/>
          </w:tcPr>
          <w:p w14:paraId="58B15076" w14:textId="2578F747" w:rsidR="00C01F53" w:rsidRDefault="00C01F53" w:rsidP="00C01F53">
            <w:pPr>
              <w:jc w:val="right"/>
              <w:rPr>
                <w:rFonts w:ascii="Arial" w:hAnsi="Arial" w:cs="Arial"/>
                <w:color w:val="000000"/>
                <w:sz w:val="20"/>
                <w:szCs w:val="20"/>
              </w:rPr>
            </w:pPr>
            <w:r>
              <w:rPr>
                <w:rFonts w:ascii="Arial" w:hAnsi="Arial" w:cs="Arial"/>
                <w:color w:val="000000"/>
                <w:sz w:val="20"/>
                <w:szCs w:val="20"/>
              </w:rPr>
              <w:t>$1,600</w:t>
            </w:r>
          </w:p>
        </w:tc>
        <w:tc>
          <w:tcPr>
            <w:tcW w:w="1757" w:type="dxa"/>
            <w:tcBorders>
              <w:top w:val="nil"/>
              <w:bottom w:val="nil"/>
            </w:tcBorders>
            <w:tcMar>
              <w:top w:w="0" w:type="dxa"/>
              <w:left w:w="108" w:type="dxa"/>
              <w:bottom w:w="0" w:type="dxa"/>
              <w:right w:w="108" w:type="dxa"/>
            </w:tcMar>
            <w:vAlign w:val="center"/>
          </w:tcPr>
          <w:p w14:paraId="2568B39B" w14:textId="2CB320CE" w:rsidR="00C01F53" w:rsidRDefault="00C01F53" w:rsidP="00C01F53">
            <w:pPr>
              <w:jc w:val="right"/>
              <w:rPr>
                <w:rFonts w:ascii="Arial" w:hAnsi="Arial" w:cs="Arial"/>
                <w:color w:val="000000"/>
                <w:sz w:val="20"/>
                <w:szCs w:val="20"/>
              </w:rPr>
            </w:pPr>
            <w:r>
              <w:rPr>
                <w:rFonts w:ascii="Arial" w:hAnsi="Arial" w:cs="Arial"/>
                <w:color w:val="000000"/>
                <w:sz w:val="20"/>
                <w:szCs w:val="20"/>
              </w:rPr>
              <w:t>0.00</w:t>
            </w:r>
          </w:p>
        </w:tc>
        <w:tc>
          <w:tcPr>
            <w:tcW w:w="1889" w:type="dxa"/>
            <w:tcBorders>
              <w:top w:val="nil"/>
              <w:left w:val="nil"/>
              <w:bottom w:val="nil"/>
            </w:tcBorders>
            <w:tcMar>
              <w:top w:w="0" w:type="dxa"/>
              <w:left w:w="108" w:type="dxa"/>
              <w:bottom w:w="0" w:type="dxa"/>
              <w:right w:w="108" w:type="dxa"/>
            </w:tcMar>
            <w:vAlign w:val="center"/>
          </w:tcPr>
          <w:p w14:paraId="3CBF1B00" w14:textId="6EFE59A6" w:rsidR="00C01F53" w:rsidRDefault="00C01F53" w:rsidP="00C01F53">
            <w:pPr>
              <w:jc w:val="right"/>
              <w:rPr>
                <w:rFonts w:ascii="Arial" w:hAnsi="Arial" w:cs="Arial"/>
                <w:color w:val="000000"/>
                <w:sz w:val="20"/>
                <w:szCs w:val="20"/>
              </w:rPr>
            </w:pPr>
            <w:r>
              <w:rPr>
                <w:rFonts w:ascii="Arial" w:hAnsi="Arial" w:cs="Arial"/>
                <w:color w:val="000000"/>
                <w:sz w:val="20"/>
                <w:szCs w:val="20"/>
              </w:rPr>
              <w:t>$0.00</w:t>
            </w:r>
          </w:p>
        </w:tc>
        <w:tc>
          <w:tcPr>
            <w:tcW w:w="2064" w:type="dxa"/>
            <w:tcBorders>
              <w:top w:val="nil"/>
              <w:bottom w:val="nil"/>
              <w:right w:val="single" w:sz="4" w:space="0" w:color="auto"/>
            </w:tcBorders>
            <w:tcMar>
              <w:top w:w="0" w:type="dxa"/>
              <w:left w:w="108" w:type="dxa"/>
              <w:bottom w:w="0" w:type="dxa"/>
              <w:right w:w="108" w:type="dxa"/>
            </w:tcMar>
            <w:vAlign w:val="center"/>
          </w:tcPr>
          <w:p w14:paraId="0A7B92BD" w14:textId="033C972A" w:rsidR="00C01F53" w:rsidRDefault="00C01F53" w:rsidP="00C01F53">
            <w:pPr>
              <w:jc w:val="right"/>
              <w:rPr>
                <w:rFonts w:ascii="Arial" w:hAnsi="Arial" w:cs="Arial"/>
                <w:color w:val="000000"/>
                <w:sz w:val="20"/>
                <w:szCs w:val="20"/>
              </w:rPr>
            </w:pPr>
          </w:p>
        </w:tc>
      </w:tr>
      <w:tr w:rsidR="00C01F53" w14:paraId="3DEB6BEE" w14:textId="77777777" w:rsidTr="00326F1A">
        <w:trPr>
          <w:trHeight w:val="300"/>
        </w:trPr>
        <w:tc>
          <w:tcPr>
            <w:tcW w:w="2745" w:type="dxa"/>
            <w:tcBorders>
              <w:top w:val="nil"/>
              <w:left w:val="single" w:sz="8" w:space="0" w:color="auto"/>
              <w:bottom w:val="nil"/>
              <w:right w:val="nil"/>
            </w:tcBorders>
            <w:tcMar>
              <w:top w:w="0" w:type="dxa"/>
              <w:left w:w="108" w:type="dxa"/>
              <w:bottom w:w="0" w:type="dxa"/>
              <w:right w:w="108" w:type="dxa"/>
            </w:tcMar>
            <w:vAlign w:val="center"/>
            <w:hideMark/>
          </w:tcPr>
          <w:p w14:paraId="74D7D2EF" w14:textId="77777777" w:rsidR="00C01F53" w:rsidRDefault="00C01F53" w:rsidP="00C01F53">
            <w:pPr>
              <w:rPr>
                <w:rFonts w:ascii="Arial" w:hAnsi="Arial" w:cs="Arial"/>
                <w:color w:val="000000"/>
                <w:sz w:val="20"/>
                <w:szCs w:val="20"/>
              </w:rPr>
            </w:pPr>
            <w:r>
              <w:rPr>
                <w:rFonts w:ascii="Arial" w:hAnsi="Arial" w:cs="Arial"/>
                <w:color w:val="000000"/>
                <w:sz w:val="20"/>
                <w:szCs w:val="20"/>
              </w:rPr>
              <w:t>Trustee/Benefit Payments</w:t>
            </w:r>
          </w:p>
        </w:tc>
        <w:tc>
          <w:tcPr>
            <w:tcW w:w="1625" w:type="dxa"/>
            <w:tcBorders>
              <w:top w:val="nil"/>
              <w:left w:val="nil"/>
              <w:bottom w:val="nil"/>
            </w:tcBorders>
            <w:tcMar>
              <w:top w:w="0" w:type="dxa"/>
              <w:left w:w="108" w:type="dxa"/>
              <w:bottom w:w="0" w:type="dxa"/>
              <w:right w:w="108" w:type="dxa"/>
            </w:tcMar>
            <w:vAlign w:val="center"/>
          </w:tcPr>
          <w:p w14:paraId="16C413FC" w14:textId="66A6465B" w:rsidR="00C01F53" w:rsidRDefault="00C01F53" w:rsidP="00C01F53">
            <w:pPr>
              <w:jc w:val="right"/>
              <w:rPr>
                <w:rFonts w:ascii="Arial" w:hAnsi="Arial" w:cs="Arial"/>
                <w:color w:val="000000"/>
                <w:sz w:val="20"/>
                <w:szCs w:val="20"/>
                <w:u w:val="single"/>
              </w:rPr>
            </w:pPr>
            <w:r>
              <w:rPr>
                <w:rFonts w:ascii="Arial" w:hAnsi="Arial" w:cs="Arial"/>
                <w:color w:val="000000"/>
                <w:sz w:val="20"/>
                <w:szCs w:val="20"/>
                <w:u w:val="single"/>
              </w:rPr>
              <w:t>$3,451,400</w:t>
            </w:r>
          </w:p>
        </w:tc>
        <w:tc>
          <w:tcPr>
            <w:tcW w:w="1757" w:type="dxa"/>
            <w:tcBorders>
              <w:top w:val="nil"/>
              <w:bottom w:val="nil"/>
            </w:tcBorders>
            <w:tcMar>
              <w:top w:w="0" w:type="dxa"/>
              <w:left w:w="108" w:type="dxa"/>
              <w:bottom w:w="0" w:type="dxa"/>
              <w:right w:w="108" w:type="dxa"/>
            </w:tcMar>
            <w:vAlign w:val="center"/>
          </w:tcPr>
          <w:p w14:paraId="7B3F7971" w14:textId="13E6117D" w:rsidR="00C01F53" w:rsidRDefault="00C01F53" w:rsidP="00C01F53">
            <w:pPr>
              <w:jc w:val="right"/>
              <w:rPr>
                <w:rFonts w:ascii="Arial" w:hAnsi="Arial" w:cs="Arial"/>
                <w:color w:val="000000"/>
                <w:sz w:val="20"/>
                <w:szCs w:val="20"/>
                <w:u w:val="single"/>
              </w:rPr>
            </w:pPr>
            <w:r>
              <w:rPr>
                <w:rFonts w:ascii="Arial" w:hAnsi="Arial" w:cs="Arial"/>
                <w:color w:val="000000"/>
                <w:sz w:val="20"/>
                <w:szCs w:val="20"/>
                <w:u w:val="single"/>
              </w:rPr>
              <w:t>$4,645,300</w:t>
            </w:r>
          </w:p>
        </w:tc>
        <w:tc>
          <w:tcPr>
            <w:tcW w:w="1889" w:type="dxa"/>
            <w:tcBorders>
              <w:top w:val="nil"/>
              <w:left w:val="nil"/>
              <w:bottom w:val="nil"/>
            </w:tcBorders>
            <w:tcMar>
              <w:top w:w="0" w:type="dxa"/>
              <w:left w:w="108" w:type="dxa"/>
              <w:bottom w:w="0" w:type="dxa"/>
              <w:right w:w="108" w:type="dxa"/>
            </w:tcMar>
            <w:vAlign w:val="center"/>
          </w:tcPr>
          <w:p w14:paraId="4D22EE85" w14:textId="7C39A89F" w:rsidR="00C01F53" w:rsidRDefault="00C01F53" w:rsidP="00C01F53">
            <w:pPr>
              <w:jc w:val="right"/>
              <w:rPr>
                <w:rFonts w:ascii="Arial" w:hAnsi="Arial" w:cs="Arial"/>
                <w:color w:val="000000"/>
                <w:sz w:val="20"/>
                <w:szCs w:val="20"/>
                <w:u w:val="single"/>
              </w:rPr>
            </w:pPr>
            <w:r>
              <w:rPr>
                <w:rFonts w:ascii="Arial" w:hAnsi="Arial" w:cs="Arial"/>
                <w:color w:val="000000"/>
                <w:sz w:val="20"/>
                <w:szCs w:val="20"/>
                <w:u w:val="single"/>
              </w:rPr>
              <w:t>$2,621,500</w:t>
            </w:r>
          </w:p>
        </w:tc>
        <w:tc>
          <w:tcPr>
            <w:tcW w:w="2064" w:type="dxa"/>
            <w:tcBorders>
              <w:top w:val="nil"/>
              <w:bottom w:val="nil"/>
              <w:right w:val="single" w:sz="4" w:space="0" w:color="auto"/>
            </w:tcBorders>
            <w:tcMar>
              <w:top w:w="0" w:type="dxa"/>
              <w:left w:w="108" w:type="dxa"/>
              <w:bottom w:w="0" w:type="dxa"/>
              <w:right w:w="108" w:type="dxa"/>
            </w:tcMar>
            <w:vAlign w:val="center"/>
          </w:tcPr>
          <w:p w14:paraId="50253191" w14:textId="5AF7CD42" w:rsidR="00C01F53" w:rsidRPr="002462E5" w:rsidRDefault="00C01F53" w:rsidP="00C01F53">
            <w:pPr>
              <w:jc w:val="right"/>
              <w:rPr>
                <w:rFonts w:ascii="Arial" w:hAnsi="Arial" w:cs="Arial"/>
                <w:color w:val="000000"/>
                <w:sz w:val="20"/>
                <w:szCs w:val="20"/>
                <w:u w:val="single"/>
              </w:rPr>
            </w:pPr>
          </w:p>
        </w:tc>
      </w:tr>
      <w:tr w:rsidR="00C01F53" w14:paraId="13298D80" w14:textId="77777777" w:rsidTr="00326F1A">
        <w:trPr>
          <w:trHeight w:val="315"/>
        </w:trPr>
        <w:tc>
          <w:tcPr>
            <w:tcW w:w="2745"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0B9864A7" w14:textId="77777777" w:rsidR="00C01F53" w:rsidRDefault="00C01F53" w:rsidP="00C01F53">
            <w:pPr>
              <w:rPr>
                <w:rFonts w:ascii="Arial" w:hAnsi="Arial" w:cs="Arial"/>
                <w:b/>
                <w:bCs/>
                <w:color w:val="000000"/>
                <w:sz w:val="20"/>
                <w:szCs w:val="20"/>
              </w:rPr>
            </w:pPr>
            <w:r>
              <w:rPr>
                <w:rFonts w:ascii="Arial" w:hAnsi="Arial" w:cs="Arial"/>
                <w:b/>
                <w:bCs/>
                <w:color w:val="000000"/>
                <w:sz w:val="20"/>
                <w:szCs w:val="20"/>
              </w:rPr>
              <w:t>Total</w:t>
            </w:r>
          </w:p>
        </w:tc>
        <w:tc>
          <w:tcPr>
            <w:tcW w:w="1625" w:type="dxa"/>
            <w:tcBorders>
              <w:top w:val="nil"/>
              <w:left w:val="nil"/>
              <w:bottom w:val="single" w:sz="4" w:space="0" w:color="auto"/>
            </w:tcBorders>
            <w:tcMar>
              <w:top w:w="0" w:type="dxa"/>
              <w:left w:w="108" w:type="dxa"/>
              <w:bottom w:w="0" w:type="dxa"/>
              <w:right w:w="108" w:type="dxa"/>
            </w:tcMar>
            <w:vAlign w:val="center"/>
          </w:tcPr>
          <w:p w14:paraId="705A1050" w14:textId="5F45DA84" w:rsidR="00C01F53" w:rsidRDefault="00C01F53" w:rsidP="00C01F53">
            <w:pPr>
              <w:jc w:val="right"/>
              <w:rPr>
                <w:rFonts w:ascii="Arial" w:hAnsi="Arial" w:cs="Arial"/>
                <w:b/>
                <w:bCs/>
                <w:color w:val="000000"/>
                <w:sz w:val="20"/>
                <w:szCs w:val="20"/>
              </w:rPr>
            </w:pPr>
            <w:r>
              <w:rPr>
                <w:rFonts w:ascii="Arial" w:hAnsi="Arial" w:cs="Arial"/>
                <w:b/>
                <w:bCs/>
                <w:color w:val="000000"/>
                <w:sz w:val="20"/>
                <w:szCs w:val="20"/>
              </w:rPr>
              <w:t>$4,665,500</w:t>
            </w:r>
          </w:p>
        </w:tc>
        <w:tc>
          <w:tcPr>
            <w:tcW w:w="1757" w:type="dxa"/>
            <w:tcBorders>
              <w:top w:val="nil"/>
              <w:bottom w:val="single" w:sz="4" w:space="0" w:color="auto"/>
            </w:tcBorders>
            <w:tcMar>
              <w:top w:w="0" w:type="dxa"/>
              <w:left w:w="108" w:type="dxa"/>
              <w:bottom w:w="0" w:type="dxa"/>
              <w:right w:w="108" w:type="dxa"/>
            </w:tcMar>
            <w:vAlign w:val="center"/>
          </w:tcPr>
          <w:p w14:paraId="4A30CF5D" w14:textId="15DCE182" w:rsidR="00C01F53" w:rsidRDefault="00C01F53" w:rsidP="00C01F53">
            <w:pPr>
              <w:jc w:val="right"/>
              <w:rPr>
                <w:rFonts w:ascii="Arial" w:hAnsi="Arial" w:cs="Arial"/>
                <w:b/>
                <w:bCs/>
                <w:color w:val="000000"/>
                <w:sz w:val="20"/>
                <w:szCs w:val="20"/>
              </w:rPr>
            </w:pPr>
            <w:r>
              <w:rPr>
                <w:rFonts w:ascii="Arial" w:hAnsi="Arial" w:cs="Arial"/>
                <w:b/>
                <w:bCs/>
                <w:color w:val="000000"/>
                <w:sz w:val="20"/>
                <w:szCs w:val="20"/>
              </w:rPr>
              <w:t>$5,949,700</w:t>
            </w:r>
          </w:p>
        </w:tc>
        <w:tc>
          <w:tcPr>
            <w:tcW w:w="1889" w:type="dxa"/>
            <w:tcBorders>
              <w:top w:val="nil"/>
              <w:left w:val="nil"/>
              <w:bottom w:val="single" w:sz="4" w:space="0" w:color="auto"/>
            </w:tcBorders>
            <w:tcMar>
              <w:top w:w="0" w:type="dxa"/>
              <w:left w:w="108" w:type="dxa"/>
              <w:bottom w:w="0" w:type="dxa"/>
              <w:right w:w="108" w:type="dxa"/>
            </w:tcMar>
            <w:vAlign w:val="center"/>
          </w:tcPr>
          <w:p w14:paraId="4D8FF7D4" w14:textId="55C3ECC0" w:rsidR="00C01F53" w:rsidRDefault="00C01F53" w:rsidP="00C01F53">
            <w:pPr>
              <w:jc w:val="right"/>
              <w:rPr>
                <w:rFonts w:ascii="Arial" w:hAnsi="Arial" w:cs="Arial"/>
                <w:b/>
                <w:bCs/>
                <w:color w:val="000000"/>
                <w:sz w:val="20"/>
                <w:szCs w:val="20"/>
              </w:rPr>
            </w:pPr>
            <w:r>
              <w:rPr>
                <w:rFonts w:ascii="Arial" w:hAnsi="Arial" w:cs="Arial"/>
                <w:b/>
                <w:bCs/>
                <w:color w:val="000000"/>
                <w:sz w:val="20"/>
                <w:szCs w:val="20"/>
              </w:rPr>
              <w:t>$3,796,600</w:t>
            </w:r>
          </w:p>
        </w:tc>
        <w:tc>
          <w:tcPr>
            <w:tcW w:w="2064" w:type="dxa"/>
            <w:tcBorders>
              <w:top w:val="nil"/>
              <w:bottom w:val="single" w:sz="4" w:space="0" w:color="auto"/>
              <w:right w:val="single" w:sz="4" w:space="0" w:color="auto"/>
            </w:tcBorders>
            <w:tcMar>
              <w:top w:w="0" w:type="dxa"/>
              <w:left w:w="108" w:type="dxa"/>
              <w:bottom w:w="0" w:type="dxa"/>
              <w:right w:w="108" w:type="dxa"/>
            </w:tcMar>
            <w:vAlign w:val="center"/>
          </w:tcPr>
          <w:p w14:paraId="27236013" w14:textId="78051E13" w:rsidR="00C01F53" w:rsidRDefault="00C01F53" w:rsidP="00C01F53">
            <w:pPr>
              <w:jc w:val="right"/>
              <w:rPr>
                <w:rFonts w:ascii="Arial" w:hAnsi="Arial" w:cs="Arial"/>
                <w:b/>
                <w:bCs/>
                <w:color w:val="000000"/>
                <w:sz w:val="20"/>
                <w:szCs w:val="20"/>
              </w:rPr>
            </w:pPr>
          </w:p>
        </w:tc>
      </w:tr>
    </w:tbl>
    <w:p w14:paraId="0FB16CD2" w14:textId="77777777" w:rsidR="00DC4B2E" w:rsidRDefault="00DC4B2E" w:rsidP="00A26074">
      <w:pPr>
        <w:jc w:val="both"/>
        <w:rPr>
          <w:rFonts w:ascii="Arial" w:hAnsi="Arial" w:cs="Arial"/>
          <w:b/>
          <w:bCs/>
        </w:rPr>
      </w:pPr>
    </w:p>
    <w:p w14:paraId="5869070A" w14:textId="1613C676" w:rsidR="003C5B6A" w:rsidRDefault="00A26074" w:rsidP="00A26074">
      <w:pPr>
        <w:jc w:val="both"/>
        <w:rPr>
          <w:rFonts w:ascii="Arial" w:hAnsi="Arial" w:cs="Arial"/>
          <w:b/>
          <w:bCs/>
        </w:rPr>
      </w:pPr>
      <w:r w:rsidRPr="005A5D9A">
        <w:rPr>
          <w:rFonts w:ascii="Arial" w:hAnsi="Arial" w:cs="Arial"/>
          <w:b/>
          <w:bCs/>
        </w:rPr>
        <w:t>Profile of Cases Managed and/or Key Services</w:t>
      </w:r>
      <w:r w:rsidR="003C5B6A">
        <w:rPr>
          <w:rFonts w:ascii="Arial" w:hAnsi="Arial" w:cs="Arial"/>
          <w:b/>
          <w:bCs/>
        </w:rPr>
        <w:t xml:space="preserve"> Provided</w:t>
      </w:r>
    </w:p>
    <w:p w14:paraId="1137BC18" w14:textId="77777777" w:rsidR="00DC4B2E" w:rsidRDefault="00DC4B2E" w:rsidP="00A26074">
      <w:pPr>
        <w:jc w:val="both"/>
        <w:rPr>
          <w:rFonts w:ascii="Arial" w:hAnsi="Arial" w:cs="Arial"/>
          <w:b/>
          <w:bCs/>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6"/>
        <w:gridCol w:w="1561"/>
        <w:gridCol w:w="1561"/>
        <w:gridCol w:w="1561"/>
        <w:gridCol w:w="1561"/>
      </w:tblGrid>
      <w:tr w:rsidR="009669FA" w14:paraId="3F483FA2" w14:textId="77777777" w:rsidTr="000B4670">
        <w:tc>
          <w:tcPr>
            <w:tcW w:w="3836" w:type="dxa"/>
            <w:shd w:val="clear" w:color="auto" w:fill="000080"/>
          </w:tcPr>
          <w:p w14:paraId="770CC94F" w14:textId="77777777" w:rsidR="009669FA" w:rsidRDefault="009669FA" w:rsidP="000B4670">
            <w:pPr>
              <w:jc w:val="center"/>
              <w:rPr>
                <w:rFonts w:ascii="Arial" w:hAnsi="Arial" w:cs="Arial"/>
                <w:b/>
                <w:bCs/>
                <w:color w:val="FFFFFF"/>
                <w:sz w:val="20"/>
              </w:rPr>
            </w:pPr>
            <w:r>
              <w:rPr>
                <w:rFonts w:ascii="Arial" w:hAnsi="Arial" w:cs="Arial"/>
                <w:b/>
                <w:bCs/>
                <w:color w:val="FFFFFF"/>
                <w:sz w:val="20"/>
              </w:rPr>
              <w:t>Cases Managed and/or Key Services Provided</w:t>
            </w:r>
          </w:p>
        </w:tc>
        <w:tc>
          <w:tcPr>
            <w:tcW w:w="1561" w:type="dxa"/>
            <w:shd w:val="clear" w:color="auto" w:fill="000080"/>
            <w:vAlign w:val="bottom"/>
          </w:tcPr>
          <w:p w14:paraId="4093E56B" w14:textId="0404AA0C" w:rsidR="009669FA" w:rsidRDefault="00C24283" w:rsidP="000B4670">
            <w:pPr>
              <w:jc w:val="center"/>
              <w:rPr>
                <w:rFonts w:ascii="Arial" w:hAnsi="Arial" w:cs="Arial"/>
                <w:b/>
                <w:bCs/>
                <w:color w:val="FFFFFF"/>
                <w:sz w:val="20"/>
              </w:rPr>
            </w:pPr>
            <w:r>
              <w:rPr>
                <w:rFonts w:ascii="Arial" w:hAnsi="Arial" w:cs="Arial"/>
                <w:b/>
                <w:bCs/>
                <w:color w:val="FFFFFF"/>
                <w:sz w:val="20"/>
              </w:rPr>
              <w:t>FY 202</w:t>
            </w:r>
            <w:r w:rsidR="00C01F53">
              <w:rPr>
                <w:rFonts w:ascii="Arial" w:hAnsi="Arial" w:cs="Arial"/>
                <w:b/>
                <w:bCs/>
                <w:color w:val="FFFFFF"/>
                <w:sz w:val="20"/>
              </w:rPr>
              <w:t>2</w:t>
            </w:r>
          </w:p>
        </w:tc>
        <w:tc>
          <w:tcPr>
            <w:tcW w:w="1561" w:type="dxa"/>
            <w:shd w:val="clear" w:color="auto" w:fill="000080"/>
            <w:vAlign w:val="bottom"/>
          </w:tcPr>
          <w:p w14:paraId="04D50E52" w14:textId="0645771B" w:rsidR="009669FA" w:rsidRDefault="00C24283" w:rsidP="000B4670">
            <w:pPr>
              <w:jc w:val="center"/>
              <w:rPr>
                <w:rFonts w:ascii="Arial" w:hAnsi="Arial" w:cs="Arial"/>
                <w:b/>
                <w:bCs/>
                <w:color w:val="FFFFFF"/>
                <w:sz w:val="20"/>
              </w:rPr>
            </w:pPr>
            <w:r>
              <w:rPr>
                <w:rFonts w:ascii="Arial" w:hAnsi="Arial" w:cs="Arial"/>
                <w:b/>
                <w:bCs/>
                <w:color w:val="FFFFFF"/>
                <w:sz w:val="20"/>
              </w:rPr>
              <w:t>FY 202</w:t>
            </w:r>
            <w:r w:rsidR="00C01F53">
              <w:rPr>
                <w:rFonts w:ascii="Arial" w:hAnsi="Arial" w:cs="Arial"/>
                <w:b/>
                <w:bCs/>
                <w:color w:val="FFFFFF"/>
                <w:sz w:val="20"/>
              </w:rPr>
              <w:t>3</w:t>
            </w:r>
          </w:p>
        </w:tc>
        <w:tc>
          <w:tcPr>
            <w:tcW w:w="1561" w:type="dxa"/>
            <w:shd w:val="clear" w:color="auto" w:fill="000080"/>
            <w:vAlign w:val="bottom"/>
          </w:tcPr>
          <w:p w14:paraId="7C930819" w14:textId="6C624360" w:rsidR="009669FA" w:rsidRDefault="00C24283" w:rsidP="000B4670">
            <w:pPr>
              <w:jc w:val="center"/>
              <w:rPr>
                <w:rFonts w:ascii="Arial" w:hAnsi="Arial" w:cs="Arial"/>
                <w:b/>
                <w:bCs/>
                <w:color w:val="FFFFFF"/>
                <w:sz w:val="20"/>
              </w:rPr>
            </w:pPr>
            <w:r>
              <w:rPr>
                <w:rFonts w:ascii="Arial" w:hAnsi="Arial" w:cs="Arial"/>
                <w:b/>
                <w:bCs/>
                <w:color w:val="FFFFFF"/>
                <w:sz w:val="20"/>
              </w:rPr>
              <w:t>FY 202</w:t>
            </w:r>
            <w:r w:rsidR="00C01F53">
              <w:rPr>
                <w:rFonts w:ascii="Arial" w:hAnsi="Arial" w:cs="Arial"/>
                <w:b/>
                <w:bCs/>
                <w:color w:val="FFFFFF"/>
                <w:sz w:val="20"/>
              </w:rPr>
              <w:t>4</w:t>
            </w:r>
          </w:p>
        </w:tc>
        <w:tc>
          <w:tcPr>
            <w:tcW w:w="1561" w:type="dxa"/>
            <w:shd w:val="clear" w:color="auto" w:fill="000080"/>
            <w:vAlign w:val="bottom"/>
          </w:tcPr>
          <w:p w14:paraId="2FAA9CA5" w14:textId="2674E176" w:rsidR="009669FA" w:rsidRDefault="00C24283" w:rsidP="000B4670">
            <w:pPr>
              <w:jc w:val="center"/>
              <w:rPr>
                <w:rFonts w:ascii="Arial" w:hAnsi="Arial" w:cs="Arial"/>
                <w:b/>
                <w:bCs/>
                <w:color w:val="FFFFFF"/>
                <w:sz w:val="20"/>
              </w:rPr>
            </w:pPr>
            <w:r>
              <w:rPr>
                <w:rFonts w:ascii="Arial" w:hAnsi="Arial" w:cs="Arial"/>
                <w:b/>
                <w:bCs/>
                <w:color w:val="FFFFFF"/>
                <w:sz w:val="20"/>
              </w:rPr>
              <w:t>FY 202</w:t>
            </w:r>
            <w:r w:rsidR="00C01F53">
              <w:rPr>
                <w:rFonts w:ascii="Arial" w:hAnsi="Arial" w:cs="Arial"/>
                <w:b/>
                <w:bCs/>
                <w:color w:val="FFFFFF"/>
                <w:sz w:val="20"/>
              </w:rPr>
              <w:t>5</w:t>
            </w:r>
          </w:p>
        </w:tc>
      </w:tr>
      <w:tr w:rsidR="009669FA" w:rsidRPr="00397125" w14:paraId="7701F631" w14:textId="77777777" w:rsidTr="000B4670">
        <w:tc>
          <w:tcPr>
            <w:tcW w:w="3836" w:type="dxa"/>
            <w:vAlign w:val="center"/>
          </w:tcPr>
          <w:p w14:paraId="51BDED96" w14:textId="77777777" w:rsidR="009669FA" w:rsidRPr="00D66120" w:rsidRDefault="009669FA" w:rsidP="000B4670">
            <w:pPr>
              <w:rPr>
                <w:rFonts w:ascii="Arial" w:hAnsi="Arial" w:cs="Arial"/>
                <w:sz w:val="20"/>
              </w:rPr>
            </w:pPr>
            <w:r>
              <w:rPr>
                <w:rFonts w:ascii="Arial" w:hAnsi="Arial" w:cs="Arial"/>
                <w:sz w:val="20"/>
              </w:rPr>
              <w:t xml:space="preserve">Educate stakeholders on drug-related issues </w:t>
            </w:r>
          </w:p>
        </w:tc>
        <w:tc>
          <w:tcPr>
            <w:tcW w:w="1561" w:type="dxa"/>
            <w:vAlign w:val="center"/>
          </w:tcPr>
          <w:p w14:paraId="7E50751F" w14:textId="77777777" w:rsidR="009669FA" w:rsidRPr="00D66120" w:rsidRDefault="009669FA" w:rsidP="000B4670">
            <w:pPr>
              <w:jc w:val="center"/>
            </w:pPr>
            <w:r w:rsidRPr="00D66120">
              <w:rPr>
                <w:rFonts w:ascii="Arial" w:hAnsi="Arial" w:cs="Arial"/>
                <w:sz w:val="20"/>
              </w:rPr>
              <w:t>Complete</w:t>
            </w:r>
          </w:p>
        </w:tc>
        <w:tc>
          <w:tcPr>
            <w:tcW w:w="1561" w:type="dxa"/>
            <w:vAlign w:val="center"/>
          </w:tcPr>
          <w:p w14:paraId="6FAA1A19" w14:textId="77777777" w:rsidR="009669FA" w:rsidRPr="00D66120" w:rsidRDefault="009669FA" w:rsidP="000B4670">
            <w:pPr>
              <w:jc w:val="center"/>
            </w:pPr>
            <w:r w:rsidRPr="004C6180">
              <w:rPr>
                <w:rFonts w:ascii="Arial" w:hAnsi="Arial" w:cs="Arial"/>
                <w:sz w:val="20"/>
                <w:szCs w:val="20"/>
              </w:rPr>
              <w:t>Complete</w:t>
            </w:r>
          </w:p>
        </w:tc>
        <w:tc>
          <w:tcPr>
            <w:tcW w:w="1561" w:type="dxa"/>
            <w:shd w:val="clear" w:color="auto" w:fill="auto"/>
            <w:vAlign w:val="center"/>
          </w:tcPr>
          <w:p w14:paraId="6BB82A63" w14:textId="77777777" w:rsidR="009669FA" w:rsidRPr="00397125" w:rsidRDefault="009669FA" w:rsidP="000B4670">
            <w:pPr>
              <w:jc w:val="center"/>
              <w:rPr>
                <w:rFonts w:ascii="Arial" w:hAnsi="Arial" w:cs="Arial"/>
                <w:sz w:val="20"/>
                <w:szCs w:val="20"/>
              </w:rPr>
            </w:pPr>
            <w:r w:rsidRPr="00397125">
              <w:rPr>
                <w:rFonts w:ascii="Arial" w:hAnsi="Arial" w:cs="Arial"/>
                <w:sz w:val="20"/>
                <w:szCs w:val="20"/>
              </w:rPr>
              <w:t>Complete</w:t>
            </w:r>
          </w:p>
        </w:tc>
        <w:tc>
          <w:tcPr>
            <w:tcW w:w="1561" w:type="dxa"/>
            <w:shd w:val="clear" w:color="auto" w:fill="auto"/>
            <w:vAlign w:val="center"/>
          </w:tcPr>
          <w:p w14:paraId="133F1B2B" w14:textId="20F0E007" w:rsidR="009669FA" w:rsidRPr="00397125" w:rsidRDefault="000A1E40" w:rsidP="000B4670">
            <w:pPr>
              <w:jc w:val="center"/>
              <w:rPr>
                <w:rFonts w:ascii="Arial" w:hAnsi="Arial" w:cs="Arial"/>
                <w:sz w:val="20"/>
                <w:szCs w:val="20"/>
              </w:rPr>
            </w:pPr>
            <w:r w:rsidRPr="00397125">
              <w:rPr>
                <w:rFonts w:ascii="Arial" w:hAnsi="Arial" w:cs="Arial"/>
                <w:sz w:val="20"/>
                <w:szCs w:val="20"/>
              </w:rPr>
              <w:t>Complete</w:t>
            </w:r>
          </w:p>
        </w:tc>
      </w:tr>
      <w:tr w:rsidR="009669FA" w:rsidRPr="00397125" w14:paraId="21DBE1C0" w14:textId="77777777" w:rsidTr="000B4670">
        <w:trPr>
          <w:trHeight w:val="127"/>
        </w:trPr>
        <w:tc>
          <w:tcPr>
            <w:tcW w:w="3836" w:type="dxa"/>
            <w:vAlign w:val="center"/>
          </w:tcPr>
          <w:p w14:paraId="214EB123" w14:textId="77777777" w:rsidR="009669FA" w:rsidRPr="00D66120" w:rsidRDefault="009669FA" w:rsidP="000B4670">
            <w:pPr>
              <w:rPr>
                <w:rFonts w:ascii="Arial" w:hAnsi="Arial" w:cs="Arial"/>
                <w:sz w:val="20"/>
              </w:rPr>
            </w:pPr>
            <w:r w:rsidRPr="00D66120">
              <w:rPr>
                <w:rFonts w:ascii="Arial" w:hAnsi="Arial" w:cs="Arial"/>
                <w:sz w:val="20"/>
              </w:rPr>
              <w:t>Coordinate information dissemination regarding substance abuse</w:t>
            </w:r>
            <w:r>
              <w:rPr>
                <w:rFonts w:ascii="Arial" w:hAnsi="Arial" w:cs="Arial"/>
                <w:sz w:val="20"/>
              </w:rPr>
              <w:t xml:space="preserve"> including media campaigns</w:t>
            </w:r>
          </w:p>
        </w:tc>
        <w:tc>
          <w:tcPr>
            <w:tcW w:w="1561" w:type="dxa"/>
            <w:vAlign w:val="center"/>
          </w:tcPr>
          <w:p w14:paraId="62EE3E97" w14:textId="77777777" w:rsidR="009669FA" w:rsidRPr="00D66120" w:rsidRDefault="009669FA" w:rsidP="000B4670">
            <w:pPr>
              <w:jc w:val="center"/>
            </w:pPr>
            <w:r w:rsidRPr="00D66120">
              <w:rPr>
                <w:rFonts w:ascii="Arial" w:hAnsi="Arial" w:cs="Arial"/>
                <w:sz w:val="20"/>
              </w:rPr>
              <w:t>Complete</w:t>
            </w:r>
          </w:p>
        </w:tc>
        <w:tc>
          <w:tcPr>
            <w:tcW w:w="1561" w:type="dxa"/>
            <w:vAlign w:val="center"/>
          </w:tcPr>
          <w:p w14:paraId="68E40D81" w14:textId="77777777" w:rsidR="009669FA" w:rsidRPr="00D66120" w:rsidRDefault="009669FA" w:rsidP="000B4670">
            <w:pPr>
              <w:jc w:val="center"/>
            </w:pPr>
            <w:r w:rsidRPr="004C6180">
              <w:rPr>
                <w:rFonts w:ascii="Arial" w:hAnsi="Arial" w:cs="Arial"/>
                <w:sz w:val="20"/>
                <w:szCs w:val="20"/>
              </w:rPr>
              <w:t>Complete</w:t>
            </w:r>
          </w:p>
        </w:tc>
        <w:tc>
          <w:tcPr>
            <w:tcW w:w="1561" w:type="dxa"/>
            <w:shd w:val="clear" w:color="auto" w:fill="auto"/>
            <w:vAlign w:val="center"/>
          </w:tcPr>
          <w:p w14:paraId="0FE70839" w14:textId="77777777" w:rsidR="009669FA" w:rsidRPr="00397125" w:rsidRDefault="009669FA" w:rsidP="000B4670">
            <w:pPr>
              <w:jc w:val="center"/>
              <w:rPr>
                <w:rFonts w:ascii="Arial" w:hAnsi="Arial" w:cs="Arial"/>
                <w:sz w:val="20"/>
                <w:szCs w:val="20"/>
              </w:rPr>
            </w:pPr>
            <w:r w:rsidRPr="00397125">
              <w:rPr>
                <w:rFonts w:ascii="Arial" w:hAnsi="Arial" w:cs="Arial"/>
                <w:sz w:val="20"/>
                <w:szCs w:val="20"/>
              </w:rPr>
              <w:t>Complete</w:t>
            </w:r>
          </w:p>
        </w:tc>
        <w:tc>
          <w:tcPr>
            <w:tcW w:w="1561" w:type="dxa"/>
            <w:shd w:val="clear" w:color="auto" w:fill="auto"/>
            <w:vAlign w:val="center"/>
          </w:tcPr>
          <w:p w14:paraId="2D333DF0" w14:textId="53CF3CA4" w:rsidR="009669FA" w:rsidRPr="00397125" w:rsidRDefault="000A1E40" w:rsidP="000B4670">
            <w:pPr>
              <w:jc w:val="center"/>
              <w:rPr>
                <w:rFonts w:ascii="Arial" w:hAnsi="Arial" w:cs="Arial"/>
                <w:sz w:val="20"/>
                <w:szCs w:val="20"/>
              </w:rPr>
            </w:pPr>
            <w:r w:rsidRPr="00397125">
              <w:rPr>
                <w:rFonts w:ascii="Arial" w:hAnsi="Arial" w:cs="Arial"/>
                <w:sz w:val="20"/>
                <w:szCs w:val="20"/>
              </w:rPr>
              <w:t>Complete</w:t>
            </w:r>
          </w:p>
        </w:tc>
      </w:tr>
      <w:tr w:rsidR="009669FA" w:rsidRPr="00397125" w14:paraId="68D3F0E2" w14:textId="77777777" w:rsidTr="000B4670">
        <w:trPr>
          <w:trHeight w:val="126"/>
        </w:trPr>
        <w:tc>
          <w:tcPr>
            <w:tcW w:w="3836" w:type="dxa"/>
            <w:vAlign w:val="center"/>
          </w:tcPr>
          <w:p w14:paraId="0B705A1F" w14:textId="77777777" w:rsidR="009669FA" w:rsidRPr="00D66120" w:rsidRDefault="009669FA" w:rsidP="000B4670">
            <w:pPr>
              <w:rPr>
                <w:rFonts w:ascii="Arial" w:hAnsi="Arial" w:cs="Arial"/>
                <w:sz w:val="20"/>
              </w:rPr>
            </w:pPr>
            <w:r w:rsidRPr="00D66120">
              <w:rPr>
                <w:rFonts w:ascii="Arial" w:hAnsi="Arial" w:cs="Arial"/>
                <w:sz w:val="20"/>
              </w:rPr>
              <w:t>Collaborate with stakeholders to decrease substance abuse in Idaho</w:t>
            </w:r>
          </w:p>
        </w:tc>
        <w:tc>
          <w:tcPr>
            <w:tcW w:w="1561" w:type="dxa"/>
            <w:vAlign w:val="center"/>
          </w:tcPr>
          <w:p w14:paraId="703E02CB" w14:textId="77777777" w:rsidR="009669FA" w:rsidRPr="00D66120" w:rsidRDefault="009669FA" w:rsidP="000B4670">
            <w:pPr>
              <w:jc w:val="center"/>
            </w:pPr>
            <w:r w:rsidRPr="00D66120">
              <w:rPr>
                <w:rFonts w:ascii="Arial" w:hAnsi="Arial" w:cs="Arial"/>
                <w:sz w:val="20"/>
              </w:rPr>
              <w:t>Complete</w:t>
            </w:r>
          </w:p>
        </w:tc>
        <w:tc>
          <w:tcPr>
            <w:tcW w:w="1561" w:type="dxa"/>
            <w:vAlign w:val="center"/>
          </w:tcPr>
          <w:p w14:paraId="15FE140B" w14:textId="77777777" w:rsidR="009669FA" w:rsidRPr="00D66120" w:rsidRDefault="009669FA" w:rsidP="000B4670">
            <w:pPr>
              <w:jc w:val="center"/>
            </w:pPr>
            <w:r w:rsidRPr="004C6180">
              <w:rPr>
                <w:rFonts w:ascii="Arial" w:hAnsi="Arial" w:cs="Arial"/>
                <w:sz w:val="20"/>
                <w:szCs w:val="20"/>
              </w:rPr>
              <w:t>Complete</w:t>
            </w:r>
          </w:p>
        </w:tc>
        <w:tc>
          <w:tcPr>
            <w:tcW w:w="1561" w:type="dxa"/>
            <w:shd w:val="clear" w:color="auto" w:fill="auto"/>
            <w:vAlign w:val="center"/>
          </w:tcPr>
          <w:p w14:paraId="4F53ABDC" w14:textId="77777777" w:rsidR="009669FA" w:rsidRPr="00397125" w:rsidRDefault="009669FA" w:rsidP="000B4670">
            <w:pPr>
              <w:jc w:val="center"/>
              <w:rPr>
                <w:rFonts w:ascii="Arial" w:hAnsi="Arial" w:cs="Arial"/>
                <w:sz w:val="20"/>
                <w:szCs w:val="20"/>
              </w:rPr>
            </w:pPr>
            <w:r w:rsidRPr="00397125">
              <w:rPr>
                <w:rFonts w:ascii="Arial" w:hAnsi="Arial" w:cs="Arial"/>
                <w:sz w:val="20"/>
                <w:szCs w:val="20"/>
              </w:rPr>
              <w:t>Complete</w:t>
            </w:r>
          </w:p>
        </w:tc>
        <w:tc>
          <w:tcPr>
            <w:tcW w:w="1561" w:type="dxa"/>
            <w:shd w:val="clear" w:color="auto" w:fill="auto"/>
            <w:vAlign w:val="center"/>
          </w:tcPr>
          <w:p w14:paraId="57F4E3CC" w14:textId="50564016" w:rsidR="009669FA" w:rsidRPr="00397125" w:rsidRDefault="000A1E40" w:rsidP="000B4670">
            <w:pPr>
              <w:jc w:val="center"/>
              <w:rPr>
                <w:rFonts w:ascii="Arial" w:hAnsi="Arial" w:cs="Arial"/>
                <w:sz w:val="20"/>
                <w:szCs w:val="20"/>
              </w:rPr>
            </w:pPr>
            <w:r w:rsidRPr="00397125">
              <w:rPr>
                <w:rFonts w:ascii="Arial" w:hAnsi="Arial" w:cs="Arial"/>
                <w:sz w:val="20"/>
                <w:szCs w:val="20"/>
              </w:rPr>
              <w:t>Complete</w:t>
            </w:r>
          </w:p>
        </w:tc>
      </w:tr>
      <w:tr w:rsidR="009669FA" w:rsidRPr="00397125" w14:paraId="0A3C3EB5" w14:textId="77777777" w:rsidTr="000B4670">
        <w:tc>
          <w:tcPr>
            <w:tcW w:w="3836" w:type="dxa"/>
            <w:vAlign w:val="center"/>
          </w:tcPr>
          <w:p w14:paraId="15CF9035" w14:textId="77777777" w:rsidR="00E74347" w:rsidRDefault="00E74347" w:rsidP="000B4670">
            <w:pPr>
              <w:rPr>
                <w:rFonts w:ascii="Arial" w:hAnsi="Arial" w:cs="Arial"/>
                <w:sz w:val="20"/>
              </w:rPr>
            </w:pPr>
          </w:p>
          <w:p w14:paraId="6684D259" w14:textId="1086935A" w:rsidR="009669FA" w:rsidRDefault="009669FA" w:rsidP="000B4670">
            <w:pPr>
              <w:rPr>
                <w:rFonts w:ascii="Arial" w:hAnsi="Arial" w:cs="Arial"/>
                <w:sz w:val="20"/>
              </w:rPr>
            </w:pPr>
            <w:r w:rsidRPr="00D66120">
              <w:rPr>
                <w:rFonts w:ascii="Arial" w:hAnsi="Arial" w:cs="Arial"/>
                <w:sz w:val="20"/>
              </w:rPr>
              <w:t>Grant Administration</w:t>
            </w:r>
          </w:p>
          <w:p w14:paraId="25CCFDE6" w14:textId="77777777" w:rsidR="00E74347" w:rsidRPr="00D66120" w:rsidRDefault="00E74347" w:rsidP="000B4670">
            <w:pPr>
              <w:rPr>
                <w:rFonts w:ascii="Arial" w:hAnsi="Arial" w:cs="Arial"/>
                <w:sz w:val="20"/>
              </w:rPr>
            </w:pPr>
          </w:p>
        </w:tc>
        <w:tc>
          <w:tcPr>
            <w:tcW w:w="1561" w:type="dxa"/>
            <w:vAlign w:val="center"/>
          </w:tcPr>
          <w:p w14:paraId="44351455" w14:textId="77777777" w:rsidR="009669FA" w:rsidRPr="00D66120" w:rsidRDefault="009669FA" w:rsidP="000B4670">
            <w:pPr>
              <w:jc w:val="center"/>
              <w:rPr>
                <w:rFonts w:ascii="Arial" w:hAnsi="Arial" w:cs="Arial"/>
                <w:sz w:val="20"/>
              </w:rPr>
            </w:pPr>
            <w:r w:rsidRPr="00D66120">
              <w:rPr>
                <w:rFonts w:ascii="Arial" w:hAnsi="Arial" w:cs="Arial"/>
                <w:sz w:val="20"/>
              </w:rPr>
              <w:t>Complete</w:t>
            </w:r>
          </w:p>
        </w:tc>
        <w:tc>
          <w:tcPr>
            <w:tcW w:w="1561" w:type="dxa"/>
            <w:vAlign w:val="center"/>
          </w:tcPr>
          <w:p w14:paraId="4359C810" w14:textId="77777777" w:rsidR="009669FA" w:rsidRPr="00D66120" w:rsidRDefault="009669FA" w:rsidP="000B4670">
            <w:pPr>
              <w:jc w:val="center"/>
              <w:rPr>
                <w:rFonts w:ascii="Arial" w:hAnsi="Arial" w:cs="Arial"/>
                <w:sz w:val="20"/>
              </w:rPr>
            </w:pPr>
            <w:r w:rsidRPr="004C6180">
              <w:rPr>
                <w:rFonts w:ascii="Arial" w:hAnsi="Arial" w:cs="Arial"/>
                <w:sz w:val="20"/>
                <w:szCs w:val="20"/>
              </w:rPr>
              <w:t>Complete</w:t>
            </w:r>
          </w:p>
        </w:tc>
        <w:tc>
          <w:tcPr>
            <w:tcW w:w="1561" w:type="dxa"/>
            <w:shd w:val="clear" w:color="auto" w:fill="auto"/>
            <w:vAlign w:val="center"/>
          </w:tcPr>
          <w:p w14:paraId="665CD6B7" w14:textId="77777777" w:rsidR="009669FA" w:rsidRPr="004C6180" w:rsidRDefault="009669FA" w:rsidP="000B4670">
            <w:pPr>
              <w:jc w:val="center"/>
              <w:rPr>
                <w:rFonts w:ascii="Arial" w:hAnsi="Arial" w:cs="Arial"/>
                <w:sz w:val="20"/>
                <w:szCs w:val="20"/>
              </w:rPr>
            </w:pPr>
            <w:r w:rsidRPr="00234A6A">
              <w:rPr>
                <w:rFonts w:ascii="Arial" w:hAnsi="Arial" w:cs="Arial"/>
                <w:sz w:val="20"/>
              </w:rPr>
              <w:t>Complete</w:t>
            </w:r>
          </w:p>
        </w:tc>
        <w:tc>
          <w:tcPr>
            <w:tcW w:w="1561" w:type="dxa"/>
            <w:shd w:val="clear" w:color="auto" w:fill="auto"/>
            <w:vAlign w:val="center"/>
          </w:tcPr>
          <w:p w14:paraId="12A62092" w14:textId="17E56409" w:rsidR="009669FA" w:rsidRPr="00397125" w:rsidRDefault="000A1E40" w:rsidP="000B4670">
            <w:pPr>
              <w:jc w:val="center"/>
              <w:rPr>
                <w:rFonts w:ascii="Arial" w:hAnsi="Arial" w:cs="Arial"/>
                <w:sz w:val="20"/>
                <w:szCs w:val="20"/>
              </w:rPr>
            </w:pPr>
            <w:r w:rsidRPr="00397125">
              <w:rPr>
                <w:rFonts w:ascii="Arial" w:hAnsi="Arial" w:cs="Arial"/>
                <w:sz w:val="20"/>
                <w:szCs w:val="20"/>
              </w:rPr>
              <w:t>Complete</w:t>
            </w:r>
          </w:p>
        </w:tc>
      </w:tr>
    </w:tbl>
    <w:p w14:paraId="49F59BC7" w14:textId="77777777" w:rsidR="009669FA" w:rsidRDefault="009669FA" w:rsidP="00B17129">
      <w:pPr>
        <w:rPr>
          <w:rFonts w:eastAsia="Calibri"/>
        </w:rPr>
      </w:pPr>
    </w:p>
    <w:p w14:paraId="292A9A06" w14:textId="77777777" w:rsidR="00BE72A8" w:rsidRDefault="00BE72A8" w:rsidP="00BE72A8">
      <w:pPr>
        <w:rPr>
          <w:rFonts w:ascii="Arial" w:eastAsia="Calibri" w:hAnsi="Arial" w:cs="Arial"/>
          <w:b/>
          <w:bCs/>
          <w:sz w:val="20"/>
          <w:szCs w:val="20"/>
        </w:rPr>
      </w:pPr>
      <w:bookmarkStart w:id="2" w:name="_Hlk80793525"/>
    </w:p>
    <w:p w14:paraId="21085129" w14:textId="77777777" w:rsidR="00BE72A8" w:rsidRDefault="00BE72A8" w:rsidP="00BE72A8">
      <w:pPr>
        <w:rPr>
          <w:rFonts w:ascii="Arial" w:eastAsia="Calibri" w:hAnsi="Arial" w:cs="Arial"/>
          <w:b/>
          <w:bCs/>
          <w:sz w:val="20"/>
          <w:szCs w:val="20"/>
        </w:rPr>
      </w:pPr>
    </w:p>
    <w:p w14:paraId="429C998D" w14:textId="77777777" w:rsidR="00BE72A8" w:rsidRDefault="00BE72A8" w:rsidP="00BE72A8">
      <w:pPr>
        <w:rPr>
          <w:rFonts w:ascii="Arial" w:eastAsia="Calibri" w:hAnsi="Arial" w:cs="Arial"/>
          <w:b/>
          <w:bCs/>
          <w:sz w:val="20"/>
          <w:szCs w:val="20"/>
        </w:rPr>
      </w:pPr>
    </w:p>
    <w:p w14:paraId="1102F977" w14:textId="77777777" w:rsidR="00BE72A8" w:rsidRDefault="00BE72A8" w:rsidP="00BE72A8">
      <w:pPr>
        <w:rPr>
          <w:rFonts w:ascii="Arial" w:eastAsia="Calibri" w:hAnsi="Arial" w:cs="Arial"/>
          <w:b/>
          <w:bCs/>
          <w:sz w:val="20"/>
          <w:szCs w:val="20"/>
        </w:rPr>
      </w:pPr>
    </w:p>
    <w:p w14:paraId="5123FFBA" w14:textId="77777777" w:rsidR="00BE72A8" w:rsidRDefault="00BE72A8" w:rsidP="00BE72A8">
      <w:pPr>
        <w:rPr>
          <w:rFonts w:ascii="Arial" w:eastAsia="Calibri" w:hAnsi="Arial" w:cs="Arial"/>
          <w:b/>
          <w:bCs/>
          <w:sz w:val="20"/>
          <w:szCs w:val="20"/>
        </w:rPr>
      </w:pPr>
    </w:p>
    <w:p w14:paraId="1025BFD3" w14:textId="77777777" w:rsidR="00BE72A8" w:rsidRDefault="00BE72A8" w:rsidP="00BE72A8">
      <w:pPr>
        <w:rPr>
          <w:rFonts w:ascii="Arial" w:eastAsia="Calibri" w:hAnsi="Arial" w:cs="Arial"/>
          <w:b/>
          <w:bCs/>
          <w:sz w:val="20"/>
          <w:szCs w:val="20"/>
        </w:rPr>
      </w:pPr>
    </w:p>
    <w:p w14:paraId="1D47EA48" w14:textId="77777777" w:rsidR="00BE72A8" w:rsidRDefault="00BE72A8" w:rsidP="00BE72A8">
      <w:pPr>
        <w:rPr>
          <w:rFonts w:ascii="Arial" w:eastAsia="Calibri" w:hAnsi="Arial" w:cs="Arial"/>
          <w:b/>
          <w:bCs/>
          <w:sz w:val="20"/>
          <w:szCs w:val="20"/>
        </w:rPr>
      </w:pPr>
    </w:p>
    <w:p w14:paraId="1AE1769D" w14:textId="77777777" w:rsidR="00BE72A8" w:rsidRDefault="00BE72A8" w:rsidP="00BE72A8">
      <w:pPr>
        <w:rPr>
          <w:rFonts w:ascii="Arial" w:eastAsia="Calibri" w:hAnsi="Arial" w:cs="Arial"/>
          <w:b/>
          <w:bCs/>
          <w:sz w:val="20"/>
          <w:szCs w:val="20"/>
        </w:rPr>
      </w:pPr>
    </w:p>
    <w:p w14:paraId="707F3177" w14:textId="77777777" w:rsidR="00BE72A8" w:rsidRDefault="00BE72A8" w:rsidP="00BE72A8">
      <w:pPr>
        <w:rPr>
          <w:rFonts w:ascii="Arial" w:eastAsia="Calibri" w:hAnsi="Arial" w:cs="Arial"/>
          <w:b/>
          <w:bCs/>
          <w:sz w:val="20"/>
          <w:szCs w:val="20"/>
        </w:rPr>
      </w:pPr>
    </w:p>
    <w:p w14:paraId="53CE0480" w14:textId="77777777" w:rsidR="00BE72A8" w:rsidRDefault="00BE72A8" w:rsidP="00BE72A8">
      <w:pPr>
        <w:rPr>
          <w:rFonts w:ascii="Arial" w:eastAsia="Calibri" w:hAnsi="Arial" w:cs="Arial"/>
          <w:b/>
          <w:bCs/>
          <w:sz w:val="20"/>
          <w:szCs w:val="20"/>
        </w:rPr>
      </w:pPr>
    </w:p>
    <w:p w14:paraId="19E6B8AB" w14:textId="77777777" w:rsidR="00BE72A8" w:rsidRDefault="00BE72A8" w:rsidP="00BE72A8">
      <w:pPr>
        <w:rPr>
          <w:rFonts w:ascii="Arial" w:eastAsia="Calibri" w:hAnsi="Arial" w:cs="Arial"/>
          <w:b/>
          <w:bCs/>
          <w:sz w:val="20"/>
          <w:szCs w:val="20"/>
        </w:rPr>
      </w:pPr>
    </w:p>
    <w:p w14:paraId="1B830837" w14:textId="77777777" w:rsidR="00BE72A8" w:rsidRDefault="00BE72A8" w:rsidP="00BE72A8">
      <w:pPr>
        <w:rPr>
          <w:rFonts w:ascii="Arial" w:eastAsia="Calibri" w:hAnsi="Arial" w:cs="Arial"/>
          <w:b/>
          <w:bCs/>
          <w:sz w:val="20"/>
          <w:szCs w:val="20"/>
        </w:rPr>
      </w:pPr>
    </w:p>
    <w:p w14:paraId="5DC77DF9" w14:textId="77777777" w:rsidR="00BE72A8" w:rsidRDefault="00BE72A8" w:rsidP="00BE72A8">
      <w:pPr>
        <w:rPr>
          <w:rFonts w:ascii="Arial" w:eastAsia="Calibri" w:hAnsi="Arial" w:cs="Arial"/>
          <w:b/>
          <w:bCs/>
          <w:sz w:val="20"/>
          <w:szCs w:val="20"/>
        </w:rPr>
      </w:pPr>
    </w:p>
    <w:p w14:paraId="1E7F8DDB" w14:textId="77777777" w:rsidR="00BE72A8" w:rsidRDefault="00BE72A8" w:rsidP="00BE72A8">
      <w:pPr>
        <w:rPr>
          <w:rFonts w:ascii="Arial" w:eastAsia="Calibri" w:hAnsi="Arial" w:cs="Arial"/>
          <w:b/>
          <w:bCs/>
          <w:sz w:val="20"/>
          <w:szCs w:val="20"/>
        </w:rPr>
      </w:pPr>
    </w:p>
    <w:p w14:paraId="0F03F4E2" w14:textId="77777777" w:rsidR="00BE72A8" w:rsidRDefault="00BE72A8" w:rsidP="00BE72A8">
      <w:pPr>
        <w:rPr>
          <w:rFonts w:ascii="Arial" w:eastAsia="Calibri" w:hAnsi="Arial" w:cs="Arial"/>
          <w:b/>
          <w:bCs/>
          <w:sz w:val="20"/>
          <w:szCs w:val="20"/>
        </w:rPr>
      </w:pPr>
    </w:p>
    <w:p w14:paraId="23F7F5C7" w14:textId="77777777" w:rsidR="00BE72A8" w:rsidRDefault="00BE72A8" w:rsidP="00BE72A8">
      <w:pPr>
        <w:rPr>
          <w:rFonts w:ascii="Arial" w:eastAsia="Calibri" w:hAnsi="Arial" w:cs="Arial"/>
          <w:b/>
          <w:bCs/>
          <w:sz w:val="20"/>
          <w:szCs w:val="20"/>
        </w:rPr>
      </w:pPr>
    </w:p>
    <w:p w14:paraId="66043608" w14:textId="77777777" w:rsidR="00BE72A8" w:rsidRDefault="00BE72A8" w:rsidP="00BE72A8">
      <w:pPr>
        <w:rPr>
          <w:rFonts w:ascii="Arial" w:eastAsia="Calibri" w:hAnsi="Arial" w:cs="Arial"/>
          <w:b/>
          <w:bCs/>
          <w:sz w:val="20"/>
          <w:szCs w:val="20"/>
        </w:rPr>
      </w:pPr>
    </w:p>
    <w:p w14:paraId="08B5FF55" w14:textId="77777777" w:rsidR="00BE72A8" w:rsidRDefault="00BE72A8" w:rsidP="00BE72A8">
      <w:pPr>
        <w:rPr>
          <w:rFonts w:ascii="Arial" w:eastAsia="Calibri" w:hAnsi="Arial" w:cs="Arial"/>
          <w:b/>
          <w:bCs/>
          <w:sz w:val="20"/>
          <w:szCs w:val="20"/>
        </w:rPr>
      </w:pPr>
    </w:p>
    <w:p w14:paraId="2F3D1A70" w14:textId="77777777" w:rsidR="00BE72A8" w:rsidRDefault="00BE72A8" w:rsidP="00BE72A8">
      <w:pPr>
        <w:rPr>
          <w:rFonts w:ascii="Arial" w:eastAsia="Calibri" w:hAnsi="Arial" w:cs="Arial"/>
          <w:b/>
          <w:bCs/>
          <w:sz w:val="20"/>
          <w:szCs w:val="20"/>
        </w:rPr>
      </w:pPr>
    </w:p>
    <w:p w14:paraId="739DD667" w14:textId="77777777" w:rsidR="00BE72A8" w:rsidRDefault="00BE72A8" w:rsidP="00BE72A8">
      <w:pPr>
        <w:rPr>
          <w:rFonts w:ascii="Arial" w:eastAsia="Calibri" w:hAnsi="Arial" w:cs="Arial"/>
          <w:b/>
          <w:bCs/>
          <w:sz w:val="20"/>
          <w:szCs w:val="20"/>
        </w:rPr>
      </w:pPr>
    </w:p>
    <w:p w14:paraId="61318BF3" w14:textId="093722AF" w:rsidR="00BE72A8" w:rsidRPr="001C6BC9" w:rsidRDefault="00BE72A8" w:rsidP="00BE72A8">
      <w:pPr>
        <w:rPr>
          <w:rFonts w:ascii="Arial" w:eastAsia="Calibri" w:hAnsi="Arial" w:cs="Arial"/>
          <w:b/>
          <w:bCs/>
          <w:sz w:val="20"/>
          <w:szCs w:val="20"/>
        </w:rPr>
      </w:pPr>
      <w:r w:rsidRPr="001C6BC9">
        <w:rPr>
          <w:rFonts w:ascii="Arial" w:eastAsia="Calibri" w:hAnsi="Arial" w:cs="Arial"/>
          <w:b/>
          <w:bCs/>
          <w:sz w:val="20"/>
          <w:szCs w:val="20"/>
        </w:rPr>
        <w:lastRenderedPageBreak/>
        <w:t>FY 2024 Performance Highlights</w:t>
      </w:r>
    </w:p>
    <w:p w14:paraId="44D2CFEE" w14:textId="77777777" w:rsidR="00BE72A8" w:rsidRDefault="00BE72A8" w:rsidP="00BE72A8">
      <w:pPr>
        <w:rPr>
          <w:rFonts w:ascii="Arial" w:hAnsi="Arial" w:cs="Arial"/>
          <w:b/>
          <w:bCs/>
          <w:sz w:val="20"/>
          <w:szCs w:val="20"/>
        </w:rPr>
      </w:pPr>
      <w:r w:rsidRPr="001C6BC9">
        <w:rPr>
          <w:rFonts w:ascii="Arial" w:hAnsi="Arial" w:cs="Arial"/>
          <w:b/>
          <w:bCs/>
          <w:sz w:val="20"/>
          <w:szCs w:val="20"/>
        </w:rPr>
        <w:t xml:space="preserve">Priority 1: </w:t>
      </w:r>
      <w:r w:rsidRPr="002D680B">
        <w:rPr>
          <w:rFonts w:ascii="Arial" w:hAnsi="Arial" w:cs="Arial"/>
          <w:b/>
          <w:bCs/>
          <w:i/>
          <w:iCs/>
          <w:sz w:val="20"/>
          <w:szCs w:val="20"/>
        </w:rPr>
        <w:t xml:space="preserve">Strengthen collaborations and partnerships with </w:t>
      </w:r>
      <w:r w:rsidRPr="002D680B">
        <w:rPr>
          <w:rFonts w:ascii="Arial" w:hAnsi="Arial" w:cs="Arial"/>
          <w:b/>
          <w:bCs/>
          <w:i/>
          <w:iCs/>
          <w:sz w:val="20"/>
          <w:szCs w:val="20"/>
          <w:u w:val="single"/>
        </w:rPr>
        <w:t>counties, cities, and local law</w:t>
      </w:r>
      <w:r w:rsidRPr="002D680B">
        <w:rPr>
          <w:rFonts w:ascii="Arial" w:hAnsi="Arial" w:cs="Arial"/>
          <w:b/>
          <w:bCs/>
          <w:i/>
          <w:iCs/>
          <w:sz w:val="20"/>
          <w:szCs w:val="20"/>
        </w:rPr>
        <w:t xml:space="preserve"> </w:t>
      </w:r>
      <w:r w:rsidRPr="002D680B">
        <w:rPr>
          <w:rFonts w:ascii="Arial" w:hAnsi="Arial" w:cs="Arial"/>
          <w:b/>
          <w:bCs/>
          <w:i/>
          <w:iCs/>
          <w:sz w:val="20"/>
          <w:szCs w:val="20"/>
          <w:u w:val="single"/>
        </w:rPr>
        <w:t xml:space="preserve">enforcement </w:t>
      </w:r>
      <w:r w:rsidRPr="002D680B">
        <w:rPr>
          <w:rFonts w:ascii="Arial" w:hAnsi="Arial" w:cs="Arial"/>
          <w:b/>
          <w:bCs/>
          <w:i/>
          <w:iCs/>
          <w:sz w:val="20"/>
          <w:szCs w:val="20"/>
        </w:rPr>
        <w:t>to combat substance misuse in Idaho</w:t>
      </w:r>
      <w:r w:rsidRPr="001C6BC9">
        <w:rPr>
          <w:rFonts w:ascii="Arial" w:hAnsi="Arial" w:cs="Arial"/>
          <w:b/>
          <w:bCs/>
          <w:sz w:val="20"/>
          <w:szCs w:val="20"/>
        </w:rPr>
        <w:t>.</w:t>
      </w:r>
    </w:p>
    <w:p w14:paraId="515F90C3" w14:textId="77777777" w:rsidR="002D680B" w:rsidRPr="001C6BC9" w:rsidRDefault="002D680B" w:rsidP="00BE72A8">
      <w:pPr>
        <w:rPr>
          <w:rFonts w:ascii="Arial" w:hAnsi="Arial" w:cs="Arial"/>
          <w:b/>
          <w:bCs/>
          <w:sz w:val="20"/>
          <w:szCs w:val="20"/>
        </w:rPr>
      </w:pPr>
    </w:p>
    <w:p w14:paraId="667FB174" w14:textId="77777777" w:rsidR="00BE72A8" w:rsidRPr="001C6BC9" w:rsidRDefault="00BE72A8" w:rsidP="00BE72A8">
      <w:pPr>
        <w:rPr>
          <w:rFonts w:ascii="Arial" w:hAnsi="Arial" w:cs="Arial"/>
          <w:sz w:val="20"/>
          <w:szCs w:val="20"/>
        </w:rPr>
      </w:pPr>
      <w:r w:rsidRPr="001C6BC9">
        <w:rPr>
          <w:rFonts w:ascii="Arial" w:hAnsi="Arial" w:cs="Arial"/>
          <w:sz w:val="20"/>
          <w:szCs w:val="20"/>
        </w:rPr>
        <w:t>Collaborations and partnerships with counties, cities, and local law enforcement include the following activities:</w:t>
      </w:r>
    </w:p>
    <w:p w14:paraId="4BC7A0BB" w14:textId="77777777" w:rsidR="00BE72A8" w:rsidRPr="001C6BC9" w:rsidRDefault="00BE72A8" w:rsidP="00BE72A8">
      <w:pPr>
        <w:pStyle w:val="ListParagraph"/>
        <w:numPr>
          <w:ilvl w:val="0"/>
          <w:numId w:val="26"/>
        </w:numPr>
        <w:spacing w:after="200" w:line="276" w:lineRule="auto"/>
        <w:rPr>
          <w:rFonts w:cs="Arial"/>
          <w:b/>
          <w:bCs/>
          <w:szCs w:val="20"/>
        </w:rPr>
      </w:pPr>
      <w:r w:rsidRPr="001C6BC9">
        <w:rPr>
          <w:rFonts w:cs="Arial"/>
          <w:szCs w:val="20"/>
        </w:rPr>
        <w:t>Facilitated the</w:t>
      </w:r>
      <w:r w:rsidRPr="001C6BC9">
        <w:rPr>
          <w:rFonts w:cs="Arial"/>
          <w:b/>
          <w:bCs/>
          <w:szCs w:val="20"/>
        </w:rPr>
        <w:t xml:space="preserve"> 2022-2027 Idaho Opioid Misuse and Overdose Workgroup</w:t>
      </w:r>
      <w:r w:rsidRPr="001C6BC9">
        <w:rPr>
          <w:rFonts w:cs="Arial"/>
          <w:szCs w:val="20"/>
        </w:rPr>
        <w:t xml:space="preserve"> consisting of a group of cross-sector county, city, and community partners to provide direction for the next iteration of the statewide Opioid Misuse &amp; Overdose Strategic Plan.  Membership includes, but is not limited to, representatives from </w:t>
      </w:r>
      <w:r w:rsidRPr="001C6BC9">
        <w:rPr>
          <w:rFonts w:cs="Arial"/>
          <w:b/>
          <w:bCs/>
          <w:szCs w:val="20"/>
        </w:rPr>
        <w:t>Latah, Ada, Canyon, Kootenai, Bannock and Bonneville counties.</w:t>
      </w:r>
    </w:p>
    <w:p w14:paraId="446E0DDC" w14:textId="77777777" w:rsidR="00BE72A8" w:rsidRPr="001C6BC9" w:rsidRDefault="00BE72A8" w:rsidP="00BE72A8">
      <w:pPr>
        <w:pStyle w:val="ListParagraph"/>
        <w:numPr>
          <w:ilvl w:val="0"/>
          <w:numId w:val="26"/>
        </w:numPr>
        <w:spacing w:after="200" w:line="276" w:lineRule="auto"/>
        <w:rPr>
          <w:rFonts w:cs="Arial"/>
          <w:szCs w:val="20"/>
        </w:rPr>
      </w:pPr>
      <w:r w:rsidRPr="001C6BC9">
        <w:rPr>
          <w:rFonts w:cs="Arial"/>
          <w:szCs w:val="20"/>
        </w:rPr>
        <w:t xml:space="preserve">Coordinated/Participated in the following </w:t>
      </w:r>
      <w:r w:rsidRPr="001C6BC9">
        <w:rPr>
          <w:rFonts w:cs="Arial"/>
          <w:b/>
          <w:bCs/>
          <w:szCs w:val="20"/>
        </w:rPr>
        <w:t xml:space="preserve">Fentanyl Awareness Education </w:t>
      </w:r>
      <w:r w:rsidRPr="001C6BC9">
        <w:rPr>
          <w:rFonts w:cs="Arial"/>
          <w:szCs w:val="20"/>
        </w:rPr>
        <w:t>Project presentations with Idaho State Police:  Meridian Police Department SRO Training; Boise Top Gun LE Training; Idaho Commission on Hispanic Affairs Youth Leadership Summits, Pocatello, and Nampa; West Junior High School, Boise; Idaho Criminal Justice Commission, Boise.</w:t>
      </w:r>
    </w:p>
    <w:p w14:paraId="4D16884A" w14:textId="77777777" w:rsidR="00BE72A8" w:rsidRPr="001C6BC9" w:rsidRDefault="00BE72A8" w:rsidP="00BE72A8">
      <w:pPr>
        <w:pStyle w:val="ListParagraph"/>
        <w:numPr>
          <w:ilvl w:val="0"/>
          <w:numId w:val="26"/>
        </w:numPr>
        <w:spacing w:after="200" w:line="276" w:lineRule="auto"/>
        <w:rPr>
          <w:rFonts w:cs="Arial"/>
          <w:szCs w:val="20"/>
        </w:rPr>
      </w:pPr>
      <w:r w:rsidRPr="001C6BC9">
        <w:rPr>
          <w:rFonts w:cs="Arial"/>
          <w:szCs w:val="20"/>
        </w:rPr>
        <w:t xml:space="preserve">Facilitated </w:t>
      </w:r>
      <w:r w:rsidRPr="001C6BC9">
        <w:rPr>
          <w:rFonts w:cs="Arial"/>
          <w:b/>
          <w:bCs/>
          <w:szCs w:val="20"/>
        </w:rPr>
        <w:t>Idaho College Health Coalition</w:t>
      </w:r>
      <w:r w:rsidRPr="001C6BC9">
        <w:rPr>
          <w:rFonts w:cs="Arial"/>
          <w:szCs w:val="20"/>
        </w:rPr>
        <w:t>, comprised of eight institutions statewide.</w:t>
      </w:r>
    </w:p>
    <w:p w14:paraId="747750C7" w14:textId="77777777" w:rsidR="00BE72A8" w:rsidRPr="001C6BC9" w:rsidRDefault="00BE72A8" w:rsidP="00BE72A8">
      <w:pPr>
        <w:pStyle w:val="ListParagraph"/>
        <w:numPr>
          <w:ilvl w:val="0"/>
          <w:numId w:val="26"/>
        </w:numPr>
        <w:spacing w:after="200" w:line="276" w:lineRule="auto"/>
        <w:rPr>
          <w:rFonts w:cs="Arial"/>
          <w:szCs w:val="20"/>
        </w:rPr>
      </w:pPr>
      <w:r w:rsidRPr="001C6BC9">
        <w:rPr>
          <w:rFonts w:cs="Arial"/>
          <w:szCs w:val="20"/>
        </w:rPr>
        <w:t xml:space="preserve">Ex-Officio member of the </w:t>
      </w:r>
      <w:r w:rsidRPr="001C6BC9">
        <w:rPr>
          <w:rFonts w:cs="Arial"/>
          <w:b/>
          <w:bCs/>
          <w:szCs w:val="20"/>
        </w:rPr>
        <w:t xml:space="preserve">Operation Esto Perpetua </w:t>
      </w:r>
      <w:r w:rsidRPr="001C6BC9">
        <w:rPr>
          <w:rFonts w:cs="Arial"/>
          <w:szCs w:val="20"/>
        </w:rPr>
        <w:t>initiative Workgroup</w:t>
      </w:r>
      <w:r w:rsidRPr="001C6BC9">
        <w:rPr>
          <w:rFonts w:cs="Arial"/>
          <w:b/>
          <w:bCs/>
          <w:szCs w:val="20"/>
        </w:rPr>
        <w:t>.</w:t>
      </w:r>
    </w:p>
    <w:p w14:paraId="2062D097" w14:textId="77777777" w:rsidR="00BE72A8" w:rsidRPr="001C6BC9" w:rsidRDefault="00BE72A8" w:rsidP="00BE72A8">
      <w:pPr>
        <w:pStyle w:val="ListParagraph"/>
        <w:numPr>
          <w:ilvl w:val="0"/>
          <w:numId w:val="26"/>
        </w:numPr>
        <w:spacing w:after="200" w:line="276" w:lineRule="auto"/>
        <w:rPr>
          <w:rFonts w:cs="Arial"/>
          <w:szCs w:val="20"/>
        </w:rPr>
      </w:pPr>
      <w:r w:rsidRPr="001C6BC9">
        <w:rPr>
          <w:rFonts w:cs="Arial"/>
          <w:szCs w:val="20"/>
        </w:rPr>
        <w:t>Current member of the Oregon-Idaho High Intensity Drug Trafficking Area (</w:t>
      </w:r>
      <w:r w:rsidRPr="001C6BC9">
        <w:rPr>
          <w:rFonts w:cs="Arial"/>
          <w:b/>
          <w:bCs/>
          <w:szCs w:val="20"/>
        </w:rPr>
        <w:t xml:space="preserve">OR-ID HIDTA) </w:t>
      </w:r>
      <w:r w:rsidRPr="001C6BC9">
        <w:rPr>
          <w:rFonts w:cs="Arial"/>
          <w:szCs w:val="20"/>
        </w:rPr>
        <w:t>Advisory Board; Idaho Criminal Justice Commission</w:t>
      </w:r>
      <w:r w:rsidRPr="001C6BC9">
        <w:rPr>
          <w:rFonts w:cs="Arial"/>
          <w:b/>
          <w:bCs/>
          <w:szCs w:val="20"/>
        </w:rPr>
        <w:t xml:space="preserve"> (ICJC); </w:t>
      </w:r>
      <w:r w:rsidRPr="001C6BC9">
        <w:rPr>
          <w:rFonts w:cs="Arial"/>
          <w:szCs w:val="20"/>
        </w:rPr>
        <w:t>State Behavioral Health Planning Council</w:t>
      </w:r>
      <w:r w:rsidRPr="001C6BC9">
        <w:rPr>
          <w:rFonts w:cs="Arial"/>
          <w:b/>
          <w:bCs/>
          <w:szCs w:val="20"/>
        </w:rPr>
        <w:t xml:space="preserve"> (IBHPC); </w:t>
      </w:r>
      <w:r w:rsidRPr="001C6BC9">
        <w:rPr>
          <w:rFonts w:cs="Arial"/>
          <w:szCs w:val="20"/>
        </w:rPr>
        <w:t>National Idaho Prevention Network State Representative</w:t>
      </w:r>
      <w:r w:rsidRPr="001C6BC9">
        <w:rPr>
          <w:rFonts w:cs="Arial"/>
          <w:b/>
          <w:bCs/>
          <w:szCs w:val="20"/>
        </w:rPr>
        <w:t xml:space="preserve"> (NPN); and </w:t>
      </w:r>
      <w:r w:rsidRPr="001C6BC9">
        <w:rPr>
          <w:rFonts w:cs="Arial"/>
          <w:szCs w:val="20"/>
        </w:rPr>
        <w:t>Idaho Conference on Alcohol and Drug Dependency</w:t>
      </w:r>
      <w:r w:rsidRPr="001C6BC9">
        <w:rPr>
          <w:rFonts w:cs="Arial"/>
          <w:b/>
          <w:bCs/>
          <w:szCs w:val="20"/>
        </w:rPr>
        <w:t xml:space="preserve"> (ICADD) </w:t>
      </w:r>
      <w:r w:rsidRPr="001C6BC9">
        <w:rPr>
          <w:rFonts w:cs="Arial"/>
          <w:szCs w:val="20"/>
        </w:rPr>
        <w:t>Planning Committee</w:t>
      </w:r>
      <w:r w:rsidRPr="001C6BC9">
        <w:rPr>
          <w:rFonts w:cs="Arial"/>
          <w:b/>
          <w:bCs/>
          <w:szCs w:val="20"/>
        </w:rPr>
        <w:t>; Idaho Department of Health and Welfare Behavioral Health Workforce Development Project; Idaho State Police JAG Grant Review Committee</w:t>
      </w:r>
      <w:r w:rsidRPr="001C6BC9">
        <w:rPr>
          <w:rFonts w:cs="Arial"/>
          <w:szCs w:val="20"/>
        </w:rPr>
        <w:t>.</w:t>
      </w:r>
    </w:p>
    <w:p w14:paraId="09E8F2B9" w14:textId="77777777" w:rsidR="00BE72A8" w:rsidRPr="001C6BC9" w:rsidRDefault="00BE72A8" w:rsidP="00BE72A8">
      <w:pPr>
        <w:pStyle w:val="ListParagraph"/>
        <w:numPr>
          <w:ilvl w:val="0"/>
          <w:numId w:val="26"/>
        </w:numPr>
        <w:spacing w:after="200" w:line="276" w:lineRule="auto"/>
        <w:rPr>
          <w:rFonts w:cs="Arial"/>
          <w:szCs w:val="20"/>
        </w:rPr>
      </w:pPr>
      <w:r w:rsidRPr="001C6BC9">
        <w:rPr>
          <w:rFonts w:cs="Arial"/>
          <w:szCs w:val="20"/>
        </w:rPr>
        <w:t xml:space="preserve">Partnered with the </w:t>
      </w:r>
      <w:r w:rsidRPr="001C6BC9">
        <w:rPr>
          <w:rFonts w:cs="Arial"/>
          <w:b/>
          <w:bCs/>
          <w:szCs w:val="20"/>
        </w:rPr>
        <w:t xml:space="preserve">Idaho Department of Juvenile Corrections (IDJC) and Idaho Association of School Resource Officers (IASRO) </w:t>
      </w:r>
      <w:r w:rsidRPr="001C6BC9">
        <w:rPr>
          <w:rFonts w:cs="Arial"/>
          <w:szCs w:val="20"/>
        </w:rPr>
        <w:t>to support continuing substance misuse prevention education opportunities for Idaho’s School Resource Officers.</w:t>
      </w:r>
    </w:p>
    <w:p w14:paraId="48B449B8" w14:textId="77777777" w:rsidR="00BE72A8" w:rsidRPr="001C6BC9" w:rsidRDefault="00BE72A8" w:rsidP="00BE72A8">
      <w:pPr>
        <w:pStyle w:val="ListParagraph"/>
        <w:numPr>
          <w:ilvl w:val="0"/>
          <w:numId w:val="26"/>
        </w:numPr>
        <w:spacing w:after="200" w:line="276" w:lineRule="auto"/>
        <w:rPr>
          <w:rFonts w:cs="Arial"/>
          <w:b/>
          <w:bCs/>
          <w:szCs w:val="20"/>
        </w:rPr>
      </w:pPr>
      <w:r w:rsidRPr="001C6BC9">
        <w:rPr>
          <w:rFonts w:cs="Arial"/>
          <w:szCs w:val="20"/>
        </w:rPr>
        <w:t xml:space="preserve">Awarded </w:t>
      </w:r>
      <w:r w:rsidRPr="001C6BC9">
        <w:rPr>
          <w:rFonts w:cs="Arial"/>
          <w:b/>
          <w:bCs/>
          <w:szCs w:val="20"/>
        </w:rPr>
        <w:t xml:space="preserve">Partnership for Success (PFS) grants </w:t>
      </w:r>
      <w:r w:rsidRPr="001C6BC9">
        <w:rPr>
          <w:rFonts w:cs="Arial"/>
          <w:szCs w:val="20"/>
        </w:rPr>
        <w:t>to 26 local law enforcement agencies</w:t>
      </w:r>
      <w:r w:rsidRPr="001C6BC9">
        <w:rPr>
          <w:rFonts w:cs="Arial"/>
          <w:b/>
          <w:bCs/>
          <w:szCs w:val="20"/>
        </w:rPr>
        <w:t xml:space="preserve"> </w:t>
      </w:r>
      <w:r w:rsidRPr="001C6BC9">
        <w:rPr>
          <w:rFonts w:cs="Arial"/>
          <w:szCs w:val="20"/>
        </w:rPr>
        <w:t>to implement regionally specific environmental prevention strategies to reduce underage drinking, marijuana use, and methamphetamine use across the state.  Grantees include the following: American Falls Police: Bannock County Sheriff; Bingham County Sheriff; Blackfoot Police; Blaine County Sheriff; Boise Police; Bonner Ferry Police; Boundary County Sheriff; Clark County Sheriff; Cottonwood Police;  Franklin County Sheriff; Idaho Association of School Resource Officers (IASRO); Idaho State Police (ABC); Jerome County Sheriff; Lewis County Sheriff; Lewiston Police; Madison County Sheriff; Meridian Police; Moscow Police; Nampa Police; Owyhee County Sheriff; Power County Sheriff; Preston Police; Rexburg Police; Spirit Lake Police; Twin Falls Police.</w:t>
      </w:r>
      <w:r w:rsidRPr="001C6BC9">
        <w:rPr>
          <w:rFonts w:cs="Arial"/>
          <w:b/>
          <w:bCs/>
          <w:szCs w:val="20"/>
        </w:rPr>
        <w:t xml:space="preserve"> </w:t>
      </w:r>
    </w:p>
    <w:p w14:paraId="477CFF9F" w14:textId="77777777" w:rsidR="00BE72A8" w:rsidRPr="001C6BC9" w:rsidRDefault="00BE72A8" w:rsidP="00BE72A8">
      <w:pPr>
        <w:pStyle w:val="ListParagraph"/>
        <w:numPr>
          <w:ilvl w:val="0"/>
          <w:numId w:val="26"/>
        </w:numPr>
        <w:spacing w:after="200" w:line="276" w:lineRule="auto"/>
        <w:rPr>
          <w:rFonts w:cs="Arial"/>
          <w:szCs w:val="20"/>
        </w:rPr>
      </w:pPr>
      <w:r w:rsidRPr="001C6BC9">
        <w:rPr>
          <w:rFonts w:cs="Arial"/>
          <w:szCs w:val="20"/>
        </w:rPr>
        <w:t xml:space="preserve">Co-ordinated bi-annual </w:t>
      </w:r>
      <w:r w:rsidRPr="001C6BC9">
        <w:rPr>
          <w:rFonts w:cs="Arial"/>
          <w:b/>
          <w:bCs/>
          <w:szCs w:val="20"/>
        </w:rPr>
        <w:t>National Prescription Drug Take-Back Days in April and October 2023</w:t>
      </w:r>
      <w:r w:rsidRPr="001C6BC9">
        <w:rPr>
          <w:rFonts w:cs="Arial"/>
          <w:szCs w:val="20"/>
        </w:rPr>
        <w:t xml:space="preserve"> in partnership with local enforcement, community coalitions, and the local Drug Enforcement Administration office.  Supported the organization and promotion of 88 Take Back Day events in communities across Idaho that collected 10,500 lbs. of medication statewide.</w:t>
      </w:r>
    </w:p>
    <w:p w14:paraId="21674032" w14:textId="77777777" w:rsidR="00BE72A8" w:rsidRDefault="00BE72A8" w:rsidP="00BE72A8">
      <w:pPr>
        <w:rPr>
          <w:rFonts w:ascii="Arial" w:hAnsi="Arial" w:cs="Arial"/>
          <w:b/>
          <w:bCs/>
          <w:i/>
          <w:iCs/>
          <w:sz w:val="20"/>
          <w:szCs w:val="20"/>
        </w:rPr>
      </w:pPr>
      <w:r w:rsidRPr="001C6BC9">
        <w:rPr>
          <w:rFonts w:ascii="Arial" w:hAnsi="Arial" w:cs="Arial"/>
          <w:b/>
          <w:bCs/>
          <w:sz w:val="20"/>
          <w:szCs w:val="20"/>
        </w:rPr>
        <w:t xml:space="preserve">Priority 2: </w:t>
      </w:r>
      <w:r w:rsidRPr="002D680B">
        <w:rPr>
          <w:rFonts w:ascii="Arial" w:hAnsi="Arial" w:cs="Arial"/>
          <w:b/>
          <w:bCs/>
          <w:i/>
          <w:iCs/>
          <w:sz w:val="20"/>
          <w:szCs w:val="20"/>
        </w:rPr>
        <w:t>Research, identify, recommend, and fund plans, strategies, and evidence-based programs regarding substance abuse prevention and make available to stakeholders throughout Idaho.</w:t>
      </w:r>
    </w:p>
    <w:p w14:paraId="1A849299" w14:textId="77777777" w:rsidR="002D680B" w:rsidRPr="001C6BC9" w:rsidRDefault="002D680B" w:rsidP="00BE72A8">
      <w:pPr>
        <w:rPr>
          <w:rFonts w:ascii="Arial" w:hAnsi="Arial" w:cs="Arial"/>
          <w:b/>
          <w:bCs/>
          <w:sz w:val="20"/>
          <w:szCs w:val="20"/>
        </w:rPr>
      </w:pPr>
    </w:p>
    <w:p w14:paraId="111671F1" w14:textId="77777777" w:rsidR="00BE72A8" w:rsidRPr="001C6BC9" w:rsidRDefault="00BE72A8" w:rsidP="00BE72A8">
      <w:pPr>
        <w:pStyle w:val="ListParagraph"/>
        <w:numPr>
          <w:ilvl w:val="0"/>
          <w:numId w:val="27"/>
        </w:numPr>
        <w:spacing w:after="200" w:line="276" w:lineRule="auto"/>
        <w:rPr>
          <w:rFonts w:cs="Arial"/>
          <w:szCs w:val="20"/>
        </w:rPr>
      </w:pPr>
      <w:r w:rsidRPr="001C6BC9">
        <w:rPr>
          <w:rFonts w:cs="Arial"/>
          <w:szCs w:val="20"/>
        </w:rPr>
        <w:t>Completed</w:t>
      </w:r>
      <w:r w:rsidRPr="001C6BC9">
        <w:rPr>
          <w:rFonts w:cs="Arial"/>
          <w:b/>
          <w:bCs/>
          <w:szCs w:val="20"/>
        </w:rPr>
        <w:t xml:space="preserve"> Statewide Needs Assessment. </w:t>
      </w:r>
      <w:r w:rsidRPr="001C6BC9">
        <w:rPr>
          <w:rFonts w:cs="Arial"/>
          <w:szCs w:val="20"/>
        </w:rPr>
        <w:t>Utilized by numerous agencies and prevention grantees statewide, this assessment guides the targeting of programs and services. Its aim is to enhance the efficiency and impact of prevention efforts by directing resources towards the most vulnerable and in-need populations in Idaho.</w:t>
      </w:r>
    </w:p>
    <w:p w14:paraId="251DF1BC" w14:textId="77777777" w:rsidR="00BE72A8" w:rsidRPr="001C6BC9" w:rsidRDefault="00BE72A8" w:rsidP="00BE72A8">
      <w:pPr>
        <w:pStyle w:val="ListParagraph"/>
        <w:numPr>
          <w:ilvl w:val="0"/>
          <w:numId w:val="27"/>
        </w:numPr>
        <w:spacing w:after="200" w:line="276" w:lineRule="auto"/>
        <w:rPr>
          <w:rFonts w:cs="Arial"/>
          <w:szCs w:val="20"/>
        </w:rPr>
      </w:pPr>
      <w:r w:rsidRPr="001C6BC9">
        <w:rPr>
          <w:rFonts w:cs="Arial"/>
          <w:szCs w:val="20"/>
        </w:rPr>
        <w:t>Developed and Managed</w:t>
      </w:r>
      <w:r w:rsidRPr="001C6BC9">
        <w:rPr>
          <w:rFonts w:cs="Arial"/>
          <w:b/>
          <w:bCs/>
          <w:szCs w:val="20"/>
        </w:rPr>
        <w:t xml:space="preserve"> Prevention Resources Dashboard. </w:t>
      </w:r>
      <w:r w:rsidRPr="001C6BC9">
        <w:rPr>
          <w:rFonts w:cs="Arial"/>
          <w:szCs w:val="20"/>
        </w:rPr>
        <w:t>Offers detailed information on available prevention resources statewide.</w:t>
      </w:r>
    </w:p>
    <w:p w14:paraId="08CF8235" w14:textId="77777777" w:rsidR="00BE72A8" w:rsidRPr="001C6BC9" w:rsidRDefault="00BE72A8" w:rsidP="00BE72A8">
      <w:pPr>
        <w:pStyle w:val="ListParagraph"/>
        <w:numPr>
          <w:ilvl w:val="0"/>
          <w:numId w:val="27"/>
        </w:numPr>
        <w:spacing w:after="200" w:line="276" w:lineRule="auto"/>
        <w:rPr>
          <w:rFonts w:cs="Arial"/>
          <w:b/>
          <w:bCs/>
          <w:szCs w:val="20"/>
        </w:rPr>
      </w:pPr>
      <w:r w:rsidRPr="001C6BC9">
        <w:rPr>
          <w:rFonts w:cs="Arial"/>
          <w:szCs w:val="20"/>
        </w:rPr>
        <w:t xml:space="preserve">Facilitated the </w:t>
      </w:r>
      <w:r w:rsidRPr="001C6BC9">
        <w:rPr>
          <w:rFonts w:cs="Arial"/>
          <w:b/>
          <w:bCs/>
          <w:color w:val="212529"/>
          <w:spacing w:val="8"/>
          <w:szCs w:val="20"/>
          <w:shd w:val="clear" w:color="auto" w:fill="FFFFFF"/>
        </w:rPr>
        <w:t>State Epidemiological Outcomes Workgroup (SEOW</w:t>
      </w:r>
      <w:r w:rsidRPr="001C6BC9">
        <w:rPr>
          <w:rFonts w:cs="Arial"/>
          <w:color w:val="212529"/>
          <w:spacing w:val="8"/>
          <w:szCs w:val="20"/>
          <w:shd w:val="clear" w:color="auto" w:fill="FFFFFF"/>
        </w:rPr>
        <w:t xml:space="preserve">), a state-level advisory committee that provides information and guidance to policymakers and practitioners working to </w:t>
      </w:r>
      <w:r w:rsidRPr="001C6BC9">
        <w:rPr>
          <w:rFonts w:cs="Arial"/>
          <w:color w:val="212529"/>
          <w:spacing w:val="8"/>
          <w:szCs w:val="20"/>
          <w:shd w:val="clear" w:color="auto" w:fill="FFFFFF"/>
        </w:rPr>
        <w:lastRenderedPageBreak/>
        <w:t xml:space="preserve">improve behavioral health among all Idahoans.  The SEOW also serves as the state’s </w:t>
      </w:r>
      <w:r w:rsidRPr="001C6BC9">
        <w:rPr>
          <w:rFonts w:cs="Arial"/>
          <w:b/>
          <w:bCs/>
          <w:color w:val="212529"/>
          <w:spacing w:val="8"/>
          <w:szCs w:val="20"/>
          <w:shd w:val="clear" w:color="auto" w:fill="FFFFFF"/>
        </w:rPr>
        <w:t>Evidence-Based Practices Workgroup</w:t>
      </w:r>
      <w:r w:rsidRPr="001C6BC9">
        <w:rPr>
          <w:rFonts w:cs="Arial"/>
          <w:color w:val="212529"/>
          <w:spacing w:val="8"/>
          <w:szCs w:val="20"/>
          <w:shd w:val="clear" w:color="auto" w:fill="FFFFFF"/>
        </w:rPr>
        <w:t>, which evaluates the efficacy of substance misuse prevention programs to inform funding support of outcomes-based programs.</w:t>
      </w:r>
    </w:p>
    <w:p w14:paraId="1C636F11" w14:textId="4AADF6AE" w:rsidR="00BE72A8" w:rsidRPr="002D680B" w:rsidRDefault="00BE72A8" w:rsidP="002D680B">
      <w:pPr>
        <w:pStyle w:val="ListParagraph"/>
        <w:numPr>
          <w:ilvl w:val="0"/>
          <w:numId w:val="27"/>
        </w:numPr>
        <w:spacing w:line="276" w:lineRule="auto"/>
        <w:rPr>
          <w:rFonts w:cs="Arial"/>
          <w:szCs w:val="20"/>
        </w:rPr>
      </w:pPr>
      <w:r w:rsidRPr="002D680B">
        <w:rPr>
          <w:rFonts w:cs="Arial"/>
          <w:szCs w:val="20"/>
        </w:rPr>
        <w:t xml:space="preserve">Administered </w:t>
      </w:r>
      <w:r w:rsidR="00875865">
        <w:rPr>
          <w:rFonts w:cs="Arial"/>
          <w:b/>
          <w:bCs/>
          <w:szCs w:val="20"/>
        </w:rPr>
        <w:t>three</w:t>
      </w:r>
      <w:r w:rsidRPr="002D680B">
        <w:rPr>
          <w:rFonts w:cs="Arial"/>
          <w:b/>
          <w:bCs/>
          <w:szCs w:val="20"/>
        </w:rPr>
        <w:t xml:space="preserve"> (</w:t>
      </w:r>
      <w:r w:rsidR="00875865">
        <w:rPr>
          <w:rFonts w:cs="Arial"/>
          <w:b/>
          <w:bCs/>
          <w:szCs w:val="20"/>
        </w:rPr>
        <w:t>3</w:t>
      </w:r>
      <w:r w:rsidRPr="002D680B">
        <w:rPr>
          <w:rFonts w:cs="Arial"/>
          <w:b/>
          <w:bCs/>
          <w:szCs w:val="20"/>
        </w:rPr>
        <w:t xml:space="preserve">) federal grants </w:t>
      </w:r>
      <w:r w:rsidRPr="002D680B">
        <w:rPr>
          <w:rFonts w:cs="Arial"/>
          <w:szCs w:val="20"/>
        </w:rPr>
        <w:t xml:space="preserve">totaling approximately </w:t>
      </w:r>
      <w:r w:rsidRPr="00E8243C">
        <w:rPr>
          <w:rFonts w:cs="Arial"/>
          <w:szCs w:val="20"/>
        </w:rPr>
        <w:t>$4,000,000</w:t>
      </w:r>
      <w:r w:rsidRPr="002D680B">
        <w:rPr>
          <w:rFonts w:cs="Arial"/>
          <w:szCs w:val="20"/>
        </w:rPr>
        <w:t xml:space="preserve"> in funding that went into Idaho communities for primary prevention programs</w:t>
      </w:r>
      <w:r w:rsidRPr="002D680B">
        <w:rPr>
          <w:rFonts w:cs="Arial"/>
          <w:b/>
          <w:bCs/>
          <w:szCs w:val="20"/>
        </w:rPr>
        <w:t xml:space="preserve">, </w:t>
      </w:r>
      <w:r w:rsidRPr="002D680B">
        <w:rPr>
          <w:rFonts w:cs="Arial"/>
          <w:szCs w:val="20"/>
        </w:rPr>
        <w:t xml:space="preserve">reaching approximately 200,000 youth, families, and care givers with direct service programs. </w:t>
      </w:r>
    </w:p>
    <w:p w14:paraId="2DA8A576" w14:textId="77777777" w:rsidR="00BE72A8" w:rsidRPr="001C6BC9" w:rsidRDefault="00BE72A8" w:rsidP="002D680B">
      <w:pPr>
        <w:numPr>
          <w:ilvl w:val="1"/>
          <w:numId w:val="27"/>
        </w:numPr>
        <w:spacing w:line="276" w:lineRule="auto"/>
        <w:contextualSpacing/>
        <w:rPr>
          <w:rFonts w:ascii="Arial" w:eastAsia="Calibri" w:hAnsi="Arial" w:cs="Arial"/>
          <w:sz w:val="20"/>
          <w:szCs w:val="20"/>
        </w:rPr>
      </w:pPr>
      <w:r w:rsidRPr="001C6BC9">
        <w:rPr>
          <w:rFonts w:ascii="Arial" w:eastAsia="Calibri" w:hAnsi="Arial" w:cs="Arial"/>
          <w:b/>
          <w:bCs/>
          <w:sz w:val="20"/>
          <w:szCs w:val="20"/>
        </w:rPr>
        <w:t>Substance Abuse Use Prevention, Treatment and Recovery Block Grant</w:t>
      </w:r>
      <w:r w:rsidRPr="001C6BC9">
        <w:rPr>
          <w:rFonts w:ascii="Arial" w:eastAsia="Calibri" w:hAnsi="Arial" w:cs="Arial"/>
          <w:sz w:val="20"/>
          <w:szCs w:val="20"/>
        </w:rPr>
        <w:t xml:space="preserve"> (</w:t>
      </w:r>
      <w:r w:rsidRPr="001C6BC9">
        <w:rPr>
          <w:rFonts w:ascii="Arial" w:eastAsia="Calibri" w:hAnsi="Arial" w:cs="Arial"/>
          <w:b/>
          <w:bCs/>
          <w:sz w:val="20"/>
          <w:szCs w:val="20"/>
        </w:rPr>
        <w:t>SUPTRS)</w:t>
      </w:r>
    </w:p>
    <w:p w14:paraId="39E061E1" w14:textId="5BA3373D" w:rsidR="00BE72A8" w:rsidRPr="001C6BC9" w:rsidRDefault="00BE72A8" w:rsidP="002D680B">
      <w:pPr>
        <w:numPr>
          <w:ilvl w:val="2"/>
          <w:numId w:val="27"/>
        </w:numPr>
        <w:spacing w:line="276" w:lineRule="auto"/>
        <w:contextualSpacing/>
        <w:rPr>
          <w:rFonts w:ascii="Arial" w:eastAsia="Calibri" w:hAnsi="Arial" w:cs="Arial"/>
          <w:sz w:val="20"/>
          <w:szCs w:val="20"/>
        </w:rPr>
      </w:pPr>
      <w:r w:rsidRPr="00E8243C">
        <w:rPr>
          <w:rFonts w:ascii="Arial" w:eastAsia="Calibri" w:hAnsi="Arial" w:cs="Arial"/>
          <w:sz w:val="20"/>
          <w:szCs w:val="20"/>
        </w:rPr>
        <w:t xml:space="preserve">Funded </w:t>
      </w:r>
      <w:r w:rsidRPr="00E8243C">
        <w:rPr>
          <w:rFonts w:ascii="Arial" w:eastAsia="Calibri" w:hAnsi="Arial" w:cs="Arial"/>
          <w:b/>
          <w:bCs/>
          <w:sz w:val="20"/>
          <w:szCs w:val="20"/>
        </w:rPr>
        <w:t>5</w:t>
      </w:r>
      <w:r w:rsidR="00875865" w:rsidRPr="00E8243C">
        <w:rPr>
          <w:rFonts w:ascii="Arial" w:eastAsia="Calibri" w:hAnsi="Arial" w:cs="Arial"/>
          <w:b/>
          <w:bCs/>
          <w:sz w:val="20"/>
          <w:szCs w:val="20"/>
        </w:rPr>
        <w:t>2</w:t>
      </w:r>
      <w:r w:rsidRPr="00E8243C">
        <w:rPr>
          <w:rFonts w:ascii="Arial" w:eastAsia="Calibri" w:hAnsi="Arial" w:cs="Arial"/>
          <w:b/>
          <w:bCs/>
          <w:sz w:val="20"/>
          <w:szCs w:val="20"/>
        </w:rPr>
        <w:t xml:space="preserve"> </w:t>
      </w:r>
      <w:r w:rsidRPr="00E8243C">
        <w:rPr>
          <w:rFonts w:ascii="Arial" w:eastAsia="Calibri" w:hAnsi="Arial" w:cs="Arial"/>
          <w:sz w:val="20"/>
          <w:szCs w:val="20"/>
        </w:rPr>
        <w:t>community</w:t>
      </w:r>
      <w:r w:rsidRPr="001C6BC9">
        <w:rPr>
          <w:rFonts w:ascii="Arial" w:eastAsia="Calibri" w:hAnsi="Arial" w:cs="Arial"/>
          <w:sz w:val="20"/>
          <w:szCs w:val="20"/>
        </w:rPr>
        <w:t xml:space="preserve"> based direct-service to implement evidence-based programs and activities. </w:t>
      </w:r>
    </w:p>
    <w:p w14:paraId="7017CF8C" w14:textId="77777777" w:rsidR="00BE72A8" w:rsidRPr="001C6BC9" w:rsidRDefault="00BE72A8" w:rsidP="00BE72A8">
      <w:pPr>
        <w:numPr>
          <w:ilvl w:val="1"/>
          <w:numId w:val="27"/>
        </w:numPr>
        <w:spacing w:after="200" w:line="276" w:lineRule="auto"/>
        <w:contextualSpacing/>
        <w:rPr>
          <w:rFonts w:ascii="Arial" w:eastAsia="Calibri" w:hAnsi="Arial" w:cs="Arial"/>
          <w:b/>
          <w:bCs/>
          <w:sz w:val="20"/>
          <w:szCs w:val="20"/>
        </w:rPr>
      </w:pPr>
      <w:r w:rsidRPr="001C6BC9">
        <w:rPr>
          <w:rFonts w:ascii="Arial" w:eastAsia="Calibri" w:hAnsi="Arial" w:cs="Arial"/>
          <w:b/>
          <w:bCs/>
          <w:sz w:val="20"/>
          <w:szCs w:val="20"/>
        </w:rPr>
        <w:t xml:space="preserve"> Strategic Prevention Framework </w:t>
      </w:r>
      <w:r w:rsidRPr="001C6BC9">
        <w:rPr>
          <w:rFonts w:ascii="Arial" w:eastAsia="Calibri" w:hAnsi="Arial" w:cs="Arial"/>
          <w:sz w:val="20"/>
          <w:szCs w:val="20"/>
        </w:rPr>
        <w:t>-</w:t>
      </w:r>
      <w:r w:rsidRPr="001C6BC9">
        <w:rPr>
          <w:rFonts w:ascii="Arial" w:eastAsia="Calibri" w:hAnsi="Arial" w:cs="Arial"/>
          <w:b/>
          <w:bCs/>
          <w:sz w:val="20"/>
          <w:szCs w:val="20"/>
        </w:rPr>
        <w:t>Partnership for Success Grant (SPF-PFS)</w:t>
      </w:r>
    </w:p>
    <w:p w14:paraId="5C8233C1" w14:textId="77777777" w:rsidR="00BE72A8" w:rsidRPr="001C6BC9" w:rsidRDefault="00BE72A8" w:rsidP="00BE72A8">
      <w:pPr>
        <w:numPr>
          <w:ilvl w:val="2"/>
          <w:numId w:val="27"/>
        </w:numPr>
        <w:spacing w:after="200" w:line="276" w:lineRule="auto"/>
        <w:contextualSpacing/>
        <w:rPr>
          <w:rFonts w:ascii="Arial" w:eastAsia="Calibri" w:hAnsi="Arial" w:cs="Arial"/>
          <w:sz w:val="20"/>
          <w:szCs w:val="20"/>
        </w:rPr>
      </w:pPr>
      <w:r w:rsidRPr="001C6BC9">
        <w:rPr>
          <w:rFonts w:ascii="Arial" w:eastAsia="Calibri" w:hAnsi="Arial" w:cs="Arial"/>
          <w:sz w:val="20"/>
          <w:szCs w:val="20"/>
        </w:rPr>
        <w:t xml:space="preserve">Funded each of Idaho’s seven </w:t>
      </w:r>
      <w:r w:rsidRPr="001C6BC9">
        <w:rPr>
          <w:rFonts w:ascii="Arial" w:eastAsia="Calibri" w:hAnsi="Arial" w:cs="Arial"/>
          <w:b/>
          <w:bCs/>
          <w:sz w:val="20"/>
          <w:szCs w:val="20"/>
        </w:rPr>
        <w:t>(7) Public Health Districts</w:t>
      </w:r>
      <w:r w:rsidRPr="001C6BC9">
        <w:rPr>
          <w:rFonts w:ascii="Arial" w:eastAsia="Calibri" w:hAnsi="Arial" w:cs="Arial"/>
          <w:sz w:val="20"/>
          <w:szCs w:val="20"/>
        </w:rPr>
        <w:t xml:space="preserve"> and </w:t>
      </w:r>
      <w:r w:rsidRPr="001C6BC9">
        <w:rPr>
          <w:rFonts w:ascii="Arial" w:eastAsia="Calibri" w:hAnsi="Arial" w:cs="Arial"/>
          <w:b/>
          <w:bCs/>
          <w:sz w:val="20"/>
          <w:szCs w:val="20"/>
        </w:rPr>
        <w:t>26 local law enforcement agencies</w:t>
      </w:r>
      <w:r w:rsidRPr="001C6BC9">
        <w:rPr>
          <w:rFonts w:ascii="Arial" w:eastAsia="Calibri" w:hAnsi="Arial" w:cs="Arial"/>
          <w:sz w:val="20"/>
          <w:szCs w:val="20"/>
        </w:rPr>
        <w:t xml:space="preserve"> to implement regionally specific strategies to reduce underage drinking, marijuana use, and methamphetamine use. </w:t>
      </w:r>
    </w:p>
    <w:p w14:paraId="4C309A15" w14:textId="77777777" w:rsidR="00BE72A8" w:rsidRPr="001C6BC9" w:rsidRDefault="00BE72A8" w:rsidP="00BE72A8">
      <w:pPr>
        <w:numPr>
          <w:ilvl w:val="1"/>
          <w:numId w:val="27"/>
        </w:numPr>
        <w:spacing w:after="200" w:line="276" w:lineRule="auto"/>
        <w:contextualSpacing/>
        <w:rPr>
          <w:rFonts w:ascii="Arial" w:eastAsia="Calibri" w:hAnsi="Arial" w:cs="Arial"/>
          <w:b/>
          <w:bCs/>
          <w:sz w:val="20"/>
          <w:szCs w:val="20"/>
        </w:rPr>
      </w:pPr>
      <w:r w:rsidRPr="001C6BC9">
        <w:rPr>
          <w:rFonts w:ascii="Arial" w:eastAsia="Calibri" w:hAnsi="Arial" w:cs="Arial"/>
          <w:b/>
          <w:bCs/>
          <w:sz w:val="20"/>
          <w:szCs w:val="20"/>
        </w:rPr>
        <w:t>American Rescue Plan Act Supplemental Funding (ARPA)</w:t>
      </w:r>
    </w:p>
    <w:p w14:paraId="7F93EE05" w14:textId="77777777" w:rsidR="00BE72A8" w:rsidRPr="001C6BC9" w:rsidRDefault="00BE72A8" w:rsidP="00BE72A8">
      <w:pPr>
        <w:numPr>
          <w:ilvl w:val="2"/>
          <w:numId w:val="27"/>
        </w:numPr>
        <w:spacing w:after="200" w:line="276" w:lineRule="auto"/>
        <w:contextualSpacing/>
        <w:rPr>
          <w:rFonts w:ascii="Arial" w:eastAsia="Calibri" w:hAnsi="Arial" w:cs="Arial"/>
          <w:sz w:val="20"/>
          <w:szCs w:val="20"/>
        </w:rPr>
      </w:pPr>
      <w:r w:rsidRPr="001C6BC9">
        <w:rPr>
          <w:rFonts w:ascii="Arial" w:eastAsia="Calibri" w:hAnsi="Arial" w:cs="Arial"/>
          <w:sz w:val="20"/>
          <w:szCs w:val="20"/>
        </w:rPr>
        <w:t>Conducted a statewide scan of current prevention programs/activities</w:t>
      </w:r>
    </w:p>
    <w:p w14:paraId="691F2036" w14:textId="77777777" w:rsidR="00BE72A8" w:rsidRDefault="00BE72A8" w:rsidP="00BE72A8">
      <w:pPr>
        <w:numPr>
          <w:ilvl w:val="2"/>
          <w:numId w:val="27"/>
        </w:numPr>
        <w:spacing w:after="200" w:line="276" w:lineRule="auto"/>
        <w:contextualSpacing/>
        <w:rPr>
          <w:rFonts w:ascii="Arial" w:eastAsia="Calibri" w:hAnsi="Arial" w:cs="Arial"/>
          <w:sz w:val="20"/>
          <w:szCs w:val="20"/>
        </w:rPr>
      </w:pPr>
      <w:r w:rsidRPr="001C6BC9">
        <w:rPr>
          <w:rFonts w:ascii="Arial" w:eastAsia="Calibri" w:hAnsi="Arial" w:cs="Arial"/>
          <w:sz w:val="20"/>
          <w:szCs w:val="20"/>
        </w:rPr>
        <w:t>Supported the Idaho Regional Alcohol and Drug Resource Center (RADAR), reaching approximately 60,000 individuals.</w:t>
      </w:r>
    </w:p>
    <w:p w14:paraId="4168AA29" w14:textId="77777777" w:rsidR="002D680B" w:rsidRPr="001C6BC9" w:rsidRDefault="002D680B" w:rsidP="002D680B">
      <w:pPr>
        <w:spacing w:after="200" w:line="276" w:lineRule="auto"/>
        <w:ind w:left="2160"/>
        <w:contextualSpacing/>
        <w:rPr>
          <w:rFonts w:ascii="Arial" w:eastAsia="Calibri" w:hAnsi="Arial" w:cs="Arial"/>
          <w:sz w:val="20"/>
          <w:szCs w:val="20"/>
        </w:rPr>
      </w:pPr>
    </w:p>
    <w:p w14:paraId="6A23B51F" w14:textId="77777777" w:rsidR="00BE72A8" w:rsidRPr="002D680B" w:rsidRDefault="00BE72A8" w:rsidP="00BE72A8">
      <w:pPr>
        <w:rPr>
          <w:rFonts w:ascii="Arial" w:hAnsi="Arial" w:cs="Arial"/>
          <w:b/>
          <w:bCs/>
          <w:i/>
          <w:iCs/>
          <w:sz w:val="20"/>
          <w:szCs w:val="20"/>
        </w:rPr>
      </w:pPr>
      <w:r w:rsidRPr="001C6BC9">
        <w:rPr>
          <w:rFonts w:ascii="Arial" w:hAnsi="Arial" w:cs="Arial"/>
          <w:b/>
          <w:bCs/>
          <w:sz w:val="20"/>
          <w:szCs w:val="20"/>
        </w:rPr>
        <w:t xml:space="preserve">Priority 3: </w:t>
      </w:r>
      <w:r w:rsidRPr="002D680B">
        <w:rPr>
          <w:rFonts w:ascii="Arial" w:hAnsi="Arial" w:cs="Arial"/>
          <w:b/>
          <w:bCs/>
          <w:i/>
          <w:iCs/>
          <w:sz w:val="20"/>
          <w:szCs w:val="20"/>
        </w:rPr>
        <w:t>Partner with public and private entities to implement social norms campaigns to build awareness of substance misuse issues in Idaho.</w:t>
      </w:r>
    </w:p>
    <w:p w14:paraId="76E8499D" w14:textId="77777777" w:rsidR="00BE72A8" w:rsidRPr="001C6BC9" w:rsidRDefault="00BE72A8" w:rsidP="00BE72A8">
      <w:pPr>
        <w:numPr>
          <w:ilvl w:val="0"/>
          <w:numId w:val="10"/>
        </w:numPr>
        <w:spacing w:after="200" w:line="276" w:lineRule="auto"/>
        <w:contextualSpacing/>
        <w:rPr>
          <w:rFonts w:ascii="Arial" w:eastAsia="Calibri" w:hAnsi="Arial" w:cs="Arial"/>
          <w:sz w:val="20"/>
          <w:szCs w:val="20"/>
        </w:rPr>
      </w:pPr>
      <w:r w:rsidRPr="001C6BC9">
        <w:rPr>
          <w:rFonts w:ascii="Arial" w:eastAsia="Calibri" w:hAnsi="Arial" w:cs="Arial"/>
          <w:sz w:val="20"/>
          <w:szCs w:val="20"/>
        </w:rPr>
        <w:t xml:space="preserve">Participated in the development and coordination of six (6) </w:t>
      </w:r>
      <w:r w:rsidRPr="001C6BC9">
        <w:rPr>
          <w:rFonts w:ascii="Arial" w:eastAsia="Calibri" w:hAnsi="Arial" w:cs="Arial"/>
          <w:b/>
          <w:bCs/>
          <w:sz w:val="20"/>
          <w:szCs w:val="20"/>
        </w:rPr>
        <w:t xml:space="preserve">statewide substance abuse awareness campaigns </w:t>
      </w:r>
      <w:r w:rsidRPr="001C6BC9">
        <w:rPr>
          <w:rFonts w:ascii="Arial" w:eastAsia="Calibri" w:hAnsi="Arial" w:cs="Arial"/>
          <w:sz w:val="20"/>
          <w:szCs w:val="20"/>
        </w:rPr>
        <w:t>including community level toolkits to implement campaigns at the local level:</w:t>
      </w:r>
    </w:p>
    <w:p w14:paraId="485D06B1" w14:textId="77777777" w:rsidR="00BE72A8" w:rsidRPr="001C6BC9" w:rsidRDefault="00BE72A8" w:rsidP="00BE72A8">
      <w:pPr>
        <w:numPr>
          <w:ilvl w:val="1"/>
          <w:numId w:val="10"/>
        </w:numPr>
        <w:spacing w:after="200" w:line="276" w:lineRule="auto"/>
        <w:contextualSpacing/>
        <w:rPr>
          <w:rFonts w:ascii="Arial" w:eastAsia="Calibri" w:hAnsi="Arial" w:cs="Arial"/>
          <w:sz w:val="20"/>
          <w:szCs w:val="20"/>
        </w:rPr>
      </w:pPr>
      <w:r w:rsidRPr="001C6BC9">
        <w:rPr>
          <w:rFonts w:ascii="Arial" w:eastAsia="Calibri" w:hAnsi="Arial" w:cs="Arial"/>
          <w:b/>
          <w:bCs/>
          <w:sz w:val="20"/>
          <w:szCs w:val="20"/>
        </w:rPr>
        <w:t xml:space="preserve">Fentanyl Takes All </w:t>
      </w:r>
      <w:r w:rsidRPr="001C6BC9">
        <w:rPr>
          <w:rFonts w:ascii="Arial" w:eastAsia="Calibri" w:hAnsi="Arial" w:cs="Arial"/>
          <w:sz w:val="20"/>
          <w:szCs w:val="20"/>
        </w:rPr>
        <w:t xml:space="preserve">fentanyl awareness and education campaign developed in partnership with the </w:t>
      </w:r>
      <w:r w:rsidRPr="001C6BC9">
        <w:rPr>
          <w:rFonts w:ascii="Arial" w:eastAsia="Calibri" w:hAnsi="Arial" w:cs="Arial"/>
          <w:b/>
          <w:bCs/>
          <w:sz w:val="20"/>
          <w:szCs w:val="20"/>
        </w:rPr>
        <w:t>Governor’s Office and Idaho State Police</w:t>
      </w:r>
    </w:p>
    <w:p w14:paraId="33D69B7A" w14:textId="77777777" w:rsidR="00BE72A8" w:rsidRPr="001C6BC9" w:rsidRDefault="00BE72A8" w:rsidP="00BE72A8">
      <w:pPr>
        <w:numPr>
          <w:ilvl w:val="1"/>
          <w:numId w:val="10"/>
        </w:numPr>
        <w:spacing w:after="200" w:line="276" w:lineRule="auto"/>
        <w:contextualSpacing/>
        <w:rPr>
          <w:rFonts w:ascii="Arial" w:eastAsia="Calibri" w:hAnsi="Arial" w:cs="Arial"/>
          <w:b/>
          <w:bCs/>
          <w:sz w:val="20"/>
          <w:szCs w:val="20"/>
        </w:rPr>
      </w:pPr>
      <w:r w:rsidRPr="001C6BC9">
        <w:rPr>
          <w:rFonts w:ascii="Arial" w:eastAsia="Calibri" w:hAnsi="Arial" w:cs="Arial"/>
          <w:b/>
          <w:bCs/>
          <w:sz w:val="20"/>
          <w:szCs w:val="20"/>
        </w:rPr>
        <w:t xml:space="preserve">Speak Out, Opt Out, Throw Out </w:t>
      </w:r>
      <w:r w:rsidRPr="001C6BC9">
        <w:rPr>
          <w:rFonts w:ascii="Arial" w:eastAsia="Calibri" w:hAnsi="Arial" w:cs="Arial"/>
          <w:sz w:val="20"/>
          <w:szCs w:val="20"/>
        </w:rPr>
        <w:t xml:space="preserve">opioid education and awareness campaign developed in partnership with Idaho’s </w:t>
      </w:r>
      <w:r w:rsidRPr="001C6BC9">
        <w:rPr>
          <w:rFonts w:ascii="Arial" w:eastAsia="Calibri" w:hAnsi="Arial" w:cs="Arial"/>
          <w:b/>
          <w:bCs/>
          <w:sz w:val="20"/>
          <w:szCs w:val="20"/>
        </w:rPr>
        <w:t>regional Public Health Districts</w:t>
      </w:r>
    </w:p>
    <w:p w14:paraId="4B1775BB" w14:textId="77777777" w:rsidR="00BE72A8" w:rsidRPr="001C6BC9" w:rsidRDefault="00BE72A8" w:rsidP="00BE72A8">
      <w:pPr>
        <w:numPr>
          <w:ilvl w:val="1"/>
          <w:numId w:val="10"/>
        </w:numPr>
        <w:spacing w:after="200" w:line="276" w:lineRule="auto"/>
        <w:contextualSpacing/>
        <w:rPr>
          <w:rFonts w:ascii="Arial" w:eastAsia="Calibri" w:hAnsi="Arial" w:cs="Arial"/>
          <w:b/>
          <w:bCs/>
          <w:sz w:val="20"/>
          <w:szCs w:val="20"/>
        </w:rPr>
      </w:pPr>
      <w:r w:rsidRPr="001C6BC9">
        <w:rPr>
          <w:rFonts w:ascii="Arial" w:eastAsia="Calibri" w:hAnsi="Arial" w:cs="Arial"/>
          <w:b/>
          <w:bCs/>
          <w:sz w:val="20"/>
          <w:szCs w:val="20"/>
        </w:rPr>
        <w:t xml:space="preserve">Be The Parents </w:t>
      </w:r>
      <w:r w:rsidRPr="001C6BC9">
        <w:rPr>
          <w:rFonts w:ascii="Arial" w:eastAsia="Calibri" w:hAnsi="Arial" w:cs="Arial"/>
          <w:sz w:val="20"/>
          <w:szCs w:val="20"/>
        </w:rPr>
        <w:t>underage drinking and underage marijuana awareness and education campaign for parents/caregivers</w:t>
      </w:r>
    </w:p>
    <w:p w14:paraId="5E0C5BAD" w14:textId="77777777" w:rsidR="00BE72A8" w:rsidRPr="001C6BC9" w:rsidRDefault="00BE72A8" w:rsidP="00BE72A8">
      <w:pPr>
        <w:numPr>
          <w:ilvl w:val="1"/>
          <w:numId w:val="10"/>
        </w:numPr>
        <w:spacing w:after="200" w:line="276" w:lineRule="auto"/>
        <w:contextualSpacing/>
        <w:rPr>
          <w:rFonts w:ascii="Arial" w:eastAsia="Calibri" w:hAnsi="Arial" w:cs="Arial"/>
          <w:b/>
          <w:bCs/>
          <w:sz w:val="20"/>
          <w:szCs w:val="20"/>
        </w:rPr>
      </w:pPr>
      <w:r w:rsidRPr="001C6BC9">
        <w:rPr>
          <w:rFonts w:ascii="Arial" w:eastAsia="Calibri" w:hAnsi="Arial" w:cs="Arial"/>
          <w:b/>
          <w:bCs/>
          <w:sz w:val="20"/>
          <w:szCs w:val="20"/>
        </w:rPr>
        <w:t xml:space="preserve">Prescription Drug Take-Back  </w:t>
      </w:r>
      <w:r w:rsidRPr="001C6BC9">
        <w:rPr>
          <w:rFonts w:ascii="Arial" w:eastAsia="Calibri" w:hAnsi="Arial" w:cs="Arial"/>
          <w:sz w:val="20"/>
          <w:szCs w:val="20"/>
        </w:rPr>
        <w:t xml:space="preserve">encourage proper disposal and storage of  unused medications developed in partnership with </w:t>
      </w:r>
      <w:r w:rsidRPr="001C6BC9">
        <w:rPr>
          <w:rFonts w:ascii="Arial" w:eastAsia="Calibri" w:hAnsi="Arial" w:cs="Arial"/>
          <w:b/>
          <w:bCs/>
          <w:sz w:val="20"/>
          <w:szCs w:val="20"/>
        </w:rPr>
        <w:t>Idaho’s Community Coalitions, local law enforcement agencies, and prevention partners across the state</w:t>
      </w:r>
    </w:p>
    <w:p w14:paraId="1B25E666" w14:textId="77777777" w:rsidR="00BE72A8" w:rsidRPr="001C6BC9" w:rsidRDefault="00BE72A8" w:rsidP="00BE72A8">
      <w:pPr>
        <w:numPr>
          <w:ilvl w:val="1"/>
          <w:numId w:val="10"/>
        </w:numPr>
        <w:spacing w:after="200" w:line="276" w:lineRule="auto"/>
        <w:contextualSpacing/>
        <w:rPr>
          <w:rFonts w:ascii="Arial" w:eastAsia="Calibri" w:hAnsi="Arial" w:cs="Arial"/>
          <w:b/>
          <w:bCs/>
          <w:sz w:val="20"/>
          <w:szCs w:val="20"/>
        </w:rPr>
      </w:pPr>
      <w:r w:rsidRPr="001C6BC9">
        <w:rPr>
          <w:rFonts w:ascii="Arial" w:eastAsia="Calibri" w:hAnsi="Arial" w:cs="Arial"/>
          <w:b/>
          <w:bCs/>
          <w:sz w:val="20"/>
          <w:szCs w:val="20"/>
        </w:rPr>
        <w:t>Sticker Shock Campaign</w:t>
      </w:r>
      <w:r w:rsidRPr="001C6BC9">
        <w:rPr>
          <w:rFonts w:ascii="Arial" w:eastAsia="Calibri" w:hAnsi="Arial" w:cs="Arial"/>
          <w:sz w:val="20"/>
          <w:szCs w:val="20"/>
        </w:rPr>
        <w:t xml:space="preserve">, in partnership with </w:t>
      </w:r>
      <w:r w:rsidRPr="001C6BC9">
        <w:rPr>
          <w:rFonts w:ascii="Arial" w:eastAsia="Calibri" w:hAnsi="Arial" w:cs="Arial"/>
          <w:b/>
          <w:bCs/>
          <w:sz w:val="20"/>
          <w:szCs w:val="20"/>
        </w:rPr>
        <w:t>Idaho State Liquor Division (SLD),</w:t>
      </w:r>
      <w:r w:rsidRPr="001C6BC9">
        <w:rPr>
          <w:rFonts w:ascii="Arial" w:eastAsia="Calibri" w:hAnsi="Arial" w:cs="Arial"/>
          <w:sz w:val="20"/>
          <w:szCs w:val="20"/>
        </w:rPr>
        <w:t xml:space="preserve"> to raise awareness of the consequences of underage drinking and providing alcohol to minors </w:t>
      </w:r>
    </w:p>
    <w:p w14:paraId="180495C6" w14:textId="77777777" w:rsidR="00BE72A8" w:rsidRPr="001C6BC9" w:rsidRDefault="00BE72A8" w:rsidP="00BE72A8">
      <w:pPr>
        <w:numPr>
          <w:ilvl w:val="1"/>
          <w:numId w:val="10"/>
        </w:numPr>
        <w:spacing w:after="200" w:line="276" w:lineRule="auto"/>
        <w:contextualSpacing/>
        <w:rPr>
          <w:rFonts w:ascii="Arial" w:eastAsia="Calibri" w:hAnsi="Arial" w:cs="Arial"/>
          <w:b/>
          <w:bCs/>
          <w:sz w:val="20"/>
          <w:szCs w:val="20"/>
        </w:rPr>
      </w:pPr>
      <w:r w:rsidRPr="001C6BC9">
        <w:rPr>
          <w:rFonts w:ascii="Arial" w:eastAsia="Calibri" w:hAnsi="Arial" w:cs="Arial"/>
          <w:b/>
          <w:bCs/>
          <w:sz w:val="20"/>
          <w:szCs w:val="20"/>
        </w:rPr>
        <w:t>Eat Together Idaho</w:t>
      </w:r>
      <w:r w:rsidRPr="001C6BC9">
        <w:rPr>
          <w:rFonts w:ascii="Arial" w:eastAsia="Calibri" w:hAnsi="Arial" w:cs="Arial"/>
          <w:sz w:val="20"/>
          <w:szCs w:val="20"/>
        </w:rPr>
        <w:t xml:space="preserve"> </w:t>
      </w:r>
      <w:r w:rsidRPr="001C6BC9">
        <w:rPr>
          <w:rFonts w:ascii="Arial" w:eastAsia="Calibri" w:hAnsi="Arial" w:cs="Arial"/>
          <w:b/>
          <w:bCs/>
          <w:sz w:val="20"/>
          <w:szCs w:val="20"/>
        </w:rPr>
        <w:t>Family Dinner Campaign</w:t>
      </w:r>
      <w:r w:rsidRPr="001C6BC9">
        <w:rPr>
          <w:rFonts w:ascii="Arial" w:eastAsia="Calibri" w:hAnsi="Arial" w:cs="Arial"/>
          <w:sz w:val="20"/>
          <w:szCs w:val="20"/>
        </w:rPr>
        <w:t xml:space="preserve">, in partnership with the </w:t>
      </w:r>
      <w:r w:rsidRPr="001C6BC9">
        <w:rPr>
          <w:rFonts w:ascii="Arial" w:eastAsia="Calibri" w:hAnsi="Arial" w:cs="Arial"/>
          <w:b/>
          <w:bCs/>
          <w:sz w:val="20"/>
          <w:szCs w:val="20"/>
        </w:rPr>
        <w:t>Idaho Food Bank, Idaho HeadStart Association, and the National Family Dinner Project</w:t>
      </w:r>
      <w:r w:rsidRPr="001C6BC9">
        <w:rPr>
          <w:rFonts w:ascii="Arial" w:eastAsia="Calibri" w:hAnsi="Arial" w:cs="Arial"/>
          <w:sz w:val="20"/>
          <w:szCs w:val="20"/>
        </w:rPr>
        <w:t xml:space="preserve"> to educate families on the protective factors associated with sharing a meal.  Materials in English and Spanish.</w:t>
      </w:r>
    </w:p>
    <w:p w14:paraId="02F281AF" w14:textId="3A55CF76" w:rsidR="00BE72A8" w:rsidRPr="00E8243C" w:rsidRDefault="00BE72A8" w:rsidP="00BE72A8">
      <w:pPr>
        <w:numPr>
          <w:ilvl w:val="0"/>
          <w:numId w:val="10"/>
        </w:numPr>
        <w:spacing w:after="200" w:line="276" w:lineRule="auto"/>
        <w:contextualSpacing/>
        <w:rPr>
          <w:rFonts w:ascii="Arial" w:eastAsia="Calibri" w:hAnsi="Arial" w:cs="Arial"/>
          <w:b/>
          <w:bCs/>
          <w:sz w:val="20"/>
          <w:szCs w:val="20"/>
        </w:rPr>
      </w:pPr>
      <w:r w:rsidRPr="001C6BC9">
        <w:rPr>
          <w:rFonts w:ascii="Arial" w:eastAsia="Calibri" w:hAnsi="Arial" w:cs="Arial"/>
          <w:sz w:val="20"/>
          <w:szCs w:val="20"/>
        </w:rPr>
        <w:t xml:space="preserve"> </w:t>
      </w:r>
      <w:r w:rsidRPr="00E8243C">
        <w:rPr>
          <w:rFonts w:ascii="Arial" w:eastAsia="Calibri" w:hAnsi="Arial" w:cs="Arial"/>
          <w:sz w:val="20"/>
          <w:szCs w:val="20"/>
        </w:rPr>
        <w:t xml:space="preserve">Delivered </w:t>
      </w:r>
      <w:r w:rsidRPr="00E8243C">
        <w:rPr>
          <w:rFonts w:ascii="Arial" w:eastAsia="Calibri" w:hAnsi="Arial" w:cs="Arial"/>
          <w:b/>
          <w:bCs/>
          <w:sz w:val="20"/>
          <w:szCs w:val="20"/>
        </w:rPr>
        <w:t>educational and awareness materials on emerging state and national drug trends</w:t>
      </w:r>
      <w:r w:rsidRPr="00E8243C">
        <w:rPr>
          <w:rFonts w:ascii="Arial" w:eastAsia="Calibri" w:hAnsi="Arial" w:cs="Arial"/>
          <w:sz w:val="20"/>
          <w:szCs w:val="20"/>
        </w:rPr>
        <w:t xml:space="preserve"> and provided information and resources via webinars, print, monthly newsletters, weekly social media content, and online resources.  </w:t>
      </w:r>
      <w:r w:rsidRPr="00E8243C">
        <w:rPr>
          <w:rFonts w:ascii="Arial" w:eastAsia="Calibri" w:hAnsi="Arial" w:cs="Arial"/>
          <w:b/>
          <w:bCs/>
          <w:sz w:val="20"/>
          <w:szCs w:val="20"/>
        </w:rPr>
        <w:t>ODP’s Learning Management System</w:t>
      </w:r>
      <w:r w:rsidRPr="00E8243C">
        <w:rPr>
          <w:rFonts w:ascii="Arial" w:eastAsia="Calibri" w:hAnsi="Arial" w:cs="Arial"/>
          <w:sz w:val="20"/>
          <w:szCs w:val="20"/>
        </w:rPr>
        <w:t xml:space="preserve"> had </w:t>
      </w:r>
      <w:r w:rsidR="00875865" w:rsidRPr="00E8243C">
        <w:rPr>
          <w:rFonts w:ascii="Arial" w:eastAsia="Calibri" w:hAnsi="Arial" w:cs="Arial"/>
          <w:sz w:val="20"/>
          <w:szCs w:val="20"/>
        </w:rPr>
        <w:t>42 new</w:t>
      </w:r>
      <w:r w:rsidRPr="00E8243C">
        <w:rPr>
          <w:rFonts w:ascii="Arial" w:eastAsia="Calibri" w:hAnsi="Arial" w:cs="Arial"/>
          <w:sz w:val="20"/>
          <w:szCs w:val="20"/>
        </w:rPr>
        <w:t xml:space="preserve"> registered users and </w:t>
      </w:r>
      <w:r w:rsidR="00875865" w:rsidRPr="00E8243C">
        <w:rPr>
          <w:rFonts w:ascii="Arial" w:eastAsia="Calibri" w:hAnsi="Arial" w:cs="Arial"/>
          <w:sz w:val="20"/>
          <w:szCs w:val="20"/>
        </w:rPr>
        <w:t>77</w:t>
      </w:r>
      <w:r w:rsidRPr="00E8243C">
        <w:rPr>
          <w:rFonts w:ascii="Arial" w:eastAsia="Calibri" w:hAnsi="Arial" w:cs="Arial"/>
          <w:sz w:val="20"/>
          <w:szCs w:val="20"/>
        </w:rPr>
        <w:t xml:space="preserve"> course completions in FY24.</w:t>
      </w:r>
    </w:p>
    <w:p w14:paraId="24BD9D80" w14:textId="77777777" w:rsidR="00E74347" w:rsidRDefault="00E74347" w:rsidP="00E74347">
      <w:pPr>
        <w:spacing w:after="200" w:line="276" w:lineRule="auto"/>
        <w:contextualSpacing/>
        <w:rPr>
          <w:rFonts w:ascii="Arial" w:eastAsia="Calibri" w:hAnsi="Arial" w:cs="Arial"/>
          <w:sz w:val="20"/>
          <w:szCs w:val="20"/>
        </w:rPr>
      </w:pPr>
    </w:p>
    <w:p w14:paraId="13DD1514" w14:textId="77777777" w:rsidR="00E8243C" w:rsidRDefault="00E8243C" w:rsidP="003B1037">
      <w:pPr>
        <w:spacing w:line="276" w:lineRule="auto"/>
        <w:contextualSpacing/>
        <w:rPr>
          <w:rFonts w:ascii="Arial" w:hAnsi="Arial" w:cs="Arial"/>
          <w:b/>
          <w:i/>
          <w:color w:val="000080"/>
          <w:sz w:val="28"/>
          <w:szCs w:val="28"/>
        </w:rPr>
      </w:pPr>
    </w:p>
    <w:p w14:paraId="43E04958" w14:textId="77777777" w:rsidR="00E8243C" w:rsidRDefault="00E8243C" w:rsidP="003B1037">
      <w:pPr>
        <w:spacing w:line="276" w:lineRule="auto"/>
        <w:contextualSpacing/>
        <w:rPr>
          <w:rFonts w:ascii="Arial" w:hAnsi="Arial" w:cs="Arial"/>
          <w:b/>
          <w:i/>
          <w:color w:val="000080"/>
          <w:sz w:val="28"/>
          <w:szCs w:val="28"/>
        </w:rPr>
      </w:pPr>
    </w:p>
    <w:p w14:paraId="2BAD0D93" w14:textId="77777777" w:rsidR="00E8243C" w:rsidRDefault="00E8243C" w:rsidP="003B1037">
      <w:pPr>
        <w:spacing w:line="276" w:lineRule="auto"/>
        <w:contextualSpacing/>
        <w:rPr>
          <w:rFonts w:ascii="Arial" w:hAnsi="Arial" w:cs="Arial"/>
          <w:b/>
          <w:i/>
          <w:color w:val="000080"/>
          <w:sz w:val="28"/>
          <w:szCs w:val="28"/>
        </w:rPr>
      </w:pPr>
    </w:p>
    <w:p w14:paraId="64948EB6" w14:textId="77777777" w:rsidR="00E8243C" w:rsidRDefault="00E8243C" w:rsidP="003B1037">
      <w:pPr>
        <w:spacing w:line="276" w:lineRule="auto"/>
        <w:contextualSpacing/>
        <w:rPr>
          <w:rFonts w:ascii="Arial" w:hAnsi="Arial" w:cs="Arial"/>
          <w:b/>
          <w:i/>
          <w:color w:val="000080"/>
          <w:sz w:val="28"/>
          <w:szCs w:val="28"/>
        </w:rPr>
      </w:pPr>
    </w:p>
    <w:p w14:paraId="073F6E01" w14:textId="77777777" w:rsidR="00E8243C" w:rsidRDefault="00E8243C" w:rsidP="003B1037">
      <w:pPr>
        <w:spacing w:line="276" w:lineRule="auto"/>
        <w:contextualSpacing/>
        <w:rPr>
          <w:rFonts w:ascii="Arial" w:hAnsi="Arial" w:cs="Arial"/>
          <w:b/>
          <w:i/>
          <w:color w:val="000080"/>
          <w:sz w:val="28"/>
          <w:szCs w:val="28"/>
        </w:rPr>
      </w:pPr>
    </w:p>
    <w:p w14:paraId="2EDC6124" w14:textId="3233C5FE" w:rsidR="00044A64" w:rsidRDefault="00044A64" w:rsidP="003B1037">
      <w:pPr>
        <w:spacing w:line="276" w:lineRule="auto"/>
        <w:contextualSpacing/>
        <w:rPr>
          <w:rFonts w:ascii="Arial" w:hAnsi="Arial" w:cs="Arial"/>
          <w:b/>
          <w:i/>
          <w:color w:val="000080"/>
          <w:sz w:val="28"/>
          <w:szCs w:val="28"/>
        </w:rPr>
      </w:pPr>
      <w:r w:rsidRPr="004B2482">
        <w:rPr>
          <w:rFonts w:ascii="Arial" w:hAnsi="Arial" w:cs="Arial"/>
          <w:b/>
          <w:i/>
          <w:color w:val="000080"/>
          <w:sz w:val="28"/>
          <w:szCs w:val="28"/>
        </w:rPr>
        <w:lastRenderedPageBreak/>
        <w:t>Part II – Performance Measures</w:t>
      </w:r>
    </w:p>
    <w:bookmarkEnd w:id="2"/>
    <w:p w14:paraId="57876C55" w14:textId="77777777" w:rsidR="009E536F" w:rsidRPr="009E536F" w:rsidRDefault="009E536F" w:rsidP="009E536F">
      <w:pPr>
        <w:rPr>
          <w:rFonts w:ascii="Arial" w:hAnsi="Arial" w:cs="Arial"/>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158"/>
        <w:gridCol w:w="1170"/>
        <w:gridCol w:w="1349"/>
        <w:gridCol w:w="1349"/>
        <w:gridCol w:w="1349"/>
        <w:gridCol w:w="90"/>
        <w:gridCol w:w="1350"/>
        <w:gridCol w:w="1265"/>
      </w:tblGrid>
      <w:tr w:rsidR="00C01F53" w14:paraId="6473A8D2" w14:textId="77777777" w:rsidTr="00882DC5">
        <w:trPr>
          <w:cantSplit/>
          <w:tblHeader/>
        </w:trPr>
        <w:tc>
          <w:tcPr>
            <w:tcW w:w="3328" w:type="dxa"/>
            <w:gridSpan w:val="2"/>
            <w:shd w:val="clear" w:color="auto" w:fill="000080"/>
            <w:vAlign w:val="bottom"/>
          </w:tcPr>
          <w:p w14:paraId="0153D2F2" w14:textId="77777777" w:rsidR="00C01F53" w:rsidRDefault="00C01F53" w:rsidP="00C01F53">
            <w:pPr>
              <w:jc w:val="center"/>
              <w:rPr>
                <w:rFonts w:ascii="Arial" w:hAnsi="Arial" w:cs="Arial"/>
                <w:b/>
                <w:bCs/>
                <w:color w:val="FFFFFF"/>
                <w:sz w:val="20"/>
              </w:rPr>
            </w:pPr>
            <w:bookmarkStart w:id="3" w:name="_Hlk80793488"/>
            <w:r>
              <w:rPr>
                <w:rFonts w:ascii="Arial" w:hAnsi="Arial" w:cs="Arial"/>
                <w:b/>
                <w:bCs/>
                <w:color w:val="FFFFFF"/>
                <w:sz w:val="20"/>
              </w:rPr>
              <w:t>Performance Measure</w:t>
            </w:r>
          </w:p>
        </w:tc>
        <w:tc>
          <w:tcPr>
            <w:tcW w:w="1349" w:type="dxa"/>
            <w:shd w:val="clear" w:color="auto" w:fill="000080"/>
            <w:vAlign w:val="center"/>
          </w:tcPr>
          <w:p w14:paraId="07D04E22" w14:textId="4E9EF4DE" w:rsidR="00C01F53" w:rsidRDefault="00C01F53" w:rsidP="00C01F53">
            <w:pPr>
              <w:jc w:val="center"/>
              <w:rPr>
                <w:rFonts w:ascii="Arial" w:hAnsi="Arial" w:cs="Arial"/>
                <w:b/>
                <w:bCs/>
                <w:color w:val="FFFFFF"/>
                <w:sz w:val="20"/>
              </w:rPr>
            </w:pPr>
            <w:r>
              <w:rPr>
                <w:rFonts w:ascii="Arial" w:hAnsi="Arial" w:cs="Arial"/>
                <w:b/>
                <w:bCs/>
                <w:color w:val="FFFFFF"/>
                <w:sz w:val="20"/>
                <w:szCs w:val="20"/>
              </w:rPr>
              <w:t>FY 2022</w:t>
            </w:r>
          </w:p>
        </w:tc>
        <w:tc>
          <w:tcPr>
            <w:tcW w:w="1349" w:type="dxa"/>
            <w:shd w:val="clear" w:color="auto" w:fill="000080"/>
            <w:vAlign w:val="center"/>
          </w:tcPr>
          <w:p w14:paraId="5D521504" w14:textId="762051BE" w:rsidR="00C01F53" w:rsidRDefault="00C01F53" w:rsidP="00C01F53">
            <w:pPr>
              <w:jc w:val="center"/>
              <w:rPr>
                <w:rFonts w:ascii="Arial" w:hAnsi="Arial" w:cs="Arial"/>
                <w:b/>
                <w:bCs/>
                <w:color w:val="FFFFFF"/>
                <w:sz w:val="20"/>
              </w:rPr>
            </w:pPr>
            <w:r>
              <w:rPr>
                <w:rFonts w:ascii="Arial" w:hAnsi="Arial" w:cs="Arial"/>
                <w:b/>
                <w:bCs/>
                <w:color w:val="FFFFFF"/>
                <w:sz w:val="20"/>
                <w:szCs w:val="20"/>
              </w:rPr>
              <w:t>FY 2023</w:t>
            </w:r>
          </w:p>
        </w:tc>
        <w:tc>
          <w:tcPr>
            <w:tcW w:w="1349" w:type="dxa"/>
            <w:shd w:val="clear" w:color="auto" w:fill="000080"/>
            <w:vAlign w:val="center"/>
          </w:tcPr>
          <w:p w14:paraId="30FD154E" w14:textId="270D61A6" w:rsidR="00C01F53" w:rsidRDefault="00C01F53" w:rsidP="00C01F53">
            <w:pPr>
              <w:jc w:val="center"/>
              <w:rPr>
                <w:rFonts w:ascii="Arial" w:hAnsi="Arial" w:cs="Arial"/>
                <w:b/>
                <w:bCs/>
                <w:color w:val="FFFFFF"/>
                <w:sz w:val="20"/>
              </w:rPr>
            </w:pPr>
            <w:r>
              <w:rPr>
                <w:rFonts w:ascii="Arial" w:hAnsi="Arial" w:cs="Arial"/>
                <w:b/>
                <w:bCs/>
                <w:color w:val="FFFFFF"/>
                <w:sz w:val="20"/>
                <w:szCs w:val="20"/>
              </w:rPr>
              <w:t>FY 2024</w:t>
            </w:r>
          </w:p>
        </w:tc>
        <w:tc>
          <w:tcPr>
            <w:tcW w:w="1440" w:type="dxa"/>
            <w:gridSpan w:val="2"/>
            <w:shd w:val="clear" w:color="auto" w:fill="000080"/>
            <w:vAlign w:val="center"/>
          </w:tcPr>
          <w:p w14:paraId="78272135" w14:textId="79A3C211" w:rsidR="00C01F53" w:rsidRDefault="00C01F53" w:rsidP="00C01F53">
            <w:pPr>
              <w:jc w:val="center"/>
              <w:rPr>
                <w:rFonts w:ascii="Arial" w:hAnsi="Arial" w:cs="Arial"/>
                <w:b/>
                <w:bCs/>
                <w:color w:val="FFFFFF"/>
                <w:sz w:val="20"/>
              </w:rPr>
            </w:pPr>
            <w:r>
              <w:rPr>
                <w:rFonts w:ascii="Arial" w:hAnsi="Arial" w:cs="Arial"/>
                <w:b/>
                <w:bCs/>
                <w:color w:val="FFFFFF"/>
                <w:sz w:val="20"/>
                <w:szCs w:val="20"/>
              </w:rPr>
              <w:t>FY 2025</w:t>
            </w:r>
          </w:p>
        </w:tc>
        <w:tc>
          <w:tcPr>
            <w:tcW w:w="1265" w:type="dxa"/>
            <w:shd w:val="clear" w:color="auto" w:fill="000080"/>
            <w:vAlign w:val="bottom"/>
          </w:tcPr>
          <w:p w14:paraId="1031E039" w14:textId="65D4D7B5" w:rsidR="00C01F53" w:rsidRDefault="00C01F53" w:rsidP="00C01F53">
            <w:pPr>
              <w:jc w:val="center"/>
              <w:rPr>
                <w:rFonts w:ascii="Arial" w:hAnsi="Arial" w:cs="Arial"/>
                <w:b/>
                <w:bCs/>
                <w:color w:val="FFFFFF"/>
                <w:sz w:val="20"/>
              </w:rPr>
            </w:pPr>
            <w:r>
              <w:rPr>
                <w:rFonts w:ascii="Arial" w:hAnsi="Arial" w:cs="Arial"/>
                <w:b/>
                <w:bCs/>
                <w:color w:val="FFFFFF"/>
                <w:sz w:val="20"/>
              </w:rPr>
              <w:t>FY 2026</w:t>
            </w:r>
          </w:p>
        </w:tc>
      </w:tr>
      <w:tr w:rsidR="00C01F53" w14:paraId="09158751" w14:textId="77777777" w:rsidTr="000A632F">
        <w:trPr>
          <w:cantSplit/>
          <w:trHeight w:val="1322"/>
        </w:trPr>
        <w:tc>
          <w:tcPr>
            <w:tcW w:w="10080" w:type="dxa"/>
            <w:gridSpan w:val="8"/>
            <w:shd w:val="clear" w:color="auto" w:fill="DBE5F1" w:themeFill="accent1" w:themeFillTint="33"/>
            <w:vAlign w:val="center"/>
          </w:tcPr>
          <w:p w14:paraId="7543968C" w14:textId="77777777" w:rsidR="00C01F53" w:rsidRDefault="00C01F53" w:rsidP="00C01F53">
            <w:pPr>
              <w:spacing w:before="120"/>
              <w:jc w:val="center"/>
              <w:rPr>
                <w:rFonts w:ascii="Arial" w:hAnsi="Arial" w:cs="Arial"/>
                <w:b/>
                <w:sz w:val="20"/>
              </w:rPr>
            </w:pPr>
            <w:r w:rsidRPr="009E536F">
              <w:rPr>
                <w:rFonts w:ascii="Arial" w:hAnsi="Arial" w:cs="Arial"/>
                <w:b/>
                <w:sz w:val="20"/>
              </w:rPr>
              <w:t>Goal 1</w:t>
            </w:r>
            <w:r>
              <w:rPr>
                <w:rFonts w:ascii="Arial" w:hAnsi="Arial" w:cs="Arial"/>
                <w:b/>
                <w:sz w:val="20"/>
              </w:rPr>
              <w:t xml:space="preserve"> – Collaboration and Partnership</w:t>
            </w:r>
          </w:p>
          <w:p w14:paraId="3E319831" w14:textId="77777777" w:rsidR="00C01F53" w:rsidRDefault="00C01F53" w:rsidP="00C01F53">
            <w:pPr>
              <w:spacing w:after="120"/>
              <w:jc w:val="center"/>
              <w:rPr>
                <w:rFonts w:ascii="Arial" w:hAnsi="Arial" w:cs="Arial"/>
                <w:sz w:val="20"/>
              </w:rPr>
            </w:pPr>
          </w:p>
          <w:p w14:paraId="2B842F40" w14:textId="0CA5581A" w:rsidR="00C01F53" w:rsidRPr="00CE5341" w:rsidRDefault="00C01F53" w:rsidP="00C01F53">
            <w:pPr>
              <w:spacing w:after="120"/>
              <w:jc w:val="center"/>
              <w:rPr>
                <w:rFonts w:ascii="Arial" w:hAnsi="Arial" w:cs="Arial"/>
                <w:sz w:val="20"/>
              </w:rPr>
            </w:pPr>
            <w:r w:rsidRPr="00356B57">
              <w:rPr>
                <w:rFonts w:ascii="Arial" w:hAnsi="Arial" w:cs="Arial"/>
                <w:sz w:val="20"/>
              </w:rPr>
              <w:t xml:space="preserve">Increase collaborations and partnerships with counties, cities, and local law enforcement to implement a coordinated, accessible, and comprehensive system of evidence-based/informed primary prevention programs and services.  </w:t>
            </w:r>
          </w:p>
        </w:tc>
      </w:tr>
      <w:tr w:rsidR="00C01F53" w14:paraId="189FD833" w14:textId="7AA6E561" w:rsidTr="00A56D42">
        <w:trPr>
          <w:cantSplit/>
          <w:trHeight w:val="288"/>
        </w:trPr>
        <w:tc>
          <w:tcPr>
            <w:tcW w:w="2158" w:type="dxa"/>
            <w:vMerge w:val="restart"/>
          </w:tcPr>
          <w:p w14:paraId="2C422989" w14:textId="0B996793" w:rsidR="00C01F53" w:rsidRDefault="00C01F53" w:rsidP="00C01F53">
            <w:pPr>
              <w:rPr>
                <w:rFonts w:ascii="Arial" w:hAnsi="Arial" w:cs="Arial"/>
                <w:b/>
                <w:sz w:val="20"/>
                <w:szCs w:val="20"/>
              </w:rPr>
            </w:pPr>
          </w:p>
          <w:p w14:paraId="139FB3E0" w14:textId="77777777" w:rsidR="00C01F53" w:rsidRPr="00BA7ABE" w:rsidRDefault="00C01F53" w:rsidP="00C01F53">
            <w:pPr>
              <w:rPr>
                <w:rFonts w:ascii="Arial" w:hAnsi="Arial" w:cs="Arial"/>
                <w:b/>
                <w:sz w:val="20"/>
                <w:szCs w:val="20"/>
                <w:u w:val="single"/>
              </w:rPr>
            </w:pPr>
            <w:r w:rsidRPr="00BA7ABE">
              <w:rPr>
                <w:rFonts w:ascii="Arial" w:hAnsi="Arial" w:cs="Arial"/>
                <w:b/>
                <w:sz w:val="20"/>
                <w:szCs w:val="20"/>
                <w:u w:val="single"/>
              </w:rPr>
              <w:t>OLD</w:t>
            </w:r>
          </w:p>
          <w:p w14:paraId="604793CA" w14:textId="77777777" w:rsidR="00C01F53" w:rsidRDefault="00C01F53" w:rsidP="00C01F53">
            <w:pPr>
              <w:rPr>
                <w:rFonts w:ascii="Arial" w:hAnsi="Arial" w:cs="Arial"/>
                <w:b/>
                <w:sz w:val="20"/>
                <w:szCs w:val="20"/>
              </w:rPr>
            </w:pPr>
          </w:p>
          <w:p w14:paraId="3975CFA3" w14:textId="042F29EE" w:rsidR="00C01F53" w:rsidRDefault="00C01F53" w:rsidP="00C01F53">
            <w:pPr>
              <w:rPr>
                <w:rFonts w:ascii="Arial" w:hAnsi="Arial" w:cs="Arial"/>
                <w:b/>
                <w:sz w:val="20"/>
                <w:szCs w:val="20"/>
              </w:rPr>
            </w:pPr>
            <w:r>
              <w:rPr>
                <w:rFonts w:ascii="Arial" w:hAnsi="Arial" w:cs="Arial"/>
                <w:bCs/>
                <w:sz w:val="20"/>
                <w:szCs w:val="20"/>
              </w:rPr>
              <w:t xml:space="preserve">1. </w:t>
            </w:r>
            <w:r w:rsidRPr="00DC7BF5">
              <w:rPr>
                <w:rFonts w:ascii="Arial" w:hAnsi="Arial" w:cs="Arial"/>
                <w:bCs/>
                <w:sz w:val="20"/>
                <w:szCs w:val="20"/>
              </w:rPr>
              <w:t>Number of regional stakeholder meetings per year</w:t>
            </w:r>
          </w:p>
          <w:p w14:paraId="19F4D278" w14:textId="626DE049" w:rsidR="00C01F53" w:rsidRPr="00B77E25" w:rsidRDefault="00C01F53" w:rsidP="00C01F53">
            <w:pPr>
              <w:rPr>
                <w:rFonts w:ascii="Arial" w:hAnsi="Arial" w:cs="Arial"/>
                <w:b/>
                <w:sz w:val="20"/>
                <w:szCs w:val="20"/>
              </w:rPr>
            </w:pPr>
          </w:p>
        </w:tc>
        <w:tc>
          <w:tcPr>
            <w:tcW w:w="1170" w:type="dxa"/>
            <w:shd w:val="clear" w:color="auto" w:fill="D9D9D9" w:themeFill="background1" w:themeFillShade="D9"/>
            <w:vAlign w:val="center"/>
          </w:tcPr>
          <w:p w14:paraId="603B073B" w14:textId="77777777" w:rsidR="00C01F53" w:rsidRPr="00DC7BF5" w:rsidRDefault="00C01F53" w:rsidP="00C01F53">
            <w:pPr>
              <w:jc w:val="center"/>
              <w:rPr>
                <w:rFonts w:ascii="Arial" w:hAnsi="Arial" w:cs="Arial"/>
                <w:b/>
                <w:bCs/>
                <w:sz w:val="20"/>
              </w:rPr>
            </w:pPr>
            <w:r w:rsidRPr="00DC7BF5">
              <w:rPr>
                <w:rFonts w:ascii="Arial" w:hAnsi="Arial" w:cs="Arial"/>
                <w:b/>
                <w:bCs/>
                <w:sz w:val="20"/>
              </w:rPr>
              <w:t>actual</w:t>
            </w:r>
          </w:p>
        </w:tc>
        <w:tc>
          <w:tcPr>
            <w:tcW w:w="1349" w:type="dxa"/>
            <w:shd w:val="clear" w:color="auto" w:fill="D9D9D9" w:themeFill="background1" w:themeFillShade="D9"/>
            <w:vAlign w:val="center"/>
          </w:tcPr>
          <w:p w14:paraId="066E9359" w14:textId="485B4174" w:rsidR="00C01F53" w:rsidRPr="00BA7ABE" w:rsidRDefault="00C01F53" w:rsidP="00C01F53">
            <w:pPr>
              <w:jc w:val="center"/>
              <w:rPr>
                <w:rFonts w:ascii="Arial" w:hAnsi="Arial" w:cs="Arial"/>
                <w:b/>
                <w:bCs/>
                <w:sz w:val="20"/>
              </w:rPr>
            </w:pPr>
            <w:r w:rsidRPr="00BA7ABE">
              <w:rPr>
                <w:rFonts w:ascii="Arial" w:hAnsi="Arial" w:cs="Arial"/>
                <w:b/>
                <w:bCs/>
                <w:sz w:val="20"/>
              </w:rPr>
              <w:t>7</w:t>
            </w:r>
          </w:p>
        </w:tc>
        <w:tc>
          <w:tcPr>
            <w:tcW w:w="1349" w:type="dxa"/>
            <w:shd w:val="clear" w:color="auto" w:fill="D9D9D9" w:themeFill="background1" w:themeFillShade="D9"/>
            <w:vAlign w:val="center"/>
          </w:tcPr>
          <w:p w14:paraId="5B175F46" w14:textId="6FEAC978" w:rsidR="00C01F53" w:rsidRPr="00BA7ABE" w:rsidRDefault="00C01F53" w:rsidP="00C01F53">
            <w:pPr>
              <w:jc w:val="center"/>
              <w:rPr>
                <w:rFonts w:ascii="Arial" w:hAnsi="Arial" w:cs="Arial"/>
                <w:b/>
                <w:bCs/>
                <w:sz w:val="20"/>
              </w:rPr>
            </w:pPr>
            <w:r w:rsidRPr="00BA7ABE">
              <w:rPr>
                <w:rFonts w:ascii="Arial" w:hAnsi="Arial" w:cs="Arial"/>
                <w:b/>
                <w:bCs/>
                <w:sz w:val="20"/>
              </w:rPr>
              <w:t>7</w:t>
            </w:r>
          </w:p>
        </w:tc>
        <w:tc>
          <w:tcPr>
            <w:tcW w:w="1439" w:type="dxa"/>
            <w:gridSpan w:val="2"/>
            <w:shd w:val="clear" w:color="auto" w:fill="D9D9D9" w:themeFill="background1" w:themeFillShade="D9"/>
            <w:vAlign w:val="center"/>
          </w:tcPr>
          <w:p w14:paraId="2AAEE523" w14:textId="1D3FE1A1" w:rsidR="00C01F53" w:rsidRPr="00BA7ABE" w:rsidRDefault="00C01F53" w:rsidP="00C01F53">
            <w:pPr>
              <w:jc w:val="center"/>
              <w:rPr>
                <w:rFonts w:ascii="Arial" w:hAnsi="Arial" w:cs="Arial"/>
                <w:b/>
                <w:bCs/>
                <w:sz w:val="20"/>
              </w:rPr>
            </w:pPr>
            <w:r w:rsidRPr="00BA7ABE">
              <w:rPr>
                <w:rFonts w:ascii="Arial" w:hAnsi="Arial" w:cs="Arial"/>
                <w:b/>
                <w:bCs/>
                <w:sz w:val="20"/>
              </w:rPr>
              <w:t>7</w:t>
            </w:r>
          </w:p>
        </w:tc>
        <w:tc>
          <w:tcPr>
            <w:tcW w:w="1350" w:type="dxa"/>
            <w:shd w:val="clear" w:color="auto" w:fill="D9D9D9" w:themeFill="background1" w:themeFillShade="D9"/>
            <w:vAlign w:val="center"/>
          </w:tcPr>
          <w:p w14:paraId="129927FD" w14:textId="00BD124D" w:rsidR="00C01F53" w:rsidRPr="00BA7ABE" w:rsidRDefault="00C01F53" w:rsidP="00C01F53">
            <w:pPr>
              <w:jc w:val="center"/>
              <w:rPr>
                <w:rFonts w:ascii="Arial" w:hAnsi="Arial" w:cs="Arial"/>
                <w:b/>
                <w:bCs/>
                <w:sz w:val="20"/>
              </w:rPr>
            </w:pPr>
          </w:p>
        </w:tc>
        <w:tc>
          <w:tcPr>
            <w:tcW w:w="1265" w:type="dxa"/>
            <w:shd w:val="clear" w:color="auto" w:fill="D9D9D9" w:themeFill="background1" w:themeFillShade="D9"/>
            <w:vAlign w:val="center"/>
          </w:tcPr>
          <w:p w14:paraId="6FBAB292" w14:textId="35819F29" w:rsidR="00C01F53" w:rsidRPr="00E74347" w:rsidRDefault="00C01F53" w:rsidP="00C01F53">
            <w:pPr>
              <w:jc w:val="center"/>
              <w:rPr>
                <w:rFonts w:ascii="Arial" w:hAnsi="Arial" w:cs="Arial"/>
                <w:sz w:val="20"/>
              </w:rPr>
            </w:pPr>
          </w:p>
        </w:tc>
      </w:tr>
      <w:tr w:rsidR="00C01F53" w14:paraId="7FF1B694" w14:textId="3695D920" w:rsidTr="00FF19E4">
        <w:trPr>
          <w:cantSplit/>
          <w:trHeight w:val="288"/>
        </w:trPr>
        <w:tc>
          <w:tcPr>
            <w:tcW w:w="2158" w:type="dxa"/>
            <w:vMerge/>
          </w:tcPr>
          <w:p w14:paraId="4735D459" w14:textId="77777777" w:rsidR="00C01F53" w:rsidRPr="000A632F" w:rsidRDefault="00C01F53" w:rsidP="00C01F53">
            <w:pPr>
              <w:pStyle w:val="ListParagraph"/>
              <w:numPr>
                <w:ilvl w:val="0"/>
                <w:numId w:val="14"/>
              </w:numPr>
              <w:tabs>
                <w:tab w:val="left" w:pos="2985"/>
              </w:tabs>
              <w:ind w:left="342"/>
              <w:rPr>
                <w:rFonts w:cs="Arial"/>
                <w:szCs w:val="20"/>
              </w:rPr>
            </w:pPr>
          </w:p>
        </w:tc>
        <w:tc>
          <w:tcPr>
            <w:tcW w:w="1170" w:type="dxa"/>
            <w:shd w:val="clear" w:color="auto" w:fill="FFFFFF" w:themeFill="background1"/>
            <w:vAlign w:val="center"/>
          </w:tcPr>
          <w:p w14:paraId="77204088" w14:textId="77777777" w:rsidR="00C01F53" w:rsidRPr="00854BE2" w:rsidRDefault="00C01F53" w:rsidP="00C01F53">
            <w:pPr>
              <w:jc w:val="center"/>
              <w:rPr>
                <w:rFonts w:ascii="Arial" w:hAnsi="Arial" w:cs="Arial"/>
                <w:i/>
                <w:sz w:val="20"/>
                <w:szCs w:val="20"/>
              </w:rPr>
            </w:pPr>
            <w:r w:rsidRPr="00854BE2">
              <w:rPr>
                <w:rFonts w:ascii="Arial" w:hAnsi="Arial" w:cs="Arial"/>
                <w:i/>
                <w:sz w:val="20"/>
                <w:szCs w:val="20"/>
              </w:rPr>
              <w:t>target</w:t>
            </w:r>
          </w:p>
        </w:tc>
        <w:tc>
          <w:tcPr>
            <w:tcW w:w="1349" w:type="dxa"/>
            <w:shd w:val="clear" w:color="auto" w:fill="FFFFFF" w:themeFill="background1"/>
            <w:vAlign w:val="center"/>
          </w:tcPr>
          <w:p w14:paraId="00D83F76" w14:textId="6F769666" w:rsidR="00C01F53" w:rsidRPr="00DC7BF5" w:rsidRDefault="00C01F53" w:rsidP="00C01F53">
            <w:pPr>
              <w:jc w:val="center"/>
              <w:rPr>
                <w:rFonts w:ascii="Arial" w:hAnsi="Arial" w:cs="Arial"/>
                <w:i/>
                <w:sz w:val="20"/>
                <w:szCs w:val="20"/>
              </w:rPr>
            </w:pPr>
            <w:r>
              <w:rPr>
                <w:rFonts w:ascii="Arial" w:hAnsi="Arial" w:cs="Arial"/>
                <w:sz w:val="20"/>
                <w:szCs w:val="20"/>
              </w:rPr>
              <w:t>7</w:t>
            </w:r>
            <w:r w:rsidRPr="00DC7BF5">
              <w:rPr>
                <w:rFonts w:ascii="Arial" w:hAnsi="Arial" w:cs="Arial"/>
                <w:sz w:val="20"/>
                <w:szCs w:val="20"/>
              </w:rPr>
              <w:t xml:space="preserve"> regions of the state visited each year</w:t>
            </w:r>
          </w:p>
        </w:tc>
        <w:tc>
          <w:tcPr>
            <w:tcW w:w="1349" w:type="dxa"/>
            <w:shd w:val="clear" w:color="auto" w:fill="FFFFFF" w:themeFill="background1"/>
            <w:vAlign w:val="center"/>
          </w:tcPr>
          <w:p w14:paraId="030731CA" w14:textId="3374B520" w:rsidR="00C01F53" w:rsidRPr="00854BE2" w:rsidRDefault="00C01F53" w:rsidP="00C01F53">
            <w:pPr>
              <w:jc w:val="center"/>
              <w:rPr>
                <w:rFonts w:ascii="Arial" w:hAnsi="Arial" w:cs="Arial"/>
                <w:i/>
                <w:sz w:val="20"/>
                <w:szCs w:val="20"/>
              </w:rPr>
            </w:pPr>
            <w:r>
              <w:rPr>
                <w:rFonts w:ascii="Arial" w:hAnsi="Arial" w:cs="Arial"/>
                <w:sz w:val="20"/>
                <w:szCs w:val="20"/>
              </w:rPr>
              <w:t>7</w:t>
            </w:r>
            <w:r w:rsidRPr="00DC7BF5">
              <w:rPr>
                <w:rFonts w:ascii="Arial" w:hAnsi="Arial" w:cs="Arial"/>
                <w:sz w:val="20"/>
                <w:szCs w:val="20"/>
              </w:rPr>
              <w:t xml:space="preserve"> regions of the state visited each year</w:t>
            </w:r>
          </w:p>
        </w:tc>
        <w:tc>
          <w:tcPr>
            <w:tcW w:w="1439" w:type="dxa"/>
            <w:gridSpan w:val="2"/>
            <w:shd w:val="clear" w:color="auto" w:fill="auto"/>
            <w:vAlign w:val="center"/>
          </w:tcPr>
          <w:p w14:paraId="460DD465" w14:textId="1F556006" w:rsidR="00C01F53" w:rsidRPr="00854BE2" w:rsidRDefault="00C01F53" w:rsidP="00C01F53">
            <w:pPr>
              <w:jc w:val="center"/>
              <w:rPr>
                <w:rFonts w:ascii="Arial" w:hAnsi="Arial" w:cs="Arial"/>
                <w:i/>
                <w:sz w:val="20"/>
                <w:szCs w:val="20"/>
              </w:rPr>
            </w:pPr>
            <w:r>
              <w:rPr>
                <w:rFonts w:ascii="Arial" w:hAnsi="Arial" w:cs="Arial"/>
                <w:sz w:val="20"/>
                <w:szCs w:val="20"/>
              </w:rPr>
              <w:t>7</w:t>
            </w:r>
            <w:r w:rsidRPr="00DC7BF5">
              <w:rPr>
                <w:rFonts w:ascii="Arial" w:hAnsi="Arial" w:cs="Arial"/>
                <w:sz w:val="20"/>
                <w:szCs w:val="20"/>
              </w:rPr>
              <w:t xml:space="preserve"> regions of the state visited each year</w:t>
            </w:r>
          </w:p>
        </w:tc>
        <w:tc>
          <w:tcPr>
            <w:tcW w:w="1350" w:type="dxa"/>
            <w:shd w:val="clear" w:color="auto" w:fill="auto"/>
            <w:vAlign w:val="center"/>
          </w:tcPr>
          <w:p w14:paraId="1B9A0D02" w14:textId="29518007" w:rsidR="00C01F53" w:rsidRPr="00854BE2" w:rsidRDefault="00C01F53" w:rsidP="00C01F53">
            <w:pPr>
              <w:jc w:val="center"/>
              <w:rPr>
                <w:rFonts w:ascii="Arial" w:hAnsi="Arial" w:cs="Arial"/>
                <w:i/>
                <w:sz w:val="20"/>
                <w:szCs w:val="20"/>
              </w:rPr>
            </w:pPr>
            <w:r>
              <w:rPr>
                <w:rFonts w:ascii="Arial" w:hAnsi="Arial" w:cs="Arial"/>
                <w:i/>
                <w:sz w:val="20"/>
                <w:szCs w:val="20"/>
              </w:rPr>
              <w:t>-</w:t>
            </w:r>
          </w:p>
        </w:tc>
        <w:tc>
          <w:tcPr>
            <w:tcW w:w="1265" w:type="dxa"/>
            <w:shd w:val="clear" w:color="auto" w:fill="auto"/>
            <w:vAlign w:val="center"/>
          </w:tcPr>
          <w:p w14:paraId="2DB76E07" w14:textId="16B22B47" w:rsidR="00C01F53" w:rsidRPr="00854BE2" w:rsidRDefault="00C01F53" w:rsidP="00C01F53">
            <w:pPr>
              <w:jc w:val="center"/>
              <w:rPr>
                <w:rFonts w:ascii="Arial" w:hAnsi="Arial" w:cs="Arial"/>
                <w:i/>
                <w:sz w:val="20"/>
                <w:szCs w:val="20"/>
              </w:rPr>
            </w:pPr>
          </w:p>
        </w:tc>
      </w:tr>
      <w:tr w:rsidR="00C01F53" w14:paraId="03FB452D" w14:textId="77777777" w:rsidTr="00B77E25">
        <w:trPr>
          <w:cantSplit/>
          <w:trHeight w:val="288"/>
        </w:trPr>
        <w:tc>
          <w:tcPr>
            <w:tcW w:w="2158" w:type="dxa"/>
            <w:vMerge w:val="restart"/>
          </w:tcPr>
          <w:p w14:paraId="28ABD096" w14:textId="77777777" w:rsidR="00C01F53" w:rsidRDefault="00C01F53" w:rsidP="00C01F53">
            <w:pPr>
              <w:rPr>
                <w:rFonts w:ascii="Arial" w:hAnsi="Arial" w:cs="Arial"/>
                <w:b/>
                <w:bCs/>
                <w:sz w:val="20"/>
                <w:szCs w:val="20"/>
                <w:highlight w:val="yellow"/>
              </w:rPr>
            </w:pPr>
          </w:p>
          <w:p w14:paraId="6C1EB118" w14:textId="1D06CB23" w:rsidR="00C01F53" w:rsidRPr="00DC7BF5" w:rsidRDefault="00C01F53" w:rsidP="00C01F53">
            <w:pPr>
              <w:rPr>
                <w:rFonts w:ascii="Arial" w:hAnsi="Arial" w:cs="Arial"/>
                <w:b/>
                <w:bCs/>
                <w:sz w:val="20"/>
                <w:szCs w:val="20"/>
              </w:rPr>
            </w:pPr>
            <w:r w:rsidRPr="00DC7BF5">
              <w:rPr>
                <w:rFonts w:ascii="Arial" w:hAnsi="Arial" w:cs="Arial"/>
                <w:b/>
                <w:bCs/>
                <w:sz w:val="20"/>
                <w:szCs w:val="20"/>
              </w:rPr>
              <w:t>NEW</w:t>
            </w:r>
          </w:p>
          <w:p w14:paraId="13ED98AC" w14:textId="77777777" w:rsidR="00C01F53" w:rsidRPr="00DC7BF5" w:rsidRDefault="00C01F53" w:rsidP="00C01F53">
            <w:pPr>
              <w:rPr>
                <w:rFonts w:ascii="Arial" w:hAnsi="Arial" w:cs="Arial"/>
                <w:b/>
                <w:bCs/>
                <w:sz w:val="20"/>
                <w:szCs w:val="20"/>
              </w:rPr>
            </w:pPr>
          </w:p>
          <w:p w14:paraId="765FBD40" w14:textId="1593E2F8" w:rsidR="00C01F53" w:rsidRDefault="00C01F53" w:rsidP="00C01F53">
            <w:pPr>
              <w:rPr>
                <w:rFonts w:ascii="Arial" w:hAnsi="Arial" w:cs="Arial"/>
                <w:sz w:val="20"/>
                <w:szCs w:val="20"/>
              </w:rPr>
            </w:pPr>
            <w:r w:rsidRPr="00DC7BF5">
              <w:rPr>
                <w:rFonts w:ascii="Arial" w:hAnsi="Arial" w:cs="Arial"/>
                <w:sz w:val="20"/>
                <w:szCs w:val="20"/>
              </w:rPr>
              <w:t>1.</w:t>
            </w:r>
            <w:r>
              <w:rPr>
                <w:rFonts w:ascii="Arial" w:hAnsi="Arial" w:cs="Arial"/>
                <w:sz w:val="20"/>
                <w:szCs w:val="20"/>
              </w:rPr>
              <w:t xml:space="preserve">Increase total </w:t>
            </w:r>
            <w:r w:rsidRPr="00DC7BF5">
              <w:rPr>
                <w:rFonts w:ascii="Arial" w:hAnsi="Arial" w:cs="Arial"/>
                <w:sz w:val="20"/>
                <w:szCs w:val="20"/>
              </w:rPr>
              <w:t xml:space="preserve"> </w:t>
            </w:r>
            <w:r>
              <w:rPr>
                <w:rFonts w:ascii="Arial" w:hAnsi="Arial" w:cs="Arial"/>
                <w:sz w:val="20"/>
                <w:szCs w:val="20"/>
              </w:rPr>
              <w:t>n</w:t>
            </w:r>
            <w:r w:rsidRPr="00DC7BF5">
              <w:rPr>
                <w:rFonts w:ascii="Arial" w:hAnsi="Arial" w:cs="Arial"/>
                <w:sz w:val="20"/>
                <w:szCs w:val="20"/>
              </w:rPr>
              <w:t>umber of  partnerships with local government entities</w:t>
            </w:r>
            <w:r>
              <w:rPr>
                <w:rFonts w:ascii="Arial" w:hAnsi="Arial" w:cs="Arial"/>
                <w:sz w:val="20"/>
                <w:szCs w:val="20"/>
              </w:rPr>
              <w:t xml:space="preserve"> by five (5) each year</w:t>
            </w:r>
          </w:p>
          <w:p w14:paraId="39B6B7A1" w14:textId="77777777" w:rsidR="00C01F53" w:rsidRPr="000A632F" w:rsidRDefault="00C01F53" w:rsidP="00C01F53">
            <w:pPr>
              <w:pStyle w:val="ListParagraph"/>
              <w:tabs>
                <w:tab w:val="left" w:pos="2985"/>
              </w:tabs>
              <w:ind w:left="342"/>
              <w:rPr>
                <w:rFonts w:cs="Arial"/>
                <w:szCs w:val="20"/>
              </w:rPr>
            </w:pPr>
          </w:p>
        </w:tc>
        <w:tc>
          <w:tcPr>
            <w:tcW w:w="1170" w:type="dxa"/>
            <w:shd w:val="clear" w:color="auto" w:fill="D9D9D9" w:themeFill="background1" w:themeFillShade="D9"/>
            <w:vAlign w:val="center"/>
          </w:tcPr>
          <w:p w14:paraId="31AF7913" w14:textId="1D003018" w:rsidR="00C01F53" w:rsidRPr="00DC7BF5" w:rsidRDefault="00C01F53" w:rsidP="00C01F53">
            <w:pPr>
              <w:jc w:val="center"/>
              <w:rPr>
                <w:rFonts w:ascii="Arial" w:hAnsi="Arial" w:cs="Arial"/>
                <w:b/>
                <w:bCs/>
                <w:i/>
                <w:sz w:val="20"/>
                <w:szCs w:val="20"/>
              </w:rPr>
            </w:pPr>
            <w:r w:rsidRPr="00DC7BF5">
              <w:rPr>
                <w:rFonts w:ascii="Arial" w:hAnsi="Arial" w:cs="Arial"/>
                <w:b/>
                <w:bCs/>
                <w:sz w:val="20"/>
              </w:rPr>
              <w:t>actual</w:t>
            </w:r>
          </w:p>
        </w:tc>
        <w:tc>
          <w:tcPr>
            <w:tcW w:w="1349" w:type="dxa"/>
            <w:shd w:val="clear" w:color="auto" w:fill="D9D9D9" w:themeFill="background1" w:themeFillShade="D9"/>
            <w:vAlign w:val="center"/>
          </w:tcPr>
          <w:p w14:paraId="33C4A2B9" w14:textId="1757427D" w:rsidR="00C01F53" w:rsidRPr="00B77E25" w:rsidRDefault="00C01F53" w:rsidP="00C01F53">
            <w:pPr>
              <w:jc w:val="center"/>
              <w:rPr>
                <w:rFonts w:ascii="Arial" w:hAnsi="Arial" w:cs="Arial"/>
                <w:i/>
                <w:sz w:val="20"/>
                <w:szCs w:val="20"/>
              </w:rPr>
            </w:pPr>
            <w:r>
              <w:rPr>
                <w:rFonts w:ascii="Arial" w:hAnsi="Arial" w:cs="Arial"/>
                <w:i/>
                <w:sz w:val="20"/>
                <w:szCs w:val="20"/>
              </w:rPr>
              <w:t>-</w:t>
            </w:r>
          </w:p>
        </w:tc>
        <w:tc>
          <w:tcPr>
            <w:tcW w:w="1349" w:type="dxa"/>
            <w:shd w:val="clear" w:color="auto" w:fill="D9D9D9" w:themeFill="background1" w:themeFillShade="D9"/>
            <w:vAlign w:val="center"/>
          </w:tcPr>
          <w:p w14:paraId="19A35E5D" w14:textId="099E7D1F" w:rsidR="00C01F53" w:rsidRPr="00B77E25" w:rsidRDefault="00C01F53" w:rsidP="00C01F53">
            <w:pPr>
              <w:jc w:val="center"/>
              <w:rPr>
                <w:rFonts w:ascii="Arial" w:hAnsi="Arial" w:cs="Arial"/>
                <w:i/>
                <w:sz w:val="20"/>
                <w:szCs w:val="20"/>
              </w:rPr>
            </w:pPr>
            <w:r>
              <w:rPr>
                <w:rFonts w:ascii="Arial" w:hAnsi="Arial" w:cs="Arial"/>
                <w:i/>
                <w:sz w:val="20"/>
                <w:szCs w:val="20"/>
              </w:rPr>
              <w:t>-</w:t>
            </w:r>
          </w:p>
        </w:tc>
        <w:tc>
          <w:tcPr>
            <w:tcW w:w="1439" w:type="dxa"/>
            <w:gridSpan w:val="2"/>
            <w:shd w:val="clear" w:color="auto" w:fill="D9D9D9" w:themeFill="background1" w:themeFillShade="D9"/>
            <w:vAlign w:val="center"/>
          </w:tcPr>
          <w:p w14:paraId="2B67D061" w14:textId="2032BB39" w:rsidR="00C01F53" w:rsidRPr="00B77E25" w:rsidRDefault="00C01F53" w:rsidP="00C01F53">
            <w:pPr>
              <w:jc w:val="center"/>
              <w:rPr>
                <w:rFonts w:ascii="Arial" w:hAnsi="Arial" w:cs="Arial"/>
                <w:i/>
                <w:sz w:val="20"/>
                <w:szCs w:val="20"/>
              </w:rPr>
            </w:pPr>
            <w:r w:rsidRPr="00DC7BF5">
              <w:rPr>
                <w:rFonts w:ascii="Arial" w:hAnsi="Arial" w:cs="Arial"/>
                <w:b/>
                <w:bCs/>
                <w:i/>
                <w:sz w:val="20"/>
                <w:szCs w:val="20"/>
              </w:rPr>
              <w:t>39</w:t>
            </w:r>
          </w:p>
        </w:tc>
        <w:tc>
          <w:tcPr>
            <w:tcW w:w="1350" w:type="dxa"/>
            <w:shd w:val="clear" w:color="auto" w:fill="D9D9D9" w:themeFill="background1" w:themeFillShade="D9"/>
            <w:vAlign w:val="center"/>
          </w:tcPr>
          <w:p w14:paraId="48B1F4BA" w14:textId="34929F93" w:rsidR="00C01F53" w:rsidRPr="00DC7BF5" w:rsidRDefault="00C01F53" w:rsidP="00C01F53">
            <w:pPr>
              <w:jc w:val="center"/>
              <w:rPr>
                <w:rFonts w:ascii="Arial" w:hAnsi="Arial" w:cs="Arial"/>
                <w:b/>
                <w:bCs/>
                <w:i/>
                <w:sz w:val="20"/>
                <w:szCs w:val="20"/>
              </w:rPr>
            </w:pPr>
          </w:p>
        </w:tc>
        <w:tc>
          <w:tcPr>
            <w:tcW w:w="1265" w:type="dxa"/>
            <w:shd w:val="clear" w:color="auto" w:fill="D9D9D9" w:themeFill="background1" w:themeFillShade="D9"/>
            <w:vAlign w:val="center"/>
          </w:tcPr>
          <w:p w14:paraId="6E065517" w14:textId="310F01F5" w:rsidR="00C01F53" w:rsidRPr="00B77E25" w:rsidRDefault="00C01F53" w:rsidP="00C01F53">
            <w:pPr>
              <w:jc w:val="center"/>
              <w:rPr>
                <w:rFonts w:ascii="Arial" w:hAnsi="Arial" w:cs="Arial"/>
                <w:i/>
                <w:color w:val="FFFFFF" w:themeColor="background1"/>
                <w:sz w:val="20"/>
                <w:szCs w:val="20"/>
              </w:rPr>
            </w:pPr>
          </w:p>
        </w:tc>
      </w:tr>
      <w:tr w:rsidR="00C01F53" w14:paraId="78FC57A9" w14:textId="77777777" w:rsidTr="00FF19E4">
        <w:trPr>
          <w:cantSplit/>
          <w:trHeight w:val="288"/>
        </w:trPr>
        <w:tc>
          <w:tcPr>
            <w:tcW w:w="2158" w:type="dxa"/>
            <w:vMerge/>
          </w:tcPr>
          <w:p w14:paraId="67590456" w14:textId="77777777" w:rsidR="00C01F53" w:rsidRPr="000A632F" w:rsidRDefault="00C01F53" w:rsidP="00C01F53">
            <w:pPr>
              <w:pStyle w:val="ListParagraph"/>
              <w:numPr>
                <w:ilvl w:val="0"/>
                <w:numId w:val="14"/>
              </w:numPr>
              <w:tabs>
                <w:tab w:val="left" w:pos="2985"/>
              </w:tabs>
              <w:ind w:left="342"/>
              <w:rPr>
                <w:rFonts w:cs="Arial"/>
                <w:szCs w:val="20"/>
              </w:rPr>
            </w:pPr>
          </w:p>
        </w:tc>
        <w:tc>
          <w:tcPr>
            <w:tcW w:w="1170" w:type="dxa"/>
            <w:shd w:val="clear" w:color="auto" w:fill="FFFFFF" w:themeFill="background1"/>
            <w:vAlign w:val="center"/>
          </w:tcPr>
          <w:p w14:paraId="5D0840D1" w14:textId="4EFF5F53" w:rsidR="00C01F53" w:rsidRPr="00854BE2" w:rsidRDefault="00C01F53" w:rsidP="00C01F53">
            <w:pPr>
              <w:jc w:val="center"/>
              <w:rPr>
                <w:rFonts w:ascii="Arial" w:hAnsi="Arial" w:cs="Arial"/>
                <w:i/>
                <w:sz w:val="20"/>
                <w:szCs w:val="20"/>
              </w:rPr>
            </w:pPr>
            <w:r w:rsidRPr="00854BE2">
              <w:rPr>
                <w:rFonts w:ascii="Arial" w:hAnsi="Arial" w:cs="Arial"/>
                <w:i/>
                <w:sz w:val="20"/>
                <w:szCs w:val="20"/>
              </w:rPr>
              <w:t>target</w:t>
            </w:r>
          </w:p>
        </w:tc>
        <w:tc>
          <w:tcPr>
            <w:tcW w:w="1349" w:type="dxa"/>
            <w:shd w:val="clear" w:color="auto" w:fill="FFFFFF" w:themeFill="background1"/>
            <w:vAlign w:val="center"/>
          </w:tcPr>
          <w:p w14:paraId="20AB6925" w14:textId="59CC36C8" w:rsidR="00C01F53" w:rsidRPr="00DC7BF5" w:rsidRDefault="00C01F53" w:rsidP="00C01F53">
            <w:pPr>
              <w:jc w:val="center"/>
              <w:rPr>
                <w:rFonts w:ascii="Arial" w:hAnsi="Arial" w:cs="Arial"/>
                <w:iCs/>
                <w:sz w:val="20"/>
                <w:szCs w:val="20"/>
              </w:rPr>
            </w:pPr>
            <w:r w:rsidRPr="00854BE2">
              <w:rPr>
                <w:rFonts w:ascii="Arial" w:hAnsi="Arial" w:cs="Arial"/>
                <w:i/>
                <w:sz w:val="20"/>
                <w:szCs w:val="20"/>
              </w:rPr>
              <w:t>New Measure for FY202</w:t>
            </w:r>
            <w:r>
              <w:rPr>
                <w:rFonts w:ascii="Arial" w:hAnsi="Arial" w:cs="Arial"/>
                <w:i/>
                <w:sz w:val="20"/>
                <w:szCs w:val="20"/>
              </w:rPr>
              <w:t>4</w:t>
            </w:r>
          </w:p>
        </w:tc>
        <w:tc>
          <w:tcPr>
            <w:tcW w:w="1349" w:type="dxa"/>
            <w:shd w:val="clear" w:color="auto" w:fill="FFFFFF" w:themeFill="background1"/>
            <w:vAlign w:val="center"/>
          </w:tcPr>
          <w:p w14:paraId="6AED7466" w14:textId="0A5E6AA8" w:rsidR="00C01F53" w:rsidRPr="00854BE2" w:rsidRDefault="00C01F53" w:rsidP="00C01F53">
            <w:pPr>
              <w:jc w:val="center"/>
              <w:rPr>
                <w:rFonts w:ascii="Arial" w:hAnsi="Arial" w:cs="Arial"/>
                <w:i/>
                <w:sz w:val="20"/>
                <w:szCs w:val="20"/>
              </w:rPr>
            </w:pPr>
            <w:r w:rsidRPr="00854BE2">
              <w:rPr>
                <w:rFonts w:ascii="Arial" w:hAnsi="Arial" w:cs="Arial"/>
                <w:i/>
                <w:sz w:val="20"/>
                <w:szCs w:val="20"/>
              </w:rPr>
              <w:t>New Measure for FY202</w:t>
            </w:r>
            <w:r>
              <w:rPr>
                <w:rFonts w:ascii="Arial" w:hAnsi="Arial" w:cs="Arial"/>
                <w:i/>
                <w:sz w:val="20"/>
                <w:szCs w:val="20"/>
              </w:rPr>
              <w:t>4</w:t>
            </w:r>
          </w:p>
        </w:tc>
        <w:tc>
          <w:tcPr>
            <w:tcW w:w="1439" w:type="dxa"/>
            <w:gridSpan w:val="2"/>
            <w:shd w:val="clear" w:color="auto" w:fill="auto"/>
            <w:vAlign w:val="center"/>
          </w:tcPr>
          <w:p w14:paraId="32976398" w14:textId="632E53E5" w:rsidR="00C01F53" w:rsidRPr="00854BE2" w:rsidRDefault="00C01F53" w:rsidP="00C01F53">
            <w:pPr>
              <w:jc w:val="center"/>
              <w:rPr>
                <w:rFonts w:ascii="Arial" w:hAnsi="Arial" w:cs="Arial"/>
                <w:i/>
                <w:sz w:val="20"/>
                <w:szCs w:val="20"/>
              </w:rPr>
            </w:pPr>
            <w:r>
              <w:rPr>
                <w:rFonts w:ascii="Arial" w:hAnsi="Arial" w:cs="Arial"/>
                <w:i/>
                <w:sz w:val="20"/>
                <w:szCs w:val="20"/>
              </w:rPr>
              <w:t>30 government entities</w:t>
            </w:r>
          </w:p>
        </w:tc>
        <w:tc>
          <w:tcPr>
            <w:tcW w:w="1350" w:type="dxa"/>
            <w:shd w:val="clear" w:color="auto" w:fill="auto"/>
            <w:vAlign w:val="center"/>
          </w:tcPr>
          <w:p w14:paraId="74D47F7A" w14:textId="0355601F" w:rsidR="00C01F53" w:rsidRDefault="00C01F53" w:rsidP="00C01F53">
            <w:pPr>
              <w:jc w:val="center"/>
              <w:rPr>
                <w:rFonts w:ascii="Arial" w:hAnsi="Arial" w:cs="Arial"/>
                <w:i/>
                <w:sz w:val="20"/>
                <w:szCs w:val="20"/>
              </w:rPr>
            </w:pPr>
            <w:r>
              <w:rPr>
                <w:rFonts w:ascii="Arial" w:hAnsi="Arial" w:cs="Arial"/>
                <w:i/>
                <w:sz w:val="20"/>
                <w:szCs w:val="20"/>
              </w:rPr>
              <w:t>35 government entities</w:t>
            </w:r>
          </w:p>
        </w:tc>
        <w:tc>
          <w:tcPr>
            <w:tcW w:w="1265" w:type="dxa"/>
            <w:shd w:val="clear" w:color="auto" w:fill="auto"/>
            <w:vAlign w:val="center"/>
          </w:tcPr>
          <w:p w14:paraId="172B738B" w14:textId="33FA933E" w:rsidR="00C01F53" w:rsidRDefault="00C01F53" w:rsidP="00C01F53">
            <w:pPr>
              <w:jc w:val="center"/>
              <w:rPr>
                <w:rFonts w:ascii="Arial" w:hAnsi="Arial" w:cs="Arial"/>
                <w:i/>
                <w:sz w:val="20"/>
                <w:szCs w:val="20"/>
              </w:rPr>
            </w:pPr>
          </w:p>
        </w:tc>
      </w:tr>
      <w:tr w:rsidR="00C01F53" w14:paraId="65790019" w14:textId="5E00C0BE" w:rsidTr="00A56D42">
        <w:trPr>
          <w:cantSplit/>
          <w:trHeight w:val="288"/>
        </w:trPr>
        <w:tc>
          <w:tcPr>
            <w:tcW w:w="2158" w:type="dxa"/>
            <w:vMerge w:val="restart"/>
          </w:tcPr>
          <w:p w14:paraId="0C9D949A" w14:textId="77777777" w:rsidR="00C01F53" w:rsidRDefault="00C01F53" w:rsidP="00C01F53">
            <w:pPr>
              <w:rPr>
                <w:rFonts w:ascii="Arial" w:hAnsi="Arial" w:cs="Arial"/>
                <w:sz w:val="20"/>
                <w:szCs w:val="20"/>
                <w:highlight w:val="yellow"/>
              </w:rPr>
            </w:pPr>
          </w:p>
          <w:p w14:paraId="6E985771" w14:textId="1DB0F631" w:rsidR="00C01F53" w:rsidRDefault="00C01F53" w:rsidP="00C01F53">
            <w:pPr>
              <w:rPr>
                <w:rFonts w:ascii="Arial" w:hAnsi="Arial" w:cs="Arial"/>
                <w:sz w:val="20"/>
                <w:szCs w:val="20"/>
              </w:rPr>
            </w:pPr>
            <w:r w:rsidRPr="00DC7BF5">
              <w:rPr>
                <w:rFonts w:ascii="Arial" w:hAnsi="Arial" w:cs="Arial"/>
                <w:sz w:val="20"/>
                <w:szCs w:val="20"/>
              </w:rPr>
              <w:t xml:space="preserve">2. </w:t>
            </w:r>
            <w:r>
              <w:rPr>
                <w:rFonts w:ascii="Arial" w:hAnsi="Arial" w:cs="Arial"/>
                <w:sz w:val="20"/>
                <w:szCs w:val="20"/>
              </w:rPr>
              <w:t>Increase total n</w:t>
            </w:r>
            <w:r w:rsidRPr="00DC7BF5">
              <w:rPr>
                <w:rFonts w:ascii="Arial" w:hAnsi="Arial" w:cs="Arial"/>
                <w:sz w:val="20"/>
                <w:szCs w:val="20"/>
              </w:rPr>
              <w:t>umber of local, city and county law enforcement agencies awarded grants</w:t>
            </w:r>
            <w:r>
              <w:rPr>
                <w:rFonts w:ascii="Arial" w:hAnsi="Arial" w:cs="Arial"/>
                <w:sz w:val="20"/>
                <w:szCs w:val="20"/>
              </w:rPr>
              <w:t xml:space="preserve"> by five (5) each year</w:t>
            </w:r>
          </w:p>
          <w:p w14:paraId="76F63616" w14:textId="24488185" w:rsidR="00C01F53" w:rsidRPr="000A632F" w:rsidRDefault="00C01F53" w:rsidP="00C01F53">
            <w:pPr>
              <w:rPr>
                <w:rFonts w:ascii="Arial" w:hAnsi="Arial" w:cs="Arial"/>
                <w:bCs/>
                <w:sz w:val="20"/>
                <w:szCs w:val="20"/>
              </w:rPr>
            </w:pPr>
          </w:p>
        </w:tc>
        <w:tc>
          <w:tcPr>
            <w:tcW w:w="1170" w:type="dxa"/>
            <w:shd w:val="clear" w:color="auto" w:fill="D9D9D9" w:themeFill="background1" w:themeFillShade="D9"/>
            <w:vAlign w:val="center"/>
          </w:tcPr>
          <w:p w14:paraId="5E85E09A" w14:textId="77777777" w:rsidR="00C01F53" w:rsidRPr="00DC7BF5" w:rsidRDefault="00C01F53" w:rsidP="00C01F53">
            <w:pPr>
              <w:jc w:val="center"/>
              <w:rPr>
                <w:rFonts w:ascii="Arial" w:hAnsi="Arial" w:cs="Arial"/>
                <w:b/>
                <w:bCs/>
                <w:sz w:val="20"/>
                <w:szCs w:val="20"/>
              </w:rPr>
            </w:pPr>
            <w:r w:rsidRPr="00DC7BF5">
              <w:rPr>
                <w:rFonts w:ascii="Arial" w:hAnsi="Arial" w:cs="Arial"/>
                <w:b/>
                <w:bCs/>
                <w:sz w:val="20"/>
                <w:szCs w:val="20"/>
              </w:rPr>
              <w:t>actual</w:t>
            </w:r>
          </w:p>
        </w:tc>
        <w:tc>
          <w:tcPr>
            <w:tcW w:w="1349" w:type="dxa"/>
            <w:shd w:val="clear" w:color="auto" w:fill="D9D9D9" w:themeFill="background1" w:themeFillShade="D9"/>
            <w:vAlign w:val="center"/>
          </w:tcPr>
          <w:p w14:paraId="7CFC45FE" w14:textId="490FA09A" w:rsidR="00C01F53" w:rsidRPr="00BA7ABE" w:rsidRDefault="00C01F53" w:rsidP="00C01F53">
            <w:pPr>
              <w:jc w:val="center"/>
              <w:rPr>
                <w:rFonts w:ascii="Arial" w:hAnsi="Arial" w:cs="Arial"/>
                <w:b/>
                <w:bCs/>
                <w:sz w:val="20"/>
                <w:szCs w:val="20"/>
              </w:rPr>
            </w:pPr>
            <w:r w:rsidRPr="00BA7ABE">
              <w:rPr>
                <w:rFonts w:ascii="Arial" w:hAnsi="Arial" w:cs="Arial"/>
                <w:b/>
                <w:bCs/>
                <w:sz w:val="20"/>
                <w:szCs w:val="20"/>
              </w:rPr>
              <w:t>48</w:t>
            </w:r>
          </w:p>
        </w:tc>
        <w:tc>
          <w:tcPr>
            <w:tcW w:w="1349" w:type="dxa"/>
            <w:shd w:val="clear" w:color="auto" w:fill="D9D9D9" w:themeFill="background1" w:themeFillShade="D9"/>
            <w:vAlign w:val="center"/>
          </w:tcPr>
          <w:p w14:paraId="75162E83" w14:textId="779112E0" w:rsidR="00C01F53" w:rsidRPr="00BA7ABE" w:rsidRDefault="00C01F53" w:rsidP="00C01F53">
            <w:pPr>
              <w:jc w:val="center"/>
              <w:rPr>
                <w:rFonts w:ascii="Arial" w:hAnsi="Arial" w:cs="Arial"/>
                <w:b/>
                <w:bCs/>
                <w:sz w:val="20"/>
                <w:szCs w:val="20"/>
              </w:rPr>
            </w:pPr>
            <w:r w:rsidRPr="00BA7ABE">
              <w:rPr>
                <w:rFonts w:ascii="Arial" w:hAnsi="Arial" w:cs="Arial"/>
                <w:b/>
                <w:bCs/>
                <w:sz w:val="20"/>
                <w:szCs w:val="20"/>
              </w:rPr>
              <w:t>28</w:t>
            </w:r>
          </w:p>
        </w:tc>
        <w:tc>
          <w:tcPr>
            <w:tcW w:w="1439" w:type="dxa"/>
            <w:gridSpan w:val="2"/>
            <w:shd w:val="clear" w:color="auto" w:fill="D9D9D9" w:themeFill="background1" w:themeFillShade="D9"/>
            <w:vAlign w:val="center"/>
          </w:tcPr>
          <w:p w14:paraId="6F034090" w14:textId="138E20E6" w:rsidR="00C01F53" w:rsidRPr="00BA7ABE" w:rsidRDefault="00C01F53" w:rsidP="00C01F53">
            <w:pPr>
              <w:jc w:val="center"/>
              <w:rPr>
                <w:rFonts w:ascii="Arial" w:hAnsi="Arial" w:cs="Arial"/>
                <w:b/>
                <w:bCs/>
                <w:sz w:val="20"/>
                <w:szCs w:val="20"/>
              </w:rPr>
            </w:pPr>
            <w:r w:rsidRPr="00DC7BF5">
              <w:rPr>
                <w:rFonts w:ascii="Arial" w:hAnsi="Arial" w:cs="Arial"/>
                <w:b/>
                <w:bCs/>
                <w:sz w:val="20"/>
                <w:szCs w:val="20"/>
              </w:rPr>
              <w:t>2</w:t>
            </w:r>
            <w:r>
              <w:rPr>
                <w:rFonts w:ascii="Arial" w:hAnsi="Arial" w:cs="Arial"/>
                <w:b/>
                <w:bCs/>
                <w:sz w:val="20"/>
                <w:szCs w:val="20"/>
              </w:rPr>
              <w:t>6</w:t>
            </w:r>
          </w:p>
        </w:tc>
        <w:tc>
          <w:tcPr>
            <w:tcW w:w="1350" w:type="dxa"/>
            <w:shd w:val="clear" w:color="auto" w:fill="D9D9D9" w:themeFill="background1" w:themeFillShade="D9"/>
            <w:vAlign w:val="center"/>
          </w:tcPr>
          <w:p w14:paraId="6AD0C095" w14:textId="58DF9857" w:rsidR="00C01F53" w:rsidRPr="00DC7BF5" w:rsidRDefault="00C01F53" w:rsidP="00C01F53">
            <w:pPr>
              <w:jc w:val="center"/>
              <w:rPr>
                <w:rFonts w:ascii="Arial" w:hAnsi="Arial" w:cs="Arial"/>
                <w:b/>
                <w:bCs/>
                <w:sz w:val="20"/>
                <w:szCs w:val="20"/>
              </w:rPr>
            </w:pPr>
          </w:p>
        </w:tc>
        <w:tc>
          <w:tcPr>
            <w:tcW w:w="1265" w:type="dxa"/>
            <w:shd w:val="clear" w:color="auto" w:fill="D9D9D9" w:themeFill="background1" w:themeFillShade="D9"/>
            <w:vAlign w:val="center"/>
          </w:tcPr>
          <w:p w14:paraId="5DEF242B" w14:textId="4255CAA3" w:rsidR="00C01F53" w:rsidRPr="00E74347" w:rsidRDefault="00C01F53" w:rsidP="00C01F53">
            <w:pPr>
              <w:jc w:val="center"/>
              <w:rPr>
                <w:rFonts w:ascii="Arial" w:hAnsi="Arial" w:cs="Arial"/>
                <w:sz w:val="20"/>
                <w:szCs w:val="20"/>
              </w:rPr>
            </w:pPr>
          </w:p>
        </w:tc>
      </w:tr>
      <w:tr w:rsidR="00C01F53" w14:paraId="649B6CC2" w14:textId="2909F6DD" w:rsidTr="00F755D4">
        <w:trPr>
          <w:cantSplit/>
          <w:trHeight w:val="288"/>
        </w:trPr>
        <w:tc>
          <w:tcPr>
            <w:tcW w:w="2158" w:type="dxa"/>
            <w:vMerge/>
            <w:tcBorders>
              <w:bottom w:val="single" w:sz="4" w:space="0" w:color="auto"/>
            </w:tcBorders>
          </w:tcPr>
          <w:p w14:paraId="6E05B58B" w14:textId="77777777" w:rsidR="00C01F53" w:rsidRPr="00646DA1" w:rsidRDefault="00C01F53" w:rsidP="00C01F53">
            <w:pPr>
              <w:pStyle w:val="ListParagraph"/>
              <w:numPr>
                <w:ilvl w:val="0"/>
                <w:numId w:val="14"/>
              </w:numPr>
              <w:tabs>
                <w:tab w:val="left" w:pos="2985"/>
              </w:tabs>
              <w:ind w:left="342"/>
              <w:rPr>
                <w:rFonts w:cs="Arial"/>
              </w:rPr>
            </w:pPr>
          </w:p>
        </w:tc>
        <w:tc>
          <w:tcPr>
            <w:tcW w:w="1170" w:type="dxa"/>
            <w:tcBorders>
              <w:bottom w:val="single" w:sz="4" w:space="0" w:color="auto"/>
            </w:tcBorders>
            <w:shd w:val="clear" w:color="auto" w:fill="FFFFFF" w:themeFill="background1"/>
            <w:vAlign w:val="center"/>
          </w:tcPr>
          <w:p w14:paraId="6C127600" w14:textId="77777777" w:rsidR="00C01F53" w:rsidRPr="00854BE2" w:rsidRDefault="00C01F53" w:rsidP="00C01F53">
            <w:pPr>
              <w:jc w:val="center"/>
              <w:rPr>
                <w:rFonts w:ascii="Arial" w:hAnsi="Arial" w:cs="Arial"/>
                <w:i/>
                <w:sz w:val="20"/>
                <w:szCs w:val="20"/>
              </w:rPr>
            </w:pPr>
            <w:r w:rsidRPr="00854BE2">
              <w:rPr>
                <w:rFonts w:ascii="Arial" w:hAnsi="Arial" w:cs="Arial"/>
                <w:i/>
                <w:sz w:val="20"/>
                <w:szCs w:val="20"/>
              </w:rPr>
              <w:t>target</w:t>
            </w:r>
          </w:p>
        </w:tc>
        <w:tc>
          <w:tcPr>
            <w:tcW w:w="1349" w:type="dxa"/>
            <w:tcBorders>
              <w:bottom w:val="single" w:sz="4" w:space="0" w:color="auto"/>
            </w:tcBorders>
            <w:shd w:val="clear" w:color="auto" w:fill="FFFFFF" w:themeFill="background1"/>
            <w:vAlign w:val="center"/>
          </w:tcPr>
          <w:p w14:paraId="622545BD" w14:textId="27BD960F" w:rsidR="00C01F53" w:rsidRPr="00854BE2" w:rsidRDefault="00C01F53" w:rsidP="00C01F53">
            <w:pPr>
              <w:jc w:val="center"/>
              <w:rPr>
                <w:rFonts w:ascii="Arial" w:hAnsi="Arial" w:cs="Arial"/>
                <w:i/>
                <w:sz w:val="20"/>
                <w:szCs w:val="20"/>
              </w:rPr>
            </w:pPr>
            <w:r>
              <w:rPr>
                <w:rFonts w:ascii="Arial" w:hAnsi="Arial" w:cs="Arial"/>
                <w:i/>
                <w:sz w:val="20"/>
                <w:szCs w:val="20"/>
              </w:rPr>
              <w:t>30 law enforcement agencies</w:t>
            </w:r>
          </w:p>
        </w:tc>
        <w:tc>
          <w:tcPr>
            <w:tcW w:w="1349" w:type="dxa"/>
            <w:tcBorders>
              <w:bottom w:val="single" w:sz="4" w:space="0" w:color="auto"/>
            </w:tcBorders>
            <w:shd w:val="clear" w:color="auto" w:fill="FFFFFF" w:themeFill="background1"/>
            <w:vAlign w:val="center"/>
          </w:tcPr>
          <w:p w14:paraId="4AF15A32" w14:textId="2F3277AB" w:rsidR="00C01F53" w:rsidRPr="00854BE2" w:rsidRDefault="00C01F53" w:rsidP="00C01F53">
            <w:pPr>
              <w:jc w:val="center"/>
              <w:rPr>
                <w:rFonts w:ascii="Arial" w:hAnsi="Arial" w:cs="Arial"/>
                <w:i/>
                <w:sz w:val="20"/>
                <w:szCs w:val="20"/>
              </w:rPr>
            </w:pPr>
            <w:r>
              <w:rPr>
                <w:rFonts w:ascii="Arial" w:hAnsi="Arial" w:cs="Arial"/>
                <w:i/>
                <w:sz w:val="20"/>
                <w:szCs w:val="20"/>
              </w:rPr>
              <w:t>30 law enforcement agencies</w:t>
            </w:r>
          </w:p>
        </w:tc>
        <w:tc>
          <w:tcPr>
            <w:tcW w:w="1439" w:type="dxa"/>
            <w:gridSpan w:val="2"/>
            <w:tcBorders>
              <w:bottom w:val="single" w:sz="4" w:space="0" w:color="auto"/>
            </w:tcBorders>
            <w:shd w:val="clear" w:color="auto" w:fill="auto"/>
            <w:vAlign w:val="center"/>
          </w:tcPr>
          <w:p w14:paraId="281E17A4" w14:textId="3E25BA21" w:rsidR="00C01F53" w:rsidRPr="00854BE2" w:rsidRDefault="00C01F53" w:rsidP="00C01F53">
            <w:pPr>
              <w:jc w:val="center"/>
              <w:rPr>
                <w:rFonts w:ascii="Arial" w:hAnsi="Arial" w:cs="Arial"/>
                <w:i/>
                <w:sz w:val="20"/>
                <w:szCs w:val="20"/>
              </w:rPr>
            </w:pPr>
            <w:r>
              <w:rPr>
                <w:rFonts w:ascii="Arial" w:hAnsi="Arial" w:cs="Arial"/>
                <w:i/>
                <w:sz w:val="20"/>
                <w:szCs w:val="20"/>
              </w:rPr>
              <w:t>30 law enforcement agencies</w:t>
            </w:r>
          </w:p>
        </w:tc>
        <w:tc>
          <w:tcPr>
            <w:tcW w:w="1350" w:type="dxa"/>
            <w:tcBorders>
              <w:bottom w:val="single" w:sz="4" w:space="0" w:color="auto"/>
            </w:tcBorders>
            <w:shd w:val="clear" w:color="auto" w:fill="auto"/>
            <w:vAlign w:val="center"/>
          </w:tcPr>
          <w:p w14:paraId="257DC280" w14:textId="48626A1E" w:rsidR="00C01F53" w:rsidRPr="00854BE2" w:rsidRDefault="00C01F53" w:rsidP="00C01F53">
            <w:pPr>
              <w:jc w:val="center"/>
              <w:rPr>
                <w:rFonts w:ascii="Arial" w:hAnsi="Arial" w:cs="Arial"/>
                <w:i/>
                <w:sz w:val="20"/>
                <w:szCs w:val="20"/>
              </w:rPr>
            </w:pPr>
            <w:r>
              <w:rPr>
                <w:rFonts w:ascii="Arial" w:hAnsi="Arial" w:cs="Arial"/>
                <w:i/>
                <w:sz w:val="20"/>
                <w:szCs w:val="20"/>
              </w:rPr>
              <w:t>33 law enforcement agencies</w:t>
            </w:r>
          </w:p>
        </w:tc>
        <w:tc>
          <w:tcPr>
            <w:tcW w:w="1265" w:type="dxa"/>
            <w:tcBorders>
              <w:bottom w:val="single" w:sz="4" w:space="0" w:color="auto"/>
            </w:tcBorders>
            <w:shd w:val="clear" w:color="auto" w:fill="auto"/>
            <w:vAlign w:val="center"/>
          </w:tcPr>
          <w:p w14:paraId="7E503D8B" w14:textId="4CBDE509" w:rsidR="00C01F53" w:rsidRPr="00854BE2" w:rsidRDefault="00C01F53" w:rsidP="00C01F53">
            <w:pPr>
              <w:jc w:val="center"/>
              <w:rPr>
                <w:rFonts w:ascii="Arial" w:hAnsi="Arial" w:cs="Arial"/>
                <w:i/>
                <w:sz w:val="20"/>
                <w:szCs w:val="20"/>
              </w:rPr>
            </w:pPr>
          </w:p>
        </w:tc>
      </w:tr>
    </w:tbl>
    <w:p w14:paraId="435C7642" w14:textId="77777777" w:rsidR="00E74347" w:rsidRDefault="00E74347"/>
    <w:p w14:paraId="2F3F9CB3" w14:textId="77777777" w:rsidR="00682663" w:rsidRDefault="00682663"/>
    <w:p w14:paraId="4AF8BF77" w14:textId="77777777" w:rsidR="00682663" w:rsidRDefault="00682663"/>
    <w:p w14:paraId="15342AC5" w14:textId="77777777" w:rsidR="001E7055" w:rsidRDefault="001E7055"/>
    <w:p w14:paraId="3CD7E669" w14:textId="77777777" w:rsidR="001E7055" w:rsidRDefault="001E7055"/>
    <w:p w14:paraId="75B6DB38" w14:textId="77777777" w:rsidR="001E7055" w:rsidRDefault="001E7055"/>
    <w:p w14:paraId="6CD57813" w14:textId="77777777" w:rsidR="001E7055" w:rsidRDefault="001E7055"/>
    <w:p w14:paraId="5C25851F" w14:textId="77777777" w:rsidR="001E7055" w:rsidRDefault="001E7055"/>
    <w:p w14:paraId="53A6C7B1" w14:textId="77777777" w:rsidR="001E7055" w:rsidRDefault="001E7055"/>
    <w:p w14:paraId="17D3BD62" w14:textId="77777777" w:rsidR="001E7055" w:rsidRDefault="001E7055"/>
    <w:p w14:paraId="115D3758" w14:textId="77777777" w:rsidR="001E7055" w:rsidRDefault="001E7055"/>
    <w:p w14:paraId="484A69DA" w14:textId="77777777" w:rsidR="001E7055" w:rsidRDefault="001E7055"/>
    <w:p w14:paraId="470478E5" w14:textId="77777777" w:rsidR="001E7055" w:rsidRDefault="001E7055"/>
    <w:p w14:paraId="149E2535" w14:textId="77777777" w:rsidR="001E7055" w:rsidRDefault="001E7055"/>
    <w:p w14:paraId="10CF7DD7" w14:textId="77777777" w:rsidR="001E7055" w:rsidRDefault="001E7055"/>
    <w:p w14:paraId="491B9A3A" w14:textId="77777777" w:rsidR="001E7055" w:rsidRDefault="001E7055"/>
    <w:p w14:paraId="6AD425FC" w14:textId="46D662A8" w:rsidR="001E7055" w:rsidRDefault="001E7055" w:rsidP="001E7055">
      <w:pPr>
        <w:spacing w:line="276" w:lineRule="auto"/>
        <w:contextualSpacing/>
        <w:rPr>
          <w:rFonts w:ascii="Arial" w:hAnsi="Arial" w:cs="Arial"/>
          <w:b/>
          <w:i/>
          <w:color w:val="000080"/>
          <w:sz w:val="28"/>
          <w:szCs w:val="28"/>
        </w:rPr>
      </w:pPr>
      <w:r w:rsidRPr="004B2482">
        <w:rPr>
          <w:rFonts w:ascii="Arial" w:hAnsi="Arial" w:cs="Arial"/>
          <w:b/>
          <w:i/>
          <w:color w:val="000080"/>
          <w:sz w:val="28"/>
          <w:szCs w:val="28"/>
        </w:rPr>
        <w:lastRenderedPageBreak/>
        <w:t>Part II – Performance Measures</w:t>
      </w:r>
      <w:r>
        <w:rPr>
          <w:rFonts w:ascii="Arial" w:hAnsi="Arial" w:cs="Arial"/>
          <w:b/>
          <w:i/>
          <w:color w:val="000080"/>
          <w:sz w:val="28"/>
          <w:szCs w:val="28"/>
        </w:rPr>
        <w:t xml:space="preserve"> Continued…</w:t>
      </w:r>
    </w:p>
    <w:p w14:paraId="4CF2AA51" w14:textId="77777777" w:rsidR="001E7055" w:rsidRPr="009E536F" w:rsidRDefault="001E7055" w:rsidP="001E7055">
      <w:pPr>
        <w:rPr>
          <w:rFonts w:ascii="Arial" w:hAnsi="Arial" w:cs="Arial"/>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158"/>
        <w:gridCol w:w="1170"/>
        <w:gridCol w:w="1349"/>
        <w:gridCol w:w="1349"/>
        <w:gridCol w:w="1349"/>
        <w:gridCol w:w="90"/>
        <w:gridCol w:w="1350"/>
        <w:gridCol w:w="1265"/>
      </w:tblGrid>
      <w:tr w:rsidR="00C01F53" w14:paraId="4E8CB992" w14:textId="77777777" w:rsidTr="008421E0">
        <w:trPr>
          <w:cantSplit/>
          <w:tblHeader/>
        </w:trPr>
        <w:tc>
          <w:tcPr>
            <w:tcW w:w="3328" w:type="dxa"/>
            <w:gridSpan w:val="2"/>
            <w:shd w:val="clear" w:color="auto" w:fill="000080"/>
            <w:vAlign w:val="bottom"/>
          </w:tcPr>
          <w:p w14:paraId="147CCBC8" w14:textId="77777777" w:rsidR="00C01F53" w:rsidRDefault="00C01F53" w:rsidP="00C01F53">
            <w:pPr>
              <w:jc w:val="center"/>
              <w:rPr>
                <w:rFonts w:ascii="Arial" w:hAnsi="Arial" w:cs="Arial"/>
                <w:b/>
                <w:bCs/>
                <w:color w:val="FFFFFF"/>
                <w:sz w:val="20"/>
              </w:rPr>
            </w:pPr>
            <w:r>
              <w:rPr>
                <w:rFonts w:ascii="Arial" w:hAnsi="Arial" w:cs="Arial"/>
                <w:b/>
                <w:bCs/>
                <w:color w:val="FFFFFF"/>
                <w:sz w:val="20"/>
              </w:rPr>
              <w:t>Performance Measure</w:t>
            </w:r>
          </w:p>
        </w:tc>
        <w:tc>
          <w:tcPr>
            <w:tcW w:w="1349" w:type="dxa"/>
            <w:shd w:val="clear" w:color="auto" w:fill="000080"/>
            <w:vAlign w:val="center"/>
          </w:tcPr>
          <w:p w14:paraId="12A26FC8" w14:textId="2AAC6C6F" w:rsidR="00C01F53" w:rsidRDefault="00C01F53" w:rsidP="00C01F53">
            <w:pPr>
              <w:jc w:val="center"/>
              <w:rPr>
                <w:rFonts w:ascii="Arial" w:hAnsi="Arial" w:cs="Arial"/>
                <w:b/>
                <w:bCs/>
                <w:color w:val="FFFFFF"/>
                <w:sz w:val="20"/>
              </w:rPr>
            </w:pPr>
            <w:r>
              <w:rPr>
                <w:rFonts w:ascii="Arial" w:hAnsi="Arial" w:cs="Arial"/>
                <w:b/>
                <w:bCs/>
                <w:color w:val="FFFFFF"/>
                <w:sz w:val="20"/>
                <w:szCs w:val="20"/>
              </w:rPr>
              <w:t>FY 2022</w:t>
            </w:r>
          </w:p>
        </w:tc>
        <w:tc>
          <w:tcPr>
            <w:tcW w:w="1349" w:type="dxa"/>
            <w:shd w:val="clear" w:color="auto" w:fill="000080"/>
            <w:vAlign w:val="center"/>
          </w:tcPr>
          <w:p w14:paraId="7CA70100" w14:textId="311B10CF" w:rsidR="00C01F53" w:rsidRDefault="00C01F53" w:rsidP="00C01F53">
            <w:pPr>
              <w:jc w:val="center"/>
              <w:rPr>
                <w:rFonts w:ascii="Arial" w:hAnsi="Arial" w:cs="Arial"/>
                <w:b/>
                <w:bCs/>
                <w:color w:val="FFFFFF"/>
                <w:sz w:val="20"/>
              </w:rPr>
            </w:pPr>
            <w:r>
              <w:rPr>
                <w:rFonts w:ascii="Arial" w:hAnsi="Arial" w:cs="Arial"/>
                <w:b/>
                <w:bCs/>
                <w:color w:val="FFFFFF"/>
                <w:sz w:val="20"/>
                <w:szCs w:val="20"/>
              </w:rPr>
              <w:t>FY 2023</w:t>
            </w:r>
          </w:p>
        </w:tc>
        <w:tc>
          <w:tcPr>
            <w:tcW w:w="1349" w:type="dxa"/>
            <w:shd w:val="clear" w:color="auto" w:fill="000080"/>
            <w:vAlign w:val="center"/>
          </w:tcPr>
          <w:p w14:paraId="2DDE69CB" w14:textId="74929689" w:rsidR="00C01F53" w:rsidRDefault="00C01F53" w:rsidP="00C01F53">
            <w:pPr>
              <w:jc w:val="center"/>
              <w:rPr>
                <w:rFonts w:ascii="Arial" w:hAnsi="Arial" w:cs="Arial"/>
                <w:b/>
                <w:bCs/>
                <w:color w:val="FFFFFF"/>
                <w:sz w:val="20"/>
              </w:rPr>
            </w:pPr>
            <w:r>
              <w:rPr>
                <w:rFonts w:ascii="Arial" w:hAnsi="Arial" w:cs="Arial"/>
                <w:b/>
                <w:bCs/>
                <w:color w:val="FFFFFF"/>
                <w:sz w:val="20"/>
                <w:szCs w:val="20"/>
              </w:rPr>
              <w:t>FY 2024</w:t>
            </w:r>
          </w:p>
        </w:tc>
        <w:tc>
          <w:tcPr>
            <w:tcW w:w="1440" w:type="dxa"/>
            <w:gridSpan w:val="2"/>
            <w:shd w:val="clear" w:color="auto" w:fill="000080"/>
            <w:vAlign w:val="center"/>
          </w:tcPr>
          <w:p w14:paraId="488D4FE9" w14:textId="1B092A27" w:rsidR="00C01F53" w:rsidRDefault="00C01F53" w:rsidP="00C01F53">
            <w:pPr>
              <w:jc w:val="center"/>
              <w:rPr>
                <w:rFonts w:ascii="Arial" w:hAnsi="Arial" w:cs="Arial"/>
                <w:b/>
                <w:bCs/>
                <w:color w:val="FFFFFF"/>
                <w:sz w:val="20"/>
              </w:rPr>
            </w:pPr>
            <w:r>
              <w:rPr>
                <w:rFonts w:ascii="Arial" w:hAnsi="Arial" w:cs="Arial"/>
                <w:b/>
                <w:bCs/>
                <w:color w:val="FFFFFF"/>
                <w:sz w:val="20"/>
                <w:szCs w:val="20"/>
              </w:rPr>
              <w:t>FY 2025</w:t>
            </w:r>
          </w:p>
        </w:tc>
        <w:tc>
          <w:tcPr>
            <w:tcW w:w="1265" w:type="dxa"/>
            <w:shd w:val="clear" w:color="auto" w:fill="000080"/>
            <w:vAlign w:val="bottom"/>
          </w:tcPr>
          <w:p w14:paraId="703F7C34" w14:textId="0975398D" w:rsidR="00C01F53" w:rsidRDefault="00C01F53" w:rsidP="00C01F53">
            <w:pPr>
              <w:jc w:val="center"/>
              <w:rPr>
                <w:rFonts w:ascii="Arial" w:hAnsi="Arial" w:cs="Arial"/>
                <w:b/>
                <w:bCs/>
                <w:color w:val="FFFFFF"/>
                <w:sz w:val="20"/>
              </w:rPr>
            </w:pPr>
            <w:r>
              <w:rPr>
                <w:rFonts w:ascii="Arial" w:hAnsi="Arial" w:cs="Arial"/>
                <w:b/>
                <w:bCs/>
                <w:color w:val="FFFFFF"/>
                <w:sz w:val="20"/>
              </w:rPr>
              <w:t>FY 2026</w:t>
            </w:r>
          </w:p>
        </w:tc>
      </w:tr>
      <w:tr w:rsidR="00C01F53" w14:paraId="6A9B6A1C" w14:textId="77777777" w:rsidTr="00AF7AFE">
        <w:trPr>
          <w:cantSplit/>
          <w:trHeight w:val="917"/>
        </w:trPr>
        <w:tc>
          <w:tcPr>
            <w:tcW w:w="10080" w:type="dxa"/>
            <w:gridSpan w:val="8"/>
            <w:shd w:val="clear" w:color="auto" w:fill="DBE5F1" w:themeFill="accent1" w:themeFillTint="33"/>
            <w:vAlign w:val="center"/>
          </w:tcPr>
          <w:p w14:paraId="06A6287F" w14:textId="77777777" w:rsidR="00C01F53" w:rsidRDefault="00C01F53" w:rsidP="00C01F53">
            <w:pPr>
              <w:tabs>
                <w:tab w:val="center" w:pos="4957"/>
              </w:tabs>
              <w:spacing w:before="120"/>
              <w:ind w:left="-14"/>
              <w:jc w:val="center"/>
              <w:rPr>
                <w:rFonts w:ascii="Arial" w:hAnsi="Arial" w:cs="Arial"/>
                <w:b/>
                <w:sz w:val="20"/>
              </w:rPr>
            </w:pPr>
            <w:r w:rsidRPr="009E536F">
              <w:rPr>
                <w:rFonts w:ascii="Arial" w:hAnsi="Arial" w:cs="Arial"/>
                <w:b/>
                <w:sz w:val="20"/>
              </w:rPr>
              <w:t>Goal 2</w:t>
            </w:r>
            <w:r>
              <w:rPr>
                <w:rFonts w:ascii="Arial" w:hAnsi="Arial" w:cs="Arial"/>
                <w:b/>
                <w:sz w:val="20"/>
              </w:rPr>
              <w:t xml:space="preserve"> – Agency Effectiveness</w:t>
            </w:r>
          </w:p>
          <w:p w14:paraId="2F6C4A95" w14:textId="77777777" w:rsidR="00C01F53" w:rsidRPr="009E536F" w:rsidRDefault="00C01F53" w:rsidP="00C01F53">
            <w:pPr>
              <w:tabs>
                <w:tab w:val="center" w:pos="4957"/>
              </w:tabs>
              <w:spacing w:before="120"/>
              <w:ind w:left="-14"/>
              <w:jc w:val="center"/>
              <w:rPr>
                <w:rFonts w:ascii="Arial" w:hAnsi="Arial" w:cs="Arial"/>
                <w:b/>
                <w:sz w:val="20"/>
              </w:rPr>
            </w:pPr>
          </w:p>
          <w:p w14:paraId="2A932912" w14:textId="489FD830" w:rsidR="00C01F53" w:rsidRPr="00CE5341" w:rsidRDefault="00C01F53" w:rsidP="00C01F53">
            <w:pPr>
              <w:spacing w:after="120"/>
              <w:jc w:val="center"/>
              <w:rPr>
                <w:rFonts w:ascii="Arial" w:hAnsi="Arial" w:cs="Arial"/>
                <w:sz w:val="20"/>
              </w:rPr>
            </w:pPr>
            <w:r>
              <w:rPr>
                <w:rFonts w:ascii="Arial" w:hAnsi="Arial" w:cs="Arial"/>
                <w:sz w:val="20"/>
              </w:rPr>
              <w:t>Strengthen</w:t>
            </w:r>
            <w:r w:rsidRPr="00356B57">
              <w:rPr>
                <w:rFonts w:ascii="Arial" w:hAnsi="Arial" w:cs="Arial"/>
                <w:sz w:val="20"/>
              </w:rPr>
              <w:t xml:space="preserve"> the Office of Drug Policy as a source of drug and substance abuse preventio</w:t>
            </w:r>
            <w:r>
              <w:rPr>
                <w:rFonts w:ascii="Arial" w:hAnsi="Arial" w:cs="Arial"/>
                <w:sz w:val="20"/>
              </w:rPr>
              <w:t>n programs and</w:t>
            </w:r>
            <w:r w:rsidRPr="00356B57">
              <w:rPr>
                <w:rFonts w:ascii="Arial" w:hAnsi="Arial" w:cs="Arial"/>
                <w:sz w:val="20"/>
              </w:rPr>
              <w:t xml:space="preserve"> information.  </w:t>
            </w:r>
            <w:r>
              <w:rPr>
                <w:rFonts w:ascii="Arial" w:hAnsi="Arial" w:cs="Arial"/>
                <w:sz w:val="20"/>
              </w:rPr>
              <w:t xml:space="preserve"> </w:t>
            </w:r>
            <w:r w:rsidRPr="00356B57">
              <w:rPr>
                <w:rFonts w:ascii="Arial" w:hAnsi="Arial" w:cs="Arial"/>
                <w:sz w:val="20"/>
              </w:rPr>
              <w:t>Coordinate the exchange of drug and substance abuse prevention information</w:t>
            </w:r>
          </w:p>
        </w:tc>
      </w:tr>
      <w:tr w:rsidR="00C01F53" w14:paraId="0938FF0C" w14:textId="77777777" w:rsidTr="00AF7AFE">
        <w:trPr>
          <w:cantSplit/>
          <w:trHeight w:val="288"/>
        </w:trPr>
        <w:tc>
          <w:tcPr>
            <w:tcW w:w="2158" w:type="dxa"/>
            <w:vMerge w:val="restart"/>
          </w:tcPr>
          <w:p w14:paraId="588D30E8" w14:textId="77777777" w:rsidR="00C01F53" w:rsidRPr="00A44C40" w:rsidRDefault="00C01F53" w:rsidP="00C01F53">
            <w:pPr>
              <w:rPr>
                <w:rFonts w:ascii="Arial" w:hAnsi="Arial" w:cs="Arial"/>
                <w:b/>
                <w:sz w:val="20"/>
                <w:szCs w:val="20"/>
                <w:highlight w:val="yellow"/>
              </w:rPr>
            </w:pPr>
          </w:p>
          <w:p w14:paraId="485F4AF1" w14:textId="4C5E174E" w:rsidR="00C01F53" w:rsidRPr="00BA7ABE" w:rsidRDefault="00C01F53" w:rsidP="00C01F53">
            <w:pPr>
              <w:rPr>
                <w:rFonts w:ascii="Arial" w:hAnsi="Arial" w:cs="Arial"/>
                <w:b/>
                <w:sz w:val="20"/>
                <w:szCs w:val="20"/>
                <w:u w:val="single"/>
              </w:rPr>
            </w:pPr>
            <w:r w:rsidRPr="00BA7ABE">
              <w:rPr>
                <w:rFonts w:ascii="Arial" w:hAnsi="Arial" w:cs="Arial"/>
                <w:b/>
                <w:sz w:val="20"/>
                <w:szCs w:val="20"/>
                <w:u w:val="single"/>
              </w:rPr>
              <w:t>OLD</w:t>
            </w:r>
          </w:p>
          <w:p w14:paraId="5827A065" w14:textId="3F83B189" w:rsidR="00C01F53" w:rsidRPr="00DC7BF5" w:rsidRDefault="00C01F53" w:rsidP="00C01F53">
            <w:pPr>
              <w:rPr>
                <w:rFonts w:ascii="Arial" w:hAnsi="Arial" w:cs="Arial"/>
                <w:bCs/>
                <w:sz w:val="20"/>
                <w:szCs w:val="20"/>
              </w:rPr>
            </w:pPr>
            <w:r>
              <w:rPr>
                <w:rFonts w:ascii="Arial" w:hAnsi="Arial" w:cs="Arial"/>
                <w:bCs/>
                <w:sz w:val="20"/>
                <w:szCs w:val="20"/>
              </w:rPr>
              <w:t xml:space="preserve">3. </w:t>
            </w:r>
            <w:r w:rsidRPr="00DC7BF5">
              <w:rPr>
                <w:rFonts w:ascii="Arial" w:hAnsi="Arial" w:cs="Arial"/>
                <w:bCs/>
                <w:sz w:val="20"/>
                <w:szCs w:val="20"/>
              </w:rPr>
              <w:t>Reach of awareness campaigns</w:t>
            </w:r>
          </w:p>
          <w:p w14:paraId="75438FD1" w14:textId="77777777" w:rsidR="00C01F53" w:rsidRPr="00A44C40" w:rsidRDefault="00C01F53" w:rsidP="00C01F53">
            <w:pPr>
              <w:rPr>
                <w:rFonts w:ascii="Arial" w:hAnsi="Arial" w:cs="Arial"/>
                <w:b/>
                <w:sz w:val="20"/>
                <w:szCs w:val="20"/>
              </w:rPr>
            </w:pPr>
          </w:p>
          <w:p w14:paraId="67429474" w14:textId="39825895" w:rsidR="00C01F53" w:rsidRPr="00A44C40" w:rsidRDefault="00C01F53" w:rsidP="00C01F53">
            <w:pPr>
              <w:rPr>
                <w:rFonts w:ascii="Arial" w:hAnsi="Arial" w:cs="Arial"/>
                <w:bCs/>
                <w:sz w:val="20"/>
                <w:szCs w:val="20"/>
              </w:rPr>
            </w:pPr>
          </w:p>
        </w:tc>
        <w:tc>
          <w:tcPr>
            <w:tcW w:w="1170" w:type="dxa"/>
            <w:shd w:val="clear" w:color="auto" w:fill="D9D9D9" w:themeFill="background1" w:themeFillShade="D9"/>
            <w:vAlign w:val="center"/>
          </w:tcPr>
          <w:p w14:paraId="00460FA5" w14:textId="77777777" w:rsidR="00C01F53" w:rsidRPr="00BA7ABE" w:rsidRDefault="00C01F53" w:rsidP="00C01F53">
            <w:pPr>
              <w:jc w:val="center"/>
              <w:rPr>
                <w:rFonts w:ascii="Arial" w:hAnsi="Arial" w:cs="Arial"/>
                <w:b/>
                <w:bCs/>
                <w:sz w:val="20"/>
              </w:rPr>
            </w:pPr>
            <w:r w:rsidRPr="00BA7ABE">
              <w:rPr>
                <w:rFonts w:ascii="Arial" w:hAnsi="Arial" w:cs="Arial"/>
                <w:b/>
                <w:bCs/>
                <w:sz w:val="20"/>
              </w:rPr>
              <w:t>actual</w:t>
            </w:r>
          </w:p>
        </w:tc>
        <w:tc>
          <w:tcPr>
            <w:tcW w:w="1349" w:type="dxa"/>
            <w:shd w:val="clear" w:color="auto" w:fill="D9D9D9" w:themeFill="background1" w:themeFillShade="D9"/>
            <w:vAlign w:val="center"/>
          </w:tcPr>
          <w:p w14:paraId="1AD2D6D4" w14:textId="058CC585" w:rsidR="00C01F53" w:rsidRPr="00E51672" w:rsidRDefault="00C01F53" w:rsidP="00C01F53">
            <w:pPr>
              <w:jc w:val="center"/>
              <w:rPr>
                <w:rFonts w:ascii="Arial" w:hAnsi="Arial" w:cs="Arial"/>
                <w:sz w:val="20"/>
              </w:rPr>
            </w:pPr>
            <w:r w:rsidRPr="00BA7ABE">
              <w:rPr>
                <w:rFonts w:ascii="Arial" w:hAnsi="Arial" w:cs="Arial"/>
                <w:b/>
                <w:bCs/>
                <w:sz w:val="20"/>
              </w:rPr>
              <w:t>37.8%</w:t>
            </w:r>
          </w:p>
        </w:tc>
        <w:tc>
          <w:tcPr>
            <w:tcW w:w="1349" w:type="dxa"/>
            <w:shd w:val="clear" w:color="auto" w:fill="D9D9D9" w:themeFill="background1" w:themeFillShade="D9"/>
            <w:vAlign w:val="center"/>
          </w:tcPr>
          <w:p w14:paraId="25884B1A" w14:textId="048225C2" w:rsidR="00C01F53" w:rsidRPr="00BA7ABE" w:rsidRDefault="00C01F53" w:rsidP="00C01F53">
            <w:pPr>
              <w:jc w:val="center"/>
              <w:rPr>
                <w:rFonts w:ascii="Arial" w:hAnsi="Arial" w:cs="Arial"/>
                <w:b/>
                <w:bCs/>
                <w:sz w:val="20"/>
              </w:rPr>
            </w:pPr>
            <w:r w:rsidRPr="00BA7ABE">
              <w:rPr>
                <w:rFonts w:ascii="Arial" w:hAnsi="Arial" w:cs="Arial"/>
                <w:b/>
                <w:bCs/>
                <w:sz w:val="20"/>
              </w:rPr>
              <w:t>42.6%</w:t>
            </w:r>
          </w:p>
        </w:tc>
        <w:tc>
          <w:tcPr>
            <w:tcW w:w="1439" w:type="dxa"/>
            <w:gridSpan w:val="2"/>
            <w:shd w:val="clear" w:color="auto" w:fill="D9D9D9" w:themeFill="background1" w:themeFillShade="D9"/>
            <w:vAlign w:val="center"/>
          </w:tcPr>
          <w:p w14:paraId="78B5DC44" w14:textId="0FEF3DED" w:rsidR="00C01F53" w:rsidRPr="00BA7ABE" w:rsidRDefault="00C01F53" w:rsidP="00C01F53">
            <w:pPr>
              <w:jc w:val="center"/>
              <w:rPr>
                <w:rFonts w:ascii="Arial" w:hAnsi="Arial" w:cs="Arial"/>
                <w:b/>
                <w:bCs/>
                <w:sz w:val="20"/>
              </w:rPr>
            </w:pPr>
            <w:r>
              <w:rPr>
                <w:rFonts w:ascii="Arial" w:hAnsi="Arial" w:cs="Arial"/>
                <w:sz w:val="20"/>
              </w:rPr>
              <w:t>-</w:t>
            </w:r>
          </w:p>
        </w:tc>
        <w:tc>
          <w:tcPr>
            <w:tcW w:w="1350" w:type="dxa"/>
            <w:shd w:val="clear" w:color="auto" w:fill="D9D9D9" w:themeFill="background1" w:themeFillShade="D9"/>
            <w:vAlign w:val="center"/>
          </w:tcPr>
          <w:p w14:paraId="73D002E7" w14:textId="68275448" w:rsidR="00C01F53" w:rsidRPr="00E74347" w:rsidRDefault="00C01F53" w:rsidP="00C01F53">
            <w:pPr>
              <w:jc w:val="center"/>
              <w:rPr>
                <w:rFonts w:ascii="Arial" w:hAnsi="Arial" w:cs="Arial"/>
                <w:sz w:val="20"/>
              </w:rPr>
            </w:pPr>
            <w:r>
              <w:rPr>
                <w:rFonts w:ascii="Arial" w:hAnsi="Arial" w:cs="Arial"/>
                <w:sz w:val="20"/>
              </w:rPr>
              <w:t>-</w:t>
            </w:r>
          </w:p>
        </w:tc>
        <w:tc>
          <w:tcPr>
            <w:tcW w:w="1265" w:type="dxa"/>
            <w:shd w:val="clear" w:color="auto" w:fill="D9D9D9" w:themeFill="background1" w:themeFillShade="D9"/>
            <w:vAlign w:val="center"/>
          </w:tcPr>
          <w:p w14:paraId="0E0C4ED5" w14:textId="2A087413" w:rsidR="00C01F53" w:rsidRPr="00E74347" w:rsidRDefault="00C01F53" w:rsidP="00C01F53">
            <w:pPr>
              <w:jc w:val="center"/>
              <w:rPr>
                <w:rFonts w:ascii="Arial" w:hAnsi="Arial" w:cs="Arial"/>
                <w:sz w:val="20"/>
              </w:rPr>
            </w:pPr>
          </w:p>
        </w:tc>
      </w:tr>
      <w:tr w:rsidR="00C01F53" w14:paraId="5FF29EA8" w14:textId="77777777" w:rsidTr="00AF7AFE">
        <w:trPr>
          <w:cantSplit/>
          <w:trHeight w:val="288"/>
        </w:trPr>
        <w:tc>
          <w:tcPr>
            <w:tcW w:w="2158" w:type="dxa"/>
            <w:vMerge/>
          </w:tcPr>
          <w:p w14:paraId="6A9D35A4" w14:textId="77777777" w:rsidR="00C01F53" w:rsidRPr="00A44C40" w:rsidRDefault="00C01F53" w:rsidP="00C01F53">
            <w:pPr>
              <w:pStyle w:val="ListParagraph"/>
              <w:numPr>
                <w:ilvl w:val="0"/>
                <w:numId w:val="14"/>
              </w:numPr>
              <w:tabs>
                <w:tab w:val="left" w:pos="2985"/>
              </w:tabs>
              <w:ind w:left="342"/>
              <w:rPr>
                <w:rFonts w:cs="Arial"/>
                <w:szCs w:val="20"/>
              </w:rPr>
            </w:pPr>
          </w:p>
        </w:tc>
        <w:tc>
          <w:tcPr>
            <w:tcW w:w="1170" w:type="dxa"/>
            <w:shd w:val="clear" w:color="auto" w:fill="FFFFFF" w:themeFill="background1"/>
            <w:vAlign w:val="center"/>
          </w:tcPr>
          <w:p w14:paraId="2C1FBCF4" w14:textId="77777777" w:rsidR="00C01F53" w:rsidRPr="00854BE2" w:rsidRDefault="00C01F53" w:rsidP="00C01F53">
            <w:pPr>
              <w:jc w:val="center"/>
              <w:rPr>
                <w:rFonts w:ascii="Arial" w:hAnsi="Arial" w:cs="Arial"/>
                <w:i/>
                <w:sz w:val="20"/>
                <w:szCs w:val="20"/>
              </w:rPr>
            </w:pPr>
            <w:r w:rsidRPr="00854BE2">
              <w:rPr>
                <w:rFonts w:ascii="Arial" w:hAnsi="Arial" w:cs="Arial"/>
                <w:i/>
                <w:sz w:val="20"/>
                <w:szCs w:val="20"/>
              </w:rPr>
              <w:t>target</w:t>
            </w:r>
          </w:p>
        </w:tc>
        <w:tc>
          <w:tcPr>
            <w:tcW w:w="1349" w:type="dxa"/>
            <w:shd w:val="clear" w:color="auto" w:fill="FFFFFF" w:themeFill="background1"/>
            <w:vAlign w:val="center"/>
          </w:tcPr>
          <w:p w14:paraId="58A0B774" w14:textId="769D1138" w:rsidR="00C01F53" w:rsidRPr="00DC7BF5" w:rsidRDefault="00C01F53" w:rsidP="00C01F53">
            <w:pPr>
              <w:jc w:val="center"/>
              <w:rPr>
                <w:rFonts w:ascii="Arial" w:hAnsi="Arial" w:cs="Arial"/>
                <w:i/>
                <w:sz w:val="20"/>
                <w:szCs w:val="20"/>
              </w:rPr>
            </w:pPr>
            <w:r w:rsidRPr="00DC7BF5">
              <w:rPr>
                <w:rFonts w:ascii="Arial" w:hAnsi="Arial" w:cs="Arial"/>
                <w:sz w:val="20"/>
                <w:szCs w:val="20"/>
              </w:rPr>
              <w:t xml:space="preserve">25% of Idaho Adults </w:t>
            </w:r>
            <w:proofErr w:type="gramStart"/>
            <w:r w:rsidRPr="00DC7BF5">
              <w:rPr>
                <w:rFonts w:ascii="Arial" w:hAnsi="Arial" w:cs="Arial"/>
                <w:sz w:val="20"/>
                <w:szCs w:val="20"/>
              </w:rPr>
              <w:t>ages</w:t>
            </w:r>
            <w:proofErr w:type="gramEnd"/>
            <w:r w:rsidRPr="00DC7BF5">
              <w:rPr>
                <w:rFonts w:ascii="Arial" w:hAnsi="Arial" w:cs="Arial"/>
                <w:sz w:val="20"/>
                <w:szCs w:val="20"/>
              </w:rPr>
              <w:t xml:space="preserve"> 25-65 reached</w:t>
            </w:r>
          </w:p>
        </w:tc>
        <w:tc>
          <w:tcPr>
            <w:tcW w:w="1349" w:type="dxa"/>
            <w:shd w:val="clear" w:color="auto" w:fill="FFFFFF" w:themeFill="background1"/>
            <w:vAlign w:val="center"/>
          </w:tcPr>
          <w:p w14:paraId="28AABCAD" w14:textId="02AA9539" w:rsidR="00C01F53" w:rsidRPr="00DC7BF5" w:rsidRDefault="00C01F53" w:rsidP="00C01F53">
            <w:pPr>
              <w:jc w:val="center"/>
              <w:rPr>
                <w:rFonts w:ascii="Arial" w:hAnsi="Arial" w:cs="Arial"/>
                <w:i/>
                <w:sz w:val="20"/>
                <w:szCs w:val="20"/>
              </w:rPr>
            </w:pPr>
            <w:r w:rsidRPr="00DC7BF5">
              <w:rPr>
                <w:rFonts w:ascii="Arial" w:hAnsi="Arial" w:cs="Arial"/>
                <w:sz w:val="20"/>
                <w:szCs w:val="20"/>
              </w:rPr>
              <w:t xml:space="preserve">25% of Idaho Adults </w:t>
            </w:r>
            <w:proofErr w:type="gramStart"/>
            <w:r w:rsidRPr="00DC7BF5">
              <w:rPr>
                <w:rFonts w:ascii="Arial" w:hAnsi="Arial" w:cs="Arial"/>
                <w:sz w:val="20"/>
                <w:szCs w:val="20"/>
              </w:rPr>
              <w:t>ages</w:t>
            </w:r>
            <w:proofErr w:type="gramEnd"/>
            <w:r w:rsidRPr="00DC7BF5">
              <w:rPr>
                <w:rFonts w:ascii="Arial" w:hAnsi="Arial" w:cs="Arial"/>
                <w:sz w:val="20"/>
                <w:szCs w:val="20"/>
              </w:rPr>
              <w:t xml:space="preserve"> 25-65 reached</w:t>
            </w:r>
          </w:p>
        </w:tc>
        <w:tc>
          <w:tcPr>
            <w:tcW w:w="1439" w:type="dxa"/>
            <w:gridSpan w:val="2"/>
            <w:shd w:val="clear" w:color="auto" w:fill="auto"/>
            <w:vAlign w:val="center"/>
          </w:tcPr>
          <w:p w14:paraId="39150307" w14:textId="652B5331" w:rsidR="00C01F53" w:rsidRPr="00DC7BF5" w:rsidRDefault="00C01F53" w:rsidP="00C01F53">
            <w:pPr>
              <w:jc w:val="center"/>
              <w:rPr>
                <w:rFonts w:ascii="Arial" w:hAnsi="Arial" w:cs="Arial"/>
                <w:i/>
                <w:sz w:val="20"/>
                <w:szCs w:val="20"/>
              </w:rPr>
            </w:pPr>
            <w:r>
              <w:rPr>
                <w:rFonts w:ascii="Arial" w:hAnsi="Arial" w:cs="Arial"/>
                <w:i/>
                <w:sz w:val="20"/>
                <w:szCs w:val="20"/>
              </w:rPr>
              <w:t>-</w:t>
            </w:r>
          </w:p>
        </w:tc>
        <w:tc>
          <w:tcPr>
            <w:tcW w:w="1350" w:type="dxa"/>
            <w:shd w:val="clear" w:color="auto" w:fill="auto"/>
            <w:vAlign w:val="center"/>
          </w:tcPr>
          <w:p w14:paraId="7621F6A3" w14:textId="4A237471" w:rsidR="00C01F53" w:rsidRPr="00854BE2" w:rsidRDefault="00C01F53" w:rsidP="00C01F53">
            <w:pPr>
              <w:jc w:val="center"/>
              <w:rPr>
                <w:rFonts w:ascii="Arial" w:hAnsi="Arial" w:cs="Arial"/>
                <w:i/>
                <w:sz w:val="20"/>
                <w:szCs w:val="20"/>
              </w:rPr>
            </w:pPr>
            <w:r>
              <w:rPr>
                <w:rFonts w:ascii="Arial" w:hAnsi="Arial" w:cs="Arial"/>
                <w:i/>
                <w:sz w:val="20"/>
                <w:szCs w:val="20"/>
              </w:rPr>
              <w:t>-</w:t>
            </w:r>
          </w:p>
        </w:tc>
        <w:tc>
          <w:tcPr>
            <w:tcW w:w="1265" w:type="dxa"/>
            <w:shd w:val="clear" w:color="auto" w:fill="auto"/>
            <w:vAlign w:val="center"/>
          </w:tcPr>
          <w:p w14:paraId="0FFFB5EA" w14:textId="004E6CAB" w:rsidR="00C01F53" w:rsidRPr="00854BE2" w:rsidRDefault="00C01F53" w:rsidP="00C01F53">
            <w:pPr>
              <w:jc w:val="center"/>
              <w:rPr>
                <w:rFonts w:ascii="Arial" w:hAnsi="Arial" w:cs="Arial"/>
                <w:i/>
                <w:sz w:val="20"/>
                <w:szCs w:val="20"/>
              </w:rPr>
            </w:pPr>
          </w:p>
        </w:tc>
      </w:tr>
      <w:tr w:rsidR="00C01F53" w14:paraId="70C08BC4" w14:textId="77777777" w:rsidTr="00A44C40">
        <w:trPr>
          <w:cantSplit/>
          <w:trHeight w:val="288"/>
        </w:trPr>
        <w:tc>
          <w:tcPr>
            <w:tcW w:w="2158" w:type="dxa"/>
            <w:vMerge w:val="restart"/>
          </w:tcPr>
          <w:p w14:paraId="03803136" w14:textId="77777777" w:rsidR="00C01F53" w:rsidRPr="00A44C40" w:rsidRDefault="00C01F53" w:rsidP="00C01F53">
            <w:pPr>
              <w:pStyle w:val="ListParagraph"/>
              <w:tabs>
                <w:tab w:val="left" w:pos="2985"/>
              </w:tabs>
              <w:ind w:left="342"/>
              <w:rPr>
                <w:rFonts w:cs="Arial"/>
                <w:szCs w:val="20"/>
              </w:rPr>
            </w:pPr>
          </w:p>
          <w:p w14:paraId="76BAF51A" w14:textId="0DB9FB4D" w:rsidR="00C01F53" w:rsidRPr="00A44C40" w:rsidRDefault="00C01F53" w:rsidP="00C01F53">
            <w:pPr>
              <w:tabs>
                <w:tab w:val="left" w:pos="2985"/>
              </w:tabs>
              <w:rPr>
                <w:rFonts w:ascii="Arial" w:hAnsi="Arial" w:cs="Arial"/>
                <w:b/>
                <w:bCs/>
                <w:sz w:val="20"/>
                <w:szCs w:val="20"/>
              </w:rPr>
            </w:pPr>
            <w:r w:rsidRPr="00A44C40">
              <w:rPr>
                <w:rFonts w:ascii="Arial" w:hAnsi="Arial" w:cs="Arial"/>
                <w:b/>
                <w:bCs/>
                <w:sz w:val="20"/>
                <w:szCs w:val="20"/>
              </w:rPr>
              <w:t>N</w:t>
            </w:r>
            <w:r>
              <w:rPr>
                <w:rFonts w:ascii="Arial" w:hAnsi="Arial" w:cs="Arial"/>
                <w:b/>
                <w:bCs/>
                <w:sz w:val="20"/>
                <w:szCs w:val="20"/>
              </w:rPr>
              <w:t>EW</w:t>
            </w:r>
          </w:p>
          <w:p w14:paraId="7ACA58E1" w14:textId="77777777" w:rsidR="00C01F53" w:rsidRPr="00A44C40" w:rsidRDefault="00C01F53" w:rsidP="00C01F53">
            <w:pPr>
              <w:tabs>
                <w:tab w:val="left" w:pos="2985"/>
              </w:tabs>
              <w:rPr>
                <w:rFonts w:ascii="Arial" w:hAnsi="Arial" w:cs="Arial"/>
                <w:b/>
                <w:bCs/>
                <w:szCs w:val="20"/>
              </w:rPr>
            </w:pPr>
          </w:p>
          <w:p w14:paraId="3FC0A826" w14:textId="275CBC71" w:rsidR="00C01F53" w:rsidRPr="00A44C40" w:rsidRDefault="00C01F53" w:rsidP="00C01F53">
            <w:pPr>
              <w:rPr>
                <w:rFonts w:ascii="Arial" w:hAnsi="Arial" w:cs="Arial"/>
                <w:bCs/>
                <w:sz w:val="20"/>
                <w:szCs w:val="20"/>
              </w:rPr>
            </w:pPr>
            <w:r w:rsidRPr="00DC7BF5">
              <w:rPr>
                <w:rFonts w:ascii="Arial" w:hAnsi="Arial" w:cs="Arial"/>
                <w:bCs/>
                <w:sz w:val="20"/>
                <w:szCs w:val="20"/>
              </w:rPr>
              <w:t xml:space="preserve">3. </w:t>
            </w:r>
            <w:r>
              <w:rPr>
                <w:rFonts w:ascii="Arial" w:hAnsi="Arial" w:cs="Arial"/>
                <w:bCs/>
                <w:sz w:val="20"/>
                <w:szCs w:val="20"/>
              </w:rPr>
              <w:t>Increase the p</w:t>
            </w:r>
            <w:r w:rsidRPr="00DC7BF5">
              <w:rPr>
                <w:rFonts w:ascii="Arial" w:hAnsi="Arial" w:cs="Arial"/>
                <w:bCs/>
                <w:sz w:val="20"/>
                <w:szCs w:val="20"/>
              </w:rPr>
              <w:t>ercentage of Idahoans reached annually via ODP’s three primary communication channels</w:t>
            </w:r>
            <w:r>
              <w:rPr>
                <w:rFonts w:ascii="Arial" w:hAnsi="Arial" w:cs="Arial"/>
                <w:bCs/>
                <w:sz w:val="20"/>
                <w:szCs w:val="20"/>
              </w:rPr>
              <w:t xml:space="preserve"> by 10% each year</w:t>
            </w:r>
          </w:p>
          <w:p w14:paraId="64344CD3" w14:textId="41D754F0" w:rsidR="00C01F53" w:rsidRPr="00A44C40" w:rsidRDefault="00C01F53" w:rsidP="00C01F53">
            <w:pPr>
              <w:tabs>
                <w:tab w:val="left" w:pos="2985"/>
              </w:tabs>
              <w:rPr>
                <w:rFonts w:ascii="Arial" w:hAnsi="Arial" w:cs="Arial"/>
                <w:b/>
                <w:bCs/>
                <w:szCs w:val="20"/>
              </w:rPr>
            </w:pPr>
          </w:p>
        </w:tc>
        <w:tc>
          <w:tcPr>
            <w:tcW w:w="1170" w:type="dxa"/>
            <w:shd w:val="clear" w:color="auto" w:fill="D9D9D9" w:themeFill="background1" w:themeFillShade="D9"/>
            <w:vAlign w:val="center"/>
          </w:tcPr>
          <w:p w14:paraId="45742593" w14:textId="3954A0EA" w:rsidR="00C01F53" w:rsidRPr="00BA7ABE" w:rsidRDefault="00C01F53" w:rsidP="00C01F53">
            <w:pPr>
              <w:jc w:val="center"/>
              <w:rPr>
                <w:rFonts w:ascii="Arial" w:hAnsi="Arial" w:cs="Arial"/>
                <w:b/>
                <w:bCs/>
                <w:iCs/>
                <w:sz w:val="20"/>
                <w:szCs w:val="20"/>
                <w:highlight w:val="lightGray"/>
              </w:rPr>
            </w:pPr>
            <w:r w:rsidRPr="00BA7ABE">
              <w:rPr>
                <w:rFonts w:ascii="Arial" w:hAnsi="Arial" w:cs="Arial"/>
                <w:b/>
                <w:bCs/>
                <w:iCs/>
                <w:sz w:val="20"/>
                <w:szCs w:val="20"/>
                <w:highlight w:val="lightGray"/>
              </w:rPr>
              <w:t>actual</w:t>
            </w:r>
          </w:p>
        </w:tc>
        <w:tc>
          <w:tcPr>
            <w:tcW w:w="1349" w:type="dxa"/>
            <w:shd w:val="clear" w:color="auto" w:fill="D9D9D9" w:themeFill="background1" w:themeFillShade="D9"/>
            <w:vAlign w:val="center"/>
          </w:tcPr>
          <w:p w14:paraId="13D259F6" w14:textId="4DE0275F" w:rsidR="00C01F53" w:rsidRPr="00A44C40" w:rsidRDefault="00C01F53" w:rsidP="00C01F53">
            <w:pPr>
              <w:jc w:val="center"/>
              <w:rPr>
                <w:rFonts w:ascii="Arial" w:hAnsi="Arial" w:cs="Arial"/>
                <w:i/>
                <w:sz w:val="20"/>
                <w:szCs w:val="20"/>
                <w:highlight w:val="lightGray"/>
              </w:rPr>
            </w:pPr>
            <w:r>
              <w:rPr>
                <w:rFonts w:ascii="Arial" w:hAnsi="Arial" w:cs="Arial"/>
                <w:i/>
                <w:sz w:val="20"/>
                <w:szCs w:val="20"/>
              </w:rPr>
              <w:t>-</w:t>
            </w:r>
          </w:p>
        </w:tc>
        <w:tc>
          <w:tcPr>
            <w:tcW w:w="1349" w:type="dxa"/>
            <w:shd w:val="clear" w:color="auto" w:fill="D9D9D9" w:themeFill="background1" w:themeFillShade="D9"/>
            <w:vAlign w:val="center"/>
          </w:tcPr>
          <w:p w14:paraId="07D1F8E1" w14:textId="2B534E77" w:rsidR="00C01F53" w:rsidRPr="00A44C40" w:rsidRDefault="00C01F53" w:rsidP="00C01F53">
            <w:pPr>
              <w:jc w:val="center"/>
              <w:rPr>
                <w:rFonts w:ascii="Arial" w:hAnsi="Arial" w:cs="Arial"/>
                <w:i/>
                <w:sz w:val="20"/>
                <w:szCs w:val="20"/>
              </w:rPr>
            </w:pPr>
            <w:r>
              <w:rPr>
                <w:rFonts w:ascii="Arial" w:hAnsi="Arial" w:cs="Arial"/>
                <w:i/>
                <w:sz w:val="20"/>
                <w:szCs w:val="20"/>
              </w:rPr>
              <w:t>-</w:t>
            </w:r>
          </w:p>
        </w:tc>
        <w:tc>
          <w:tcPr>
            <w:tcW w:w="1439" w:type="dxa"/>
            <w:gridSpan w:val="2"/>
            <w:shd w:val="clear" w:color="auto" w:fill="D9D9D9" w:themeFill="background1" w:themeFillShade="D9"/>
            <w:vAlign w:val="center"/>
          </w:tcPr>
          <w:p w14:paraId="1D45804B" w14:textId="35F5F4BC" w:rsidR="00C01F53" w:rsidRPr="00A44C40" w:rsidRDefault="00C01F53" w:rsidP="00C01F53">
            <w:pPr>
              <w:jc w:val="center"/>
              <w:rPr>
                <w:rFonts w:ascii="Arial" w:hAnsi="Arial" w:cs="Arial"/>
                <w:i/>
                <w:sz w:val="20"/>
                <w:szCs w:val="20"/>
              </w:rPr>
            </w:pPr>
            <w:r w:rsidRPr="00BA7ABE">
              <w:rPr>
                <w:rFonts w:ascii="Arial" w:hAnsi="Arial" w:cs="Arial"/>
                <w:b/>
                <w:bCs/>
                <w:i/>
                <w:sz w:val="20"/>
                <w:szCs w:val="20"/>
              </w:rPr>
              <w:t>61%</w:t>
            </w:r>
          </w:p>
        </w:tc>
        <w:tc>
          <w:tcPr>
            <w:tcW w:w="1350" w:type="dxa"/>
            <w:shd w:val="clear" w:color="auto" w:fill="D9D9D9" w:themeFill="background1" w:themeFillShade="D9"/>
            <w:vAlign w:val="center"/>
          </w:tcPr>
          <w:p w14:paraId="0E578BB3" w14:textId="37BAB168" w:rsidR="00C01F53" w:rsidRPr="00BA7ABE" w:rsidRDefault="00C01F53" w:rsidP="00C01F53">
            <w:pPr>
              <w:jc w:val="center"/>
              <w:rPr>
                <w:rFonts w:ascii="Arial" w:hAnsi="Arial" w:cs="Arial"/>
                <w:b/>
                <w:bCs/>
                <w:i/>
                <w:sz w:val="20"/>
                <w:szCs w:val="20"/>
              </w:rPr>
            </w:pPr>
            <w:r>
              <w:rPr>
                <w:rFonts w:ascii="Arial" w:hAnsi="Arial" w:cs="Arial"/>
                <w:i/>
                <w:sz w:val="20"/>
                <w:szCs w:val="20"/>
              </w:rPr>
              <w:t>-</w:t>
            </w:r>
          </w:p>
        </w:tc>
        <w:tc>
          <w:tcPr>
            <w:tcW w:w="1265" w:type="dxa"/>
            <w:shd w:val="clear" w:color="auto" w:fill="D9D9D9" w:themeFill="background1" w:themeFillShade="D9"/>
            <w:vAlign w:val="center"/>
          </w:tcPr>
          <w:p w14:paraId="4F970C52" w14:textId="6D2BE3BE" w:rsidR="00C01F53" w:rsidRPr="00A44C40" w:rsidRDefault="00C01F53" w:rsidP="00C01F53">
            <w:pPr>
              <w:jc w:val="center"/>
              <w:rPr>
                <w:rFonts w:ascii="Arial" w:hAnsi="Arial" w:cs="Arial"/>
                <w:i/>
                <w:sz w:val="20"/>
                <w:szCs w:val="20"/>
              </w:rPr>
            </w:pPr>
          </w:p>
        </w:tc>
      </w:tr>
      <w:tr w:rsidR="00C01F53" w14:paraId="56A0253F" w14:textId="77777777" w:rsidTr="00AF7AFE">
        <w:trPr>
          <w:cantSplit/>
          <w:trHeight w:val="288"/>
        </w:trPr>
        <w:tc>
          <w:tcPr>
            <w:tcW w:w="2158" w:type="dxa"/>
            <w:vMerge/>
          </w:tcPr>
          <w:p w14:paraId="0B8D4BEE" w14:textId="77777777" w:rsidR="00C01F53" w:rsidRPr="000A632F" w:rsidRDefault="00C01F53" w:rsidP="00C01F53">
            <w:pPr>
              <w:pStyle w:val="ListParagraph"/>
              <w:numPr>
                <w:ilvl w:val="0"/>
                <w:numId w:val="14"/>
              </w:numPr>
              <w:tabs>
                <w:tab w:val="left" w:pos="2985"/>
              </w:tabs>
              <w:ind w:left="342"/>
              <w:rPr>
                <w:rFonts w:cs="Arial"/>
                <w:szCs w:val="20"/>
              </w:rPr>
            </w:pPr>
          </w:p>
        </w:tc>
        <w:tc>
          <w:tcPr>
            <w:tcW w:w="1170" w:type="dxa"/>
            <w:shd w:val="clear" w:color="auto" w:fill="FFFFFF" w:themeFill="background1"/>
            <w:vAlign w:val="center"/>
          </w:tcPr>
          <w:p w14:paraId="46A6A34E" w14:textId="2FDAEB0A" w:rsidR="00C01F53" w:rsidRPr="00854BE2" w:rsidRDefault="00C01F53" w:rsidP="00C01F53">
            <w:pPr>
              <w:jc w:val="center"/>
              <w:rPr>
                <w:rFonts w:ascii="Arial" w:hAnsi="Arial" w:cs="Arial"/>
                <w:i/>
                <w:sz w:val="20"/>
                <w:szCs w:val="20"/>
              </w:rPr>
            </w:pPr>
            <w:r>
              <w:rPr>
                <w:rFonts w:ascii="Arial" w:hAnsi="Arial" w:cs="Arial"/>
                <w:i/>
                <w:sz w:val="20"/>
                <w:szCs w:val="20"/>
              </w:rPr>
              <w:t>target</w:t>
            </w:r>
          </w:p>
        </w:tc>
        <w:tc>
          <w:tcPr>
            <w:tcW w:w="1349" w:type="dxa"/>
            <w:shd w:val="clear" w:color="auto" w:fill="FFFFFF" w:themeFill="background1"/>
            <w:vAlign w:val="center"/>
          </w:tcPr>
          <w:p w14:paraId="01D3C9DF" w14:textId="4ECB18BF" w:rsidR="00C01F53" w:rsidRPr="00854BE2" w:rsidRDefault="00C01F53" w:rsidP="00C01F53">
            <w:pPr>
              <w:jc w:val="center"/>
              <w:rPr>
                <w:rFonts w:ascii="Arial" w:hAnsi="Arial" w:cs="Arial"/>
                <w:i/>
                <w:sz w:val="20"/>
                <w:szCs w:val="20"/>
              </w:rPr>
            </w:pPr>
            <w:r w:rsidRPr="00854BE2">
              <w:rPr>
                <w:rFonts w:ascii="Arial" w:hAnsi="Arial" w:cs="Arial"/>
                <w:i/>
                <w:sz w:val="20"/>
                <w:szCs w:val="20"/>
              </w:rPr>
              <w:t>New Measure for FY202</w:t>
            </w:r>
            <w:r>
              <w:rPr>
                <w:rFonts w:ascii="Arial" w:hAnsi="Arial" w:cs="Arial"/>
                <w:i/>
                <w:sz w:val="20"/>
                <w:szCs w:val="20"/>
              </w:rPr>
              <w:t>4</w:t>
            </w:r>
          </w:p>
        </w:tc>
        <w:tc>
          <w:tcPr>
            <w:tcW w:w="1349" w:type="dxa"/>
            <w:shd w:val="clear" w:color="auto" w:fill="FFFFFF" w:themeFill="background1"/>
            <w:vAlign w:val="center"/>
          </w:tcPr>
          <w:p w14:paraId="34F41E05" w14:textId="608149F3" w:rsidR="00C01F53" w:rsidRPr="00854BE2" w:rsidRDefault="00C01F53" w:rsidP="00C01F53">
            <w:pPr>
              <w:jc w:val="center"/>
              <w:rPr>
                <w:rFonts w:ascii="Arial" w:hAnsi="Arial" w:cs="Arial"/>
                <w:i/>
                <w:sz w:val="20"/>
                <w:szCs w:val="20"/>
              </w:rPr>
            </w:pPr>
            <w:r w:rsidRPr="00854BE2">
              <w:rPr>
                <w:rFonts w:ascii="Arial" w:hAnsi="Arial" w:cs="Arial"/>
                <w:i/>
                <w:sz w:val="20"/>
                <w:szCs w:val="20"/>
              </w:rPr>
              <w:t>New Measure for FY202</w:t>
            </w:r>
            <w:r>
              <w:rPr>
                <w:rFonts w:ascii="Arial" w:hAnsi="Arial" w:cs="Arial"/>
                <w:i/>
                <w:sz w:val="20"/>
                <w:szCs w:val="20"/>
              </w:rPr>
              <w:t>4</w:t>
            </w:r>
          </w:p>
        </w:tc>
        <w:tc>
          <w:tcPr>
            <w:tcW w:w="1439" w:type="dxa"/>
            <w:gridSpan w:val="2"/>
            <w:shd w:val="clear" w:color="auto" w:fill="auto"/>
            <w:vAlign w:val="center"/>
          </w:tcPr>
          <w:p w14:paraId="14306D87" w14:textId="5AFEE510" w:rsidR="00C01F53" w:rsidRPr="00854BE2" w:rsidRDefault="00C01F53" w:rsidP="00C01F53">
            <w:pPr>
              <w:jc w:val="center"/>
              <w:rPr>
                <w:rFonts w:ascii="Arial" w:hAnsi="Arial" w:cs="Arial"/>
                <w:i/>
                <w:sz w:val="20"/>
                <w:szCs w:val="20"/>
              </w:rPr>
            </w:pPr>
            <w:r>
              <w:rPr>
                <w:rFonts w:ascii="Arial" w:hAnsi="Arial" w:cs="Arial"/>
                <w:i/>
                <w:sz w:val="20"/>
                <w:szCs w:val="20"/>
              </w:rPr>
              <w:t>45%</w:t>
            </w:r>
          </w:p>
        </w:tc>
        <w:tc>
          <w:tcPr>
            <w:tcW w:w="1350" w:type="dxa"/>
            <w:shd w:val="clear" w:color="auto" w:fill="auto"/>
            <w:vAlign w:val="center"/>
          </w:tcPr>
          <w:p w14:paraId="20E69801" w14:textId="7FA68554" w:rsidR="00C01F53" w:rsidRDefault="00C01F53" w:rsidP="00C01F53">
            <w:pPr>
              <w:jc w:val="center"/>
              <w:rPr>
                <w:rFonts w:ascii="Arial" w:hAnsi="Arial" w:cs="Arial"/>
                <w:i/>
                <w:sz w:val="20"/>
                <w:szCs w:val="20"/>
              </w:rPr>
            </w:pPr>
            <w:r>
              <w:rPr>
                <w:rFonts w:ascii="Arial" w:hAnsi="Arial" w:cs="Arial"/>
                <w:i/>
                <w:sz w:val="20"/>
                <w:szCs w:val="20"/>
              </w:rPr>
              <w:t>50%</w:t>
            </w:r>
          </w:p>
        </w:tc>
        <w:tc>
          <w:tcPr>
            <w:tcW w:w="1265" w:type="dxa"/>
            <w:shd w:val="clear" w:color="auto" w:fill="auto"/>
            <w:vAlign w:val="center"/>
          </w:tcPr>
          <w:p w14:paraId="49622E89" w14:textId="01C6F796" w:rsidR="00C01F53" w:rsidRDefault="00C01F53" w:rsidP="00C01F53">
            <w:pPr>
              <w:jc w:val="center"/>
              <w:rPr>
                <w:rFonts w:ascii="Arial" w:hAnsi="Arial" w:cs="Arial"/>
                <w:i/>
                <w:sz w:val="20"/>
                <w:szCs w:val="20"/>
              </w:rPr>
            </w:pPr>
          </w:p>
        </w:tc>
      </w:tr>
      <w:tr w:rsidR="00C01F53" w14:paraId="1B44EDA1" w14:textId="77777777" w:rsidTr="00AF7AFE">
        <w:trPr>
          <w:cantSplit/>
          <w:trHeight w:val="288"/>
        </w:trPr>
        <w:tc>
          <w:tcPr>
            <w:tcW w:w="2158" w:type="dxa"/>
            <w:vMerge w:val="restart"/>
          </w:tcPr>
          <w:p w14:paraId="7891EA09" w14:textId="77777777" w:rsidR="00C01F53" w:rsidRDefault="00C01F53" w:rsidP="00C01F53">
            <w:pPr>
              <w:rPr>
                <w:rFonts w:ascii="Arial" w:hAnsi="Arial" w:cs="Arial"/>
                <w:bCs/>
                <w:sz w:val="20"/>
                <w:szCs w:val="20"/>
                <w:highlight w:val="yellow"/>
              </w:rPr>
            </w:pPr>
          </w:p>
          <w:p w14:paraId="0C22D405" w14:textId="2AD9A3A6" w:rsidR="00C01F53" w:rsidRDefault="00C01F53" w:rsidP="00C01F53">
            <w:pPr>
              <w:rPr>
                <w:rFonts w:ascii="Arial" w:hAnsi="Arial" w:cs="Arial"/>
                <w:bCs/>
                <w:sz w:val="20"/>
                <w:szCs w:val="20"/>
              </w:rPr>
            </w:pPr>
            <w:r w:rsidRPr="00DC7BF5">
              <w:rPr>
                <w:rFonts w:ascii="Arial" w:hAnsi="Arial" w:cs="Arial"/>
                <w:bCs/>
                <w:sz w:val="20"/>
                <w:szCs w:val="20"/>
              </w:rPr>
              <w:t xml:space="preserve">4. </w:t>
            </w:r>
            <w:r>
              <w:rPr>
                <w:rFonts w:ascii="Arial" w:hAnsi="Arial" w:cs="Arial"/>
                <w:bCs/>
                <w:sz w:val="20"/>
                <w:szCs w:val="20"/>
              </w:rPr>
              <w:t>Increase the to</w:t>
            </w:r>
            <w:r w:rsidRPr="00DC7BF5">
              <w:rPr>
                <w:rFonts w:ascii="Arial" w:hAnsi="Arial" w:cs="Arial"/>
                <w:bCs/>
                <w:sz w:val="20"/>
                <w:szCs w:val="20"/>
              </w:rPr>
              <w:t xml:space="preserve">tal </w:t>
            </w:r>
            <w:r>
              <w:rPr>
                <w:rFonts w:ascii="Arial" w:hAnsi="Arial" w:cs="Arial"/>
                <w:bCs/>
                <w:sz w:val="20"/>
                <w:szCs w:val="20"/>
              </w:rPr>
              <w:t>n</w:t>
            </w:r>
            <w:r w:rsidRPr="00DC7BF5">
              <w:rPr>
                <w:rFonts w:ascii="Arial" w:hAnsi="Arial" w:cs="Arial"/>
                <w:bCs/>
                <w:sz w:val="20"/>
                <w:szCs w:val="20"/>
              </w:rPr>
              <w:t>umber of community presentations delivered</w:t>
            </w:r>
            <w:r>
              <w:rPr>
                <w:rFonts w:ascii="Arial" w:hAnsi="Arial" w:cs="Arial"/>
                <w:bCs/>
                <w:sz w:val="20"/>
                <w:szCs w:val="20"/>
              </w:rPr>
              <w:t xml:space="preserve"> by five (5) each year</w:t>
            </w:r>
          </w:p>
          <w:p w14:paraId="79BD8C43" w14:textId="2386770D" w:rsidR="00C01F53" w:rsidRPr="000A632F" w:rsidRDefault="00C01F53" w:rsidP="00C01F53">
            <w:pPr>
              <w:rPr>
                <w:rFonts w:ascii="Arial" w:hAnsi="Arial" w:cs="Arial"/>
                <w:bCs/>
                <w:sz w:val="20"/>
                <w:szCs w:val="20"/>
              </w:rPr>
            </w:pPr>
          </w:p>
        </w:tc>
        <w:tc>
          <w:tcPr>
            <w:tcW w:w="1170" w:type="dxa"/>
            <w:shd w:val="clear" w:color="auto" w:fill="D9D9D9" w:themeFill="background1" w:themeFillShade="D9"/>
            <w:vAlign w:val="center"/>
          </w:tcPr>
          <w:p w14:paraId="77BAE27E" w14:textId="77777777" w:rsidR="00C01F53" w:rsidRPr="00BA7ABE" w:rsidRDefault="00C01F53" w:rsidP="00C01F53">
            <w:pPr>
              <w:jc w:val="center"/>
              <w:rPr>
                <w:rFonts w:ascii="Arial" w:hAnsi="Arial" w:cs="Arial"/>
                <w:b/>
                <w:bCs/>
                <w:sz w:val="20"/>
                <w:szCs w:val="20"/>
              </w:rPr>
            </w:pPr>
            <w:r w:rsidRPr="00BA7ABE">
              <w:rPr>
                <w:rFonts w:ascii="Arial" w:hAnsi="Arial" w:cs="Arial"/>
                <w:b/>
                <w:bCs/>
                <w:sz w:val="20"/>
                <w:szCs w:val="20"/>
              </w:rPr>
              <w:t>actual</w:t>
            </w:r>
          </w:p>
        </w:tc>
        <w:tc>
          <w:tcPr>
            <w:tcW w:w="1349" w:type="dxa"/>
            <w:shd w:val="clear" w:color="auto" w:fill="D9D9D9" w:themeFill="background1" w:themeFillShade="D9"/>
            <w:vAlign w:val="center"/>
          </w:tcPr>
          <w:p w14:paraId="578FFB3A" w14:textId="243174F8" w:rsidR="00C01F53" w:rsidRPr="00BA7ABE" w:rsidRDefault="00C01F53" w:rsidP="00C01F53">
            <w:pPr>
              <w:jc w:val="center"/>
              <w:rPr>
                <w:rFonts w:ascii="Arial" w:hAnsi="Arial" w:cs="Arial"/>
                <w:b/>
                <w:bCs/>
                <w:sz w:val="20"/>
                <w:szCs w:val="20"/>
              </w:rPr>
            </w:pPr>
            <w:r w:rsidRPr="00BA7ABE">
              <w:rPr>
                <w:rFonts w:ascii="Arial" w:hAnsi="Arial" w:cs="Arial"/>
                <w:b/>
                <w:bCs/>
                <w:sz w:val="20"/>
                <w:szCs w:val="20"/>
              </w:rPr>
              <w:t>40</w:t>
            </w:r>
          </w:p>
        </w:tc>
        <w:tc>
          <w:tcPr>
            <w:tcW w:w="1349" w:type="dxa"/>
            <w:shd w:val="clear" w:color="auto" w:fill="D9D9D9" w:themeFill="background1" w:themeFillShade="D9"/>
            <w:vAlign w:val="center"/>
          </w:tcPr>
          <w:p w14:paraId="49A5B8DC" w14:textId="18611E92" w:rsidR="00C01F53" w:rsidRPr="00BA7ABE" w:rsidRDefault="00C01F53" w:rsidP="00C01F53">
            <w:pPr>
              <w:jc w:val="center"/>
              <w:rPr>
                <w:rFonts w:ascii="Arial" w:hAnsi="Arial" w:cs="Arial"/>
                <w:b/>
                <w:bCs/>
                <w:sz w:val="20"/>
                <w:szCs w:val="20"/>
              </w:rPr>
            </w:pPr>
            <w:r w:rsidRPr="00BA7ABE">
              <w:rPr>
                <w:rFonts w:ascii="Arial" w:hAnsi="Arial" w:cs="Arial"/>
                <w:b/>
                <w:bCs/>
                <w:sz w:val="20"/>
                <w:szCs w:val="20"/>
              </w:rPr>
              <w:t>34</w:t>
            </w:r>
          </w:p>
        </w:tc>
        <w:tc>
          <w:tcPr>
            <w:tcW w:w="1439" w:type="dxa"/>
            <w:gridSpan w:val="2"/>
            <w:shd w:val="clear" w:color="auto" w:fill="D9D9D9" w:themeFill="background1" w:themeFillShade="D9"/>
            <w:vAlign w:val="center"/>
          </w:tcPr>
          <w:p w14:paraId="75B1B320" w14:textId="60DE7DA9" w:rsidR="00C01F53" w:rsidRPr="00BA7ABE" w:rsidRDefault="00C01F53" w:rsidP="00C01F53">
            <w:pPr>
              <w:jc w:val="center"/>
              <w:rPr>
                <w:rFonts w:ascii="Arial" w:hAnsi="Arial" w:cs="Arial"/>
                <w:b/>
                <w:bCs/>
                <w:sz w:val="20"/>
                <w:szCs w:val="20"/>
              </w:rPr>
            </w:pPr>
            <w:r w:rsidRPr="00BA7ABE">
              <w:rPr>
                <w:rFonts w:ascii="Arial" w:hAnsi="Arial" w:cs="Arial"/>
                <w:b/>
                <w:bCs/>
                <w:sz w:val="20"/>
                <w:szCs w:val="20"/>
              </w:rPr>
              <w:t>30</w:t>
            </w:r>
          </w:p>
        </w:tc>
        <w:tc>
          <w:tcPr>
            <w:tcW w:w="1350" w:type="dxa"/>
            <w:shd w:val="clear" w:color="auto" w:fill="D9D9D9" w:themeFill="background1" w:themeFillShade="D9"/>
            <w:vAlign w:val="center"/>
          </w:tcPr>
          <w:p w14:paraId="3D31BF59" w14:textId="5287A631" w:rsidR="00C01F53" w:rsidRPr="00BA7ABE" w:rsidRDefault="00C01F53" w:rsidP="00C01F53">
            <w:pPr>
              <w:jc w:val="center"/>
              <w:rPr>
                <w:rFonts w:ascii="Arial" w:hAnsi="Arial" w:cs="Arial"/>
                <w:b/>
                <w:bCs/>
                <w:sz w:val="20"/>
                <w:szCs w:val="20"/>
              </w:rPr>
            </w:pPr>
            <w:r w:rsidRPr="00BA7ABE">
              <w:rPr>
                <w:rFonts w:ascii="Arial" w:hAnsi="Arial" w:cs="Arial"/>
                <w:b/>
                <w:bCs/>
                <w:sz w:val="20"/>
                <w:szCs w:val="20"/>
              </w:rPr>
              <w:t>-</w:t>
            </w:r>
          </w:p>
        </w:tc>
        <w:tc>
          <w:tcPr>
            <w:tcW w:w="1265" w:type="dxa"/>
            <w:shd w:val="clear" w:color="auto" w:fill="D9D9D9" w:themeFill="background1" w:themeFillShade="D9"/>
            <w:vAlign w:val="center"/>
          </w:tcPr>
          <w:p w14:paraId="38868263" w14:textId="5E809AA8" w:rsidR="00C01F53" w:rsidRPr="00BA7ABE" w:rsidRDefault="00C01F53" w:rsidP="00C01F53">
            <w:pPr>
              <w:jc w:val="center"/>
              <w:rPr>
                <w:rFonts w:ascii="Arial" w:hAnsi="Arial" w:cs="Arial"/>
                <w:b/>
                <w:bCs/>
                <w:sz w:val="20"/>
                <w:szCs w:val="20"/>
              </w:rPr>
            </w:pPr>
          </w:p>
        </w:tc>
      </w:tr>
      <w:tr w:rsidR="00C01F53" w14:paraId="4EC766BE" w14:textId="77777777" w:rsidTr="00AF7AFE">
        <w:trPr>
          <w:cantSplit/>
          <w:trHeight w:val="288"/>
        </w:trPr>
        <w:tc>
          <w:tcPr>
            <w:tcW w:w="2158" w:type="dxa"/>
            <w:vMerge/>
            <w:tcBorders>
              <w:bottom w:val="single" w:sz="4" w:space="0" w:color="auto"/>
            </w:tcBorders>
          </w:tcPr>
          <w:p w14:paraId="3E5CEEEA" w14:textId="77777777" w:rsidR="00C01F53" w:rsidRPr="00646DA1" w:rsidRDefault="00C01F53" w:rsidP="00C01F53">
            <w:pPr>
              <w:pStyle w:val="ListParagraph"/>
              <w:numPr>
                <w:ilvl w:val="0"/>
                <w:numId w:val="14"/>
              </w:numPr>
              <w:tabs>
                <w:tab w:val="left" w:pos="2985"/>
              </w:tabs>
              <w:ind w:left="342"/>
              <w:rPr>
                <w:rFonts w:cs="Arial"/>
              </w:rPr>
            </w:pPr>
          </w:p>
        </w:tc>
        <w:tc>
          <w:tcPr>
            <w:tcW w:w="1170" w:type="dxa"/>
            <w:tcBorders>
              <w:bottom w:val="single" w:sz="4" w:space="0" w:color="auto"/>
            </w:tcBorders>
            <w:shd w:val="clear" w:color="auto" w:fill="FFFFFF" w:themeFill="background1"/>
            <w:vAlign w:val="center"/>
          </w:tcPr>
          <w:p w14:paraId="0E464E0B" w14:textId="77777777" w:rsidR="00C01F53" w:rsidRPr="00854BE2" w:rsidRDefault="00C01F53" w:rsidP="00C01F53">
            <w:pPr>
              <w:jc w:val="center"/>
              <w:rPr>
                <w:rFonts w:ascii="Arial" w:hAnsi="Arial" w:cs="Arial"/>
                <w:i/>
                <w:sz w:val="20"/>
                <w:szCs w:val="20"/>
              </w:rPr>
            </w:pPr>
            <w:r w:rsidRPr="00854BE2">
              <w:rPr>
                <w:rFonts w:ascii="Arial" w:hAnsi="Arial" w:cs="Arial"/>
                <w:i/>
                <w:sz w:val="20"/>
                <w:szCs w:val="20"/>
              </w:rPr>
              <w:t>target</w:t>
            </w:r>
          </w:p>
        </w:tc>
        <w:tc>
          <w:tcPr>
            <w:tcW w:w="1349" w:type="dxa"/>
            <w:tcBorders>
              <w:bottom w:val="single" w:sz="4" w:space="0" w:color="auto"/>
            </w:tcBorders>
            <w:shd w:val="clear" w:color="auto" w:fill="FFFFFF" w:themeFill="background1"/>
            <w:vAlign w:val="center"/>
          </w:tcPr>
          <w:p w14:paraId="3A2CB6F7" w14:textId="3F8DE8B2" w:rsidR="00C01F53" w:rsidRPr="00854BE2" w:rsidRDefault="00C01F53" w:rsidP="00C01F53">
            <w:pPr>
              <w:jc w:val="center"/>
              <w:rPr>
                <w:rFonts w:ascii="Arial" w:hAnsi="Arial" w:cs="Arial"/>
                <w:i/>
                <w:sz w:val="20"/>
                <w:szCs w:val="20"/>
              </w:rPr>
            </w:pPr>
            <w:r>
              <w:rPr>
                <w:rFonts w:ascii="Arial" w:hAnsi="Arial" w:cs="Arial"/>
                <w:i/>
                <w:sz w:val="20"/>
                <w:szCs w:val="20"/>
              </w:rPr>
              <w:t>30</w:t>
            </w:r>
          </w:p>
        </w:tc>
        <w:tc>
          <w:tcPr>
            <w:tcW w:w="1349" w:type="dxa"/>
            <w:tcBorders>
              <w:bottom w:val="single" w:sz="4" w:space="0" w:color="auto"/>
            </w:tcBorders>
            <w:shd w:val="clear" w:color="auto" w:fill="FFFFFF" w:themeFill="background1"/>
            <w:vAlign w:val="center"/>
          </w:tcPr>
          <w:p w14:paraId="6073F9B2" w14:textId="4224C5F6" w:rsidR="00C01F53" w:rsidRPr="00854BE2" w:rsidRDefault="00C01F53" w:rsidP="00C01F53">
            <w:pPr>
              <w:jc w:val="center"/>
              <w:rPr>
                <w:rFonts w:ascii="Arial" w:hAnsi="Arial" w:cs="Arial"/>
                <w:i/>
                <w:sz w:val="20"/>
                <w:szCs w:val="20"/>
              </w:rPr>
            </w:pPr>
            <w:r>
              <w:rPr>
                <w:rFonts w:ascii="Arial" w:hAnsi="Arial" w:cs="Arial"/>
                <w:i/>
                <w:sz w:val="20"/>
                <w:szCs w:val="20"/>
              </w:rPr>
              <w:t>30</w:t>
            </w:r>
          </w:p>
        </w:tc>
        <w:tc>
          <w:tcPr>
            <w:tcW w:w="1439" w:type="dxa"/>
            <w:gridSpan w:val="2"/>
            <w:tcBorders>
              <w:bottom w:val="single" w:sz="4" w:space="0" w:color="auto"/>
            </w:tcBorders>
            <w:shd w:val="clear" w:color="auto" w:fill="auto"/>
            <w:vAlign w:val="center"/>
          </w:tcPr>
          <w:p w14:paraId="5C3F04F1" w14:textId="17CB4B48" w:rsidR="00C01F53" w:rsidRPr="00854BE2" w:rsidRDefault="00C01F53" w:rsidP="00C01F53">
            <w:pPr>
              <w:jc w:val="center"/>
              <w:rPr>
                <w:rFonts w:ascii="Arial" w:hAnsi="Arial" w:cs="Arial"/>
                <w:i/>
                <w:sz w:val="20"/>
                <w:szCs w:val="20"/>
              </w:rPr>
            </w:pPr>
            <w:r>
              <w:rPr>
                <w:rFonts w:ascii="Arial" w:hAnsi="Arial" w:cs="Arial"/>
                <w:i/>
                <w:sz w:val="20"/>
                <w:szCs w:val="20"/>
              </w:rPr>
              <w:t>35</w:t>
            </w:r>
          </w:p>
        </w:tc>
        <w:tc>
          <w:tcPr>
            <w:tcW w:w="1350" w:type="dxa"/>
            <w:tcBorders>
              <w:bottom w:val="single" w:sz="4" w:space="0" w:color="auto"/>
            </w:tcBorders>
            <w:shd w:val="clear" w:color="auto" w:fill="auto"/>
            <w:vAlign w:val="center"/>
          </w:tcPr>
          <w:p w14:paraId="78AD853D" w14:textId="6D13C59F" w:rsidR="00C01F53" w:rsidRPr="00854BE2" w:rsidRDefault="00C01F53" w:rsidP="00C01F53">
            <w:pPr>
              <w:jc w:val="center"/>
              <w:rPr>
                <w:rFonts w:ascii="Arial" w:hAnsi="Arial" w:cs="Arial"/>
                <w:i/>
                <w:sz w:val="20"/>
                <w:szCs w:val="20"/>
              </w:rPr>
            </w:pPr>
            <w:r>
              <w:rPr>
                <w:rFonts w:ascii="Arial" w:hAnsi="Arial" w:cs="Arial"/>
                <w:i/>
                <w:sz w:val="20"/>
                <w:szCs w:val="20"/>
              </w:rPr>
              <w:t>35</w:t>
            </w:r>
          </w:p>
        </w:tc>
        <w:tc>
          <w:tcPr>
            <w:tcW w:w="1265" w:type="dxa"/>
            <w:tcBorders>
              <w:bottom w:val="single" w:sz="4" w:space="0" w:color="auto"/>
            </w:tcBorders>
            <w:shd w:val="clear" w:color="auto" w:fill="auto"/>
            <w:vAlign w:val="center"/>
          </w:tcPr>
          <w:p w14:paraId="33DD6062" w14:textId="0757CA56" w:rsidR="00C01F53" w:rsidRPr="00854BE2" w:rsidRDefault="00C01F53" w:rsidP="00C01F53">
            <w:pPr>
              <w:jc w:val="center"/>
              <w:rPr>
                <w:rFonts w:ascii="Arial" w:hAnsi="Arial" w:cs="Arial"/>
                <w:i/>
                <w:sz w:val="20"/>
                <w:szCs w:val="20"/>
              </w:rPr>
            </w:pPr>
          </w:p>
        </w:tc>
      </w:tr>
    </w:tbl>
    <w:p w14:paraId="52BD6A61" w14:textId="77777777" w:rsidR="001E7055" w:rsidRDefault="001E7055" w:rsidP="001E7055"/>
    <w:p w14:paraId="47A6DF88" w14:textId="77777777" w:rsidR="001E7055" w:rsidRDefault="001E7055" w:rsidP="001E7055"/>
    <w:p w14:paraId="67DA4B81" w14:textId="77777777" w:rsidR="001E7055" w:rsidRDefault="001E7055" w:rsidP="001E7055"/>
    <w:p w14:paraId="6ABA7ECE" w14:textId="77777777" w:rsidR="00682663" w:rsidRDefault="00682663"/>
    <w:p w14:paraId="76F64B8E" w14:textId="77777777" w:rsidR="00682663" w:rsidRDefault="00682663"/>
    <w:p w14:paraId="40615443" w14:textId="05C7122A" w:rsidR="001E7055" w:rsidRDefault="001E7055"/>
    <w:p w14:paraId="11DBE91C" w14:textId="0E84696A" w:rsidR="001E7055" w:rsidRDefault="001E7055" w:rsidP="000A632F">
      <w:r>
        <w:br w:type="page"/>
      </w:r>
    </w:p>
    <w:p w14:paraId="68AAAA6D" w14:textId="77777777" w:rsidR="001E7055" w:rsidRDefault="001E7055" w:rsidP="001E7055">
      <w:pPr>
        <w:spacing w:line="276" w:lineRule="auto"/>
        <w:contextualSpacing/>
        <w:rPr>
          <w:rFonts w:ascii="Arial" w:hAnsi="Arial" w:cs="Arial"/>
          <w:b/>
          <w:i/>
          <w:color w:val="000080"/>
          <w:sz w:val="28"/>
          <w:szCs w:val="28"/>
        </w:rPr>
      </w:pPr>
      <w:r w:rsidRPr="004B2482">
        <w:rPr>
          <w:rFonts w:ascii="Arial" w:hAnsi="Arial" w:cs="Arial"/>
          <w:b/>
          <w:i/>
          <w:color w:val="000080"/>
          <w:sz w:val="28"/>
          <w:szCs w:val="28"/>
        </w:rPr>
        <w:lastRenderedPageBreak/>
        <w:t>Part II – Performance Measures</w:t>
      </w:r>
      <w:r>
        <w:rPr>
          <w:rFonts w:ascii="Arial" w:hAnsi="Arial" w:cs="Arial"/>
          <w:b/>
          <w:i/>
          <w:color w:val="000080"/>
          <w:sz w:val="28"/>
          <w:szCs w:val="28"/>
        </w:rPr>
        <w:t xml:space="preserve"> Continued…</w:t>
      </w:r>
    </w:p>
    <w:p w14:paraId="7658F375" w14:textId="77777777" w:rsidR="001E7055" w:rsidRPr="009E536F" w:rsidRDefault="001E7055" w:rsidP="001E7055">
      <w:pPr>
        <w:rPr>
          <w:rFonts w:ascii="Arial" w:hAnsi="Arial" w:cs="Arial"/>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158"/>
        <w:gridCol w:w="987"/>
        <w:gridCol w:w="1260"/>
        <w:gridCol w:w="1260"/>
        <w:gridCol w:w="1260"/>
        <w:gridCol w:w="450"/>
        <w:gridCol w:w="1260"/>
        <w:gridCol w:w="1445"/>
      </w:tblGrid>
      <w:tr w:rsidR="00C01F53" w14:paraId="5CCB0B7F" w14:textId="77777777" w:rsidTr="00467ECE">
        <w:trPr>
          <w:cantSplit/>
          <w:tblHeader/>
        </w:trPr>
        <w:tc>
          <w:tcPr>
            <w:tcW w:w="3145" w:type="dxa"/>
            <w:gridSpan w:val="2"/>
            <w:shd w:val="clear" w:color="auto" w:fill="000080"/>
            <w:vAlign w:val="bottom"/>
          </w:tcPr>
          <w:p w14:paraId="4D80C3DE" w14:textId="77777777" w:rsidR="00C01F53" w:rsidRDefault="00C01F53" w:rsidP="00C01F53">
            <w:pPr>
              <w:jc w:val="center"/>
              <w:rPr>
                <w:rFonts w:ascii="Arial" w:hAnsi="Arial" w:cs="Arial"/>
                <w:b/>
                <w:bCs/>
                <w:color w:val="FFFFFF"/>
                <w:sz w:val="20"/>
              </w:rPr>
            </w:pPr>
            <w:r>
              <w:rPr>
                <w:rFonts w:ascii="Arial" w:hAnsi="Arial" w:cs="Arial"/>
                <w:b/>
                <w:bCs/>
                <w:color w:val="FFFFFF"/>
                <w:sz w:val="20"/>
              </w:rPr>
              <w:t>Performance Measure</w:t>
            </w:r>
          </w:p>
        </w:tc>
        <w:tc>
          <w:tcPr>
            <w:tcW w:w="1260" w:type="dxa"/>
            <w:shd w:val="clear" w:color="auto" w:fill="000080"/>
            <w:vAlign w:val="center"/>
          </w:tcPr>
          <w:p w14:paraId="5FE6F8EF" w14:textId="4F126384" w:rsidR="00C01F53" w:rsidRDefault="00C01F53" w:rsidP="00C01F53">
            <w:pPr>
              <w:jc w:val="center"/>
              <w:rPr>
                <w:rFonts w:ascii="Arial" w:hAnsi="Arial" w:cs="Arial"/>
                <w:b/>
                <w:bCs/>
                <w:color w:val="FFFFFF"/>
                <w:sz w:val="20"/>
              </w:rPr>
            </w:pPr>
            <w:r>
              <w:rPr>
                <w:rFonts w:ascii="Arial" w:hAnsi="Arial" w:cs="Arial"/>
                <w:b/>
                <w:bCs/>
                <w:color w:val="FFFFFF"/>
                <w:sz w:val="20"/>
                <w:szCs w:val="20"/>
              </w:rPr>
              <w:t>FY 2022</w:t>
            </w:r>
          </w:p>
        </w:tc>
        <w:tc>
          <w:tcPr>
            <w:tcW w:w="1260" w:type="dxa"/>
            <w:shd w:val="clear" w:color="auto" w:fill="000080"/>
            <w:vAlign w:val="center"/>
          </w:tcPr>
          <w:p w14:paraId="3AE8C822" w14:textId="56245661" w:rsidR="00C01F53" w:rsidRDefault="00C01F53" w:rsidP="00C01F53">
            <w:pPr>
              <w:jc w:val="center"/>
              <w:rPr>
                <w:rFonts w:ascii="Arial" w:hAnsi="Arial" w:cs="Arial"/>
                <w:b/>
                <w:bCs/>
                <w:color w:val="FFFFFF"/>
                <w:sz w:val="20"/>
              </w:rPr>
            </w:pPr>
            <w:r>
              <w:rPr>
                <w:rFonts w:ascii="Arial" w:hAnsi="Arial" w:cs="Arial"/>
                <w:b/>
                <w:bCs/>
                <w:color w:val="FFFFFF"/>
                <w:sz w:val="20"/>
                <w:szCs w:val="20"/>
              </w:rPr>
              <w:t>FY 2023</w:t>
            </w:r>
          </w:p>
        </w:tc>
        <w:tc>
          <w:tcPr>
            <w:tcW w:w="1710" w:type="dxa"/>
            <w:gridSpan w:val="2"/>
            <w:shd w:val="clear" w:color="auto" w:fill="000080"/>
            <w:vAlign w:val="center"/>
          </w:tcPr>
          <w:p w14:paraId="0F529BFE" w14:textId="25EB003B" w:rsidR="00C01F53" w:rsidRDefault="00C01F53" w:rsidP="00C01F53">
            <w:pPr>
              <w:jc w:val="center"/>
              <w:rPr>
                <w:rFonts w:ascii="Arial" w:hAnsi="Arial" w:cs="Arial"/>
                <w:b/>
                <w:bCs/>
                <w:color w:val="FFFFFF"/>
                <w:sz w:val="20"/>
              </w:rPr>
            </w:pPr>
            <w:r>
              <w:rPr>
                <w:rFonts w:ascii="Arial" w:hAnsi="Arial" w:cs="Arial"/>
                <w:b/>
                <w:bCs/>
                <w:color w:val="FFFFFF"/>
                <w:sz w:val="20"/>
                <w:szCs w:val="20"/>
              </w:rPr>
              <w:t>FY 2024</w:t>
            </w:r>
          </w:p>
        </w:tc>
        <w:tc>
          <w:tcPr>
            <w:tcW w:w="1260" w:type="dxa"/>
            <w:shd w:val="clear" w:color="auto" w:fill="000080"/>
            <w:vAlign w:val="center"/>
          </w:tcPr>
          <w:p w14:paraId="6F37185E" w14:textId="6C77367B" w:rsidR="00C01F53" w:rsidRDefault="00C01F53" w:rsidP="00C01F53">
            <w:pPr>
              <w:jc w:val="center"/>
              <w:rPr>
                <w:rFonts w:ascii="Arial" w:hAnsi="Arial" w:cs="Arial"/>
                <w:b/>
                <w:bCs/>
                <w:color w:val="FFFFFF"/>
                <w:sz w:val="20"/>
              </w:rPr>
            </w:pPr>
            <w:r>
              <w:rPr>
                <w:rFonts w:ascii="Arial" w:hAnsi="Arial" w:cs="Arial"/>
                <w:b/>
                <w:bCs/>
                <w:color w:val="FFFFFF"/>
                <w:sz w:val="20"/>
                <w:szCs w:val="20"/>
              </w:rPr>
              <w:t>FY 2025</w:t>
            </w:r>
          </w:p>
        </w:tc>
        <w:tc>
          <w:tcPr>
            <w:tcW w:w="1445" w:type="dxa"/>
            <w:shd w:val="clear" w:color="auto" w:fill="000080"/>
            <w:vAlign w:val="bottom"/>
          </w:tcPr>
          <w:p w14:paraId="2FAEB7B9" w14:textId="1A83D8BA" w:rsidR="00C01F53" w:rsidRDefault="00C01F53" w:rsidP="00C01F53">
            <w:pPr>
              <w:jc w:val="center"/>
              <w:rPr>
                <w:rFonts w:ascii="Arial" w:hAnsi="Arial" w:cs="Arial"/>
                <w:b/>
                <w:bCs/>
                <w:color w:val="FFFFFF"/>
                <w:sz w:val="20"/>
              </w:rPr>
            </w:pPr>
            <w:r>
              <w:rPr>
                <w:rFonts w:ascii="Arial" w:hAnsi="Arial" w:cs="Arial"/>
                <w:b/>
                <w:bCs/>
                <w:color w:val="FFFFFF"/>
                <w:sz w:val="20"/>
              </w:rPr>
              <w:t>FY 2026</w:t>
            </w:r>
          </w:p>
        </w:tc>
      </w:tr>
      <w:tr w:rsidR="00C01F53" w14:paraId="1AE7DFD2" w14:textId="77777777" w:rsidTr="00AF7AFE">
        <w:trPr>
          <w:cantSplit/>
          <w:trHeight w:val="917"/>
        </w:trPr>
        <w:tc>
          <w:tcPr>
            <w:tcW w:w="10080" w:type="dxa"/>
            <w:gridSpan w:val="8"/>
            <w:shd w:val="clear" w:color="auto" w:fill="DBE5F1" w:themeFill="accent1" w:themeFillTint="33"/>
            <w:vAlign w:val="center"/>
          </w:tcPr>
          <w:p w14:paraId="510D9EE6" w14:textId="77777777" w:rsidR="00C01F53" w:rsidRDefault="00C01F53" w:rsidP="00C01F53">
            <w:pPr>
              <w:spacing w:before="120"/>
              <w:jc w:val="center"/>
              <w:rPr>
                <w:rFonts w:ascii="Arial" w:hAnsi="Arial" w:cs="Arial"/>
                <w:b/>
                <w:sz w:val="20"/>
              </w:rPr>
            </w:pPr>
            <w:r w:rsidRPr="009E536F">
              <w:rPr>
                <w:rFonts w:ascii="Arial" w:hAnsi="Arial" w:cs="Arial"/>
                <w:b/>
                <w:sz w:val="20"/>
              </w:rPr>
              <w:t xml:space="preserve">Goal </w:t>
            </w:r>
            <w:r>
              <w:rPr>
                <w:rFonts w:ascii="Arial" w:hAnsi="Arial" w:cs="Arial"/>
                <w:b/>
                <w:sz w:val="20"/>
              </w:rPr>
              <w:t>3 – Prevention and Promotion</w:t>
            </w:r>
          </w:p>
          <w:p w14:paraId="1295CFE6" w14:textId="77777777" w:rsidR="00C01F53" w:rsidRPr="009E536F" w:rsidRDefault="00C01F53" w:rsidP="00C01F53">
            <w:pPr>
              <w:spacing w:before="120"/>
              <w:jc w:val="center"/>
              <w:rPr>
                <w:rFonts w:ascii="Arial" w:hAnsi="Arial" w:cs="Arial"/>
                <w:b/>
                <w:sz w:val="20"/>
              </w:rPr>
            </w:pPr>
          </w:p>
          <w:p w14:paraId="7CDF3B03" w14:textId="18556514" w:rsidR="00C01F53" w:rsidRPr="00CE5341" w:rsidRDefault="00C01F53" w:rsidP="00C01F53">
            <w:pPr>
              <w:spacing w:after="120"/>
              <w:jc w:val="center"/>
              <w:rPr>
                <w:rFonts w:ascii="Arial" w:hAnsi="Arial" w:cs="Arial"/>
                <w:sz w:val="20"/>
              </w:rPr>
            </w:pPr>
            <w:r w:rsidRPr="00AE77BB">
              <w:rPr>
                <w:rFonts w:ascii="Arial" w:hAnsi="Arial" w:cs="Arial"/>
                <w:sz w:val="20"/>
              </w:rPr>
              <w:t>Facilitate the implementation of effective programs, policies and strategies that prevent drug and substance abuse, and other behavioral health problems.</w:t>
            </w:r>
          </w:p>
        </w:tc>
      </w:tr>
      <w:tr w:rsidR="00C01F53" w14:paraId="56388F75" w14:textId="77777777" w:rsidTr="00212E5F">
        <w:trPr>
          <w:cantSplit/>
          <w:trHeight w:val="288"/>
        </w:trPr>
        <w:tc>
          <w:tcPr>
            <w:tcW w:w="2158" w:type="dxa"/>
            <w:vMerge w:val="restart"/>
          </w:tcPr>
          <w:p w14:paraId="0BC7543D" w14:textId="77777777" w:rsidR="00C01F53" w:rsidRDefault="00C01F53" w:rsidP="00C01F53">
            <w:pPr>
              <w:pStyle w:val="ListParagraph"/>
              <w:tabs>
                <w:tab w:val="left" w:pos="2985"/>
              </w:tabs>
              <w:ind w:left="342"/>
              <w:rPr>
                <w:rFonts w:cs="Arial"/>
                <w:szCs w:val="20"/>
              </w:rPr>
            </w:pPr>
          </w:p>
          <w:p w14:paraId="78F765F9" w14:textId="164CFA92" w:rsidR="00C01F53" w:rsidRPr="00DC7BF5" w:rsidRDefault="00C01F53" w:rsidP="00C01F53">
            <w:pPr>
              <w:rPr>
                <w:rFonts w:ascii="Arial" w:hAnsi="Arial" w:cs="Arial"/>
                <w:sz w:val="20"/>
                <w:szCs w:val="20"/>
              </w:rPr>
            </w:pPr>
            <w:r w:rsidRPr="00DC7BF5">
              <w:rPr>
                <w:rFonts w:ascii="Arial" w:hAnsi="Arial" w:cs="Arial"/>
                <w:sz w:val="20"/>
                <w:szCs w:val="20"/>
              </w:rPr>
              <w:t xml:space="preserve">5. </w:t>
            </w:r>
            <w:r>
              <w:rPr>
                <w:rFonts w:ascii="Arial" w:hAnsi="Arial" w:cs="Arial"/>
                <w:sz w:val="20"/>
                <w:szCs w:val="20"/>
              </w:rPr>
              <w:t>Increase the t</w:t>
            </w:r>
            <w:r w:rsidRPr="00DC7BF5">
              <w:rPr>
                <w:rFonts w:ascii="Arial" w:hAnsi="Arial" w:cs="Arial"/>
                <w:sz w:val="20"/>
                <w:szCs w:val="20"/>
              </w:rPr>
              <w:t xml:space="preserve">otal number of evidence-based/informed drug and substance abuse prevention </w:t>
            </w:r>
            <w:r w:rsidRPr="00DC7BF5">
              <w:rPr>
                <w:rFonts w:ascii="Arial" w:hAnsi="Arial" w:cs="Arial"/>
                <w:sz w:val="20"/>
                <w:szCs w:val="20"/>
                <w:u w:val="single"/>
              </w:rPr>
              <w:t xml:space="preserve">programs </w:t>
            </w:r>
            <w:r w:rsidRPr="00DC7BF5">
              <w:rPr>
                <w:rFonts w:ascii="Arial" w:hAnsi="Arial" w:cs="Arial"/>
                <w:sz w:val="20"/>
                <w:szCs w:val="20"/>
              </w:rPr>
              <w:t>/strategies delivered</w:t>
            </w:r>
            <w:r>
              <w:rPr>
                <w:rFonts w:ascii="Arial" w:hAnsi="Arial" w:cs="Arial"/>
                <w:sz w:val="20"/>
                <w:szCs w:val="20"/>
              </w:rPr>
              <w:t xml:space="preserve"> by 10% each year</w:t>
            </w:r>
          </w:p>
          <w:p w14:paraId="3932BFBF" w14:textId="77777777" w:rsidR="00C01F53" w:rsidRPr="000A632F" w:rsidRDefault="00C01F53" w:rsidP="00C01F53">
            <w:pPr>
              <w:pStyle w:val="ListParagraph"/>
              <w:tabs>
                <w:tab w:val="left" w:pos="2985"/>
              </w:tabs>
              <w:ind w:left="342"/>
              <w:rPr>
                <w:rFonts w:cs="Arial"/>
                <w:szCs w:val="20"/>
              </w:rPr>
            </w:pPr>
          </w:p>
        </w:tc>
        <w:tc>
          <w:tcPr>
            <w:tcW w:w="987" w:type="dxa"/>
            <w:shd w:val="clear" w:color="auto" w:fill="D9D9D9" w:themeFill="background1" w:themeFillShade="D9"/>
            <w:vAlign w:val="center"/>
          </w:tcPr>
          <w:p w14:paraId="6AF2D33B" w14:textId="6A28AAD5" w:rsidR="00C01F53" w:rsidRPr="00854BE2" w:rsidRDefault="00C01F53" w:rsidP="00C01F53">
            <w:pPr>
              <w:jc w:val="center"/>
              <w:rPr>
                <w:rFonts w:ascii="Arial" w:hAnsi="Arial" w:cs="Arial"/>
                <w:i/>
                <w:sz w:val="20"/>
                <w:szCs w:val="20"/>
              </w:rPr>
            </w:pPr>
            <w:r w:rsidRPr="00E51672">
              <w:rPr>
                <w:rFonts w:ascii="Arial" w:hAnsi="Arial" w:cs="Arial"/>
                <w:sz w:val="20"/>
              </w:rPr>
              <w:t>actual</w:t>
            </w:r>
          </w:p>
        </w:tc>
        <w:tc>
          <w:tcPr>
            <w:tcW w:w="1260" w:type="dxa"/>
            <w:shd w:val="clear" w:color="auto" w:fill="D9D9D9" w:themeFill="background1" w:themeFillShade="D9"/>
            <w:vAlign w:val="center"/>
          </w:tcPr>
          <w:p w14:paraId="009E7E44" w14:textId="4577C6D3" w:rsidR="00C01F53" w:rsidRPr="00854BE2" w:rsidRDefault="00C01F53" w:rsidP="00C01F53">
            <w:pPr>
              <w:jc w:val="center"/>
              <w:rPr>
                <w:rFonts w:ascii="Arial" w:hAnsi="Arial" w:cs="Arial"/>
                <w:i/>
                <w:sz w:val="20"/>
                <w:szCs w:val="20"/>
              </w:rPr>
            </w:pPr>
            <w:r w:rsidRPr="00BA7ABE">
              <w:rPr>
                <w:rFonts w:ascii="Arial" w:hAnsi="Arial" w:cs="Arial"/>
                <w:b/>
                <w:bCs/>
                <w:i/>
                <w:sz w:val="20"/>
                <w:szCs w:val="20"/>
              </w:rPr>
              <w:t>85</w:t>
            </w:r>
          </w:p>
        </w:tc>
        <w:tc>
          <w:tcPr>
            <w:tcW w:w="1260" w:type="dxa"/>
            <w:shd w:val="clear" w:color="auto" w:fill="D9D9D9" w:themeFill="background1" w:themeFillShade="D9"/>
            <w:vAlign w:val="center"/>
          </w:tcPr>
          <w:p w14:paraId="5B5EA5AF" w14:textId="1F1366B8" w:rsidR="00C01F53" w:rsidRPr="00BA7ABE" w:rsidRDefault="00C01F53" w:rsidP="00C01F53">
            <w:pPr>
              <w:jc w:val="center"/>
              <w:rPr>
                <w:rFonts w:ascii="Arial" w:hAnsi="Arial" w:cs="Arial"/>
                <w:b/>
                <w:bCs/>
                <w:i/>
                <w:sz w:val="20"/>
                <w:szCs w:val="20"/>
              </w:rPr>
            </w:pPr>
            <w:r w:rsidRPr="00BA7ABE">
              <w:rPr>
                <w:rFonts w:ascii="Arial" w:hAnsi="Arial" w:cs="Arial"/>
                <w:b/>
                <w:bCs/>
                <w:i/>
                <w:sz w:val="20"/>
                <w:szCs w:val="20"/>
              </w:rPr>
              <w:t>101</w:t>
            </w:r>
          </w:p>
        </w:tc>
        <w:tc>
          <w:tcPr>
            <w:tcW w:w="1260" w:type="dxa"/>
            <w:shd w:val="clear" w:color="auto" w:fill="D9D9D9" w:themeFill="background1" w:themeFillShade="D9"/>
            <w:vAlign w:val="center"/>
          </w:tcPr>
          <w:p w14:paraId="59070024" w14:textId="4658610F" w:rsidR="00C01F53" w:rsidRPr="00BA7ABE" w:rsidRDefault="00C01F53" w:rsidP="00C01F53">
            <w:pPr>
              <w:jc w:val="center"/>
              <w:rPr>
                <w:rFonts w:ascii="Arial" w:hAnsi="Arial" w:cs="Arial"/>
                <w:b/>
                <w:bCs/>
                <w:i/>
                <w:sz w:val="20"/>
                <w:szCs w:val="20"/>
              </w:rPr>
            </w:pPr>
            <w:r w:rsidRPr="00BA7ABE">
              <w:rPr>
                <w:rFonts w:ascii="Arial" w:hAnsi="Arial" w:cs="Arial"/>
                <w:b/>
                <w:bCs/>
                <w:i/>
                <w:sz w:val="20"/>
                <w:szCs w:val="20"/>
              </w:rPr>
              <w:t>85</w:t>
            </w:r>
          </w:p>
        </w:tc>
        <w:tc>
          <w:tcPr>
            <w:tcW w:w="1710" w:type="dxa"/>
            <w:gridSpan w:val="2"/>
            <w:shd w:val="clear" w:color="auto" w:fill="D9D9D9" w:themeFill="background1" w:themeFillShade="D9"/>
            <w:vAlign w:val="center"/>
          </w:tcPr>
          <w:p w14:paraId="7C9D5B03" w14:textId="4790497A" w:rsidR="00C01F53" w:rsidRPr="00BA7ABE" w:rsidRDefault="00C01F53" w:rsidP="00C01F53">
            <w:pPr>
              <w:jc w:val="center"/>
              <w:rPr>
                <w:rFonts w:ascii="Arial" w:hAnsi="Arial" w:cs="Arial"/>
                <w:b/>
                <w:bCs/>
                <w:i/>
                <w:sz w:val="20"/>
                <w:szCs w:val="20"/>
              </w:rPr>
            </w:pPr>
            <w:r>
              <w:rPr>
                <w:rFonts w:ascii="Arial" w:hAnsi="Arial" w:cs="Arial"/>
                <w:i/>
                <w:sz w:val="20"/>
                <w:szCs w:val="20"/>
              </w:rPr>
              <w:t>-</w:t>
            </w:r>
          </w:p>
        </w:tc>
        <w:tc>
          <w:tcPr>
            <w:tcW w:w="1445" w:type="dxa"/>
            <w:shd w:val="clear" w:color="auto" w:fill="D9D9D9" w:themeFill="background1" w:themeFillShade="D9"/>
            <w:vAlign w:val="center"/>
          </w:tcPr>
          <w:p w14:paraId="3BB97E8C" w14:textId="79C7E400" w:rsidR="00C01F53" w:rsidRDefault="00C01F53" w:rsidP="00C01F53">
            <w:pPr>
              <w:jc w:val="center"/>
              <w:rPr>
                <w:rFonts w:ascii="Arial" w:hAnsi="Arial" w:cs="Arial"/>
                <w:i/>
                <w:sz w:val="20"/>
                <w:szCs w:val="20"/>
              </w:rPr>
            </w:pPr>
          </w:p>
        </w:tc>
      </w:tr>
      <w:tr w:rsidR="00C01F53" w14:paraId="119ACB52" w14:textId="77777777" w:rsidTr="00212E5F">
        <w:trPr>
          <w:cantSplit/>
          <w:trHeight w:val="288"/>
        </w:trPr>
        <w:tc>
          <w:tcPr>
            <w:tcW w:w="2158" w:type="dxa"/>
            <w:vMerge/>
          </w:tcPr>
          <w:p w14:paraId="0CA7DA47" w14:textId="77777777" w:rsidR="00C01F53" w:rsidRPr="000A632F" w:rsidRDefault="00C01F53" w:rsidP="00C01F53">
            <w:pPr>
              <w:pStyle w:val="ListParagraph"/>
              <w:numPr>
                <w:ilvl w:val="0"/>
                <w:numId w:val="14"/>
              </w:numPr>
              <w:tabs>
                <w:tab w:val="left" w:pos="2985"/>
              </w:tabs>
              <w:ind w:left="342"/>
              <w:rPr>
                <w:rFonts w:cs="Arial"/>
                <w:szCs w:val="20"/>
              </w:rPr>
            </w:pPr>
          </w:p>
        </w:tc>
        <w:tc>
          <w:tcPr>
            <w:tcW w:w="987" w:type="dxa"/>
            <w:shd w:val="clear" w:color="auto" w:fill="FFFFFF" w:themeFill="background1"/>
            <w:vAlign w:val="center"/>
          </w:tcPr>
          <w:p w14:paraId="1E6D86E0" w14:textId="31E67F6D" w:rsidR="00C01F53" w:rsidRPr="00854BE2" w:rsidRDefault="00C01F53" w:rsidP="00C01F53">
            <w:pPr>
              <w:jc w:val="center"/>
              <w:rPr>
                <w:rFonts w:ascii="Arial" w:hAnsi="Arial" w:cs="Arial"/>
                <w:i/>
                <w:sz w:val="20"/>
                <w:szCs w:val="20"/>
              </w:rPr>
            </w:pPr>
            <w:r w:rsidRPr="00854BE2">
              <w:rPr>
                <w:rFonts w:ascii="Arial" w:hAnsi="Arial" w:cs="Arial"/>
                <w:i/>
                <w:sz w:val="20"/>
                <w:szCs w:val="20"/>
              </w:rPr>
              <w:t>target</w:t>
            </w:r>
          </w:p>
        </w:tc>
        <w:tc>
          <w:tcPr>
            <w:tcW w:w="1260" w:type="dxa"/>
            <w:shd w:val="clear" w:color="auto" w:fill="FFFFFF" w:themeFill="background1"/>
            <w:vAlign w:val="center"/>
          </w:tcPr>
          <w:p w14:paraId="400A33AC" w14:textId="77777777" w:rsidR="00C01F53" w:rsidRDefault="00C01F53" w:rsidP="00C01F53">
            <w:pPr>
              <w:jc w:val="center"/>
              <w:rPr>
                <w:rFonts w:ascii="Arial" w:hAnsi="Arial" w:cs="Arial"/>
                <w:i/>
                <w:sz w:val="20"/>
                <w:szCs w:val="20"/>
              </w:rPr>
            </w:pPr>
            <w:r>
              <w:rPr>
                <w:rFonts w:ascii="Arial" w:hAnsi="Arial" w:cs="Arial"/>
                <w:i/>
                <w:sz w:val="20"/>
                <w:szCs w:val="20"/>
              </w:rPr>
              <w:t xml:space="preserve">62 </w:t>
            </w:r>
          </w:p>
          <w:p w14:paraId="6ADBF1E0" w14:textId="055F9CAC" w:rsidR="00C01F53" w:rsidRPr="00854BE2" w:rsidRDefault="00C01F53" w:rsidP="00C01F53">
            <w:pPr>
              <w:jc w:val="center"/>
              <w:rPr>
                <w:rFonts w:ascii="Arial" w:hAnsi="Arial" w:cs="Arial"/>
                <w:i/>
                <w:sz w:val="20"/>
                <w:szCs w:val="20"/>
              </w:rPr>
            </w:pPr>
          </w:p>
        </w:tc>
        <w:tc>
          <w:tcPr>
            <w:tcW w:w="1260" w:type="dxa"/>
            <w:shd w:val="clear" w:color="auto" w:fill="FFFFFF" w:themeFill="background1"/>
            <w:vAlign w:val="center"/>
          </w:tcPr>
          <w:p w14:paraId="626D285F" w14:textId="77777777" w:rsidR="00C01F53" w:rsidRDefault="00C01F53" w:rsidP="00C01F53">
            <w:pPr>
              <w:jc w:val="center"/>
              <w:rPr>
                <w:rFonts w:ascii="Arial" w:hAnsi="Arial" w:cs="Arial"/>
                <w:i/>
                <w:sz w:val="20"/>
                <w:szCs w:val="20"/>
              </w:rPr>
            </w:pPr>
            <w:r>
              <w:rPr>
                <w:rFonts w:ascii="Arial" w:hAnsi="Arial" w:cs="Arial"/>
                <w:i/>
                <w:sz w:val="20"/>
                <w:szCs w:val="20"/>
              </w:rPr>
              <w:t xml:space="preserve">69 </w:t>
            </w:r>
          </w:p>
          <w:p w14:paraId="12DB088D" w14:textId="68D6E168" w:rsidR="00C01F53" w:rsidRPr="00854BE2" w:rsidRDefault="00C01F53" w:rsidP="00C01F53">
            <w:pPr>
              <w:jc w:val="center"/>
              <w:rPr>
                <w:rFonts w:ascii="Arial" w:hAnsi="Arial" w:cs="Arial"/>
                <w:i/>
                <w:sz w:val="20"/>
                <w:szCs w:val="20"/>
              </w:rPr>
            </w:pPr>
          </w:p>
        </w:tc>
        <w:tc>
          <w:tcPr>
            <w:tcW w:w="1260" w:type="dxa"/>
            <w:shd w:val="clear" w:color="auto" w:fill="auto"/>
            <w:vAlign w:val="center"/>
          </w:tcPr>
          <w:p w14:paraId="10B2AB04" w14:textId="77777777" w:rsidR="00C01F53" w:rsidRDefault="00C01F53" w:rsidP="00C01F53">
            <w:pPr>
              <w:jc w:val="center"/>
              <w:rPr>
                <w:rFonts w:ascii="Arial" w:hAnsi="Arial" w:cs="Arial"/>
                <w:i/>
                <w:sz w:val="20"/>
                <w:szCs w:val="20"/>
              </w:rPr>
            </w:pPr>
            <w:r>
              <w:rPr>
                <w:rFonts w:ascii="Arial" w:hAnsi="Arial" w:cs="Arial"/>
                <w:i/>
                <w:sz w:val="20"/>
                <w:szCs w:val="20"/>
              </w:rPr>
              <w:t>76</w:t>
            </w:r>
          </w:p>
          <w:p w14:paraId="77E3CB88" w14:textId="2FA8A334" w:rsidR="00C01F53" w:rsidRPr="00854BE2" w:rsidRDefault="00C01F53" w:rsidP="00C01F53">
            <w:pPr>
              <w:jc w:val="center"/>
              <w:rPr>
                <w:rFonts w:ascii="Arial" w:hAnsi="Arial" w:cs="Arial"/>
                <w:i/>
                <w:sz w:val="20"/>
                <w:szCs w:val="20"/>
              </w:rPr>
            </w:pPr>
          </w:p>
        </w:tc>
        <w:tc>
          <w:tcPr>
            <w:tcW w:w="1710" w:type="dxa"/>
            <w:gridSpan w:val="2"/>
            <w:shd w:val="clear" w:color="auto" w:fill="auto"/>
            <w:vAlign w:val="center"/>
          </w:tcPr>
          <w:p w14:paraId="31577E83" w14:textId="77777777" w:rsidR="00C01F53" w:rsidRDefault="00C01F53" w:rsidP="00C01F53">
            <w:pPr>
              <w:jc w:val="center"/>
              <w:rPr>
                <w:rFonts w:ascii="Arial" w:hAnsi="Arial" w:cs="Arial"/>
                <w:i/>
                <w:sz w:val="20"/>
                <w:szCs w:val="20"/>
              </w:rPr>
            </w:pPr>
            <w:r>
              <w:rPr>
                <w:rFonts w:ascii="Arial" w:hAnsi="Arial" w:cs="Arial"/>
                <w:i/>
                <w:sz w:val="20"/>
                <w:szCs w:val="20"/>
              </w:rPr>
              <w:t>83</w:t>
            </w:r>
          </w:p>
          <w:p w14:paraId="79041717" w14:textId="7389C852" w:rsidR="00C01F53" w:rsidRDefault="00C01F53" w:rsidP="00C01F53">
            <w:pPr>
              <w:jc w:val="center"/>
              <w:rPr>
                <w:rFonts w:ascii="Arial" w:hAnsi="Arial" w:cs="Arial"/>
                <w:i/>
                <w:sz w:val="20"/>
                <w:szCs w:val="20"/>
              </w:rPr>
            </w:pPr>
          </w:p>
        </w:tc>
        <w:tc>
          <w:tcPr>
            <w:tcW w:w="1445" w:type="dxa"/>
            <w:shd w:val="clear" w:color="auto" w:fill="auto"/>
            <w:vAlign w:val="center"/>
          </w:tcPr>
          <w:p w14:paraId="2CF6C2C5" w14:textId="07D6E81B" w:rsidR="00C01F53" w:rsidRDefault="00C01F53" w:rsidP="00C01F53">
            <w:pPr>
              <w:jc w:val="center"/>
              <w:rPr>
                <w:rFonts w:ascii="Arial" w:hAnsi="Arial" w:cs="Arial"/>
                <w:i/>
                <w:sz w:val="20"/>
                <w:szCs w:val="20"/>
              </w:rPr>
            </w:pPr>
          </w:p>
        </w:tc>
      </w:tr>
      <w:tr w:rsidR="00C01F53" w14:paraId="6EDE5BEE" w14:textId="77777777" w:rsidTr="00212E5F">
        <w:trPr>
          <w:cantSplit/>
          <w:trHeight w:val="288"/>
        </w:trPr>
        <w:tc>
          <w:tcPr>
            <w:tcW w:w="2158" w:type="dxa"/>
            <w:vMerge w:val="restart"/>
          </w:tcPr>
          <w:p w14:paraId="575380AE" w14:textId="77777777" w:rsidR="00C01F53" w:rsidRDefault="00C01F53" w:rsidP="00C01F53">
            <w:pPr>
              <w:rPr>
                <w:rFonts w:ascii="Arial" w:hAnsi="Arial" w:cs="Arial"/>
                <w:sz w:val="20"/>
                <w:szCs w:val="20"/>
                <w:highlight w:val="yellow"/>
              </w:rPr>
            </w:pPr>
          </w:p>
          <w:p w14:paraId="05FEE7F0" w14:textId="424B6A0D" w:rsidR="00C01F53" w:rsidRDefault="00C01F53" w:rsidP="00C01F53">
            <w:pPr>
              <w:rPr>
                <w:rFonts w:ascii="Arial" w:hAnsi="Arial" w:cs="Arial"/>
                <w:sz w:val="20"/>
                <w:szCs w:val="20"/>
              </w:rPr>
            </w:pPr>
            <w:r w:rsidRPr="00DC7BF5">
              <w:rPr>
                <w:rFonts w:ascii="Arial" w:hAnsi="Arial" w:cs="Arial"/>
                <w:sz w:val="20"/>
                <w:szCs w:val="20"/>
              </w:rPr>
              <w:t xml:space="preserve">6. </w:t>
            </w:r>
            <w:r>
              <w:rPr>
                <w:rFonts w:ascii="Arial" w:hAnsi="Arial" w:cs="Arial"/>
                <w:sz w:val="20"/>
                <w:szCs w:val="20"/>
              </w:rPr>
              <w:t>Increase the t</w:t>
            </w:r>
            <w:r w:rsidRPr="00DC7BF5">
              <w:rPr>
                <w:rFonts w:ascii="Arial" w:hAnsi="Arial" w:cs="Arial"/>
                <w:sz w:val="20"/>
                <w:szCs w:val="20"/>
              </w:rPr>
              <w:t xml:space="preserve">otal number of </w:t>
            </w:r>
            <w:r w:rsidRPr="00DC7BF5">
              <w:rPr>
                <w:rFonts w:ascii="Arial" w:hAnsi="Arial" w:cs="Arial"/>
                <w:sz w:val="20"/>
                <w:szCs w:val="20"/>
                <w:u w:val="single"/>
              </w:rPr>
              <w:t>individuals</w:t>
            </w:r>
            <w:r w:rsidRPr="00DC7BF5">
              <w:rPr>
                <w:rFonts w:ascii="Arial" w:hAnsi="Arial" w:cs="Arial"/>
                <w:sz w:val="20"/>
                <w:szCs w:val="20"/>
              </w:rPr>
              <w:t xml:space="preserve"> served by evidence-based/informed drug and substance abuse prevention </w:t>
            </w:r>
            <w:r w:rsidRPr="00DC7BF5">
              <w:rPr>
                <w:rFonts w:ascii="Arial" w:hAnsi="Arial" w:cs="Arial"/>
                <w:sz w:val="20"/>
                <w:szCs w:val="20"/>
                <w:u w:val="single"/>
              </w:rPr>
              <w:t xml:space="preserve">programs </w:t>
            </w:r>
            <w:r w:rsidRPr="00DC7BF5">
              <w:rPr>
                <w:rFonts w:ascii="Arial" w:hAnsi="Arial" w:cs="Arial"/>
                <w:sz w:val="20"/>
                <w:szCs w:val="20"/>
              </w:rPr>
              <w:t>/strategies delivered</w:t>
            </w:r>
            <w:r>
              <w:rPr>
                <w:rFonts w:ascii="Arial" w:hAnsi="Arial" w:cs="Arial"/>
                <w:sz w:val="20"/>
                <w:szCs w:val="20"/>
              </w:rPr>
              <w:t xml:space="preserve"> by 5% each year</w:t>
            </w:r>
          </w:p>
          <w:p w14:paraId="40FABEE7" w14:textId="397C7E49" w:rsidR="00C01F53" w:rsidRPr="000A632F" w:rsidRDefault="00C01F53" w:rsidP="00C01F53">
            <w:pPr>
              <w:rPr>
                <w:rFonts w:ascii="Arial" w:hAnsi="Arial" w:cs="Arial"/>
                <w:bCs/>
                <w:sz w:val="20"/>
                <w:szCs w:val="20"/>
              </w:rPr>
            </w:pPr>
          </w:p>
        </w:tc>
        <w:tc>
          <w:tcPr>
            <w:tcW w:w="987" w:type="dxa"/>
            <w:shd w:val="clear" w:color="auto" w:fill="D9D9D9" w:themeFill="background1" w:themeFillShade="D9"/>
            <w:vAlign w:val="center"/>
          </w:tcPr>
          <w:p w14:paraId="6E7A7FC7" w14:textId="77777777" w:rsidR="00C01F53" w:rsidRPr="00854BE2" w:rsidRDefault="00C01F53" w:rsidP="00C01F53">
            <w:pPr>
              <w:jc w:val="center"/>
              <w:rPr>
                <w:rFonts w:ascii="Arial" w:hAnsi="Arial" w:cs="Arial"/>
                <w:sz w:val="20"/>
                <w:szCs w:val="20"/>
              </w:rPr>
            </w:pPr>
            <w:r w:rsidRPr="00854BE2">
              <w:rPr>
                <w:rFonts w:ascii="Arial" w:hAnsi="Arial" w:cs="Arial"/>
                <w:sz w:val="20"/>
                <w:szCs w:val="20"/>
              </w:rPr>
              <w:t>actual</w:t>
            </w:r>
          </w:p>
        </w:tc>
        <w:tc>
          <w:tcPr>
            <w:tcW w:w="1260" w:type="dxa"/>
            <w:shd w:val="clear" w:color="auto" w:fill="D9D9D9" w:themeFill="background1" w:themeFillShade="D9"/>
            <w:vAlign w:val="center"/>
          </w:tcPr>
          <w:p w14:paraId="6C84E9A7" w14:textId="4B23C85A" w:rsidR="00C01F53" w:rsidRPr="00854BE2" w:rsidRDefault="00C01F53" w:rsidP="00C01F53">
            <w:pPr>
              <w:jc w:val="center"/>
              <w:rPr>
                <w:rFonts w:ascii="Arial" w:hAnsi="Arial" w:cs="Arial"/>
                <w:sz w:val="20"/>
                <w:szCs w:val="20"/>
              </w:rPr>
            </w:pPr>
          </w:p>
        </w:tc>
        <w:tc>
          <w:tcPr>
            <w:tcW w:w="1260" w:type="dxa"/>
            <w:shd w:val="clear" w:color="auto" w:fill="D9D9D9" w:themeFill="background1" w:themeFillShade="D9"/>
            <w:vAlign w:val="center"/>
          </w:tcPr>
          <w:p w14:paraId="4204AF51" w14:textId="36CA11B8" w:rsidR="00C01F53" w:rsidRPr="00854BE2" w:rsidRDefault="00C01F53" w:rsidP="00C01F53">
            <w:pPr>
              <w:jc w:val="center"/>
              <w:rPr>
                <w:rFonts w:ascii="Arial" w:hAnsi="Arial" w:cs="Arial"/>
                <w:sz w:val="20"/>
                <w:szCs w:val="20"/>
              </w:rPr>
            </w:pPr>
          </w:p>
        </w:tc>
        <w:tc>
          <w:tcPr>
            <w:tcW w:w="1260" w:type="dxa"/>
            <w:shd w:val="clear" w:color="auto" w:fill="D9D9D9" w:themeFill="background1" w:themeFillShade="D9"/>
            <w:vAlign w:val="center"/>
          </w:tcPr>
          <w:p w14:paraId="48C695CF" w14:textId="049D3B10" w:rsidR="00C01F53" w:rsidRPr="00E74347" w:rsidRDefault="00C01F53" w:rsidP="00C01F53">
            <w:pPr>
              <w:jc w:val="center"/>
              <w:rPr>
                <w:rFonts w:ascii="Arial" w:hAnsi="Arial" w:cs="Arial"/>
                <w:sz w:val="20"/>
                <w:szCs w:val="20"/>
              </w:rPr>
            </w:pPr>
            <w:r w:rsidRPr="001845F4">
              <w:rPr>
                <w:rFonts w:ascii="Arial" w:hAnsi="Arial" w:cs="Arial"/>
                <w:b/>
                <w:bCs/>
                <w:sz w:val="20"/>
                <w:szCs w:val="20"/>
              </w:rPr>
              <w:t>57,768</w:t>
            </w:r>
          </w:p>
        </w:tc>
        <w:tc>
          <w:tcPr>
            <w:tcW w:w="1710" w:type="dxa"/>
            <w:gridSpan w:val="2"/>
            <w:shd w:val="clear" w:color="auto" w:fill="D9D9D9" w:themeFill="background1" w:themeFillShade="D9"/>
            <w:vAlign w:val="center"/>
          </w:tcPr>
          <w:p w14:paraId="056E08CF" w14:textId="1EEF95A1" w:rsidR="00C01F53" w:rsidRPr="001845F4" w:rsidRDefault="00C01F53" w:rsidP="00C01F53">
            <w:pPr>
              <w:jc w:val="center"/>
              <w:rPr>
                <w:rFonts w:ascii="Arial" w:hAnsi="Arial" w:cs="Arial"/>
                <w:b/>
                <w:bCs/>
                <w:sz w:val="20"/>
                <w:szCs w:val="20"/>
              </w:rPr>
            </w:pPr>
            <w:r>
              <w:rPr>
                <w:rFonts w:ascii="Arial" w:hAnsi="Arial" w:cs="Arial"/>
                <w:sz w:val="20"/>
                <w:szCs w:val="20"/>
              </w:rPr>
              <w:t>-</w:t>
            </w:r>
          </w:p>
        </w:tc>
        <w:tc>
          <w:tcPr>
            <w:tcW w:w="1445" w:type="dxa"/>
            <w:shd w:val="clear" w:color="auto" w:fill="D9D9D9" w:themeFill="background1" w:themeFillShade="D9"/>
            <w:vAlign w:val="center"/>
          </w:tcPr>
          <w:p w14:paraId="6954A22C" w14:textId="6CD3626E" w:rsidR="00C01F53" w:rsidRPr="00E74347" w:rsidRDefault="00C01F53" w:rsidP="00C01F53">
            <w:pPr>
              <w:jc w:val="center"/>
              <w:rPr>
                <w:rFonts w:ascii="Arial" w:hAnsi="Arial" w:cs="Arial"/>
                <w:sz w:val="20"/>
                <w:szCs w:val="20"/>
              </w:rPr>
            </w:pPr>
          </w:p>
        </w:tc>
      </w:tr>
      <w:tr w:rsidR="00C01F53" w14:paraId="12473AD0" w14:textId="77777777" w:rsidTr="00212E5F">
        <w:trPr>
          <w:cantSplit/>
          <w:trHeight w:val="288"/>
        </w:trPr>
        <w:tc>
          <w:tcPr>
            <w:tcW w:w="2158" w:type="dxa"/>
            <w:vMerge/>
          </w:tcPr>
          <w:p w14:paraId="6379B384" w14:textId="77777777" w:rsidR="00C01F53" w:rsidRPr="000A632F" w:rsidRDefault="00C01F53" w:rsidP="00C01F53">
            <w:pPr>
              <w:pStyle w:val="ListParagraph"/>
              <w:numPr>
                <w:ilvl w:val="0"/>
                <w:numId w:val="14"/>
              </w:numPr>
              <w:tabs>
                <w:tab w:val="left" w:pos="2985"/>
              </w:tabs>
              <w:ind w:left="342"/>
              <w:rPr>
                <w:rFonts w:cs="Arial"/>
                <w:szCs w:val="20"/>
              </w:rPr>
            </w:pPr>
          </w:p>
        </w:tc>
        <w:tc>
          <w:tcPr>
            <w:tcW w:w="987" w:type="dxa"/>
            <w:shd w:val="clear" w:color="auto" w:fill="FFFFFF" w:themeFill="background1"/>
            <w:vAlign w:val="center"/>
          </w:tcPr>
          <w:p w14:paraId="4EE8CB1C" w14:textId="77777777" w:rsidR="00C01F53" w:rsidRPr="00854BE2" w:rsidRDefault="00C01F53" w:rsidP="00C01F53">
            <w:pPr>
              <w:jc w:val="center"/>
              <w:rPr>
                <w:rFonts w:ascii="Arial" w:hAnsi="Arial" w:cs="Arial"/>
                <w:i/>
                <w:sz w:val="20"/>
                <w:szCs w:val="20"/>
              </w:rPr>
            </w:pPr>
            <w:r w:rsidRPr="00854BE2">
              <w:rPr>
                <w:rFonts w:ascii="Arial" w:hAnsi="Arial" w:cs="Arial"/>
                <w:i/>
                <w:sz w:val="20"/>
                <w:szCs w:val="20"/>
              </w:rPr>
              <w:t>target</w:t>
            </w:r>
          </w:p>
        </w:tc>
        <w:tc>
          <w:tcPr>
            <w:tcW w:w="1260" w:type="dxa"/>
            <w:shd w:val="clear" w:color="auto" w:fill="FFFFFF" w:themeFill="background1"/>
            <w:vAlign w:val="center"/>
          </w:tcPr>
          <w:p w14:paraId="53C4CA30" w14:textId="45B0D183" w:rsidR="00C01F53" w:rsidRPr="00854BE2" w:rsidRDefault="00C01F53" w:rsidP="00C01F53">
            <w:pPr>
              <w:jc w:val="center"/>
              <w:rPr>
                <w:rFonts w:ascii="Arial" w:hAnsi="Arial" w:cs="Arial"/>
                <w:i/>
                <w:sz w:val="20"/>
                <w:szCs w:val="20"/>
              </w:rPr>
            </w:pPr>
            <w:r w:rsidRPr="00854BE2">
              <w:rPr>
                <w:rFonts w:ascii="Arial" w:hAnsi="Arial" w:cs="Arial"/>
                <w:i/>
                <w:sz w:val="20"/>
                <w:szCs w:val="20"/>
              </w:rPr>
              <w:t>New Measure for FY20</w:t>
            </w:r>
            <w:r>
              <w:rPr>
                <w:rFonts w:ascii="Arial" w:hAnsi="Arial" w:cs="Arial"/>
                <w:i/>
                <w:sz w:val="20"/>
                <w:szCs w:val="20"/>
              </w:rPr>
              <w:t>24</w:t>
            </w:r>
          </w:p>
        </w:tc>
        <w:tc>
          <w:tcPr>
            <w:tcW w:w="1260" w:type="dxa"/>
            <w:shd w:val="clear" w:color="auto" w:fill="FFFFFF" w:themeFill="background1"/>
            <w:vAlign w:val="center"/>
          </w:tcPr>
          <w:p w14:paraId="3F8D652F" w14:textId="2B627924" w:rsidR="00C01F53" w:rsidRPr="00854BE2" w:rsidRDefault="00C01F53" w:rsidP="00C01F53">
            <w:pPr>
              <w:jc w:val="center"/>
              <w:rPr>
                <w:rFonts w:ascii="Arial" w:hAnsi="Arial" w:cs="Arial"/>
                <w:i/>
                <w:sz w:val="20"/>
                <w:szCs w:val="20"/>
              </w:rPr>
            </w:pPr>
            <w:r w:rsidRPr="00854BE2">
              <w:rPr>
                <w:rFonts w:ascii="Arial" w:hAnsi="Arial" w:cs="Arial"/>
                <w:i/>
                <w:sz w:val="20"/>
                <w:szCs w:val="20"/>
              </w:rPr>
              <w:t>New Measure for FY202</w:t>
            </w:r>
            <w:r>
              <w:rPr>
                <w:rFonts w:ascii="Arial" w:hAnsi="Arial" w:cs="Arial"/>
                <w:i/>
                <w:sz w:val="20"/>
                <w:szCs w:val="20"/>
              </w:rPr>
              <w:t>4</w:t>
            </w:r>
          </w:p>
        </w:tc>
        <w:tc>
          <w:tcPr>
            <w:tcW w:w="1260" w:type="dxa"/>
            <w:shd w:val="clear" w:color="auto" w:fill="auto"/>
            <w:vAlign w:val="center"/>
          </w:tcPr>
          <w:p w14:paraId="7BCE18CA" w14:textId="77777777" w:rsidR="00C01F53" w:rsidRDefault="00C01F53" w:rsidP="00C01F53">
            <w:pPr>
              <w:jc w:val="center"/>
              <w:rPr>
                <w:rFonts w:ascii="Arial" w:hAnsi="Arial" w:cs="Arial"/>
                <w:i/>
                <w:sz w:val="20"/>
                <w:szCs w:val="20"/>
              </w:rPr>
            </w:pPr>
            <w:r>
              <w:rPr>
                <w:rFonts w:ascii="Arial" w:hAnsi="Arial" w:cs="Arial"/>
                <w:i/>
                <w:sz w:val="20"/>
                <w:szCs w:val="20"/>
              </w:rPr>
              <w:t>40,000</w:t>
            </w:r>
          </w:p>
          <w:p w14:paraId="2C99FEDC" w14:textId="77777777" w:rsidR="00C01F53" w:rsidRDefault="00C01F53" w:rsidP="00C01F53">
            <w:pPr>
              <w:jc w:val="center"/>
              <w:rPr>
                <w:rFonts w:ascii="Arial" w:hAnsi="Arial" w:cs="Arial"/>
                <w:i/>
                <w:sz w:val="20"/>
                <w:szCs w:val="20"/>
              </w:rPr>
            </w:pPr>
            <w:r>
              <w:rPr>
                <w:rFonts w:ascii="Arial" w:hAnsi="Arial" w:cs="Arial"/>
                <w:i/>
                <w:sz w:val="20"/>
                <w:szCs w:val="20"/>
              </w:rPr>
              <w:t>Direct Service Programs</w:t>
            </w:r>
          </w:p>
          <w:p w14:paraId="2AD312F8" w14:textId="77777777" w:rsidR="00C01F53" w:rsidRDefault="00C01F53" w:rsidP="00C01F53">
            <w:pPr>
              <w:jc w:val="center"/>
              <w:rPr>
                <w:rFonts w:ascii="Arial" w:hAnsi="Arial" w:cs="Arial"/>
                <w:i/>
                <w:sz w:val="20"/>
                <w:szCs w:val="20"/>
              </w:rPr>
            </w:pPr>
            <w:r>
              <w:rPr>
                <w:rFonts w:ascii="Arial" w:hAnsi="Arial" w:cs="Arial"/>
                <w:i/>
                <w:sz w:val="20"/>
                <w:szCs w:val="20"/>
              </w:rPr>
              <w:t>PFS 28,152</w:t>
            </w:r>
          </w:p>
          <w:p w14:paraId="2E6F9C6F" w14:textId="7E8B6DC9" w:rsidR="00C01F53" w:rsidRPr="00854BE2" w:rsidRDefault="00C01F53" w:rsidP="00C01F53">
            <w:pPr>
              <w:jc w:val="center"/>
              <w:rPr>
                <w:rFonts w:ascii="Arial" w:hAnsi="Arial" w:cs="Arial"/>
                <w:i/>
                <w:sz w:val="20"/>
                <w:szCs w:val="20"/>
              </w:rPr>
            </w:pPr>
            <w:r>
              <w:rPr>
                <w:rFonts w:ascii="Arial" w:hAnsi="Arial" w:cs="Arial"/>
                <w:i/>
                <w:sz w:val="20"/>
                <w:szCs w:val="20"/>
              </w:rPr>
              <w:t xml:space="preserve">SUPTRS 29,616 </w:t>
            </w:r>
          </w:p>
        </w:tc>
        <w:tc>
          <w:tcPr>
            <w:tcW w:w="1710" w:type="dxa"/>
            <w:gridSpan w:val="2"/>
            <w:shd w:val="clear" w:color="auto" w:fill="auto"/>
            <w:vAlign w:val="center"/>
          </w:tcPr>
          <w:p w14:paraId="0AD1186F" w14:textId="45FFB2FA" w:rsidR="00C01F53" w:rsidRPr="00854BE2" w:rsidRDefault="00C01F53" w:rsidP="00C01F53">
            <w:pPr>
              <w:jc w:val="center"/>
              <w:rPr>
                <w:rFonts w:ascii="Arial" w:hAnsi="Arial" w:cs="Arial"/>
                <w:i/>
                <w:sz w:val="20"/>
                <w:szCs w:val="20"/>
              </w:rPr>
            </w:pPr>
            <w:r>
              <w:rPr>
                <w:rFonts w:ascii="Arial" w:hAnsi="Arial" w:cs="Arial"/>
                <w:i/>
                <w:sz w:val="20"/>
                <w:szCs w:val="20"/>
              </w:rPr>
              <w:t>42,000</w:t>
            </w:r>
          </w:p>
        </w:tc>
        <w:tc>
          <w:tcPr>
            <w:tcW w:w="1445" w:type="dxa"/>
            <w:shd w:val="clear" w:color="auto" w:fill="auto"/>
            <w:vAlign w:val="center"/>
          </w:tcPr>
          <w:p w14:paraId="12A30017" w14:textId="736C479F" w:rsidR="00C01F53" w:rsidRPr="00854BE2" w:rsidRDefault="00C01F53" w:rsidP="00C01F53">
            <w:pPr>
              <w:jc w:val="center"/>
              <w:rPr>
                <w:rFonts w:ascii="Arial" w:hAnsi="Arial" w:cs="Arial"/>
                <w:i/>
                <w:sz w:val="20"/>
                <w:szCs w:val="20"/>
              </w:rPr>
            </w:pPr>
          </w:p>
        </w:tc>
      </w:tr>
      <w:tr w:rsidR="00C01F53" w14:paraId="0215EAF8" w14:textId="77777777" w:rsidTr="00212E5F">
        <w:trPr>
          <w:cantSplit/>
          <w:trHeight w:val="288"/>
        </w:trPr>
        <w:tc>
          <w:tcPr>
            <w:tcW w:w="2158" w:type="dxa"/>
            <w:vMerge w:val="restart"/>
          </w:tcPr>
          <w:p w14:paraId="566E6BF6" w14:textId="77777777" w:rsidR="00C01F53" w:rsidRPr="00A44C40" w:rsidRDefault="00C01F53" w:rsidP="00C01F53">
            <w:pPr>
              <w:tabs>
                <w:tab w:val="left" w:pos="2985"/>
              </w:tabs>
              <w:rPr>
                <w:rFonts w:ascii="Arial" w:hAnsi="Arial" w:cs="Arial"/>
                <w:b/>
                <w:bCs/>
                <w:sz w:val="20"/>
                <w:szCs w:val="20"/>
              </w:rPr>
            </w:pPr>
            <w:r>
              <w:rPr>
                <w:rFonts w:ascii="Arial" w:hAnsi="Arial" w:cs="Arial"/>
                <w:b/>
                <w:bCs/>
                <w:sz w:val="20"/>
                <w:szCs w:val="20"/>
              </w:rPr>
              <w:t>NEW</w:t>
            </w:r>
          </w:p>
          <w:p w14:paraId="736DF00C" w14:textId="77777777" w:rsidR="00C01F53" w:rsidRDefault="00C01F53" w:rsidP="00C01F53">
            <w:pPr>
              <w:rPr>
                <w:rFonts w:ascii="Arial" w:hAnsi="Arial" w:cs="Arial"/>
                <w:sz w:val="20"/>
                <w:szCs w:val="20"/>
                <w:highlight w:val="yellow"/>
              </w:rPr>
            </w:pPr>
          </w:p>
          <w:p w14:paraId="09053608" w14:textId="3604F996" w:rsidR="00C01F53" w:rsidRDefault="00C01F53" w:rsidP="00C01F53">
            <w:pPr>
              <w:rPr>
                <w:rFonts w:ascii="Arial" w:hAnsi="Arial" w:cs="Arial"/>
                <w:sz w:val="20"/>
                <w:szCs w:val="20"/>
              </w:rPr>
            </w:pPr>
            <w:r w:rsidRPr="00DC7BF5">
              <w:rPr>
                <w:rFonts w:ascii="Arial" w:hAnsi="Arial" w:cs="Arial"/>
                <w:sz w:val="20"/>
                <w:szCs w:val="20"/>
              </w:rPr>
              <w:t>7.</w:t>
            </w:r>
            <w:r>
              <w:rPr>
                <w:rFonts w:ascii="Arial" w:hAnsi="Arial" w:cs="Arial"/>
                <w:sz w:val="20"/>
                <w:szCs w:val="20"/>
              </w:rPr>
              <w:t>Increase the t</w:t>
            </w:r>
            <w:r w:rsidRPr="00DC7BF5">
              <w:rPr>
                <w:rFonts w:ascii="Arial" w:hAnsi="Arial" w:cs="Arial"/>
                <w:sz w:val="20"/>
                <w:szCs w:val="20"/>
              </w:rPr>
              <w:t xml:space="preserve">otal number of </w:t>
            </w:r>
            <w:r w:rsidRPr="00DC7BF5">
              <w:rPr>
                <w:rFonts w:ascii="Arial" w:hAnsi="Arial" w:cs="Arial"/>
                <w:sz w:val="20"/>
                <w:szCs w:val="20"/>
                <w:u w:val="single"/>
              </w:rPr>
              <w:t>new</w:t>
            </w:r>
            <w:r w:rsidRPr="00DC7BF5">
              <w:rPr>
                <w:rFonts w:ascii="Arial" w:hAnsi="Arial" w:cs="Arial"/>
                <w:sz w:val="20"/>
                <w:szCs w:val="20"/>
              </w:rPr>
              <w:t xml:space="preserve"> grant recipients (not previously awarded grant funding) in identified underserved communities</w:t>
            </w:r>
            <w:r>
              <w:rPr>
                <w:rFonts w:ascii="Arial" w:hAnsi="Arial" w:cs="Arial"/>
                <w:sz w:val="20"/>
                <w:szCs w:val="20"/>
              </w:rPr>
              <w:t xml:space="preserve"> by at least five(5) each year</w:t>
            </w:r>
          </w:p>
          <w:p w14:paraId="2B49B9E6" w14:textId="5B9EFC69" w:rsidR="00C01F53" w:rsidRPr="000A632F" w:rsidRDefault="00C01F53" w:rsidP="00C01F53">
            <w:pPr>
              <w:rPr>
                <w:rFonts w:ascii="Arial" w:hAnsi="Arial" w:cs="Arial"/>
                <w:sz w:val="20"/>
                <w:szCs w:val="20"/>
              </w:rPr>
            </w:pPr>
          </w:p>
        </w:tc>
        <w:tc>
          <w:tcPr>
            <w:tcW w:w="987" w:type="dxa"/>
            <w:shd w:val="clear" w:color="auto" w:fill="D9D9D9" w:themeFill="background1" w:themeFillShade="D9"/>
            <w:vAlign w:val="center"/>
          </w:tcPr>
          <w:p w14:paraId="466D7828" w14:textId="3A323538" w:rsidR="00C01F53" w:rsidRPr="00854BE2" w:rsidRDefault="00C01F53" w:rsidP="00C01F53">
            <w:pPr>
              <w:jc w:val="center"/>
              <w:rPr>
                <w:rFonts w:ascii="Arial" w:hAnsi="Arial" w:cs="Arial"/>
                <w:i/>
                <w:sz w:val="20"/>
                <w:szCs w:val="20"/>
              </w:rPr>
            </w:pPr>
            <w:r w:rsidRPr="00854BE2">
              <w:rPr>
                <w:rFonts w:ascii="Arial" w:hAnsi="Arial" w:cs="Arial"/>
                <w:sz w:val="20"/>
                <w:szCs w:val="20"/>
              </w:rPr>
              <w:t>actual</w:t>
            </w:r>
          </w:p>
        </w:tc>
        <w:tc>
          <w:tcPr>
            <w:tcW w:w="1260" w:type="dxa"/>
            <w:shd w:val="clear" w:color="auto" w:fill="D9D9D9" w:themeFill="background1" w:themeFillShade="D9"/>
            <w:vAlign w:val="center"/>
          </w:tcPr>
          <w:p w14:paraId="70A77AEF" w14:textId="7EE73226" w:rsidR="00C01F53" w:rsidRDefault="00C01F53" w:rsidP="00C01F53">
            <w:pPr>
              <w:jc w:val="center"/>
              <w:rPr>
                <w:rFonts w:ascii="Arial" w:hAnsi="Arial" w:cs="Arial"/>
                <w:i/>
                <w:sz w:val="20"/>
                <w:szCs w:val="20"/>
              </w:rPr>
            </w:pPr>
            <w:r>
              <w:rPr>
                <w:rFonts w:ascii="Arial" w:hAnsi="Arial" w:cs="Arial"/>
                <w:i/>
                <w:sz w:val="20"/>
                <w:szCs w:val="20"/>
              </w:rPr>
              <w:t>-</w:t>
            </w:r>
          </w:p>
        </w:tc>
        <w:tc>
          <w:tcPr>
            <w:tcW w:w="1260" w:type="dxa"/>
            <w:shd w:val="clear" w:color="auto" w:fill="D9D9D9" w:themeFill="background1" w:themeFillShade="D9"/>
            <w:vAlign w:val="center"/>
          </w:tcPr>
          <w:p w14:paraId="64240BF2" w14:textId="067BD86A" w:rsidR="00C01F53" w:rsidRDefault="00C01F53" w:rsidP="00C01F53">
            <w:pPr>
              <w:jc w:val="center"/>
              <w:rPr>
                <w:rFonts w:ascii="Arial" w:hAnsi="Arial" w:cs="Arial"/>
                <w:i/>
                <w:sz w:val="20"/>
                <w:szCs w:val="20"/>
              </w:rPr>
            </w:pPr>
            <w:r>
              <w:rPr>
                <w:rFonts w:ascii="Arial" w:hAnsi="Arial" w:cs="Arial"/>
                <w:i/>
                <w:sz w:val="20"/>
                <w:szCs w:val="20"/>
              </w:rPr>
              <w:t>-</w:t>
            </w:r>
          </w:p>
        </w:tc>
        <w:tc>
          <w:tcPr>
            <w:tcW w:w="1260" w:type="dxa"/>
            <w:shd w:val="clear" w:color="auto" w:fill="D9D9D9" w:themeFill="background1" w:themeFillShade="D9"/>
            <w:vAlign w:val="center"/>
          </w:tcPr>
          <w:p w14:paraId="55EB3D1F" w14:textId="582A10AE" w:rsidR="00C01F53" w:rsidRDefault="00C01F53" w:rsidP="00C01F53">
            <w:pPr>
              <w:jc w:val="center"/>
              <w:rPr>
                <w:rFonts w:ascii="Arial" w:hAnsi="Arial" w:cs="Arial"/>
                <w:i/>
                <w:sz w:val="20"/>
                <w:szCs w:val="20"/>
              </w:rPr>
            </w:pPr>
            <w:r w:rsidRPr="00BA7ABE">
              <w:rPr>
                <w:rFonts w:ascii="Arial" w:hAnsi="Arial" w:cs="Arial"/>
                <w:b/>
                <w:bCs/>
                <w:i/>
                <w:sz w:val="20"/>
                <w:szCs w:val="20"/>
              </w:rPr>
              <w:t>14</w:t>
            </w:r>
          </w:p>
        </w:tc>
        <w:tc>
          <w:tcPr>
            <w:tcW w:w="1710" w:type="dxa"/>
            <w:gridSpan w:val="2"/>
            <w:shd w:val="clear" w:color="auto" w:fill="D9D9D9" w:themeFill="background1" w:themeFillShade="D9"/>
            <w:vAlign w:val="center"/>
          </w:tcPr>
          <w:p w14:paraId="3C94B1EB" w14:textId="60CEC990" w:rsidR="00C01F53" w:rsidRPr="00BA7ABE" w:rsidRDefault="00C01F53" w:rsidP="00C01F53">
            <w:pPr>
              <w:jc w:val="center"/>
              <w:rPr>
                <w:rFonts w:ascii="Arial" w:hAnsi="Arial" w:cs="Arial"/>
                <w:b/>
                <w:bCs/>
                <w:i/>
                <w:sz w:val="20"/>
                <w:szCs w:val="20"/>
              </w:rPr>
            </w:pPr>
            <w:r>
              <w:rPr>
                <w:rFonts w:ascii="Arial" w:hAnsi="Arial" w:cs="Arial"/>
                <w:i/>
                <w:sz w:val="20"/>
                <w:szCs w:val="20"/>
              </w:rPr>
              <w:t>-</w:t>
            </w:r>
          </w:p>
        </w:tc>
        <w:tc>
          <w:tcPr>
            <w:tcW w:w="1445" w:type="dxa"/>
            <w:shd w:val="clear" w:color="auto" w:fill="D9D9D9" w:themeFill="background1" w:themeFillShade="D9"/>
            <w:vAlign w:val="center"/>
          </w:tcPr>
          <w:p w14:paraId="2F7A4E2D" w14:textId="72B67AA1" w:rsidR="00C01F53" w:rsidRDefault="00C01F53" w:rsidP="00C01F53">
            <w:pPr>
              <w:jc w:val="center"/>
              <w:rPr>
                <w:rFonts w:ascii="Arial" w:hAnsi="Arial" w:cs="Arial"/>
                <w:i/>
                <w:sz w:val="20"/>
                <w:szCs w:val="20"/>
              </w:rPr>
            </w:pPr>
          </w:p>
        </w:tc>
      </w:tr>
      <w:tr w:rsidR="00C01F53" w14:paraId="75128783" w14:textId="77777777" w:rsidTr="00212E5F">
        <w:trPr>
          <w:cantSplit/>
          <w:trHeight w:val="288"/>
        </w:trPr>
        <w:tc>
          <w:tcPr>
            <w:tcW w:w="2158" w:type="dxa"/>
            <w:vMerge/>
          </w:tcPr>
          <w:p w14:paraId="1DE3DEAC" w14:textId="77777777" w:rsidR="00C01F53" w:rsidRPr="000A632F" w:rsidRDefault="00C01F53" w:rsidP="00C01F53">
            <w:pPr>
              <w:pStyle w:val="ListParagraph"/>
              <w:numPr>
                <w:ilvl w:val="0"/>
                <w:numId w:val="14"/>
              </w:numPr>
              <w:tabs>
                <w:tab w:val="left" w:pos="2985"/>
              </w:tabs>
              <w:ind w:left="342"/>
              <w:rPr>
                <w:rFonts w:cs="Arial"/>
                <w:b/>
                <w:bCs/>
              </w:rPr>
            </w:pPr>
          </w:p>
        </w:tc>
        <w:tc>
          <w:tcPr>
            <w:tcW w:w="987" w:type="dxa"/>
            <w:shd w:val="clear" w:color="auto" w:fill="FFFFFF" w:themeFill="background1"/>
            <w:vAlign w:val="center"/>
          </w:tcPr>
          <w:p w14:paraId="49E23744" w14:textId="00AA29C7" w:rsidR="00C01F53" w:rsidRPr="000A632F" w:rsidRDefault="00C01F53" w:rsidP="00C01F53">
            <w:pPr>
              <w:jc w:val="center"/>
              <w:rPr>
                <w:rFonts w:ascii="Arial" w:hAnsi="Arial" w:cs="Arial"/>
                <w:b/>
                <w:bCs/>
                <w:i/>
                <w:sz w:val="20"/>
                <w:szCs w:val="20"/>
              </w:rPr>
            </w:pPr>
            <w:r w:rsidRPr="00854BE2">
              <w:rPr>
                <w:rFonts w:ascii="Arial" w:hAnsi="Arial" w:cs="Arial"/>
                <w:i/>
                <w:sz w:val="20"/>
                <w:szCs w:val="20"/>
              </w:rPr>
              <w:t>target</w:t>
            </w:r>
          </w:p>
        </w:tc>
        <w:tc>
          <w:tcPr>
            <w:tcW w:w="1260" w:type="dxa"/>
            <w:shd w:val="clear" w:color="auto" w:fill="FFFFFF" w:themeFill="background1"/>
            <w:vAlign w:val="center"/>
          </w:tcPr>
          <w:p w14:paraId="066F00D3" w14:textId="375BA8D3" w:rsidR="00C01F53" w:rsidRPr="000A632F" w:rsidRDefault="00C01F53" w:rsidP="00C01F53">
            <w:pPr>
              <w:jc w:val="center"/>
              <w:rPr>
                <w:rFonts w:ascii="Arial" w:hAnsi="Arial" w:cs="Arial"/>
                <w:b/>
                <w:bCs/>
                <w:i/>
                <w:sz w:val="20"/>
                <w:szCs w:val="20"/>
              </w:rPr>
            </w:pPr>
            <w:r w:rsidRPr="00854BE2">
              <w:rPr>
                <w:rFonts w:ascii="Arial" w:hAnsi="Arial" w:cs="Arial"/>
                <w:i/>
                <w:sz w:val="20"/>
                <w:szCs w:val="20"/>
              </w:rPr>
              <w:t>New Measure for FY20</w:t>
            </w:r>
            <w:r>
              <w:rPr>
                <w:rFonts w:ascii="Arial" w:hAnsi="Arial" w:cs="Arial"/>
                <w:i/>
                <w:sz w:val="20"/>
                <w:szCs w:val="20"/>
              </w:rPr>
              <w:t>24</w:t>
            </w:r>
          </w:p>
        </w:tc>
        <w:tc>
          <w:tcPr>
            <w:tcW w:w="1260" w:type="dxa"/>
            <w:shd w:val="clear" w:color="auto" w:fill="FFFFFF" w:themeFill="background1"/>
            <w:vAlign w:val="center"/>
          </w:tcPr>
          <w:p w14:paraId="6B7F5F50" w14:textId="526866B7" w:rsidR="00C01F53" w:rsidRDefault="00C01F53" w:rsidP="00C01F53">
            <w:pPr>
              <w:jc w:val="center"/>
              <w:rPr>
                <w:rFonts w:ascii="Arial" w:hAnsi="Arial" w:cs="Arial"/>
                <w:i/>
                <w:sz w:val="20"/>
                <w:szCs w:val="20"/>
              </w:rPr>
            </w:pPr>
            <w:r w:rsidRPr="00854BE2">
              <w:rPr>
                <w:rFonts w:ascii="Arial" w:hAnsi="Arial" w:cs="Arial"/>
                <w:i/>
                <w:sz w:val="20"/>
                <w:szCs w:val="20"/>
              </w:rPr>
              <w:t>New Measure for FY202</w:t>
            </w:r>
            <w:r>
              <w:rPr>
                <w:rFonts w:ascii="Arial" w:hAnsi="Arial" w:cs="Arial"/>
                <w:i/>
                <w:sz w:val="20"/>
                <w:szCs w:val="20"/>
              </w:rPr>
              <w:t>4</w:t>
            </w:r>
          </w:p>
        </w:tc>
        <w:tc>
          <w:tcPr>
            <w:tcW w:w="1260" w:type="dxa"/>
            <w:shd w:val="clear" w:color="auto" w:fill="auto"/>
            <w:vAlign w:val="center"/>
          </w:tcPr>
          <w:p w14:paraId="107876E7" w14:textId="0A395FF0" w:rsidR="00C01F53" w:rsidRDefault="00C01F53" w:rsidP="00C01F53">
            <w:pPr>
              <w:jc w:val="center"/>
              <w:rPr>
                <w:rFonts w:ascii="Arial" w:hAnsi="Arial" w:cs="Arial"/>
                <w:i/>
                <w:sz w:val="20"/>
                <w:szCs w:val="20"/>
              </w:rPr>
            </w:pPr>
            <w:r>
              <w:rPr>
                <w:rFonts w:ascii="Arial" w:hAnsi="Arial" w:cs="Arial"/>
                <w:i/>
                <w:sz w:val="20"/>
                <w:szCs w:val="20"/>
              </w:rPr>
              <w:t>5</w:t>
            </w:r>
          </w:p>
        </w:tc>
        <w:tc>
          <w:tcPr>
            <w:tcW w:w="1710" w:type="dxa"/>
            <w:gridSpan w:val="2"/>
            <w:shd w:val="clear" w:color="auto" w:fill="auto"/>
            <w:vAlign w:val="center"/>
          </w:tcPr>
          <w:p w14:paraId="787632B0" w14:textId="56222B6A" w:rsidR="00C01F53" w:rsidRDefault="00C01F53" w:rsidP="00C01F53">
            <w:pPr>
              <w:jc w:val="center"/>
              <w:rPr>
                <w:rFonts w:ascii="Arial" w:hAnsi="Arial" w:cs="Arial"/>
                <w:i/>
                <w:sz w:val="20"/>
                <w:szCs w:val="20"/>
              </w:rPr>
            </w:pPr>
            <w:r>
              <w:rPr>
                <w:rFonts w:ascii="Arial" w:hAnsi="Arial" w:cs="Arial"/>
                <w:i/>
                <w:sz w:val="20"/>
                <w:szCs w:val="20"/>
              </w:rPr>
              <w:t>10</w:t>
            </w:r>
          </w:p>
        </w:tc>
        <w:tc>
          <w:tcPr>
            <w:tcW w:w="1445" w:type="dxa"/>
            <w:shd w:val="clear" w:color="auto" w:fill="auto"/>
            <w:vAlign w:val="center"/>
          </w:tcPr>
          <w:p w14:paraId="698381AC" w14:textId="2FAD6B7E" w:rsidR="00C01F53" w:rsidRDefault="00C01F53" w:rsidP="00C01F53">
            <w:pPr>
              <w:jc w:val="center"/>
              <w:rPr>
                <w:rFonts w:ascii="Arial" w:hAnsi="Arial" w:cs="Arial"/>
                <w:i/>
                <w:sz w:val="20"/>
                <w:szCs w:val="20"/>
              </w:rPr>
            </w:pPr>
          </w:p>
        </w:tc>
      </w:tr>
    </w:tbl>
    <w:p w14:paraId="51A809D7" w14:textId="77777777" w:rsidR="001E7055" w:rsidRDefault="001E7055" w:rsidP="001E7055"/>
    <w:p w14:paraId="368E5380" w14:textId="77777777" w:rsidR="001E7055" w:rsidRDefault="001E7055" w:rsidP="001E7055"/>
    <w:p w14:paraId="0D26198A" w14:textId="77777777" w:rsidR="001E7055" w:rsidRDefault="001E7055" w:rsidP="001E7055"/>
    <w:p w14:paraId="09AE73EA" w14:textId="77777777" w:rsidR="001E7055" w:rsidRDefault="001E7055" w:rsidP="001E7055"/>
    <w:p w14:paraId="04A19501" w14:textId="77777777" w:rsidR="001E7055" w:rsidRDefault="001E7055" w:rsidP="001E7055"/>
    <w:p w14:paraId="45DDF54B" w14:textId="77777777" w:rsidR="001E7055" w:rsidRDefault="001E7055" w:rsidP="001E7055"/>
    <w:p w14:paraId="29381C84" w14:textId="6F54BBD4" w:rsidR="001E7055" w:rsidRDefault="001E7055" w:rsidP="001E7055"/>
    <w:p w14:paraId="64F6242D" w14:textId="3C8A85B4" w:rsidR="001E7055" w:rsidRDefault="001E7055" w:rsidP="001E7055">
      <w:pPr>
        <w:spacing w:line="276" w:lineRule="auto"/>
        <w:contextualSpacing/>
        <w:rPr>
          <w:rFonts w:ascii="Arial" w:hAnsi="Arial" w:cs="Arial"/>
          <w:b/>
          <w:i/>
          <w:color w:val="000080"/>
          <w:sz w:val="28"/>
          <w:szCs w:val="28"/>
        </w:rPr>
      </w:pPr>
      <w:r w:rsidRPr="001E7055">
        <w:br w:type="page"/>
      </w:r>
      <w:r w:rsidRPr="004B2482">
        <w:rPr>
          <w:rFonts w:ascii="Arial" w:hAnsi="Arial" w:cs="Arial"/>
          <w:b/>
          <w:i/>
          <w:color w:val="000080"/>
          <w:sz w:val="28"/>
          <w:szCs w:val="28"/>
        </w:rPr>
        <w:lastRenderedPageBreak/>
        <w:t>Part II – Performance Measures</w:t>
      </w:r>
      <w:r>
        <w:rPr>
          <w:rFonts w:ascii="Arial" w:hAnsi="Arial" w:cs="Arial"/>
          <w:b/>
          <w:i/>
          <w:color w:val="000080"/>
          <w:sz w:val="28"/>
          <w:szCs w:val="28"/>
        </w:rPr>
        <w:t xml:space="preserve"> Continued…</w:t>
      </w:r>
    </w:p>
    <w:p w14:paraId="51D6B0FB" w14:textId="77777777" w:rsidR="001E7055" w:rsidRPr="009E536F" w:rsidRDefault="001E7055" w:rsidP="001E7055">
      <w:pPr>
        <w:rPr>
          <w:rFonts w:ascii="Arial" w:hAnsi="Arial" w:cs="Arial"/>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158"/>
        <w:gridCol w:w="1170"/>
        <w:gridCol w:w="1349"/>
        <w:gridCol w:w="1349"/>
        <w:gridCol w:w="1349"/>
        <w:gridCol w:w="90"/>
        <w:gridCol w:w="1350"/>
        <w:gridCol w:w="1265"/>
      </w:tblGrid>
      <w:tr w:rsidR="00C01F53" w14:paraId="5B9A586C" w14:textId="77777777" w:rsidTr="000E460A">
        <w:trPr>
          <w:cantSplit/>
          <w:tblHeader/>
        </w:trPr>
        <w:tc>
          <w:tcPr>
            <w:tcW w:w="3328" w:type="dxa"/>
            <w:gridSpan w:val="2"/>
            <w:shd w:val="clear" w:color="auto" w:fill="000080"/>
            <w:vAlign w:val="bottom"/>
          </w:tcPr>
          <w:p w14:paraId="345076D5" w14:textId="77777777" w:rsidR="00C01F53" w:rsidRDefault="00C01F53" w:rsidP="00C01F53">
            <w:pPr>
              <w:jc w:val="center"/>
              <w:rPr>
                <w:rFonts w:ascii="Arial" w:hAnsi="Arial" w:cs="Arial"/>
                <w:b/>
                <w:bCs/>
                <w:color w:val="FFFFFF"/>
                <w:sz w:val="20"/>
              </w:rPr>
            </w:pPr>
            <w:r>
              <w:rPr>
                <w:rFonts w:ascii="Arial" w:hAnsi="Arial" w:cs="Arial"/>
                <w:b/>
                <w:bCs/>
                <w:color w:val="FFFFFF"/>
                <w:sz w:val="20"/>
              </w:rPr>
              <w:t>Performance Measure</w:t>
            </w:r>
          </w:p>
        </w:tc>
        <w:tc>
          <w:tcPr>
            <w:tcW w:w="1349" w:type="dxa"/>
            <w:shd w:val="clear" w:color="auto" w:fill="000080"/>
            <w:vAlign w:val="center"/>
          </w:tcPr>
          <w:p w14:paraId="0DEBA791" w14:textId="53EE5FD8" w:rsidR="00C01F53" w:rsidRDefault="00C01F53" w:rsidP="00C01F53">
            <w:pPr>
              <w:jc w:val="center"/>
              <w:rPr>
                <w:rFonts w:ascii="Arial" w:hAnsi="Arial" w:cs="Arial"/>
                <w:b/>
                <w:bCs/>
                <w:color w:val="FFFFFF"/>
                <w:sz w:val="20"/>
              </w:rPr>
            </w:pPr>
            <w:r>
              <w:rPr>
                <w:rFonts w:ascii="Arial" w:hAnsi="Arial" w:cs="Arial"/>
                <w:b/>
                <w:bCs/>
                <w:color w:val="FFFFFF"/>
                <w:sz w:val="20"/>
                <w:szCs w:val="20"/>
              </w:rPr>
              <w:t>FY 2022</w:t>
            </w:r>
          </w:p>
        </w:tc>
        <w:tc>
          <w:tcPr>
            <w:tcW w:w="1349" w:type="dxa"/>
            <w:shd w:val="clear" w:color="auto" w:fill="000080"/>
            <w:vAlign w:val="center"/>
          </w:tcPr>
          <w:p w14:paraId="24882584" w14:textId="777A30D4" w:rsidR="00C01F53" w:rsidRDefault="00C01F53" w:rsidP="00C01F53">
            <w:pPr>
              <w:jc w:val="center"/>
              <w:rPr>
                <w:rFonts w:ascii="Arial" w:hAnsi="Arial" w:cs="Arial"/>
                <w:b/>
                <w:bCs/>
                <w:color w:val="FFFFFF"/>
                <w:sz w:val="20"/>
              </w:rPr>
            </w:pPr>
            <w:r>
              <w:rPr>
                <w:rFonts w:ascii="Arial" w:hAnsi="Arial" w:cs="Arial"/>
                <w:b/>
                <w:bCs/>
                <w:color w:val="FFFFFF"/>
                <w:sz w:val="20"/>
                <w:szCs w:val="20"/>
              </w:rPr>
              <w:t>FY 2023</w:t>
            </w:r>
          </w:p>
        </w:tc>
        <w:tc>
          <w:tcPr>
            <w:tcW w:w="1349" w:type="dxa"/>
            <w:shd w:val="clear" w:color="auto" w:fill="000080"/>
            <w:vAlign w:val="center"/>
          </w:tcPr>
          <w:p w14:paraId="16140981" w14:textId="73D3F8A4" w:rsidR="00C01F53" w:rsidRDefault="00C01F53" w:rsidP="00C01F53">
            <w:pPr>
              <w:jc w:val="center"/>
              <w:rPr>
                <w:rFonts w:ascii="Arial" w:hAnsi="Arial" w:cs="Arial"/>
                <w:b/>
                <w:bCs/>
                <w:color w:val="FFFFFF"/>
                <w:sz w:val="20"/>
              </w:rPr>
            </w:pPr>
            <w:r>
              <w:rPr>
                <w:rFonts w:ascii="Arial" w:hAnsi="Arial" w:cs="Arial"/>
                <w:b/>
                <w:bCs/>
                <w:color w:val="FFFFFF"/>
                <w:sz w:val="20"/>
                <w:szCs w:val="20"/>
              </w:rPr>
              <w:t>FY 2024</w:t>
            </w:r>
          </w:p>
        </w:tc>
        <w:tc>
          <w:tcPr>
            <w:tcW w:w="1440" w:type="dxa"/>
            <w:gridSpan w:val="2"/>
            <w:shd w:val="clear" w:color="auto" w:fill="000080"/>
            <w:vAlign w:val="center"/>
          </w:tcPr>
          <w:p w14:paraId="19BD5775" w14:textId="000CAD4E" w:rsidR="00C01F53" w:rsidRDefault="00C01F53" w:rsidP="00C01F53">
            <w:pPr>
              <w:jc w:val="center"/>
              <w:rPr>
                <w:rFonts w:ascii="Arial" w:hAnsi="Arial" w:cs="Arial"/>
                <w:b/>
                <w:bCs/>
                <w:color w:val="FFFFFF"/>
                <w:sz w:val="20"/>
              </w:rPr>
            </w:pPr>
            <w:r>
              <w:rPr>
                <w:rFonts w:ascii="Arial" w:hAnsi="Arial" w:cs="Arial"/>
                <w:b/>
                <w:bCs/>
                <w:color w:val="FFFFFF"/>
                <w:sz w:val="20"/>
                <w:szCs w:val="20"/>
              </w:rPr>
              <w:t>FY 2025</w:t>
            </w:r>
          </w:p>
        </w:tc>
        <w:tc>
          <w:tcPr>
            <w:tcW w:w="1265" w:type="dxa"/>
            <w:shd w:val="clear" w:color="auto" w:fill="000080"/>
            <w:vAlign w:val="bottom"/>
          </w:tcPr>
          <w:p w14:paraId="0FD0E2D2" w14:textId="0B04E220" w:rsidR="00C01F53" w:rsidRDefault="00C01F53" w:rsidP="00C01F53">
            <w:pPr>
              <w:jc w:val="center"/>
              <w:rPr>
                <w:rFonts w:ascii="Arial" w:hAnsi="Arial" w:cs="Arial"/>
                <w:b/>
                <w:bCs/>
                <w:color w:val="FFFFFF"/>
                <w:sz w:val="20"/>
              </w:rPr>
            </w:pPr>
            <w:r>
              <w:rPr>
                <w:rFonts w:ascii="Arial" w:hAnsi="Arial" w:cs="Arial"/>
                <w:b/>
                <w:bCs/>
                <w:color w:val="FFFFFF"/>
                <w:sz w:val="20"/>
              </w:rPr>
              <w:t>FY 2026</w:t>
            </w:r>
          </w:p>
        </w:tc>
      </w:tr>
      <w:tr w:rsidR="00C01F53" w14:paraId="684A9A97" w14:textId="77777777" w:rsidTr="00AF7AFE">
        <w:trPr>
          <w:cantSplit/>
          <w:trHeight w:val="917"/>
        </w:trPr>
        <w:tc>
          <w:tcPr>
            <w:tcW w:w="10080" w:type="dxa"/>
            <w:gridSpan w:val="8"/>
            <w:shd w:val="clear" w:color="auto" w:fill="DBE5F1" w:themeFill="accent1" w:themeFillTint="33"/>
            <w:vAlign w:val="center"/>
          </w:tcPr>
          <w:p w14:paraId="1C6E739E" w14:textId="77777777" w:rsidR="00C01F53" w:rsidRPr="009E536F" w:rsidRDefault="00C01F53" w:rsidP="00C01F53">
            <w:pPr>
              <w:tabs>
                <w:tab w:val="center" w:pos="4957"/>
              </w:tabs>
              <w:spacing w:before="120"/>
              <w:jc w:val="center"/>
              <w:rPr>
                <w:rFonts w:ascii="Arial" w:hAnsi="Arial" w:cs="Arial"/>
                <w:b/>
                <w:sz w:val="20"/>
              </w:rPr>
            </w:pPr>
            <w:r w:rsidRPr="009E536F">
              <w:rPr>
                <w:rFonts w:ascii="Arial" w:hAnsi="Arial" w:cs="Arial"/>
                <w:b/>
                <w:sz w:val="20"/>
              </w:rPr>
              <w:t xml:space="preserve">Goal </w:t>
            </w:r>
            <w:r>
              <w:rPr>
                <w:rFonts w:ascii="Arial" w:hAnsi="Arial" w:cs="Arial"/>
                <w:b/>
                <w:sz w:val="20"/>
              </w:rPr>
              <w:t>4</w:t>
            </w:r>
          </w:p>
          <w:p w14:paraId="0C77BAEC" w14:textId="0CB6DAD6" w:rsidR="00C01F53" w:rsidRPr="001E7055" w:rsidRDefault="00C01F53" w:rsidP="00C01F53">
            <w:pPr>
              <w:tabs>
                <w:tab w:val="center" w:pos="4957"/>
              </w:tabs>
              <w:spacing w:before="120"/>
              <w:ind w:left="-14"/>
              <w:jc w:val="center"/>
              <w:rPr>
                <w:rFonts w:ascii="Arial" w:hAnsi="Arial" w:cs="Arial"/>
                <w:bCs/>
                <w:sz w:val="20"/>
              </w:rPr>
            </w:pPr>
            <w:r w:rsidRPr="000A5CEA">
              <w:rPr>
                <w:rFonts w:ascii="Arial" w:hAnsi="Arial" w:cs="Arial"/>
                <w:bCs/>
                <w:sz w:val="20"/>
              </w:rPr>
              <w:t>Attract, develop, and retain a high-quality prevention workforce.</w:t>
            </w:r>
          </w:p>
        </w:tc>
      </w:tr>
      <w:tr w:rsidR="00C01F53" w14:paraId="54BBBEA2" w14:textId="77777777" w:rsidTr="00AF7AFE">
        <w:trPr>
          <w:cantSplit/>
          <w:trHeight w:val="288"/>
        </w:trPr>
        <w:tc>
          <w:tcPr>
            <w:tcW w:w="2158" w:type="dxa"/>
            <w:vMerge w:val="restart"/>
          </w:tcPr>
          <w:p w14:paraId="76B5671F" w14:textId="77777777" w:rsidR="00C01F53" w:rsidRDefault="00C01F53" w:rsidP="00C01F53">
            <w:pPr>
              <w:rPr>
                <w:rFonts w:ascii="Arial" w:hAnsi="Arial" w:cs="Arial"/>
                <w:sz w:val="20"/>
                <w:szCs w:val="20"/>
                <w:highlight w:val="yellow"/>
              </w:rPr>
            </w:pPr>
          </w:p>
          <w:p w14:paraId="26B5CFD1" w14:textId="182FA306" w:rsidR="00C01F53" w:rsidRPr="00A44C40" w:rsidRDefault="00C01F53" w:rsidP="00C01F53">
            <w:pPr>
              <w:rPr>
                <w:rFonts w:ascii="Arial" w:hAnsi="Arial" w:cs="Arial"/>
                <w:b/>
                <w:bCs/>
                <w:sz w:val="20"/>
                <w:szCs w:val="20"/>
                <w:highlight w:val="yellow"/>
              </w:rPr>
            </w:pPr>
            <w:r w:rsidRPr="00A44C40">
              <w:rPr>
                <w:rFonts w:ascii="Arial" w:hAnsi="Arial" w:cs="Arial"/>
                <w:b/>
                <w:bCs/>
                <w:sz w:val="20"/>
                <w:szCs w:val="20"/>
              </w:rPr>
              <w:t>NEW</w:t>
            </w:r>
          </w:p>
          <w:p w14:paraId="387C5ADC" w14:textId="77777777" w:rsidR="00C01F53" w:rsidRDefault="00C01F53" w:rsidP="00C01F53">
            <w:pPr>
              <w:rPr>
                <w:rFonts w:ascii="Arial" w:hAnsi="Arial" w:cs="Arial"/>
                <w:sz w:val="20"/>
                <w:szCs w:val="20"/>
                <w:highlight w:val="yellow"/>
              </w:rPr>
            </w:pPr>
          </w:p>
          <w:p w14:paraId="0698D859" w14:textId="25F4036C" w:rsidR="00C01F53" w:rsidRPr="00DC7BF5" w:rsidRDefault="00C01F53" w:rsidP="00C01F53">
            <w:pPr>
              <w:rPr>
                <w:rFonts w:ascii="Arial" w:hAnsi="Arial" w:cs="Arial"/>
                <w:sz w:val="20"/>
                <w:szCs w:val="20"/>
              </w:rPr>
            </w:pPr>
            <w:r>
              <w:rPr>
                <w:rFonts w:ascii="Arial" w:hAnsi="Arial" w:cs="Arial"/>
                <w:sz w:val="20"/>
                <w:szCs w:val="20"/>
              </w:rPr>
              <w:t>8. Increase the t</w:t>
            </w:r>
            <w:r w:rsidRPr="00DC7BF5">
              <w:rPr>
                <w:rFonts w:ascii="Arial" w:hAnsi="Arial" w:cs="Arial"/>
                <w:sz w:val="20"/>
                <w:szCs w:val="20"/>
              </w:rPr>
              <w:t>otal number of Prevention Providers who hold either a Provisional Certified Prevention Specialist (PPS) or Certified Prevention Specialist (CPS) credential</w:t>
            </w:r>
            <w:r>
              <w:rPr>
                <w:rFonts w:ascii="Arial" w:hAnsi="Arial" w:cs="Arial"/>
                <w:sz w:val="20"/>
                <w:szCs w:val="20"/>
              </w:rPr>
              <w:t xml:space="preserve"> by three (3) each year</w:t>
            </w:r>
          </w:p>
          <w:p w14:paraId="11198F2A" w14:textId="1B0700C6" w:rsidR="00C01F53" w:rsidRPr="000A632F" w:rsidRDefault="00C01F53" w:rsidP="00C01F53">
            <w:pPr>
              <w:rPr>
                <w:rFonts w:ascii="Arial" w:hAnsi="Arial" w:cs="Arial"/>
                <w:bCs/>
                <w:sz w:val="20"/>
                <w:szCs w:val="20"/>
                <w:highlight w:val="yellow"/>
              </w:rPr>
            </w:pPr>
          </w:p>
        </w:tc>
        <w:tc>
          <w:tcPr>
            <w:tcW w:w="1170" w:type="dxa"/>
            <w:shd w:val="clear" w:color="auto" w:fill="D9D9D9" w:themeFill="background1" w:themeFillShade="D9"/>
            <w:vAlign w:val="center"/>
          </w:tcPr>
          <w:p w14:paraId="1C95FED9" w14:textId="77777777" w:rsidR="00C01F53" w:rsidRPr="00E51672" w:rsidRDefault="00C01F53" w:rsidP="00C01F53">
            <w:pPr>
              <w:jc w:val="center"/>
              <w:rPr>
                <w:rFonts w:ascii="Arial" w:hAnsi="Arial" w:cs="Arial"/>
                <w:sz w:val="20"/>
              </w:rPr>
            </w:pPr>
            <w:r w:rsidRPr="00E51672">
              <w:rPr>
                <w:rFonts w:ascii="Arial" w:hAnsi="Arial" w:cs="Arial"/>
                <w:sz w:val="20"/>
              </w:rPr>
              <w:t>actual</w:t>
            </w:r>
          </w:p>
        </w:tc>
        <w:tc>
          <w:tcPr>
            <w:tcW w:w="1349" w:type="dxa"/>
            <w:shd w:val="clear" w:color="auto" w:fill="D9D9D9" w:themeFill="background1" w:themeFillShade="D9"/>
            <w:vAlign w:val="center"/>
          </w:tcPr>
          <w:p w14:paraId="415E9456" w14:textId="6BBDC6D4" w:rsidR="00C01F53" w:rsidRPr="00E51672" w:rsidRDefault="00C01F53" w:rsidP="00C01F53">
            <w:pPr>
              <w:jc w:val="center"/>
              <w:rPr>
                <w:rFonts w:ascii="Arial" w:hAnsi="Arial" w:cs="Arial"/>
                <w:sz w:val="20"/>
              </w:rPr>
            </w:pPr>
            <w:r>
              <w:rPr>
                <w:rFonts w:ascii="Arial" w:hAnsi="Arial" w:cs="Arial"/>
                <w:sz w:val="20"/>
              </w:rPr>
              <w:t>-</w:t>
            </w:r>
          </w:p>
        </w:tc>
        <w:tc>
          <w:tcPr>
            <w:tcW w:w="1349" w:type="dxa"/>
            <w:shd w:val="clear" w:color="auto" w:fill="D9D9D9" w:themeFill="background1" w:themeFillShade="D9"/>
            <w:vAlign w:val="center"/>
          </w:tcPr>
          <w:p w14:paraId="646D8859" w14:textId="6A819B04" w:rsidR="00C01F53" w:rsidRPr="00E51672" w:rsidRDefault="00C01F53" w:rsidP="00C01F53">
            <w:pPr>
              <w:jc w:val="center"/>
              <w:rPr>
                <w:rFonts w:ascii="Arial" w:hAnsi="Arial" w:cs="Arial"/>
                <w:sz w:val="20"/>
              </w:rPr>
            </w:pPr>
            <w:r>
              <w:rPr>
                <w:rFonts w:ascii="Arial" w:hAnsi="Arial" w:cs="Arial"/>
                <w:sz w:val="20"/>
              </w:rPr>
              <w:t>-</w:t>
            </w:r>
          </w:p>
        </w:tc>
        <w:tc>
          <w:tcPr>
            <w:tcW w:w="1439" w:type="dxa"/>
            <w:gridSpan w:val="2"/>
            <w:shd w:val="clear" w:color="auto" w:fill="D9D9D9" w:themeFill="background1" w:themeFillShade="D9"/>
            <w:vAlign w:val="center"/>
          </w:tcPr>
          <w:p w14:paraId="5914A7C1" w14:textId="0924C6CB" w:rsidR="00C01F53" w:rsidRPr="00E74347" w:rsidRDefault="00C01F53" w:rsidP="00C01F53">
            <w:pPr>
              <w:jc w:val="center"/>
              <w:rPr>
                <w:rFonts w:ascii="Arial" w:hAnsi="Arial" w:cs="Arial"/>
                <w:sz w:val="20"/>
              </w:rPr>
            </w:pPr>
            <w:r>
              <w:rPr>
                <w:rFonts w:ascii="Arial" w:hAnsi="Arial" w:cs="Arial"/>
                <w:sz w:val="20"/>
              </w:rPr>
              <w:t>15</w:t>
            </w:r>
          </w:p>
        </w:tc>
        <w:tc>
          <w:tcPr>
            <w:tcW w:w="1350" w:type="dxa"/>
            <w:shd w:val="clear" w:color="auto" w:fill="D9D9D9" w:themeFill="background1" w:themeFillShade="D9"/>
            <w:vAlign w:val="center"/>
          </w:tcPr>
          <w:p w14:paraId="087486C3" w14:textId="62EB0128" w:rsidR="00C01F53" w:rsidRPr="00E74347" w:rsidRDefault="00C01F53" w:rsidP="00C01F53">
            <w:pPr>
              <w:jc w:val="center"/>
              <w:rPr>
                <w:rFonts w:ascii="Arial" w:hAnsi="Arial" w:cs="Arial"/>
                <w:sz w:val="20"/>
              </w:rPr>
            </w:pPr>
            <w:r>
              <w:rPr>
                <w:rFonts w:ascii="Arial" w:hAnsi="Arial" w:cs="Arial"/>
                <w:sz w:val="20"/>
              </w:rPr>
              <w:t>-</w:t>
            </w:r>
          </w:p>
        </w:tc>
        <w:tc>
          <w:tcPr>
            <w:tcW w:w="1265" w:type="dxa"/>
            <w:shd w:val="clear" w:color="auto" w:fill="D9D9D9" w:themeFill="background1" w:themeFillShade="D9"/>
            <w:vAlign w:val="center"/>
          </w:tcPr>
          <w:p w14:paraId="79628CAD" w14:textId="73948818" w:rsidR="00C01F53" w:rsidRPr="00E74347" w:rsidRDefault="00C01F53" w:rsidP="00C01F53">
            <w:pPr>
              <w:jc w:val="center"/>
              <w:rPr>
                <w:rFonts w:ascii="Arial" w:hAnsi="Arial" w:cs="Arial"/>
                <w:sz w:val="20"/>
              </w:rPr>
            </w:pPr>
          </w:p>
        </w:tc>
      </w:tr>
      <w:tr w:rsidR="00C01F53" w14:paraId="67DB67B3" w14:textId="77777777" w:rsidTr="00AF7AFE">
        <w:trPr>
          <w:cantSplit/>
          <w:trHeight w:val="288"/>
        </w:trPr>
        <w:tc>
          <w:tcPr>
            <w:tcW w:w="2158" w:type="dxa"/>
            <w:vMerge/>
          </w:tcPr>
          <w:p w14:paraId="418D3B5F" w14:textId="77777777" w:rsidR="00C01F53" w:rsidRPr="000A632F" w:rsidRDefault="00C01F53" w:rsidP="00C01F53">
            <w:pPr>
              <w:pStyle w:val="ListParagraph"/>
              <w:numPr>
                <w:ilvl w:val="0"/>
                <w:numId w:val="14"/>
              </w:numPr>
              <w:tabs>
                <w:tab w:val="left" w:pos="2985"/>
              </w:tabs>
              <w:ind w:left="342"/>
              <w:rPr>
                <w:rFonts w:cs="Arial"/>
                <w:szCs w:val="20"/>
                <w:highlight w:val="yellow"/>
              </w:rPr>
            </w:pPr>
          </w:p>
        </w:tc>
        <w:tc>
          <w:tcPr>
            <w:tcW w:w="1170" w:type="dxa"/>
            <w:shd w:val="clear" w:color="auto" w:fill="FFFFFF" w:themeFill="background1"/>
            <w:vAlign w:val="center"/>
          </w:tcPr>
          <w:p w14:paraId="622B8247" w14:textId="77777777" w:rsidR="00C01F53" w:rsidRPr="00854BE2" w:rsidRDefault="00C01F53" w:rsidP="00C01F53">
            <w:pPr>
              <w:jc w:val="center"/>
              <w:rPr>
                <w:rFonts w:ascii="Arial" w:hAnsi="Arial" w:cs="Arial"/>
                <w:i/>
                <w:sz w:val="20"/>
                <w:szCs w:val="20"/>
              </w:rPr>
            </w:pPr>
            <w:r w:rsidRPr="00854BE2">
              <w:rPr>
                <w:rFonts w:ascii="Arial" w:hAnsi="Arial" w:cs="Arial"/>
                <w:i/>
                <w:sz w:val="20"/>
                <w:szCs w:val="20"/>
              </w:rPr>
              <w:t>target</w:t>
            </w:r>
          </w:p>
        </w:tc>
        <w:tc>
          <w:tcPr>
            <w:tcW w:w="1349" w:type="dxa"/>
            <w:shd w:val="clear" w:color="auto" w:fill="FFFFFF" w:themeFill="background1"/>
            <w:vAlign w:val="center"/>
          </w:tcPr>
          <w:p w14:paraId="3A31C4AC" w14:textId="29636B3C" w:rsidR="00C01F53" w:rsidRPr="00854BE2" w:rsidRDefault="00C01F53" w:rsidP="00C01F53">
            <w:pPr>
              <w:jc w:val="center"/>
              <w:rPr>
                <w:rFonts w:ascii="Arial" w:hAnsi="Arial" w:cs="Arial"/>
                <w:i/>
                <w:sz w:val="20"/>
                <w:szCs w:val="20"/>
              </w:rPr>
            </w:pPr>
            <w:r w:rsidRPr="00854BE2">
              <w:rPr>
                <w:rFonts w:ascii="Arial" w:hAnsi="Arial" w:cs="Arial"/>
                <w:i/>
                <w:sz w:val="20"/>
                <w:szCs w:val="20"/>
              </w:rPr>
              <w:t>New Measure for FY202</w:t>
            </w:r>
            <w:r>
              <w:rPr>
                <w:rFonts w:ascii="Arial" w:hAnsi="Arial" w:cs="Arial"/>
                <w:i/>
                <w:sz w:val="20"/>
                <w:szCs w:val="20"/>
              </w:rPr>
              <w:t>4</w:t>
            </w:r>
          </w:p>
        </w:tc>
        <w:tc>
          <w:tcPr>
            <w:tcW w:w="1349" w:type="dxa"/>
            <w:shd w:val="clear" w:color="auto" w:fill="FFFFFF" w:themeFill="background1"/>
            <w:vAlign w:val="center"/>
          </w:tcPr>
          <w:p w14:paraId="2252BD06" w14:textId="66159511" w:rsidR="00C01F53" w:rsidRPr="00854BE2" w:rsidRDefault="00C01F53" w:rsidP="00C01F53">
            <w:pPr>
              <w:jc w:val="center"/>
              <w:rPr>
                <w:rFonts w:ascii="Arial" w:hAnsi="Arial" w:cs="Arial"/>
                <w:i/>
                <w:sz w:val="20"/>
                <w:szCs w:val="20"/>
              </w:rPr>
            </w:pPr>
            <w:r w:rsidRPr="00854BE2">
              <w:rPr>
                <w:rFonts w:ascii="Arial" w:hAnsi="Arial" w:cs="Arial"/>
                <w:i/>
                <w:sz w:val="20"/>
                <w:szCs w:val="20"/>
              </w:rPr>
              <w:t>New Measure for FY202</w:t>
            </w:r>
            <w:r>
              <w:rPr>
                <w:rFonts w:ascii="Arial" w:hAnsi="Arial" w:cs="Arial"/>
                <w:i/>
                <w:sz w:val="20"/>
                <w:szCs w:val="20"/>
              </w:rPr>
              <w:t>4</w:t>
            </w:r>
          </w:p>
        </w:tc>
        <w:tc>
          <w:tcPr>
            <w:tcW w:w="1439" w:type="dxa"/>
            <w:gridSpan w:val="2"/>
            <w:shd w:val="clear" w:color="auto" w:fill="auto"/>
            <w:vAlign w:val="center"/>
          </w:tcPr>
          <w:p w14:paraId="5B2A4E0B" w14:textId="650496D3" w:rsidR="00C01F53" w:rsidRPr="00854BE2" w:rsidRDefault="00C01F53" w:rsidP="00C01F53">
            <w:pPr>
              <w:jc w:val="center"/>
              <w:rPr>
                <w:rFonts w:ascii="Arial" w:hAnsi="Arial" w:cs="Arial"/>
                <w:i/>
                <w:sz w:val="20"/>
                <w:szCs w:val="20"/>
              </w:rPr>
            </w:pPr>
            <w:r>
              <w:rPr>
                <w:rFonts w:ascii="Arial" w:hAnsi="Arial" w:cs="Arial"/>
                <w:i/>
                <w:sz w:val="20"/>
                <w:szCs w:val="20"/>
              </w:rPr>
              <w:t>17</w:t>
            </w:r>
          </w:p>
        </w:tc>
        <w:tc>
          <w:tcPr>
            <w:tcW w:w="1350" w:type="dxa"/>
            <w:shd w:val="clear" w:color="auto" w:fill="auto"/>
            <w:vAlign w:val="center"/>
          </w:tcPr>
          <w:p w14:paraId="0100E50D" w14:textId="7C1AFAD5" w:rsidR="00C01F53" w:rsidRPr="00854BE2" w:rsidRDefault="00C01F53" w:rsidP="00C01F53">
            <w:pPr>
              <w:jc w:val="center"/>
              <w:rPr>
                <w:rFonts w:ascii="Arial" w:hAnsi="Arial" w:cs="Arial"/>
                <w:i/>
                <w:sz w:val="20"/>
                <w:szCs w:val="20"/>
              </w:rPr>
            </w:pPr>
            <w:r>
              <w:rPr>
                <w:rFonts w:ascii="Arial" w:hAnsi="Arial" w:cs="Arial"/>
                <w:i/>
                <w:sz w:val="20"/>
                <w:szCs w:val="20"/>
              </w:rPr>
              <w:t>20</w:t>
            </w:r>
          </w:p>
        </w:tc>
        <w:tc>
          <w:tcPr>
            <w:tcW w:w="1265" w:type="dxa"/>
            <w:shd w:val="clear" w:color="auto" w:fill="auto"/>
            <w:vAlign w:val="center"/>
          </w:tcPr>
          <w:p w14:paraId="1A5FCA2A" w14:textId="6E4C5979" w:rsidR="00C01F53" w:rsidRPr="00854BE2" w:rsidRDefault="00C01F53" w:rsidP="00C01F53">
            <w:pPr>
              <w:jc w:val="center"/>
              <w:rPr>
                <w:rFonts w:ascii="Arial" w:hAnsi="Arial" w:cs="Arial"/>
                <w:i/>
                <w:sz w:val="20"/>
                <w:szCs w:val="20"/>
              </w:rPr>
            </w:pPr>
          </w:p>
        </w:tc>
      </w:tr>
      <w:tr w:rsidR="00C01F53" w14:paraId="172D45A2" w14:textId="77777777" w:rsidTr="00AF7AFE">
        <w:trPr>
          <w:cantSplit/>
          <w:trHeight w:val="288"/>
        </w:trPr>
        <w:tc>
          <w:tcPr>
            <w:tcW w:w="2158" w:type="dxa"/>
            <w:vMerge w:val="restart"/>
          </w:tcPr>
          <w:p w14:paraId="7DC71B7F" w14:textId="77777777" w:rsidR="00C01F53" w:rsidRDefault="00C01F53" w:rsidP="00C01F53">
            <w:pPr>
              <w:pStyle w:val="ListParagraph"/>
              <w:ind w:left="342"/>
              <w:rPr>
                <w:rFonts w:cs="Arial"/>
                <w:szCs w:val="20"/>
                <w:highlight w:val="yellow"/>
              </w:rPr>
            </w:pPr>
          </w:p>
          <w:p w14:paraId="1E1000D5" w14:textId="5F35E867" w:rsidR="00C01F53" w:rsidRPr="00791D7E" w:rsidRDefault="00C01F53" w:rsidP="00C01F53">
            <w:pPr>
              <w:rPr>
                <w:rFonts w:ascii="Arial" w:hAnsi="Arial" w:cs="Arial"/>
                <w:sz w:val="20"/>
                <w:szCs w:val="20"/>
              </w:rPr>
            </w:pPr>
            <w:r w:rsidRPr="00791D7E">
              <w:rPr>
                <w:rFonts w:cs="Arial"/>
                <w:szCs w:val="20"/>
              </w:rPr>
              <w:t>9</w:t>
            </w:r>
            <w:r w:rsidRPr="00791D7E">
              <w:rPr>
                <w:rFonts w:ascii="Arial" w:hAnsi="Arial" w:cs="Arial"/>
                <w:sz w:val="20"/>
                <w:szCs w:val="20"/>
              </w:rPr>
              <w:t>. Increase the total number of grantees attending trainings, reaching at least 50% of total grantees funded each year</w:t>
            </w:r>
          </w:p>
          <w:p w14:paraId="67263D71" w14:textId="30B07D63" w:rsidR="00C01F53" w:rsidRPr="000A632F" w:rsidRDefault="00C01F53" w:rsidP="00C01F53">
            <w:pPr>
              <w:pStyle w:val="ListParagraph"/>
              <w:ind w:left="342"/>
              <w:rPr>
                <w:rFonts w:cs="Arial"/>
                <w:bCs/>
                <w:szCs w:val="20"/>
                <w:highlight w:val="yellow"/>
              </w:rPr>
            </w:pPr>
          </w:p>
        </w:tc>
        <w:tc>
          <w:tcPr>
            <w:tcW w:w="1170" w:type="dxa"/>
            <w:shd w:val="clear" w:color="auto" w:fill="D9D9D9" w:themeFill="background1" w:themeFillShade="D9"/>
            <w:vAlign w:val="center"/>
          </w:tcPr>
          <w:p w14:paraId="41100080" w14:textId="77777777" w:rsidR="00C01F53" w:rsidRPr="00854BE2" w:rsidRDefault="00C01F53" w:rsidP="00C01F53">
            <w:pPr>
              <w:jc w:val="center"/>
              <w:rPr>
                <w:rFonts w:ascii="Arial" w:hAnsi="Arial" w:cs="Arial"/>
                <w:sz w:val="20"/>
                <w:szCs w:val="20"/>
              </w:rPr>
            </w:pPr>
            <w:r w:rsidRPr="00854BE2">
              <w:rPr>
                <w:rFonts w:ascii="Arial" w:hAnsi="Arial" w:cs="Arial"/>
                <w:sz w:val="20"/>
                <w:szCs w:val="20"/>
              </w:rPr>
              <w:t>actual</w:t>
            </w:r>
          </w:p>
        </w:tc>
        <w:tc>
          <w:tcPr>
            <w:tcW w:w="1349" w:type="dxa"/>
            <w:shd w:val="clear" w:color="auto" w:fill="D9D9D9" w:themeFill="background1" w:themeFillShade="D9"/>
            <w:vAlign w:val="center"/>
          </w:tcPr>
          <w:p w14:paraId="1DF01049" w14:textId="08F11977" w:rsidR="00C01F53" w:rsidRPr="00854BE2" w:rsidRDefault="00C01F53" w:rsidP="00C01F53">
            <w:pPr>
              <w:jc w:val="center"/>
              <w:rPr>
                <w:rFonts w:ascii="Arial" w:hAnsi="Arial" w:cs="Arial"/>
                <w:sz w:val="20"/>
                <w:szCs w:val="20"/>
              </w:rPr>
            </w:pPr>
            <w:r>
              <w:rPr>
                <w:rFonts w:ascii="Arial" w:hAnsi="Arial" w:cs="Arial"/>
                <w:sz w:val="20"/>
                <w:szCs w:val="20"/>
              </w:rPr>
              <w:t>40</w:t>
            </w:r>
          </w:p>
        </w:tc>
        <w:tc>
          <w:tcPr>
            <w:tcW w:w="1349" w:type="dxa"/>
            <w:shd w:val="clear" w:color="auto" w:fill="D9D9D9" w:themeFill="background1" w:themeFillShade="D9"/>
            <w:vAlign w:val="center"/>
          </w:tcPr>
          <w:p w14:paraId="1DAD7592" w14:textId="246AA7D3" w:rsidR="00C01F53" w:rsidRPr="00854BE2" w:rsidRDefault="00C01F53" w:rsidP="00C01F53">
            <w:pPr>
              <w:jc w:val="center"/>
              <w:rPr>
                <w:rFonts w:ascii="Arial" w:hAnsi="Arial" w:cs="Arial"/>
                <w:sz w:val="20"/>
                <w:szCs w:val="20"/>
              </w:rPr>
            </w:pPr>
            <w:r>
              <w:rPr>
                <w:rFonts w:ascii="Arial" w:hAnsi="Arial" w:cs="Arial"/>
                <w:sz w:val="20"/>
                <w:szCs w:val="20"/>
              </w:rPr>
              <w:t>34</w:t>
            </w:r>
          </w:p>
        </w:tc>
        <w:tc>
          <w:tcPr>
            <w:tcW w:w="1439" w:type="dxa"/>
            <w:gridSpan w:val="2"/>
            <w:shd w:val="clear" w:color="auto" w:fill="D9D9D9" w:themeFill="background1" w:themeFillShade="D9"/>
            <w:vAlign w:val="center"/>
          </w:tcPr>
          <w:p w14:paraId="22842C98" w14:textId="2AB508F8" w:rsidR="00C01F53" w:rsidRPr="00E74347" w:rsidRDefault="00C01F53" w:rsidP="00C01F53">
            <w:pPr>
              <w:jc w:val="center"/>
              <w:rPr>
                <w:rFonts w:ascii="Arial" w:hAnsi="Arial" w:cs="Arial"/>
                <w:sz w:val="20"/>
                <w:szCs w:val="20"/>
              </w:rPr>
            </w:pPr>
            <w:r w:rsidRPr="00BA7ABE">
              <w:rPr>
                <w:rFonts w:ascii="Arial" w:hAnsi="Arial" w:cs="Arial"/>
                <w:b/>
                <w:bCs/>
                <w:sz w:val="20"/>
                <w:szCs w:val="20"/>
              </w:rPr>
              <w:t>127</w:t>
            </w:r>
            <w:r>
              <w:rPr>
                <w:rFonts w:ascii="Arial" w:hAnsi="Arial" w:cs="Arial"/>
                <w:sz w:val="20"/>
                <w:szCs w:val="20"/>
              </w:rPr>
              <w:t xml:space="preserve"> SUPTRS</w:t>
            </w:r>
          </w:p>
        </w:tc>
        <w:tc>
          <w:tcPr>
            <w:tcW w:w="1350" w:type="dxa"/>
            <w:shd w:val="clear" w:color="auto" w:fill="D9D9D9" w:themeFill="background1" w:themeFillShade="D9"/>
            <w:vAlign w:val="center"/>
          </w:tcPr>
          <w:p w14:paraId="43AF92CB" w14:textId="7E25D839" w:rsidR="00C01F53" w:rsidRPr="00E74347" w:rsidRDefault="00C01F53" w:rsidP="00C01F53">
            <w:pPr>
              <w:jc w:val="center"/>
              <w:rPr>
                <w:rFonts w:ascii="Arial" w:hAnsi="Arial" w:cs="Arial"/>
                <w:sz w:val="20"/>
                <w:szCs w:val="20"/>
              </w:rPr>
            </w:pPr>
            <w:r>
              <w:rPr>
                <w:rFonts w:ascii="Arial" w:hAnsi="Arial" w:cs="Arial"/>
                <w:sz w:val="20"/>
                <w:szCs w:val="20"/>
              </w:rPr>
              <w:t>-</w:t>
            </w:r>
          </w:p>
        </w:tc>
        <w:tc>
          <w:tcPr>
            <w:tcW w:w="1265" w:type="dxa"/>
            <w:shd w:val="clear" w:color="auto" w:fill="D9D9D9" w:themeFill="background1" w:themeFillShade="D9"/>
            <w:vAlign w:val="center"/>
          </w:tcPr>
          <w:p w14:paraId="419F4BD7" w14:textId="0B435C17" w:rsidR="00C01F53" w:rsidRPr="00E74347" w:rsidRDefault="00C01F53" w:rsidP="00C01F53">
            <w:pPr>
              <w:jc w:val="center"/>
              <w:rPr>
                <w:rFonts w:ascii="Arial" w:hAnsi="Arial" w:cs="Arial"/>
                <w:sz w:val="20"/>
                <w:szCs w:val="20"/>
              </w:rPr>
            </w:pPr>
          </w:p>
        </w:tc>
      </w:tr>
      <w:tr w:rsidR="00C01F53" w14:paraId="512D5126" w14:textId="77777777" w:rsidTr="000A632F">
        <w:trPr>
          <w:cantSplit/>
          <w:trHeight w:val="288"/>
        </w:trPr>
        <w:tc>
          <w:tcPr>
            <w:tcW w:w="2158" w:type="dxa"/>
            <w:vMerge/>
          </w:tcPr>
          <w:p w14:paraId="3ED5191D" w14:textId="77777777" w:rsidR="00C01F53" w:rsidRPr="00646DA1" w:rsidRDefault="00C01F53" w:rsidP="00C01F53">
            <w:pPr>
              <w:pStyle w:val="ListParagraph"/>
              <w:numPr>
                <w:ilvl w:val="0"/>
                <w:numId w:val="14"/>
              </w:numPr>
              <w:tabs>
                <w:tab w:val="left" w:pos="2985"/>
              </w:tabs>
              <w:ind w:left="342"/>
              <w:rPr>
                <w:rFonts w:cs="Arial"/>
              </w:rPr>
            </w:pPr>
          </w:p>
        </w:tc>
        <w:tc>
          <w:tcPr>
            <w:tcW w:w="1170" w:type="dxa"/>
            <w:shd w:val="clear" w:color="auto" w:fill="FFFFFF" w:themeFill="background1"/>
            <w:vAlign w:val="center"/>
          </w:tcPr>
          <w:p w14:paraId="10314F65" w14:textId="77777777" w:rsidR="00C01F53" w:rsidRPr="00854BE2" w:rsidRDefault="00C01F53" w:rsidP="00C01F53">
            <w:pPr>
              <w:jc w:val="center"/>
              <w:rPr>
                <w:rFonts w:ascii="Arial" w:hAnsi="Arial" w:cs="Arial"/>
                <w:i/>
                <w:sz w:val="20"/>
                <w:szCs w:val="20"/>
              </w:rPr>
            </w:pPr>
            <w:r w:rsidRPr="00854BE2">
              <w:rPr>
                <w:rFonts w:ascii="Arial" w:hAnsi="Arial" w:cs="Arial"/>
                <w:i/>
                <w:sz w:val="20"/>
                <w:szCs w:val="20"/>
              </w:rPr>
              <w:t>target</w:t>
            </w:r>
          </w:p>
        </w:tc>
        <w:tc>
          <w:tcPr>
            <w:tcW w:w="1349" w:type="dxa"/>
            <w:shd w:val="clear" w:color="auto" w:fill="FFFFFF" w:themeFill="background1"/>
            <w:vAlign w:val="center"/>
          </w:tcPr>
          <w:p w14:paraId="4EBF91B5" w14:textId="48C4755B" w:rsidR="00C01F53" w:rsidRPr="00854BE2" w:rsidRDefault="00C01F53" w:rsidP="00C01F53">
            <w:pPr>
              <w:jc w:val="center"/>
              <w:rPr>
                <w:rFonts w:ascii="Arial" w:hAnsi="Arial" w:cs="Arial"/>
                <w:i/>
                <w:sz w:val="20"/>
                <w:szCs w:val="20"/>
              </w:rPr>
            </w:pPr>
            <w:r>
              <w:rPr>
                <w:rFonts w:ascii="Arial" w:hAnsi="Arial" w:cs="Arial"/>
                <w:i/>
                <w:sz w:val="20"/>
                <w:szCs w:val="20"/>
              </w:rPr>
              <w:t>30</w:t>
            </w:r>
          </w:p>
        </w:tc>
        <w:tc>
          <w:tcPr>
            <w:tcW w:w="1349" w:type="dxa"/>
            <w:shd w:val="clear" w:color="auto" w:fill="FFFFFF" w:themeFill="background1"/>
            <w:vAlign w:val="center"/>
          </w:tcPr>
          <w:p w14:paraId="2645B98D" w14:textId="33D709D0" w:rsidR="00C01F53" w:rsidRPr="00854BE2" w:rsidRDefault="00C01F53" w:rsidP="00C01F53">
            <w:pPr>
              <w:jc w:val="center"/>
              <w:rPr>
                <w:rFonts w:ascii="Arial" w:hAnsi="Arial" w:cs="Arial"/>
                <w:i/>
                <w:sz w:val="20"/>
                <w:szCs w:val="20"/>
              </w:rPr>
            </w:pPr>
            <w:r>
              <w:rPr>
                <w:rFonts w:ascii="Arial" w:hAnsi="Arial" w:cs="Arial"/>
                <w:i/>
                <w:sz w:val="20"/>
                <w:szCs w:val="20"/>
              </w:rPr>
              <w:t>30</w:t>
            </w:r>
          </w:p>
        </w:tc>
        <w:tc>
          <w:tcPr>
            <w:tcW w:w="1439" w:type="dxa"/>
            <w:gridSpan w:val="2"/>
            <w:shd w:val="clear" w:color="auto" w:fill="auto"/>
            <w:vAlign w:val="center"/>
          </w:tcPr>
          <w:p w14:paraId="5BEC262B" w14:textId="5BA03DAA" w:rsidR="00C01F53" w:rsidRPr="00854BE2" w:rsidRDefault="00C01F53" w:rsidP="00C01F53">
            <w:pPr>
              <w:jc w:val="center"/>
              <w:rPr>
                <w:rFonts w:ascii="Arial" w:hAnsi="Arial" w:cs="Arial"/>
                <w:i/>
                <w:sz w:val="20"/>
                <w:szCs w:val="20"/>
              </w:rPr>
            </w:pPr>
            <w:r>
              <w:rPr>
                <w:rFonts w:ascii="Arial" w:hAnsi="Arial" w:cs="Arial"/>
                <w:i/>
                <w:sz w:val="20"/>
                <w:szCs w:val="20"/>
              </w:rPr>
              <w:t>35</w:t>
            </w:r>
          </w:p>
        </w:tc>
        <w:tc>
          <w:tcPr>
            <w:tcW w:w="1350" w:type="dxa"/>
            <w:shd w:val="clear" w:color="auto" w:fill="auto"/>
            <w:vAlign w:val="center"/>
          </w:tcPr>
          <w:p w14:paraId="0D81388F" w14:textId="2D6A7914" w:rsidR="00C01F53" w:rsidRPr="00854BE2" w:rsidRDefault="00C01F53" w:rsidP="00C01F53">
            <w:pPr>
              <w:jc w:val="center"/>
              <w:rPr>
                <w:rFonts w:ascii="Arial" w:hAnsi="Arial" w:cs="Arial"/>
                <w:i/>
                <w:sz w:val="20"/>
                <w:szCs w:val="20"/>
              </w:rPr>
            </w:pPr>
            <w:r>
              <w:rPr>
                <w:rFonts w:ascii="Arial" w:hAnsi="Arial" w:cs="Arial"/>
                <w:i/>
                <w:sz w:val="20"/>
                <w:szCs w:val="20"/>
              </w:rPr>
              <w:t>33</w:t>
            </w:r>
          </w:p>
        </w:tc>
        <w:tc>
          <w:tcPr>
            <w:tcW w:w="1265" w:type="dxa"/>
            <w:shd w:val="clear" w:color="auto" w:fill="auto"/>
            <w:vAlign w:val="center"/>
          </w:tcPr>
          <w:p w14:paraId="31637FDF" w14:textId="6497749C" w:rsidR="00C01F53" w:rsidRPr="00854BE2" w:rsidRDefault="00C01F53" w:rsidP="00C01F53">
            <w:pPr>
              <w:jc w:val="center"/>
              <w:rPr>
                <w:rFonts w:ascii="Arial" w:hAnsi="Arial" w:cs="Arial"/>
                <w:i/>
                <w:sz w:val="20"/>
                <w:szCs w:val="20"/>
              </w:rPr>
            </w:pPr>
          </w:p>
        </w:tc>
      </w:tr>
    </w:tbl>
    <w:p w14:paraId="528EEF0D" w14:textId="77777777" w:rsidR="001E7055" w:rsidRDefault="001E7055" w:rsidP="001E7055"/>
    <w:p w14:paraId="5075B42B" w14:textId="77777777" w:rsidR="001E7055" w:rsidRDefault="001E7055" w:rsidP="001E7055"/>
    <w:p w14:paraId="4E8DA56B" w14:textId="77777777" w:rsidR="001E7055" w:rsidRDefault="001E7055" w:rsidP="001E7055"/>
    <w:p w14:paraId="2B0FE4DF" w14:textId="77777777" w:rsidR="001E7055" w:rsidRDefault="001E7055" w:rsidP="001E7055"/>
    <w:p w14:paraId="1BCC012D" w14:textId="77777777" w:rsidR="001E7055" w:rsidRDefault="001E7055" w:rsidP="001E7055"/>
    <w:p w14:paraId="7C55DDBB" w14:textId="77777777" w:rsidR="001E7055" w:rsidRDefault="001E7055" w:rsidP="001E7055"/>
    <w:p w14:paraId="6A5D12A6" w14:textId="284231FC" w:rsidR="00176AB4" w:rsidRPr="000A632F" w:rsidRDefault="001E7055" w:rsidP="000A632F">
      <w:r>
        <w:br w:type="page"/>
      </w:r>
      <w:bookmarkEnd w:id="3"/>
      <w:r w:rsidR="00176AB4">
        <w:rPr>
          <w:rFonts w:ascii="Arial" w:hAnsi="Arial" w:cs="Arial"/>
          <w:b/>
          <w:bCs/>
        </w:rPr>
        <w:lastRenderedPageBreak/>
        <w:t>Performance Measure Explanatory Notes</w:t>
      </w:r>
    </w:p>
    <w:p w14:paraId="5E1D696E" w14:textId="77777777" w:rsidR="00E74347" w:rsidRDefault="00E74347" w:rsidP="00176AB4">
      <w:pPr>
        <w:jc w:val="both"/>
        <w:rPr>
          <w:rFonts w:ascii="Arial" w:hAnsi="Arial" w:cs="Arial"/>
          <w:b/>
          <w:bCs/>
        </w:rPr>
      </w:pPr>
    </w:p>
    <w:p w14:paraId="2669088C" w14:textId="77777777" w:rsidR="00E74347" w:rsidRPr="00DC7EDD" w:rsidRDefault="00E74347" w:rsidP="00E74347">
      <w:pPr>
        <w:pStyle w:val="ListParagraph"/>
        <w:numPr>
          <w:ilvl w:val="0"/>
          <w:numId w:val="25"/>
        </w:numPr>
        <w:ind w:left="450" w:hanging="270"/>
        <w:jc w:val="both"/>
        <w:rPr>
          <w:rFonts w:cs="Arial"/>
          <w:i/>
          <w:szCs w:val="20"/>
        </w:rPr>
      </w:pPr>
      <w:r w:rsidRPr="00DC7EDD">
        <w:rPr>
          <w:rFonts w:cs="Arial"/>
          <w:szCs w:val="20"/>
        </w:rPr>
        <w:t xml:space="preserve">The addition of new goals and metrics reflected in this report are intended to better capture the quality and impact of ODP’s efforts moving forward, rather than simply reflect event-based, quantitative outcomes.  </w:t>
      </w:r>
    </w:p>
    <w:p w14:paraId="2679982C" w14:textId="77777777" w:rsidR="00E74347" w:rsidRPr="00DC7EDD" w:rsidRDefault="00E74347" w:rsidP="00E74347">
      <w:pPr>
        <w:pStyle w:val="ListParagraph"/>
        <w:numPr>
          <w:ilvl w:val="0"/>
          <w:numId w:val="25"/>
        </w:numPr>
        <w:ind w:left="450" w:hanging="270"/>
        <w:jc w:val="both"/>
        <w:rPr>
          <w:rFonts w:cs="Arial"/>
          <w:i/>
          <w:szCs w:val="20"/>
        </w:rPr>
      </w:pPr>
      <w:r w:rsidRPr="00DC7EDD">
        <w:rPr>
          <w:rFonts w:cs="Arial"/>
          <w:szCs w:val="20"/>
        </w:rPr>
        <w:t>Current Performance Measures are reported through FY23.</w:t>
      </w:r>
    </w:p>
    <w:p w14:paraId="21CF9FBF" w14:textId="77777777" w:rsidR="00E74347" w:rsidRPr="00DC7EDD" w:rsidRDefault="00E74347" w:rsidP="00E74347">
      <w:pPr>
        <w:pStyle w:val="ListParagraph"/>
        <w:numPr>
          <w:ilvl w:val="0"/>
          <w:numId w:val="25"/>
        </w:numPr>
        <w:ind w:left="450" w:hanging="270"/>
        <w:jc w:val="both"/>
        <w:rPr>
          <w:rFonts w:cs="Arial"/>
          <w:i/>
          <w:szCs w:val="20"/>
        </w:rPr>
      </w:pPr>
      <w:r w:rsidRPr="00DC7EDD">
        <w:rPr>
          <w:rFonts w:cs="Arial"/>
          <w:szCs w:val="20"/>
        </w:rPr>
        <w:t>Stakeholder contacts include strategic events, meetings, informational sessions, in-person communications.</w:t>
      </w:r>
    </w:p>
    <w:p w14:paraId="353036B8" w14:textId="77777777" w:rsidR="00E74347" w:rsidRPr="00DC7EDD" w:rsidRDefault="00E74347" w:rsidP="00E74347">
      <w:pPr>
        <w:pStyle w:val="ListParagraph"/>
        <w:numPr>
          <w:ilvl w:val="0"/>
          <w:numId w:val="25"/>
        </w:numPr>
        <w:ind w:left="450" w:hanging="270"/>
        <w:jc w:val="both"/>
        <w:rPr>
          <w:rFonts w:cs="Arial"/>
          <w:i/>
          <w:szCs w:val="20"/>
        </w:rPr>
      </w:pPr>
      <w:r w:rsidRPr="00DC7EDD">
        <w:rPr>
          <w:rFonts w:cs="Arial"/>
          <w:szCs w:val="20"/>
        </w:rPr>
        <w:t>Law enforcement agency support includes awarding of grant funding and assistance with training opportunities.</w:t>
      </w:r>
    </w:p>
    <w:p w14:paraId="15B00840" w14:textId="77777777" w:rsidR="00E74347" w:rsidRPr="00DC7EDD" w:rsidRDefault="00E74347" w:rsidP="00E74347">
      <w:pPr>
        <w:pStyle w:val="ListParagraph"/>
        <w:numPr>
          <w:ilvl w:val="0"/>
          <w:numId w:val="25"/>
        </w:numPr>
        <w:ind w:left="450" w:hanging="270"/>
        <w:jc w:val="both"/>
        <w:rPr>
          <w:rFonts w:cs="Arial"/>
          <w:i/>
          <w:szCs w:val="20"/>
        </w:rPr>
      </w:pPr>
      <w:r w:rsidRPr="00DC7EDD">
        <w:rPr>
          <w:rFonts w:cs="Arial"/>
          <w:szCs w:val="20"/>
        </w:rPr>
        <w:t>Workgroup and stakeholder satisfaction with outcomes achieved through participant surveys.</w:t>
      </w:r>
    </w:p>
    <w:p w14:paraId="1D394174" w14:textId="77777777" w:rsidR="00E74347" w:rsidRPr="00DC7EDD" w:rsidRDefault="00E74347" w:rsidP="00E74347">
      <w:pPr>
        <w:pStyle w:val="ListParagraph"/>
        <w:numPr>
          <w:ilvl w:val="0"/>
          <w:numId w:val="25"/>
        </w:numPr>
        <w:ind w:left="450" w:hanging="270"/>
        <w:jc w:val="both"/>
        <w:rPr>
          <w:rFonts w:cs="Arial"/>
          <w:szCs w:val="20"/>
        </w:rPr>
      </w:pPr>
      <w:r w:rsidRPr="00DC7EDD">
        <w:rPr>
          <w:rFonts w:cs="Arial"/>
          <w:szCs w:val="20"/>
        </w:rPr>
        <w:t>Complete qualitative and quantitative data from grantees includes, but is not limited to, fiscal, programmatic, and participant survey data.</w:t>
      </w:r>
    </w:p>
    <w:p w14:paraId="3890B1D5" w14:textId="77777777" w:rsidR="00E74347" w:rsidRPr="00DC7EDD" w:rsidRDefault="00E74347" w:rsidP="00E74347">
      <w:pPr>
        <w:pStyle w:val="ListParagraph"/>
        <w:numPr>
          <w:ilvl w:val="0"/>
          <w:numId w:val="25"/>
        </w:numPr>
        <w:ind w:left="450" w:hanging="270"/>
        <w:jc w:val="both"/>
        <w:rPr>
          <w:rFonts w:cs="Arial"/>
          <w:szCs w:val="20"/>
        </w:rPr>
      </w:pPr>
      <w:r w:rsidRPr="00DC7EDD">
        <w:rPr>
          <w:rFonts w:cs="Arial"/>
          <w:szCs w:val="20"/>
        </w:rPr>
        <w:t>Presentation and training to grantees includes both in-person and virtual sessions.</w:t>
      </w:r>
    </w:p>
    <w:p w14:paraId="0259F891" w14:textId="77777777" w:rsidR="00E74347" w:rsidRDefault="00E74347" w:rsidP="00E74347">
      <w:pPr>
        <w:pStyle w:val="ListParagraph"/>
        <w:numPr>
          <w:ilvl w:val="0"/>
          <w:numId w:val="25"/>
        </w:numPr>
        <w:ind w:left="450" w:hanging="270"/>
        <w:jc w:val="both"/>
        <w:rPr>
          <w:rFonts w:cs="Arial"/>
          <w:szCs w:val="20"/>
        </w:rPr>
      </w:pPr>
      <w:r w:rsidRPr="00DC7EDD">
        <w:rPr>
          <w:rFonts w:cs="Arial"/>
          <w:szCs w:val="20"/>
        </w:rPr>
        <w:t>Evidence-based programs/practices/strategies are recognized by national registries and/or included on Idaho’s list of approved programs as vetted by the State Epidemiological Outcomes Workgroup (SEOW).</w:t>
      </w:r>
    </w:p>
    <w:p w14:paraId="0DE6CC5F" w14:textId="3680B2D9" w:rsidR="008C334D" w:rsidRPr="00E74347" w:rsidRDefault="00E74347" w:rsidP="00E74347">
      <w:pPr>
        <w:pStyle w:val="ListParagraph"/>
        <w:numPr>
          <w:ilvl w:val="0"/>
          <w:numId w:val="25"/>
        </w:numPr>
        <w:ind w:left="450" w:hanging="270"/>
        <w:jc w:val="both"/>
        <w:rPr>
          <w:rFonts w:cs="Arial"/>
          <w:szCs w:val="20"/>
        </w:rPr>
      </w:pPr>
      <w:r w:rsidRPr="00E74347">
        <w:rPr>
          <w:rFonts w:cs="Arial"/>
          <w:szCs w:val="20"/>
        </w:rPr>
        <w:t>Reach of awareness campaigns may be documented by reach (number of individuals who see the content), impressions (number of times the content is displayed), website visits, and attendance/participation.</w:t>
      </w:r>
    </w:p>
    <w:p w14:paraId="4D61C869" w14:textId="3B524600" w:rsidR="001D3F55" w:rsidRDefault="001D3F55">
      <w:pPr>
        <w:rPr>
          <w:rFonts w:ascii="Arial" w:hAnsi="Arial"/>
          <w:sz w:val="20"/>
          <w:szCs w:val="20"/>
        </w:rPr>
      </w:pPr>
    </w:p>
    <w:p w14:paraId="5E545061" w14:textId="639C8608" w:rsidR="001D3F55" w:rsidRDefault="001D3F55">
      <w:pPr>
        <w:rPr>
          <w:rFonts w:ascii="Arial" w:hAnsi="Arial"/>
          <w:sz w:val="20"/>
          <w:szCs w:val="20"/>
        </w:rPr>
      </w:pPr>
    </w:p>
    <w:p w14:paraId="06CED739" w14:textId="77777777" w:rsidR="001D3F55" w:rsidRPr="009C5DBA" w:rsidRDefault="001D3F55">
      <w:pPr>
        <w:rPr>
          <w:rFonts w:ascii="Arial" w:hAnsi="Arial"/>
          <w:sz w:val="20"/>
          <w:szCs w:val="20"/>
        </w:rPr>
      </w:pPr>
    </w:p>
    <w:tbl>
      <w:tblPr>
        <w:tblpPr w:leftFromText="187" w:rightFromText="187" w:vertAnchor="text" w:horzAnchor="margin" w:tblpXSpec="center" w:tblpY="-40"/>
        <w:tblW w:w="0" w:type="auto"/>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7680"/>
      </w:tblGrid>
      <w:tr w:rsidR="001F5A1D" w:rsidRPr="0072258F" w14:paraId="162BF375" w14:textId="77777777" w:rsidTr="001F5A1D">
        <w:tc>
          <w:tcPr>
            <w:tcW w:w="7680" w:type="dxa"/>
            <w:tcBorders>
              <w:top w:val="threeDEmboss" w:sz="24" w:space="0" w:color="333399"/>
              <w:left w:val="threeDEmboss" w:sz="24" w:space="0" w:color="333399"/>
              <w:bottom w:val="threeDEmboss" w:sz="24" w:space="0" w:color="333399"/>
              <w:right w:val="threeDEmboss" w:sz="24" w:space="0" w:color="333399"/>
            </w:tcBorders>
          </w:tcPr>
          <w:p w14:paraId="6A3B1CB2" w14:textId="77777777" w:rsidR="001F5A1D" w:rsidRDefault="001F5A1D" w:rsidP="001F5A1D">
            <w:pPr>
              <w:spacing w:before="120"/>
              <w:jc w:val="center"/>
              <w:rPr>
                <w:rFonts w:ascii="Arial" w:hAnsi="Arial" w:cs="Arial"/>
                <w:b/>
                <w:bCs/>
                <w:sz w:val="20"/>
              </w:rPr>
            </w:pPr>
            <w:r>
              <w:rPr>
                <w:rFonts w:ascii="Arial" w:hAnsi="Arial" w:cs="Arial"/>
                <w:b/>
                <w:bCs/>
                <w:sz w:val="20"/>
              </w:rPr>
              <w:t>For</w:t>
            </w:r>
            <w:r w:rsidRPr="0072258F">
              <w:rPr>
                <w:rFonts w:ascii="Arial" w:hAnsi="Arial" w:cs="Arial"/>
                <w:b/>
                <w:bCs/>
                <w:sz w:val="20"/>
              </w:rPr>
              <w:t xml:space="preserve"> More Information Contact:</w:t>
            </w:r>
          </w:p>
          <w:p w14:paraId="78C8BDBD" w14:textId="77777777" w:rsidR="001F5A1D" w:rsidRPr="0072258F" w:rsidRDefault="001F5A1D" w:rsidP="001F5A1D">
            <w:pPr>
              <w:jc w:val="center"/>
              <w:rPr>
                <w:rFonts w:ascii="Arial" w:hAnsi="Arial" w:cs="Arial"/>
                <w:sz w:val="20"/>
              </w:rPr>
            </w:pPr>
          </w:p>
          <w:p w14:paraId="4823FD23" w14:textId="4DA0AD42" w:rsidR="001F5A1D" w:rsidRDefault="001139F6" w:rsidP="001F5A1D">
            <w:pPr>
              <w:ind w:left="252"/>
              <w:rPr>
                <w:rFonts w:ascii="Arial" w:hAnsi="Arial" w:cs="Arial"/>
                <w:noProof/>
                <w:sz w:val="20"/>
              </w:rPr>
            </w:pPr>
            <w:r>
              <w:rPr>
                <w:rFonts w:ascii="Arial" w:hAnsi="Arial" w:cs="Arial"/>
                <w:noProof/>
                <w:sz w:val="20"/>
              </w:rPr>
              <w:t>Marianne King</w:t>
            </w:r>
            <w:r w:rsidR="001F5A1D">
              <w:rPr>
                <w:rFonts w:ascii="Arial" w:hAnsi="Arial" w:cs="Arial"/>
                <w:noProof/>
                <w:sz w:val="20"/>
              </w:rPr>
              <w:t>,</w:t>
            </w:r>
            <w:r w:rsidR="007D3BAF">
              <w:rPr>
                <w:rFonts w:ascii="Arial" w:hAnsi="Arial" w:cs="Arial"/>
                <w:noProof/>
                <w:sz w:val="20"/>
              </w:rPr>
              <w:t xml:space="preserve"> </w:t>
            </w:r>
            <w:r w:rsidR="001F5A1D">
              <w:rPr>
                <w:rFonts w:ascii="Arial" w:hAnsi="Arial" w:cs="Arial"/>
                <w:noProof/>
                <w:sz w:val="20"/>
              </w:rPr>
              <w:t>Administrator</w:t>
            </w:r>
          </w:p>
          <w:p w14:paraId="27B2FCC3" w14:textId="77777777" w:rsidR="001F5A1D" w:rsidRPr="0072258F" w:rsidRDefault="001F5A1D" w:rsidP="001F5A1D">
            <w:pPr>
              <w:ind w:left="252"/>
              <w:rPr>
                <w:rFonts w:ascii="Arial" w:hAnsi="Arial" w:cs="Arial"/>
                <w:sz w:val="20"/>
              </w:rPr>
            </w:pPr>
            <w:r>
              <w:rPr>
                <w:rFonts w:ascii="Arial" w:hAnsi="Arial" w:cs="Arial"/>
                <w:noProof/>
                <w:sz w:val="20"/>
              </w:rPr>
              <w:t xml:space="preserve">Idaho </w:t>
            </w:r>
            <w:r w:rsidRPr="0072258F">
              <w:rPr>
                <w:rFonts w:ascii="Arial" w:hAnsi="Arial" w:cs="Arial"/>
                <w:noProof/>
                <w:sz w:val="20"/>
              </w:rPr>
              <w:t>Office of Drug Policy</w:t>
            </w:r>
          </w:p>
          <w:p w14:paraId="18977E8A" w14:textId="77777777" w:rsidR="001F5A1D" w:rsidRPr="0072258F" w:rsidRDefault="001F5A1D" w:rsidP="001F5A1D">
            <w:pPr>
              <w:ind w:left="252"/>
              <w:rPr>
                <w:rFonts w:ascii="Arial" w:hAnsi="Arial" w:cs="Arial"/>
                <w:sz w:val="20"/>
                <w:lang w:val="fr-FR"/>
              </w:rPr>
            </w:pPr>
            <w:r w:rsidRPr="0072258F">
              <w:rPr>
                <w:rFonts w:ascii="Arial" w:hAnsi="Arial" w:cs="Arial"/>
                <w:noProof/>
                <w:sz w:val="20"/>
                <w:lang w:val="fr-FR"/>
              </w:rPr>
              <w:t>PO Box 83720</w:t>
            </w:r>
          </w:p>
          <w:p w14:paraId="06DE225E" w14:textId="77777777" w:rsidR="001F5A1D" w:rsidRPr="0072258F" w:rsidRDefault="001F5A1D" w:rsidP="001F5A1D">
            <w:pPr>
              <w:ind w:left="252"/>
              <w:rPr>
                <w:rFonts w:ascii="Arial" w:hAnsi="Arial" w:cs="Arial"/>
                <w:sz w:val="20"/>
                <w:lang w:val="fr-FR"/>
              </w:rPr>
            </w:pPr>
            <w:r w:rsidRPr="0072258F">
              <w:rPr>
                <w:rFonts w:ascii="Arial" w:hAnsi="Arial" w:cs="Arial"/>
                <w:noProof/>
                <w:sz w:val="20"/>
                <w:lang w:val="fr-FR"/>
              </w:rPr>
              <w:t>Boise</w:t>
            </w:r>
            <w:r w:rsidRPr="0072258F">
              <w:rPr>
                <w:rFonts w:ascii="Arial" w:hAnsi="Arial" w:cs="Arial"/>
                <w:sz w:val="20"/>
                <w:lang w:val="fr-FR"/>
              </w:rPr>
              <w:t xml:space="preserve">, </w:t>
            </w:r>
            <w:r w:rsidRPr="0072258F">
              <w:rPr>
                <w:rFonts w:ascii="Arial" w:hAnsi="Arial" w:cs="Arial"/>
                <w:noProof/>
                <w:sz w:val="20"/>
                <w:lang w:val="fr-FR"/>
              </w:rPr>
              <w:t>ID</w:t>
            </w:r>
            <w:r w:rsidRPr="0072258F">
              <w:rPr>
                <w:rFonts w:ascii="Arial" w:hAnsi="Arial" w:cs="Arial"/>
                <w:sz w:val="20"/>
                <w:lang w:val="fr-FR"/>
              </w:rPr>
              <w:t xml:space="preserve">  </w:t>
            </w:r>
            <w:r w:rsidRPr="0072258F">
              <w:rPr>
                <w:rFonts w:ascii="Arial" w:hAnsi="Arial" w:cs="Arial"/>
                <w:noProof/>
                <w:sz w:val="20"/>
                <w:lang w:val="fr-FR"/>
              </w:rPr>
              <w:t>83720</w:t>
            </w:r>
          </w:p>
          <w:p w14:paraId="12D92666" w14:textId="0B27F5E3" w:rsidR="001F5A1D" w:rsidRDefault="00435FBD" w:rsidP="001F5A1D">
            <w:pPr>
              <w:ind w:left="252"/>
              <w:rPr>
                <w:rFonts w:ascii="Arial" w:hAnsi="Arial" w:cs="Arial"/>
                <w:sz w:val="20"/>
                <w:lang w:val="fr-FR"/>
              </w:rPr>
            </w:pPr>
            <w:r w:rsidRPr="0072258F">
              <w:rPr>
                <w:rFonts w:ascii="Arial" w:hAnsi="Arial" w:cs="Arial"/>
                <w:sz w:val="20"/>
                <w:lang w:val="fr-FR"/>
              </w:rPr>
              <w:t>Phone :</w:t>
            </w:r>
            <w:r w:rsidR="001F5A1D" w:rsidRPr="0072258F">
              <w:rPr>
                <w:rFonts w:ascii="Arial" w:hAnsi="Arial" w:cs="Arial"/>
                <w:sz w:val="20"/>
                <w:lang w:val="fr-FR"/>
              </w:rPr>
              <w:t xml:space="preserve"> </w:t>
            </w:r>
            <w:r w:rsidR="001F5A1D">
              <w:rPr>
                <w:rFonts w:ascii="Arial" w:hAnsi="Arial" w:cs="Arial"/>
                <w:sz w:val="20"/>
                <w:lang w:val="fr-FR"/>
              </w:rPr>
              <w:t>208-854-3040</w:t>
            </w:r>
          </w:p>
          <w:p w14:paraId="2FA2DE03" w14:textId="5207B994" w:rsidR="001F5A1D" w:rsidRPr="0072258F" w:rsidRDefault="00435FBD" w:rsidP="00D539F7">
            <w:pPr>
              <w:spacing w:after="120"/>
              <w:ind w:left="252"/>
              <w:rPr>
                <w:rFonts w:ascii="Arial" w:hAnsi="Arial" w:cs="Arial"/>
                <w:sz w:val="20"/>
                <w:lang w:val="fr-FR"/>
              </w:rPr>
            </w:pPr>
            <w:r>
              <w:rPr>
                <w:rFonts w:ascii="Arial" w:hAnsi="Arial" w:cs="Arial"/>
                <w:sz w:val="20"/>
                <w:lang w:val="fr-FR"/>
              </w:rPr>
              <w:t>E-mail :</w:t>
            </w:r>
            <w:r w:rsidR="001F5A1D">
              <w:rPr>
                <w:rFonts w:ascii="Arial" w:hAnsi="Arial" w:cs="Arial"/>
                <w:sz w:val="20"/>
                <w:lang w:val="fr-FR"/>
              </w:rPr>
              <w:t xml:space="preserve"> </w:t>
            </w:r>
            <w:hyperlink r:id="rId11" w:history="1">
              <w:r w:rsidR="001139F6" w:rsidRPr="00213C0A">
                <w:rPr>
                  <w:rStyle w:val="Hyperlink"/>
                  <w:rFonts w:ascii="Arial" w:hAnsi="Arial" w:cs="Arial"/>
                  <w:sz w:val="20"/>
                  <w:lang w:val="fr-FR"/>
                </w:rPr>
                <w:t>m</w:t>
              </w:r>
              <w:r w:rsidR="001139F6" w:rsidRPr="00213C0A">
                <w:rPr>
                  <w:rStyle w:val="Hyperlink"/>
                  <w:lang w:val="fr-FR"/>
                </w:rPr>
                <w:t>arianne.king@odp.idaho.gov</w:t>
              </w:r>
            </w:hyperlink>
            <w:r w:rsidR="004C4E1B">
              <w:rPr>
                <w:rFonts w:ascii="Arial" w:hAnsi="Arial" w:cs="Arial"/>
                <w:sz w:val="20"/>
                <w:lang w:val="fr-FR"/>
              </w:rPr>
              <w:t xml:space="preserve"> </w:t>
            </w:r>
          </w:p>
        </w:tc>
      </w:tr>
    </w:tbl>
    <w:p w14:paraId="2F27853B" w14:textId="77777777" w:rsidR="00754CDF" w:rsidRPr="00484AE1" w:rsidRDefault="00754CDF" w:rsidP="00044A64">
      <w:pPr>
        <w:rPr>
          <w:rFonts w:ascii="Arial" w:hAnsi="Arial"/>
          <w:sz w:val="20"/>
        </w:rPr>
      </w:pPr>
    </w:p>
    <w:sectPr w:rsidR="00754CDF" w:rsidRPr="00484AE1" w:rsidSect="009B4950">
      <w:headerReference w:type="default" r:id="rId12"/>
      <w:footerReference w:type="default" r:id="rId13"/>
      <w:pgSz w:w="12240" w:h="15840"/>
      <w:pgMar w:top="1080" w:right="1080" w:bottom="720" w:left="108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D508D" w14:textId="77777777" w:rsidR="008D61F6" w:rsidRDefault="008D61F6" w:rsidP="00A35943">
      <w:r>
        <w:separator/>
      </w:r>
    </w:p>
  </w:endnote>
  <w:endnote w:type="continuationSeparator" w:id="0">
    <w:p w14:paraId="276CD0D0" w14:textId="77777777" w:rsidR="008D61F6" w:rsidRDefault="008D61F6" w:rsidP="00A35943">
      <w:r>
        <w:continuationSeparator/>
      </w:r>
    </w:p>
  </w:endnote>
  <w:endnote w:type="continuationNotice" w:id="1">
    <w:p w14:paraId="7998A776" w14:textId="77777777" w:rsidR="008D61F6" w:rsidRDefault="008D61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5352538"/>
      <w:docPartObj>
        <w:docPartGallery w:val="Page Numbers (Bottom of Page)"/>
        <w:docPartUnique/>
      </w:docPartObj>
    </w:sdtPr>
    <w:sdtEndPr>
      <w:rPr>
        <w:noProof/>
      </w:rPr>
    </w:sdtEndPr>
    <w:sdtContent>
      <w:p w14:paraId="79EBC3F4" w14:textId="77777777" w:rsidR="00B37144" w:rsidRPr="00B37144" w:rsidRDefault="00B37144" w:rsidP="0002241F">
        <w:pPr>
          <w:pStyle w:val="Footer"/>
          <w:tabs>
            <w:tab w:val="right" w:pos="10080"/>
          </w:tabs>
          <w:rPr>
            <w:rFonts w:ascii="Arial" w:hAnsi="Arial" w:cs="Arial"/>
            <w:sz w:val="20"/>
            <w:szCs w:val="20"/>
          </w:rPr>
        </w:pPr>
      </w:p>
      <w:p w14:paraId="64C95050" w14:textId="77777777" w:rsidR="000F56EB" w:rsidRPr="000F2F4F" w:rsidRDefault="000F56EB" w:rsidP="0002241F">
        <w:pPr>
          <w:pStyle w:val="Footer"/>
          <w:tabs>
            <w:tab w:val="right" w:pos="10080"/>
          </w:tabs>
          <w:rPr>
            <w:rFonts w:ascii="Arial" w:hAnsi="Arial" w:cs="Arial"/>
            <w:sz w:val="20"/>
            <w:szCs w:val="20"/>
          </w:rPr>
        </w:pPr>
        <w:r>
          <w:rPr>
            <w:rFonts w:ascii="Arial" w:hAnsi="Arial" w:cs="Arial"/>
            <w:sz w:val="20"/>
            <w:szCs w:val="20"/>
          </w:rPr>
          <w:t>State of Idaho</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D52E13">
          <w:rPr>
            <w:rFonts w:ascii="Arial" w:hAnsi="Arial" w:cs="Arial"/>
            <w:noProof/>
            <w:sz w:val="20"/>
            <w:szCs w:val="20"/>
          </w:rPr>
          <w:t>3</w:t>
        </w:r>
        <w:r>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1AB88" w14:textId="77777777" w:rsidR="008D61F6" w:rsidRDefault="008D61F6" w:rsidP="00A35943">
      <w:r>
        <w:separator/>
      </w:r>
    </w:p>
  </w:footnote>
  <w:footnote w:type="continuationSeparator" w:id="0">
    <w:p w14:paraId="46D69B8B" w14:textId="77777777" w:rsidR="008D61F6" w:rsidRDefault="008D61F6" w:rsidP="00A35943">
      <w:r>
        <w:continuationSeparator/>
      </w:r>
    </w:p>
  </w:footnote>
  <w:footnote w:type="continuationNotice" w:id="1">
    <w:p w14:paraId="2BFE680F" w14:textId="77777777" w:rsidR="008D61F6" w:rsidRDefault="008D61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80" w:type="dxa"/>
      <w:jc w:val="center"/>
      <w:tblBorders>
        <w:insideH w:val="single" w:sz="4" w:space="0" w:color="auto"/>
        <w:insideV w:val="single" w:sz="4" w:space="0" w:color="auto"/>
      </w:tblBorders>
      <w:tblLook w:val="0000" w:firstRow="0" w:lastRow="0" w:firstColumn="0" w:lastColumn="0" w:noHBand="0" w:noVBand="0"/>
    </w:tblPr>
    <w:tblGrid>
      <w:gridCol w:w="10080"/>
    </w:tblGrid>
    <w:tr w:rsidR="000F56EB" w14:paraId="48891E05" w14:textId="77777777" w:rsidTr="005D59C0">
      <w:trPr>
        <w:jc w:val="center"/>
      </w:trPr>
      <w:tc>
        <w:tcPr>
          <w:tcW w:w="10080" w:type="dxa"/>
          <w:shd w:val="clear" w:color="auto" w:fill="000080"/>
        </w:tcPr>
        <w:p w14:paraId="1B167B69" w14:textId="77777777" w:rsidR="000F56EB" w:rsidRDefault="000F56EB" w:rsidP="00B37144">
          <w:pPr>
            <w:tabs>
              <w:tab w:val="right" w:pos="9852"/>
            </w:tabs>
            <w:rPr>
              <w:rFonts w:ascii="Arial" w:hAnsi="Arial" w:cs="Arial"/>
              <w:color w:val="FFFFFF"/>
            </w:rPr>
          </w:pPr>
          <w:r>
            <w:rPr>
              <w:rFonts w:ascii="Arial" w:hAnsi="Arial" w:cs="Arial"/>
              <w:b/>
              <w:bCs/>
              <w:noProof/>
              <w:color w:val="FFFFFF"/>
            </w:rPr>
            <w:t>Office of Drug Policy</w:t>
          </w:r>
          <w:r>
            <w:rPr>
              <w:rFonts w:ascii="Arial" w:hAnsi="Arial" w:cs="Arial"/>
              <w:b/>
              <w:bCs/>
              <w:color w:val="FFFFFF"/>
            </w:rPr>
            <w:tab/>
          </w:r>
          <w:r>
            <w:rPr>
              <w:rFonts w:ascii="Arial" w:hAnsi="Arial" w:cs="Arial"/>
              <w:color w:val="FFFFFF"/>
            </w:rPr>
            <w:t>Performance Report</w:t>
          </w:r>
        </w:p>
      </w:tc>
    </w:tr>
    <w:tr w:rsidR="000F56EB" w14:paraId="0686AB98" w14:textId="77777777" w:rsidTr="005D59C0">
      <w:trPr>
        <w:trHeight w:hRule="exact" w:val="90"/>
        <w:jc w:val="center"/>
      </w:trPr>
      <w:tc>
        <w:tcPr>
          <w:tcW w:w="10080" w:type="dxa"/>
          <w:tcBorders>
            <w:top w:val="nil"/>
            <w:bottom w:val="single" w:sz="4" w:space="0" w:color="auto"/>
          </w:tcBorders>
        </w:tcPr>
        <w:p w14:paraId="4F518C78" w14:textId="77777777" w:rsidR="000F56EB" w:rsidRDefault="000F56EB" w:rsidP="005D59C0"/>
      </w:tc>
    </w:tr>
    <w:tr w:rsidR="000F56EB" w14:paraId="59F18C8E" w14:textId="77777777" w:rsidTr="005D59C0">
      <w:trPr>
        <w:jc w:val="center"/>
      </w:trPr>
      <w:tc>
        <w:tcPr>
          <w:tcW w:w="10080" w:type="dxa"/>
          <w:tcBorders>
            <w:top w:val="single" w:sz="4" w:space="0" w:color="auto"/>
            <w:bottom w:val="nil"/>
          </w:tcBorders>
          <w:shd w:val="clear" w:color="auto" w:fill="000080"/>
        </w:tcPr>
        <w:p w14:paraId="77718B15" w14:textId="77777777" w:rsidR="000F56EB" w:rsidRDefault="000F56EB" w:rsidP="005D59C0"/>
      </w:tc>
    </w:tr>
  </w:tbl>
  <w:p w14:paraId="22A9FB08" w14:textId="77777777" w:rsidR="000F56EB" w:rsidRPr="003C5B6A" w:rsidRDefault="000F56EB" w:rsidP="003C5B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75C1EDA"/>
    <w:lvl w:ilvl="0">
      <w:start w:val="1"/>
      <w:numFmt w:val="bullet"/>
      <w:pStyle w:val="ListBullet"/>
      <w:lvlText w:val=""/>
      <w:lvlJc w:val="left"/>
      <w:pPr>
        <w:tabs>
          <w:tab w:val="num" w:pos="1170"/>
        </w:tabs>
        <w:ind w:left="1170" w:hanging="360"/>
      </w:pPr>
      <w:rPr>
        <w:rFonts w:ascii="Symbol" w:hAnsi="Symbol" w:hint="default"/>
      </w:rPr>
    </w:lvl>
  </w:abstractNum>
  <w:abstractNum w:abstractNumId="1" w15:restartNumberingAfterBreak="0">
    <w:nsid w:val="04EC724B"/>
    <w:multiLevelType w:val="hybridMultilevel"/>
    <w:tmpl w:val="1E088184"/>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C2D88"/>
    <w:multiLevelType w:val="hybridMultilevel"/>
    <w:tmpl w:val="1FF2EC70"/>
    <w:lvl w:ilvl="0" w:tplc="17BA825C">
      <w:start w:val="1"/>
      <w:numFmt w:val="decimal"/>
      <w:lvlText w:val="%1."/>
      <w:lvlJc w:val="left"/>
      <w:pPr>
        <w:ind w:left="81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4FC3077"/>
    <w:multiLevelType w:val="hybridMultilevel"/>
    <w:tmpl w:val="2D0C9AE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47340F"/>
    <w:multiLevelType w:val="hybridMultilevel"/>
    <w:tmpl w:val="CDCA554C"/>
    <w:lvl w:ilvl="0" w:tplc="04090001">
      <w:start w:val="1"/>
      <w:numFmt w:val="bullet"/>
      <w:lvlText w:val=""/>
      <w:lvlJc w:val="left"/>
      <w:pPr>
        <w:ind w:left="720" w:hanging="360"/>
      </w:pPr>
      <w:rPr>
        <w:rFonts w:ascii="Symbol" w:hAnsi="Symbol" w:hint="default"/>
      </w:rPr>
    </w:lvl>
    <w:lvl w:ilvl="1" w:tplc="EFCC1FC4">
      <w:numFmt w:val="bullet"/>
      <w:lvlText w:val="·"/>
      <w:lvlJc w:val="left"/>
      <w:pPr>
        <w:ind w:left="1470" w:hanging="390"/>
      </w:pPr>
      <w:rPr>
        <w:rFonts w:ascii="Arial" w:eastAsia="Symbo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9E0A23"/>
    <w:multiLevelType w:val="hybridMultilevel"/>
    <w:tmpl w:val="B4E2D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F619CC"/>
    <w:multiLevelType w:val="hybridMultilevel"/>
    <w:tmpl w:val="A39C3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DD7489"/>
    <w:multiLevelType w:val="hybridMultilevel"/>
    <w:tmpl w:val="40008C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426F4F40"/>
    <w:multiLevelType w:val="hybridMultilevel"/>
    <w:tmpl w:val="85962A3A"/>
    <w:lvl w:ilvl="0" w:tplc="73FE685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A439A3"/>
    <w:multiLevelType w:val="hybridMultilevel"/>
    <w:tmpl w:val="D160F9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2C7AE4"/>
    <w:multiLevelType w:val="hybridMultilevel"/>
    <w:tmpl w:val="9FB2E7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1262EC"/>
    <w:multiLevelType w:val="hybridMultilevel"/>
    <w:tmpl w:val="9D82FE74"/>
    <w:lvl w:ilvl="0" w:tplc="DECE1D2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CF0CDF"/>
    <w:multiLevelType w:val="hybridMultilevel"/>
    <w:tmpl w:val="1FF2EC70"/>
    <w:lvl w:ilvl="0" w:tplc="17BA825C">
      <w:start w:val="1"/>
      <w:numFmt w:val="decimal"/>
      <w:lvlText w:val="%1."/>
      <w:lvlJc w:val="left"/>
      <w:pPr>
        <w:ind w:left="81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52D03ACC"/>
    <w:multiLevelType w:val="hybridMultilevel"/>
    <w:tmpl w:val="FEB04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F7705F"/>
    <w:multiLevelType w:val="hybridMultilevel"/>
    <w:tmpl w:val="B296993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CD7478"/>
    <w:multiLevelType w:val="hybridMultilevel"/>
    <w:tmpl w:val="FAECE7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67F0938"/>
    <w:multiLevelType w:val="hybridMultilevel"/>
    <w:tmpl w:val="1FF2EC70"/>
    <w:lvl w:ilvl="0" w:tplc="17BA825C">
      <w:start w:val="1"/>
      <w:numFmt w:val="decimal"/>
      <w:lvlText w:val="%1."/>
      <w:lvlJc w:val="left"/>
      <w:pPr>
        <w:ind w:left="81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5C196470"/>
    <w:multiLevelType w:val="hybridMultilevel"/>
    <w:tmpl w:val="B5309DA2"/>
    <w:lvl w:ilvl="0" w:tplc="1E84F64E">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5C2662E4"/>
    <w:multiLevelType w:val="hybridMultilevel"/>
    <w:tmpl w:val="B296993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5F021F"/>
    <w:multiLevelType w:val="hybridMultilevel"/>
    <w:tmpl w:val="0E60E01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026A4F"/>
    <w:multiLevelType w:val="multilevel"/>
    <w:tmpl w:val="F97212F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EFB587E"/>
    <w:multiLevelType w:val="hybridMultilevel"/>
    <w:tmpl w:val="6ABC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212627"/>
    <w:multiLevelType w:val="hybridMultilevel"/>
    <w:tmpl w:val="BE36B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89402C"/>
    <w:multiLevelType w:val="hybridMultilevel"/>
    <w:tmpl w:val="33E65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69511B"/>
    <w:multiLevelType w:val="hybridMultilevel"/>
    <w:tmpl w:val="781AE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757019"/>
    <w:multiLevelType w:val="hybridMultilevel"/>
    <w:tmpl w:val="27D43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AA6460"/>
    <w:multiLevelType w:val="hybridMultilevel"/>
    <w:tmpl w:val="D77EABC4"/>
    <w:lvl w:ilvl="0" w:tplc="DECE1D26">
      <w:start w:val="1"/>
      <w:numFmt w:val="bullet"/>
      <w:lvlText w:val="o"/>
      <w:lvlJc w:val="left"/>
      <w:pPr>
        <w:tabs>
          <w:tab w:val="num" w:pos="288"/>
        </w:tabs>
        <w:ind w:left="288" w:hanging="288"/>
      </w:pPr>
      <w:rPr>
        <w:rFonts w:ascii="Courier New" w:hAnsi="Courier New"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num w:numId="1" w16cid:durableId="908463093">
    <w:abstractNumId w:val="0"/>
  </w:num>
  <w:num w:numId="2" w16cid:durableId="2126851974">
    <w:abstractNumId w:val="15"/>
  </w:num>
  <w:num w:numId="3" w16cid:durableId="1157381049">
    <w:abstractNumId w:val="10"/>
  </w:num>
  <w:num w:numId="4" w16cid:durableId="636951509">
    <w:abstractNumId w:val="26"/>
  </w:num>
  <w:num w:numId="5" w16cid:durableId="1360660827">
    <w:abstractNumId w:val="11"/>
  </w:num>
  <w:num w:numId="6" w16cid:durableId="362440144">
    <w:abstractNumId w:val="21"/>
  </w:num>
  <w:num w:numId="7" w16cid:durableId="33310402">
    <w:abstractNumId w:val="4"/>
  </w:num>
  <w:num w:numId="8" w16cid:durableId="1368025500">
    <w:abstractNumId w:val="13"/>
  </w:num>
  <w:num w:numId="9" w16cid:durableId="373501483">
    <w:abstractNumId w:val="22"/>
  </w:num>
  <w:num w:numId="10" w16cid:durableId="299768284">
    <w:abstractNumId w:val="7"/>
  </w:num>
  <w:num w:numId="11" w16cid:durableId="1953828373">
    <w:abstractNumId w:val="23"/>
  </w:num>
  <w:num w:numId="12" w16cid:durableId="119424517">
    <w:abstractNumId w:val="24"/>
  </w:num>
  <w:num w:numId="13" w16cid:durableId="1040516068">
    <w:abstractNumId w:val="8"/>
  </w:num>
  <w:num w:numId="14" w16cid:durableId="546841762">
    <w:abstractNumId w:val="12"/>
  </w:num>
  <w:num w:numId="15" w16cid:durableId="1069227325">
    <w:abstractNumId w:val="16"/>
  </w:num>
  <w:num w:numId="16" w16cid:durableId="726759800">
    <w:abstractNumId w:val="2"/>
  </w:num>
  <w:num w:numId="17" w16cid:durableId="873419136">
    <w:abstractNumId w:val="14"/>
  </w:num>
  <w:num w:numId="18" w16cid:durableId="1906184710">
    <w:abstractNumId w:val="18"/>
  </w:num>
  <w:num w:numId="19" w16cid:durableId="1822304036">
    <w:abstractNumId w:val="19"/>
  </w:num>
  <w:num w:numId="20" w16cid:durableId="2041514973">
    <w:abstractNumId w:val="3"/>
  </w:num>
  <w:num w:numId="21" w16cid:durableId="2051876685">
    <w:abstractNumId w:val="1"/>
  </w:num>
  <w:num w:numId="22" w16cid:durableId="241373903">
    <w:abstractNumId w:val="17"/>
  </w:num>
  <w:num w:numId="23" w16cid:durableId="1180706161">
    <w:abstractNumId w:val="20"/>
  </w:num>
  <w:num w:numId="24" w16cid:durableId="1248033017">
    <w:abstractNumId w:val="9"/>
  </w:num>
  <w:num w:numId="25" w16cid:durableId="1940872037">
    <w:abstractNumId w:val="25"/>
  </w:num>
  <w:num w:numId="26" w16cid:durableId="1956324404">
    <w:abstractNumId w:val="5"/>
  </w:num>
  <w:num w:numId="27" w16cid:durableId="15942460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0NzI2NTewsDA1MDJU0lEKTi0uzszPAykwrAUA8LDZXywAAAA="/>
  </w:docVars>
  <w:rsids>
    <w:rsidRoot w:val="00A26074"/>
    <w:rsid w:val="00002D01"/>
    <w:rsid w:val="00005368"/>
    <w:rsid w:val="00006098"/>
    <w:rsid w:val="000070BD"/>
    <w:rsid w:val="00010292"/>
    <w:rsid w:val="0002241F"/>
    <w:rsid w:val="00027882"/>
    <w:rsid w:val="00033319"/>
    <w:rsid w:val="000363BA"/>
    <w:rsid w:val="00041DB5"/>
    <w:rsid w:val="00044A64"/>
    <w:rsid w:val="00044A90"/>
    <w:rsid w:val="00054462"/>
    <w:rsid w:val="0006094C"/>
    <w:rsid w:val="00071516"/>
    <w:rsid w:val="000856E0"/>
    <w:rsid w:val="00093345"/>
    <w:rsid w:val="000968F7"/>
    <w:rsid w:val="000A1E40"/>
    <w:rsid w:val="000A2BCC"/>
    <w:rsid w:val="000A3950"/>
    <w:rsid w:val="000A632F"/>
    <w:rsid w:val="000A7C40"/>
    <w:rsid w:val="000B1006"/>
    <w:rsid w:val="000B1078"/>
    <w:rsid w:val="000B4EDF"/>
    <w:rsid w:val="000B57F1"/>
    <w:rsid w:val="000B7ED9"/>
    <w:rsid w:val="000C0370"/>
    <w:rsid w:val="000C6EAB"/>
    <w:rsid w:val="000D49D7"/>
    <w:rsid w:val="000D7729"/>
    <w:rsid w:val="000E065F"/>
    <w:rsid w:val="000E158B"/>
    <w:rsid w:val="000E61D4"/>
    <w:rsid w:val="000E6B45"/>
    <w:rsid w:val="000F1261"/>
    <w:rsid w:val="000F2E0E"/>
    <w:rsid w:val="000F2F4F"/>
    <w:rsid w:val="000F32FE"/>
    <w:rsid w:val="000F56EB"/>
    <w:rsid w:val="00105B56"/>
    <w:rsid w:val="00111444"/>
    <w:rsid w:val="0011252F"/>
    <w:rsid w:val="001139F6"/>
    <w:rsid w:val="00116AB9"/>
    <w:rsid w:val="00117654"/>
    <w:rsid w:val="001368AB"/>
    <w:rsid w:val="001374FC"/>
    <w:rsid w:val="00146C05"/>
    <w:rsid w:val="00151528"/>
    <w:rsid w:val="001530C8"/>
    <w:rsid w:val="00153854"/>
    <w:rsid w:val="001565E7"/>
    <w:rsid w:val="001566D4"/>
    <w:rsid w:val="0016619A"/>
    <w:rsid w:val="0016659A"/>
    <w:rsid w:val="00170E90"/>
    <w:rsid w:val="00171534"/>
    <w:rsid w:val="00176AB4"/>
    <w:rsid w:val="001804B5"/>
    <w:rsid w:val="00182097"/>
    <w:rsid w:val="001837CD"/>
    <w:rsid w:val="001845F4"/>
    <w:rsid w:val="00185E9A"/>
    <w:rsid w:val="001930F7"/>
    <w:rsid w:val="00194312"/>
    <w:rsid w:val="001A540B"/>
    <w:rsid w:val="001B4460"/>
    <w:rsid w:val="001B7467"/>
    <w:rsid w:val="001B7CC1"/>
    <w:rsid w:val="001C5ADF"/>
    <w:rsid w:val="001D04E0"/>
    <w:rsid w:val="001D3F55"/>
    <w:rsid w:val="001D589D"/>
    <w:rsid w:val="001E288C"/>
    <w:rsid w:val="001E7055"/>
    <w:rsid w:val="001F0EDB"/>
    <w:rsid w:val="001F4D8F"/>
    <w:rsid w:val="001F5A1D"/>
    <w:rsid w:val="00203EDF"/>
    <w:rsid w:val="00210812"/>
    <w:rsid w:val="00211CA5"/>
    <w:rsid w:val="00212E5F"/>
    <w:rsid w:val="00216FAD"/>
    <w:rsid w:val="00224E5B"/>
    <w:rsid w:val="00225C7C"/>
    <w:rsid w:val="00227E0A"/>
    <w:rsid w:val="0023464B"/>
    <w:rsid w:val="00234A6A"/>
    <w:rsid w:val="002350D4"/>
    <w:rsid w:val="00236482"/>
    <w:rsid w:val="00237887"/>
    <w:rsid w:val="002462E5"/>
    <w:rsid w:val="00247F2D"/>
    <w:rsid w:val="00253346"/>
    <w:rsid w:val="002608F4"/>
    <w:rsid w:val="002640CA"/>
    <w:rsid w:val="00273346"/>
    <w:rsid w:val="002858DB"/>
    <w:rsid w:val="002928D0"/>
    <w:rsid w:val="00295C3F"/>
    <w:rsid w:val="002A0D98"/>
    <w:rsid w:val="002A2F60"/>
    <w:rsid w:val="002A4D4E"/>
    <w:rsid w:val="002B04DB"/>
    <w:rsid w:val="002B4FF6"/>
    <w:rsid w:val="002C185A"/>
    <w:rsid w:val="002D19E2"/>
    <w:rsid w:val="002D680B"/>
    <w:rsid w:val="002D69E4"/>
    <w:rsid w:val="002D7BF0"/>
    <w:rsid w:val="002E5D03"/>
    <w:rsid w:val="002F3E03"/>
    <w:rsid w:val="002F757E"/>
    <w:rsid w:val="003074BA"/>
    <w:rsid w:val="00310BE0"/>
    <w:rsid w:val="00312333"/>
    <w:rsid w:val="003229AE"/>
    <w:rsid w:val="00325EC7"/>
    <w:rsid w:val="00326F1A"/>
    <w:rsid w:val="00327148"/>
    <w:rsid w:val="00330833"/>
    <w:rsid w:val="00330A0A"/>
    <w:rsid w:val="0033604A"/>
    <w:rsid w:val="00340F56"/>
    <w:rsid w:val="00341BD0"/>
    <w:rsid w:val="00343A44"/>
    <w:rsid w:val="00344CC5"/>
    <w:rsid w:val="0034757C"/>
    <w:rsid w:val="003508E2"/>
    <w:rsid w:val="0035507B"/>
    <w:rsid w:val="00356273"/>
    <w:rsid w:val="00370D47"/>
    <w:rsid w:val="00384183"/>
    <w:rsid w:val="0039088A"/>
    <w:rsid w:val="0039227A"/>
    <w:rsid w:val="00397125"/>
    <w:rsid w:val="003A51BF"/>
    <w:rsid w:val="003B05D4"/>
    <w:rsid w:val="003B1037"/>
    <w:rsid w:val="003C5B6A"/>
    <w:rsid w:val="003D07CB"/>
    <w:rsid w:val="003D71DA"/>
    <w:rsid w:val="003E432B"/>
    <w:rsid w:val="003E550B"/>
    <w:rsid w:val="003F434A"/>
    <w:rsid w:val="003F4DF4"/>
    <w:rsid w:val="003F61A9"/>
    <w:rsid w:val="00401C74"/>
    <w:rsid w:val="00402DBF"/>
    <w:rsid w:val="0040359D"/>
    <w:rsid w:val="0040572C"/>
    <w:rsid w:val="00415904"/>
    <w:rsid w:val="00416935"/>
    <w:rsid w:val="00420A4B"/>
    <w:rsid w:val="00425273"/>
    <w:rsid w:val="00432F18"/>
    <w:rsid w:val="00435FBD"/>
    <w:rsid w:val="00442497"/>
    <w:rsid w:val="00443A42"/>
    <w:rsid w:val="004448CB"/>
    <w:rsid w:val="00447D08"/>
    <w:rsid w:val="00452B26"/>
    <w:rsid w:val="004604C7"/>
    <w:rsid w:val="004629DA"/>
    <w:rsid w:val="004667AB"/>
    <w:rsid w:val="00466BAA"/>
    <w:rsid w:val="00474A17"/>
    <w:rsid w:val="00477086"/>
    <w:rsid w:val="00480B85"/>
    <w:rsid w:val="0048228D"/>
    <w:rsid w:val="00484AE1"/>
    <w:rsid w:val="004905BA"/>
    <w:rsid w:val="00497BBD"/>
    <w:rsid w:val="004A4E36"/>
    <w:rsid w:val="004A7040"/>
    <w:rsid w:val="004A7A3C"/>
    <w:rsid w:val="004B03E6"/>
    <w:rsid w:val="004B1392"/>
    <w:rsid w:val="004B73F3"/>
    <w:rsid w:val="004C2E93"/>
    <w:rsid w:val="004C4E1B"/>
    <w:rsid w:val="004C6180"/>
    <w:rsid w:val="004C6599"/>
    <w:rsid w:val="004C7813"/>
    <w:rsid w:val="004E4973"/>
    <w:rsid w:val="004E6E89"/>
    <w:rsid w:val="004F1423"/>
    <w:rsid w:val="004F3D88"/>
    <w:rsid w:val="00503799"/>
    <w:rsid w:val="005118B3"/>
    <w:rsid w:val="00512F8A"/>
    <w:rsid w:val="00515CB3"/>
    <w:rsid w:val="005166E5"/>
    <w:rsid w:val="00521AF4"/>
    <w:rsid w:val="00524BF0"/>
    <w:rsid w:val="00527EE6"/>
    <w:rsid w:val="0053573B"/>
    <w:rsid w:val="00540FE9"/>
    <w:rsid w:val="005415DA"/>
    <w:rsid w:val="005424AD"/>
    <w:rsid w:val="00546179"/>
    <w:rsid w:val="00553ACB"/>
    <w:rsid w:val="005541B7"/>
    <w:rsid w:val="00556B8F"/>
    <w:rsid w:val="00565636"/>
    <w:rsid w:val="00581745"/>
    <w:rsid w:val="00582740"/>
    <w:rsid w:val="00592751"/>
    <w:rsid w:val="005A15E2"/>
    <w:rsid w:val="005A31F7"/>
    <w:rsid w:val="005A5D9A"/>
    <w:rsid w:val="005B0086"/>
    <w:rsid w:val="005B20A5"/>
    <w:rsid w:val="005B3D43"/>
    <w:rsid w:val="005B57DE"/>
    <w:rsid w:val="005B71A4"/>
    <w:rsid w:val="005C07FC"/>
    <w:rsid w:val="005C2182"/>
    <w:rsid w:val="005C4257"/>
    <w:rsid w:val="005C4624"/>
    <w:rsid w:val="005C49BE"/>
    <w:rsid w:val="005C7661"/>
    <w:rsid w:val="005D3DE6"/>
    <w:rsid w:val="005D59C0"/>
    <w:rsid w:val="005E6C4F"/>
    <w:rsid w:val="005F1242"/>
    <w:rsid w:val="005F15DD"/>
    <w:rsid w:val="005F4797"/>
    <w:rsid w:val="005F587D"/>
    <w:rsid w:val="006059C5"/>
    <w:rsid w:val="006111A7"/>
    <w:rsid w:val="00612A8A"/>
    <w:rsid w:val="00616126"/>
    <w:rsid w:val="006227B3"/>
    <w:rsid w:val="00627837"/>
    <w:rsid w:val="0063529B"/>
    <w:rsid w:val="00636003"/>
    <w:rsid w:val="00637552"/>
    <w:rsid w:val="00641B8F"/>
    <w:rsid w:val="00643AB1"/>
    <w:rsid w:val="00644A9A"/>
    <w:rsid w:val="006463A4"/>
    <w:rsid w:val="00650980"/>
    <w:rsid w:val="00660E5E"/>
    <w:rsid w:val="0066614B"/>
    <w:rsid w:val="0067369F"/>
    <w:rsid w:val="006759AF"/>
    <w:rsid w:val="00675FD5"/>
    <w:rsid w:val="00676C71"/>
    <w:rsid w:val="0068032A"/>
    <w:rsid w:val="00682663"/>
    <w:rsid w:val="00685D0D"/>
    <w:rsid w:val="00694F62"/>
    <w:rsid w:val="00695F6A"/>
    <w:rsid w:val="006978D9"/>
    <w:rsid w:val="006A37E5"/>
    <w:rsid w:val="006A6E25"/>
    <w:rsid w:val="006B2044"/>
    <w:rsid w:val="006C4030"/>
    <w:rsid w:val="006D2363"/>
    <w:rsid w:val="006F48E6"/>
    <w:rsid w:val="006F75A5"/>
    <w:rsid w:val="00711A69"/>
    <w:rsid w:val="00714F07"/>
    <w:rsid w:val="00715BAC"/>
    <w:rsid w:val="00715EEF"/>
    <w:rsid w:val="00716021"/>
    <w:rsid w:val="00717280"/>
    <w:rsid w:val="00720A59"/>
    <w:rsid w:val="0072164E"/>
    <w:rsid w:val="00723BA3"/>
    <w:rsid w:val="00725080"/>
    <w:rsid w:val="00730639"/>
    <w:rsid w:val="007347BF"/>
    <w:rsid w:val="007406B1"/>
    <w:rsid w:val="00754CDF"/>
    <w:rsid w:val="007702A1"/>
    <w:rsid w:val="0077245F"/>
    <w:rsid w:val="007740BF"/>
    <w:rsid w:val="00774A62"/>
    <w:rsid w:val="00785BA9"/>
    <w:rsid w:val="00786F26"/>
    <w:rsid w:val="00791D7E"/>
    <w:rsid w:val="00792EDC"/>
    <w:rsid w:val="00797A59"/>
    <w:rsid w:val="007A16A8"/>
    <w:rsid w:val="007A348E"/>
    <w:rsid w:val="007A48A3"/>
    <w:rsid w:val="007B2531"/>
    <w:rsid w:val="007B4389"/>
    <w:rsid w:val="007C02D9"/>
    <w:rsid w:val="007C69F5"/>
    <w:rsid w:val="007C7C63"/>
    <w:rsid w:val="007C7F11"/>
    <w:rsid w:val="007D02E3"/>
    <w:rsid w:val="007D3BAF"/>
    <w:rsid w:val="007E0295"/>
    <w:rsid w:val="007E0597"/>
    <w:rsid w:val="007E4BC0"/>
    <w:rsid w:val="007E5563"/>
    <w:rsid w:val="007F4DA7"/>
    <w:rsid w:val="00803BDE"/>
    <w:rsid w:val="00812847"/>
    <w:rsid w:val="008213BA"/>
    <w:rsid w:val="00821713"/>
    <w:rsid w:val="008265BC"/>
    <w:rsid w:val="00832FA1"/>
    <w:rsid w:val="0083346A"/>
    <w:rsid w:val="00836C38"/>
    <w:rsid w:val="0083714D"/>
    <w:rsid w:val="008401D3"/>
    <w:rsid w:val="00843D5C"/>
    <w:rsid w:val="00844ADE"/>
    <w:rsid w:val="008459A9"/>
    <w:rsid w:val="00846C09"/>
    <w:rsid w:val="008470F6"/>
    <w:rsid w:val="00854BE2"/>
    <w:rsid w:val="008668A5"/>
    <w:rsid w:val="00867968"/>
    <w:rsid w:val="00875865"/>
    <w:rsid w:val="00880F00"/>
    <w:rsid w:val="008813A5"/>
    <w:rsid w:val="00887A18"/>
    <w:rsid w:val="0089640C"/>
    <w:rsid w:val="00897606"/>
    <w:rsid w:val="00897D57"/>
    <w:rsid w:val="008A283D"/>
    <w:rsid w:val="008A325B"/>
    <w:rsid w:val="008A60AF"/>
    <w:rsid w:val="008A7A63"/>
    <w:rsid w:val="008B450C"/>
    <w:rsid w:val="008C0B22"/>
    <w:rsid w:val="008C20B5"/>
    <w:rsid w:val="008C334D"/>
    <w:rsid w:val="008C3E30"/>
    <w:rsid w:val="008C55F4"/>
    <w:rsid w:val="008D61F6"/>
    <w:rsid w:val="008E1B3A"/>
    <w:rsid w:val="008E4BD6"/>
    <w:rsid w:val="008E7294"/>
    <w:rsid w:val="008F6739"/>
    <w:rsid w:val="00905916"/>
    <w:rsid w:val="00934153"/>
    <w:rsid w:val="00937566"/>
    <w:rsid w:val="00950FAF"/>
    <w:rsid w:val="009535BA"/>
    <w:rsid w:val="00953CC9"/>
    <w:rsid w:val="00966819"/>
    <w:rsid w:val="009669FA"/>
    <w:rsid w:val="00970670"/>
    <w:rsid w:val="00976367"/>
    <w:rsid w:val="009827E3"/>
    <w:rsid w:val="00985C22"/>
    <w:rsid w:val="0098643A"/>
    <w:rsid w:val="00986E5F"/>
    <w:rsid w:val="0099086C"/>
    <w:rsid w:val="00992C32"/>
    <w:rsid w:val="00995318"/>
    <w:rsid w:val="009957B8"/>
    <w:rsid w:val="00995AE4"/>
    <w:rsid w:val="00996388"/>
    <w:rsid w:val="00997567"/>
    <w:rsid w:val="009A39B8"/>
    <w:rsid w:val="009A48C1"/>
    <w:rsid w:val="009B4950"/>
    <w:rsid w:val="009B6BD1"/>
    <w:rsid w:val="009B6D50"/>
    <w:rsid w:val="009B778C"/>
    <w:rsid w:val="009C5DBA"/>
    <w:rsid w:val="009C607A"/>
    <w:rsid w:val="009C7752"/>
    <w:rsid w:val="009D75BD"/>
    <w:rsid w:val="009E132B"/>
    <w:rsid w:val="009E536F"/>
    <w:rsid w:val="009E6C91"/>
    <w:rsid w:val="009F7720"/>
    <w:rsid w:val="00A10E7A"/>
    <w:rsid w:val="00A1234A"/>
    <w:rsid w:val="00A13F61"/>
    <w:rsid w:val="00A173EE"/>
    <w:rsid w:val="00A20F51"/>
    <w:rsid w:val="00A2474C"/>
    <w:rsid w:val="00A257DF"/>
    <w:rsid w:val="00A26074"/>
    <w:rsid w:val="00A331F5"/>
    <w:rsid w:val="00A34B35"/>
    <w:rsid w:val="00A35943"/>
    <w:rsid w:val="00A40B13"/>
    <w:rsid w:val="00A44C40"/>
    <w:rsid w:val="00A450E9"/>
    <w:rsid w:val="00A469AA"/>
    <w:rsid w:val="00A5219F"/>
    <w:rsid w:val="00A5297D"/>
    <w:rsid w:val="00A541BF"/>
    <w:rsid w:val="00A56B39"/>
    <w:rsid w:val="00A56D42"/>
    <w:rsid w:val="00A56EB4"/>
    <w:rsid w:val="00A62E13"/>
    <w:rsid w:val="00A71CEF"/>
    <w:rsid w:val="00A72451"/>
    <w:rsid w:val="00A77C2E"/>
    <w:rsid w:val="00A866B9"/>
    <w:rsid w:val="00A906BB"/>
    <w:rsid w:val="00A92CF8"/>
    <w:rsid w:val="00A93857"/>
    <w:rsid w:val="00A9514D"/>
    <w:rsid w:val="00A97901"/>
    <w:rsid w:val="00AA51B3"/>
    <w:rsid w:val="00AB3396"/>
    <w:rsid w:val="00AC015D"/>
    <w:rsid w:val="00AC363A"/>
    <w:rsid w:val="00AC4FBD"/>
    <w:rsid w:val="00AC5413"/>
    <w:rsid w:val="00AD0A3C"/>
    <w:rsid w:val="00AD5D58"/>
    <w:rsid w:val="00AE11C3"/>
    <w:rsid w:val="00AE2736"/>
    <w:rsid w:val="00AE74C1"/>
    <w:rsid w:val="00AF01C2"/>
    <w:rsid w:val="00AF2015"/>
    <w:rsid w:val="00AF38CF"/>
    <w:rsid w:val="00AF61AC"/>
    <w:rsid w:val="00B031DD"/>
    <w:rsid w:val="00B03B0D"/>
    <w:rsid w:val="00B04C1C"/>
    <w:rsid w:val="00B06DDD"/>
    <w:rsid w:val="00B17129"/>
    <w:rsid w:val="00B221F2"/>
    <w:rsid w:val="00B2256F"/>
    <w:rsid w:val="00B300BC"/>
    <w:rsid w:val="00B307F4"/>
    <w:rsid w:val="00B310B9"/>
    <w:rsid w:val="00B37144"/>
    <w:rsid w:val="00B37849"/>
    <w:rsid w:val="00B446F9"/>
    <w:rsid w:val="00B45D78"/>
    <w:rsid w:val="00B568F0"/>
    <w:rsid w:val="00B616C9"/>
    <w:rsid w:val="00B620F0"/>
    <w:rsid w:val="00B626A5"/>
    <w:rsid w:val="00B644A6"/>
    <w:rsid w:val="00B77E25"/>
    <w:rsid w:val="00B810E1"/>
    <w:rsid w:val="00B851D1"/>
    <w:rsid w:val="00B935D8"/>
    <w:rsid w:val="00B943FF"/>
    <w:rsid w:val="00B94B19"/>
    <w:rsid w:val="00BA1ACD"/>
    <w:rsid w:val="00BA31DA"/>
    <w:rsid w:val="00BA69B0"/>
    <w:rsid w:val="00BA7ABE"/>
    <w:rsid w:val="00BB070B"/>
    <w:rsid w:val="00BB0860"/>
    <w:rsid w:val="00BB4B6A"/>
    <w:rsid w:val="00BB71D3"/>
    <w:rsid w:val="00BB7736"/>
    <w:rsid w:val="00BC0844"/>
    <w:rsid w:val="00BC5A3C"/>
    <w:rsid w:val="00BC6160"/>
    <w:rsid w:val="00BD0CDD"/>
    <w:rsid w:val="00BD7AED"/>
    <w:rsid w:val="00BE168E"/>
    <w:rsid w:val="00BE72A8"/>
    <w:rsid w:val="00BF0376"/>
    <w:rsid w:val="00BF0544"/>
    <w:rsid w:val="00BF19DF"/>
    <w:rsid w:val="00BF7CEA"/>
    <w:rsid w:val="00C01F53"/>
    <w:rsid w:val="00C066FA"/>
    <w:rsid w:val="00C07A98"/>
    <w:rsid w:val="00C24283"/>
    <w:rsid w:val="00C251E7"/>
    <w:rsid w:val="00C308B7"/>
    <w:rsid w:val="00C34393"/>
    <w:rsid w:val="00C3754D"/>
    <w:rsid w:val="00C45983"/>
    <w:rsid w:val="00C45F71"/>
    <w:rsid w:val="00C66973"/>
    <w:rsid w:val="00C761E4"/>
    <w:rsid w:val="00C838C6"/>
    <w:rsid w:val="00C951E4"/>
    <w:rsid w:val="00C970E4"/>
    <w:rsid w:val="00C9768C"/>
    <w:rsid w:val="00CA3C8B"/>
    <w:rsid w:val="00CB2F13"/>
    <w:rsid w:val="00CC5163"/>
    <w:rsid w:val="00CD2D31"/>
    <w:rsid w:val="00CE437A"/>
    <w:rsid w:val="00CE5341"/>
    <w:rsid w:val="00CE5783"/>
    <w:rsid w:val="00CE729E"/>
    <w:rsid w:val="00CE763C"/>
    <w:rsid w:val="00D03908"/>
    <w:rsid w:val="00D11B78"/>
    <w:rsid w:val="00D12110"/>
    <w:rsid w:val="00D1573D"/>
    <w:rsid w:val="00D23A36"/>
    <w:rsid w:val="00D240D6"/>
    <w:rsid w:val="00D2559B"/>
    <w:rsid w:val="00D364BE"/>
    <w:rsid w:val="00D40125"/>
    <w:rsid w:val="00D405F9"/>
    <w:rsid w:val="00D417A8"/>
    <w:rsid w:val="00D44DA1"/>
    <w:rsid w:val="00D52E13"/>
    <w:rsid w:val="00D539F7"/>
    <w:rsid w:val="00D53A47"/>
    <w:rsid w:val="00D556CF"/>
    <w:rsid w:val="00D55742"/>
    <w:rsid w:val="00D66120"/>
    <w:rsid w:val="00D7257A"/>
    <w:rsid w:val="00D82DEB"/>
    <w:rsid w:val="00D87124"/>
    <w:rsid w:val="00D93D2F"/>
    <w:rsid w:val="00DA0303"/>
    <w:rsid w:val="00DA6D53"/>
    <w:rsid w:val="00DC409D"/>
    <w:rsid w:val="00DC4B2E"/>
    <w:rsid w:val="00DC7BF5"/>
    <w:rsid w:val="00DD24F9"/>
    <w:rsid w:val="00DD677F"/>
    <w:rsid w:val="00DE4840"/>
    <w:rsid w:val="00E03F6F"/>
    <w:rsid w:val="00E116D2"/>
    <w:rsid w:val="00E1513C"/>
    <w:rsid w:val="00E2068B"/>
    <w:rsid w:val="00E20EE5"/>
    <w:rsid w:val="00E211C3"/>
    <w:rsid w:val="00E265D5"/>
    <w:rsid w:val="00E366C7"/>
    <w:rsid w:val="00E37DCC"/>
    <w:rsid w:val="00E47816"/>
    <w:rsid w:val="00E52416"/>
    <w:rsid w:val="00E524ED"/>
    <w:rsid w:val="00E533D0"/>
    <w:rsid w:val="00E634AC"/>
    <w:rsid w:val="00E66ACD"/>
    <w:rsid w:val="00E672A4"/>
    <w:rsid w:val="00E7070B"/>
    <w:rsid w:val="00E74347"/>
    <w:rsid w:val="00E813A4"/>
    <w:rsid w:val="00E813E9"/>
    <w:rsid w:val="00E8243C"/>
    <w:rsid w:val="00E86523"/>
    <w:rsid w:val="00EA05F2"/>
    <w:rsid w:val="00EA3812"/>
    <w:rsid w:val="00EA46B9"/>
    <w:rsid w:val="00EA6926"/>
    <w:rsid w:val="00EB1549"/>
    <w:rsid w:val="00EC5517"/>
    <w:rsid w:val="00ED01C4"/>
    <w:rsid w:val="00ED15A2"/>
    <w:rsid w:val="00ED2AC2"/>
    <w:rsid w:val="00ED5A35"/>
    <w:rsid w:val="00ED6473"/>
    <w:rsid w:val="00ED78A9"/>
    <w:rsid w:val="00EE6048"/>
    <w:rsid w:val="00F039C4"/>
    <w:rsid w:val="00F0408D"/>
    <w:rsid w:val="00F0591E"/>
    <w:rsid w:val="00F06517"/>
    <w:rsid w:val="00F06B7A"/>
    <w:rsid w:val="00F1609D"/>
    <w:rsid w:val="00F21EE5"/>
    <w:rsid w:val="00F25128"/>
    <w:rsid w:val="00F257A1"/>
    <w:rsid w:val="00F305F1"/>
    <w:rsid w:val="00F37CC2"/>
    <w:rsid w:val="00F468CA"/>
    <w:rsid w:val="00F616F9"/>
    <w:rsid w:val="00F620F0"/>
    <w:rsid w:val="00F63B92"/>
    <w:rsid w:val="00F6435F"/>
    <w:rsid w:val="00F65540"/>
    <w:rsid w:val="00F70589"/>
    <w:rsid w:val="00F772F5"/>
    <w:rsid w:val="00F80C3F"/>
    <w:rsid w:val="00F81CB4"/>
    <w:rsid w:val="00F825C7"/>
    <w:rsid w:val="00F844BB"/>
    <w:rsid w:val="00F84F08"/>
    <w:rsid w:val="00F90D5C"/>
    <w:rsid w:val="00F920E5"/>
    <w:rsid w:val="00F92C19"/>
    <w:rsid w:val="00FA49D8"/>
    <w:rsid w:val="00FA5E43"/>
    <w:rsid w:val="00FA7755"/>
    <w:rsid w:val="00FB229F"/>
    <w:rsid w:val="00FB3F28"/>
    <w:rsid w:val="00FB5D71"/>
    <w:rsid w:val="00FB6F9D"/>
    <w:rsid w:val="00FB7BE2"/>
    <w:rsid w:val="00FC1D98"/>
    <w:rsid w:val="00FD612C"/>
    <w:rsid w:val="00FE0381"/>
    <w:rsid w:val="00FE2C61"/>
    <w:rsid w:val="00FE5799"/>
    <w:rsid w:val="00FE7CA8"/>
    <w:rsid w:val="00FF08CC"/>
    <w:rsid w:val="00FF3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E2460"/>
  <w15:docId w15:val="{3937441B-E36A-4C7E-9942-0CD336F0F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B56"/>
    <w:rPr>
      <w:rFonts w:ascii="Times New Roman" w:eastAsia="Times New Roman" w:hAnsi="Times New Roman"/>
      <w:sz w:val="24"/>
      <w:szCs w:val="24"/>
    </w:rPr>
  </w:style>
  <w:style w:type="paragraph" w:styleId="Heading1">
    <w:name w:val="heading 1"/>
    <w:basedOn w:val="Normal"/>
    <w:next w:val="Normal"/>
    <w:link w:val="Heading1Char"/>
    <w:qFormat/>
    <w:rsid w:val="00044A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2607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26074"/>
    <w:rPr>
      <w:rFonts w:ascii="Arial" w:eastAsia="Times New Roman" w:hAnsi="Arial" w:cs="Arial"/>
      <w:b/>
      <w:bCs/>
      <w:i/>
      <w:iCs/>
      <w:sz w:val="28"/>
      <w:szCs w:val="28"/>
    </w:rPr>
  </w:style>
  <w:style w:type="character" w:styleId="Hyperlink">
    <w:name w:val="Hyperlink"/>
    <w:basedOn w:val="DefaultParagraphFont"/>
    <w:rsid w:val="00A26074"/>
    <w:rPr>
      <w:color w:val="0000FF"/>
      <w:u w:val="single"/>
    </w:rPr>
  </w:style>
  <w:style w:type="paragraph" w:styleId="HTMLPreformatted">
    <w:name w:val="HTML Preformatted"/>
    <w:basedOn w:val="Normal"/>
    <w:link w:val="HTMLPreformattedChar"/>
    <w:uiPriority w:val="99"/>
    <w:rsid w:val="00A26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26074"/>
    <w:rPr>
      <w:rFonts w:ascii="Courier New" w:eastAsia="Times New Roman" w:hAnsi="Courier New" w:cs="Courier New"/>
      <w:sz w:val="20"/>
      <w:szCs w:val="20"/>
    </w:rPr>
  </w:style>
  <w:style w:type="paragraph" w:styleId="ListBullet">
    <w:name w:val="List Bullet"/>
    <w:basedOn w:val="Normal"/>
    <w:rsid w:val="00A26074"/>
    <w:pPr>
      <w:numPr>
        <w:numId w:val="1"/>
      </w:numPr>
    </w:pPr>
  </w:style>
  <w:style w:type="table" w:styleId="TableGrid">
    <w:name w:val="Table Grid"/>
    <w:basedOn w:val="TableNormal"/>
    <w:rsid w:val="00ED15A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5943"/>
    <w:pPr>
      <w:tabs>
        <w:tab w:val="center" w:pos="4680"/>
        <w:tab w:val="right" w:pos="9360"/>
      </w:tabs>
    </w:pPr>
  </w:style>
  <w:style w:type="character" w:customStyle="1" w:styleId="HeaderChar">
    <w:name w:val="Header Char"/>
    <w:basedOn w:val="DefaultParagraphFont"/>
    <w:link w:val="Header"/>
    <w:uiPriority w:val="99"/>
    <w:rsid w:val="00A359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5943"/>
    <w:pPr>
      <w:tabs>
        <w:tab w:val="center" w:pos="4680"/>
        <w:tab w:val="right" w:pos="9360"/>
      </w:tabs>
    </w:pPr>
  </w:style>
  <w:style w:type="character" w:customStyle="1" w:styleId="FooterChar">
    <w:name w:val="Footer Char"/>
    <w:basedOn w:val="DefaultParagraphFont"/>
    <w:link w:val="Footer"/>
    <w:uiPriority w:val="99"/>
    <w:rsid w:val="00A3594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35943"/>
    <w:rPr>
      <w:rFonts w:ascii="Tahoma" w:hAnsi="Tahoma" w:cs="Tahoma"/>
      <w:sz w:val="16"/>
      <w:szCs w:val="16"/>
    </w:rPr>
  </w:style>
  <w:style w:type="character" w:customStyle="1" w:styleId="BalloonTextChar">
    <w:name w:val="Balloon Text Char"/>
    <w:basedOn w:val="DefaultParagraphFont"/>
    <w:link w:val="BalloonText"/>
    <w:uiPriority w:val="99"/>
    <w:semiHidden/>
    <w:rsid w:val="00A35943"/>
    <w:rPr>
      <w:rFonts w:ascii="Tahoma" w:eastAsia="Times New Roman" w:hAnsi="Tahoma" w:cs="Tahoma"/>
      <w:sz w:val="16"/>
      <w:szCs w:val="16"/>
    </w:rPr>
  </w:style>
  <w:style w:type="paragraph" w:styleId="ListParagraph">
    <w:name w:val="List Paragraph"/>
    <w:basedOn w:val="Normal"/>
    <w:uiPriority w:val="34"/>
    <w:qFormat/>
    <w:rsid w:val="00970670"/>
    <w:pPr>
      <w:ind w:left="720"/>
      <w:contextualSpacing/>
    </w:pPr>
    <w:rPr>
      <w:rFonts w:ascii="Arial" w:eastAsia="Calibri" w:hAnsi="Arial"/>
      <w:sz w:val="20"/>
      <w:szCs w:val="22"/>
    </w:rPr>
  </w:style>
  <w:style w:type="character" w:styleId="FollowedHyperlink">
    <w:name w:val="FollowedHyperlink"/>
    <w:basedOn w:val="DefaultParagraphFont"/>
    <w:uiPriority w:val="99"/>
    <w:semiHidden/>
    <w:unhideWhenUsed/>
    <w:rsid w:val="00F616F9"/>
    <w:rPr>
      <w:color w:val="800080" w:themeColor="followedHyperlink"/>
      <w:u w:val="single"/>
    </w:rPr>
  </w:style>
  <w:style w:type="paragraph" w:customStyle="1" w:styleId="DecimalAligned">
    <w:name w:val="Decimal Aligned"/>
    <w:basedOn w:val="Normal"/>
    <w:uiPriority w:val="40"/>
    <w:qFormat/>
    <w:rsid w:val="000968F7"/>
    <w:pPr>
      <w:tabs>
        <w:tab w:val="decimal" w:pos="360"/>
      </w:tabs>
      <w:spacing w:after="200" w:line="276" w:lineRule="auto"/>
    </w:pPr>
    <w:rPr>
      <w:rFonts w:asciiTheme="minorHAnsi" w:eastAsiaTheme="minorHAnsi" w:hAnsiTheme="minorHAnsi" w:cstheme="minorBidi"/>
      <w:sz w:val="22"/>
      <w:szCs w:val="22"/>
      <w:lang w:eastAsia="ja-JP"/>
    </w:rPr>
  </w:style>
  <w:style w:type="table" w:styleId="MediumGrid3-Accent5">
    <w:name w:val="Medium Grid 3 Accent 5"/>
    <w:basedOn w:val="TableNormal"/>
    <w:uiPriority w:val="69"/>
    <w:rsid w:val="000968F7"/>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3">
    <w:name w:val="Medium Grid 3 Accent 3"/>
    <w:basedOn w:val="TableNormal"/>
    <w:uiPriority w:val="69"/>
    <w:rsid w:val="00BF0376"/>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
    <w:name w:val="Medium Grid 3"/>
    <w:basedOn w:val="TableNormal"/>
    <w:uiPriority w:val="69"/>
    <w:rsid w:val="000A3950"/>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Revision">
    <w:name w:val="Revision"/>
    <w:hidden/>
    <w:uiPriority w:val="99"/>
    <w:semiHidden/>
    <w:rsid w:val="003229AE"/>
    <w:rPr>
      <w:rFonts w:ascii="Times New Roman" w:eastAsia="Times New Roman" w:hAnsi="Times New Roman"/>
      <w:sz w:val="24"/>
      <w:szCs w:val="24"/>
    </w:rPr>
  </w:style>
  <w:style w:type="character" w:customStyle="1" w:styleId="Heading1Char">
    <w:name w:val="Heading 1 Char"/>
    <w:basedOn w:val="DefaultParagraphFont"/>
    <w:link w:val="Heading1"/>
    <w:rsid w:val="00044A64"/>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694F62"/>
    <w:rPr>
      <w:sz w:val="16"/>
      <w:szCs w:val="16"/>
    </w:rPr>
  </w:style>
  <w:style w:type="paragraph" w:styleId="CommentText">
    <w:name w:val="annotation text"/>
    <w:basedOn w:val="Normal"/>
    <w:link w:val="CommentTextChar"/>
    <w:uiPriority w:val="99"/>
    <w:semiHidden/>
    <w:unhideWhenUsed/>
    <w:rsid w:val="00694F62"/>
    <w:rPr>
      <w:sz w:val="20"/>
      <w:szCs w:val="20"/>
    </w:rPr>
  </w:style>
  <w:style w:type="character" w:customStyle="1" w:styleId="CommentTextChar">
    <w:name w:val="Comment Text Char"/>
    <w:basedOn w:val="DefaultParagraphFont"/>
    <w:link w:val="CommentText"/>
    <w:uiPriority w:val="99"/>
    <w:semiHidden/>
    <w:rsid w:val="00694F6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94F62"/>
    <w:rPr>
      <w:b/>
      <w:bCs/>
    </w:rPr>
  </w:style>
  <w:style w:type="character" w:customStyle="1" w:styleId="CommentSubjectChar">
    <w:name w:val="Comment Subject Char"/>
    <w:basedOn w:val="CommentTextChar"/>
    <w:link w:val="CommentSubject"/>
    <w:uiPriority w:val="99"/>
    <w:semiHidden/>
    <w:rsid w:val="00694F62"/>
    <w:rPr>
      <w:rFonts w:ascii="Times New Roman" w:eastAsia="Times New Roman" w:hAnsi="Times New Roman"/>
      <w:b/>
      <w:bCs/>
    </w:rPr>
  </w:style>
  <w:style w:type="character" w:styleId="UnresolvedMention">
    <w:name w:val="Unresolved Mention"/>
    <w:basedOn w:val="DefaultParagraphFont"/>
    <w:uiPriority w:val="99"/>
    <w:semiHidden/>
    <w:unhideWhenUsed/>
    <w:rsid w:val="004C4E1B"/>
    <w:rPr>
      <w:color w:val="605E5C"/>
      <w:shd w:val="clear" w:color="auto" w:fill="E1DFDD"/>
    </w:rPr>
  </w:style>
  <w:style w:type="paragraph" w:customStyle="1" w:styleId="TableParagraph">
    <w:name w:val="Table Paragraph"/>
    <w:basedOn w:val="Normal"/>
    <w:uiPriority w:val="1"/>
    <w:qFormat/>
    <w:rsid w:val="002640CA"/>
    <w:pPr>
      <w:widowControl w:val="0"/>
      <w:autoSpaceDE w:val="0"/>
      <w:autoSpaceDN w:val="0"/>
      <w:adjustRightInd w:val="0"/>
    </w:pPr>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9917">
      <w:bodyDiv w:val="1"/>
      <w:marLeft w:val="0"/>
      <w:marRight w:val="0"/>
      <w:marTop w:val="0"/>
      <w:marBottom w:val="0"/>
      <w:divBdr>
        <w:top w:val="none" w:sz="0" w:space="0" w:color="auto"/>
        <w:left w:val="none" w:sz="0" w:space="0" w:color="auto"/>
        <w:bottom w:val="none" w:sz="0" w:space="0" w:color="auto"/>
        <w:right w:val="none" w:sz="0" w:space="0" w:color="auto"/>
      </w:divBdr>
    </w:div>
    <w:div w:id="1130169189">
      <w:bodyDiv w:val="1"/>
      <w:marLeft w:val="0"/>
      <w:marRight w:val="0"/>
      <w:marTop w:val="0"/>
      <w:marBottom w:val="0"/>
      <w:divBdr>
        <w:top w:val="none" w:sz="0" w:space="0" w:color="auto"/>
        <w:left w:val="none" w:sz="0" w:space="0" w:color="auto"/>
        <w:bottom w:val="none" w:sz="0" w:space="0" w:color="auto"/>
        <w:right w:val="none" w:sz="0" w:space="0" w:color="auto"/>
      </w:divBdr>
    </w:div>
    <w:div w:id="1467355493">
      <w:bodyDiv w:val="1"/>
      <w:marLeft w:val="0"/>
      <w:marRight w:val="0"/>
      <w:marTop w:val="0"/>
      <w:marBottom w:val="0"/>
      <w:divBdr>
        <w:top w:val="none" w:sz="0" w:space="0" w:color="auto"/>
        <w:left w:val="none" w:sz="0" w:space="0" w:color="auto"/>
        <w:bottom w:val="none" w:sz="0" w:space="0" w:color="auto"/>
        <w:right w:val="none" w:sz="0" w:space="0" w:color="auto"/>
      </w:divBdr>
    </w:div>
    <w:div w:id="1641764865">
      <w:bodyDiv w:val="1"/>
      <w:marLeft w:val="0"/>
      <w:marRight w:val="0"/>
      <w:marTop w:val="0"/>
      <w:marBottom w:val="0"/>
      <w:divBdr>
        <w:top w:val="none" w:sz="0" w:space="0" w:color="auto"/>
        <w:left w:val="none" w:sz="0" w:space="0" w:color="auto"/>
        <w:bottom w:val="none" w:sz="0" w:space="0" w:color="auto"/>
        <w:right w:val="none" w:sz="0" w:space="0" w:color="auto"/>
      </w:divBdr>
    </w:div>
    <w:div w:id="203819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anne.king@odp.idaho.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0CF88380D40543813499D7043251C1" ma:contentTypeVersion="2" ma:contentTypeDescription="Create a new document." ma:contentTypeScope="" ma:versionID="84198459946fe1511f7bc1ff4f282cc7">
  <xsd:schema xmlns:xsd="http://www.w3.org/2001/XMLSchema" xmlns:xs="http://www.w3.org/2001/XMLSchema" xmlns:p="http://schemas.microsoft.com/office/2006/metadata/properties" xmlns:ns3="ec0da8d0-189e-47c2-a12e-6446f7ded4e2" targetNamespace="http://schemas.microsoft.com/office/2006/metadata/properties" ma:root="true" ma:fieldsID="d7e9277c9621922fc1ff06687946399a" ns3:_="">
    <xsd:import namespace="ec0da8d0-189e-47c2-a12e-6446f7ded4e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da8d0-189e-47c2-a12e-6446f7ded4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A73615-00A0-4B77-8402-DFFDE0849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0da8d0-189e-47c2-a12e-6446f7ded4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982565-DE89-4044-BE08-5AA438E95EAE}">
  <ds:schemaRefs>
    <ds:schemaRef ds:uri="http://schemas.openxmlformats.org/officeDocument/2006/bibliography"/>
  </ds:schemaRefs>
</ds:datastoreItem>
</file>

<file path=customXml/itemProps3.xml><?xml version="1.0" encoding="utf-8"?>
<ds:datastoreItem xmlns:ds="http://schemas.openxmlformats.org/officeDocument/2006/customXml" ds:itemID="{71551EB8-2BF8-459C-A067-8B1E8AD95C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7A45EC-9116-4B97-B077-BDB325425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2239</Words>
  <Characters>12768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Office of Drug Policy</Company>
  <LinksUpToDate>false</LinksUpToDate>
  <CharactersWithSpaces>14978</CharactersWithSpaces>
  <SharedDoc>false</SharedDoc>
  <HLinks>
    <vt:vector size="6" baseType="variant">
      <vt:variant>
        <vt:i4>4522077</vt:i4>
      </vt:variant>
      <vt:variant>
        <vt:i4>0</vt:i4>
      </vt:variant>
      <vt:variant>
        <vt:i4>0</vt:i4>
      </vt:variant>
      <vt:variant>
        <vt:i4>5</vt:i4>
      </vt:variant>
      <vt:variant>
        <vt:lpwstr>http://www3.state.id.us/cgi-bin/newidst?sctid=670080021.K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 Field</dc:creator>
  <cp:lastModifiedBy>Amanda Harper</cp:lastModifiedBy>
  <cp:revision>6</cp:revision>
  <cp:lastPrinted>2024-08-11T18:27:00Z</cp:lastPrinted>
  <dcterms:created xsi:type="dcterms:W3CDTF">2024-08-12T17:53:00Z</dcterms:created>
  <dcterms:modified xsi:type="dcterms:W3CDTF">2025-06-24T22:42:00Z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0x010100B20CF88380D40543813499D7043251C1</vt:lpwstr>
  </property>
</Properties>
</file>