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6D2F" w14:textId="77777777" w:rsidR="002F7FF6" w:rsidRPr="00250391" w:rsidRDefault="002F7FF6" w:rsidP="607C4A4B">
      <w:pPr>
        <w:pStyle w:val="Heading1"/>
        <w:spacing w:before="0"/>
        <w:rPr>
          <w:rFonts w:ascii="Arial" w:hAnsi="Arial" w:cs="Arial"/>
          <w:i/>
          <w:iCs/>
          <w:color w:val="000080"/>
        </w:rPr>
      </w:pPr>
      <w:bookmarkStart w:id="0" w:name="OLE_LINK2"/>
      <w:bookmarkStart w:id="1" w:name="OLE_LINK1"/>
      <w:r w:rsidRPr="607C4A4B">
        <w:rPr>
          <w:rFonts w:ascii="Arial" w:hAnsi="Arial" w:cs="Arial"/>
          <w:i/>
          <w:iCs/>
          <w:color w:val="000080"/>
        </w:rPr>
        <w:t>Part I – Agency Profile</w:t>
      </w:r>
      <w:bookmarkEnd w:id="0"/>
      <w:bookmarkEnd w:id="1"/>
    </w:p>
    <w:p w14:paraId="25A48196" w14:textId="77777777" w:rsidR="00A07EEF" w:rsidRDefault="00A07EEF" w:rsidP="002F7FF6">
      <w:pPr>
        <w:rPr>
          <w:rFonts w:ascii="Arial" w:hAnsi="Arial" w:cs="Arial"/>
          <w:b/>
          <w:bCs/>
          <w:szCs w:val="16"/>
        </w:rPr>
      </w:pPr>
    </w:p>
    <w:p w14:paraId="330C2558" w14:textId="77777777" w:rsidR="00595D79" w:rsidRDefault="607C4A4B" w:rsidP="607C4A4B">
      <w:pPr>
        <w:rPr>
          <w:rFonts w:ascii="Arial" w:hAnsi="Arial" w:cs="Arial"/>
          <w:b/>
          <w:bCs/>
        </w:rPr>
      </w:pPr>
      <w:r w:rsidRPr="607C4A4B">
        <w:rPr>
          <w:rFonts w:ascii="Arial" w:hAnsi="Arial" w:cs="Arial"/>
          <w:b/>
          <w:bCs/>
        </w:rPr>
        <w:t>Agency Overview</w:t>
      </w:r>
    </w:p>
    <w:p w14:paraId="0D1717B1" w14:textId="77777777" w:rsidR="00701E05" w:rsidRPr="00595D79" w:rsidRDefault="00701E05" w:rsidP="607C4A4B">
      <w:pPr>
        <w:rPr>
          <w:rFonts w:ascii="Arial" w:hAnsi="Arial" w:cs="Arial"/>
          <w:b/>
          <w:bCs/>
        </w:rPr>
      </w:pPr>
    </w:p>
    <w:p w14:paraId="763BDB1A" w14:textId="6C884E2D" w:rsidR="007D5321" w:rsidRPr="00595D79" w:rsidRDefault="607C4A4B" w:rsidP="607C4A4B">
      <w:pPr>
        <w:tabs>
          <w:tab w:val="left" w:pos="7680"/>
        </w:tabs>
        <w:jc w:val="both"/>
        <w:rPr>
          <w:rFonts w:ascii="Arial" w:hAnsi="Arial" w:cs="Arial"/>
          <w:sz w:val="20"/>
          <w:szCs w:val="20"/>
        </w:rPr>
      </w:pPr>
      <w:r w:rsidRPr="607C4A4B">
        <w:rPr>
          <w:rFonts w:ascii="Arial" w:hAnsi="Arial" w:cs="Arial"/>
          <w:color w:val="000000" w:themeColor="text1"/>
          <w:sz w:val="20"/>
          <w:szCs w:val="20"/>
        </w:rPr>
        <w:t>Agency Mission: The</w:t>
      </w:r>
      <w:r w:rsidRPr="607C4A4B">
        <w:rPr>
          <w:rFonts w:ascii="Arial" w:hAnsi="Arial" w:cs="Arial"/>
          <w:sz w:val="20"/>
          <w:szCs w:val="20"/>
        </w:rPr>
        <w:t xml:space="preserve"> Idaho Department of Labor connects job seekers with employment opportunities, supports workers through career and life transitions and administers state labor laws.</w:t>
      </w:r>
    </w:p>
    <w:p w14:paraId="339BB084" w14:textId="77777777" w:rsidR="00B10927" w:rsidRDefault="00B10927" w:rsidP="00AB4B53">
      <w:pPr>
        <w:tabs>
          <w:tab w:val="left" w:pos="7680"/>
        </w:tabs>
        <w:jc w:val="both"/>
        <w:rPr>
          <w:rFonts w:ascii="Arial" w:hAnsi="Arial" w:cs="Arial"/>
          <w:color w:val="000000"/>
          <w:sz w:val="20"/>
          <w:szCs w:val="20"/>
        </w:rPr>
      </w:pPr>
    </w:p>
    <w:p w14:paraId="715179E4" w14:textId="2BA850A4" w:rsidR="00A72038" w:rsidRPr="00A72038" w:rsidRDefault="607C4A4B" w:rsidP="607C4A4B">
      <w:pPr>
        <w:tabs>
          <w:tab w:val="left" w:pos="7680"/>
        </w:tabs>
        <w:jc w:val="both"/>
        <w:rPr>
          <w:rFonts w:ascii="Arial" w:hAnsi="Arial" w:cs="Arial"/>
          <w:color w:val="000000" w:themeColor="text1"/>
          <w:sz w:val="20"/>
          <w:szCs w:val="20"/>
        </w:rPr>
      </w:pPr>
      <w:r w:rsidRPr="607C4A4B">
        <w:rPr>
          <w:rFonts w:ascii="Arial" w:hAnsi="Arial" w:cs="Arial"/>
          <w:color w:val="000000" w:themeColor="text1"/>
          <w:sz w:val="20"/>
          <w:szCs w:val="20"/>
        </w:rPr>
        <w:t xml:space="preserve">Agency staff are committed to ensuring Idaho’s job seekers and employers have access to a wide array of quality employment-related services and economic information. The department’s funding primarily comes from </w:t>
      </w:r>
      <w:r w:rsidR="00780DF4">
        <w:rPr>
          <w:rFonts w:ascii="Arial" w:hAnsi="Arial" w:cs="Arial"/>
          <w:color w:val="000000" w:themeColor="text1"/>
          <w:sz w:val="20"/>
          <w:szCs w:val="20"/>
        </w:rPr>
        <w:t xml:space="preserve">the </w:t>
      </w:r>
      <w:r w:rsidRPr="607C4A4B">
        <w:rPr>
          <w:rFonts w:ascii="Arial" w:hAnsi="Arial" w:cs="Arial"/>
          <w:color w:val="000000" w:themeColor="text1"/>
          <w:sz w:val="20"/>
          <w:szCs w:val="20"/>
        </w:rPr>
        <w:t xml:space="preserve">employer unemployment insurance </w:t>
      </w:r>
      <w:r w:rsidR="00780DF4">
        <w:rPr>
          <w:rFonts w:ascii="Arial" w:hAnsi="Arial" w:cs="Arial"/>
          <w:color w:val="000000" w:themeColor="text1"/>
          <w:sz w:val="20"/>
          <w:szCs w:val="20"/>
        </w:rPr>
        <w:t>program</w:t>
      </w:r>
      <w:r w:rsidRPr="607C4A4B">
        <w:rPr>
          <w:rFonts w:ascii="Arial" w:hAnsi="Arial" w:cs="Arial"/>
          <w:color w:val="000000" w:themeColor="text1"/>
          <w:sz w:val="20"/>
          <w:szCs w:val="20"/>
        </w:rPr>
        <w:t xml:space="preserve"> and federal grants. Idaho’s Wage and Hour Bureau is</w:t>
      </w:r>
      <w:r w:rsidR="0020660F">
        <w:rPr>
          <w:rFonts w:ascii="Arial" w:hAnsi="Arial" w:cs="Arial"/>
          <w:color w:val="000000" w:themeColor="text1"/>
          <w:sz w:val="20"/>
          <w:szCs w:val="20"/>
        </w:rPr>
        <w:t>,</w:t>
      </w:r>
      <w:r w:rsidRPr="607C4A4B">
        <w:rPr>
          <w:rFonts w:ascii="Arial" w:hAnsi="Arial" w:cs="Arial"/>
          <w:color w:val="000000" w:themeColor="text1"/>
          <w:sz w:val="20"/>
          <w:szCs w:val="20"/>
        </w:rPr>
        <w:t xml:space="preserve"> in part, supported by state general fund revenues. The Idaho Commission on Human Rights receives financial support through Idaho Department of Labor dedicated funds and federal contract monies from the U.S. Equal Employment Opportunity Commission.</w:t>
      </w:r>
    </w:p>
    <w:p w14:paraId="5DBE0CFF" w14:textId="77777777" w:rsidR="007D5321" w:rsidRPr="00595D79" w:rsidRDefault="007D5321" w:rsidP="00AB4B53">
      <w:pPr>
        <w:jc w:val="both"/>
        <w:rPr>
          <w:rFonts w:ascii="Arial" w:hAnsi="Arial" w:cs="Arial"/>
          <w:sz w:val="20"/>
          <w:szCs w:val="20"/>
        </w:rPr>
      </w:pPr>
    </w:p>
    <w:p w14:paraId="5F058580" w14:textId="4A0072B5" w:rsidR="00C9358B" w:rsidRPr="00C9358B" w:rsidRDefault="607C4A4B" w:rsidP="607C4A4B">
      <w:pPr>
        <w:pStyle w:val="Default"/>
        <w:jc w:val="both"/>
        <w:rPr>
          <w:sz w:val="20"/>
          <w:szCs w:val="20"/>
        </w:rPr>
      </w:pPr>
      <w:r w:rsidRPr="607C4A4B">
        <w:rPr>
          <w:rFonts w:eastAsia="Calibri"/>
          <w:sz w:val="20"/>
          <w:szCs w:val="20"/>
        </w:rPr>
        <w:t xml:space="preserve">Idaho Gov. Brad Little appointed Jani Revier to serve as the director for the Idaho Department of Labor in December 2018. </w:t>
      </w:r>
      <w:r w:rsidRPr="607C4A4B">
        <w:rPr>
          <w:sz w:val="20"/>
          <w:szCs w:val="20"/>
        </w:rPr>
        <w:t xml:space="preserve">Today she leads a </w:t>
      </w:r>
      <w:r w:rsidRPr="00AB2D33">
        <w:rPr>
          <w:sz w:val="20"/>
          <w:szCs w:val="20"/>
        </w:rPr>
        <w:t xml:space="preserve">team of </w:t>
      </w:r>
      <w:r w:rsidR="00E170E4">
        <w:rPr>
          <w:sz w:val="20"/>
          <w:szCs w:val="20"/>
        </w:rPr>
        <w:t>572</w:t>
      </w:r>
      <w:r w:rsidRPr="00AB2D33">
        <w:rPr>
          <w:sz w:val="20"/>
          <w:szCs w:val="20"/>
        </w:rPr>
        <w:t xml:space="preserve"> employees</w:t>
      </w:r>
      <w:r w:rsidRPr="001A175C">
        <w:rPr>
          <w:sz w:val="20"/>
          <w:szCs w:val="20"/>
        </w:rPr>
        <w:t xml:space="preserve"> who</w:t>
      </w:r>
      <w:r w:rsidRPr="607C4A4B">
        <w:rPr>
          <w:sz w:val="20"/>
          <w:szCs w:val="20"/>
        </w:rPr>
        <w:t xml:space="preserve"> work to make a positive difference in the lives of job seekers, employers, government officials and Idaho citizens. </w:t>
      </w:r>
    </w:p>
    <w:p w14:paraId="71DF6ACB" w14:textId="77777777" w:rsidR="00C9358B" w:rsidRPr="00C9358B" w:rsidRDefault="00C9358B" w:rsidP="00516EC2">
      <w:pPr>
        <w:jc w:val="both"/>
        <w:rPr>
          <w:rFonts w:ascii="Arial" w:hAnsi="Arial" w:cs="Arial"/>
          <w:sz w:val="20"/>
          <w:szCs w:val="20"/>
        </w:rPr>
      </w:pPr>
    </w:p>
    <w:p w14:paraId="2310F225" w14:textId="2EBC8DA3" w:rsidR="007D5321" w:rsidRPr="00595D79" w:rsidRDefault="607C4A4B" w:rsidP="607C4A4B">
      <w:pPr>
        <w:jc w:val="both"/>
        <w:rPr>
          <w:rFonts w:ascii="Arial" w:hAnsi="Arial" w:cs="Arial"/>
          <w:sz w:val="20"/>
          <w:szCs w:val="20"/>
        </w:rPr>
      </w:pPr>
      <w:r w:rsidRPr="607C4A4B">
        <w:rPr>
          <w:rFonts w:ascii="Arial" w:hAnsi="Arial" w:cs="Arial"/>
          <w:sz w:val="20"/>
          <w:szCs w:val="20"/>
        </w:rPr>
        <w:t>Two advisory boards - the Idaho Commission on Human Rights and the Governor’s Commission on Service and Volunteerism - provide program guidance and oversight to the department.</w:t>
      </w:r>
    </w:p>
    <w:p w14:paraId="5C264DC8" w14:textId="77777777" w:rsidR="007D5321" w:rsidRPr="00595D79" w:rsidRDefault="007D5321" w:rsidP="00AB4B53">
      <w:pPr>
        <w:jc w:val="both"/>
        <w:rPr>
          <w:rFonts w:ascii="Arial" w:hAnsi="Arial" w:cs="Arial"/>
          <w:sz w:val="20"/>
          <w:szCs w:val="20"/>
        </w:rPr>
      </w:pPr>
    </w:p>
    <w:p w14:paraId="51FF0088" w14:textId="080020CD" w:rsidR="007D5321" w:rsidRPr="00595D79" w:rsidRDefault="607C4A4B" w:rsidP="607C4A4B">
      <w:pPr>
        <w:jc w:val="both"/>
        <w:rPr>
          <w:rFonts w:ascii="Arial" w:hAnsi="Arial" w:cs="Arial"/>
          <w:sz w:val="20"/>
          <w:szCs w:val="20"/>
        </w:rPr>
      </w:pPr>
      <w:r w:rsidRPr="607C4A4B">
        <w:rPr>
          <w:rFonts w:ascii="Arial" w:hAnsi="Arial" w:cs="Arial"/>
          <w:sz w:val="20"/>
          <w:szCs w:val="20"/>
        </w:rPr>
        <w:t>The Idaho Commission on Human Rights administers discrimination complaints. Commission members are appointed by the governor and confirmed by the state senate for three-year terms. The Governor’s Commission on Service and Volunteerism oversees the operations of Serve Idaho. Commission members are appointed by the governor for three-year terms.</w:t>
      </w:r>
    </w:p>
    <w:p w14:paraId="3EC44330" w14:textId="77777777" w:rsidR="007D5321" w:rsidRPr="00595D79" w:rsidRDefault="007D5321" w:rsidP="00773860">
      <w:pPr>
        <w:rPr>
          <w:rFonts w:ascii="Arial" w:hAnsi="Arial" w:cs="Arial"/>
          <w:szCs w:val="20"/>
        </w:rPr>
      </w:pPr>
    </w:p>
    <w:p w14:paraId="0A5263DB" w14:textId="77777777" w:rsidR="007D5321" w:rsidRDefault="607C4A4B" w:rsidP="607C4A4B">
      <w:pPr>
        <w:rPr>
          <w:rFonts w:ascii="Arial" w:hAnsi="Arial" w:cs="Arial"/>
          <w:b/>
          <w:bCs/>
        </w:rPr>
      </w:pPr>
      <w:r w:rsidRPr="607C4A4B">
        <w:rPr>
          <w:rFonts w:ascii="Arial" w:hAnsi="Arial" w:cs="Arial"/>
          <w:b/>
          <w:bCs/>
        </w:rPr>
        <w:t>Core Functions / Idaho Code</w:t>
      </w:r>
    </w:p>
    <w:p w14:paraId="492FCE9E" w14:textId="77777777" w:rsidR="00701E05" w:rsidRPr="00595D79" w:rsidRDefault="00701E05" w:rsidP="607C4A4B">
      <w:pPr>
        <w:rPr>
          <w:rFonts w:ascii="Arial" w:hAnsi="Arial" w:cs="Arial"/>
        </w:rPr>
      </w:pPr>
    </w:p>
    <w:p w14:paraId="15CD6CC0" w14:textId="77777777" w:rsidR="007D5321" w:rsidRPr="002E4C25" w:rsidRDefault="607C4A4B" w:rsidP="607C4A4B">
      <w:pPr>
        <w:autoSpaceDE w:val="0"/>
        <w:autoSpaceDN w:val="0"/>
        <w:adjustRightInd w:val="0"/>
        <w:jc w:val="both"/>
        <w:rPr>
          <w:rFonts w:ascii="Arial" w:hAnsi="Arial" w:cs="Arial"/>
          <w:color w:val="000000" w:themeColor="text1"/>
          <w:sz w:val="20"/>
          <w:szCs w:val="20"/>
        </w:rPr>
      </w:pPr>
      <w:r w:rsidRPr="607C4A4B">
        <w:rPr>
          <w:rFonts w:ascii="Arial" w:hAnsi="Arial" w:cs="Arial"/>
          <w:b/>
          <w:bCs/>
          <w:color w:val="000000" w:themeColor="text1"/>
          <w:sz w:val="20"/>
          <w:szCs w:val="20"/>
        </w:rPr>
        <w:t xml:space="preserve">Idaho Code Title 72, Chapter 13 </w:t>
      </w:r>
      <w:r w:rsidRPr="607C4A4B">
        <w:rPr>
          <w:rFonts w:ascii="Arial" w:hAnsi="Arial" w:cs="Arial"/>
          <w:color w:val="000000" w:themeColor="text1"/>
          <w:sz w:val="20"/>
          <w:szCs w:val="20"/>
        </w:rPr>
        <w:t xml:space="preserve">defines by statute, the authority and responsibilities of the Idaho Department of Labor. </w:t>
      </w:r>
    </w:p>
    <w:p w14:paraId="04D1D154" w14:textId="77777777" w:rsidR="007D5321" w:rsidRPr="00595D79" w:rsidRDefault="007D5321" w:rsidP="00391633">
      <w:pPr>
        <w:autoSpaceDE w:val="0"/>
        <w:autoSpaceDN w:val="0"/>
        <w:adjustRightInd w:val="0"/>
        <w:jc w:val="both"/>
        <w:rPr>
          <w:rFonts w:ascii="Arial" w:hAnsi="Arial" w:cs="Arial"/>
          <w:b/>
          <w:bCs/>
          <w:color w:val="000000"/>
          <w:sz w:val="20"/>
          <w:szCs w:val="20"/>
        </w:rPr>
      </w:pPr>
    </w:p>
    <w:p w14:paraId="00583340" w14:textId="435CEEEF" w:rsidR="00A72038" w:rsidRPr="00595D79" w:rsidRDefault="607C4A4B" w:rsidP="607C4A4B">
      <w:pPr>
        <w:autoSpaceDE w:val="0"/>
        <w:autoSpaceDN w:val="0"/>
        <w:adjustRightInd w:val="0"/>
        <w:jc w:val="both"/>
        <w:rPr>
          <w:rFonts w:ascii="Arial" w:hAnsi="Arial" w:cs="Arial"/>
          <w:color w:val="000000" w:themeColor="text1"/>
          <w:sz w:val="20"/>
          <w:szCs w:val="20"/>
        </w:rPr>
      </w:pPr>
      <w:r w:rsidRPr="607C4A4B">
        <w:rPr>
          <w:rFonts w:ascii="Arial" w:hAnsi="Arial" w:cs="Arial"/>
          <w:b/>
          <w:bCs/>
          <w:color w:val="000000" w:themeColor="text1"/>
          <w:sz w:val="20"/>
          <w:szCs w:val="20"/>
        </w:rPr>
        <w:t xml:space="preserve">WORKFORCE SERVICES </w:t>
      </w:r>
      <w:r w:rsidRPr="607C4A4B">
        <w:rPr>
          <w:rFonts w:ascii="Arial" w:hAnsi="Arial" w:cs="Arial"/>
          <w:color w:val="000000" w:themeColor="text1"/>
          <w:sz w:val="20"/>
          <w:szCs w:val="20"/>
        </w:rPr>
        <w:t>provides a broad array of automated and personalized labor exchange services to job seekers and businesses. (</w:t>
      </w:r>
      <w:r w:rsidRPr="607C4A4B">
        <w:rPr>
          <w:rFonts w:ascii="Arial" w:hAnsi="Arial" w:cs="Arial"/>
          <w:sz w:val="20"/>
          <w:szCs w:val="20"/>
        </w:rPr>
        <w:t xml:space="preserve">Title 72, Chapter 13; Federal - 29 U.S.C. Chapter 49.) </w:t>
      </w:r>
      <w:r w:rsidRPr="607C4A4B">
        <w:rPr>
          <w:rFonts w:ascii="Arial" w:hAnsi="Arial" w:cs="Arial"/>
          <w:color w:val="000000" w:themeColor="text1"/>
          <w:sz w:val="20"/>
          <w:szCs w:val="20"/>
        </w:rPr>
        <w:t>Some of these services include lifelong learning opportunities for Idaho’s new, current and transitional workers as outlined in the following federal Code of Federal Regulations (CFRs).</w:t>
      </w:r>
    </w:p>
    <w:p w14:paraId="52B2C669" w14:textId="77777777" w:rsidR="007D5321" w:rsidRPr="001A175C" w:rsidRDefault="607C4A4B" w:rsidP="607C4A4B">
      <w:pPr>
        <w:pStyle w:val="ListParagraph"/>
        <w:numPr>
          <w:ilvl w:val="0"/>
          <w:numId w:val="17"/>
        </w:numPr>
        <w:jc w:val="both"/>
        <w:rPr>
          <w:rFonts w:ascii="Arial" w:hAnsi="Arial" w:cs="Arial"/>
          <w:b/>
          <w:bCs/>
          <w:color w:val="000000" w:themeColor="text1"/>
          <w:sz w:val="20"/>
          <w:szCs w:val="20"/>
        </w:rPr>
      </w:pPr>
      <w:r w:rsidRPr="001A175C">
        <w:rPr>
          <w:rFonts w:ascii="Arial" w:hAnsi="Arial" w:cs="Arial"/>
          <w:b/>
          <w:bCs/>
          <w:color w:val="000000" w:themeColor="text1"/>
          <w:sz w:val="20"/>
          <w:szCs w:val="20"/>
        </w:rPr>
        <w:t xml:space="preserve">Workforce Innovation and Opportunity Act </w:t>
      </w:r>
      <w:r w:rsidRPr="001A175C">
        <w:rPr>
          <w:rFonts w:ascii="Arial" w:hAnsi="Arial" w:cs="Arial"/>
          <w:color w:val="000000" w:themeColor="text1"/>
          <w:sz w:val="20"/>
          <w:szCs w:val="20"/>
        </w:rPr>
        <w:t>– Federal – 20 CFR Part 652, 660-671/P.L. 105-220/29 U.S.C. 30</w:t>
      </w:r>
    </w:p>
    <w:p w14:paraId="2F7291C6" w14:textId="77777777" w:rsidR="007D5321" w:rsidRPr="003151EB" w:rsidRDefault="607C4A4B" w:rsidP="607C4A4B">
      <w:pPr>
        <w:pStyle w:val="ListParagraph"/>
        <w:numPr>
          <w:ilvl w:val="0"/>
          <w:numId w:val="17"/>
        </w:numPr>
        <w:autoSpaceDE w:val="0"/>
        <w:autoSpaceDN w:val="0"/>
        <w:adjustRightInd w:val="0"/>
        <w:ind w:right="-360"/>
        <w:jc w:val="both"/>
        <w:rPr>
          <w:rFonts w:ascii="Arial" w:hAnsi="Arial" w:cs="Arial"/>
          <w:color w:val="000000" w:themeColor="text1"/>
          <w:sz w:val="20"/>
          <w:szCs w:val="20"/>
        </w:rPr>
      </w:pPr>
      <w:r w:rsidRPr="607C4A4B">
        <w:rPr>
          <w:rFonts w:ascii="Arial" w:hAnsi="Arial" w:cs="Arial"/>
          <w:b/>
          <w:bCs/>
          <w:color w:val="000000" w:themeColor="text1"/>
          <w:sz w:val="20"/>
          <w:szCs w:val="20"/>
        </w:rPr>
        <w:t xml:space="preserve">Trade Adjustment Assistance </w:t>
      </w:r>
      <w:r w:rsidRPr="607C4A4B">
        <w:rPr>
          <w:rFonts w:ascii="Arial" w:hAnsi="Arial" w:cs="Arial"/>
          <w:color w:val="000000" w:themeColor="text1"/>
          <w:sz w:val="20"/>
          <w:szCs w:val="20"/>
        </w:rPr>
        <w:t>– Federal – 20 CFR Part 617/P.L. 107-210/19 U.S.C. 12.</w:t>
      </w:r>
    </w:p>
    <w:p w14:paraId="594F22CF" w14:textId="77777777" w:rsidR="007D5321" w:rsidRPr="00595D79" w:rsidRDefault="007D5321" w:rsidP="00391633">
      <w:pPr>
        <w:autoSpaceDE w:val="0"/>
        <w:autoSpaceDN w:val="0"/>
        <w:adjustRightInd w:val="0"/>
        <w:jc w:val="both"/>
        <w:rPr>
          <w:rFonts w:ascii="Arial" w:hAnsi="Arial" w:cs="Arial"/>
          <w:color w:val="000000"/>
          <w:sz w:val="20"/>
          <w:szCs w:val="20"/>
        </w:rPr>
      </w:pPr>
    </w:p>
    <w:p w14:paraId="4BF73CC9" w14:textId="77777777" w:rsidR="007D5321" w:rsidRPr="00595D79" w:rsidRDefault="607C4A4B" w:rsidP="607C4A4B">
      <w:pPr>
        <w:autoSpaceDE w:val="0"/>
        <w:autoSpaceDN w:val="0"/>
        <w:adjustRightInd w:val="0"/>
        <w:jc w:val="both"/>
        <w:rPr>
          <w:rFonts w:ascii="Arial" w:hAnsi="Arial" w:cs="Arial"/>
          <w:sz w:val="20"/>
          <w:szCs w:val="20"/>
        </w:rPr>
      </w:pPr>
      <w:r w:rsidRPr="607C4A4B">
        <w:rPr>
          <w:rFonts w:ascii="Arial" w:hAnsi="Arial" w:cs="Arial"/>
          <w:b/>
          <w:bCs/>
          <w:color w:val="000000" w:themeColor="text1"/>
          <w:sz w:val="20"/>
          <w:szCs w:val="20"/>
        </w:rPr>
        <w:t xml:space="preserve">UNEMPLOYMENT INSURANCE </w:t>
      </w:r>
      <w:r w:rsidRPr="607C4A4B">
        <w:rPr>
          <w:rFonts w:ascii="Arial" w:hAnsi="Arial" w:cs="Arial"/>
          <w:color w:val="000000" w:themeColor="text1"/>
          <w:sz w:val="20"/>
          <w:szCs w:val="20"/>
        </w:rPr>
        <w:t>provides partial replacement of wages to eligible workers who lose their jobs through no fault of their own. (</w:t>
      </w:r>
      <w:r w:rsidRPr="607C4A4B">
        <w:rPr>
          <w:rFonts w:ascii="Arial" w:hAnsi="Arial" w:cs="Arial"/>
          <w:sz w:val="20"/>
          <w:szCs w:val="20"/>
        </w:rPr>
        <w:t>Title 72, Chapter 13; Federal - 26 U.S.C. Chapter 23.)</w:t>
      </w:r>
    </w:p>
    <w:p w14:paraId="66E3BFD6" w14:textId="77777777" w:rsidR="00FB356C" w:rsidRPr="00595D79" w:rsidRDefault="00FB356C" w:rsidP="00391633">
      <w:pPr>
        <w:autoSpaceDE w:val="0"/>
        <w:autoSpaceDN w:val="0"/>
        <w:adjustRightInd w:val="0"/>
        <w:ind w:left="360"/>
        <w:jc w:val="both"/>
        <w:rPr>
          <w:rFonts w:ascii="Arial" w:hAnsi="Arial" w:cs="Arial"/>
          <w:color w:val="000000"/>
          <w:sz w:val="20"/>
          <w:szCs w:val="20"/>
        </w:rPr>
      </w:pPr>
    </w:p>
    <w:p w14:paraId="4A436642" w14:textId="4FD94E00" w:rsidR="007D5321" w:rsidRPr="00595D79" w:rsidRDefault="607C4A4B" w:rsidP="607C4A4B">
      <w:pPr>
        <w:autoSpaceDE w:val="0"/>
        <w:autoSpaceDN w:val="0"/>
        <w:adjustRightInd w:val="0"/>
        <w:jc w:val="both"/>
        <w:rPr>
          <w:rFonts w:ascii="Arial" w:hAnsi="Arial" w:cs="Arial"/>
          <w:sz w:val="20"/>
          <w:szCs w:val="20"/>
        </w:rPr>
      </w:pPr>
      <w:r w:rsidRPr="607C4A4B">
        <w:rPr>
          <w:rFonts w:ascii="Arial" w:hAnsi="Arial" w:cs="Arial"/>
          <w:b/>
          <w:bCs/>
          <w:color w:val="000000" w:themeColor="text1"/>
          <w:sz w:val="20"/>
          <w:szCs w:val="20"/>
        </w:rPr>
        <w:t xml:space="preserve">WAGE AND HOUR </w:t>
      </w:r>
      <w:r w:rsidRPr="607C4A4B">
        <w:rPr>
          <w:rFonts w:ascii="Arial" w:hAnsi="Arial" w:cs="Arial"/>
          <w:color w:val="000000" w:themeColor="text1"/>
          <w:sz w:val="20"/>
          <w:szCs w:val="20"/>
        </w:rPr>
        <w:t>defines the state’s responsibilities for administering Idaho’s wage and hour laws. (</w:t>
      </w:r>
      <w:r w:rsidRPr="607C4A4B">
        <w:rPr>
          <w:rFonts w:ascii="Arial" w:hAnsi="Arial" w:cs="Arial"/>
          <w:sz w:val="20"/>
          <w:szCs w:val="20"/>
        </w:rPr>
        <w:t xml:space="preserve">Title 72, Chapter 13, Title 44, Chapters 15 </w:t>
      </w:r>
      <w:r w:rsidR="00C05F16">
        <w:rPr>
          <w:rFonts w:ascii="Arial" w:hAnsi="Arial" w:cs="Arial"/>
          <w:sz w:val="20"/>
          <w:szCs w:val="20"/>
        </w:rPr>
        <w:t>and</w:t>
      </w:r>
      <w:r w:rsidRPr="607C4A4B">
        <w:rPr>
          <w:rFonts w:ascii="Arial" w:hAnsi="Arial" w:cs="Arial"/>
          <w:sz w:val="20"/>
          <w:szCs w:val="20"/>
        </w:rPr>
        <w:t xml:space="preserve"> 16, and Title 45, Chapter 6.)</w:t>
      </w:r>
    </w:p>
    <w:p w14:paraId="16B6D2F0" w14:textId="77777777" w:rsidR="007D5321" w:rsidRPr="00595D79" w:rsidRDefault="007D5321" w:rsidP="00AB4B53">
      <w:pPr>
        <w:autoSpaceDE w:val="0"/>
        <w:autoSpaceDN w:val="0"/>
        <w:adjustRightInd w:val="0"/>
        <w:jc w:val="both"/>
        <w:rPr>
          <w:rFonts w:ascii="Arial" w:hAnsi="Arial" w:cs="Arial"/>
          <w:sz w:val="20"/>
          <w:szCs w:val="20"/>
        </w:rPr>
      </w:pPr>
    </w:p>
    <w:p w14:paraId="7EC6F64F" w14:textId="5E9236CE" w:rsidR="007D5321" w:rsidRPr="00595D79" w:rsidRDefault="00C62C77" w:rsidP="607C4A4B">
      <w:pPr>
        <w:autoSpaceDE w:val="0"/>
        <w:autoSpaceDN w:val="0"/>
        <w:adjustRightInd w:val="0"/>
        <w:jc w:val="both"/>
        <w:rPr>
          <w:rFonts w:ascii="Arial" w:eastAsia="PMingLiU" w:hAnsi="Arial" w:cs="Arial"/>
          <w:color w:val="000000" w:themeColor="text1"/>
          <w:sz w:val="20"/>
          <w:szCs w:val="20"/>
          <w:lang w:eastAsia="zh-TW"/>
        </w:rPr>
      </w:pPr>
      <w:r>
        <w:rPr>
          <w:rFonts w:ascii="Arial" w:eastAsia="PMingLiU" w:hAnsi="Arial" w:cs="Arial"/>
          <w:b/>
          <w:bCs/>
          <w:color w:val="000000" w:themeColor="text1"/>
          <w:sz w:val="20"/>
          <w:szCs w:val="20"/>
          <w:lang w:eastAsia="zh-TW"/>
        </w:rPr>
        <w:t xml:space="preserve">RESEARCH </w:t>
      </w:r>
      <w:r w:rsidR="00C05F16">
        <w:rPr>
          <w:rFonts w:ascii="Arial" w:eastAsia="PMingLiU" w:hAnsi="Arial" w:cs="Arial"/>
          <w:b/>
          <w:bCs/>
          <w:color w:val="000000" w:themeColor="text1"/>
          <w:sz w:val="20"/>
          <w:szCs w:val="20"/>
          <w:lang w:eastAsia="zh-TW"/>
        </w:rPr>
        <w:t>AND</w:t>
      </w:r>
      <w:r>
        <w:rPr>
          <w:rFonts w:ascii="Arial" w:eastAsia="PMingLiU" w:hAnsi="Arial" w:cs="Arial"/>
          <w:b/>
          <w:bCs/>
          <w:color w:val="000000" w:themeColor="text1"/>
          <w:sz w:val="20"/>
          <w:szCs w:val="20"/>
          <w:lang w:eastAsia="zh-TW"/>
        </w:rPr>
        <w:t xml:space="preserve"> </w:t>
      </w:r>
      <w:r w:rsidR="607C4A4B" w:rsidRPr="607C4A4B">
        <w:rPr>
          <w:rFonts w:ascii="Arial" w:eastAsia="PMingLiU" w:hAnsi="Arial" w:cs="Arial"/>
          <w:b/>
          <w:bCs/>
          <w:color w:val="000000" w:themeColor="text1"/>
          <w:sz w:val="20"/>
          <w:szCs w:val="20"/>
          <w:lang w:eastAsia="zh-TW"/>
        </w:rPr>
        <w:t xml:space="preserve">COMMUNICATIONS </w:t>
      </w:r>
      <w:r w:rsidR="607C4A4B" w:rsidRPr="607C4A4B">
        <w:rPr>
          <w:rFonts w:ascii="Arial" w:eastAsia="PMingLiU" w:hAnsi="Arial" w:cs="Arial"/>
          <w:color w:val="000000" w:themeColor="text1"/>
          <w:sz w:val="20"/>
          <w:szCs w:val="20"/>
          <w:lang w:eastAsia="zh-TW"/>
        </w:rPr>
        <w:t>provides a broad variety of labor market and economic data at the state, regional and local level on past, current and projected labor market conditions, including information on occupations, wages, job openings and skill levels. Several of the federal statutes listed earlier authorize this function.</w:t>
      </w:r>
    </w:p>
    <w:p w14:paraId="31E42C96" w14:textId="77777777" w:rsidR="007D5321" w:rsidRPr="00595D79" w:rsidRDefault="007D5321" w:rsidP="00AB4B53">
      <w:pPr>
        <w:autoSpaceDE w:val="0"/>
        <w:autoSpaceDN w:val="0"/>
        <w:adjustRightInd w:val="0"/>
        <w:jc w:val="both"/>
        <w:rPr>
          <w:rFonts w:ascii="Arial" w:hAnsi="Arial" w:cs="Arial"/>
          <w:b/>
          <w:bCs/>
          <w:color w:val="000000"/>
          <w:sz w:val="20"/>
          <w:szCs w:val="20"/>
        </w:rPr>
      </w:pPr>
    </w:p>
    <w:p w14:paraId="198F41F3" w14:textId="12D2346D" w:rsidR="007D5321" w:rsidRPr="00595D79" w:rsidRDefault="607C4A4B" w:rsidP="607C4A4B">
      <w:pPr>
        <w:autoSpaceDE w:val="0"/>
        <w:autoSpaceDN w:val="0"/>
        <w:adjustRightInd w:val="0"/>
        <w:jc w:val="both"/>
        <w:rPr>
          <w:rFonts w:ascii="Arial" w:hAnsi="Arial" w:cs="Arial"/>
          <w:b/>
          <w:bCs/>
          <w:color w:val="000000" w:themeColor="text1"/>
          <w:sz w:val="20"/>
          <w:szCs w:val="20"/>
        </w:rPr>
      </w:pPr>
      <w:r w:rsidRPr="607C4A4B">
        <w:rPr>
          <w:rFonts w:ascii="Arial" w:hAnsi="Arial" w:cs="Arial"/>
          <w:b/>
          <w:bCs/>
          <w:color w:val="000000" w:themeColor="text1"/>
          <w:sz w:val="20"/>
          <w:szCs w:val="20"/>
        </w:rPr>
        <w:t xml:space="preserve">IDAHO DISABILITY DETERMINATION SERVICES </w:t>
      </w:r>
      <w:r w:rsidRPr="607C4A4B">
        <w:rPr>
          <w:rFonts w:ascii="Arial" w:hAnsi="Arial" w:cs="Arial"/>
          <w:color w:val="000000" w:themeColor="text1"/>
          <w:sz w:val="20"/>
          <w:szCs w:val="20"/>
        </w:rPr>
        <w:t>helps the Social Security Administration process disability claims by determining whether individuals applying for Social Security disability benefits meet the criteria for medical severity and ensuring fair and timely consideration for those individuals. (Title 72, Chapter 13; Federal – 20 CFR Part 416/</w:t>
      </w:r>
      <w:r w:rsidRPr="607C4A4B">
        <w:rPr>
          <w:rFonts w:ascii="Arial" w:hAnsi="Arial" w:cs="Arial"/>
          <w:sz w:val="20"/>
          <w:szCs w:val="20"/>
        </w:rPr>
        <w:t xml:space="preserve"> 42 U.S.C. 421</w:t>
      </w:r>
      <w:r w:rsidRPr="607C4A4B">
        <w:rPr>
          <w:rFonts w:ascii="Arial" w:hAnsi="Arial" w:cs="Arial"/>
          <w:color w:val="000000" w:themeColor="text1"/>
          <w:sz w:val="20"/>
          <w:szCs w:val="20"/>
        </w:rPr>
        <w:t>.)</w:t>
      </w:r>
    </w:p>
    <w:p w14:paraId="27E1B762" w14:textId="77777777" w:rsidR="007D5321" w:rsidRPr="00595D79" w:rsidRDefault="007D5321" w:rsidP="00AB4B53">
      <w:pPr>
        <w:autoSpaceDE w:val="0"/>
        <w:autoSpaceDN w:val="0"/>
        <w:adjustRightInd w:val="0"/>
        <w:jc w:val="both"/>
        <w:rPr>
          <w:rFonts w:ascii="Arial" w:hAnsi="Arial" w:cs="Arial"/>
          <w:color w:val="000000"/>
          <w:sz w:val="20"/>
          <w:szCs w:val="20"/>
        </w:rPr>
      </w:pPr>
    </w:p>
    <w:p w14:paraId="1944F59C" w14:textId="2A4D70C0" w:rsidR="00817853" w:rsidRDefault="607C4A4B" w:rsidP="607C4A4B">
      <w:pPr>
        <w:pStyle w:val="NormalWeb"/>
        <w:spacing w:before="0" w:beforeAutospacing="0" w:after="0" w:afterAutospacing="0"/>
        <w:jc w:val="both"/>
        <w:rPr>
          <w:rFonts w:ascii="Arial" w:hAnsi="Arial" w:cs="Arial"/>
          <w:sz w:val="20"/>
          <w:szCs w:val="20"/>
          <w:lang w:eastAsia="en-US"/>
        </w:rPr>
      </w:pPr>
      <w:r w:rsidRPr="607C4A4B">
        <w:rPr>
          <w:rFonts w:ascii="Arial" w:hAnsi="Arial" w:cs="Arial"/>
          <w:b/>
          <w:bCs/>
          <w:color w:val="000000" w:themeColor="text1"/>
          <w:sz w:val="20"/>
          <w:szCs w:val="20"/>
        </w:rPr>
        <w:t>SERVE IDAHO</w:t>
      </w:r>
      <w:r w:rsidR="00C62C77">
        <w:rPr>
          <w:rFonts w:ascii="Arial" w:hAnsi="Arial" w:cs="Arial"/>
          <w:b/>
          <w:bCs/>
          <w:color w:val="000000" w:themeColor="text1"/>
          <w:sz w:val="20"/>
          <w:szCs w:val="20"/>
        </w:rPr>
        <w:t>,</w:t>
      </w:r>
      <w:r w:rsidRPr="607C4A4B">
        <w:rPr>
          <w:rFonts w:ascii="Arial" w:hAnsi="Arial" w:cs="Arial"/>
          <w:color w:val="000000" w:themeColor="text1"/>
          <w:sz w:val="20"/>
          <w:szCs w:val="20"/>
        </w:rPr>
        <w:t xml:space="preserve"> </w:t>
      </w:r>
      <w:r w:rsidR="00C62C77">
        <w:rPr>
          <w:rFonts w:ascii="Arial" w:hAnsi="Arial" w:cs="Arial"/>
          <w:color w:val="000000" w:themeColor="text1"/>
          <w:sz w:val="20"/>
          <w:szCs w:val="20"/>
        </w:rPr>
        <w:t xml:space="preserve">or </w:t>
      </w:r>
      <w:r w:rsidRPr="607C4A4B">
        <w:rPr>
          <w:rFonts w:ascii="Arial" w:hAnsi="Arial" w:cs="Arial"/>
          <w:color w:val="000000" w:themeColor="text1"/>
          <w:sz w:val="20"/>
          <w:szCs w:val="20"/>
        </w:rPr>
        <w:t>the Governor’s Commission on Service and Volunteerism</w:t>
      </w:r>
      <w:r w:rsidR="00C62C77">
        <w:rPr>
          <w:rFonts w:ascii="Arial" w:hAnsi="Arial" w:cs="Arial"/>
          <w:color w:val="000000" w:themeColor="text1"/>
          <w:sz w:val="20"/>
          <w:szCs w:val="20"/>
        </w:rPr>
        <w:t>,</w:t>
      </w:r>
      <w:r w:rsidRPr="607C4A4B">
        <w:rPr>
          <w:rFonts w:ascii="Arial" w:hAnsi="Arial" w:cs="Arial"/>
          <w:color w:val="000000" w:themeColor="text1"/>
          <w:sz w:val="20"/>
          <w:szCs w:val="20"/>
        </w:rPr>
        <w:t xml:space="preserve"> administers Idaho AmeriCorps grants and strives to a</w:t>
      </w:r>
      <w:r w:rsidRPr="607C4A4B">
        <w:rPr>
          <w:rFonts w:ascii="Arial" w:hAnsi="Arial" w:cs="Arial"/>
          <w:sz w:val="20"/>
          <w:szCs w:val="20"/>
        </w:rPr>
        <w:t xml:space="preserve">dvance community service programs and activities throughout the state. </w:t>
      </w:r>
      <w:r w:rsidR="007C2F00">
        <w:rPr>
          <w:rFonts w:ascii="Arial" w:hAnsi="Arial" w:cs="Arial"/>
          <w:sz w:val="20"/>
          <w:szCs w:val="20"/>
        </w:rPr>
        <w:t xml:space="preserve">(Executive Order </w:t>
      </w:r>
      <w:r w:rsidR="007C2F00" w:rsidRPr="007C2F00">
        <w:rPr>
          <w:rFonts w:ascii="Arial" w:hAnsi="Arial" w:cs="Arial"/>
          <w:sz w:val="20"/>
          <w:szCs w:val="20"/>
        </w:rPr>
        <w:t>NO. 2019-11</w:t>
      </w:r>
      <w:r w:rsidR="007C2F00">
        <w:rPr>
          <w:rFonts w:ascii="Arial" w:hAnsi="Arial" w:cs="Arial"/>
          <w:sz w:val="20"/>
          <w:szCs w:val="20"/>
        </w:rPr>
        <w:t>)</w:t>
      </w:r>
    </w:p>
    <w:p w14:paraId="058F0E55" w14:textId="77777777" w:rsidR="007D5321" w:rsidRPr="00595D79" w:rsidRDefault="007D5321" w:rsidP="00AB4B53">
      <w:pPr>
        <w:pStyle w:val="NormalWeb"/>
        <w:spacing w:before="0" w:beforeAutospacing="0" w:after="0" w:afterAutospacing="0"/>
        <w:jc w:val="both"/>
        <w:rPr>
          <w:rFonts w:ascii="Arial" w:eastAsia="Times New Roman" w:hAnsi="Arial" w:cs="Arial"/>
          <w:bCs/>
          <w:iCs/>
          <w:sz w:val="20"/>
          <w:szCs w:val="20"/>
          <w:lang w:eastAsia="en-US"/>
        </w:rPr>
      </w:pPr>
    </w:p>
    <w:p w14:paraId="5C25903E" w14:textId="2C1991D7" w:rsidR="007D5321" w:rsidRPr="00595D79" w:rsidRDefault="607C4A4B" w:rsidP="607C4A4B">
      <w:pPr>
        <w:autoSpaceDE w:val="0"/>
        <w:autoSpaceDN w:val="0"/>
        <w:adjustRightInd w:val="0"/>
        <w:jc w:val="both"/>
        <w:rPr>
          <w:rFonts w:ascii="Arial" w:hAnsi="Arial" w:cs="Arial"/>
          <w:sz w:val="20"/>
          <w:szCs w:val="20"/>
        </w:rPr>
      </w:pPr>
      <w:r w:rsidRPr="607C4A4B">
        <w:rPr>
          <w:rFonts w:ascii="Arial" w:hAnsi="Arial" w:cs="Arial"/>
          <w:b/>
          <w:bCs/>
          <w:color w:val="000000" w:themeColor="text1"/>
          <w:sz w:val="20"/>
          <w:szCs w:val="20"/>
        </w:rPr>
        <w:t xml:space="preserve">IDAHO COMMISSION ON HUMAN RIGHTS </w:t>
      </w:r>
      <w:r w:rsidRPr="607C4A4B">
        <w:rPr>
          <w:rFonts w:ascii="Arial" w:hAnsi="Arial" w:cs="Arial"/>
          <w:color w:val="000000" w:themeColor="text1"/>
          <w:sz w:val="20"/>
          <w:szCs w:val="20"/>
        </w:rPr>
        <w:t>works to secure freedom for all Idahoans from discrimination because of race, color, religion, sex, national origin or disability in connection with employment, public accommodations and real property transactions, discrimination because of race, color, religion, sex or national origin in connection with education, and discrimination because of age in connection with employment. (</w:t>
      </w:r>
      <w:r w:rsidRPr="607C4A4B">
        <w:rPr>
          <w:rFonts w:ascii="Arial" w:hAnsi="Arial" w:cs="Arial"/>
          <w:sz w:val="20"/>
          <w:szCs w:val="20"/>
        </w:rPr>
        <w:t>Title 67, Chapter 59, Idaho Code.)</w:t>
      </w:r>
    </w:p>
    <w:p w14:paraId="281B91A9" w14:textId="77777777" w:rsidR="00EB502D" w:rsidRPr="0061601A" w:rsidRDefault="00EB502D" w:rsidP="006211C5">
      <w:pPr>
        <w:autoSpaceDE w:val="0"/>
        <w:autoSpaceDN w:val="0"/>
        <w:adjustRightInd w:val="0"/>
        <w:jc w:val="both"/>
        <w:rPr>
          <w:rFonts w:ascii="Arial" w:hAnsi="Arial" w:cs="Arial"/>
          <w:szCs w:val="20"/>
        </w:rPr>
      </w:pPr>
    </w:p>
    <w:p w14:paraId="44AFD2E4" w14:textId="32D00745" w:rsidR="00D1718C" w:rsidRDefault="607C4A4B" w:rsidP="607C4A4B">
      <w:pPr>
        <w:autoSpaceDE w:val="0"/>
        <w:autoSpaceDN w:val="0"/>
        <w:adjustRightInd w:val="0"/>
        <w:jc w:val="both"/>
        <w:rPr>
          <w:rFonts w:ascii="Arial" w:hAnsi="Arial" w:cs="Arial"/>
          <w:b/>
          <w:bCs/>
          <w:color w:val="FF0000"/>
        </w:rPr>
      </w:pPr>
      <w:r w:rsidRPr="00C83164">
        <w:rPr>
          <w:rFonts w:ascii="Arial" w:hAnsi="Arial" w:cs="Arial"/>
          <w:b/>
          <w:bCs/>
        </w:rPr>
        <w:t>Revenue and Expenditures</w:t>
      </w:r>
      <w:r w:rsidR="00AC2EF2" w:rsidRPr="00AC2EF2">
        <w:rPr>
          <w:rFonts w:ascii="Arial" w:hAnsi="Arial" w:cs="Arial"/>
          <w:b/>
          <w:bCs/>
          <w:color w:val="FF0000"/>
        </w:rPr>
        <w:t xml:space="preserve"> </w:t>
      </w:r>
    </w:p>
    <w:p w14:paraId="56A2033A" w14:textId="77777777" w:rsidR="00701E05" w:rsidRDefault="00701E05" w:rsidP="607C4A4B">
      <w:pPr>
        <w:autoSpaceDE w:val="0"/>
        <w:autoSpaceDN w:val="0"/>
        <w:adjustRightInd w:val="0"/>
        <w:jc w:val="both"/>
        <w:rPr>
          <w:rFonts w:ascii="Arial" w:hAnsi="Arial" w:cs="Arial"/>
          <w:b/>
          <w:bCs/>
        </w:rPr>
      </w:pPr>
    </w:p>
    <w:tbl>
      <w:tblPr>
        <w:tblW w:w="10070" w:type="dxa"/>
        <w:tblLayout w:type="fixed"/>
        <w:tblCellMar>
          <w:right w:w="58" w:type="dxa"/>
        </w:tblCellMar>
        <w:tblLook w:val="04A0" w:firstRow="1" w:lastRow="0" w:firstColumn="1" w:lastColumn="0" w:noHBand="0" w:noVBand="1"/>
      </w:tblPr>
      <w:tblGrid>
        <w:gridCol w:w="4130"/>
        <w:gridCol w:w="1440"/>
        <w:gridCol w:w="1530"/>
        <w:gridCol w:w="1440"/>
        <w:gridCol w:w="1530"/>
      </w:tblGrid>
      <w:tr w:rsidR="00E815B8" w14:paraId="558D68EA" w14:textId="77777777" w:rsidTr="00E815B8">
        <w:trPr>
          <w:trHeight w:val="97"/>
        </w:trPr>
        <w:tc>
          <w:tcPr>
            <w:tcW w:w="4130" w:type="dxa"/>
            <w:tcBorders>
              <w:top w:val="single" w:sz="8" w:space="0" w:color="auto"/>
              <w:left w:val="single" w:sz="8" w:space="0" w:color="auto"/>
            </w:tcBorders>
            <w:shd w:val="clear" w:color="auto" w:fill="000080"/>
            <w:vAlign w:val="center"/>
            <w:hideMark/>
          </w:tcPr>
          <w:p w14:paraId="283A4E25" w14:textId="77777777" w:rsidR="00E815B8" w:rsidRDefault="00E815B8" w:rsidP="00E815B8">
            <w:pPr>
              <w:rPr>
                <w:rFonts w:ascii="Arial" w:hAnsi="Arial" w:cs="Arial"/>
                <w:b/>
                <w:bCs/>
                <w:color w:val="FFFFFF" w:themeColor="background1"/>
                <w:sz w:val="20"/>
                <w:szCs w:val="20"/>
              </w:rPr>
            </w:pPr>
            <w:r w:rsidRPr="607C4A4B">
              <w:rPr>
                <w:rFonts w:ascii="Arial" w:hAnsi="Arial" w:cs="Arial"/>
                <w:b/>
                <w:bCs/>
                <w:color w:val="FFFFFF" w:themeColor="background1"/>
                <w:sz w:val="20"/>
                <w:szCs w:val="20"/>
              </w:rPr>
              <w:t>Revenue</w:t>
            </w:r>
          </w:p>
        </w:tc>
        <w:tc>
          <w:tcPr>
            <w:tcW w:w="1440" w:type="dxa"/>
            <w:tcBorders>
              <w:top w:val="single" w:sz="8" w:space="0" w:color="auto"/>
            </w:tcBorders>
            <w:shd w:val="clear" w:color="auto" w:fill="000080"/>
            <w:vAlign w:val="center"/>
          </w:tcPr>
          <w:p w14:paraId="5FD4A8B2" w14:textId="27431375" w:rsidR="00E815B8" w:rsidRPr="00314D87" w:rsidRDefault="00E815B8" w:rsidP="00E815B8">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2022</w:t>
            </w:r>
          </w:p>
        </w:tc>
        <w:tc>
          <w:tcPr>
            <w:tcW w:w="1530" w:type="dxa"/>
            <w:tcBorders>
              <w:top w:val="single" w:sz="8" w:space="0" w:color="auto"/>
            </w:tcBorders>
            <w:shd w:val="clear" w:color="auto" w:fill="000080"/>
            <w:vAlign w:val="center"/>
          </w:tcPr>
          <w:p w14:paraId="7C58AAE6" w14:textId="793056E0" w:rsidR="00E815B8" w:rsidRPr="00314D87" w:rsidRDefault="00E815B8" w:rsidP="00E815B8">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2023</w:t>
            </w:r>
          </w:p>
        </w:tc>
        <w:tc>
          <w:tcPr>
            <w:tcW w:w="1440" w:type="dxa"/>
            <w:tcBorders>
              <w:top w:val="single" w:sz="8" w:space="0" w:color="auto"/>
            </w:tcBorders>
            <w:shd w:val="clear" w:color="auto" w:fill="000080"/>
            <w:vAlign w:val="center"/>
          </w:tcPr>
          <w:p w14:paraId="70A12B85" w14:textId="65588EAF" w:rsidR="00E815B8" w:rsidRPr="00314D87" w:rsidRDefault="00E815B8" w:rsidP="00E815B8">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2024</w:t>
            </w:r>
          </w:p>
        </w:tc>
        <w:tc>
          <w:tcPr>
            <w:tcW w:w="1530" w:type="dxa"/>
            <w:tcBorders>
              <w:top w:val="single" w:sz="8" w:space="0" w:color="auto"/>
              <w:right w:val="single" w:sz="8" w:space="0" w:color="auto"/>
            </w:tcBorders>
            <w:shd w:val="clear" w:color="auto" w:fill="000080"/>
            <w:vAlign w:val="center"/>
          </w:tcPr>
          <w:p w14:paraId="720F71CB" w14:textId="7B2F9A14" w:rsidR="00E815B8" w:rsidRPr="00314D87" w:rsidRDefault="00E815B8" w:rsidP="00E815B8">
            <w:pPr>
              <w:jc w:val="right"/>
              <w:rPr>
                <w:rFonts w:ascii="Arial" w:hAnsi="Arial" w:cs="Arial"/>
                <w:b/>
                <w:bCs/>
                <w:color w:val="FFFFFF" w:themeColor="background1"/>
                <w:sz w:val="20"/>
                <w:szCs w:val="20"/>
              </w:rPr>
            </w:pPr>
            <w:r>
              <w:rPr>
                <w:rFonts w:ascii="Arial" w:hAnsi="Arial" w:cs="Arial"/>
                <w:b/>
                <w:bCs/>
                <w:color w:val="FFFFFF" w:themeColor="background1"/>
                <w:sz w:val="20"/>
                <w:szCs w:val="20"/>
              </w:rPr>
              <w:t>FY 2025</w:t>
            </w:r>
          </w:p>
        </w:tc>
      </w:tr>
      <w:tr w:rsidR="00E815B8" w:rsidRPr="007C4B88" w14:paraId="5835E9D4" w14:textId="77777777" w:rsidTr="00E815B8">
        <w:trPr>
          <w:trHeight w:val="135"/>
        </w:trPr>
        <w:tc>
          <w:tcPr>
            <w:tcW w:w="4130" w:type="dxa"/>
            <w:tcBorders>
              <w:top w:val="nil"/>
              <w:left w:val="single" w:sz="8" w:space="0" w:color="auto"/>
              <w:bottom w:val="nil"/>
              <w:right w:val="nil"/>
            </w:tcBorders>
            <w:shd w:val="clear" w:color="auto" w:fill="auto"/>
            <w:vAlign w:val="center"/>
            <w:hideMark/>
          </w:tcPr>
          <w:p w14:paraId="2CFEAFB4" w14:textId="1DBB1B9E" w:rsidR="00E815B8" w:rsidRPr="007C4B88" w:rsidRDefault="00E815B8" w:rsidP="00E815B8">
            <w:pPr>
              <w:rPr>
                <w:rFonts w:ascii="Arial" w:hAnsi="Arial" w:cs="Arial"/>
                <w:color w:val="2A2A2A"/>
                <w:sz w:val="20"/>
                <w:szCs w:val="20"/>
              </w:rPr>
            </w:pPr>
            <w:r w:rsidRPr="607C4A4B">
              <w:rPr>
                <w:rFonts w:ascii="Arial" w:hAnsi="Arial" w:cs="Arial"/>
                <w:color w:val="2A2A2A"/>
                <w:sz w:val="20"/>
                <w:szCs w:val="20"/>
              </w:rPr>
              <w:t xml:space="preserve">Unemployment Penalty </w:t>
            </w:r>
            <w:r>
              <w:rPr>
                <w:rFonts w:ascii="Arial" w:hAnsi="Arial" w:cs="Arial"/>
                <w:color w:val="2A2A2A"/>
                <w:sz w:val="20"/>
                <w:szCs w:val="20"/>
              </w:rPr>
              <w:t>and</w:t>
            </w:r>
            <w:r w:rsidRPr="607C4A4B">
              <w:rPr>
                <w:rFonts w:ascii="Arial" w:hAnsi="Arial" w:cs="Arial"/>
                <w:color w:val="2A2A2A"/>
                <w:sz w:val="20"/>
                <w:szCs w:val="20"/>
              </w:rPr>
              <w:t xml:space="preserve"> Interest </w:t>
            </w:r>
          </w:p>
        </w:tc>
        <w:tc>
          <w:tcPr>
            <w:tcW w:w="1440" w:type="dxa"/>
            <w:tcBorders>
              <w:top w:val="nil"/>
              <w:left w:val="nil"/>
              <w:bottom w:val="nil"/>
              <w:right w:val="nil"/>
            </w:tcBorders>
            <w:shd w:val="clear" w:color="auto" w:fill="auto"/>
            <w:vAlign w:val="center"/>
          </w:tcPr>
          <w:p w14:paraId="41A745F0" w14:textId="02C5A048"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$0</w:t>
            </w:r>
          </w:p>
        </w:tc>
        <w:tc>
          <w:tcPr>
            <w:tcW w:w="1530" w:type="dxa"/>
            <w:tcBorders>
              <w:top w:val="nil"/>
              <w:left w:val="nil"/>
              <w:bottom w:val="nil"/>
            </w:tcBorders>
            <w:shd w:val="clear" w:color="auto" w:fill="auto"/>
            <w:vAlign w:val="center"/>
          </w:tcPr>
          <w:p w14:paraId="4932CED8" w14:textId="72A2AD4A"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$0</w:t>
            </w:r>
          </w:p>
        </w:tc>
        <w:tc>
          <w:tcPr>
            <w:tcW w:w="1440" w:type="dxa"/>
            <w:tcBorders>
              <w:top w:val="nil"/>
              <w:left w:val="nil"/>
              <w:bottom w:val="nil"/>
            </w:tcBorders>
            <w:shd w:val="clear" w:color="auto" w:fill="auto"/>
            <w:vAlign w:val="center"/>
          </w:tcPr>
          <w:p w14:paraId="3D361953" w14:textId="65DEE67F"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$0</w:t>
            </w:r>
          </w:p>
        </w:tc>
        <w:tc>
          <w:tcPr>
            <w:tcW w:w="1530" w:type="dxa"/>
            <w:tcBorders>
              <w:top w:val="nil"/>
              <w:left w:val="nil"/>
              <w:bottom w:val="nil"/>
              <w:right w:val="single" w:sz="8" w:space="0" w:color="auto"/>
            </w:tcBorders>
            <w:shd w:val="clear" w:color="auto" w:fill="auto"/>
            <w:vAlign w:val="center"/>
          </w:tcPr>
          <w:p w14:paraId="5F764B5C" w14:textId="3F2CBE14" w:rsidR="00E815B8" w:rsidRPr="00314D87" w:rsidRDefault="00E815B8" w:rsidP="00E815B8">
            <w:pPr>
              <w:jc w:val="right"/>
              <w:rPr>
                <w:rFonts w:ascii="Arial" w:hAnsi="Arial" w:cs="Arial"/>
                <w:color w:val="2A2A2A"/>
                <w:sz w:val="20"/>
                <w:szCs w:val="20"/>
              </w:rPr>
            </w:pPr>
          </w:p>
        </w:tc>
      </w:tr>
      <w:tr w:rsidR="00E815B8" w:rsidRPr="007C4B88" w14:paraId="12A49C8A" w14:textId="77777777" w:rsidTr="00E815B8">
        <w:trPr>
          <w:trHeight w:val="270"/>
        </w:trPr>
        <w:tc>
          <w:tcPr>
            <w:tcW w:w="4130" w:type="dxa"/>
            <w:tcBorders>
              <w:top w:val="nil"/>
              <w:left w:val="single" w:sz="8" w:space="0" w:color="auto"/>
              <w:bottom w:val="nil"/>
              <w:right w:val="nil"/>
            </w:tcBorders>
            <w:shd w:val="clear" w:color="auto" w:fill="auto"/>
            <w:vAlign w:val="center"/>
            <w:hideMark/>
          </w:tcPr>
          <w:p w14:paraId="275848F4" w14:textId="77777777" w:rsidR="00E815B8" w:rsidRPr="007C4B88" w:rsidRDefault="00E815B8" w:rsidP="00E815B8">
            <w:pPr>
              <w:rPr>
                <w:rFonts w:ascii="Arial" w:hAnsi="Arial" w:cs="Arial"/>
                <w:color w:val="2A2A2A"/>
                <w:sz w:val="20"/>
                <w:szCs w:val="20"/>
              </w:rPr>
            </w:pPr>
            <w:r w:rsidRPr="607C4A4B">
              <w:rPr>
                <w:rFonts w:ascii="Arial" w:hAnsi="Arial" w:cs="Arial"/>
                <w:color w:val="2A2A2A"/>
                <w:sz w:val="20"/>
                <w:szCs w:val="20"/>
              </w:rPr>
              <w:t>Employment Security Special Administration</w:t>
            </w:r>
          </w:p>
        </w:tc>
        <w:tc>
          <w:tcPr>
            <w:tcW w:w="1440" w:type="dxa"/>
            <w:tcBorders>
              <w:top w:val="nil"/>
              <w:left w:val="nil"/>
              <w:bottom w:val="nil"/>
              <w:right w:val="nil"/>
            </w:tcBorders>
            <w:shd w:val="clear" w:color="auto" w:fill="auto"/>
            <w:vAlign w:val="center"/>
          </w:tcPr>
          <w:p w14:paraId="00F37171" w14:textId="57C6D270"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$2,676,000</w:t>
            </w:r>
          </w:p>
        </w:tc>
        <w:tc>
          <w:tcPr>
            <w:tcW w:w="1530" w:type="dxa"/>
            <w:tcBorders>
              <w:top w:val="nil"/>
              <w:left w:val="nil"/>
              <w:bottom w:val="nil"/>
            </w:tcBorders>
            <w:shd w:val="clear" w:color="auto" w:fill="auto"/>
            <w:vAlign w:val="center"/>
          </w:tcPr>
          <w:p w14:paraId="1653A364" w14:textId="0183FE83"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$4,453,800</w:t>
            </w:r>
          </w:p>
        </w:tc>
        <w:tc>
          <w:tcPr>
            <w:tcW w:w="1440" w:type="dxa"/>
            <w:tcBorders>
              <w:top w:val="nil"/>
              <w:left w:val="nil"/>
              <w:bottom w:val="nil"/>
            </w:tcBorders>
            <w:shd w:val="clear" w:color="auto" w:fill="auto"/>
            <w:vAlign w:val="center"/>
          </w:tcPr>
          <w:p w14:paraId="21AFF4AB" w14:textId="3FC7A9AD" w:rsidR="00E815B8" w:rsidRPr="00314D87" w:rsidRDefault="00E815B8" w:rsidP="00E815B8">
            <w:pPr>
              <w:jc w:val="right"/>
              <w:rPr>
                <w:rFonts w:ascii="Arial" w:hAnsi="Arial" w:cs="Arial"/>
                <w:color w:val="2A2A2A"/>
                <w:sz w:val="20"/>
                <w:szCs w:val="20"/>
              </w:rPr>
            </w:pPr>
            <w:r w:rsidRPr="00E170E4">
              <w:rPr>
                <w:rFonts w:ascii="Arial" w:hAnsi="Arial" w:cs="Arial"/>
                <w:color w:val="2A2A2A"/>
                <w:sz w:val="20"/>
                <w:szCs w:val="20"/>
              </w:rPr>
              <w:t>$9,162,</w:t>
            </w:r>
            <w:r>
              <w:rPr>
                <w:rFonts w:ascii="Arial" w:hAnsi="Arial" w:cs="Arial"/>
                <w:color w:val="2A2A2A"/>
                <w:sz w:val="20"/>
                <w:szCs w:val="20"/>
              </w:rPr>
              <w:t>800</w:t>
            </w:r>
            <w:r w:rsidRPr="00E170E4">
              <w:rPr>
                <w:rFonts w:ascii="Arial" w:hAnsi="Arial" w:cs="Arial"/>
                <w:color w:val="2A2A2A"/>
                <w:sz w:val="20"/>
                <w:szCs w:val="20"/>
              </w:rPr>
              <w:t>*</w:t>
            </w:r>
          </w:p>
        </w:tc>
        <w:tc>
          <w:tcPr>
            <w:tcW w:w="1530" w:type="dxa"/>
            <w:tcBorders>
              <w:top w:val="nil"/>
              <w:left w:val="nil"/>
              <w:bottom w:val="nil"/>
              <w:right w:val="single" w:sz="8" w:space="0" w:color="auto"/>
            </w:tcBorders>
            <w:shd w:val="clear" w:color="auto" w:fill="auto"/>
            <w:vAlign w:val="center"/>
          </w:tcPr>
          <w:p w14:paraId="764A1215" w14:textId="5080A820" w:rsidR="00E815B8" w:rsidRPr="00314D87" w:rsidRDefault="00E815B8" w:rsidP="00E815B8">
            <w:pPr>
              <w:jc w:val="right"/>
              <w:rPr>
                <w:rFonts w:ascii="Arial" w:hAnsi="Arial" w:cs="Arial"/>
                <w:color w:val="2A2A2A"/>
                <w:sz w:val="20"/>
                <w:szCs w:val="20"/>
              </w:rPr>
            </w:pPr>
          </w:p>
        </w:tc>
      </w:tr>
      <w:tr w:rsidR="00E815B8" w:rsidRPr="007C4B88" w14:paraId="278B677D" w14:textId="77777777" w:rsidTr="00E815B8">
        <w:trPr>
          <w:trHeight w:val="162"/>
        </w:trPr>
        <w:tc>
          <w:tcPr>
            <w:tcW w:w="4130" w:type="dxa"/>
            <w:tcBorders>
              <w:top w:val="nil"/>
              <w:left w:val="single" w:sz="8" w:space="0" w:color="auto"/>
              <w:bottom w:val="nil"/>
              <w:right w:val="nil"/>
            </w:tcBorders>
            <w:shd w:val="clear" w:color="auto" w:fill="auto"/>
            <w:vAlign w:val="center"/>
          </w:tcPr>
          <w:p w14:paraId="50162164" w14:textId="7117C131" w:rsidR="00E815B8" w:rsidRPr="007C4B88" w:rsidRDefault="00E815B8" w:rsidP="00E815B8">
            <w:pPr>
              <w:rPr>
                <w:rFonts w:ascii="Arial" w:hAnsi="Arial" w:cs="Arial"/>
                <w:color w:val="2A2A2A"/>
                <w:sz w:val="20"/>
                <w:szCs w:val="20"/>
              </w:rPr>
            </w:pPr>
            <w:r w:rsidRPr="607C4A4B">
              <w:rPr>
                <w:rFonts w:ascii="Arial" w:hAnsi="Arial" w:cs="Arial"/>
                <w:color w:val="2A2A2A"/>
                <w:sz w:val="20"/>
                <w:szCs w:val="20"/>
              </w:rPr>
              <w:t xml:space="preserve">Federal Grants </w:t>
            </w:r>
          </w:p>
        </w:tc>
        <w:tc>
          <w:tcPr>
            <w:tcW w:w="1440" w:type="dxa"/>
            <w:tcBorders>
              <w:top w:val="nil"/>
              <w:left w:val="nil"/>
              <w:bottom w:val="nil"/>
              <w:right w:val="nil"/>
            </w:tcBorders>
            <w:shd w:val="clear" w:color="auto" w:fill="auto"/>
            <w:vAlign w:val="center"/>
          </w:tcPr>
          <w:p w14:paraId="7C0BC933" w14:textId="4D5A8E5D"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$61,980,300</w:t>
            </w:r>
          </w:p>
        </w:tc>
        <w:tc>
          <w:tcPr>
            <w:tcW w:w="1530" w:type="dxa"/>
            <w:tcBorders>
              <w:top w:val="nil"/>
              <w:left w:val="nil"/>
              <w:bottom w:val="nil"/>
            </w:tcBorders>
            <w:shd w:val="clear" w:color="auto" w:fill="auto"/>
            <w:vAlign w:val="center"/>
          </w:tcPr>
          <w:p w14:paraId="6B329B7E" w14:textId="26146EB0"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$60,292,300</w:t>
            </w:r>
          </w:p>
        </w:tc>
        <w:tc>
          <w:tcPr>
            <w:tcW w:w="1440" w:type="dxa"/>
            <w:tcBorders>
              <w:top w:val="nil"/>
              <w:left w:val="nil"/>
              <w:bottom w:val="nil"/>
            </w:tcBorders>
            <w:shd w:val="clear" w:color="auto" w:fill="auto"/>
            <w:vAlign w:val="center"/>
          </w:tcPr>
          <w:p w14:paraId="0F841541" w14:textId="78E714CD" w:rsidR="00E815B8" w:rsidRPr="00314D87" w:rsidRDefault="00E815B8" w:rsidP="00E815B8">
            <w:pPr>
              <w:jc w:val="right"/>
              <w:rPr>
                <w:rFonts w:ascii="Arial" w:hAnsi="Arial" w:cs="Arial"/>
                <w:color w:val="2A2A2A"/>
                <w:sz w:val="20"/>
                <w:szCs w:val="20"/>
              </w:rPr>
            </w:pPr>
            <w:r w:rsidRPr="00E170E4">
              <w:rPr>
                <w:rFonts w:ascii="Arial" w:hAnsi="Arial" w:cs="Arial"/>
                <w:color w:val="2A2A2A"/>
                <w:sz w:val="20"/>
                <w:szCs w:val="20"/>
              </w:rPr>
              <w:t>$</w:t>
            </w:r>
            <w:r>
              <w:rPr>
                <w:rFonts w:ascii="Arial" w:hAnsi="Arial" w:cs="Arial"/>
                <w:color w:val="2A2A2A"/>
                <w:sz w:val="20"/>
                <w:szCs w:val="20"/>
              </w:rPr>
              <w:t>41,317,700</w:t>
            </w:r>
            <w:r w:rsidRPr="00E170E4">
              <w:rPr>
                <w:rFonts w:ascii="Arial" w:hAnsi="Arial" w:cs="Arial"/>
                <w:color w:val="2A2A2A"/>
                <w:sz w:val="20"/>
                <w:szCs w:val="20"/>
              </w:rPr>
              <w:t>**</w:t>
            </w:r>
          </w:p>
        </w:tc>
        <w:tc>
          <w:tcPr>
            <w:tcW w:w="1530" w:type="dxa"/>
            <w:tcBorders>
              <w:top w:val="nil"/>
              <w:left w:val="nil"/>
              <w:bottom w:val="nil"/>
              <w:right w:val="single" w:sz="8" w:space="0" w:color="auto"/>
            </w:tcBorders>
            <w:shd w:val="clear" w:color="auto" w:fill="auto"/>
            <w:vAlign w:val="center"/>
          </w:tcPr>
          <w:p w14:paraId="5930286B" w14:textId="7DAED5A8" w:rsidR="00E815B8" w:rsidRPr="00314D87" w:rsidRDefault="00E815B8" w:rsidP="00E815B8">
            <w:pPr>
              <w:jc w:val="right"/>
              <w:rPr>
                <w:rFonts w:ascii="Arial" w:hAnsi="Arial" w:cs="Arial"/>
                <w:color w:val="2A2A2A"/>
                <w:sz w:val="20"/>
                <w:szCs w:val="20"/>
              </w:rPr>
            </w:pPr>
          </w:p>
        </w:tc>
      </w:tr>
      <w:tr w:rsidR="00E815B8" w:rsidRPr="007C4B88" w14:paraId="097F5724" w14:textId="77777777" w:rsidTr="00E815B8">
        <w:trPr>
          <w:trHeight w:val="207"/>
        </w:trPr>
        <w:tc>
          <w:tcPr>
            <w:tcW w:w="4130" w:type="dxa"/>
            <w:tcBorders>
              <w:top w:val="nil"/>
              <w:left w:val="single" w:sz="8" w:space="0" w:color="auto"/>
              <w:bottom w:val="nil"/>
              <w:right w:val="nil"/>
            </w:tcBorders>
            <w:shd w:val="clear" w:color="auto" w:fill="auto"/>
            <w:vAlign w:val="center"/>
            <w:hideMark/>
          </w:tcPr>
          <w:p w14:paraId="2A0DFF5A" w14:textId="1486F7B7" w:rsidR="00E815B8" w:rsidRPr="007C4B88" w:rsidRDefault="00E815B8" w:rsidP="00E815B8">
            <w:pPr>
              <w:rPr>
                <w:rFonts w:ascii="Arial" w:hAnsi="Arial" w:cs="Arial"/>
                <w:color w:val="2A2A2A"/>
                <w:sz w:val="20"/>
                <w:szCs w:val="20"/>
              </w:rPr>
            </w:pPr>
            <w:r w:rsidRPr="607C4A4B">
              <w:rPr>
                <w:rFonts w:ascii="Arial" w:hAnsi="Arial" w:cs="Arial"/>
                <w:color w:val="2A2A2A"/>
                <w:sz w:val="20"/>
                <w:szCs w:val="20"/>
              </w:rPr>
              <w:t xml:space="preserve">Misc. Revenue </w:t>
            </w:r>
          </w:p>
        </w:tc>
        <w:tc>
          <w:tcPr>
            <w:tcW w:w="1440" w:type="dxa"/>
            <w:tcBorders>
              <w:top w:val="nil"/>
              <w:left w:val="nil"/>
              <w:bottom w:val="nil"/>
              <w:right w:val="nil"/>
            </w:tcBorders>
            <w:shd w:val="clear" w:color="auto" w:fill="auto"/>
            <w:vAlign w:val="center"/>
          </w:tcPr>
          <w:p w14:paraId="7609EA79" w14:textId="671312A1"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$576,100</w:t>
            </w:r>
          </w:p>
        </w:tc>
        <w:tc>
          <w:tcPr>
            <w:tcW w:w="1530" w:type="dxa"/>
            <w:tcBorders>
              <w:top w:val="nil"/>
              <w:left w:val="nil"/>
              <w:bottom w:val="nil"/>
            </w:tcBorders>
            <w:shd w:val="clear" w:color="auto" w:fill="auto"/>
            <w:vAlign w:val="center"/>
          </w:tcPr>
          <w:p w14:paraId="7575086F" w14:textId="61BE993B"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w:t>
            </w:r>
            <w:proofErr w:type="gramStart"/>
            <w:r>
              <w:rPr>
                <w:rFonts w:ascii="Arial" w:hAnsi="Arial" w:cs="Arial"/>
                <w:color w:val="2A2A2A"/>
                <w:sz w:val="20"/>
                <w:szCs w:val="20"/>
              </w:rPr>
              <w:t>28,723,300**</w:t>
            </w:r>
            <w:proofErr w:type="gramEnd"/>
            <w:r>
              <w:rPr>
                <w:rFonts w:ascii="Arial" w:hAnsi="Arial" w:cs="Arial"/>
                <w:color w:val="2A2A2A"/>
                <w:sz w:val="20"/>
                <w:szCs w:val="20"/>
              </w:rPr>
              <w:t>*</w:t>
            </w:r>
          </w:p>
        </w:tc>
        <w:tc>
          <w:tcPr>
            <w:tcW w:w="1440" w:type="dxa"/>
            <w:tcBorders>
              <w:top w:val="nil"/>
              <w:left w:val="nil"/>
              <w:bottom w:val="nil"/>
            </w:tcBorders>
            <w:shd w:val="clear" w:color="auto" w:fill="auto"/>
            <w:vAlign w:val="center"/>
          </w:tcPr>
          <w:p w14:paraId="25D17A7E" w14:textId="6809581A" w:rsidR="00E815B8" w:rsidRPr="00314D87" w:rsidRDefault="00E815B8" w:rsidP="00E815B8">
            <w:pPr>
              <w:jc w:val="right"/>
              <w:rPr>
                <w:rFonts w:ascii="Arial" w:hAnsi="Arial" w:cs="Arial"/>
                <w:color w:val="2A2A2A"/>
                <w:sz w:val="20"/>
                <w:szCs w:val="20"/>
              </w:rPr>
            </w:pPr>
            <w:r w:rsidRPr="00E170E4">
              <w:rPr>
                <w:rFonts w:ascii="Arial" w:hAnsi="Arial" w:cs="Arial"/>
                <w:color w:val="2A2A2A"/>
                <w:sz w:val="20"/>
                <w:szCs w:val="20"/>
              </w:rPr>
              <w:t>$1,096,4</w:t>
            </w:r>
            <w:r>
              <w:rPr>
                <w:rFonts w:ascii="Arial" w:hAnsi="Arial" w:cs="Arial"/>
                <w:color w:val="2A2A2A"/>
                <w:sz w:val="20"/>
                <w:szCs w:val="20"/>
              </w:rPr>
              <w:t>00</w:t>
            </w:r>
          </w:p>
        </w:tc>
        <w:tc>
          <w:tcPr>
            <w:tcW w:w="1530" w:type="dxa"/>
            <w:tcBorders>
              <w:top w:val="nil"/>
              <w:left w:val="nil"/>
              <w:bottom w:val="nil"/>
              <w:right w:val="single" w:sz="8" w:space="0" w:color="auto"/>
            </w:tcBorders>
            <w:shd w:val="clear" w:color="auto" w:fill="auto"/>
            <w:vAlign w:val="center"/>
          </w:tcPr>
          <w:p w14:paraId="70550A76" w14:textId="38B970D4" w:rsidR="00E815B8" w:rsidRPr="00314D87" w:rsidRDefault="00E815B8" w:rsidP="00E815B8">
            <w:pPr>
              <w:jc w:val="right"/>
              <w:rPr>
                <w:rFonts w:ascii="Arial" w:hAnsi="Arial" w:cs="Arial"/>
                <w:color w:val="2A2A2A"/>
                <w:sz w:val="20"/>
                <w:szCs w:val="20"/>
              </w:rPr>
            </w:pPr>
          </w:p>
        </w:tc>
      </w:tr>
      <w:tr w:rsidR="00E815B8" w:rsidRPr="007C4B88" w14:paraId="79A3FFEB" w14:textId="77777777" w:rsidTr="00E815B8">
        <w:trPr>
          <w:trHeight w:val="153"/>
        </w:trPr>
        <w:tc>
          <w:tcPr>
            <w:tcW w:w="4130" w:type="dxa"/>
            <w:tcBorders>
              <w:top w:val="nil"/>
              <w:left w:val="single" w:sz="8" w:space="0" w:color="auto"/>
              <w:bottom w:val="nil"/>
              <w:right w:val="nil"/>
            </w:tcBorders>
            <w:shd w:val="clear" w:color="auto" w:fill="auto"/>
            <w:vAlign w:val="center"/>
            <w:hideMark/>
          </w:tcPr>
          <w:p w14:paraId="753EC6BC" w14:textId="40052A6F" w:rsidR="00E815B8" w:rsidRPr="007C4B88" w:rsidRDefault="00E815B8" w:rsidP="00E815B8">
            <w:pPr>
              <w:rPr>
                <w:rFonts w:ascii="Arial" w:hAnsi="Arial" w:cs="Arial"/>
                <w:color w:val="2A2A2A"/>
                <w:sz w:val="20"/>
                <w:szCs w:val="20"/>
              </w:rPr>
            </w:pPr>
            <w:r w:rsidRPr="607C4A4B">
              <w:rPr>
                <w:rFonts w:ascii="Arial" w:hAnsi="Arial" w:cs="Arial"/>
                <w:color w:val="2A2A2A"/>
                <w:sz w:val="20"/>
                <w:szCs w:val="20"/>
              </w:rPr>
              <w:t xml:space="preserve">General Fund </w:t>
            </w:r>
          </w:p>
        </w:tc>
        <w:tc>
          <w:tcPr>
            <w:tcW w:w="1440" w:type="dxa"/>
            <w:tcBorders>
              <w:top w:val="nil"/>
              <w:left w:val="nil"/>
              <w:bottom w:val="nil"/>
              <w:right w:val="nil"/>
            </w:tcBorders>
            <w:shd w:val="clear" w:color="auto" w:fill="auto"/>
            <w:vAlign w:val="center"/>
          </w:tcPr>
          <w:p w14:paraId="045AFF28" w14:textId="2FAED9D0"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$538,100</w:t>
            </w:r>
          </w:p>
        </w:tc>
        <w:tc>
          <w:tcPr>
            <w:tcW w:w="1530" w:type="dxa"/>
            <w:tcBorders>
              <w:top w:val="nil"/>
              <w:left w:val="nil"/>
              <w:bottom w:val="nil"/>
            </w:tcBorders>
            <w:shd w:val="clear" w:color="auto" w:fill="auto"/>
            <w:vAlign w:val="center"/>
          </w:tcPr>
          <w:p w14:paraId="31FB4187" w14:textId="61E6DB39"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595,000</w:t>
            </w:r>
          </w:p>
        </w:tc>
        <w:tc>
          <w:tcPr>
            <w:tcW w:w="1440" w:type="dxa"/>
            <w:tcBorders>
              <w:top w:val="nil"/>
              <w:left w:val="nil"/>
              <w:bottom w:val="nil"/>
            </w:tcBorders>
            <w:shd w:val="clear" w:color="auto" w:fill="auto"/>
            <w:vAlign w:val="center"/>
          </w:tcPr>
          <w:p w14:paraId="0F0DA107" w14:textId="707511AA" w:rsidR="00E815B8" w:rsidRPr="00314D87" w:rsidRDefault="00E815B8" w:rsidP="00E815B8">
            <w:pPr>
              <w:jc w:val="right"/>
              <w:rPr>
                <w:rFonts w:ascii="Arial" w:hAnsi="Arial" w:cs="Arial"/>
                <w:color w:val="2A2A2A"/>
                <w:sz w:val="20"/>
                <w:szCs w:val="20"/>
              </w:rPr>
            </w:pPr>
            <w:r w:rsidRPr="00E170E4">
              <w:rPr>
                <w:rFonts w:ascii="Arial" w:hAnsi="Arial" w:cs="Arial"/>
                <w:color w:val="2A2A2A"/>
                <w:sz w:val="20"/>
                <w:szCs w:val="20"/>
              </w:rPr>
              <w:t>$595,000</w:t>
            </w:r>
          </w:p>
        </w:tc>
        <w:tc>
          <w:tcPr>
            <w:tcW w:w="1530" w:type="dxa"/>
            <w:tcBorders>
              <w:top w:val="nil"/>
              <w:left w:val="nil"/>
              <w:bottom w:val="nil"/>
              <w:right w:val="single" w:sz="8" w:space="0" w:color="auto"/>
            </w:tcBorders>
            <w:shd w:val="clear" w:color="auto" w:fill="auto"/>
            <w:vAlign w:val="center"/>
          </w:tcPr>
          <w:p w14:paraId="18E739E0" w14:textId="77FFF058" w:rsidR="00E815B8" w:rsidRPr="00314D87" w:rsidRDefault="00E815B8" w:rsidP="00E815B8">
            <w:pPr>
              <w:jc w:val="right"/>
              <w:rPr>
                <w:rFonts w:ascii="Arial" w:hAnsi="Arial" w:cs="Arial"/>
                <w:color w:val="2A2A2A"/>
                <w:sz w:val="20"/>
                <w:szCs w:val="20"/>
              </w:rPr>
            </w:pPr>
          </w:p>
        </w:tc>
      </w:tr>
      <w:tr w:rsidR="00E815B8" w:rsidRPr="007C4B88" w14:paraId="22D80633" w14:textId="77777777" w:rsidTr="00E815B8">
        <w:trPr>
          <w:trHeight w:val="80"/>
        </w:trPr>
        <w:tc>
          <w:tcPr>
            <w:tcW w:w="4130" w:type="dxa"/>
            <w:tcBorders>
              <w:top w:val="nil"/>
              <w:left w:val="single" w:sz="8" w:space="0" w:color="auto"/>
              <w:bottom w:val="nil"/>
              <w:right w:val="nil"/>
            </w:tcBorders>
            <w:shd w:val="clear" w:color="auto" w:fill="auto"/>
            <w:vAlign w:val="center"/>
            <w:hideMark/>
          </w:tcPr>
          <w:p w14:paraId="239DC765" w14:textId="4E61A63B" w:rsidR="00E815B8" w:rsidRPr="007C4B88" w:rsidRDefault="00E815B8" w:rsidP="00E815B8">
            <w:pPr>
              <w:rPr>
                <w:rFonts w:ascii="Arial" w:hAnsi="Arial" w:cs="Arial"/>
                <w:color w:val="2A2A2A"/>
                <w:sz w:val="20"/>
                <w:szCs w:val="20"/>
              </w:rPr>
            </w:pPr>
            <w:r w:rsidRPr="607C4A4B">
              <w:rPr>
                <w:rFonts w:ascii="Arial" w:hAnsi="Arial" w:cs="Arial"/>
                <w:color w:val="2A2A2A"/>
                <w:sz w:val="20"/>
                <w:szCs w:val="20"/>
              </w:rPr>
              <w:t>Unemployment Compensation</w:t>
            </w:r>
          </w:p>
        </w:tc>
        <w:tc>
          <w:tcPr>
            <w:tcW w:w="1440" w:type="dxa"/>
            <w:tcBorders>
              <w:top w:val="nil"/>
              <w:left w:val="nil"/>
              <w:bottom w:val="nil"/>
              <w:right w:val="nil"/>
            </w:tcBorders>
            <w:shd w:val="clear" w:color="auto" w:fill="auto"/>
            <w:vAlign w:val="center"/>
          </w:tcPr>
          <w:p w14:paraId="76F72C41" w14:textId="157C69D8" w:rsidR="00E815B8" w:rsidRPr="00314D87" w:rsidRDefault="00E815B8" w:rsidP="00E815B8">
            <w:pPr>
              <w:jc w:val="right"/>
              <w:rPr>
                <w:rFonts w:ascii="Arial" w:hAnsi="Arial" w:cs="Arial"/>
                <w:color w:val="2A2A2A"/>
                <w:sz w:val="20"/>
                <w:szCs w:val="20"/>
              </w:rPr>
            </w:pPr>
            <w:r>
              <w:rPr>
                <w:rFonts w:ascii="Arial" w:hAnsi="Arial" w:cs="Arial"/>
                <w:color w:val="2A2A2A"/>
                <w:sz w:val="20"/>
                <w:szCs w:val="20"/>
                <w:u w:val="single"/>
              </w:rPr>
              <w:t>$170,088,200</w:t>
            </w:r>
          </w:p>
        </w:tc>
        <w:tc>
          <w:tcPr>
            <w:tcW w:w="1530" w:type="dxa"/>
            <w:tcBorders>
              <w:top w:val="nil"/>
              <w:left w:val="nil"/>
              <w:bottom w:val="nil"/>
            </w:tcBorders>
            <w:shd w:val="clear" w:color="auto" w:fill="auto"/>
            <w:vAlign w:val="center"/>
          </w:tcPr>
          <w:p w14:paraId="0369AD28" w14:textId="60F54ED8" w:rsidR="00E815B8" w:rsidRPr="00314D87" w:rsidRDefault="00E815B8" w:rsidP="00E815B8">
            <w:pPr>
              <w:jc w:val="right"/>
              <w:rPr>
                <w:rFonts w:ascii="Arial" w:hAnsi="Arial" w:cs="Arial"/>
                <w:color w:val="2A2A2A"/>
                <w:sz w:val="20"/>
                <w:szCs w:val="20"/>
              </w:rPr>
            </w:pPr>
            <w:r w:rsidRPr="00CD1882">
              <w:rPr>
                <w:rFonts w:ascii="Arial" w:hAnsi="Arial" w:cs="Arial"/>
                <w:color w:val="2A2A2A"/>
                <w:sz w:val="20"/>
                <w:szCs w:val="20"/>
                <w:u w:val="single"/>
              </w:rPr>
              <w:t>$182,054,</w:t>
            </w:r>
            <w:r>
              <w:rPr>
                <w:rFonts w:ascii="Arial" w:hAnsi="Arial" w:cs="Arial"/>
                <w:color w:val="2A2A2A"/>
                <w:sz w:val="20"/>
                <w:szCs w:val="20"/>
                <w:u w:val="single"/>
              </w:rPr>
              <w:t>600</w:t>
            </w:r>
          </w:p>
        </w:tc>
        <w:tc>
          <w:tcPr>
            <w:tcW w:w="1440" w:type="dxa"/>
            <w:tcBorders>
              <w:top w:val="nil"/>
              <w:left w:val="nil"/>
              <w:bottom w:val="nil"/>
            </w:tcBorders>
            <w:shd w:val="clear" w:color="auto" w:fill="auto"/>
            <w:vAlign w:val="center"/>
          </w:tcPr>
          <w:p w14:paraId="08248E9B" w14:textId="3DDEAA55" w:rsidR="00E815B8" w:rsidRPr="00314D87" w:rsidRDefault="00E815B8" w:rsidP="00E815B8">
            <w:pPr>
              <w:jc w:val="right"/>
              <w:rPr>
                <w:rFonts w:ascii="Arial" w:hAnsi="Arial" w:cs="Arial"/>
                <w:color w:val="2A2A2A"/>
                <w:sz w:val="20"/>
                <w:szCs w:val="20"/>
              </w:rPr>
            </w:pPr>
            <w:r w:rsidRPr="00E170E4">
              <w:rPr>
                <w:rFonts w:ascii="Arial" w:hAnsi="Arial" w:cs="Arial"/>
                <w:color w:val="2A2A2A"/>
                <w:sz w:val="20"/>
                <w:szCs w:val="20"/>
                <w:u w:val="single"/>
              </w:rPr>
              <w:t>$210,565,0</w:t>
            </w:r>
            <w:r>
              <w:rPr>
                <w:rFonts w:ascii="Arial" w:hAnsi="Arial" w:cs="Arial"/>
                <w:color w:val="2A2A2A"/>
                <w:sz w:val="20"/>
                <w:szCs w:val="20"/>
                <w:u w:val="single"/>
              </w:rPr>
              <w:t>00</w:t>
            </w:r>
          </w:p>
        </w:tc>
        <w:tc>
          <w:tcPr>
            <w:tcW w:w="1530" w:type="dxa"/>
            <w:tcBorders>
              <w:top w:val="nil"/>
              <w:left w:val="nil"/>
              <w:bottom w:val="nil"/>
              <w:right w:val="single" w:sz="8" w:space="0" w:color="auto"/>
            </w:tcBorders>
            <w:shd w:val="clear" w:color="auto" w:fill="auto"/>
            <w:vAlign w:val="center"/>
          </w:tcPr>
          <w:p w14:paraId="7D7F9730" w14:textId="0105B2C5" w:rsidR="00E815B8" w:rsidRPr="00314D87" w:rsidRDefault="00E815B8" w:rsidP="00E815B8">
            <w:pPr>
              <w:jc w:val="right"/>
              <w:rPr>
                <w:rFonts w:ascii="Arial" w:hAnsi="Arial" w:cs="Arial"/>
                <w:color w:val="2A2A2A"/>
                <w:sz w:val="20"/>
                <w:szCs w:val="20"/>
              </w:rPr>
            </w:pPr>
          </w:p>
        </w:tc>
      </w:tr>
      <w:tr w:rsidR="00E815B8" w:rsidRPr="007C4B88" w14:paraId="4DD339E2" w14:textId="77777777" w:rsidTr="00E815B8">
        <w:trPr>
          <w:trHeight w:val="180"/>
        </w:trPr>
        <w:tc>
          <w:tcPr>
            <w:tcW w:w="4130" w:type="dxa"/>
            <w:tcBorders>
              <w:top w:val="nil"/>
              <w:left w:val="single" w:sz="8" w:space="0" w:color="auto"/>
              <w:bottom w:val="single" w:sz="8" w:space="0" w:color="auto"/>
              <w:right w:val="nil"/>
            </w:tcBorders>
            <w:shd w:val="clear" w:color="auto" w:fill="auto"/>
            <w:vAlign w:val="center"/>
            <w:hideMark/>
          </w:tcPr>
          <w:p w14:paraId="54728C72" w14:textId="13A1B81B" w:rsidR="00E815B8" w:rsidRPr="007C4B88" w:rsidRDefault="00E815B8" w:rsidP="00E815B8">
            <w:pPr>
              <w:rPr>
                <w:rFonts w:ascii="Arial" w:hAnsi="Arial" w:cs="Arial"/>
                <w:color w:val="2A2A2A"/>
                <w:sz w:val="20"/>
                <w:szCs w:val="20"/>
              </w:rPr>
            </w:pPr>
            <w:r w:rsidRPr="607C4A4B">
              <w:rPr>
                <w:rFonts w:ascii="Arial" w:hAnsi="Arial" w:cs="Arial"/>
                <w:b/>
                <w:bCs/>
                <w:color w:val="2A2A2A"/>
                <w:sz w:val="20"/>
                <w:szCs w:val="20"/>
              </w:rPr>
              <w:t>Total</w:t>
            </w:r>
          </w:p>
        </w:tc>
        <w:tc>
          <w:tcPr>
            <w:tcW w:w="1440" w:type="dxa"/>
            <w:tcBorders>
              <w:top w:val="nil"/>
              <w:left w:val="nil"/>
              <w:bottom w:val="single" w:sz="8" w:space="0" w:color="auto"/>
              <w:right w:val="nil"/>
            </w:tcBorders>
            <w:shd w:val="clear" w:color="auto" w:fill="auto"/>
            <w:vAlign w:val="center"/>
          </w:tcPr>
          <w:p w14:paraId="4982DAEA" w14:textId="0B724F03" w:rsidR="00E815B8" w:rsidRPr="00314D87" w:rsidRDefault="00E815B8" w:rsidP="00E815B8">
            <w:pPr>
              <w:jc w:val="right"/>
              <w:rPr>
                <w:rFonts w:ascii="Arial" w:hAnsi="Arial" w:cs="Arial"/>
                <w:color w:val="2A2A2A"/>
                <w:sz w:val="20"/>
                <w:szCs w:val="20"/>
                <w:u w:val="single"/>
              </w:rPr>
            </w:pPr>
            <w:r>
              <w:rPr>
                <w:rFonts w:ascii="Arial" w:hAnsi="Arial" w:cs="Arial"/>
                <w:b/>
                <w:bCs/>
                <w:color w:val="2A2A2A"/>
                <w:sz w:val="20"/>
                <w:szCs w:val="20"/>
              </w:rPr>
              <w:t>$235,858,700</w:t>
            </w:r>
          </w:p>
        </w:tc>
        <w:tc>
          <w:tcPr>
            <w:tcW w:w="1530" w:type="dxa"/>
            <w:tcBorders>
              <w:top w:val="nil"/>
              <w:left w:val="nil"/>
              <w:bottom w:val="single" w:sz="8" w:space="0" w:color="auto"/>
            </w:tcBorders>
            <w:shd w:val="clear" w:color="auto" w:fill="auto"/>
            <w:vAlign w:val="center"/>
          </w:tcPr>
          <w:p w14:paraId="3C151342" w14:textId="3B4DE6FA" w:rsidR="00E815B8" w:rsidRPr="00314D87" w:rsidRDefault="00E815B8" w:rsidP="00E815B8">
            <w:pPr>
              <w:jc w:val="right"/>
              <w:rPr>
                <w:rFonts w:ascii="Arial" w:hAnsi="Arial" w:cs="Arial"/>
                <w:color w:val="2A2A2A"/>
                <w:sz w:val="20"/>
                <w:szCs w:val="20"/>
                <w:u w:val="single"/>
              </w:rPr>
            </w:pPr>
            <w:r w:rsidRPr="00CD1882">
              <w:rPr>
                <w:rFonts w:ascii="Arial" w:hAnsi="Arial" w:cs="Arial"/>
                <w:b/>
                <w:bCs/>
                <w:color w:val="2A2A2A"/>
                <w:sz w:val="20"/>
                <w:szCs w:val="20"/>
              </w:rPr>
              <w:t>$276,119,0</w:t>
            </w:r>
            <w:r>
              <w:rPr>
                <w:rFonts w:ascii="Arial" w:hAnsi="Arial" w:cs="Arial"/>
                <w:b/>
                <w:bCs/>
                <w:color w:val="2A2A2A"/>
                <w:sz w:val="20"/>
                <w:szCs w:val="20"/>
              </w:rPr>
              <w:t>00</w:t>
            </w:r>
          </w:p>
        </w:tc>
        <w:tc>
          <w:tcPr>
            <w:tcW w:w="1440" w:type="dxa"/>
            <w:tcBorders>
              <w:top w:val="nil"/>
              <w:left w:val="nil"/>
              <w:bottom w:val="single" w:sz="8" w:space="0" w:color="auto"/>
            </w:tcBorders>
            <w:shd w:val="clear" w:color="auto" w:fill="auto"/>
            <w:vAlign w:val="center"/>
          </w:tcPr>
          <w:p w14:paraId="0F909310" w14:textId="36A2EA33" w:rsidR="00E815B8" w:rsidRPr="00314D87" w:rsidRDefault="00E815B8" w:rsidP="00E815B8">
            <w:pPr>
              <w:jc w:val="right"/>
              <w:rPr>
                <w:rFonts w:ascii="Arial" w:hAnsi="Arial" w:cs="Arial"/>
                <w:color w:val="2A2A2A"/>
                <w:sz w:val="20"/>
                <w:szCs w:val="20"/>
                <w:u w:val="single"/>
              </w:rPr>
            </w:pPr>
            <w:r w:rsidRPr="00E170E4">
              <w:rPr>
                <w:rFonts w:ascii="Arial" w:hAnsi="Arial" w:cs="Arial"/>
                <w:b/>
                <w:bCs/>
                <w:color w:val="2A2A2A"/>
                <w:sz w:val="20"/>
                <w:szCs w:val="20"/>
                <w:u w:val="single"/>
              </w:rPr>
              <w:t>$2</w:t>
            </w:r>
            <w:r>
              <w:rPr>
                <w:rFonts w:ascii="Arial" w:hAnsi="Arial" w:cs="Arial"/>
                <w:b/>
                <w:bCs/>
                <w:color w:val="2A2A2A"/>
                <w:sz w:val="20"/>
                <w:szCs w:val="20"/>
                <w:u w:val="single"/>
              </w:rPr>
              <w:t>6</w:t>
            </w:r>
            <w:r w:rsidRPr="00E170E4">
              <w:rPr>
                <w:rFonts w:ascii="Arial" w:hAnsi="Arial" w:cs="Arial"/>
                <w:b/>
                <w:bCs/>
                <w:color w:val="2A2A2A"/>
                <w:sz w:val="20"/>
                <w:szCs w:val="20"/>
                <w:u w:val="single"/>
              </w:rPr>
              <w:t>2,</w:t>
            </w:r>
            <w:r>
              <w:rPr>
                <w:rFonts w:ascii="Arial" w:hAnsi="Arial" w:cs="Arial"/>
                <w:b/>
                <w:bCs/>
                <w:color w:val="2A2A2A"/>
                <w:sz w:val="20"/>
                <w:szCs w:val="20"/>
                <w:u w:val="single"/>
              </w:rPr>
              <w:t>736</w:t>
            </w:r>
            <w:r w:rsidRPr="00E170E4">
              <w:rPr>
                <w:rFonts w:ascii="Arial" w:hAnsi="Arial" w:cs="Arial"/>
                <w:b/>
                <w:bCs/>
                <w:color w:val="2A2A2A"/>
                <w:sz w:val="20"/>
                <w:szCs w:val="20"/>
                <w:u w:val="single"/>
              </w:rPr>
              <w:t>,</w:t>
            </w:r>
            <w:r>
              <w:rPr>
                <w:rFonts w:ascii="Arial" w:hAnsi="Arial" w:cs="Arial"/>
                <w:b/>
                <w:bCs/>
                <w:color w:val="2A2A2A"/>
                <w:sz w:val="20"/>
                <w:szCs w:val="20"/>
                <w:u w:val="single"/>
              </w:rPr>
              <w:t>900</w:t>
            </w:r>
          </w:p>
        </w:tc>
        <w:tc>
          <w:tcPr>
            <w:tcW w:w="1530" w:type="dxa"/>
            <w:tcBorders>
              <w:top w:val="nil"/>
              <w:left w:val="nil"/>
              <w:bottom w:val="single" w:sz="8" w:space="0" w:color="auto"/>
              <w:right w:val="single" w:sz="8" w:space="0" w:color="auto"/>
            </w:tcBorders>
            <w:shd w:val="clear" w:color="auto" w:fill="auto"/>
            <w:vAlign w:val="center"/>
          </w:tcPr>
          <w:p w14:paraId="38667640" w14:textId="79D2F400" w:rsidR="00E815B8" w:rsidRPr="00314D87" w:rsidRDefault="00E815B8" w:rsidP="00E815B8">
            <w:pPr>
              <w:jc w:val="right"/>
              <w:rPr>
                <w:rFonts w:ascii="Arial" w:hAnsi="Arial" w:cs="Arial"/>
                <w:color w:val="2A2A2A"/>
                <w:sz w:val="20"/>
                <w:szCs w:val="20"/>
                <w:u w:val="single"/>
              </w:rPr>
            </w:pPr>
          </w:p>
        </w:tc>
      </w:tr>
      <w:tr w:rsidR="00E815B8" w:rsidRPr="007C4B88" w14:paraId="3F016FAC" w14:textId="77777777" w:rsidTr="00E815B8">
        <w:trPr>
          <w:trHeight w:val="135"/>
        </w:trPr>
        <w:tc>
          <w:tcPr>
            <w:tcW w:w="4130" w:type="dxa"/>
            <w:tcBorders>
              <w:top w:val="nil"/>
              <w:left w:val="single" w:sz="8" w:space="0" w:color="auto"/>
              <w:bottom w:val="single" w:sz="8" w:space="0" w:color="auto"/>
              <w:right w:val="nil"/>
            </w:tcBorders>
            <w:shd w:val="clear" w:color="auto" w:fill="000080"/>
            <w:vAlign w:val="center"/>
            <w:hideMark/>
          </w:tcPr>
          <w:p w14:paraId="3B607BA1" w14:textId="1A2AC592" w:rsidR="00E815B8" w:rsidRPr="007C4B88" w:rsidRDefault="00E815B8" w:rsidP="00E815B8">
            <w:pPr>
              <w:rPr>
                <w:rFonts w:ascii="Arial" w:hAnsi="Arial" w:cs="Arial"/>
                <w:b/>
                <w:bCs/>
                <w:color w:val="2A2A2A"/>
                <w:sz w:val="20"/>
                <w:szCs w:val="20"/>
              </w:rPr>
            </w:pPr>
            <w:r w:rsidRPr="607C4A4B">
              <w:rPr>
                <w:rFonts w:ascii="Arial" w:hAnsi="Arial" w:cs="Arial"/>
                <w:b/>
                <w:bCs/>
                <w:color w:val="FFFFFF" w:themeColor="background1"/>
                <w:sz w:val="20"/>
                <w:szCs w:val="20"/>
              </w:rPr>
              <w:t>Expenditures</w:t>
            </w:r>
          </w:p>
        </w:tc>
        <w:tc>
          <w:tcPr>
            <w:tcW w:w="1440" w:type="dxa"/>
            <w:tcBorders>
              <w:top w:val="nil"/>
              <w:left w:val="nil"/>
              <w:bottom w:val="single" w:sz="8" w:space="0" w:color="auto"/>
              <w:right w:val="nil"/>
            </w:tcBorders>
            <w:shd w:val="clear" w:color="auto" w:fill="000080"/>
            <w:vAlign w:val="center"/>
          </w:tcPr>
          <w:p w14:paraId="7F7391DF" w14:textId="351A2320" w:rsidR="00E815B8" w:rsidRPr="00314D87" w:rsidRDefault="00E815B8" w:rsidP="00E815B8">
            <w:pPr>
              <w:jc w:val="right"/>
              <w:rPr>
                <w:rFonts w:ascii="Arial" w:hAnsi="Arial" w:cs="Arial"/>
                <w:b/>
                <w:bCs/>
                <w:color w:val="2A2A2A"/>
                <w:sz w:val="20"/>
                <w:szCs w:val="20"/>
              </w:rPr>
            </w:pPr>
            <w:r>
              <w:rPr>
                <w:rFonts w:ascii="Arial" w:hAnsi="Arial" w:cs="Arial"/>
                <w:b/>
                <w:bCs/>
                <w:color w:val="FFFFFF" w:themeColor="background1"/>
                <w:sz w:val="20"/>
                <w:szCs w:val="20"/>
              </w:rPr>
              <w:t>FY 2022</w:t>
            </w:r>
          </w:p>
        </w:tc>
        <w:tc>
          <w:tcPr>
            <w:tcW w:w="1530" w:type="dxa"/>
            <w:tcBorders>
              <w:top w:val="nil"/>
              <w:left w:val="nil"/>
              <w:bottom w:val="single" w:sz="8" w:space="0" w:color="auto"/>
              <w:right w:val="nil"/>
            </w:tcBorders>
            <w:shd w:val="clear" w:color="auto" w:fill="000080"/>
            <w:vAlign w:val="center"/>
          </w:tcPr>
          <w:p w14:paraId="0FB015AB" w14:textId="28FAAE90" w:rsidR="00E815B8" w:rsidRPr="00314D87" w:rsidRDefault="00E815B8" w:rsidP="00E815B8">
            <w:pPr>
              <w:jc w:val="right"/>
              <w:rPr>
                <w:rFonts w:ascii="Arial" w:hAnsi="Arial" w:cs="Arial"/>
                <w:b/>
                <w:bCs/>
                <w:color w:val="2A2A2A"/>
                <w:sz w:val="20"/>
                <w:szCs w:val="20"/>
              </w:rPr>
            </w:pPr>
            <w:r>
              <w:rPr>
                <w:rFonts w:ascii="Arial" w:hAnsi="Arial" w:cs="Arial"/>
                <w:b/>
                <w:bCs/>
                <w:color w:val="FFFFFF" w:themeColor="background1"/>
                <w:sz w:val="20"/>
                <w:szCs w:val="20"/>
              </w:rPr>
              <w:t>FY 2023</w:t>
            </w:r>
          </w:p>
        </w:tc>
        <w:tc>
          <w:tcPr>
            <w:tcW w:w="1440" w:type="dxa"/>
            <w:tcBorders>
              <w:top w:val="nil"/>
              <w:left w:val="nil"/>
              <w:bottom w:val="single" w:sz="8" w:space="0" w:color="auto"/>
            </w:tcBorders>
            <w:shd w:val="clear" w:color="auto" w:fill="000080"/>
            <w:vAlign w:val="center"/>
          </w:tcPr>
          <w:p w14:paraId="713C0C1F" w14:textId="2200B70F" w:rsidR="00E815B8" w:rsidRPr="00314D87" w:rsidRDefault="00E815B8" w:rsidP="00E815B8">
            <w:pPr>
              <w:jc w:val="right"/>
              <w:rPr>
                <w:rFonts w:ascii="Arial" w:hAnsi="Arial" w:cs="Arial"/>
                <w:b/>
                <w:bCs/>
                <w:color w:val="2A2A2A"/>
                <w:sz w:val="20"/>
                <w:szCs w:val="20"/>
              </w:rPr>
            </w:pPr>
            <w:r>
              <w:rPr>
                <w:rFonts w:ascii="Arial" w:hAnsi="Arial" w:cs="Arial"/>
                <w:b/>
                <w:bCs/>
                <w:color w:val="FFFFFF" w:themeColor="background1"/>
                <w:sz w:val="20"/>
                <w:szCs w:val="20"/>
              </w:rPr>
              <w:t>FY 2024</w:t>
            </w:r>
          </w:p>
        </w:tc>
        <w:tc>
          <w:tcPr>
            <w:tcW w:w="1530" w:type="dxa"/>
            <w:tcBorders>
              <w:top w:val="nil"/>
              <w:left w:val="nil"/>
              <w:bottom w:val="single" w:sz="8" w:space="0" w:color="auto"/>
              <w:right w:val="single" w:sz="8" w:space="0" w:color="auto"/>
            </w:tcBorders>
            <w:shd w:val="clear" w:color="auto" w:fill="000080"/>
            <w:vAlign w:val="center"/>
          </w:tcPr>
          <w:p w14:paraId="27A9FAA6" w14:textId="107B91D2" w:rsidR="00E815B8" w:rsidRPr="00314D87" w:rsidRDefault="00E815B8" w:rsidP="00E815B8">
            <w:pPr>
              <w:jc w:val="right"/>
              <w:rPr>
                <w:rFonts w:ascii="Arial" w:hAnsi="Arial" w:cs="Arial"/>
                <w:b/>
                <w:bCs/>
                <w:color w:val="2A2A2A"/>
                <w:sz w:val="20"/>
                <w:szCs w:val="20"/>
              </w:rPr>
            </w:pPr>
            <w:r>
              <w:rPr>
                <w:rFonts w:ascii="Arial" w:hAnsi="Arial" w:cs="Arial"/>
                <w:b/>
                <w:bCs/>
                <w:color w:val="FFFFFF" w:themeColor="background1"/>
                <w:sz w:val="20"/>
                <w:szCs w:val="20"/>
              </w:rPr>
              <w:t>FY 2025</w:t>
            </w:r>
          </w:p>
        </w:tc>
      </w:tr>
      <w:tr w:rsidR="00E815B8" w:rsidRPr="007C4B88" w14:paraId="2D438D2B" w14:textId="77777777" w:rsidTr="00E815B8">
        <w:trPr>
          <w:trHeight w:val="70"/>
        </w:trPr>
        <w:tc>
          <w:tcPr>
            <w:tcW w:w="4130" w:type="dxa"/>
            <w:tcBorders>
              <w:top w:val="nil"/>
              <w:left w:val="single" w:sz="8" w:space="0" w:color="auto"/>
              <w:bottom w:val="nil"/>
              <w:right w:val="nil"/>
            </w:tcBorders>
            <w:shd w:val="clear" w:color="auto" w:fill="auto"/>
            <w:vAlign w:val="center"/>
            <w:hideMark/>
          </w:tcPr>
          <w:p w14:paraId="3525EA42" w14:textId="30A898AD" w:rsidR="00E815B8" w:rsidRPr="007C4B88" w:rsidRDefault="00E815B8" w:rsidP="00E815B8">
            <w:pPr>
              <w:rPr>
                <w:rFonts w:ascii="Arial" w:hAnsi="Arial" w:cs="Arial"/>
                <w:b/>
                <w:bCs/>
                <w:color w:val="FFFFFF" w:themeColor="background1"/>
                <w:sz w:val="20"/>
                <w:szCs w:val="20"/>
              </w:rPr>
            </w:pPr>
            <w:r w:rsidRPr="607C4A4B">
              <w:rPr>
                <w:rFonts w:ascii="Arial" w:hAnsi="Arial" w:cs="Arial"/>
                <w:color w:val="2A2A2A"/>
                <w:sz w:val="20"/>
                <w:szCs w:val="20"/>
              </w:rPr>
              <w:t>Personnel Costs</w:t>
            </w:r>
          </w:p>
        </w:tc>
        <w:tc>
          <w:tcPr>
            <w:tcW w:w="1440" w:type="dxa"/>
            <w:tcBorders>
              <w:top w:val="nil"/>
              <w:left w:val="nil"/>
              <w:bottom w:val="nil"/>
              <w:right w:val="nil"/>
            </w:tcBorders>
            <w:shd w:val="clear" w:color="auto" w:fill="auto"/>
            <w:vAlign w:val="center"/>
          </w:tcPr>
          <w:p w14:paraId="0A98B87A" w14:textId="3AECAE89" w:rsidR="00E815B8" w:rsidRPr="00314D87" w:rsidRDefault="00E815B8" w:rsidP="00E815B8">
            <w:pPr>
              <w:jc w:val="right"/>
              <w:rPr>
                <w:rFonts w:ascii="Arial" w:hAnsi="Arial" w:cs="Arial"/>
                <w:b/>
                <w:bCs/>
                <w:color w:val="FFFFFF" w:themeColor="background1"/>
                <w:sz w:val="20"/>
                <w:szCs w:val="20"/>
              </w:rPr>
            </w:pPr>
            <w:r>
              <w:rPr>
                <w:rFonts w:ascii="Arial" w:hAnsi="Arial" w:cs="Arial"/>
                <w:color w:val="2A2A2A"/>
                <w:sz w:val="20"/>
                <w:szCs w:val="20"/>
              </w:rPr>
              <w:t>$40,802,500</w:t>
            </w:r>
          </w:p>
        </w:tc>
        <w:tc>
          <w:tcPr>
            <w:tcW w:w="1530" w:type="dxa"/>
            <w:tcBorders>
              <w:top w:val="single" w:sz="8" w:space="0" w:color="auto"/>
              <w:left w:val="nil"/>
              <w:bottom w:val="nil"/>
            </w:tcBorders>
            <w:shd w:val="clear" w:color="auto" w:fill="auto"/>
            <w:vAlign w:val="center"/>
          </w:tcPr>
          <w:p w14:paraId="1FE9D346" w14:textId="24F09E6E" w:rsidR="00E815B8" w:rsidRPr="00314D87" w:rsidRDefault="00E815B8" w:rsidP="00E815B8">
            <w:pPr>
              <w:jc w:val="right"/>
              <w:rPr>
                <w:rFonts w:ascii="Arial" w:hAnsi="Arial" w:cs="Arial"/>
                <w:b/>
                <w:bCs/>
                <w:color w:val="FFFFFF" w:themeColor="background1"/>
                <w:sz w:val="20"/>
                <w:szCs w:val="20"/>
              </w:rPr>
            </w:pPr>
            <w:r>
              <w:rPr>
                <w:rFonts w:ascii="Arial" w:hAnsi="Arial" w:cs="Arial"/>
                <w:color w:val="2A2A2A"/>
                <w:sz w:val="20"/>
                <w:szCs w:val="20"/>
              </w:rPr>
              <w:t>$43,193,100</w:t>
            </w:r>
          </w:p>
        </w:tc>
        <w:tc>
          <w:tcPr>
            <w:tcW w:w="1440" w:type="dxa"/>
            <w:tcBorders>
              <w:top w:val="single" w:sz="8" w:space="0" w:color="auto"/>
              <w:left w:val="nil"/>
              <w:bottom w:val="nil"/>
            </w:tcBorders>
            <w:shd w:val="clear" w:color="auto" w:fill="auto"/>
            <w:vAlign w:val="center"/>
          </w:tcPr>
          <w:p w14:paraId="685AEBAF" w14:textId="3DFAA193" w:rsidR="00E815B8" w:rsidRPr="00314D87" w:rsidRDefault="00E815B8" w:rsidP="00E815B8">
            <w:pPr>
              <w:jc w:val="right"/>
              <w:rPr>
                <w:rFonts w:ascii="Arial" w:hAnsi="Arial" w:cs="Arial"/>
                <w:b/>
                <w:bCs/>
                <w:color w:val="FFFFFF" w:themeColor="background1"/>
                <w:sz w:val="20"/>
                <w:szCs w:val="20"/>
              </w:rPr>
            </w:pPr>
            <w:r>
              <w:rPr>
                <w:rFonts w:ascii="Arial" w:hAnsi="Arial" w:cs="Arial"/>
                <w:b/>
                <w:bCs/>
                <w:color w:val="FFFFFF" w:themeColor="background1"/>
                <w:sz w:val="20"/>
                <w:szCs w:val="20"/>
              </w:rPr>
              <w:t xml:space="preserve">  =</w:t>
            </w:r>
            <w:r>
              <w:rPr>
                <w:rFonts w:ascii="Arial" w:hAnsi="Arial" w:cs="Arial"/>
                <w:sz w:val="20"/>
                <w:szCs w:val="20"/>
              </w:rPr>
              <w:t>$42,767,300</w:t>
            </w:r>
          </w:p>
        </w:tc>
        <w:tc>
          <w:tcPr>
            <w:tcW w:w="1530" w:type="dxa"/>
            <w:tcBorders>
              <w:top w:val="nil"/>
              <w:left w:val="nil"/>
              <w:bottom w:val="nil"/>
              <w:right w:val="single" w:sz="8" w:space="0" w:color="auto"/>
            </w:tcBorders>
            <w:shd w:val="clear" w:color="auto" w:fill="auto"/>
            <w:vAlign w:val="center"/>
          </w:tcPr>
          <w:p w14:paraId="03108ED1" w14:textId="0A5B3AA6" w:rsidR="00E815B8" w:rsidRPr="00E170E4" w:rsidRDefault="00E815B8" w:rsidP="00E815B8">
            <w:pPr>
              <w:jc w:val="right"/>
              <w:rPr>
                <w:rFonts w:ascii="Arial" w:hAnsi="Arial" w:cs="Arial"/>
                <w:sz w:val="20"/>
                <w:szCs w:val="20"/>
              </w:rPr>
            </w:pPr>
          </w:p>
        </w:tc>
      </w:tr>
      <w:tr w:rsidR="00E815B8" w:rsidRPr="007C4B88" w14:paraId="6FAF8E3D" w14:textId="77777777" w:rsidTr="00E815B8">
        <w:trPr>
          <w:trHeight w:val="80"/>
        </w:trPr>
        <w:tc>
          <w:tcPr>
            <w:tcW w:w="4130" w:type="dxa"/>
            <w:tcBorders>
              <w:top w:val="nil"/>
              <w:left w:val="single" w:sz="8" w:space="0" w:color="auto"/>
              <w:bottom w:val="nil"/>
              <w:right w:val="nil"/>
            </w:tcBorders>
            <w:shd w:val="clear" w:color="auto" w:fill="auto"/>
            <w:vAlign w:val="center"/>
            <w:hideMark/>
          </w:tcPr>
          <w:p w14:paraId="138B68AB" w14:textId="65333F78" w:rsidR="00E815B8" w:rsidRPr="007C4B88" w:rsidRDefault="00E815B8" w:rsidP="00E815B8">
            <w:pPr>
              <w:rPr>
                <w:rFonts w:ascii="Arial" w:hAnsi="Arial" w:cs="Arial"/>
                <w:color w:val="2A2A2A"/>
                <w:sz w:val="20"/>
                <w:szCs w:val="20"/>
              </w:rPr>
            </w:pPr>
            <w:r w:rsidRPr="607C4A4B">
              <w:rPr>
                <w:rFonts w:ascii="Arial" w:hAnsi="Arial" w:cs="Arial"/>
                <w:color w:val="2A2A2A"/>
                <w:sz w:val="20"/>
                <w:szCs w:val="20"/>
              </w:rPr>
              <w:t>Operating Expenditures</w:t>
            </w:r>
          </w:p>
        </w:tc>
        <w:tc>
          <w:tcPr>
            <w:tcW w:w="1440" w:type="dxa"/>
            <w:tcBorders>
              <w:top w:val="nil"/>
              <w:left w:val="nil"/>
              <w:bottom w:val="nil"/>
              <w:right w:val="nil"/>
            </w:tcBorders>
            <w:shd w:val="clear" w:color="auto" w:fill="auto"/>
            <w:vAlign w:val="center"/>
          </w:tcPr>
          <w:p w14:paraId="663B1B85" w14:textId="77069419"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$14,502,200</w:t>
            </w:r>
          </w:p>
        </w:tc>
        <w:tc>
          <w:tcPr>
            <w:tcW w:w="1530" w:type="dxa"/>
            <w:tcBorders>
              <w:top w:val="nil"/>
              <w:left w:val="nil"/>
              <w:bottom w:val="nil"/>
            </w:tcBorders>
            <w:shd w:val="clear" w:color="auto" w:fill="auto"/>
            <w:vAlign w:val="center"/>
          </w:tcPr>
          <w:p w14:paraId="049BAE63" w14:textId="526C67A3"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$12,799,000</w:t>
            </w:r>
          </w:p>
        </w:tc>
        <w:tc>
          <w:tcPr>
            <w:tcW w:w="1440" w:type="dxa"/>
            <w:tcBorders>
              <w:top w:val="nil"/>
              <w:left w:val="nil"/>
              <w:bottom w:val="nil"/>
            </w:tcBorders>
            <w:shd w:val="clear" w:color="auto" w:fill="auto"/>
            <w:vAlign w:val="center"/>
          </w:tcPr>
          <w:p w14:paraId="637DC31C" w14:textId="23D0A911"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$11,862,300</w:t>
            </w:r>
          </w:p>
        </w:tc>
        <w:tc>
          <w:tcPr>
            <w:tcW w:w="1530" w:type="dxa"/>
            <w:tcBorders>
              <w:top w:val="nil"/>
              <w:left w:val="nil"/>
              <w:bottom w:val="nil"/>
              <w:right w:val="single" w:sz="8" w:space="0" w:color="auto"/>
            </w:tcBorders>
            <w:shd w:val="clear" w:color="auto" w:fill="auto"/>
            <w:vAlign w:val="center"/>
          </w:tcPr>
          <w:p w14:paraId="6AB2FD62" w14:textId="32AA8A02" w:rsidR="00E815B8" w:rsidRPr="00314D87" w:rsidRDefault="00E815B8" w:rsidP="00E815B8">
            <w:pPr>
              <w:jc w:val="right"/>
              <w:rPr>
                <w:rFonts w:ascii="Arial" w:hAnsi="Arial" w:cs="Arial"/>
                <w:color w:val="2A2A2A"/>
                <w:sz w:val="20"/>
                <w:szCs w:val="20"/>
              </w:rPr>
            </w:pPr>
          </w:p>
        </w:tc>
      </w:tr>
      <w:tr w:rsidR="00E815B8" w:rsidRPr="007C4B88" w14:paraId="075C35D4" w14:textId="77777777" w:rsidTr="00E815B8">
        <w:trPr>
          <w:trHeight w:val="153"/>
        </w:trPr>
        <w:tc>
          <w:tcPr>
            <w:tcW w:w="4130" w:type="dxa"/>
            <w:tcBorders>
              <w:top w:val="nil"/>
              <w:left w:val="single" w:sz="8" w:space="0" w:color="auto"/>
              <w:bottom w:val="nil"/>
              <w:right w:val="nil"/>
            </w:tcBorders>
            <w:shd w:val="clear" w:color="auto" w:fill="auto"/>
            <w:vAlign w:val="center"/>
            <w:hideMark/>
          </w:tcPr>
          <w:p w14:paraId="3CF09ABE" w14:textId="2CB597F5" w:rsidR="00E815B8" w:rsidRPr="007C4B88" w:rsidRDefault="00E815B8" w:rsidP="00E815B8">
            <w:pPr>
              <w:rPr>
                <w:rFonts w:ascii="Arial" w:hAnsi="Arial" w:cs="Arial"/>
                <w:color w:val="2A2A2A"/>
                <w:sz w:val="20"/>
                <w:szCs w:val="20"/>
              </w:rPr>
            </w:pPr>
            <w:r w:rsidRPr="607C4A4B">
              <w:rPr>
                <w:rFonts w:ascii="Arial" w:hAnsi="Arial" w:cs="Arial"/>
                <w:color w:val="2A2A2A"/>
                <w:sz w:val="20"/>
                <w:szCs w:val="20"/>
              </w:rPr>
              <w:t>Capital Outlay</w:t>
            </w:r>
          </w:p>
        </w:tc>
        <w:tc>
          <w:tcPr>
            <w:tcW w:w="1440" w:type="dxa"/>
            <w:tcBorders>
              <w:top w:val="nil"/>
              <w:left w:val="nil"/>
              <w:bottom w:val="nil"/>
              <w:right w:val="nil"/>
            </w:tcBorders>
            <w:shd w:val="clear" w:color="auto" w:fill="auto"/>
            <w:vAlign w:val="center"/>
          </w:tcPr>
          <w:p w14:paraId="756D4A1B" w14:textId="75950CFC"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$504,200</w:t>
            </w:r>
          </w:p>
        </w:tc>
        <w:tc>
          <w:tcPr>
            <w:tcW w:w="1530" w:type="dxa"/>
            <w:tcBorders>
              <w:top w:val="nil"/>
              <w:left w:val="nil"/>
              <w:bottom w:val="nil"/>
            </w:tcBorders>
            <w:shd w:val="clear" w:color="auto" w:fill="auto"/>
            <w:vAlign w:val="center"/>
          </w:tcPr>
          <w:p w14:paraId="7CC0DAE7" w14:textId="72200D8A"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$1,534,000</w:t>
            </w:r>
          </w:p>
        </w:tc>
        <w:tc>
          <w:tcPr>
            <w:tcW w:w="1440" w:type="dxa"/>
            <w:tcBorders>
              <w:top w:val="nil"/>
              <w:left w:val="nil"/>
              <w:bottom w:val="nil"/>
            </w:tcBorders>
            <w:shd w:val="clear" w:color="auto" w:fill="auto"/>
            <w:vAlign w:val="center"/>
          </w:tcPr>
          <w:p w14:paraId="0D9ABBBE" w14:textId="52B459D9" w:rsidR="00E815B8" w:rsidRPr="00314D87" w:rsidRDefault="00E815B8" w:rsidP="00E815B8">
            <w:pPr>
              <w:jc w:val="right"/>
              <w:rPr>
                <w:rFonts w:ascii="Arial" w:hAnsi="Arial" w:cs="Arial"/>
                <w:color w:val="2A2A2A"/>
                <w:sz w:val="20"/>
                <w:szCs w:val="20"/>
              </w:rPr>
            </w:pPr>
            <w:r>
              <w:rPr>
                <w:rFonts w:ascii="Arial" w:hAnsi="Arial" w:cs="Arial"/>
                <w:color w:val="2A2A2A"/>
                <w:sz w:val="20"/>
                <w:szCs w:val="20"/>
              </w:rPr>
              <w:t>$3,219,400</w:t>
            </w:r>
          </w:p>
        </w:tc>
        <w:tc>
          <w:tcPr>
            <w:tcW w:w="1530" w:type="dxa"/>
            <w:tcBorders>
              <w:top w:val="nil"/>
              <w:left w:val="nil"/>
              <w:bottom w:val="nil"/>
              <w:right w:val="single" w:sz="8" w:space="0" w:color="auto"/>
            </w:tcBorders>
            <w:shd w:val="clear" w:color="auto" w:fill="auto"/>
            <w:vAlign w:val="center"/>
          </w:tcPr>
          <w:p w14:paraId="04212A30" w14:textId="008CDE39" w:rsidR="00E815B8" w:rsidRPr="00314D87" w:rsidRDefault="00E815B8" w:rsidP="00E815B8">
            <w:pPr>
              <w:jc w:val="right"/>
              <w:rPr>
                <w:rFonts w:ascii="Arial" w:hAnsi="Arial" w:cs="Arial"/>
                <w:color w:val="2A2A2A"/>
                <w:sz w:val="20"/>
                <w:szCs w:val="20"/>
              </w:rPr>
            </w:pPr>
          </w:p>
        </w:tc>
      </w:tr>
      <w:tr w:rsidR="00E815B8" w:rsidRPr="00BF16F7" w14:paraId="0E6ABDBA" w14:textId="77777777" w:rsidTr="00E815B8">
        <w:trPr>
          <w:trHeight w:val="90"/>
        </w:trPr>
        <w:tc>
          <w:tcPr>
            <w:tcW w:w="4130" w:type="dxa"/>
            <w:tcBorders>
              <w:top w:val="nil"/>
              <w:left w:val="single" w:sz="8" w:space="0" w:color="auto"/>
              <w:bottom w:val="nil"/>
              <w:right w:val="nil"/>
            </w:tcBorders>
            <w:shd w:val="clear" w:color="auto" w:fill="auto"/>
            <w:vAlign w:val="center"/>
            <w:hideMark/>
          </w:tcPr>
          <w:p w14:paraId="7789B6F1" w14:textId="3A02DD8D" w:rsidR="00E815B8" w:rsidRPr="007C4B88" w:rsidRDefault="00E815B8" w:rsidP="00E815B8">
            <w:pPr>
              <w:rPr>
                <w:rFonts w:ascii="Arial" w:hAnsi="Arial" w:cs="Arial"/>
                <w:color w:val="2A2A2A"/>
                <w:sz w:val="20"/>
                <w:szCs w:val="20"/>
              </w:rPr>
            </w:pPr>
            <w:r w:rsidRPr="607C4A4B">
              <w:rPr>
                <w:rFonts w:ascii="Arial" w:hAnsi="Arial" w:cs="Arial"/>
                <w:color w:val="2A2A2A"/>
                <w:sz w:val="20"/>
                <w:szCs w:val="20"/>
              </w:rPr>
              <w:t>Trustee/Benefit Payments</w:t>
            </w:r>
          </w:p>
        </w:tc>
        <w:tc>
          <w:tcPr>
            <w:tcW w:w="1440" w:type="dxa"/>
            <w:tcBorders>
              <w:top w:val="nil"/>
              <w:left w:val="nil"/>
              <w:bottom w:val="nil"/>
              <w:right w:val="nil"/>
            </w:tcBorders>
            <w:shd w:val="clear" w:color="auto" w:fill="auto"/>
            <w:vAlign w:val="center"/>
          </w:tcPr>
          <w:p w14:paraId="793C2CD7" w14:textId="336E98F3" w:rsidR="00E815B8" w:rsidRPr="00314D87" w:rsidRDefault="00E815B8" w:rsidP="00E815B8">
            <w:pPr>
              <w:jc w:val="right"/>
              <w:rPr>
                <w:rFonts w:ascii="Arial" w:hAnsi="Arial" w:cs="Arial"/>
                <w:color w:val="2A2A2A"/>
                <w:sz w:val="20"/>
                <w:szCs w:val="20"/>
              </w:rPr>
            </w:pPr>
            <w:r>
              <w:rPr>
                <w:rFonts w:ascii="Arial" w:hAnsi="Arial" w:cs="Arial"/>
                <w:color w:val="2A2A2A"/>
                <w:sz w:val="20"/>
                <w:szCs w:val="20"/>
                <w:u w:val="single"/>
              </w:rPr>
              <w:t>$80,068,700</w:t>
            </w:r>
          </w:p>
        </w:tc>
        <w:tc>
          <w:tcPr>
            <w:tcW w:w="1530" w:type="dxa"/>
            <w:tcBorders>
              <w:top w:val="nil"/>
              <w:left w:val="nil"/>
              <w:bottom w:val="nil"/>
            </w:tcBorders>
            <w:shd w:val="clear" w:color="auto" w:fill="auto"/>
            <w:vAlign w:val="center"/>
          </w:tcPr>
          <w:p w14:paraId="14912686" w14:textId="34EE75D3" w:rsidR="00E815B8" w:rsidRPr="00314D87" w:rsidRDefault="00E815B8" w:rsidP="00E815B8">
            <w:pPr>
              <w:jc w:val="right"/>
              <w:rPr>
                <w:rFonts w:ascii="Arial" w:hAnsi="Arial" w:cs="Arial"/>
                <w:color w:val="2A2A2A"/>
                <w:sz w:val="20"/>
                <w:szCs w:val="20"/>
              </w:rPr>
            </w:pPr>
            <w:r w:rsidRPr="00CD1882">
              <w:rPr>
                <w:rFonts w:ascii="Arial" w:hAnsi="Arial" w:cs="Arial"/>
                <w:color w:val="2A2A2A"/>
                <w:sz w:val="20"/>
                <w:szCs w:val="20"/>
                <w:u w:val="single"/>
              </w:rPr>
              <w:t>$1</w:t>
            </w:r>
            <w:r>
              <w:rPr>
                <w:rFonts w:ascii="Arial" w:hAnsi="Arial" w:cs="Arial"/>
                <w:color w:val="2A2A2A"/>
                <w:sz w:val="20"/>
                <w:szCs w:val="20"/>
                <w:u w:val="single"/>
              </w:rPr>
              <w:t>33,462,500</w:t>
            </w:r>
          </w:p>
        </w:tc>
        <w:tc>
          <w:tcPr>
            <w:tcW w:w="1440" w:type="dxa"/>
            <w:tcBorders>
              <w:top w:val="nil"/>
              <w:left w:val="nil"/>
              <w:bottom w:val="nil"/>
            </w:tcBorders>
            <w:shd w:val="clear" w:color="auto" w:fill="auto"/>
            <w:vAlign w:val="center"/>
          </w:tcPr>
          <w:p w14:paraId="1F7FA43F" w14:textId="3B2AE76F" w:rsidR="00E815B8" w:rsidRPr="00314D87" w:rsidRDefault="00E815B8" w:rsidP="00E815B8">
            <w:pPr>
              <w:jc w:val="right"/>
              <w:rPr>
                <w:rFonts w:ascii="Arial" w:hAnsi="Arial" w:cs="Arial"/>
                <w:color w:val="2A2A2A"/>
                <w:sz w:val="20"/>
                <w:szCs w:val="20"/>
              </w:rPr>
            </w:pPr>
            <w:r w:rsidRPr="00BF16F7">
              <w:rPr>
                <w:rFonts w:ascii="Arial" w:hAnsi="Arial" w:cs="Arial"/>
                <w:color w:val="2A2A2A"/>
                <w:sz w:val="20"/>
                <w:szCs w:val="20"/>
                <w:u w:val="single"/>
              </w:rPr>
              <w:t>$516,700****</w:t>
            </w:r>
          </w:p>
        </w:tc>
        <w:tc>
          <w:tcPr>
            <w:tcW w:w="1530" w:type="dxa"/>
            <w:tcBorders>
              <w:top w:val="nil"/>
              <w:left w:val="nil"/>
              <w:bottom w:val="nil"/>
              <w:right w:val="single" w:sz="8" w:space="0" w:color="auto"/>
            </w:tcBorders>
            <w:shd w:val="clear" w:color="auto" w:fill="auto"/>
            <w:vAlign w:val="center"/>
          </w:tcPr>
          <w:p w14:paraId="7ECCB5E3" w14:textId="26D793B1" w:rsidR="00E815B8" w:rsidRPr="00BF16F7" w:rsidRDefault="00E815B8" w:rsidP="00E815B8">
            <w:pPr>
              <w:jc w:val="right"/>
              <w:rPr>
                <w:rFonts w:ascii="Arial" w:hAnsi="Arial" w:cs="Arial"/>
                <w:color w:val="2A2A2A"/>
                <w:sz w:val="20"/>
                <w:szCs w:val="20"/>
                <w:u w:val="single"/>
              </w:rPr>
            </w:pPr>
          </w:p>
        </w:tc>
      </w:tr>
      <w:tr w:rsidR="00E815B8" w:rsidRPr="007C4B88" w14:paraId="1C80F87B" w14:textId="77777777" w:rsidTr="00E815B8">
        <w:trPr>
          <w:trHeight w:val="135"/>
        </w:trPr>
        <w:tc>
          <w:tcPr>
            <w:tcW w:w="4130" w:type="dxa"/>
            <w:tcBorders>
              <w:top w:val="nil"/>
              <w:left w:val="single" w:sz="8" w:space="0" w:color="auto"/>
              <w:bottom w:val="single" w:sz="8" w:space="0" w:color="auto"/>
              <w:right w:val="nil"/>
            </w:tcBorders>
            <w:shd w:val="clear" w:color="auto" w:fill="auto"/>
            <w:vAlign w:val="center"/>
            <w:hideMark/>
          </w:tcPr>
          <w:p w14:paraId="2FFD5094" w14:textId="3B8369A6" w:rsidR="00E815B8" w:rsidRPr="007C4B88" w:rsidRDefault="00E815B8" w:rsidP="00E815B8">
            <w:pPr>
              <w:rPr>
                <w:rFonts w:ascii="Arial" w:hAnsi="Arial" w:cs="Arial"/>
                <w:color w:val="2A2A2A"/>
                <w:sz w:val="20"/>
                <w:szCs w:val="20"/>
              </w:rPr>
            </w:pPr>
            <w:r w:rsidRPr="607C4A4B">
              <w:rPr>
                <w:rFonts w:ascii="Arial" w:hAnsi="Arial" w:cs="Arial"/>
                <w:b/>
                <w:bCs/>
                <w:color w:val="2A2A2A"/>
                <w:sz w:val="20"/>
                <w:szCs w:val="20"/>
              </w:rPr>
              <w:t>Total</w:t>
            </w:r>
          </w:p>
        </w:tc>
        <w:tc>
          <w:tcPr>
            <w:tcW w:w="1440" w:type="dxa"/>
            <w:tcBorders>
              <w:top w:val="nil"/>
              <w:left w:val="nil"/>
              <w:bottom w:val="single" w:sz="8" w:space="0" w:color="auto"/>
              <w:right w:val="nil"/>
            </w:tcBorders>
            <w:shd w:val="clear" w:color="auto" w:fill="auto"/>
            <w:vAlign w:val="center"/>
          </w:tcPr>
          <w:p w14:paraId="24090699" w14:textId="4F7CC727" w:rsidR="00E815B8" w:rsidRPr="00314D87" w:rsidRDefault="00E815B8" w:rsidP="00E815B8">
            <w:pPr>
              <w:jc w:val="right"/>
              <w:rPr>
                <w:rFonts w:ascii="Arial" w:hAnsi="Arial" w:cs="Arial"/>
                <w:color w:val="2A2A2A"/>
                <w:sz w:val="20"/>
                <w:szCs w:val="20"/>
                <w:u w:val="single"/>
              </w:rPr>
            </w:pPr>
            <w:r>
              <w:rPr>
                <w:rFonts w:ascii="Arial" w:hAnsi="Arial" w:cs="Arial"/>
                <w:b/>
                <w:bCs/>
                <w:color w:val="2A2A2A"/>
                <w:sz w:val="20"/>
                <w:szCs w:val="20"/>
              </w:rPr>
              <w:t>$135,877,600</w:t>
            </w:r>
          </w:p>
        </w:tc>
        <w:tc>
          <w:tcPr>
            <w:tcW w:w="1530" w:type="dxa"/>
            <w:tcBorders>
              <w:top w:val="nil"/>
              <w:left w:val="nil"/>
              <w:bottom w:val="single" w:sz="8" w:space="0" w:color="auto"/>
            </w:tcBorders>
            <w:shd w:val="clear" w:color="auto" w:fill="auto"/>
            <w:vAlign w:val="center"/>
          </w:tcPr>
          <w:p w14:paraId="094EE457" w14:textId="00F10A33" w:rsidR="00E815B8" w:rsidRPr="00314D87" w:rsidRDefault="00E815B8" w:rsidP="00E815B8">
            <w:pPr>
              <w:jc w:val="right"/>
              <w:rPr>
                <w:rFonts w:ascii="Arial" w:hAnsi="Arial" w:cs="Arial"/>
                <w:color w:val="2A2A2A"/>
                <w:sz w:val="20"/>
                <w:szCs w:val="20"/>
                <w:u w:val="single"/>
              </w:rPr>
            </w:pPr>
            <w:r w:rsidRPr="00E17502">
              <w:rPr>
                <w:rFonts w:ascii="Arial" w:hAnsi="Arial" w:cs="Arial"/>
                <w:b/>
                <w:bCs/>
                <w:color w:val="2A2A2A"/>
                <w:sz w:val="20"/>
                <w:szCs w:val="20"/>
              </w:rPr>
              <w:t>$190,988,600</w:t>
            </w:r>
          </w:p>
        </w:tc>
        <w:tc>
          <w:tcPr>
            <w:tcW w:w="1440" w:type="dxa"/>
            <w:tcBorders>
              <w:top w:val="nil"/>
              <w:left w:val="nil"/>
              <w:bottom w:val="single" w:sz="8" w:space="0" w:color="auto"/>
            </w:tcBorders>
            <w:shd w:val="clear" w:color="auto" w:fill="auto"/>
            <w:vAlign w:val="center"/>
          </w:tcPr>
          <w:p w14:paraId="329A9F65" w14:textId="3A20F0A3" w:rsidR="00E815B8" w:rsidRPr="00314D87" w:rsidRDefault="00E815B8" w:rsidP="00E815B8">
            <w:pPr>
              <w:jc w:val="right"/>
              <w:rPr>
                <w:rFonts w:ascii="Arial" w:hAnsi="Arial" w:cs="Arial"/>
                <w:color w:val="2A2A2A"/>
                <w:sz w:val="20"/>
                <w:szCs w:val="20"/>
                <w:u w:val="single"/>
              </w:rPr>
            </w:pPr>
            <w:r w:rsidRPr="00BF16F7">
              <w:rPr>
                <w:rFonts w:ascii="Arial" w:hAnsi="Arial" w:cs="Arial"/>
                <w:b/>
                <w:bCs/>
                <w:color w:val="2A2A2A"/>
                <w:sz w:val="20"/>
                <w:szCs w:val="20"/>
              </w:rPr>
              <w:t>$58,365,700</w:t>
            </w:r>
          </w:p>
        </w:tc>
        <w:tc>
          <w:tcPr>
            <w:tcW w:w="1530" w:type="dxa"/>
            <w:tcBorders>
              <w:top w:val="nil"/>
              <w:left w:val="nil"/>
              <w:bottom w:val="single" w:sz="8" w:space="0" w:color="auto"/>
              <w:right w:val="single" w:sz="8" w:space="0" w:color="auto"/>
            </w:tcBorders>
            <w:shd w:val="clear" w:color="auto" w:fill="auto"/>
            <w:vAlign w:val="center"/>
          </w:tcPr>
          <w:p w14:paraId="70E1AB99" w14:textId="443E820C" w:rsidR="00E815B8" w:rsidRPr="00BF16F7" w:rsidRDefault="00E815B8" w:rsidP="00E815B8">
            <w:pPr>
              <w:jc w:val="right"/>
              <w:rPr>
                <w:rFonts w:ascii="Arial" w:hAnsi="Arial" w:cs="Arial"/>
                <w:b/>
                <w:bCs/>
                <w:color w:val="2A2A2A"/>
                <w:sz w:val="20"/>
                <w:szCs w:val="20"/>
              </w:rPr>
            </w:pPr>
          </w:p>
        </w:tc>
      </w:tr>
    </w:tbl>
    <w:p w14:paraId="11E7A74D" w14:textId="027B9C80" w:rsidR="00E170E4" w:rsidRPr="00E170E4" w:rsidRDefault="00E170E4" w:rsidP="00E170E4">
      <w:pPr>
        <w:jc w:val="both"/>
        <w:rPr>
          <w:rFonts w:ascii="Arial" w:hAnsi="Arial" w:cs="Arial"/>
          <w:sz w:val="18"/>
          <w:szCs w:val="18"/>
        </w:rPr>
      </w:pPr>
      <w:r w:rsidRPr="00E170E4">
        <w:rPr>
          <w:rFonts w:ascii="Arial" w:hAnsi="Arial" w:cs="Arial"/>
          <w:sz w:val="18"/>
          <w:szCs w:val="18"/>
        </w:rPr>
        <w:t xml:space="preserve">*SFY24 </w:t>
      </w:r>
      <w:r w:rsidR="00C62C77">
        <w:rPr>
          <w:rFonts w:ascii="Arial" w:hAnsi="Arial" w:cs="Arial"/>
          <w:sz w:val="18"/>
          <w:szCs w:val="18"/>
        </w:rPr>
        <w:t>m</w:t>
      </w:r>
      <w:r w:rsidR="00C62C77" w:rsidRPr="00E170E4">
        <w:rPr>
          <w:rFonts w:ascii="Arial" w:hAnsi="Arial" w:cs="Arial"/>
          <w:sz w:val="18"/>
          <w:szCs w:val="18"/>
        </w:rPr>
        <w:t xml:space="preserve">issing </w:t>
      </w:r>
      <w:r w:rsidRPr="00E170E4">
        <w:rPr>
          <w:rFonts w:ascii="Arial" w:hAnsi="Arial" w:cs="Arial"/>
          <w:sz w:val="18"/>
          <w:szCs w:val="18"/>
        </w:rPr>
        <w:t>$2,509,893.47 in EUISAA revenue that LUMA is not reflecting</w:t>
      </w:r>
      <w:r w:rsidR="00C62C77">
        <w:rPr>
          <w:rFonts w:ascii="Arial" w:hAnsi="Arial" w:cs="Arial"/>
          <w:sz w:val="18"/>
          <w:szCs w:val="18"/>
        </w:rPr>
        <w:t xml:space="preserve"> due to system errors</w:t>
      </w:r>
      <w:r w:rsidRPr="00E170E4">
        <w:rPr>
          <w:rFonts w:ascii="Arial" w:hAnsi="Arial" w:cs="Arial"/>
          <w:sz w:val="18"/>
          <w:szCs w:val="18"/>
        </w:rPr>
        <w:t>.</w:t>
      </w:r>
    </w:p>
    <w:p w14:paraId="4BD94C17" w14:textId="5B2F9518" w:rsidR="00E170E4" w:rsidRDefault="00E170E4" w:rsidP="00E170E4">
      <w:pPr>
        <w:jc w:val="both"/>
        <w:rPr>
          <w:rFonts w:ascii="Arial" w:hAnsi="Arial" w:cs="Arial"/>
          <w:sz w:val="18"/>
          <w:szCs w:val="18"/>
        </w:rPr>
      </w:pPr>
      <w:r w:rsidRPr="00E170E4">
        <w:rPr>
          <w:rFonts w:ascii="Arial" w:hAnsi="Arial" w:cs="Arial"/>
          <w:sz w:val="18"/>
          <w:szCs w:val="18"/>
        </w:rPr>
        <w:t xml:space="preserve">**SFY24 </w:t>
      </w:r>
      <w:r w:rsidR="00C62C77">
        <w:rPr>
          <w:rFonts w:ascii="Arial" w:hAnsi="Arial" w:cs="Arial"/>
          <w:sz w:val="18"/>
          <w:szCs w:val="18"/>
        </w:rPr>
        <w:t>m</w:t>
      </w:r>
      <w:r w:rsidR="00C62C77" w:rsidRPr="00E170E4">
        <w:rPr>
          <w:rFonts w:ascii="Arial" w:hAnsi="Arial" w:cs="Arial"/>
          <w:sz w:val="18"/>
          <w:szCs w:val="18"/>
        </w:rPr>
        <w:t xml:space="preserve">issing </w:t>
      </w:r>
      <w:r w:rsidRPr="00E170E4">
        <w:rPr>
          <w:rFonts w:ascii="Arial" w:hAnsi="Arial" w:cs="Arial"/>
          <w:sz w:val="18"/>
          <w:szCs w:val="18"/>
        </w:rPr>
        <w:t>$11,560,027.77 in federal revenue that LUMA is not reflecting</w:t>
      </w:r>
      <w:r w:rsidR="00C62C77">
        <w:rPr>
          <w:rFonts w:ascii="Arial" w:hAnsi="Arial" w:cs="Arial"/>
          <w:sz w:val="18"/>
          <w:szCs w:val="18"/>
        </w:rPr>
        <w:t xml:space="preserve"> due to system errors</w:t>
      </w:r>
      <w:r w:rsidRPr="00E170E4">
        <w:rPr>
          <w:rFonts w:ascii="Arial" w:hAnsi="Arial" w:cs="Arial"/>
          <w:sz w:val="18"/>
          <w:szCs w:val="18"/>
        </w:rPr>
        <w:t>.</w:t>
      </w:r>
    </w:p>
    <w:p w14:paraId="7C6F0429" w14:textId="10A65529" w:rsidR="00E170E4" w:rsidRDefault="00E170E4" w:rsidP="00E170E4">
      <w:pPr>
        <w:jc w:val="both"/>
        <w:rPr>
          <w:rFonts w:ascii="Arial" w:hAnsi="Arial" w:cs="Arial"/>
          <w:sz w:val="18"/>
          <w:szCs w:val="18"/>
        </w:rPr>
      </w:pPr>
      <w:r w:rsidRPr="00E9527E">
        <w:rPr>
          <w:rFonts w:ascii="Arial" w:hAnsi="Arial" w:cs="Arial"/>
          <w:sz w:val="20"/>
          <w:szCs w:val="20"/>
        </w:rPr>
        <w:t>*</w:t>
      </w:r>
      <w:r>
        <w:rPr>
          <w:rFonts w:ascii="Arial" w:hAnsi="Arial" w:cs="Arial"/>
          <w:sz w:val="20"/>
          <w:szCs w:val="20"/>
        </w:rPr>
        <w:t>**</w:t>
      </w:r>
      <w:r>
        <w:rPr>
          <w:rFonts w:ascii="Arial" w:hAnsi="Arial" w:cs="Arial"/>
          <w:sz w:val="18"/>
          <w:szCs w:val="18"/>
        </w:rPr>
        <w:t xml:space="preserve">Increase due to one-time childcare grant funds appropriated by the 2023 Legislature for the Labor Department to disperse to </w:t>
      </w:r>
      <w:r w:rsidRPr="001C0606">
        <w:rPr>
          <w:rFonts w:ascii="Arial" w:hAnsi="Arial" w:cs="Arial"/>
          <w:sz w:val="18"/>
          <w:szCs w:val="18"/>
        </w:rPr>
        <w:t>eligible providers for provider grants, wage enhancements and eligible</w:t>
      </w:r>
      <w:r>
        <w:rPr>
          <w:rFonts w:ascii="Arial" w:hAnsi="Arial" w:cs="Arial"/>
          <w:sz w:val="18"/>
          <w:szCs w:val="18"/>
        </w:rPr>
        <w:t xml:space="preserve"> c</w:t>
      </w:r>
      <w:r w:rsidRPr="001C0606">
        <w:rPr>
          <w:rFonts w:ascii="Arial" w:hAnsi="Arial" w:cs="Arial"/>
          <w:sz w:val="18"/>
          <w:szCs w:val="18"/>
        </w:rPr>
        <w:t>ommunity partner providers</w:t>
      </w:r>
      <w:r>
        <w:rPr>
          <w:rFonts w:ascii="Arial" w:hAnsi="Arial" w:cs="Arial"/>
          <w:sz w:val="18"/>
          <w:szCs w:val="18"/>
        </w:rPr>
        <w:t>.</w:t>
      </w:r>
    </w:p>
    <w:p w14:paraId="272CB25B" w14:textId="4B779535" w:rsidR="00F94F28" w:rsidRDefault="00F94F28" w:rsidP="00E170E4">
      <w:pPr>
        <w:jc w:val="both"/>
        <w:rPr>
          <w:rFonts w:ascii="Arial" w:hAnsi="Arial" w:cs="Arial"/>
          <w:sz w:val="18"/>
          <w:szCs w:val="18"/>
        </w:rPr>
      </w:pPr>
      <w:r>
        <w:rPr>
          <w:rFonts w:ascii="Arial" w:hAnsi="Arial" w:cs="Arial"/>
          <w:sz w:val="18"/>
          <w:szCs w:val="18"/>
        </w:rPr>
        <w:t>****</w:t>
      </w:r>
      <w:r w:rsidRPr="00F94F28">
        <w:rPr>
          <w:rFonts w:ascii="Arial" w:hAnsi="Arial" w:cs="Arial"/>
          <w:sz w:val="18"/>
          <w:szCs w:val="18"/>
        </w:rPr>
        <w:t xml:space="preserve">$113,886,384.52 in UI benefit payments incorrectly recorded as "Operating Transfers Out" rather than "Benefit Payments" </w:t>
      </w:r>
      <w:r w:rsidR="00C62C77">
        <w:rPr>
          <w:rFonts w:ascii="Arial" w:hAnsi="Arial" w:cs="Arial"/>
          <w:sz w:val="18"/>
          <w:szCs w:val="18"/>
        </w:rPr>
        <w:t xml:space="preserve">due to Luma system errors. </w:t>
      </w:r>
      <w:r w:rsidRPr="00F94F28">
        <w:rPr>
          <w:rFonts w:ascii="Arial" w:hAnsi="Arial" w:cs="Arial"/>
          <w:sz w:val="18"/>
          <w:szCs w:val="18"/>
        </w:rPr>
        <w:t>ACFR adjustment pending.</w:t>
      </w:r>
    </w:p>
    <w:p w14:paraId="403CED79" w14:textId="77777777" w:rsidR="00E170E4" w:rsidRPr="001C0606" w:rsidRDefault="00E170E4" w:rsidP="00E170E4">
      <w:pPr>
        <w:jc w:val="both"/>
        <w:rPr>
          <w:rFonts w:ascii="Arial" w:hAnsi="Arial" w:cs="Arial"/>
          <w:sz w:val="18"/>
          <w:szCs w:val="18"/>
        </w:rPr>
      </w:pPr>
    </w:p>
    <w:p w14:paraId="1E56201D" w14:textId="77777777" w:rsidR="00712438" w:rsidRDefault="00712438" w:rsidP="607C4A4B">
      <w:pPr>
        <w:jc w:val="both"/>
        <w:rPr>
          <w:rFonts w:ascii="Arial" w:hAnsi="Arial" w:cs="Arial"/>
          <w:b/>
          <w:bCs/>
        </w:rPr>
      </w:pPr>
    </w:p>
    <w:p w14:paraId="3C8723A0" w14:textId="3ED88D0B" w:rsidR="00236A7F" w:rsidRDefault="607C4A4B" w:rsidP="607C4A4B">
      <w:pPr>
        <w:jc w:val="both"/>
        <w:rPr>
          <w:rFonts w:ascii="Arial" w:hAnsi="Arial" w:cs="Arial"/>
          <w:b/>
          <w:bCs/>
          <w:color w:val="FF0000"/>
        </w:rPr>
      </w:pPr>
      <w:r w:rsidRPr="003C73E5">
        <w:rPr>
          <w:rFonts w:ascii="Arial" w:hAnsi="Arial" w:cs="Arial"/>
          <w:b/>
          <w:bCs/>
        </w:rPr>
        <w:t>Profile of Cases Managed and/or Key Services Provided</w:t>
      </w:r>
      <w:r w:rsidR="00AC2EF2">
        <w:rPr>
          <w:rFonts w:ascii="Arial" w:hAnsi="Arial" w:cs="Arial"/>
          <w:b/>
          <w:bCs/>
          <w:color w:val="FF0000"/>
        </w:rPr>
        <w:t xml:space="preserve"> </w:t>
      </w:r>
    </w:p>
    <w:p w14:paraId="06990EE7" w14:textId="77777777" w:rsidR="00701E05" w:rsidRPr="00AC2EF2" w:rsidRDefault="00701E05" w:rsidP="607C4A4B">
      <w:pPr>
        <w:jc w:val="both"/>
        <w:rPr>
          <w:rFonts w:ascii="Arial" w:hAnsi="Arial" w:cs="Arial"/>
          <w:b/>
          <w:bCs/>
          <w:color w:val="FF0000"/>
        </w:rPr>
      </w:pPr>
    </w:p>
    <w:p w14:paraId="12DB8F0D" w14:textId="43E97B0E" w:rsidR="00C05F16" w:rsidRDefault="607C4A4B" w:rsidP="607C4A4B">
      <w:pPr>
        <w:rPr>
          <w:rFonts w:ascii="Arial" w:hAnsi="Arial" w:cs="Arial"/>
          <w:sz w:val="20"/>
          <w:szCs w:val="20"/>
        </w:rPr>
      </w:pPr>
      <w:r w:rsidRPr="607C4A4B">
        <w:rPr>
          <w:rFonts w:ascii="Arial" w:hAnsi="Arial" w:cs="Arial"/>
          <w:sz w:val="20"/>
          <w:szCs w:val="20"/>
        </w:rPr>
        <w:t>All measures from July 1 to June 30</w:t>
      </w:r>
    </w:p>
    <w:tbl>
      <w:tblPr>
        <w:tblW w:w="100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right w:w="58" w:type="dxa"/>
        </w:tblCellMar>
        <w:tblLook w:val="0000" w:firstRow="0" w:lastRow="0" w:firstColumn="0" w:lastColumn="0" w:noHBand="0" w:noVBand="0"/>
      </w:tblPr>
      <w:tblGrid>
        <w:gridCol w:w="5570"/>
        <w:gridCol w:w="1170"/>
        <w:gridCol w:w="1080"/>
        <w:gridCol w:w="1170"/>
        <w:gridCol w:w="1090"/>
      </w:tblGrid>
      <w:tr w:rsidR="00E815B8" w:rsidRPr="00793F94" w14:paraId="3E2AFEFD" w14:textId="77777777" w:rsidTr="007F2DA2">
        <w:trPr>
          <w:trHeight w:val="115"/>
          <w:tblHeader/>
        </w:trPr>
        <w:tc>
          <w:tcPr>
            <w:tcW w:w="5570" w:type="dxa"/>
            <w:shd w:val="clear" w:color="auto" w:fill="000080"/>
            <w:vAlign w:val="bottom"/>
          </w:tcPr>
          <w:p w14:paraId="53B11B9D" w14:textId="478D9861" w:rsidR="00E815B8" w:rsidRPr="00793F94" w:rsidRDefault="00E815B8" w:rsidP="00E815B8">
            <w:pPr>
              <w:jc w:val="center"/>
              <w:rPr>
                <w:rFonts w:ascii="Arial" w:hAnsi="Arial" w:cs="Arial"/>
                <w:b/>
                <w:bCs/>
                <w:color w:val="FFFFFF" w:themeColor="background1"/>
                <w:sz w:val="20"/>
                <w:szCs w:val="20"/>
              </w:rPr>
            </w:pPr>
            <w:r w:rsidRPr="607C4A4B">
              <w:rPr>
                <w:rFonts w:ascii="Arial" w:hAnsi="Arial" w:cs="Arial"/>
                <w:b/>
                <w:bCs/>
                <w:color w:val="FFFFFF" w:themeColor="background1"/>
                <w:sz w:val="20"/>
                <w:szCs w:val="20"/>
              </w:rPr>
              <w:t>Cases Managed and/or Key Services Provided</w:t>
            </w:r>
          </w:p>
        </w:tc>
        <w:tc>
          <w:tcPr>
            <w:tcW w:w="1170" w:type="dxa"/>
            <w:shd w:val="clear" w:color="auto" w:fill="000080"/>
            <w:vAlign w:val="center"/>
          </w:tcPr>
          <w:p w14:paraId="4C7D326C" w14:textId="3E39D983" w:rsidR="00E815B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2022</w:t>
            </w:r>
          </w:p>
        </w:tc>
        <w:tc>
          <w:tcPr>
            <w:tcW w:w="1080" w:type="dxa"/>
            <w:shd w:val="clear" w:color="auto" w:fill="000080"/>
            <w:vAlign w:val="center"/>
          </w:tcPr>
          <w:p w14:paraId="7A0431A6" w14:textId="4087353A" w:rsidR="00E815B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2023</w:t>
            </w:r>
          </w:p>
        </w:tc>
        <w:tc>
          <w:tcPr>
            <w:tcW w:w="1170" w:type="dxa"/>
            <w:shd w:val="clear" w:color="auto" w:fill="000080"/>
            <w:vAlign w:val="center"/>
          </w:tcPr>
          <w:p w14:paraId="0DF19409" w14:textId="2BD11AEE" w:rsidR="00E815B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2024</w:t>
            </w:r>
          </w:p>
        </w:tc>
        <w:tc>
          <w:tcPr>
            <w:tcW w:w="1090" w:type="dxa"/>
            <w:shd w:val="clear" w:color="auto" w:fill="000080"/>
            <w:vAlign w:val="center"/>
          </w:tcPr>
          <w:p w14:paraId="07C8D1F3" w14:textId="5AC42FC2" w:rsidR="00E815B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2025</w:t>
            </w:r>
          </w:p>
        </w:tc>
      </w:tr>
      <w:tr w:rsidR="00E815B8" w:rsidRPr="00793F94" w14:paraId="1D4F0CEC" w14:textId="77777777" w:rsidTr="00EA1956">
        <w:trPr>
          <w:trHeight w:val="460"/>
        </w:trPr>
        <w:tc>
          <w:tcPr>
            <w:tcW w:w="5570" w:type="dxa"/>
            <w:shd w:val="clear" w:color="auto" w:fill="auto"/>
            <w:vAlign w:val="center"/>
          </w:tcPr>
          <w:p w14:paraId="12851418" w14:textId="77777777" w:rsidR="00E815B8" w:rsidRPr="00F37D2F" w:rsidRDefault="00E815B8" w:rsidP="00E815B8">
            <w:pPr>
              <w:pStyle w:val="ListParagraph"/>
              <w:numPr>
                <w:ilvl w:val="0"/>
                <w:numId w:val="15"/>
              </w:numPr>
              <w:jc w:val="both"/>
              <w:rPr>
                <w:rFonts w:ascii="Arial" w:hAnsi="Arial" w:cs="Arial"/>
                <w:sz w:val="20"/>
                <w:szCs w:val="20"/>
              </w:rPr>
            </w:pPr>
            <w:r w:rsidRPr="607C4A4B">
              <w:rPr>
                <w:rFonts w:ascii="Arial" w:hAnsi="Arial" w:cs="Arial"/>
                <w:sz w:val="20"/>
                <w:szCs w:val="20"/>
              </w:rPr>
              <w:t xml:space="preserve">UI – Number of Initial Claims Made </w:t>
            </w:r>
          </w:p>
        </w:tc>
        <w:tc>
          <w:tcPr>
            <w:tcW w:w="1170" w:type="dxa"/>
            <w:vAlign w:val="center"/>
          </w:tcPr>
          <w:p w14:paraId="16608A94" w14:textId="14DDC9B5" w:rsidR="00E815B8" w:rsidRPr="00F37D2F" w:rsidRDefault="00E815B8" w:rsidP="00E815B8">
            <w:pPr>
              <w:jc w:val="center"/>
              <w:rPr>
                <w:rFonts w:ascii="Arial" w:hAnsi="Arial" w:cs="Arial"/>
                <w:color w:val="000000" w:themeColor="text1"/>
                <w:sz w:val="20"/>
                <w:szCs w:val="20"/>
              </w:rPr>
            </w:pPr>
            <w:r w:rsidRPr="00184A4F">
              <w:rPr>
                <w:rFonts w:ascii="Arial" w:hAnsi="Arial" w:cs="Arial"/>
                <w:sz w:val="20"/>
                <w:szCs w:val="20"/>
              </w:rPr>
              <w:t>56,618</w:t>
            </w:r>
          </w:p>
        </w:tc>
        <w:tc>
          <w:tcPr>
            <w:tcW w:w="1080" w:type="dxa"/>
            <w:vAlign w:val="center"/>
          </w:tcPr>
          <w:p w14:paraId="10B1098A" w14:textId="1B8FECC3" w:rsidR="00E815B8" w:rsidRPr="00F37D2F" w:rsidRDefault="00E815B8" w:rsidP="00E815B8">
            <w:pPr>
              <w:jc w:val="center"/>
              <w:rPr>
                <w:rFonts w:ascii="Arial" w:hAnsi="Arial" w:cs="Arial"/>
                <w:color w:val="000000" w:themeColor="text1"/>
                <w:sz w:val="20"/>
                <w:szCs w:val="20"/>
              </w:rPr>
            </w:pPr>
            <w:r>
              <w:rPr>
                <w:rFonts w:ascii="Arial" w:hAnsi="Arial" w:cs="Arial"/>
                <w:sz w:val="20"/>
                <w:szCs w:val="20"/>
              </w:rPr>
              <w:t>62,747</w:t>
            </w:r>
          </w:p>
        </w:tc>
        <w:tc>
          <w:tcPr>
            <w:tcW w:w="1170" w:type="dxa"/>
            <w:vAlign w:val="center"/>
          </w:tcPr>
          <w:p w14:paraId="72C7A854" w14:textId="7B7ABDAB" w:rsidR="00E815B8" w:rsidRPr="00F37D2F" w:rsidRDefault="00E815B8" w:rsidP="00E815B8">
            <w:pPr>
              <w:jc w:val="center"/>
              <w:rPr>
                <w:rFonts w:ascii="Arial" w:hAnsi="Arial" w:cs="Arial"/>
                <w:color w:val="000000" w:themeColor="text1"/>
                <w:sz w:val="20"/>
                <w:szCs w:val="20"/>
              </w:rPr>
            </w:pPr>
            <w:r>
              <w:rPr>
                <w:rFonts w:ascii="Arial" w:hAnsi="Arial" w:cs="Arial"/>
                <w:sz w:val="20"/>
                <w:szCs w:val="20"/>
              </w:rPr>
              <w:t>63,747</w:t>
            </w:r>
          </w:p>
        </w:tc>
        <w:tc>
          <w:tcPr>
            <w:tcW w:w="1090" w:type="dxa"/>
            <w:vAlign w:val="center"/>
          </w:tcPr>
          <w:p w14:paraId="70919D5E" w14:textId="5CC6206C" w:rsidR="00E815B8" w:rsidRPr="00184A4F" w:rsidRDefault="00E815B8" w:rsidP="00E815B8">
            <w:pPr>
              <w:jc w:val="center"/>
              <w:rPr>
                <w:rFonts w:ascii="Arial" w:hAnsi="Arial" w:cs="Arial"/>
                <w:sz w:val="20"/>
                <w:szCs w:val="20"/>
              </w:rPr>
            </w:pPr>
          </w:p>
        </w:tc>
      </w:tr>
      <w:tr w:rsidR="00E815B8" w:rsidRPr="00793F94" w14:paraId="44843ED6" w14:textId="77777777" w:rsidTr="00EA1956">
        <w:trPr>
          <w:trHeight w:val="460"/>
        </w:trPr>
        <w:tc>
          <w:tcPr>
            <w:tcW w:w="5570" w:type="dxa"/>
            <w:shd w:val="clear" w:color="auto" w:fill="auto"/>
            <w:vAlign w:val="center"/>
          </w:tcPr>
          <w:p w14:paraId="7CAF7141" w14:textId="77777777" w:rsidR="00E815B8" w:rsidRPr="00F37D2F" w:rsidRDefault="00E815B8" w:rsidP="00E815B8">
            <w:pPr>
              <w:pStyle w:val="ListParagraph"/>
              <w:numPr>
                <w:ilvl w:val="0"/>
                <w:numId w:val="15"/>
              </w:numPr>
              <w:rPr>
                <w:rFonts w:ascii="Arial" w:hAnsi="Arial" w:cs="Arial"/>
                <w:sz w:val="20"/>
                <w:szCs w:val="20"/>
              </w:rPr>
            </w:pPr>
            <w:r w:rsidRPr="607C4A4B">
              <w:rPr>
                <w:rFonts w:ascii="Arial" w:hAnsi="Arial" w:cs="Arial"/>
                <w:sz w:val="20"/>
                <w:szCs w:val="20"/>
              </w:rPr>
              <w:t xml:space="preserve">UI – Number of Weeks Compensated </w:t>
            </w:r>
          </w:p>
        </w:tc>
        <w:tc>
          <w:tcPr>
            <w:tcW w:w="1170" w:type="dxa"/>
            <w:vAlign w:val="center"/>
          </w:tcPr>
          <w:p w14:paraId="7198BB4D" w14:textId="45396463" w:rsidR="00E815B8" w:rsidRPr="00F37D2F" w:rsidRDefault="00E815B8" w:rsidP="00E815B8">
            <w:pPr>
              <w:jc w:val="center"/>
              <w:rPr>
                <w:rFonts w:ascii="Arial" w:hAnsi="Arial" w:cs="Arial"/>
                <w:color w:val="000000" w:themeColor="text1"/>
                <w:sz w:val="20"/>
                <w:szCs w:val="20"/>
              </w:rPr>
            </w:pPr>
            <w:r w:rsidRPr="00184A4F">
              <w:rPr>
                <w:rFonts w:ascii="Arial" w:hAnsi="Arial" w:cs="Arial"/>
                <w:sz w:val="20"/>
                <w:szCs w:val="20"/>
              </w:rPr>
              <w:t>222,680</w:t>
            </w:r>
          </w:p>
        </w:tc>
        <w:tc>
          <w:tcPr>
            <w:tcW w:w="1080" w:type="dxa"/>
            <w:vAlign w:val="center"/>
          </w:tcPr>
          <w:p w14:paraId="0B56805F" w14:textId="45CCF6D7" w:rsidR="00E815B8" w:rsidRPr="00F37D2F" w:rsidRDefault="00E815B8" w:rsidP="00E815B8">
            <w:pPr>
              <w:jc w:val="center"/>
              <w:rPr>
                <w:rFonts w:ascii="Arial" w:hAnsi="Arial" w:cs="Arial"/>
                <w:color w:val="000000" w:themeColor="text1"/>
                <w:sz w:val="20"/>
                <w:szCs w:val="20"/>
              </w:rPr>
            </w:pPr>
            <w:r>
              <w:rPr>
                <w:rFonts w:ascii="Arial" w:hAnsi="Arial" w:cs="Arial"/>
                <w:sz w:val="20"/>
                <w:szCs w:val="20"/>
              </w:rPr>
              <w:t>278,089</w:t>
            </w:r>
          </w:p>
        </w:tc>
        <w:tc>
          <w:tcPr>
            <w:tcW w:w="1170" w:type="dxa"/>
            <w:vAlign w:val="center"/>
          </w:tcPr>
          <w:p w14:paraId="108778AF" w14:textId="63267DE1" w:rsidR="00E815B8" w:rsidRPr="00F37D2F" w:rsidRDefault="00E815B8" w:rsidP="00E815B8">
            <w:pPr>
              <w:jc w:val="center"/>
              <w:rPr>
                <w:rFonts w:ascii="Arial" w:hAnsi="Arial" w:cs="Arial"/>
                <w:color w:val="000000" w:themeColor="text1"/>
                <w:sz w:val="20"/>
                <w:szCs w:val="20"/>
              </w:rPr>
            </w:pPr>
            <w:r>
              <w:rPr>
                <w:rFonts w:ascii="Arial" w:hAnsi="Arial" w:cs="Arial"/>
                <w:sz w:val="20"/>
                <w:szCs w:val="20"/>
              </w:rPr>
              <w:t>280,240</w:t>
            </w:r>
          </w:p>
        </w:tc>
        <w:tc>
          <w:tcPr>
            <w:tcW w:w="1090" w:type="dxa"/>
            <w:vAlign w:val="center"/>
          </w:tcPr>
          <w:p w14:paraId="382D7F95" w14:textId="2FEEE1B5" w:rsidR="00E815B8" w:rsidRPr="00184A4F" w:rsidRDefault="00E815B8" w:rsidP="00E815B8">
            <w:pPr>
              <w:jc w:val="center"/>
              <w:rPr>
                <w:rFonts w:ascii="Arial" w:hAnsi="Arial" w:cs="Arial"/>
                <w:sz w:val="20"/>
                <w:szCs w:val="20"/>
              </w:rPr>
            </w:pPr>
          </w:p>
        </w:tc>
      </w:tr>
      <w:tr w:rsidR="00E815B8" w:rsidRPr="00793F94" w14:paraId="35C2CB16" w14:textId="77777777" w:rsidTr="00EA1956">
        <w:trPr>
          <w:trHeight w:val="460"/>
        </w:trPr>
        <w:tc>
          <w:tcPr>
            <w:tcW w:w="5570" w:type="dxa"/>
            <w:shd w:val="clear" w:color="auto" w:fill="auto"/>
            <w:vAlign w:val="center"/>
          </w:tcPr>
          <w:p w14:paraId="206B6B11" w14:textId="77777777" w:rsidR="00E815B8" w:rsidRPr="00F37D2F" w:rsidRDefault="00E815B8" w:rsidP="00E815B8">
            <w:pPr>
              <w:pStyle w:val="ListParagraph"/>
              <w:numPr>
                <w:ilvl w:val="0"/>
                <w:numId w:val="15"/>
              </w:numPr>
              <w:rPr>
                <w:rFonts w:ascii="Arial" w:hAnsi="Arial" w:cs="Arial"/>
                <w:sz w:val="20"/>
                <w:szCs w:val="20"/>
              </w:rPr>
            </w:pPr>
            <w:r w:rsidRPr="607C4A4B">
              <w:rPr>
                <w:rFonts w:ascii="Arial" w:hAnsi="Arial" w:cs="Arial"/>
                <w:sz w:val="20"/>
                <w:szCs w:val="20"/>
              </w:rPr>
              <w:t xml:space="preserve">UI – Number of Employers Covered by Unemployment Insurance Laws </w:t>
            </w:r>
          </w:p>
        </w:tc>
        <w:tc>
          <w:tcPr>
            <w:tcW w:w="1170" w:type="dxa"/>
            <w:vAlign w:val="center"/>
          </w:tcPr>
          <w:p w14:paraId="53F71E0D" w14:textId="6E5F0B8B" w:rsidR="00E815B8" w:rsidRPr="00F37D2F" w:rsidRDefault="00E815B8" w:rsidP="00E815B8">
            <w:pPr>
              <w:jc w:val="center"/>
              <w:rPr>
                <w:rFonts w:ascii="Arial" w:hAnsi="Arial" w:cs="Arial"/>
                <w:color w:val="000000" w:themeColor="text1"/>
                <w:sz w:val="20"/>
                <w:szCs w:val="20"/>
              </w:rPr>
            </w:pPr>
            <w:r w:rsidRPr="00184A4F">
              <w:rPr>
                <w:rFonts w:ascii="Arial" w:hAnsi="Arial" w:cs="Arial"/>
                <w:sz w:val="20"/>
                <w:szCs w:val="20"/>
              </w:rPr>
              <w:t>74,882</w:t>
            </w:r>
          </w:p>
        </w:tc>
        <w:tc>
          <w:tcPr>
            <w:tcW w:w="1080" w:type="dxa"/>
            <w:vAlign w:val="center"/>
          </w:tcPr>
          <w:p w14:paraId="4A48BF60" w14:textId="4F4AC10A" w:rsidR="00E815B8" w:rsidRPr="00F37D2F" w:rsidRDefault="00E815B8" w:rsidP="00E815B8">
            <w:pPr>
              <w:jc w:val="center"/>
              <w:rPr>
                <w:rFonts w:ascii="Arial" w:hAnsi="Arial" w:cs="Arial"/>
                <w:color w:val="000000" w:themeColor="text1"/>
                <w:sz w:val="20"/>
                <w:szCs w:val="20"/>
              </w:rPr>
            </w:pPr>
            <w:r>
              <w:rPr>
                <w:rFonts w:ascii="Arial" w:hAnsi="Arial" w:cs="Arial"/>
                <w:sz w:val="20"/>
                <w:szCs w:val="20"/>
              </w:rPr>
              <w:t>80,956</w:t>
            </w:r>
          </w:p>
        </w:tc>
        <w:tc>
          <w:tcPr>
            <w:tcW w:w="1170" w:type="dxa"/>
            <w:vAlign w:val="center"/>
          </w:tcPr>
          <w:p w14:paraId="63E299DE" w14:textId="01DC8C0E" w:rsidR="00E815B8" w:rsidRPr="00F37D2F" w:rsidRDefault="00E815B8" w:rsidP="00E815B8">
            <w:pPr>
              <w:jc w:val="center"/>
              <w:rPr>
                <w:rFonts w:ascii="Arial" w:hAnsi="Arial" w:cs="Arial"/>
                <w:color w:val="000000" w:themeColor="text1"/>
                <w:sz w:val="20"/>
                <w:szCs w:val="20"/>
              </w:rPr>
            </w:pPr>
            <w:r w:rsidRPr="00A71A97">
              <w:rPr>
                <w:rFonts w:ascii="Arial" w:hAnsi="Arial" w:cs="Arial"/>
                <w:sz w:val="20"/>
                <w:szCs w:val="20"/>
              </w:rPr>
              <w:t>83,384</w:t>
            </w:r>
          </w:p>
        </w:tc>
        <w:tc>
          <w:tcPr>
            <w:tcW w:w="1090" w:type="dxa"/>
            <w:vAlign w:val="center"/>
          </w:tcPr>
          <w:p w14:paraId="0735CB3E" w14:textId="11DB3AC6" w:rsidR="00E815B8" w:rsidRPr="00184A4F" w:rsidRDefault="00E815B8" w:rsidP="00E815B8">
            <w:pPr>
              <w:jc w:val="center"/>
              <w:rPr>
                <w:rFonts w:ascii="Arial" w:hAnsi="Arial" w:cs="Arial"/>
                <w:sz w:val="20"/>
                <w:szCs w:val="20"/>
              </w:rPr>
            </w:pPr>
          </w:p>
        </w:tc>
      </w:tr>
      <w:tr w:rsidR="00E815B8" w:rsidRPr="00793F94" w14:paraId="39A49A49" w14:textId="77777777" w:rsidTr="00EA1956">
        <w:trPr>
          <w:trHeight w:val="460"/>
        </w:trPr>
        <w:tc>
          <w:tcPr>
            <w:tcW w:w="5570" w:type="dxa"/>
            <w:shd w:val="clear" w:color="auto" w:fill="auto"/>
            <w:vAlign w:val="center"/>
          </w:tcPr>
          <w:p w14:paraId="0CF5E25D" w14:textId="14A7B64A" w:rsidR="00E815B8" w:rsidRPr="00593818" w:rsidRDefault="00E815B8" w:rsidP="00E815B8">
            <w:pPr>
              <w:pStyle w:val="ListParagraph"/>
              <w:numPr>
                <w:ilvl w:val="0"/>
                <w:numId w:val="15"/>
              </w:numPr>
              <w:rPr>
                <w:rFonts w:ascii="Arial" w:hAnsi="Arial" w:cs="Arial"/>
                <w:sz w:val="20"/>
                <w:szCs w:val="20"/>
              </w:rPr>
            </w:pPr>
            <w:r w:rsidRPr="607C4A4B">
              <w:rPr>
                <w:rFonts w:ascii="Arial" w:hAnsi="Arial" w:cs="Arial"/>
                <w:sz w:val="20"/>
                <w:szCs w:val="20"/>
              </w:rPr>
              <w:t xml:space="preserve">ES - Individuals Registered for Employment </w:t>
            </w:r>
            <w:r>
              <w:rPr>
                <w:rFonts w:ascii="Arial" w:hAnsi="Arial" w:cs="Arial"/>
                <w:sz w:val="20"/>
                <w:szCs w:val="20"/>
              </w:rPr>
              <w:t>S</w:t>
            </w:r>
            <w:r w:rsidRPr="607C4A4B">
              <w:rPr>
                <w:rFonts w:ascii="Arial" w:hAnsi="Arial" w:cs="Arial"/>
                <w:sz w:val="20"/>
                <w:szCs w:val="20"/>
              </w:rPr>
              <w:t>ervices</w:t>
            </w:r>
            <w:r>
              <w:rPr>
                <w:rFonts w:ascii="Arial" w:hAnsi="Arial" w:cs="Arial"/>
                <w:sz w:val="20"/>
                <w:szCs w:val="20"/>
              </w:rPr>
              <w:t>***</w:t>
            </w:r>
          </w:p>
        </w:tc>
        <w:tc>
          <w:tcPr>
            <w:tcW w:w="1170" w:type="dxa"/>
            <w:vAlign w:val="center"/>
          </w:tcPr>
          <w:p w14:paraId="4FF9B551" w14:textId="5FE30764" w:rsidR="00E815B8" w:rsidRPr="00593818" w:rsidRDefault="00E815B8" w:rsidP="00E815B8">
            <w:pPr>
              <w:jc w:val="center"/>
              <w:rPr>
                <w:rFonts w:ascii="Arial" w:hAnsi="Arial" w:cs="Arial"/>
                <w:color w:val="000000" w:themeColor="text1"/>
                <w:sz w:val="20"/>
                <w:szCs w:val="20"/>
              </w:rPr>
            </w:pPr>
            <w:r w:rsidRPr="00D90339">
              <w:rPr>
                <w:rFonts w:ascii="Arial" w:hAnsi="Arial" w:cs="Arial"/>
                <w:color w:val="000000" w:themeColor="text1"/>
                <w:sz w:val="20"/>
                <w:szCs w:val="20"/>
              </w:rPr>
              <w:t>34,418</w:t>
            </w:r>
          </w:p>
        </w:tc>
        <w:tc>
          <w:tcPr>
            <w:tcW w:w="1080" w:type="dxa"/>
            <w:vAlign w:val="center"/>
          </w:tcPr>
          <w:p w14:paraId="39ADD2B9" w14:textId="239F655B" w:rsidR="00E815B8" w:rsidRPr="00593818" w:rsidRDefault="00E815B8" w:rsidP="00E815B8">
            <w:pPr>
              <w:jc w:val="center"/>
              <w:rPr>
                <w:rFonts w:ascii="Arial" w:hAnsi="Arial" w:cs="Arial"/>
                <w:color w:val="000000" w:themeColor="text1"/>
                <w:sz w:val="20"/>
                <w:szCs w:val="20"/>
              </w:rPr>
            </w:pPr>
            <w:r w:rsidRPr="004E252F">
              <w:rPr>
                <w:rFonts w:ascii="Arial" w:hAnsi="Arial" w:cs="Arial"/>
                <w:color w:val="000000" w:themeColor="text1"/>
                <w:sz w:val="20"/>
                <w:szCs w:val="20"/>
              </w:rPr>
              <w:t>35,825</w:t>
            </w:r>
          </w:p>
        </w:tc>
        <w:tc>
          <w:tcPr>
            <w:tcW w:w="1170" w:type="dxa"/>
            <w:vAlign w:val="center"/>
          </w:tcPr>
          <w:p w14:paraId="5C79C511" w14:textId="35001D0A" w:rsidR="00E815B8" w:rsidRPr="00593818" w:rsidRDefault="00E815B8" w:rsidP="00E815B8">
            <w:pPr>
              <w:jc w:val="center"/>
              <w:rPr>
                <w:rFonts w:ascii="Arial" w:hAnsi="Arial" w:cs="Arial"/>
                <w:color w:val="000000" w:themeColor="text1"/>
                <w:sz w:val="20"/>
                <w:szCs w:val="20"/>
              </w:rPr>
            </w:pPr>
            <w:r>
              <w:rPr>
                <w:rFonts w:ascii="Arial" w:hAnsi="Arial" w:cs="Arial"/>
                <w:color w:val="000000" w:themeColor="text1"/>
                <w:sz w:val="20"/>
                <w:szCs w:val="20"/>
              </w:rPr>
              <w:t>42,776</w:t>
            </w:r>
          </w:p>
        </w:tc>
        <w:tc>
          <w:tcPr>
            <w:tcW w:w="1090" w:type="dxa"/>
            <w:vAlign w:val="center"/>
          </w:tcPr>
          <w:p w14:paraId="468A106A" w14:textId="7BE7C4BC" w:rsidR="00E815B8" w:rsidRPr="00F70187" w:rsidRDefault="00E815B8" w:rsidP="00E815B8">
            <w:pPr>
              <w:jc w:val="center"/>
              <w:rPr>
                <w:rFonts w:ascii="Arial" w:hAnsi="Arial" w:cs="Arial"/>
                <w:color w:val="000000" w:themeColor="text1"/>
                <w:sz w:val="20"/>
                <w:szCs w:val="20"/>
              </w:rPr>
            </w:pPr>
          </w:p>
        </w:tc>
      </w:tr>
      <w:tr w:rsidR="00E815B8" w:rsidRPr="00793F94" w14:paraId="4589F9DE" w14:textId="77777777" w:rsidTr="00EA1956">
        <w:trPr>
          <w:trHeight w:val="460"/>
        </w:trPr>
        <w:tc>
          <w:tcPr>
            <w:tcW w:w="5570" w:type="dxa"/>
            <w:shd w:val="clear" w:color="auto" w:fill="auto"/>
            <w:vAlign w:val="center"/>
          </w:tcPr>
          <w:p w14:paraId="7ABFABF2" w14:textId="77777777" w:rsidR="00E815B8" w:rsidRPr="00593818" w:rsidRDefault="00E815B8" w:rsidP="00E815B8">
            <w:pPr>
              <w:pStyle w:val="ListParagraph"/>
              <w:numPr>
                <w:ilvl w:val="0"/>
                <w:numId w:val="15"/>
              </w:numPr>
              <w:rPr>
                <w:rFonts w:ascii="Arial" w:hAnsi="Arial" w:cs="Arial"/>
                <w:sz w:val="20"/>
                <w:szCs w:val="20"/>
              </w:rPr>
            </w:pPr>
            <w:r w:rsidRPr="607C4A4B">
              <w:rPr>
                <w:rFonts w:ascii="Arial" w:hAnsi="Arial" w:cs="Arial"/>
                <w:sz w:val="20"/>
                <w:szCs w:val="20"/>
              </w:rPr>
              <w:t>ES - Job Openings Listed (Full-time permanent)</w:t>
            </w:r>
          </w:p>
        </w:tc>
        <w:tc>
          <w:tcPr>
            <w:tcW w:w="1170" w:type="dxa"/>
            <w:vAlign w:val="center"/>
          </w:tcPr>
          <w:p w14:paraId="2634636B" w14:textId="6592530F" w:rsidR="00E815B8" w:rsidRPr="00593818" w:rsidRDefault="00E815B8" w:rsidP="00E815B8">
            <w:pPr>
              <w:jc w:val="center"/>
              <w:rPr>
                <w:rFonts w:ascii="Arial" w:hAnsi="Arial" w:cs="Arial"/>
                <w:color w:val="000000" w:themeColor="text1"/>
                <w:sz w:val="20"/>
                <w:szCs w:val="20"/>
              </w:rPr>
            </w:pPr>
            <w:r w:rsidRPr="00D90339">
              <w:rPr>
                <w:rFonts w:ascii="Arial" w:hAnsi="Arial" w:cs="Arial"/>
                <w:color w:val="000000" w:themeColor="text1"/>
                <w:sz w:val="20"/>
                <w:szCs w:val="20"/>
              </w:rPr>
              <w:t>285,750</w:t>
            </w:r>
          </w:p>
        </w:tc>
        <w:tc>
          <w:tcPr>
            <w:tcW w:w="1080" w:type="dxa"/>
            <w:vAlign w:val="center"/>
          </w:tcPr>
          <w:p w14:paraId="42D6C721" w14:textId="39895378" w:rsidR="00E815B8" w:rsidRPr="00593818" w:rsidRDefault="00E815B8" w:rsidP="00E815B8">
            <w:pPr>
              <w:jc w:val="center"/>
              <w:rPr>
                <w:rFonts w:ascii="Arial" w:hAnsi="Arial" w:cs="Arial"/>
                <w:color w:val="000000" w:themeColor="text1"/>
                <w:sz w:val="20"/>
                <w:szCs w:val="20"/>
              </w:rPr>
            </w:pPr>
            <w:r w:rsidRPr="004E252F">
              <w:rPr>
                <w:rFonts w:ascii="Arial" w:hAnsi="Arial" w:cs="Arial"/>
                <w:color w:val="000000" w:themeColor="text1"/>
                <w:sz w:val="20"/>
                <w:szCs w:val="20"/>
              </w:rPr>
              <w:t>224,307</w:t>
            </w:r>
          </w:p>
        </w:tc>
        <w:tc>
          <w:tcPr>
            <w:tcW w:w="1170" w:type="dxa"/>
            <w:vAlign w:val="center"/>
          </w:tcPr>
          <w:p w14:paraId="44A20CDD" w14:textId="64540772" w:rsidR="00E815B8" w:rsidRPr="00593818" w:rsidRDefault="00E815B8" w:rsidP="00E815B8">
            <w:pPr>
              <w:jc w:val="center"/>
              <w:rPr>
                <w:rFonts w:ascii="Arial" w:hAnsi="Arial" w:cs="Arial"/>
                <w:color w:val="000000" w:themeColor="text1"/>
                <w:sz w:val="20"/>
                <w:szCs w:val="20"/>
              </w:rPr>
            </w:pPr>
            <w:r>
              <w:rPr>
                <w:rFonts w:ascii="Arial" w:hAnsi="Arial" w:cs="Arial"/>
                <w:color w:val="000000" w:themeColor="text1"/>
                <w:sz w:val="20"/>
                <w:szCs w:val="20"/>
              </w:rPr>
              <w:t>194,721</w:t>
            </w:r>
          </w:p>
        </w:tc>
        <w:tc>
          <w:tcPr>
            <w:tcW w:w="1090" w:type="dxa"/>
            <w:vAlign w:val="center"/>
          </w:tcPr>
          <w:p w14:paraId="17D445E4" w14:textId="789EC635" w:rsidR="00E815B8" w:rsidRPr="00F70187" w:rsidRDefault="00E815B8" w:rsidP="00E815B8">
            <w:pPr>
              <w:jc w:val="center"/>
              <w:rPr>
                <w:rFonts w:ascii="Arial" w:hAnsi="Arial" w:cs="Arial"/>
                <w:color w:val="000000" w:themeColor="text1"/>
                <w:sz w:val="20"/>
                <w:szCs w:val="20"/>
              </w:rPr>
            </w:pPr>
          </w:p>
        </w:tc>
      </w:tr>
      <w:tr w:rsidR="00E815B8" w:rsidRPr="00793F94" w14:paraId="4EAE9CB7" w14:textId="77777777" w:rsidTr="00EA1956">
        <w:trPr>
          <w:trHeight w:val="460"/>
        </w:trPr>
        <w:tc>
          <w:tcPr>
            <w:tcW w:w="5570" w:type="dxa"/>
            <w:shd w:val="clear" w:color="auto" w:fill="auto"/>
            <w:vAlign w:val="center"/>
          </w:tcPr>
          <w:p w14:paraId="5943A2C6" w14:textId="77777777" w:rsidR="00E815B8" w:rsidRPr="00593818" w:rsidRDefault="00E815B8" w:rsidP="00E815B8">
            <w:pPr>
              <w:pStyle w:val="ListParagraph"/>
              <w:numPr>
                <w:ilvl w:val="0"/>
                <w:numId w:val="15"/>
              </w:numPr>
              <w:rPr>
                <w:rFonts w:ascii="Arial" w:hAnsi="Arial" w:cs="Arial"/>
                <w:sz w:val="20"/>
                <w:szCs w:val="20"/>
              </w:rPr>
            </w:pPr>
            <w:r w:rsidRPr="607C4A4B">
              <w:rPr>
                <w:rFonts w:ascii="Arial" w:hAnsi="Arial" w:cs="Arial"/>
                <w:sz w:val="20"/>
                <w:szCs w:val="20"/>
              </w:rPr>
              <w:t xml:space="preserve">WIOA - Adult Customers Served </w:t>
            </w:r>
          </w:p>
        </w:tc>
        <w:tc>
          <w:tcPr>
            <w:tcW w:w="1170" w:type="dxa"/>
            <w:vAlign w:val="center"/>
          </w:tcPr>
          <w:p w14:paraId="12C859B4" w14:textId="716380F3" w:rsidR="00E815B8" w:rsidRPr="00593818" w:rsidRDefault="00E815B8" w:rsidP="00E815B8">
            <w:pPr>
              <w:jc w:val="center"/>
              <w:rPr>
                <w:rFonts w:ascii="Arial" w:hAnsi="Arial" w:cs="Arial"/>
                <w:sz w:val="20"/>
                <w:szCs w:val="20"/>
              </w:rPr>
            </w:pPr>
            <w:r>
              <w:rPr>
                <w:rFonts w:ascii="Arial" w:hAnsi="Arial" w:cs="Arial"/>
                <w:sz w:val="20"/>
                <w:szCs w:val="20"/>
              </w:rPr>
              <w:t>N/A</w:t>
            </w:r>
            <w:r w:rsidRPr="0060638B">
              <w:rPr>
                <w:rFonts w:ascii="Arial" w:hAnsi="Arial" w:cs="Arial"/>
                <w:sz w:val="18"/>
                <w:szCs w:val="18"/>
              </w:rPr>
              <w:t>****</w:t>
            </w:r>
          </w:p>
        </w:tc>
        <w:tc>
          <w:tcPr>
            <w:tcW w:w="1080" w:type="dxa"/>
            <w:vAlign w:val="center"/>
          </w:tcPr>
          <w:p w14:paraId="2B2604B7" w14:textId="1156EF94" w:rsidR="00E815B8" w:rsidRPr="00593818" w:rsidRDefault="00E815B8" w:rsidP="00E815B8">
            <w:pPr>
              <w:jc w:val="center"/>
              <w:rPr>
                <w:rFonts w:ascii="Arial" w:hAnsi="Arial" w:cs="Arial"/>
                <w:sz w:val="20"/>
                <w:szCs w:val="20"/>
              </w:rPr>
            </w:pPr>
            <w:r>
              <w:rPr>
                <w:rFonts w:ascii="Arial" w:hAnsi="Arial" w:cs="Arial"/>
                <w:sz w:val="20"/>
                <w:szCs w:val="20"/>
              </w:rPr>
              <w:t>N/A</w:t>
            </w:r>
            <w:r w:rsidRPr="0060638B">
              <w:rPr>
                <w:rFonts w:ascii="Arial" w:hAnsi="Arial" w:cs="Arial"/>
                <w:sz w:val="18"/>
                <w:szCs w:val="18"/>
              </w:rPr>
              <w:t>****</w:t>
            </w:r>
          </w:p>
        </w:tc>
        <w:tc>
          <w:tcPr>
            <w:tcW w:w="1170" w:type="dxa"/>
            <w:vAlign w:val="center"/>
          </w:tcPr>
          <w:p w14:paraId="6C8FAE67" w14:textId="4F31B9A3" w:rsidR="00E815B8" w:rsidRPr="00593818" w:rsidRDefault="00E815B8" w:rsidP="00E815B8">
            <w:pPr>
              <w:jc w:val="center"/>
              <w:rPr>
                <w:rFonts w:ascii="Arial" w:hAnsi="Arial" w:cs="Arial"/>
                <w:sz w:val="20"/>
                <w:szCs w:val="20"/>
              </w:rPr>
            </w:pPr>
            <w:r>
              <w:rPr>
                <w:rFonts w:ascii="Arial" w:hAnsi="Arial" w:cs="Arial"/>
                <w:sz w:val="20"/>
                <w:szCs w:val="20"/>
              </w:rPr>
              <w:t>N/A</w:t>
            </w:r>
            <w:r w:rsidRPr="0060638B">
              <w:rPr>
                <w:rFonts w:ascii="Arial" w:hAnsi="Arial" w:cs="Arial"/>
                <w:sz w:val="18"/>
                <w:szCs w:val="18"/>
              </w:rPr>
              <w:t>****</w:t>
            </w:r>
          </w:p>
        </w:tc>
        <w:tc>
          <w:tcPr>
            <w:tcW w:w="1090" w:type="dxa"/>
            <w:vAlign w:val="center"/>
          </w:tcPr>
          <w:p w14:paraId="5F22A206" w14:textId="10EC947F" w:rsidR="00E815B8" w:rsidRPr="00D90339" w:rsidRDefault="00E815B8" w:rsidP="00E815B8">
            <w:pPr>
              <w:jc w:val="center"/>
              <w:rPr>
                <w:rFonts w:ascii="Arial" w:hAnsi="Arial" w:cs="Arial"/>
                <w:sz w:val="20"/>
                <w:szCs w:val="20"/>
              </w:rPr>
            </w:pPr>
          </w:p>
        </w:tc>
      </w:tr>
      <w:tr w:rsidR="00E815B8" w:rsidRPr="00793F94" w14:paraId="078B082B" w14:textId="77777777" w:rsidTr="00EA1956">
        <w:trPr>
          <w:trHeight w:val="460"/>
        </w:trPr>
        <w:tc>
          <w:tcPr>
            <w:tcW w:w="5570" w:type="dxa"/>
            <w:shd w:val="clear" w:color="auto" w:fill="auto"/>
            <w:vAlign w:val="center"/>
          </w:tcPr>
          <w:p w14:paraId="1BBEFED6" w14:textId="77777777" w:rsidR="00E815B8" w:rsidRPr="00593818" w:rsidRDefault="00E815B8" w:rsidP="00E815B8">
            <w:pPr>
              <w:pStyle w:val="ListParagraph"/>
              <w:numPr>
                <w:ilvl w:val="0"/>
                <w:numId w:val="15"/>
              </w:numPr>
              <w:rPr>
                <w:rFonts w:ascii="Arial" w:hAnsi="Arial" w:cs="Arial"/>
                <w:sz w:val="20"/>
                <w:szCs w:val="20"/>
              </w:rPr>
            </w:pPr>
            <w:r w:rsidRPr="607C4A4B">
              <w:rPr>
                <w:rFonts w:ascii="Arial" w:hAnsi="Arial" w:cs="Arial"/>
                <w:sz w:val="20"/>
                <w:szCs w:val="20"/>
              </w:rPr>
              <w:t>WIOA - Dislocated Worker Customers Served</w:t>
            </w:r>
          </w:p>
        </w:tc>
        <w:tc>
          <w:tcPr>
            <w:tcW w:w="1170" w:type="dxa"/>
            <w:vAlign w:val="center"/>
          </w:tcPr>
          <w:p w14:paraId="09430FDE" w14:textId="69FC9FAE" w:rsidR="00E815B8" w:rsidRPr="00593818" w:rsidRDefault="00E815B8" w:rsidP="00E815B8">
            <w:pPr>
              <w:jc w:val="center"/>
              <w:rPr>
                <w:rFonts w:ascii="Arial" w:hAnsi="Arial" w:cs="Arial"/>
                <w:sz w:val="20"/>
                <w:szCs w:val="20"/>
              </w:rPr>
            </w:pPr>
            <w:r>
              <w:rPr>
                <w:rFonts w:ascii="Arial" w:hAnsi="Arial" w:cs="Arial"/>
                <w:sz w:val="20"/>
                <w:szCs w:val="20"/>
              </w:rPr>
              <w:t>N/A</w:t>
            </w:r>
            <w:r w:rsidRPr="0060638B">
              <w:rPr>
                <w:rFonts w:ascii="Arial" w:hAnsi="Arial" w:cs="Arial"/>
                <w:sz w:val="18"/>
                <w:szCs w:val="18"/>
              </w:rPr>
              <w:t>****</w:t>
            </w:r>
          </w:p>
        </w:tc>
        <w:tc>
          <w:tcPr>
            <w:tcW w:w="1080" w:type="dxa"/>
            <w:vAlign w:val="center"/>
          </w:tcPr>
          <w:p w14:paraId="6CC46CFF" w14:textId="1B86BF6A" w:rsidR="00E815B8" w:rsidRPr="00593818" w:rsidRDefault="00E815B8" w:rsidP="00E815B8">
            <w:pPr>
              <w:jc w:val="center"/>
              <w:rPr>
                <w:rFonts w:ascii="Arial" w:hAnsi="Arial" w:cs="Arial"/>
                <w:sz w:val="20"/>
                <w:szCs w:val="20"/>
              </w:rPr>
            </w:pPr>
            <w:r>
              <w:rPr>
                <w:rFonts w:ascii="Arial" w:hAnsi="Arial" w:cs="Arial"/>
                <w:sz w:val="20"/>
                <w:szCs w:val="20"/>
              </w:rPr>
              <w:t>N/A</w:t>
            </w:r>
            <w:r w:rsidRPr="0060638B">
              <w:rPr>
                <w:rFonts w:ascii="Arial" w:hAnsi="Arial" w:cs="Arial"/>
                <w:sz w:val="18"/>
                <w:szCs w:val="18"/>
              </w:rPr>
              <w:t>****</w:t>
            </w:r>
          </w:p>
        </w:tc>
        <w:tc>
          <w:tcPr>
            <w:tcW w:w="1170" w:type="dxa"/>
            <w:vAlign w:val="center"/>
          </w:tcPr>
          <w:p w14:paraId="46965910" w14:textId="1B69F9E3" w:rsidR="00E815B8" w:rsidRPr="00593818" w:rsidRDefault="00E815B8" w:rsidP="00E815B8">
            <w:pPr>
              <w:jc w:val="center"/>
              <w:rPr>
                <w:rFonts w:ascii="Arial" w:hAnsi="Arial" w:cs="Arial"/>
                <w:sz w:val="20"/>
                <w:szCs w:val="20"/>
              </w:rPr>
            </w:pPr>
            <w:r>
              <w:rPr>
                <w:rFonts w:ascii="Arial" w:hAnsi="Arial" w:cs="Arial"/>
                <w:sz w:val="20"/>
                <w:szCs w:val="20"/>
              </w:rPr>
              <w:t>N/A</w:t>
            </w:r>
            <w:r w:rsidRPr="0060638B">
              <w:rPr>
                <w:rFonts w:ascii="Arial" w:hAnsi="Arial" w:cs="Arial"/>
                <w:sz w:val="18"/>
                <w:szCs w:val="18"/>
              </w:rPr>
              <w:t>****</w:t>
            </w:r>
          </w:p>
        </w:tc>
        <w:tc>
          <w:tcPr>
            <w:tcW w:w="1090" w:type="dxa"/>
            <w:vAlign w:val="center"/>
          </w:tcPr>
          <w:p w14:paraId="10E3A058" w14:textId="48C1ADFF" w:rsidR="00E815B8" w:rsidRPr="00D90339" w:rsidRDefault="00E815B8" w:rsidP="00E815B8">
            <w:pPr>
              <w:jc w:val="center"/>
              <w:rPr>
                <w:rFonts w:ascii="Arial" w:hAnsi="Arial" w:cs="Arial"/>
                <w:sz w:val="20"/>
                <w:szCs w:val="20"/>
              </w:rPr>
            </w:pPr>
          </w:p>
        </w:tc>
      </w:tr>
      <w:tr w:rsidR="00E815B8" w:rsidRPr="00793F94" w14:paraId="4788481C" w14:textId="77777777" w:rsidTr="00EA1956">
        <w:trPr>
          <w:trHeight w:val="460"/>
        </w:trPr>
        <w:tc>
          <w:tcPr>
            <w:tcW w:w="5570" w:type="dxa"/>
            <w:shd w:val="clear" w:color="auto" w:fill="auto"/>
            <w:vAlign w:val="center"/>
          </w:tcPr>
          <w:p w14:paraId="7BC515EF" w14:textId="77777777" w:rsidR="00E815B8" w:rsidRPr="00593818" w:rsidRDefault="00E815B8" w:rsidP="00E815B8">
            <w:pPr>
              <w:pStyle w:val="ListParagraph"/>
              <w:numPr>
                <w:ilvl w:val="0"/>
                <w:numId w:val="15"/>
              </w:numPr>
              <w:rPr>
                <w:rFonts w:ascii="Arial" w:hAnsi="Arial" w:cs="Arial"/>
                <w:sz w:val="20"/>
                <w:szCs w:val="20"/>
              </w:rPr>
            </w:pPr>
            <w:r w:rsidRPr="607C4A4B">
              <w:rPr>
                <w:rFonts w:ascii="Arial" w:hAnsi="Arial" w:cs="Arial"/>
                <w:sz w:val="20"/>
                <w:szCs w:val="20"/>
              </w:rPr>
              <w:lastRenderedPageBreak/>
              <w:t>WIOA - Youth Customers Served</w:t>
            </w:r>
          </w:p>
        </w:tc>
        <w:tc>
          <w:tcPr>
            <w:tcW w:w="1170" w:type="dxa"/>
            <w:vAlign w:val="center"/>
          </w:tcPr>
          <w:p w14:paraId="52E77A7E" w14:textId="53C64377" w:rsidR="00E815B8" w:rsidRPr="00593818" w:rsidRDefault="00E815B8" w:rsidP="00E815B8">
            <w:pPr>
              <w:jc w:val="center"/>
              <w:rPr>
                <w:rFonts w:ascii="Arial" w:hAnsi="Arial" w:cs="Arial"/>
                <w:sz w:val="20"/>
                <w:szCs w:val="20"/>
              </w:rPr>
            </w:pPr>
            <w:r w:rsidRPr="00D90339">
              <w:rPr>
                <w:rFonts w:ascii="Arial" w:hAnsi="Arial" w:cs="Arial"/>
                <w:sz w:val="20"/>
                <w:szCs w:val="20"/>
              </w:rPr>
              <w:t>674</w:t>
            </w:r>
          </w:p>
        </w:tc>
        <w:tc>
          <w:tcPr>
            <w:tcW w:w="1080" w:type="dxa"/>
            <w:vAlign w:val="center"/>
          </w:tcPr>
          <w:p w14:paraId="1553199B" w14:textId="781715A7" w:rsidR="00E815B8" w:rsidRPr="00593818" w:rsidRDefault="00E815B8" w:rsidP="00E815B8">
            <w:pPr>
              <w:jc w:val="center"/>
              <w:rPr>
                <w:rFonts w:ascii="Arial" w:hAnsi="Arial" w:cs="Arial"/>
                <w:sz w:val="20"/>
                <w:szCs w:val="20"/>
              </w:rPr>
            </w:pPr>
            <w:r>
              <w:rPr>
                <w:rFonts w:ascii="Arial" w:hAnsi="Arial" w:cs="Arial"/>
                <w:sz w:val="20"/>
                <w:szCs w:val="20"/>
              </w:rPr>
              <w:t>748</w:t>
            </w:r>
          </w:p>
        </w:tc>
        <w:tc>
          <w:tcPr>
            <w:tcW w:w="1170" w:type="dxa"/>
            <w:vAlign w:val="center"/>
          </w:tcPr>
          <w:p w14:paraId="3009FD04" w14:textId="28A69750" w:rsidR="00E815B8" w:rsidRPr="00593818" w:rsidRDefault="00E815B8" w:rsidP="00E815B8">
            <w:pPr>
              <w:jc w:val="center"/>
              <w:rPr>
                <w:rFonts w:ascii="Arial" w:hAnsi="Arial" w:cs="Arial"/>
                <w:sz w:val="20"/>
                <w:szCs w:val="20"/>
              </w:rPr>
            </w:pPr>
            <w:r>
              <w:rPr>
                <w:rFonts w:ascii="Arial" w:hAnsi="Arial" w:cs="Arial"/>
                <w:sz w:val="20"/>
                <w:szCs w:val="20"/>
              </w:rPr>
              <w:t>616</w:t>
            </w:r>
          </w:p>
        </w:tc>
        <w:tc>
          <w:tcPr>
            <w:tcW w:w="1090" w:type="dxa"/>
            <w:vAlign w:val="center"/>
          </w:tcPr>
          <w:p w14:paraId="0A3C54A7" w14:textId="5B231170" w:rsidR="00E815B8" w:rsidRPr="00D90339" w:rsidRDefault="00E815B8" w:rsidP="00E815B8">
            <w:pPr>
              <w:jc w:val="center"/>
              <w:rPr>
                <w:rFonts w:ascii="Arial" w:hAnsi="Arial" w:cs="Arial"/>
                <w:sz w:val="20"/>
                <w:szCs w:val="20"/>
              </w:rPr>
            </w:pPr>
          </w:p>
        </w:tc>
      </w:tr>
      <w:tr w:rsidR="00E815B8" w:rsidRPr="00BD74AE" w14:paraId="7FE6684A" w14:textId="77777777" w:rsidTr="00EA1956">
        <w:trPr>
          <w:trHeight w:val="460"/>
        </w:trPr>
        <w:tc>
          <w:tcPr>
            <w:tcW w:w="5570" w:type="dxa"/>
            <w:shd w:val="clear" w:color="auto" w:fill="auto"/>
            <w:vAlign w:val="center"/>
          </w:tcPr>
          <w:p w14:paraId="524331EA" w14:textId="0108FFD1" w:rsidR="00E815B8" w:rsidRPr="000B3C88" w:rsidRDefault="00E815B8" w:rsidP="00E815B8">
            <w:pPr>
              <w:pStyle w:val="ListParagraph"/>
              <w:numPr>
                <w:ilvl w:val="0"/>
                <w:numId w:val="15"/>
              </w:numPr>
              <w:rPr>
                <w:rFonts w:ascii="Arial" w:hAnsi="Arial" w:cs="Arial"/>
                <w:sz w:val="20"/>
                <w:szCs w:val="20"/>
              </w:rPr>
            </w:pPr>
            <w:bookmarkStart w:id="2" w:name="_Hlk110937550"/>
            <w:r w:rsidRPr="607C4A4B">
              <w:rPr>
                <w:rFonts w:ascii="Arial" w:hAnsi="Arial" w:cs="Arial"/>
                <w:sz w:val="20"/>
                <w:szCs w:val="20"/>
              </w:rPr>
              <w:t xml:space="preserve">Wage </w:t>
            </w:r>
            <w:r>
              <w:rPr>
                <w:rFonts w:ascii="Arial" w:hAnsi="Arial" w:cs="Arial"/>
                <w:sz w:val="20"/>
                <w:szCs w:val="20"/>
              </w:rPr>
              <w:t>and</w:t>
            </w:r>
            <w:r w:rsidRPr="607C4A4B">
              <w:rPr>
                <w:rFonts w:ascii="Arial" w:hAnsi="Arial" w:cs="Arial"/>
                <w:sz w:val="20"/>
                <w:szCs w:val="20"/>
              </w:rPr>
              <w:t xml:space="preserve"> Hour – Employer / Employee Contacts </w:t>
            </w:r>
          </w:p>
        </w:tc>
        <w:tc>
          <w:tcPr>
            <w:tcW w:w="1170" w:type="dxa"/>
            <w:vAlign w:val="center"/>
          </w:tcPr>
          <w:p w14:paraId="76DEAC61" w14:textId="323B53DF" w:rsidR="00E815B8" w:rsidRPr="000B3C88" w:rsidRDefault="00E815B8" w:rsidP="00E815B8">
            <w:pPr>
              <w:jc w:val="center"/>
              <w:rPr>
                <w:rFonts w:ascii="Arial" w:hAnsi="Arial" w:cs="Arial"/>
                <w:color w:val="000000" w:themeColor="text1"/>
                <w:sz w:val="20"/>
                <w:szCs w:val="20"/>
              </w:rPr>
            </w:pPr>
            <w:r w:rsidRPr="004F4B57">
              <w:rPr>
                <w:rFonts w:ascii="Arial" w:hAnsi="Arial" w:cs="Arial"/>
                <w:color w:val="000000" w:themeColor="text1"/>
                <w:sz w:val="20"/>
                <w:szCs w:val="20"/>
              </w:rPr>
              <w:t>35,099</w:t>
            </w:r>
          </w:p>
        </w:tc>
        <w:tc>
          <w:tcPr>
            <w:tcW w:w="1080" w:type="dxa"/>
            <w:vAlign w:val="center"/>
          </w:tcPr>
          <w:p w14:paraId="5788054A" w14:textId="290D51ED" w:rsidR="00E815B8" w:rsidRPr="000B3C88" w:rsidRDefault="00E815B8" w:rsidP="00E815B8">
            <w:pPr>
              <w:jc w:val="center"/>
              <w:rPr>
                <w:rFonts w:ascii="Arial" w:hAnsi="Arial" w:cs="Arial"/>
                <w:color w:val="000000" w:themeColor="text1"/>
                <w:sz w:val="20"/>
                <w:szCs w:val="20"/>
              </w:rPr>
            </w:pPr>
            <w:r w:rsidRPr="001C5D38">
              <w:rPr>
                <w:rFonts w:ascii="Arial" w:hAnsi="Arial" w:cs="Arial"/>
                <w:color w:val="000000" w:themeColor="text1"/>
                <w:sz w:val="20"/>
                <w:szCs w:val="20"/>
              </w:rPr>
              <w:t>36,519</w:t>
            </w:r>
          </w:p>
        </w:tc>
        <w:tc>
          <w:tcPr>
            <w:tcW w:w="1170" w:type="dxa"/>
            <w:vAlign w:val="center"/>
          </w:tcPr>
          <w:p w14:paraId="183FD20F" w14:textId="7F0CC89C" w:rsidR="00E815B8" w:rsidRPr="000B3C88" w:rsidRDefault="00E815B8" w:rsidP="00E815B8">
            <w:pPr>
              <w:jc w:val="center"/>
              <w:rPr>
                <w:rFonts w:ascii="Arial" w:hAnsi="Arial" w:cs="Arial"/>
                <w:color w:val="000000" w:themeColor="text1"/>
                <w:sz w:val="20"/>
                <w:szCs w:val="20"/>
              </w:rPr>
            </w:pPr>
            <w:r>
              <w:rPr>
                <w:rFonts w:ascii="Arial" w:hAnsi="Arial" w:cs="Arial"/>
                <w:color w:val="000000" w:themeColor="text1"/>
                <w:sz w:val="20"/>
                <w:szCs w:val="20"/>
              </w:rPr>
              <w:t>35,932</w:t>
            </w:r>
          </w:p>
        </w:tc>
        <w:tc>
          <w:tcPr>
            <w:tcW w:w="1090" w:type="dxa"/>
            <w:vAlign w:val="center"/>
          </w:tcPr>
          <w:p w14:paraId="636A4BAF" w14:textId="47A9AEB8" w:rsidR="00E815B8" w:rsidRPr="00F70187" w:rsidRDefault="00E815B8" w:rsidP="00E815B8">
            <w:pPr>
              <w:jc w:val="center"/>
              <w:rPr>
                <w:rFonts w:ascii="Arial" w:hAnsi="Arial" w:cs="Arial"/>
                <w:color w:val="000000" w:themeColor="text1"/>
                <w:sz w:val="20"/>
                <w:szCs w:val="20"/>
              </w:rPr>
            </w:pPr>
          </w:p>
        </w:tc>
      </w:tr>
      <w:bookmarkEnd w:id="2"/>
      <w:tr w:rsidR="00E815B8" w:rsidRPr="001C34BE" w14:paraId="0648F050" w14:textId="77777777" w:rsidTr="00EA1956">
        <w:trPr>
          <w:trHeight w:val="460"/>
        </w:trPr>
        <w:tc>
          <w:tcPr>
            <w:tcW w:w="5570" w:type="dxa"/>
            <w:shd w:val="clear" w:color="auto" w:fill="auto"/>
            <w:vAlign w:val="center"/>
          </w:tcPr>
          <w:p w14:paraId="453BD86B" w14:textId="77777777" w:rsidR="00E815B8" w:rsidRPr="004C335F" w:rsidRDefault="00E815B8" w:rsidP="00E815B8">
            <w:pPr>
              <w:pStyle w:val="ListParagraph"/>
              <w:numPr>
                <w:ilvl w:val="0"/>
                <w:numId w:val="15"/>
              </w:numPr>
              <w:rPr>
                <w:rFonts w:ascii="Arial" w:hAnsi="Arial" w:cs="Arial"/>
                <w:sz w:val="20"/>
                <w:szCs w:val="20"/>
              </w:rPr>
            </w:pPr>
            <w:r w:rsidRPr="607C4A4B">
              <w:rPr>
                <w:rFonts w:ascii="Arial" w:hAnsi="Arial" w:cs="Arial"/>
                <w:sz w:val="20"/>
                <w:szCs w:val="20"/>
              </w:rPr>
              <w:t>Human Rights Commission – Administrative Cases Filed</w:t>
            </w:r>
          </w:p>
        </w:tc>
        <w:tc>
          <w:tcPr>
            <w:tcW w:w="1170" w:type="dxa"/>
            <w:vAlign w:val="center"/>
          </w:tcPr>
          <w:p w14:paraId="23EA4C53" w14:textId="473C40C7" w:rsidR="00E815B8" w:rsidRPr="004C335F" w:rsidRDefault="00E815B8" w:rsidP="00E815B8">
            <w:pPr>
              <w:jc w:val="center"/>
              <w:rPr>
                <w:rFonts w:ascii="Arial" w:hAnsi="Arial" w:cs="Arial"/>
                <w:color w:val="000000" w:themeColor="text1"/>
                <w:sz w:val="20"/>
                <w:szCs w:val="20"/>
              </w:rPr>
            </w:pPr>
            <w:r>
              <w:rPr>
                <w:rFonts w:ascii="Arial" w:hAnsi="Arial" w:cs="Arial"/>
                <w:color w:val="000000" w:themeColor="text1"/>
                <w:sz w:val="20"/>
                <w:szCs w:val="20"/>
              </w:rPr>
              <w:t>268</w:t>
            </w:r>
          </w:p>
        </w:tc>
        <w:tc>
          <w:tcPr>
            <w:tcW w:w="1080" w:type="dxa"/>
            <w:vAlign w:val="center"/>
          </w:tcPr>
          <w:p w14:paraId="6E7EE29E" w14:textId="6D8DDBDF" w:rsidR="00E815B8" w:rsidRPr="004C335F" w:rsidRDefault="00E815B8" w:rsidP="00E815B8">
            <w:pPr>
              <w:jc w:val="center"/>
              <w:rPr>
                <w:rFonts w:ascii="Arial" w:hAnsi="Arial" w:cs="Arial"/>
                <w:color w:val="000000" w:themeColor="text1"/>
                <w:sz w:val="20"/>
                <w:szCs w:val="20"/>
              </w:rPr>
            </w:pPr>
            <w:r>
              <w:rPr>
                <w:rFonts w:ascii="Arial" w:hAnsi="Arial" w:cs="Arial"/>
                <w:color w:val="000000" w:themeColor="text1"/>
                <w:sz w:val="20"/>
                <w:szCs w:val="20"/>
              </w:rPr>
              <w:t>355</w:t>
            </w:r>
          </w:p>
        </w:tc>
        <w:tc>
          <w:tcPr>
            <w:tcW w:w="1170" w:type="dxa"/>
            <w:vAlign w:val="center"/>
          </w:tcPr>
          <w:p w14:paraId="14C8B8C5" w14:textId="7638E216" w:rsidR="00E815B8" w:rsidRPr="004C335F" w:rsidRDefault="00E815B8" w:rsidP="00E815B8">
            <w:pPr>
              <w:jc w:val="center"/>
              <w:rPr>
                <w:rFonts w:ascii="Arial" w:hAnsi="Arial" w:cs="Arial"/>
                <w:color w:val="000000" w:themeColor="text1"/>
                <w:sz w:val="20"/>
                <w:szCs w:val="20"/>
              </w:rPr>
            </w:pPr>
            <w:r>
              <w:rPr>
                <w:rFonts w:ascii="Arial" w:hAnsi="Arial" w:cs="Arial"/>
                <w:color w:val="000000" w:themeColor="text1"/>
                <w:sz w:val="20"/>
                <w:szCs w:val="20"/>
              </w:rPr>
              <w:t>494</w:t>
            </w:r>
          </w:p>
        </w:tc>
        <w:tc>
          <w:tcPr>
            <w:tcW w:w="1090" w:type="dxa"/>
            <w:vAlign w:val="center"/>
          </w:tcPr>
          <w:p w14:paraId="73650A4C" w14:textId="66A402C5" w:rsidR="00E815B8" w:rsidRPr="00F70187" w:rsidRDefault="00E815B8" w:rsidP="00E815B8">
            <w:pPr>
              <w:jc w:val="center"/>
              <w:rPr>
                <w:rFonts w:ascii="Arial" w:hAnsi="Arial" w:cs="Arial"/>
                <w:color w:val="000000" w:themeColor="text1"/>
                <w:sz w:val="20"/>
                <w:szCs w:val="20"/>
              </w:rPr>
            </w:pPr>
          </w:p>
        </w:tc>
      </w:tr>
      <w:tr w:rsidR="00E815B8" w:rsidRPr="001C34BE" w14:paraId="54C0971E" w14:textId="77777777" w:rsidTr="00EA1956">
        <w:trPr>
          <w:trHeight w:val="460"/>
        </w:trPr>
        <w:tc>
          <w:tcPr>
            <w:tcW w:w="5570" w:type="dxa"/>
            <w:shd w:val="clear" w:color="auto" w:fill="auto"/>
            <w:vAlign w:val="center"/>
          </w:tcPr>
          <w:p w14:paraId="3737D35A" w14:textId="77777777" w:rsidR="00E815B8" w:rsidRPr="004C335F" w:rsidRDefault="00E815B8" w:rsidP="00E815B8">
            <w:pPr>
              <w:pStyle w:val="ListParagraph"/>
              <w:numPr>
                <w:ilvl w:val="0"/>
                <w:numId w:val="15"/>
              </w:numPr>
              <w:rPr>
                <w:rFonts w:ascii="Arial" w:hAnsi="Arial" w:cs="Arial"/>
                <w:sz w:val="20"/>
                <w:szCs w:val="20"/>
              </w:rPr>
            </w:pPr>
            <w:r w:rsidRPr="607C4A4B">
              <w:rPr>
                <w:rFonts w:ascii="Arial" w:hAnsi="Arial" w:cs="Arial"/>
                <w:sz w:val="20"/>
                <w:szCs w:val="20"/>
              </w:rPr>
              <w:t>Human Rights Commission – Public Presentations</w:t>
            </w:r>
          </w:p>
        </w:tc>
        <w:tc>
          <w:tcPr>
            <w:tcW w:w="1170" w:type="dxa"/>
            <w:vAlign w:val="center"/>
          </w:tcPr>
          <w:p w14:paraId="73B3F690" w14:textId="46C64C36" w:rsidR="00E815B8" w:rsidRPr="004C335F" w:rsidRDefault="00E815B8" w:rsidP="00E815B8">
            <w:pPr>
              <w:jc w:val="center"/>
              <w:rPr>
                <w:rFonts w:ascii="Arial" w:hAnsi="Arial" w:cs="Arial"/>
                <w:sz w:val="20"/>
                <w:szCs w:val="20"/>
              </w:rPr>
            </w:pPr>
            <w:r>
              <w:rPr>
                <w:rFonts w:ascii="Arial" w:hAnsi="Arial" w:cs="Arial"/>
                <w:sz w:val="20"/>
                <w:szCs w:val="20"/>
              </w:rPr>
              <w:t>16**</w:t>
            </w:r>
          </w:p>
        </w:tc>
        <w:tc>
          <w:tcPr>
            <w:tcW w:w="1080" w:type="dxa"/>
            <w:vAlign w:val="center"/>
          </w:tcPr>
          <w:p w14:paraId="5A06EE78" w14:textId="40667F38" w:rsidR="00E815B8" w:rsidRPr="004C335F" w:rsidRDefault="00E815B8" w:rsidP="00E815B8">
            <w:pPr>
              <w:jc w:val="center"/>
              <w:rPr>
                <w:rFonts w:ascii="Arial" w:hAnsi="Arial" w:cs="Arial"/>
                <w:color w:val="000000" w:themeColor="text1"/>
                <w:sz w:val="20"/>
                <w:szCs w:val="20"/>
              </w:rPr>
            </w:pPr>
            <w:r>
              <w:rPr>
                <w:rFonts w:ascii="Arial" w:hAnsi="Arial" w:cs="Arial"/>
                <w:sz w:val="20"/>
                <w:szCs w:val="20"/>
              </w:rPr>
              <w:t>58</w:t>
            </w:r>
          </w:p>
        </w:tc>
        <w:tc>
          <w:tcPr>
            <w:tcW w:w="1170" w:type="dxa"/>
            <w:vAlign w:val="center"/>
          </w:tcPr>
          <w:p w14:paraId="56F74AAF" w14:textId="372B6BC0" w:rsidR="00E815B8" w:rsidRPr="004C335F" w:rsidRDefault="00E815B8" w:rsidP="00E815B8">
            <w:pPr>
              <w:jc w:val="center"/>
              <w:rPr>
                <w:rFonts w:ascii="Arial" w:hAnsi="Arial" w:cs="Arial"/>
                <w:color w:val="000000" w:themeColor="text1"/>
                <w:sz w:val="20"/>
                <w:szCs w:val="20"/>
              </w:rPr>
            </w:pPr>
            <w:r>
              <w:rPr>
                <w:rFonts w:ascii="Arial" w:hAnsi="Arial" w:cs="Arial"/>
                <w:sz w:val="20"/>
                <w:szCs w:val="20"/>
              </w:rPr>
              <w:t>33</w:t>
            </w:r>
          </w:p>
        </w:tc>
        <w:tc>
          <w:tcPr>
            <w:tcW w:w="1090" w:type="dxa"/>
            <w:vAlign w:val="center"/>
          </w:tcPr>
          <w:p w14:paraId="67F8F44A" w14:textId="7C95F8C2" w:rsidR="00E815B8" w:rsidRPr="00F70187" w:rsidRDefault="00E815B8" w:rsidP="00E815B8">
            <w:pPr>
              <w:jc w:val="center"/>
              <w:rPr>
                <w:rFonts w:ascii="Arial" w:hAnsi="Arial" w:cs="Arial"/>
                <w:sz w:val="20"/>
                <w:szCs w:val="20"/>
              </w:rPr>
            </w:pPr>
          </w:p>
        </w:tc>
      </w:tr>
    </w:tbl>
    <w:p w14:paraId="1A52CD82" w14:textId="5498B465" w:rsidR="0078038E" w:rsidRPr="0085081D" w:rsidRDefault="0078038E" w:rsidP="001C331F">
      <w:pPr>
        <w:rPr>
          <w:rFonts w:ascii="Arial" w:hAnsi="Arial" w:cs="Arial"/>
          <w:sz w:val="18"/>
          <w:szCs w:val="18"/>
        </w:rPr>
      </w:pPr>
      <w:r w:rsidRPr="0085081D">
        <w:rPr>
          <w:rFonts w:ascii="Arial" w:hAnsi="Arial" w:cs="Arial"/>
          <w:sz w:val="18"/>
          <w:szCs w:val="18"/>
        </w:rPr>
        <w:t xml:space="preserve">**Number of presentations </w:t>
      </w:r>
      <w:r w:rsidR="002F0D78" w:rsidRPr="0085081D">
        <w:rPr>
          <w:rFonts w:ascii="Arial" w:hAnsi="Arial" w:cs="Arial"/>
          <w:sz w:val="18"/>
          <w:szCs w:val="18"/>
        </w:rPr>
        <w:t>wa</w:t>
      </w:r>
      <w:r w:rsidRPr="0085081D">
        <w:rPr>
          <w:rFonts w:ascii="Arial" w:hAnsi="Arial" w:cs="Arial"/>
          <w:sz w:val="18"/>
          <w:szCs w:val="18"/>
        </w:rPr>
        <w:t>s down due to COVID-19.</w:t>
      </w:r>
    </w:p>
    <w:p w14:paraId="79A4954E" w14:textId="77777777" w:rsidR="0043776E" w:rsidRDefault="00D90339" w:rsidP="00236A7F">
      <w:r>
        <w:rPr>
          <w:rFonts w:ascii="Arial" w:hAnsi="Arial" w:cs="Arial"/>
          <w:sz w:val="18"/>
          <w:szCs w:val="18"/>
        </w:rPr>
        <w:t>***ES-Individuals Registered for Employment Services count includes Total Participants Served and Reportable Individuals.</w:t>
      </w:r>
      <w:r w:rsidR="0060638B" w:rsidRPr="0060638B">
        <w:t xml:space="preserve"> </w:t>
      </w:r>
    </w:p>
    <w:p w14:paraId="4EDF2F17" w14:textId="59E4CE34" w:rsidR="007B2AB5" w:rsidRDefault="0060638B" w:rsidP="00701E05">
      <w:pPr>
        <w:rPr>
          <w:rFonts w:ascii="Arial" w:hAnsi="Arial" w:cs="Arial"/>
          <w:sz w:val="18"/>
          <w:szCs w:val="18"/>
        </w:rPr>
      </w:pPr>
      <w:r w:rsidRPr="0060638B">
        <w:rPr>
          <w:rFonts w:ascii="Arial" w:hAnsi="Arial" w:cs="Arial"/>
          <w:sz w:val="18"/>
          <w:szCs w:val="18"/>
        </w:rPr>
        <w:t>*</w:t>
      </w:r>
      <w:r w:rsidR="0043776E" w:rsidRPr="0060638B">
        <w:rPr>
          <w:rFonts w:ascii="Arial" w:hAnsi="Arial" w:cs="Arial"/>
          <w:sz w:val="18"/>
          <w:szCs w:val="18"/>
        </w:rPr>
        <w:t>***</w:t>
      </w:r>
      <w:r w:rsidRPr="0060638B">
        <w:rPr>
          <w:rFonts w:ascii="Arial" w:hAnsi="Arial" w:cs="Arial"/>
          <w:sz w:val="18"/>
          <w:szCs w:val="18"/>
        </w:rPr>
        <w:t xml:space="preserve"> Note: Effective October 2021 services are being provided by a contractor, not Labor.</w:t>
      </w:r>
      <w:bookmarkStart w:id="3" w:name="_Hlk11747271"/>
      <w:bookmarkStart w:id="4" w:name="_Hlk11137127"/>
    </w:p>
    <w:p w14:paraId="4BD2D1C0" w14:textId="77777777" w:rsidR="00C05F16" w:rsidRPr="00701E05" w:rsidRDefault="00C05F16" w:rsidP="00701E05">
      <w:pPr>
        <w:rPr>
          <w:rFonts w:ascii="Arial" w:hAnsi="Arial" w:cs="Arial"/>
          <w:sz w:val="18"/>
          <w:szCs w:val="18"/>
        </w:rPr>
      </w:pPr>
    </w:p>
    <w:p w14:paraId="6AAA23A0" w14:textId="0124EB16" w:rsidR="00EF656E" w:rsidRDefault="00EF656E" w:rsidP="607C4A4B">
      <w:pPr>
        <w:jc w:val="both"/>
        <w:rPr>
          <w:rFonts w:ascii="Arial" w:hAnsi="Arial" w:cs="Arial"/>
          <w:b/>
          <w:bCs/>
        </w:rPr>
      </w:pPr>
      <w:r w:rsidRPr="00184A4F">
        <w:rPr>
          <w:rFonts w:ascii="Arial" w:hAnsi="Arial" w:cs="Arial"/>
          <w:b/>
          <w:bCs/>
        </w:rPr>
        <w:t>Licensing Freedom Act</w:t>
      </w:r>
    </w:p>
    <w:p w14:paraId="3657371D" w14:textId="77777777" w:rsidR="00701E05" w:rsidRDefault="00701E05" w:rsidP="607C4A4B">
      <w:pPr>
        <w:jc w:val="both"/>
        <w:rPr>
          <w:rFonts w:ascii="Arial" w:hAnsi="Arial" w:cs="Arial"/>
          <w:b/>
          <w:bCs/>
        </w:rPr>
      </w:pPr>
    </w:p>
    <w:p w14:paraId="1C25B1C8" w14:textId="77777777" w:rsidR="007C4B88" w:rsidRPr="005F06FF" w:rsidRDefault="607C4A4B" w:rsidP="607C4A4B">
      <w:pPr>
        <w:autoSpaceDE w:val="0"/>
        <w:autoSpaceDN w:val="0"/>
        <w:adjustRightInd w:val="0"/>
        <w:jc w:val="both"/>
        <w:rPr>
          <w:rFonts w:ascii="Arial" w:hAnsi="Arial" w:cs="Arial"/>
          <w:b/>
          <w:bCs/>
          <w:sz w:val="20"/>
          <w:szCs w:val="20"/>
        </w:rPr>
      </w:pPr>
      <w:r w:rsidRPr="607C4A4B">
        <w:rPr>
          <w:rFonts w:ascii="Arial" w:hAnsi="Arial" w:cs="Arial"/>
          <w:color w:val="2D3439"/>
          <w:sz w:val="20"/>
          <w:szCs w:val="20"/>
        </w:rPr>
        <w:t>Agencies that participate in licensure must report on the number of applicants denied licensure or license renewal and the number of disciplinary actions taken against license holders.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E815B8" w14:paraId="02027615" w14:textId="77777777" w:rsidTr="000054BD">
        <w:trPr>
          <w:tblHeader/>
        </w:trPr>
        <w:tc>
          <w:tcPr>
            <w:tcW w:w="5266" w:type="dxa"/>
            <w:shd w:val="clear" w:color="auto" w:fill="000080"/>
            <w:vAlign w:val="bottom"/>
          </w:tcPr>
          <w:p w14:paraId="6D21F469" w14:textId="77777777" w:rsidR="00E815B8" w:rsidRPr="000B3C88" w:rsidRDefault="00E815B8" w:rsidP="00E815B8">
            <w:pPr>
              <w:jc w:val="center"/>
              <w:rPr>
                <w:rFonts w:ascii="Arial" w:hAnsi="Arial" w:cs="Arial"/>
                <w:b/>
                <w:bCs/>
                <w:color w:val="FFFFFF"/>
                <w:sz w:val="20"/>
              </w:rPr>
            </w:pPr>
          </w:p>
        </w:tc>
        <w:tc>
          <w:tcPr>
            <w:tcW w:w="1218" w:type="dxa"/>
            <w:shd w:val="clear" w:color="auto" w:fill="000080"/>
            <w:vAlign w:val="center"/>
          </w:tcPr>
          <w:p w14:paraId="4AAA472C" w14:textId="35F38CE4" w:rsidR="00E815B8" w:rsidRPr="000B3C8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2022</w:t>
            </w:r>
          </w:p>
        </w:tc>
        <w:tc>
          <w:tcPr>
            <w:tcW w:w="1218" w:type="dxa"/>
            <w:shd w:val="clear" w:color="auto" w:fill="000080"/>
            <w:vAlign w:val="center"/>
          </w:tcPr>
          <w:p w14:paraId="01793389" w14:textId="10FB193E" w:rsidR="00E815B8" w:rsidRPr="000B3C8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2023</w:t>
            </w:r>
          </w:p>
        </w:tc>
        <w:tc>
          <w:tcPr>
            <w:tcW w:w="1189" w:type="dxa"/>
            <w:shd w:val="clear" w:color="auto" w:fill="000080"/>
            <w:vAlign w:val="center"/>
          </w:tcPr>
          <w:p w14:paraId="21BACC5D" w14:textId="11ECA919" w:rsidR="00E815B8" w:rsidRPr="000B3C8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2024</w:t>
            </w:r>
          </w:p>
        </w:tc>
        <w:tc>
          <w:tcPr>
            <w:tcW w:w="1189" w:type="dxa"/>
            <w:shd w:val="clear" w:color="auto" w:fill="000080"/>
            <w:vAlign w:val="center"/>
          </w:tcPr>
          <w:p w14:paraId="163ECB1B" w14:textId="473DD0D9" w:rsidR="00E815B8" w:rsidRPr="000B3C8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2025</w:t>
            </w:r>
          </w:p>
        </w:tc>
      </w:tr>
      <w:tr w:rsidR="00E815B8" w:rsidRPr="004C335F" w14:paraId="3B5E4E2A" w14:textId="77777777" w:rsidTr="607C4A4B">
        <w:trPr>
          <w:trHeight w:val="288"/>
        </w:trPr>
        <w:tc>
          <w:tcPr>
            <w:tcW w:w="10080" w:type="dxa"/>
            <w:gridSpan w:val="5"/>
            <w:vAlign w:val="center"/>
          </w:tcPr>
          <w:p w14:paraId="3378C65B" w14:textId="77777777" w:rsidR="00E815B8" w:rsidRPr="00516EC2" w:rsidRDefault="00E815B8" w:rsidP="00E815B8">
            <w:pPr>
              <w:jc w:val="center"/>
              <w:rPr>
                <w:rFonts w:ascii="Arial" w:hAnsi="Arial" w:cs="Arial"/>
                <w:b/>
                <w:bCs/>
                <w:sz w:val="20"/>
                <w:szCs w:val="20"/>
                <w:vertAlign w:val="superscript"/>
              </w:rPr>
            </w:pPr>
            <w:bookmarkStart w:id="5" w:name="_Hlk11747624"/>
            <w:r w:rsidRPr="607C4A4B">
              <w:rPr>
                <w:rFonts w:ascii="Arial" w:hAnsi="Arial" w:cs="Arial"/>
                <w:b/>
                <w:bCs/>
                <w:sz w:val="20"/>
                <w:szCs w:val="20"/>
              </w:rPr>
              <w:t>FARM LABOR CONTRACTOR</w:t>
            </w:r>
            <w:r w:rsidRPr="607C4A4B">
              <w:rPr>
                <w:rFonts w:ascii="Arial" w:hAnsi="Arial" w:cs="Arial"/>
                <w:b/>
                <w:bCs/>
                <w:sz w:val="20"/>
                <w:szCs w:val="20"/>
                <w:vertAlign w:val="superscript"/>
              </w:rPr>
              <w:t>1</w:t>
            </w:r>
          </w:p>
        </w:tc>
      </w:tr>
      <w:tr w:rsidR="00E815B8" w:rsidRPr="004C335F" w14:paraId="6E204E10" w14:textId="77777777" w:rsidTr="607C4A4B">
        <w:trPr>
          <w:trHeight w:val="288"/>
        </w:trPr>
        <w:tc>
          <w:tcPr>
            <w:tcW w:w="5266" w:type="dxa"/>
          </w:tcPr>
          <w:p w14:paraId="2BE983D4" w14:textId="0E8939DC" w:rsidR="00E815B8" w:rsidRPr="00516EC2" w:rsidRDefault="00E815B8" w:rsidP="00E815B8">
            <w:pPr>
              <w:ind w:left="360" w:hanging="360"/>
              <w:rPr>
                <w:rFonts w:ascii="Arial" w:hAnsi="Arial" w:cs="Arial"/>
                <w:i/>
                <w:iCs/>
                <w:sz w:val="16"/>
                <w:szCs w:val="16"/>
                <w:vertAlign w:val="superscript"/>
              </w:rPr>
            </w:pPr>
            <w:r w:rsidRPr="607C4A4B">
              <w:rPr>
                <w:rFonts w:ascii="Arial" w:hAnsi="Arial" w:cs="Arial"/>
                <w:sz w:val="20"/>
                <w:szCs w:val="20"/>
              </w:rPr>
              <w:t>Number of Licenses</w:t>
            </w:r>
          </w:p>
        </w:tc>
        <w:tc>
          <w:tcPr>
            <w:tcW w:w="1218" w:type="dxa"/>
            <w:shd w:val="clear" w:color="auto" w:fill="FFFFFF" w:themeFill="background1"/>
            <w:vAlign w:val="center"/>
          </w:tcPr>
          <w:p w14:paraId="387320A7" w14:textId="0DB30BDB" w:rsidR="00E815B8" w:rsidRPr="0085081D" w:rsidRDefault="00E815B8" w:rsidP="00E815B8">
            <w:pPr>
              <w:jc w:val="center"/>
              <w:rPr>
                <w:rFonts w:ascii="Arial" w:hAnsi="Arial" w:cs="Arial"/>
                <w:i/>
                <w:iCs/>
                <w:sz w:val="20"/>
                <w:szCs w:val="20"/>
              </w:rPr>
            </w:pPr>
            <w:r>
              <w:rPr>
                <w:rFonts w:ascii="Arial" w:hAnsi="Arial" w:cs="Arial"/>
                <w:i/>
                <w:iCs/>
                <w:sz w:val="20"/>
                <w:szCs w:val="20"/>
              </w:rPr>
              <w:t>56</w:t>
            </w:r>
          </w:p>
        </w:tc>
        <w:tc>
          <w:tcPr>
            <w:tcW w:w="1218" w:type="dxa"/>
            <w:shd w:val="clear" w:color="auto" w:fill="FFFFFF" w:themeFill="background1"/>
            <w:vAlign w:val="center"/>
          </w:tcPr>
          <w:p w14:paraId="33B868D5" w14:textId="28DA8A08" w:rsidR="00E815B8" w:rsidRPr="0085081D" w:rsidRDefault="00E815B8" w:rsidP="00E815B8">
            <w:pPr>
              <w:jc w:val="center"/>
              <w:rPr>
                <w:rFonts w:ascii="Arial" w:hAnsi="Arial" w:cs="Arial"/>
                <w:i/>
                <w:iCs/>
                <w:sz w:val="20"/>
                <w:szCs w:val="20"/>
              </w:rPr>
            </w:pPr>
            <w:r>
              <w:rPr>
                <w:rFonts w:ascii="Arial" w:hAnsi="Arial" w:cs="Arial"/>
                <w:i/>
                <w:iCs/>
                <w:sz w:val="20"/>
                <w:szCs w:val="20"/>
              </w:rPr>
              <w:t>29***</w:t>
            </w:r>
          </w:p>
        </w:tc>
        <w:tc>
          <w:tcPr>
            <w:tcW w:w="1189" w:type="dxa"/>
            <w:shd w:val="clear" w:color="auto" w:fill="FFFFFF" w:themeFill="background1"/>
            <w:vAlign w:val="center"/>
          </w:tcPr>
          <w:p w14:paraId="449A75C4" w14:textId="62EE1498" w:rsidR="00E815B8" w:rsidRPr="0085081D" w:rsidRDefault="00E815B8" w:rsidP="00E815B8">
            <w:pPr>
              <w:jc w:val="center"/>
              <w:rPr>
                <w:rFonts w:ascii="Arial" w:hAnsi="Arial" w:cs="Arial"/>
                <w:i/>
                <w:iCs/>
                <w:sz w:val="20"/>
                <w:szCs w:val="20"/>
              </w:rPr>
            </w:pPr>
            <w:r>
              <w:rPr>
                <w:rFonts w:ascii="Arial" w:hAnsi="Arial" w:cs="Arial"/>
                <w:i/>
                <w:iCs/>
                <w:sz w:val="20"/>
                <w:szCs w:val="20"/>
              </w:rPr>
              <w:t>29</w:t>
            </w:r>
          </w:p>
        </w:tc>
        <w:tc>
          <w:tcPr>
            <w:tcW w:w="1189" w:type="dxa"/>
            <w:shd w:val="clear" w:color="auto" w:fill="FFFFFF" w:themeFill="background1"/>
            <w:vAlign w:val="center"/>
          </w:tcPr>
          <w:p w14:paraId="74A4B77E" w14:textId="6B6B3B30" w:rsidR="00E815B8" w:rsidRPr="0085081D" w:rsidRDefault="00E815B8" w:rsidP="00E815B8">
            <w:pPr>
              <w:jc w:val="center"/>
              <w:rPr>
                <w:rFonts w:ascii="Arial" w:hAnsi="Arial" w:cs="Arial"/>
                <w:i/>
                <w:iCs/>
                <w:sz w:val="20"/>
                <w:szCs w:val="20"/>
              </w:rPr>
            </w:pPr>
          </w:p>
        </w:tc>
      </w:tr>
      <w:tr w:rsidR="00E815B8" w:rsidRPr="004C335F" w14:paraId="17E8B54B" w14:textId="77777777" w:rsidTr="00B43570">
        <w:trPr>
          <w:trHeight w:val="314"/>
        </w:trPr>
        <w:tc>
          <w:tcPr>
            <w:tcW w:w="5266" w:type="dxa"/>
          </w:tcPr>
          <w:p w14:paraId="685FAE3A" w14:textId="789EB734" w:rsidR="00E815B8" w:rsidRPr="00516EC2" w:rsidRDefault="00E815B8" w:rsidP="00E815B8">
            <w:pPr>
              <w:ind w:left="360" w:hanging="360"/>
              <w:rPr>
                <w:rFonts w:ascii="Arial" w:hAnsi="Arial" w:cs="Arial"/>
                <w:sz w:val="20"/>
                <w:szCs w:val="20"/>
                <w:vertAlign w:val="superscript"/>
              </w:rPr>
            </w:pPr>
            <w:r w:rsidRPr="607C4A4B">
              <w:rPr>
                <w:rFonts w:ascii="Arial" w:hAnsi="Arial" w:cs="Arial"/>
                <w:sz w:val="20"/>
                <w:szCs w:val="20"/>
              </w:rPr>
              <w:t>New Applicants Denied Licensure</w:t>
            </w:r>
            <w:r>
              <w:rPr>
                <w:rFonts w:ascii="Arial" w:hAnsi="Arial" w:cs="Arial"/>
                <w:sz w:val="20"/>
                <w:szCs w:val="20"/>
              </w:rPr>
              <w:t>*</w:t>
            </w:r>
          </w:p>
        </w:tc>
        <w:tc>
          <w:tcPr>
            <w:tcW w:w="1218" w:type="dxa"/>
            <w:shd w:val="clear" w:color="auto" w:fill="FFFFFF" w:themeFill="background1"/>
          </w:tcPr>
          <w:p w14:paraId="39ABCEFF" w14:textId="20DCE800" w:rsidR="00E815B8" w:rsidRPr="0085081D" w:rsidRDefault="00E815B8" w:rsidP="00E815B8">
            <w:pPr>
              <w:jc w:val="center"/>
              <w:rPr>
                <w:rFonts w:ascii="Arial" w:hAnsi="Arial" w:cs="Arial"/>
                <w:i/>
                <w:iCs/>
                <w:sz w:val="20"/>
                <w:szCs w:val="20"/>
              </w:rPr>
            </w:pPr>
            <w:r>
              <w:rPr>
                <w:rFonts w:ascii="Arial" w:hAnsi="Arial" w:cs="Arial"/>
                <w:i/>
                <w:iCs/>
                <w:sz w:val="20"/>
                <w:szCs w:val="20"/>
              </w:rPr>
              <w:t>0</w:t>
            </w:r>
          </w:p>
        </w:tc>
        <w:tc>
          <w:tcPr>
            <w:tcW w:w="1218" w:type="dxa"/>
            <w:shd w:val="clear" w:color="auto" w:fill="FFFFFF" w:themeFill="background1"/>
          </w:tcPr>
          <w:p w14:paraId="0F30E402" w14:textId="55BD0690" w:rsidR="00E815B8" w:rsidRPr="0085081D" w:rsidRDefault="00E815B8" w:rsidP="00E815B8">
            <w:pPr>
              <w:jc w:val="center"/>
              <w:rPr>
                <w:rFonts w:ascii="Arial" w:hAnsi="Arial" w:cs="Arial"/>
                <w:i/>
                <w:iCs/>
                <w:sz w:val="20"/>
                <w:szCs w:val="20"/>
              </w:rPr>
            </w:pPr>
            <w:r>
              <w:rPr>
                <w:rFonts w:ascii="Arial" w:hAnsi="Arial" w:cs="Arial"/>
                <w:i/>
                <w:iCs/>
                <w:sz w:val="20"/>
                <w:szCs w:val="20"/>
              </w:rPr>
              <w:t>0</w:t>
            </w:r>
          </w:p>
        </w:tc>
        <w:tc>
          <w:tcPr>
            <w:tcW w:w="1189" w:type="dxa"/>
            <w:shd w:val="clear" w:color="auto" w:fill="FFFFFF" w:themeFill="background1"/>
          </w:tcPr>
          <w:p w14:paraId="61A7CC42" w14:textId="4FB1B5DA" w:rsidR="00E815B8" w:rsidRPr="0085081D" w:rsidRDefault="00E815B8" w:rsidP="00E815B8">
            <w:pPr>
              <w:jc w:val="center"/>
              <w:rPr>
                <w:rFonts w:ascii="Arial" w:hAnsi="Arial" w:cs="Arial"/>
                <w:i/>
                <w:iCs/>
                <w:sz w:val="20"/>
                <w:szCs w:val="20"/>
              </w:rPr>
            </w:pPr>
            <w:r>
              <w:rPr>
                <w:rFonts w:ascii="Arial" w:hAnsi="Arial" w:cs="Arial"/>
                <w:i/>
                <w:iCs/>
                <w:sz w:val="20"/>
                <w:szCs w:val="20"/>
              </w:rPr>
              <w:t>0</w:t>
            </w:r>
          </w:p>
        </w:tc>
        <w:tc>
          <w:tcPr>
            <w:tcW w:w="1189" w:type="dxa"/>
            <w:shd w:val="clear" w:color="auto" w:fill="FFFFFF" w:themeFill="background1"/>
          </w:tcPr>
          <w:p w14:paraId="7D53EE45" w14:textId="7DD4F23D" w:rsidR="00E815B8" w:rsidRPr="0085081D" w:rsidRDefault="00E815B8" w:rsidP="00E815B8">
            <w:pPr>
              <w:jc w:val="center"/>
              <w:rPr>
                <w:rFonts w:ascii="Arial" w:hAnsi="Arial" w:cs="Arial"/>
                <w:i/>
                <w:iCs/>
                <w:sz w:val="20"/>
                <w:szCs w:val="20"/>
              </w:rPr>
            </w:pPr>
          </w:p>
        </w:tc>
      </w:tr>
      <w:tr w:rsidR="00E815B8" w:rsidRPr="004C335F" w14:paraId="37A63577" w14:textId="77777777" w:rsidTr="00685850">
        <w:trPr>
          <w:trHeight w:val="288"/>
        </w:trPr>
        <w:tc>
          <w:tcPr>
            <w:tcW w:w="5266" w:type="dxa"/>
          </w:tcPr>
          <w:p w14:paraId="557FCB32" w14:textId="5BF38DA5" w:rsidR="00E815B8" w:rsidRPr="00516EC2" w:rsidRDefault="00E815B8" w:rsidP="00E815B8">
            <w:pPr>
              <w:ind w:left="360" w:hanging="360"/>
              <w:rPr>
                <w:rFonts w:ascii="Arial" w:hAnsi="Arial" w:cs="Arial"/>
                <w:sz w:val="20"/>
                <w:szCs w:val="20"/>
                <w:vertAlign w:val="superscript"/>
              </w:rPr>
            </w:pPr>
            <w:r w:rsidRPr="607C4A4B">
              <w:rPr>
                <w:rFonts w:ascii="Arial" w:hAnsi="Arial" w:cs="Arial"/>
                <w:sz w:val="20"/>
                <w:szCs w:val="20"/>
              </w:rPr>
              <w:t>Applicants Refused Renewal of a License</w:t>
            </w:r>
            <w:r>
              <w:rPr>
                <w:rFonts w:ascii="Arial" w:hAnsi="Arial" w:cs="Arial"/>
                <w:sz w:val="18"/>
                <w:szCs w:val="18"/>
              </w:rPr>
              <w:t>**</w:t>
            </w:r>
          </w:p>
        </w:tc>
        <w:tc>
          <w:tcPr>
            <w:tcW w:w="1218" w:type="dxa"/>
            <w:shd w:val="clear" w:color="auto" w:fill="FFFFFF" w:themeFill="background1"/>
          </w:tcPr>
          <w:p w14:paraId="22A32BE9" w14:textId="0D01D2FF" w:rsidR="00E815B8" w:rsidRPr="0085081D" w:rsidRDefault="00E815B8" w:rsidP="00E815B8">
            <w:pPr>
              <w:jc w:val="center"/>
              <w:rPr>
                <w:rFonts w:ascii="Arial" w:hAnsi="Arial" w:cs="Arial"/>
                <w:i/>
                <w:iCs/>
                <w:sz w:val="20"/>
                <w:szCs w:val="20"/>
              </w:rPr>
            </w:pPr>
            <w:r>
              <w:rPr>
                <w:rFonts w:ascii="Arial" w:hAnsi="Arial" w:cs="Arial"/>
                <w:i/>
                <w:iCs/>
                <w:sz w:val="20"/>
                <w:szCs w:val="20"/>
              </w:rPr>
              <w:t>0</w:t>
            </w:r>
          </w:p>
        </w:tc>
        <w:tc>
          <w:tcPr>
            <w:tcW w:w="1218" w:type="dxa"/>
            <w:shd w:val="clear" w:color="auto" w:fill="FFFFFF" w:themeFill="background1"/>
          </w:tcPr>
          <w:p w14:paraId="68D84EF3" w14:textId="1A0835EA" w:rsidR="00E815B8" w:rsidRPr="0085081D" w:rsidRDefault="00E815B8" w:rsidP="00E815B8">
            <w:pPr>
              <w:jc w:val="center"/>
              <w:rPr>
                <w:rFonts w:ascii="Arial" w:hAnsi="Arial" w:cs="Arial"/>
                <w:i/>
                <w:iCs/>
                <w:sz w:val="20"/>
                <w:szCs w:val="20"/>
              </w:rPr>
            </w:pPr>
            <w:r>
              <w:rPr>
                <w:rFonts w:ascii="Arial" w:hAnsi="Arial" w:cs="Arial"/>
                <w:i/>
                <w:iCs/>
                <w:sz w:val="20"/>
                <w:szCs w:val="20"/>
              </w:rPr>
              <w:t>2****</w:t>
            </w:r>
          </w:p>
        </w:tc>
        <w:tc>
          <w:tcPr>
            <w:tcW w:w="1189" w:type="dxa"/>
            <w:shd w:val="clear" w:color="auto" w:fill="FFFFFF" w:themeFill="background1"/>
          </w:tcPr>
          <w:p w14:paraId="4D59C127" w14:textId="48090B1A" w:rsidR="00E815B8" w:rsidRPr="0085081D" w:rsidRDefault="00E815B8" w:rsidP="00E815B8">
            <w:pPr>
              <w:jc w:val="center"/>
              <w:rPr>
                <w:rFonts w:ascii="Arial" w:hAnsi="Arial" w:cs="Arial"/>
                <w:i/>
                <w:iCs/>
                <w:sz w:val="20"/>
                <w:szCs w:val="20"/>
              </w:rPr>
            </w:pPr>
            <w:r>
              <w:rPr>
                <w:rFonts w:ascii="Arial" w:hAnsi="Arial" w:cs="Arial"/>
                <w:i/>
                <w:iCs/>
                <w:sz w:val="20"/>
                <w:szCs w:val="20"/>
              </w:rPr>
              <w:t>0</w:t>
            </w:r>
          </w:p>
        </w:tc>
        <w:tc>
          <w:tcPr>
            <w:tcW w:w="1189" w:type="dxa"/>
            <w:shd w:val="clear" w:color="auto" w:fill="FFFFFF" w:themeFill="background1"/>
          </w:tcPr>
          <w:p w14:paraId="0753DF32" w14:textId="1DFAC7E7" w:rsidR="00E815B8" w:rsidRPr="0085081D" w:rsidRDefault="00E815B8" w:rsidP="00E815B8">
            <w:pPr>
              <w:jc w:val="center"/>
              <w:rPr>
                <w:rFonts w:ascii="Arial" w:hAnsi="Arial" w:cs="Arial"/>
                <w:i/>
                <w:iCs/>
                <w:sz w:val="20"/>
                <w:szCs w:val="20"/>
              </w:rPr>
            </w:pPr>
          </w:p>
        </w:tc>
      </w:tr>
      <w:tr w:rsidR="00E815B8" w:rsidRPr="004C335F" w14:paraId="6734F7CB" w14:textId="77777777" w:rsidTr="00685850">
        <w:trPr>
          <w:trHeight w:val="288"/>
        </w:trPr>
        <w:tc>
          <w:tcPr>
            <w:tcW w:w="5266" w:type="dxa"/>
          </w:tcPr>
          <w:p w14:paraId="7E5DE7D3" w14:textId="11E73A59" w:rsidR="00E815B8" w:rsidRPr="00516EC2" w:rsidRDefault="00E815B8" w:rsidP="00E815B8">
            <w:pPr>
              <w:ind w:left="360" w:hanging="360"/>
              <w:rPr>
                <w:rFonts w:ascii="Arial" w:hAnsi="Arial" w:cs="Arial"/>
                <w:i/>
                <w:iCs/>
                <w:sz w:val="16"/>
                <w:szCs w:val="16"/>
                <w:vertAlign w:val="superscript"/>
              </w:rPr>
            </w:pPr>
            <w:bookmarkStart w:id="6" w:name="_Hlk109048632"/>
            <w:r w:rsidRPr="607C4A4B">
              <w:rPr>
                <w:rFonts w:ascii="Arial" w:hAnsi="Arial" w:cs="Arial"/>
                <w:sz w:val="20"/>
                <w:szCs w:val="20"/>
              </w:rPr>
              <w:t>Complaints Against Licensees</w:t>
            </w:r>
            <w:r>
              <w:rPr>
                <w:rFonts w:ascii="Arial" w:hAnsi="Arial" w:cs="Arial"/>
                <w:sz w:val="20"/>
                <w:szCs w:val="20"/>
                <w:vertAlign w:val="superscript"/>
              </w:rPr>
              <w:t>2</w:t>
            </w:r>
          </w:p>
        </w:tc>
        <w:tc>
          <w:tcPr>
            <w:tcW w:w="1218" w:type="dxa"/>
            <w:shd w:val="clear" w:color="auto" w:fill="FFFFFF" w:themeFill="background1"/>
          </w:tcPr>
          <w:p w14:paraId="7393826F" w14:textId="601B6D08" w:rsidR="00E815B8" w:rsidRPr="0085081D" w:rsidRDefault="00E815B8" w:rsidP="00E815B8">
            <w:pPr>
              <w:jc w:val="center"/>
              <w:rPr>
                <w:rFonts w:ascii="Arial" w:hAnsi="Arial" w:cs="Arial"/>
                <w:i/>
                <w:iCs/>
                <w:sz w:val="20"/>
                <w:szCs w:val="20"/>
              </w:rPr>
            </w:pPr>
            <w:r>
              <w:rPr>
                <w:rFonts w:ascii="Arial" w:hAnsi="Arial" w:cs="Arial"/>
                <w:i/>
                <w:iCs/>
                <w:sz w:val="20"/>
                <w:szCs w:val="20"/>
              </w:rPr>
              <w:t>0</w:t>
            </w:r>
          </w:p>
        </w:tc>
        <w:tc>
          <w:tcPr>
            <w:tcW w:w="1218" w:type="dxa"/>
            <w:shd w:val="clear" w:color="auto" w:fill="FFFFFF" w:themeFill="background1"/>
          </w:tcPr>
          <w:p w14:paraId="7CFFD508" w14:textId="1732B63B" w:rsidR="00E815B8" w:rsidRPr="0085081D" w:rsidRDefault="00E815B8" w:rsidP="00E815B8">
            <w:pPr>
              <w:jc w:val="center"/>
              <w:rPr>
                <w:rFonts w:ascii="Arial" w:hAnsi="Arial" w:cs="Arial"/>
                <w:i/>
                <w:iCs/>
                <w:sz w:val="20"/>
                <w:szCs w:val="20"/>
              </w:rPr>
            </w:pPr>
            <w:r>
              <w:rPr>
                <w:rFonts w:ascii="Arial" w:hAnsi="Arial" w:cs="Arial"/>
                <w:i/>
                <w:iCs/>
                <w:sz w:val="20"/>
                <w:szCs w:val="20"/>
              </w:rPr>
              <w:t>0</w:t>
            </w:r>
          </w:p>
        </w:tc>
        <w:tc>
          <w:tcPr>
            <w:tcW w:w="1189" w:type="dxa"/>
            <w:shd w:val="clear" w:color="auto" w:fill="FFFFFF" w:themeFill="background1"/>
          </w:tcPr>
          <w:p w14:paraId="7D9C85B8" w14:textId="0F85C59C" w:rsidR="00E815B8" w:rsidRPr="0085081D" w:rsidRDefault="00E815B8" w:rsidP="00E815B8">
            <w:pPr>
              <w:jc w:val="center"/>
              <w:rPr>
                <w:rFonts w:ascii="Arial" w:hAnsi="Arial" w:cs="Arial"/>
                <w:i/>
                <w:iCs/>
                <w:sz w:val="20"/>
                <w:szCs w:val="20"/>
              </w:rPr>
            </w:pPr>
            <w:r>
              <w:rPr>
                <w:rFonts w:ascii="Arial" w:hAnsi="Arial" w:cs="Arial"/>
                <w:i/>
                <w:iCs/>
                <w:sz w:val="20"/>
                <w:szCs w:val="20"/>
              </w:rPr>
              <w:t>0</w:t>
            </w:r>
          </w:p>
        </w:tc>
        <w:tc>
          <w:tcPr>
            <w:tcW w:w="1189" w:type="dxa"/>
            <w:shd w:val="clear" w:color="auto" w:fill="FFFFFF" w:themeFill="background1"/>
          </w:tcPr>
          <w:p w14:paraId="78C2E0BF" w14:textId="2EEF634C" w:rsidR="00E815B8" w:rsidRPr="0085081D" w:rsidRDefault="00E815B8" w:rsidP="00E815B8">
            <w:pPr>
              <w:jc w:val="center"/>
              <w:rPr>
                <w:rFonts w:ascii="Arial" w:hAnsi="Arial" w:cs="Arial"/>
                <w:i/>
                <w:iCs/>
                <w:sz w:val="20"/>
                <w:szCs w:val="20"/>
              </w:rPr>
            </w:pPr>
          </w:p>
        </w:tc>
      </w:tr>
      <w:bookmarkEnd w:id="6"/>
      <w:tr w:rsidR="00E815B8" w:rsidRPr="004C335F" w14:paraId="3BAE8151" w14:textId="77777777" w:rsidTr="00685850">
        <w:trPr>
          <w:trHeight w:val="288"/>
        </w:trPr>
        <w:tc>
          <w:tcPr>
            <w:tcW w:w="5266" w:type="dxa"/>
          </w:tcPr>
          <w:p w14:paraId="7613230D" w14:textId="77777777" w:rsidR="00E815B8" w:rsidRPr="000B3C88" w:rsidRDefault="00E815B8" w:rsidP="00E815B8">
            <w:pPr>
              <w:ind w:left="360" w:hanging="360"/>
              <w:rPr>
                <w:rFonts w:ascii="Arial" w:hAnsi="Arial" w:cs="Arial"/>
                <w:sz w:val="20"/>
                <w:szCs w:val="20"/>
              </w:rPr>
            </w:pPr>
            <w:r w:rsidRPr="607C4A4B">
              <w:rPr>
                <w:rFonts w:ascii="Arial" w:hAnsi="Arial" w:cs="Arial"/>
                <w:sz w:val="20"/>
                <w:szCs w:val="20"/>
              </w:rPr>
              <w:t>Final Disciplinary Actions Against Licensees</w:t>
            </w:r>
          </w:p>
        </w:tc>
        <w:tc>
          <w:tcPr>
            <w:tcW w:w="1218" w:type="dxa"/>
            <w:shd w:val="clear" w:color="auto" w:fill="FFFFFF" w:themeFill="background1"/>
          </w:tcPr>
          <w:p w14:paraId="573490AC" w14:textId="41A99CF0" w:rsidR="00E815B8" w:rsidRPr="0085081D" w:rsidRDefault="00E815B8" w:rsidP="00E815B8">
            <w:pPr>
              <w:jc w:val="center"/>
              <w:rPr>
                <w:rFonts w:ascii="Arial" w:hAnsi="Arial" w:cs="Arial"/>
                <w:i/>
                <w:iCs/>
                <w:sz w:val="20"/>
                <w:szCs w:val="20"/>
              </w:rPr>
            </w:pPr>
            <w:r>
              <w:rPr>
                <w:rFonts w:ascii="Arial" w:hAnsi="Arial" w:cs="Arial"/>
                <w:i/>
                <w:iCs/>
                <w:sz w:val="20"/>
                <w:szCs w:val="20"/>
              </w:rPr>
              <w:t>0</w:t>
            </w:r>
          </w:p>
        </w:tc>
        <w:tc>
          <w:tcPr>
            <w:tcW w:w="1218" w:type="dxa"/>
            <w:shd w:val="clear" w:color="auto" w:fill="FFFFFF" w:themeFill="background1"/>
          </w:tcPr>
          <w:p w14:paraId="169F0681" w14:textId="22F68DD0" w:rsidR="00E815B8" w:rsidRPr="0085081D" w:rsidRDefault="00E815B8" w:rsidP="00E815B8">
            <w:pPr>
              <w:jc w:val="center"/>
              <w:rPr>
                <w:rFonts w:ascii="Arial" w:hAnsi="Arial" w:cs="Arial"/>
                <w:i/>
                <w:iCs/>
                <w:sz w:val="20"/>
                <w:szCs w:val="20"/>
              </w:rPr>
            </w:pPr>
            <w:r>
              <w:rPr>
                <w:rFonts w:ascii="Arial" w:hAnsi="Arial" w:cs="Arial"/>
                <w:i/>
                <w:iCs/>
                <w:sz w:val="20"/>
                <w:szCs w:val="20"/>
              </w:rPr>
              <w:t>1*****</w:t>
            </w:r>
          </w:p>
        </w:tc>
        <w:tc>
          <w:tcPr>
            <w:tcW w:w="1189" w:type="dxa"/>
            <w:shd w:val="clear" w:color="auto" w:fill="FFFFFF" w:themeFill="background1"/>
          </w:tcPr>
          <w:p w14:paraId="6DC94B8B" w14:textId="67AB2A3E" w:rsidR="00E815B8" w:rsidRPr="0085081D" w:rsidRDefault="00E815B8" w:rsidP="00E815B8">
            <w:pPr>
              <w:jc w:val="center"/>
              <w:rPr>
                <w:rFonts w:ascii="Arial" w:hAnsi="Arial" w:cs="Arial"/>
                <w:i/>
                <w:iCs/>
                <w:sz w:val="20"/>
                <w:szCs w:val="20"/>
              </w:rPr>
            </w:pPr>
            <w:r>
              <w:rPr>
                <w:rFonts w:ascii="Arial" w:hAnsi="Arial" w:cs="Arial"/>
                <w:i/>
                <w:iCs/>
                <w:sz w:val="20"/>
                <w:szCs w:val="20"/>
              </w:rPr>
              <w:t>1******</w:t>
            </w:r>
          </w:p>
        </w:tc>
        <w:tc>
          <w:tcPr>
            <w:tcW w:w="1189" w:type="dxa"/>
            <w:shd w:val="clear" w:color="auto" w:fill="FFFFFF" w:themeFill="background1"/>
          </w:tcPr>
          <w:p w14:paraId="5E63F4AD" w14:textId="3CEAF143" w:rsidR="00E815B8" w:rsidRPr="0085081D" w:rsidRDefault="00E815B8" w:rsidP="00E815B8">
            <w:pPr>
              <w:jc w:val="center"/>
              <w:rPr>
                <w:rFonts w:ascii="Arial" w:hAnsi="Arial" w:cs="Arial"/>
                <w:i/>
                <w:iCs/>
                <w:sz w:val="20"/>
                <w:szCs w:val="20"/>
              </w:rPr>
            </w:pPr>
          </w:p>
        </w:tc>
      </w:tr>
      <w:bookmarkEnd w:id="3"/>
      <w:bookmarkEnd w:id="5"/>
    </w:tbl>
    <w:p w14:paraId="30A3CC8E" w14:textId="77777777" w:rsidR="00F41E29" w:rsidRDefault="00F41E29" w:rsidP="00391633">
      <w:pPr>
        <w:jc w:val="both"/>
        <w:rPr>
          <w:rFonts w:ascii="Arial" w:hAnsi="Arial" w:cs="Arial"/>
          <w:sz w:val="20"/>
          <w:szCs w:val="20"/>
        </w:rPr>
      </w:pPr>
    </w:p>
    <w:p w14:paraId="57056E46" w14:textId="7EF72C74" w:rsidR="00516EC2" w:rsidRPr="0085081D" w:rsidRDefault="00C449E3" w:rsidP="607C4A4B">
      <w:pPr>
        <w:jc w:val="both"/>
        <w:rPr>
          <w:rFonts w:ascii="Arial" w:hAnsi="Arial" w:cs="Arial"/>
          <w:sz w:val="18"/>
          <w:szCs w:val="18"/>
        </w:rPr>
      </w:pPr>
      <w:r>
        <w:rPr>
          <w:rFonts w:ascii="Arial" w:hAnsi="Arial" w:cs="Arial"/>
          <w:sz w:val="18"/>
          <w:szCs w:val="18"/>
        </w:rPr>
        <w:t>*</w:t>
      </w:r>
      <w:r w:rsidR="607C4A4B" w:rsidRPr="0085081D">
        <w:rPr>
          <w:rFonts w:ascii="Arial" w:hAnsi="Arial" w:cs="Arial"/>
          <w:sz w:val="18"/>
          <w:szCs w:val="18"/>
        </w:rPr>
        <w:t>Farm labor contractors are required to register every year. If a farm labor contractor does not submit a complete application, including providing proof of insurance and a bonding deposit, the department deems the application incomplete and never issues a license.</w:t>
      </w:r>
    </w:p>
    <w:p w14:paraId="5070E7B0" w14:textId="5B2ED5DB" w:rsidR="00516EC2" w:rsidRDefault="00C449E3" w:rsidP="607C4A4B">
      <w:pPr>
        <w:jc w:val="both"/>
        <w:rPr>
          <w:rFonts w:ascii="Arial" w:hAnsi="Arial" w:cs="Arial"/>
          <w:sz w:val="18"/>
          <w:szCs w:val="18"/>
        </w:rPr>
      </w:pPr>
      <w:r>
        <w:rPr>
          <w:rFonts w:ascii="Arial" w:hAnsi="Arial" w:cs="Arial"/>
          <w:sz w:val="18"/>
          <w:szCs w:val="18"/>
        </w:rPr>
        <w:t>**</w:t>
      </w:r>
      <w:r w:rsidR="607C4A4B" w:rsidRPr="0085081D">
        <w:rPr>
          <w:rFonts w:ascii="Arial" w:hAnsi="Arial" w:cs="Arial"/>
          <w:sz w:val="18"/>
          <w:szCs w:val="18"/>
        </w:rPr>
        <w:t xml:space="preserve">Number of wage claims filed by an employee who performed some type of farm labor work during the past year. Farm labor contractors are notified of any potential wage and hour violations. All unresolved issues are referred to the U.S. Department of Labor for enforcement (Idaho Wage </w:t>
      </w:r>
      <w:r w:rsidR="00C05F16">
        <w:rPr>
          <w:rFonts w:ascii="Arial" w:hAnsi="Arial" w:cs="Arial"/>
          <w:sz w:val="18"/>
          <w:szCs w:val="18"/>
        </w:rPr>
        <w:t>and</w:t>
      </w:r>
      <w:r w:rsidR="607C4A4B" w:rsidRPr="0085081D">
        <w:rPr>
          <w:rFonts w:ascii="Arial" w:hAnsi="Arial" w:cs="Arial"/>
          <w:sz w:val="18"/>
          <w:szCs w:val="18"/>
        </w:rPr>
        <w:t xml:space="preserve"> Hour is a compliance bureau only).</w:t>
      </w:r>
    </w:p>
    <w:p w14:paraId="46405C32" w14:textId="298DEC07" w:rsidR="001C5D38" w:rsidRPr="001C5D38" w:rsidRDefault="001C5D38" w:rsidP="001C5D38">
      <w:pPr>
        <w:jc w:val="both"/>
        <w:rPr>
          <w:rFonts w:ascii="Arial" w:hAnsi="Arial" w:cs="Arial"/>
          <w:sz w:val="18"/>
          <w:szCs w:val="18"/>
        </w:rPr>
      </w:pPr>
      <w:r>
        <w:rPr>
          <w:rFonts w:ascii="Arial" w:hAnsi="Arial" w:cs="Arial"/>
          <w:sz w:val="18"/>
          <w:szCs w:val="18"/>
        </w:rPr>
        <w:t>*</w:t>
      </w:r>
      <w:r w:rsidR="00C449E3">
        <w:rPr>
          <w:rFonts w:ascii="Arial" w:hAnsi="Arial" w:cs="Arial"/>
          <w:sz w:val="18"/>
          <w:szCs w:val="18"/>
        </w:rPr>
        <w:t>**</w:t>
      </w:r>
      <w:r w:rsidRPr="001C5D38">
        <w:rPr>
          <w:rFonts w:ascii="Arial" w:hAnsi="Arial" w:cs="Arial"/>
          <w:sz w:val="18"/>
          <w:szCs w:val="18"/>
        </w:rPr>
        <w:t xml:space="preserve">Number of Licenses: </w:t>
      </w:r>
      <w:r>
        <w:rPr>
          <w:rFonts w:ascii="Arial" w:hAnsi="Arial" w:cs="Arial"/>
          <w:sz w:val="18"/>
          <w:szCs w:val="18"/>
        </w:rPr>
        <w:t>The r</w:t>
      </w:r>
      <w:r w:rsidRPr="001C5D38">
        <w:rPr>
          <w:rFonts w:ascii="Arial" w:hAnsi="Arial" w:cs="Arial"/>
          <w:sz w:val="18"/>
          <w:szCs w:val="18"/>
        </w:rPr>
        <w:t xml:space="preserve">eason for the drop was because </w:t>
      </w:r>
      <w:r>
        <w:rPr>
          <w:rFonts w:ascii="Arial" w:hAnsi="Arial" w:cs="Arial"/>
          <w:sz w:val="18"/>
          <w:szCs w:val="18"/>
        </w:rPr>
        <w:t>Labor</w:t>
      </w:r>
      <w:r w:rsidRPr="001C5D38">
        <w:rPr>
          <w:rFonts w:ascii="Arial" w:hAnsi="Arial" w:cs="Arial"/>
          <w:sz w:val="18"/>
          <w:szCs w:val="18"/>
        </w:rPr>
        <w:t xml:space="preserve"> stopped issuing sponsor license</w:t>
      </w:r>
      <w:r>
        <w:rPr>
          <w:rFonts w:ascii="Arial" w:hAnsi="Arial" w:cs="Arial"/>
          <w:sz w:val="18"/>
          <w:szCs w:val="18"/>
        </w:rPr>
        <w:t>s</w:t>
      </w:r>
      <w:r w:rsidRPr="001C5D38">
        <w:rPr>
          <w:rFonts w:ascii="Arial" w:hAnsi="Arial" w:cs="Arial"/>
          <w:sz w:val="18"/>
          <w:szCs w:val="18"/>
        </w:rPr>
        <w:t xml:space="preserve"> to </w:t>
      </w:r>
      <w:r>
        <w:rPr>
          <w:rFonts w:ascii="Arial" w:hAnsi="Arial" w:cs="Arial"/>
          <w:sz w:val="18"/>
          <w:szCs w:val="18"/>
        </w:rPr>
        <w:t>s</w:t>
      </w:r>
      <w:r w:rsidRPr="001C5D38">
        <w:rPr>
          <w:rFonts w:ascii="Arial" w:hAnsi="Arial" w:cs="Arial"/>
          <w:sz w:val="18"/>
          <w:szCs w:val="18"/>
        </w:rPr>
        <w:t xml:space="preserve">taffing </w:t>
      </w:r>
      <w:r>
        <w:rPr>
          <w:rFonts w:ascii="Arial" w:hAnsi="Arial" w:cs="Arial"/>
          <w:sz w:val="18"/>
          <w:szCs w:val="18"/>
        </w:rPr>
        <w:t>a</w:t>
      </w:r>
      <w:r w:rsidRPr="001C5D38">
        <w:rPr>
          <w:rFonts w:ascii="Arial" w:hAnsi="Arial" w:cs="Arial"/>
          <w:sz w:val="18"/>
          <w:szCs w:val="18"/>
        </w:rPr>
        <w:t>gencies.</w:t>
      </w:r>
      <w:r>
        <w:rPr>
          <w:rFonts w:ascii="Arial" w:hAnsi="Arial" w:cs="Arial"/>
          <w:sz w:val="18"/>
          <w:szCs w:val="18"/>
        </w:rPr>
        <w:t xml:space="preserve"> </w:t>
      </w:r>
      <w:r w:rsidRPr="001C5D38">
        <w:rPr>
          <w:rFonts w:ascii="Arial" w:hAnsi="Arial" w:cs="Arial"/>
          <w:sz w:val="18"/>
          <w:szCs w:val="18"/>
        </w:rPr>
        <w:t xml:space="preserve">The license covers the </w:t>
      </w:r>
      <w:r>
        <w:rPr>
          <w:rFonts w:ascii="Arial" w:hAnsi="Arial" w:cs="Arial"/>
          <w:sz w:val="18"/>
          <w:szCs w:val="18"/>
        </w:rPr>
        <w:t>s</w:t>
      </w:r>
      <w:r w:rsidRPr="001C5D38">
        <w:rPr>
          <w:rFonts w:ascii="Arial" w:hAnsi="Arial" w:cs="Arial"/>
          <w:sz w:val="18"/>
          <w:szCs w:val="18"/>
        </w:rPr>
        <w:t xml:space="preserve">taffing </w:t>
      </w:r>
      <w:r>
        <w:rPr>
          <w:rFonts w:ascii="Arial" w:hAnsi="Arial" w:cs="Arial"/>
          <w:sz w:val="18"/>
          <w:szCs w:val="18"/>
        </w:rPr>
        <w:t>a</w:t>
      </w:r>
      <w:r w:rsidRPr="001C5D38">
        <w:rPr>
          <w:rFonts w:ascii="Arial" w:hAnsi="Arial" w:cs="Arial"/>
          <w:sz w:val="18"/>
          <w:szCs w:val="18"/>
        </w:rPr>
        <w:t>gency and their employees</w:t>
      </w:r>
      <w:r>
        <w:rPr>
          <w:rFonts w:ascii="Arial" w:hAnsi="Arial" w:cs="Arial"/>
          <w:sz w:val="18"/>
          <w:szCs w:val="18"/>
        </w:rPr>
        <w:t>.</w:t>
      </w:r>
    </w:p>
    <w:p w14:paraId="4537A015" w14:textId="7615200F" w:rsidR="001C5D38" w:rsidRPr="001C5D38" w:rsidRDefault="001C5D38" w:rsidP="001C5D38">
      <w:pPr>
        <w:jc w:val="both"/>
        <w:rPr>
          <w:rFonts w:ascii="Arial" w:hAnsi="Arial" w:cs="Arial"/>
          <w:sz w:val="18"/>
          <w:szCs w:val="18"/>
        </w:rPr>
      </w:pPr>
      <w:r>
        <w:rPr>
          <w:rFonts w:ascii="Arial" w:hAnsi="Arial" w:cs="Arial"/>
          <w:sz w:val="18"/>
          <w:szCs w:val="18"/>
        </w:rPr>
        <w:t>**</w:t>
      </w:r>
      <w:r w:rsidR="00B43570">
        <w:rPr>
          <w:rFonts w:ascii="Arial" w:hAnsi="Arial" w:cs="Arial"/>
          <w:sz w:val="18"/>
          <w:szCs w:val="18"/>
        </w:rPr>
        <w:t>*</w:t>
      </w:r>
      <w:r w:rsidR="00C449E3">
        <w:rPr>
          <w:rFonts w:ascii="Arial" w:hAnsi="Arial" w:cs="Arial"/>
          <w:sz w:val="18"/>
          <w:szCs w:val="18"/>
        </w:rPr>
        <w:t>*</w:t>
      </w:r>
      <w:r w:rsidRPr="001C5D38">
        <w:rPr>
          <w:rFonts w:ascii="Arial" w:hAnsi="Arial" w:cs="Arial"/>
          <w:sz w:val="18"/>
          <w:szCs w:val="18"/>
        </w:rPr>
        <w:t>Applicants Refused Renewal of a License: Applicants were in forestry which does not require a farm labor contractor license</w:t>
      </w:r>
      <w:r>
        <w:rPr>
          <w:rFonts w:ascii="Arial" w:hAnsi="Arial" w:cs="Arial"/>
          <w:sz w:val="18"/>
          <w:szCs w:val="18"/>
        </w:rPr>
        <w:t>.</w:t>
      </w:r>
    </w:p>
    <w:p w14:paraId="7DAE8D80" w14:textId="26DF18D7" w:rsidR="001C5D38" w:rsidRPr="0085081D" w:rsidRDefault="001C5D38" w:rsidP="001C5D38">
      <w:pPr>
        <w:jc w:val="both"/>
        <w:rPr>
          <w:rFonts w:ascii="Arial" w:hAnsi="Arial" w:cs="Arial"/>
          <w:sz w:val="18"/>
          <w:szCs w:val="18"/>
        </w:rPr>
      </w:pPr>
      <w:r>
        <w:rPr>
          <w:rFonts w:ascii="Arial" w:hAnsi="Arial" w:cs="Arial"/>
          <w:sz w:val="18"/>
          <w:szCs w:val="18"/>
        </w:rPr>
        <w:t>***</w:t>
      </w:r>
      <w:r w:rsidR="00B43570">
        <w:rPr>
          <w:rFonts w:ascii="Arial" w:hAnsi="Arial" w:cs="Arial"/>
          <w:sz w:val="18"/>
          <w:szCs w:val="18"/>
        </w:rPr>
        <w:t>*</w:t>
      </w:r>
      <w:r w:rsidR="00C449E3">
        <w:rPr>
          <w:rFonts w:ascii="Arial" w:hAnsi="Arial" w:cs="Arial"/>
          <w:sz w:val="18"/>
          <w:szCs w:val="18"/>
        </w:rPr>
        <w:t>*</w:t>
      </w:r>
      <w:r w:rsidRPr="001C5D38">
        <w:rPr>
          <w:rFonts w:ascii="Arial" w:hAnsi="Arial" w:cs="Arial"/>
          <w:sz w:val="18"/>
          <w:szCs w:val="18"/>
        </w:rPr>
        <w:t>Final Disciplinary Actions Against Licensees:</w:t>
      </w:r>
      <w:r w:rsidR="00B43570">
        <w:rPr>
          <w:rFonts w:ascii="Arial" w:hAnsi="Arial" w:cs="Arial"/>
          <w:sz w:val="18"/>
          <w:szCs w:val="18"/>
        </w:rPr>
        <w:t xml:space="preserve"> </w:t>
      </w:r>
      <w:r>
        <w:rPr>
          <w:rFonts w:ascii="Arial" w:hAnsi="Arial" w:cs="Arial"/>
          <w:sz w:val="18"/>
          <w:szCs w:val="18"/>
        </w:rPr>
        <w:t>A</w:t>
      </w:r>
      <w:r w:rsidRPr="001C5D38">
        <w:rPr>
          <w:rFonts w:ascii="Arial" w:hAnsi="Arial" w:cs="Arial"/>
          <w:sz w:val="18"/>
          <w:szCs w:val="18"/>
        </w:rPr>
        <w:t>pplicant failed to provide Certificate of Worker’s Compensation coverage</w:t>
      </w:r>
      <w:r>
        <w:rPr>
          <w:rFonts w:ascii="Arial" w:hAnsi="Arial" w:cs="Arial"/>
          <w:sz w:val="18"/>
          <w:szCs w:val="18"/>
        </w:rPr>
        <w:t>.</w:t>
      </w:r>
      <w:r w:rsidR="00994FB5">
        <w:rPr>
          <w:rFonts w:ascii="Arial" w:hAnsi="Arial" w:cs="Arial"/>
          <w:sz w:val="18"/>
          <w:szCs w:val="18"/>
        </w:rPr>
        <w:br/>
        <w:t>****</w:t>
      </w:r>
      <w:r w:rsidR="00B43570">
        <w:rPr>
          <w:rFonts w:ascii="Arial" w:hAnsi="Arial" w:cs="Arial"/>
          <w:sz w:val="18"/>
          <w:szCs w:val="18"/>
        </w:rPr>
        <w:t>*</w:t>
      </w:r>
      <w:r w:rsidR="00C449E3">
        <w:rPr>
          <w:rFonts w:ascii="Arial" w:hAnsi="Arial" w:cs="Arial"/>
          <w:sz w:val="18"/>
          <w:szCs w:val="18"/>
        </w:rPr>
        <w:t>*</w:t>
      </w:r>
      <w:r w:rsidR="00994FB5" w:rsidRPr="001C5D38">
        <w:rPr>
          <w:rFonts w:ascii="Arial" w:hAnsi="Arial" w:cs="Arial"/>
          <w:sz w:val="18"/>
          <w:szCs w:val="18"/>
        </w:rPr>
        <w:t>Final Disciplinary Actions Against Licensees:</w:t>
      </w:r>
      <w:r w:rsidR="00994FB5">
        <w:rPr>
          <w:rFonts w:ascii="Arial" w:hAnsi="Arial" w:cs="Arial"/>
          <w:sz w:val="18"/>
          <w:szCs w:val="18"/>
        </w:rPr>
        <w:t xml:space="preserve"> Applicant failed to </w:t>
      </w:r>
      <w:r w:rsidR="00994FB5" w:rsidRPr="001C5D38">
        <w:rPr>
          <w:rFonts w:ascii="Arial" w:hAnsi="Arial" w:cs="Arial"/>
          <w:sz w:val="18"/>
          <w:szCs w:val="18"/>
        </w:rPr>
        <w:t>provide Certificate of Worker’s Compensation coverage</w:t>
      </w:r>
      <w:r w:rsidR="00994FB5">
        <w:rPr>
          <w:rFonts w:ascii="Arial" w:hAnsi="Arial" w:cs="Arial"/>
          <w:sz w:val="18"/>
          <w:szCs w:val="18"/>
        </w:rPr>
        <w:t xml:space="preserve"> documents</w:t>
      </w:r>
      <w:r w:rsidR="00994FB5" w:rsidRPr="00994FB5">
        <w:rPr>
          <w:rFonts w:ascii="Arial" w:hAnsi="Arial" w:cs="Arial"/>
          <w:sz w:val="18"/>
          <w:szCs w:val="18"/>
        </w:rPr>
        <w:t xml:space="preserve">. </w:t>
      </w:r>
      <w:r w:rsidR="00994FB5">
        <w:rPr>
          <w:rFonts w:ascii="Arial" w:hAnsi="Arial" w:cs="Arial"/>
          <w:sz w:val="18"/>
          <w:szCs w:val="18"/>
        </w:rPr>
        <w:t>T</w:t>
      </w:r>
      <w:r w:rsidR="00994FB5" w:rsidRPr="00994FB5">
        <w:rPr>
          <w:rFonts w:ascii="Arial" w:hAnsi="Arial" w:cs="Arial"/>
          <w:sz w:val="18"/>
          <w:szCs w:val="18"/>
        </w:rPr>
        <w:t>he employer</w:t>
      </w:r>
      <w:r w:rsidR="00994FB5">
        <w:rPr>
          <w:rFonts w:ascii="Arial" w:hAnsi="Arial" w:cs="Arial"/>
          <w:sz w:val="18"/>
          <w:szCs w:val="18"/>
        </w:rPr>
        <w:t xml:space="preserve"> later</w:t>
      </w:r>
      <w:r w:rsidR="00994FB5" w:rsidRPr="00994FB5">
        <w:rPr>
          <w:rFonts w:ascii="Arial" w:hAnsi="Arial" w:cs="Arial"/>
          <w:sz w:val="18"/>
          <w:szCs w:val="18"/>
        </w:rPr>
        <w:t xml:space="preserve"> provided the documentation and is now licensed.</w:t>
      </w:r>
    </w:p>
    <w:bookmarkEnd w:id="4"/>
    <w:p w14:paraId="5A9760AF" w14:textId="77777777" w:rsidR="00007259" w:rsidRDefault="00007259" w:rsidP="00391633">
      <w:pPr>
        <w:jc w:val="both"/>
        <w:outlineLvl w:val="0"/>
        <w:rPr>
          <w:rFonts w:ascii="Arial" w:hAnsi="Arial" w:cs="Arial"/>
          <w:color w:val="000080"/>
        </w:rPr>
      </w:pPr>
    </w:p>
    <w:p w14:paraId="75DA0221" w14:textId="77777777" w:rsidR="00C449E3" w:rsidRDefault="00C449E3" w:rsidP="00391633">
      <w:pPr>
        <w:jc w:val="both"/>
        <w:outlineLvl w:val="0"/>
        <w:rPr>
          <w:rFonts w:ascii="Arial" w:hAnsi="Arial" w:cs="Arial"/>
          <w:color w:val="000080"/>
        </w:rPr>
      </w:pPr>
    </w:p>
    <w:p w14:paraId="51315D01" w14:textId="77777777" w:rsidR="00C05F16" w:rsidRPr="00391633" w:rsidRDefault="00C05F16" w:rsidP="00391633">
      <w:pPr>
        <w:jc w:val="both"/>
        <w:outlineLvl w:val="0"/>
        <w:rPr>
          <w:rFonts w:ascii="Arial" w:hAnsi="Arial" w:cs="Arial"/>
          <w:color w:val="000080"/>
        </w:rPr>
      </w:pPr>
    </w:p>
    <w:p w14:paraId="5E55B8A7" w14:textId="7ADF9D62" w:rsidR="00236A7F" w:rsidRPr="00AC2EF2" w:rsidRDefault="607C4A4B" w:rsidP="607C4A4B">
      <w:pPr>
        <w:jc w:val="both"/>
        <w:outlineLvl w:val="0"/>
        <w:rPr>
          <w:rFonts w:ascii="Arial" w:hAnsi="Arial" w:cs="Arial"/>
          <w:b/>
          <w:bCs/>
          <w:color w:val="FF0000"/>
          <w:sz w:val="28"/>
          <w:szCs w:val="28"/>
        </w:rPr>
      </w:pPr>
      <w:r w:rsidRPr="003C73E5">
        <w:rPr>
          <w:rFonts w:ascii="Arial" w:hAnsi="Arial" w:cs="Arial"/>
          <w:b/>
          <w:bCs/>
          <w:i/>
          <w:iCs/>
          <w:color w:val="000080"/>
          <w:sz w:val="28"/>
          <w:szCs w:val="28"/>
        </w:rPr>
        <w:t>Part II – Performance Measures</w:t>
      </w:r>
      <w:r w:rsidR="00AC2EF2">
        <w:rPr>
          <w:rFonts w:ascii="Arial" w:hAnsi="Arial" w:cs="Arial"/>
          <w:b/>
          <w:bCs/>
          <w:color w:val="FF0000"/>
          <w:sz w:val="28"/>
          <w:szCs w:val="28"/>
        </w:rPr>
        <w:t xml:space="preserve">  </w:t>
      </w:r>
    </w:p>
    <w:p w14:paraId="1999D2BC" w14:textId="77777777" w:rsidR="00236A7F" w:rsidRPr="00F9265F" w:rsidRDefault="00236A7F" w:rsidP="00236A7F">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973"/>
        <w:gridCol w:w="1123"/>
        <w:gridCol w:w="1212"/>
        <w:gridCol w:w="1140"/>
        <w:gridCol w:w="1266"/>
        <w:gridCol w:w="1183"/>
        <w:gridCol w:w="1183"/>
      </w:tblGrid>
      <w:tr w:rsidR="00E815B8" w14:paraId="15EAD929" w14:textId="77777777" w:rsidTr="004F2624">
        <w:trPr>
          <w:cantSplit/>
          <w:trHeight w:val="350"/>
          <w:tblHeader/>
        </w:trPr>
        <w:tc>
          <w:tcPr>
            <w:tcW w:w="4096" w:type="dxa"/>
            <w:gridSpan w:val="2"/>
            <w:shd w:val="clear" w:color="auto" w:fill="000080"/>
            <w:vAlign w:val="bottom"/>
          </w:tcPr>
          <w:p w14:paraId="3D3637A3" w14:textId="6629B7B0" w:rsidR="00E815B8" w:rsidRDefault="00E815B8" w:rsidP="00E815B8">
            <w:pPr>
              <w:rPr>
                <w:rFonts w:ascii="Arial" w:hAnsi="Arial" w:cs="Arial"/>
                <w:b/>
                <w:bCs/>
                <w:color w:val="FFFFFF" w:themeColor="background1"/>
                <w:sz w:val="20"/>
                <w:szCs w:val="20"/>
              </w:rPr>
            </w:pPr>
            <w:r w:rsidRPr="607C4A4B">
              <w:rPr>
                <w:rFonts w:ascii="Arial" w:hAnsi="Arial" w:cs="Arial"/>
                <w:b/>
                <w:bCs/>
                <w:color w:val="FFFFFF" w:themeColor="background1"/>
                <w:sz w:val="20"/>
                <w:szCs w:val="20"/>
              </w:rPr>
              <w:t>Performance Measure</w:t>
            </w:r>
          </w:p>
        </w:tc>
        <w:tc>
          <w:tcPr>
            <w:tcW w:w="1212" w:type="dxa"/>
            <w:shd w:val="clear" w:color="auto" w:fill="000080"/>
            <w:vAlign w:val="bottom"/>
          </w:tcPr>
          <w:p w14:paraId="64012AAD" w14:textId="62BA3C06" w:rsidR="00E815B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2022</w:t>
            </w:r>
          </w:p>
        </w:tc>
        <w:tc>
          <w:tcPr>
            <w:tcW w:w="1140" w:type="dxa"/>
            <w:shd w:val="clear" w:color="auto" w:fill="000080"/>
            <w:vAlign w:val="bottom"/>
          </w:tcPr>
          <w:p w14:paraId="1BCF0D1C" w14:textId="431C75E8" w:rsidR="00E815B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2023</w:t>
            </w:r>
          </w:p>
        </w:tc>
        <w:tc>
          <w:tcPr>
            <w:tcW w:w="1266" w:type="dxa"/>
            <w:shd w:val="clear" w:color="auto" w:fill="000080"/>
            <w:vAlign w:val="bottom"/>
          </w:tcPr>
          <w:p w14:paraId="7136B1FA" w14:textId="09A20FEC" w:rsidR="00E815B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2024</w:t>
            </w:r>
          </w:p>
        </w:tc>
        <w:tc>
          <w:tcPr>
            <w:tcW w:w="1183" w:type="dxa"/>
            <w:shd w:val="clear" w:color="auto" w:fill="000080"/>
            <w:vAlign w:val="bottom"/>
          </w:tcPr>
          <w:p w14:paraId="5A56B69C" w14:textId="05D1CCBD" w:rsidR="00E815B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2025</w:t>
            </w:r>
          </w:p>
        </w:tc>
        <w:tc>
          <w:tcPr>
            <w:tcW w:w="1183" w:type="dxa"/>
            <w:shd w:val="clear" w:color="auto" w:fill="000080"/>
            <w:vAlign w:val="bottom"/>
          </w:tcPr>
          <w:p w14:paraId="4BA86300" w14:textId="2891FA4F" w:rsidR="00E815B8" w:rsidRDefault="00E815B8" w:rsidP="00E815B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FY 2026</w:t>
            </w:r>
          </w:p>
        </w:tc>
      </w:tr>
      <w:tr w:rsidR="00E815B8" w:rsidRPr="00AD2A60" w14:paraId="12A28441" w14:textId="77777777" w:rsidTr="00F74154">
        <w:trPr>
          <w:cantSplit/>
          <w:trHeight w:val="455"/>
        </w:trPr>
        <w:tc>
          <w:tcPr>
            <w:tcW w:w="10080" w:type="dxa"/>
            <w:gridSpan w:val="7"/>
            <w:shd w:val="clear" w:color="auto" w:fill="DBE5F1" w:themeFill="accent1" w:themeFillTint="33"/>
            <w:vAlign w:val="center"/>
          </w:tcPr>
          <w:p w14:paraId="42DF5C8B" w14:textId="77777777" w:rsidR="00E815B8" w:rsidRDefault="00E815B8" w:rsidP="00E815B8">
            <w:pPr>
              <w:jc w:val="center"/>
              <w:rPr>
                <w:rFonts w:ascii="Arial" w:hAnsi="Arial" w:cs="Arial"/>
                <w:b/>
                <w:bCs/>
                <w:sz w:val="20"/>
              </w:rPr>
            </w:pPr>
          </w:p>
          <w:p w14:paraId="0DEE1AA3" w14:textId="37150C0F" w:rsidR="00E815B8" w:rsidRDefault="00E815B8" w:rsidP="00E815B8">
            <w:pPr>
              <w:jc w:val="center"/>
              <w:rPr>
                <w:rFonts w:ascii="Arial" w:hAnsi="Arial" w:cs="Arial"/>
                <w:b/>
                <w:bCs/>
                <w:sz w:val="20"/>
              </w:rPr>
            </w:pPr>
            <w:r>
              <w:rPr>
                <w:rFonts w:ascii="Arial" w:hAnsi="Arial" w:cs="Arial"/>
                <w:b/>
                <w:bCs/>
                <w:sz w:val="20"/>
              </w:rPr>
              <w:t>Goal I:</w:t>
            </w:r>
          </w:p>
          <w:p w14:paraId="0280A667" w14:textId="345579E4" w:rsidR="00E815B8" w:rsidRDefault="00E815B8" w:rsidP="00E815B8">
            <w:pPr>
              <w:jc w:val="center"/>
              <w:rPr>
                <w:rFonts w:ascii="Arial" w:hAnsi="Arial" w:cs="Arial"/>
                <w:b/>
                <w:bCs/>
                <w:sz w:val="20"/>
              </w:rPr>
            </w:pPr>
            <w:r>
              <w:rPr>
                <w:rFonts w:ascii="Arial" w:hAnsi="Arial" w:cs="Arial"/>
                <w:b/>
                <w:bCs/>
                <w:sz w:val="20"/>
              </w:rPr>
              <w:t xml:space="preserve">Prepare </w:t>
            </w:r>
            <w:r w:rsidRPr="00754BF8">
              <w:rPr>
                <w:rFonts w:ascii="Arial" w:hAnsi="Arial" w:cs="Arial"/>
                <w:b/>
                <w:bCs/>
                <w:sz w:val="20"/>
              </w:rPr>
              <w:t>job seekers to meet current, future workforce needs of employers in Idaho</w:t>
            </w:r>
          </w:p>
          <w:p w14:paraId="40658B6C" w14:textId="77777777" w:rsidR="00E815B8" w:rsidRPr="0085081D" w:rsidRDefault="00E815B8" w:rsidP="00E815B8">
            <w:pPr>
              <w:jc w:val="center"/>
              <w:rPr>
                <w:rFonts w:ascii="Arial" w:hAnsi="Arial" w:cs="Arial"/>
                <w:sz w:val="20"/>
                <w:szCs w:val="20"/>
              </w:rPr>
            </w:pPr>
          </w:p>
        </w:tc>
      </w:tr>
      <w:tr w:rsidR="00E815B8" w:rsidRPr="00AD2A60" w14:paraId="0AF42734" w14:textId="77777777" w:rsidTr="00EA1956">
        <w:trPr>
          <w:cantSplit/>
          <w:trHeight w:val="455"/>
        </w:trPr>
        <w:tc>
          <w:tcPr>
            <w:tcW w:w="2973" w:type="dxa"/>
            <w:vMerge w:val="restart"/>
            <w:shd w:val="clear" w:color="auto" w:fill="auto"/>
          </w:tcPr>
          <w:p w14:paraId="6D99AB6B" w14:textId="11339E80" w:rsidR="00E815B8" w:rsidRPr="004E1503" w:rsidRDefault="00E815B8" w:rsidP="00E815B8">
            <w:pPr>
              <w:pStyle w:val="ListParagraph"/>
              <w:numPr>
                <w:ilvl w:val="0"/>
                <w:numId w:val="8"/>
              </w:numPr>
              <w:rPr>
                <w:rFonts w:ascii="Arial" w:hAnsi="Arial" w:cs="Arial"/>
                <w:sz w:val="20"/>
                <w:szCs w:val="20"/>
              </w:rPr>
            </w:pPr>
            <w:bookmarkStart w:id="7" w:name="_Hlk79588266"/>
            <w:r w:rsidRPr="004E1503">
              <w:rPr>
                <w:rFonts w:ascii="Arial" w:hAnsi="Arial" w:cs="Arial"/>
                <w:i/>
                <w:iCs/>
                <w:sz w:val="20"/>
                <w:szCs w:val="20"/>
              </w:rPr>
              <w:t>Employment Services</w:t>
            </w:r>
            <w:r w:rsidRPr="004E1503">
              <w:rPr>
                <w:rFonts w:ascii="Arial" w:hAnsi="Arial" w:cs="Arial"/>
                <w:sz w:val="20"/>
                <w:szCs w:val="20"/>
              </w:rPr>
              <w:t xml:space="preserve"> – Entered Employment Rate </w:t>
            </w:r>
          </w:p>
        </w:tc>
        <w:tc>
          <w:tcPr>
            <w:tcW w:w="1123" w:type="dxa"/>
            <w:shd w:val="clear" w:color="auto" w:fill="D9D9D9" w:themeFill="background1" w:themeFillShade="D9"/>
            <w:vAlign w:val="center"/>
          </w:tcPr>
          <w:p w14:paraId="3B522A8C" w14:textId="77777777" w:rsidR="00E815B8" w:rsidRPr="0085081D" w:rsidRDefault="00E815B8" w:rsidP="00E815B8">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5A370E4E" w14:textId="660A864F" w:rsidR="00E815B8" w:rsidRPr="0085081D" w:rsidRDefault="00E815B8" w:rsidP="00E815B8">
            <w:pPr>
              <w:jc w:val="center"/>
              <w:rPr>
                <w:rFonts w:ascii="Arial" w:hAnsi="Arial" w:cs="Arial"/>
                <w:sz w:val="20"/>
                <w:szCs w:val="20"/>
              </w:rPr>
            </w:pPr>
            <w:r w:rsidRPr="009E6BF8">
              <w:rPr>
                <w:rFonts w:ascii="Arial" w:hAnsi="Arial" w:cs="Arial"/>
                <w:sz w:val="20"/>
                <w:szCs w:val="20"/>
              </w:rPr>
              <w:t>62</w:t>
            </w:r>
            <w:r>
              <w:rPr>
                <w:rFonts w:ascii="Arial" w:hAnsi="Arial" w:cs="Arial"/>
                <w:sz w:val="20"/>
                <w:szCs w:val="20"/>
              </w:rPr>
              <w:t>.2</w:t>
            </w:r>
            <w:r w:rsidRPr="009E6BF8">
              <w:rPr>
                <w:rFonts w:ascii="Arial" w:hAnsi="Arial" w:cs="Arial"/>
                <w:sz w:val="20"/>
                <w:szCs w:val="20"/>
              </w:rPr>
              <w:t>%</w:t>
            </w:r>
          </w:p>
        </w:tc>
        <w:tc>
          <w:tcPr>
            <w:tcW w:w="1140" w:type="dxa"/>
            <w:shd w:val="clear" w:color="auto" w:fill="D9D9D9" w:themeFill="background1" w:themeFillShade="D9"/>
            <w:vAlign w:val="center"/>
          </w:tcPr>
          <w:p w14:paraId="0D2CB130" w14:textId="3CCF75C4" w:rsidR="00E815B8" w:rsidRPr="0085081D" w:rsidRDefault="00E815B8" w:rsidP="00E815B8">
            <w:pPr>
              <w:jc w:val="center"/>
              <w:rPr>
                <w:rFonts w:ascii="Arial" w:hAnsi="Arial" w:cs="Arial"/>
                <w:sz w:val="20"/>
                <w:szCs w:val="20"/>
              </w:rPr>
            </w:pPr>
            <w:r>
              <w:rPr>
                <w:rFonts w:ascii="Arial" w:hAnsi="Arial" w:cs="Arial"/>
                <w:sz w:val="20"/>
                <w:szCs w:val="20"/>
              </w:rPr>
              <w:t>69.7%</w:t>
            </w:r>
          </w:p>
        </w:tc>
        <w:tc>
          <w:tcPr>
            <w:tcW w:w="1266" w:type="dxa"/>
            <w:shd w:val="clear" w:color="auto" w:fill="D9D9D9" w:themeFill="background1" w:themeFillShade="D9"/>
            <w:vAlign w:val="center"/>
          </w:tcPr>
          <w:p w14:paraId="069632AB" w14:textId="7DE5BDB6" w:rsidR="00E815B8" w:rsidRPr="0085081D" w:rsidRDefault="00E815B8" w:rsidP="00E815B8">
            <w:pPr>
              <w:jc w:val="center"/>
              <w:rPr>
                <w:rFonts w:ascii="Arial" w:hAnsi="Arial" w:cs="Arial"/>
                <w:sz w:val="20"/>
                <w:szCs w:val="20"/>
                <w:highlight w:val="lightGray"/>
              </w:rPr>
            </w:pPr>
            <w:r>
              <w:rPr>
                <w:rFonts w:ascii="Arial" w:hAnsi="Arial" w:cs="Arial"/>
                <w:sz w:val="20"/>
                <w:szCs w:val="20"/>
              </w:rPr>
              <w:t>72.2%</w:t>
            </w:r>
          </w:p>
        </w:tc>
        <w:tc>
          <w:tcPr>
            <w:tcW w:w="1183" w:type="dxa"/>
            <w:shd w:val="clear" w:color="auto" w:fill="D9D9D9" w:themeFill="background1" w:themeFillShade="D9"/>
            <w:vAlign w:val="center"/>
          </w:tcPr>
          <w:p w14:paraId="4B226E63" w14:textId="42C0781D" w:rsidR="00E815B8" w:rsidRPr="009E6BF8" w:rsidRDefault="00E815B8" w:rsidP="00E815B8">
            <w:pPr>
              <w:jc w:val="center"/>
              <w:rPr>
                <w:rFonts w:ascii="Arial" w:hAnsi="Arial" w:cs="Arial"/>
                <w:sz w:val="20"/>
                <w:szCs w:val="20"/>
              </w:rPr>
            </w:pPr>
          </w:p>
        </w:tc>
        <w:tc>
          <w:tcPr>
            <w:tcW w:w="1183" w:type="dxa"/>
            <w:shd w:val="clear" w:color="auto" w:fill="D9D9D9" w:themeFill="background1" w:themeFillShade="D9"/>
            <w:vAlign w:val="center"/>
          </w:tcPr>
          <w:p w14:paraId="02F1A283" w14:textId="796CE1D2" w:rsidR="00E815B8" w:rsidRPr="0085081D" w:rsidRDefault="00E815B8" w:rsidP="00E815B8">
            <w:pPr>
              <w:jc w:val="center"/>
              <w:rPr>
                <w:rFonts w:ascii="Arial" w:hAnsi="Arial" w:cs="Arial"/>
                <w:sz w:val="20"/>
                <w:szCs w:val="20"/>
              </w:rPr>
            </w:pPr>
          </w:p>
        </w:tc>
      </w:tr>
      <w:tr w:rsidR="00E815B8" w:rsidRPr="00AD2A60" w14:paraId="23BF8243" w14:textId="77777777" w:rsidTr="00EA1956">
        <w:trPr>
          <w:cantSplit/>
          <w:trHeight w:val="455"/>
        </w:trPr>
        <w:tc>
          <w:tcPr>
            <w:tcW w:w="2973" w:type="dxa"/>
            <w:vMerge/>
            <w:shd w:val="clear" w:color="auto" w:fill="auto"/>
          </w:tcPr>
          <w:p w14:paraId="53909E6E" w14:textId="77777777" w:rsidR="00E815B8" w:rsidRPr="0085081D" w:rsidRDefault="00E815B8" w:rsidP="00E815B8">
            <w:pPr>
              <w:pStyle w:val="ListParagraph"/>
              <w:numPr>
                <w:ilvl w:val="0"/>
                <w:numId w:val="8"/>
              </w:numPr>
              <w:tabs>
                <w:tab w:val="left" w:pos="2985"/>
              </w:tabs>
              <w:rPr>
                <w:rFonts w:ascii="Arial" w:hAnsi="Arial" w:cs="Arial"/>
                <w:sz w:val="20"/>
                <w:szCs w:val="20"/>
              </w:rPr>
            </w:pPr>
          </w:p>
        </w:tc>
        <w:tc>
          <w:tcPr>
            <w:tcW w:w="1123" w:type="dxa"/>
            <w:shd w:val="clear" w:color="auto" w:fill="FFFFFF" w:themeFill="background1"/>
            <w:vAlign w:val="center"/>
          </w:tcPr>
          <w:p w14:paraId="6E1AB6B1" w14:textId="77777777" w:rsidR="00E815B8" w:rsidRPr="0085081D" w:rsidRDefault="00E815B8" w:rsidP="00E815B8">
            <w:pPr>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FFFFFF" w:themeFill="background1"/>
            <w:vAlign w:val="center"/>
          </w:tcPr>
          <w:p w14:paraId="11DFA5EE" w14:textId="6A3D033A" w:rsidR="00E815B8" w:rsidRPr="0085081D" w:rsidRDefault="00E815B8" w:rsidP="00E815B8">
            <w:pPr>
              <w:jc w:val="center"/>
              <w:rPr>
                <w:rFonts w:ascii="Arial" w:hAnsi="Arial" w:cs="Arial"/>
                <w:i/>
                <w:iCs/>
                <w:sz w:val="20"/>
                <w:szCs w:val="20"/>
              </w:rPr>
            </w:pPr>
            <w:r w:rsidRPr="009E6BF8">
              <w:rPr>
                <w:rFonts w:ascii="Arial" w:hAnsi="Arial" w:cs="Arial"/>
                <w:i/>
                <w:iCs/>
                <w:sz w:val="20"/>
                <w:szCs w:val="20"/>
              </w:rPr>
              <w:t>70.1%</w:t>
            </w:r>
          </w:p>
        </w:tc>
        <w:tc>
          <w:tcPr>
            <w:tcW w:w="1140" w:type="dxa"/>
            <w:shd w:val="clear" w:color="auto" w:fill="FFFFFF" w:themeFill="background1"/>
            <w:vAlign w:val="center"/>
          </w:tcPr>
          <w:p w14:paraId="4BED583A" w14:textId="41B1AFB2" w:rsidR="00E815B8" w:rsidRPr="0085081D" w:rsidRDefault="00E815B8" w:rsidP="00E815B8">
            <w:pPr>
              <w:jc w:val="center"/>
              <w:rPr>
                <w:rFonts w:ascii="Arial" w:hAnsi="Arial" w:cs="Arial"/>
                <w:i/>
                <w:iCs/>
                <w:sz w:val="20"/>
                <w:szCs w:val="20"/>
              </w:rPr>
            </w:pPr>
            <w:r>
              <w:rPr>
                <w:rFonts w:ascii="Arial" w:hAnsi="Arial" w:cs="Arial"/>
                <w:i/>
                <w:iCs/>
                <w:sz w:val="20"/>
                <w:szCs w:val="20"/>
              </w:rPr>
              <w:t>70.1%</w:t>
            </w:r>
          </w:p>
        </w:tc>
        <w:tc>
          <w:tcPr>
            <w:tcW w:w="1266" w:type="dxa"/>
            <w:shd w:val="clear" w:color="auto" w:fill="FFFFFF" w:themeFill="background1"/>
            <w:vAlign w:val="center"/>
          </w:tcPr>
          <w:p w14:paraId="6B5E8ED2" w14:textId="58AE2185" w:rsidR="00E815B8" w:rsidRPr="0085081D" w:rsidRDefault="00E815B8" w:rsidP="00E815B8">
            <w:pPr>
              <w:jc w:val="center"/>
              <w:rPr>
                <w:rFonts w:ascii="Arial" w:hAnsi="Arial" w:cs="Arial"/>
                <w:i/>
                <w:iCs/>
                <w:sz w:val="20"/>
                <w:szCs w:val="20"/>
              </w:rPr>
            </w:pPr>
            <w:r>
              <w:rPr>
                <w:rFonts w:ascii="Arial" w:hAnsi="Arial" w:cs="Arial"/>
                <w:i/>
                <w:iCs/>
                <w:sz w:val="20"/>
                <w:szCs w:val="20"/>
              </w:rPr>
              <w:t>65.7%</w:t>
            </w:r>
          </w:p>
        </w:tc>
        <w:tc>
          <w:tcPr>
            <w:tcW w:w="1183" w:type="dxa"/>
            <w:shd w:val="clear" w:color="auto" w:fill="FFFFFF" w:themeFill="background1"/>
            <w:vAlign w:val="center"/>
          </w:tcPr>
          <w:p w14:paraId="259A01C1" w14:textId="2B48CDB3" w:rsidR="00E815B8" w:rsidRPr="009E6BF8" w:rsidRDefault="00E815B8" w:rsidP="00E815B8">
            <w:pPr>
              <w:jc w:val="center"/>
              <w:rPr>
                <w:rFonts w:ascii="Arial" w:hAnsi="Arial" w:cs="Arial"/>
                <w:i/>
                <w:iCs/>
                <w:sz w:val="20"/>
                <w:szCs w:val="20"/>
              </w:rPr>
            </w:pPr>
            <w:r>
              <w:rPr>
                <w:rFonts w:ascii="Arial" w:hAnsi="Arial" w:cs="Arial"/>
                <w:i/>
                <w:iCs/>
                <w:sz w:val="20"/>
                <w:szCs w:val="20"/>
              </w:rPr>
              <w:t>68.5%</w:t>
            </w:r>
          </w:p>
        </w:tc>
        <w:tc>
          <w:tcPr>
            <w:tcW w:w="1183" w:type="dxa"/>
            <w:shd w:val="clear" w:color="auto" w:fill="FFFFFF" w:themeFill="background1"/>
            <w:vAlign w:val="center"/>
          </w:tcPr>
          <w:p w14:paraId="20421F82" w14:textId="2E352608" w:rsidR="00E815B8" w:rsidRPr="0085081D" w:rsidRDefault="00E815B8" w:rsidP="00E815B8">
            <w:pPr>
              <w:jc w:val="center"/>
              <w:rPr>
                <w:rFonts w:ascii="Arial" w:hAnsi="Arial" w:cs="Arial"/>
                <w:i/>
                <w:iCs/>
                <w:sz w:val="20"/>
                <w:szCs w:val="20"/>
              </w:rPr>
            </w:pPr>
          </w:p>
        </w:tc>
      </w:tr>
      <w:bookmarkEnd w:id="7"/>
      <w:tr w:rsidR="00E815B8" w:rsidRPr="00AD2A60" w14:paraId="3B6DF1FD" w14:textId="77777777" w:rsidTr="00EA1956">
        <w:trPr>
          <w:cantSplit/>
          <w:trHeight w:val="455"/>
        </w:trPr>
        <w:tc>
          <w:tcPr>
            <w:tcW w:w="2973" w:type="dxa"/>
            <w:vMerge w:val="restart"/>
          </w:tcPr>
          <w:p w14:paraId="04F51B7C" w14:textId="7782B8AB" w:rsidR="00E815B8" w:rsidRPr="0085081D" w:rsidRDefault="00E815B8" w:rsidP="00E815B8">
            <w:pPr>
              <w:pStyle w:val="ListParagraph"/>
              <w:numPr>
                <w:ilvl w:val="0"/>
                <w:numId w:val="8"/>
              </w:numPr>
              <w:rPr>
                <w:rFonts w:ascii="Arial" w:hAnsi="Arial" w:cs="Arial"/>
                <w:sz w:val="20"/>
                <w:szCs w:val="20"/>
              </w:rPr>
            </w:pPr>
            <w:r w:rsidRPr="0085081D">
              <w:rPr>
                <w:rFonts w:ascii="Arial" w:hAnsi="Arial" w:cs="Arial"/>
                <w:i/>
                <w:iCs/>
                <w:sz w:val="20"/>
                <w:szCs w:val="20"/>
              </w:rPr>
              <w:lastRenderedPageBreak/>
              <w:t>Employment Services</w:t>
            </w:r>
            <w:r w:rsidRPr="0085081D">
              <w:rPr>
                <w:rFonts w:ascii="Arial" w:hAnsi="Arial" w:cs="Arial"/>
                <w:sz w:val="20"/>
                <w:szCs w:val="20"/>
              </w:rPr>
              <w:t xml:space="preserve"> – Employee Retention Rate - </w:t>
            </w:r>
          </w:p>
        </w:tc>
        <w:tc>
          <w:tcPr>
            <w:tcW w:w="1123" w:type="dxa"/>
            <w:shd w:val="clear" w:color="auto" w:fill="D9D9D9" w:themeFill="background1" w:themeFillShade="D9"/>
            <w:vAlign w:val="center"/>
          </w:tcPr>
          <w:p w14:paraId="4A2C210A" w14:textId="77777777" w:rsidR="00E815B8" w:rsidRPr="0085081D" w:rsidRDefault="00E815B8" w:rsidP="00E815B8">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19FC50EE" w14:textId="2ED9C168" w:rsidR="00E815B8" w:rsidRPr="0085081D" w:rsidRDefault="00E815B8" w:rsidP="00E815B8">
            <w:pPr>
              <w:jc w:val="center"/>
              <w:rPr>
                <w:rFonts w:ascii="Arial" w:hAnsi="Arial" w:cs="Arial"/>
                <w:sz w:val="20"/>
                <w:szCs w:val="20"/>
              </w:rPr>
            </w:pPr>
            <w:r w:rsidRPr="009E6BF8">
              <w:rPr>
                <w:rFonts w:ascii="Arial" w:hAnsi="Arial" w:cs="Arial"/>
                <w:sz w:val="20"/>
                <w:szCs w:val="20"/>
              </w:rPr>
              <w:t>63.</w:t>
            </w:r>
            <w:r>
              <w:rPr>
                <w:rFonts w:ascii="Arial" w:hAnsi="Arial" w:cs="Arial"/>
                <w:sz w:val="20"/>
                <w:szCs w:val="20"/>
              </w:rPr>
              <w:t>9</w:t>
            </w:r>
            <w:r w:rsidRPr="009E6BF8">
              <w:rPr>
                <w:rFonts w:ascii="Arial" w:hAnsi="Arial" w:cs="Arial"/>
                <w:sz w:val="20"/>
                <w:szCs w:val="20"/>
              </w:rPr>
              <w:t>%</w:t>
            </w:r>
          </w:p>
        </w:tc>
        <w:tc>
          <w:tcPr>
            <w:tcW w:w="1140" w:type="dxa"/>
            <w:shd w:val="clear" w:color="auto" w:fill="D9D9D9" w:themeFill="background1" w:themeFillShade="D9"/>
            <w:vAlign w:val="center"/>
          </w:tcPr>
          <w:p w14:paraId="7FB97B32" w14:textId="72DD78B0" w:rsidR="00E815B8" w:rsidRPr="0085081D" w:rsidRDefault="00E815B8" w:rsidP="00E815B8">
            <w:pPr>
              <w:jc w:val="center"/>
              <w:rPr>
                <w:rFonts w:ascii="Arial" w:hAnsi="Arial" w:cs="Arial"/>
                <w:sz w:val="20"/>
                <w:szCs w:val="20"/>
              </w:rPr>
            </w:pPr>
            <w:r w:rsidRPr="004E252F">
              <w:rPr>
                <w:rFonts w:ascii="Arial" w:hAnsi="Arial" w:cs="Arial"/>
                <w:sz w:val="20"/>
                <w:szCs w:val="20"/>
              </w:rPr>
              <w:t>67.</w:t>
            </w:r>
            <w:r>
              <w:rPr>
                <w:rFonts w:ascii="Arial" w:hAnsi="Arial" w:cs="Arial"/>
                <w:sz w:val="20"/>
                <w:szCs w:val="20"/>
              </w:rPr>
              <w:t>2</w:t>
            </w:r>
            <w:r w:rsidRPr="004E252F">
              <w:rPr>
                <w:rFonts w:ascii="Arial" w:hAnsi="Arial" w:cs="Arial"/>
                <w:sz w:val="20"/>
                <w:szCs w:val="20"/>
              </w:rPr>
              <w:t>%</w:t>
            </w:r>
          </w:p>
        </w:tc>
        <w:tc>
          <w:tcPr>
            <w:tcW w:w="1266" w:type="dxa"/>
            <w:shd w:val="clear" w:color="auto" w:fill="D9D9D9" w:themeFill="background1" w:themeFillShade="D9"/>
            <w:vAlign w:val="center"/>
          </w:tcPr>
          <w:p w14:paraId="09B82AF9" w14:textId="356BE3D6" w:rsidR="00E815B8" w:rsidRPr="0085081D" w:rsidRDefault="00E815B8" w:rsidP="00E815B8">
            <w:pPr>
              <w:jc w:val="center"/>
              <w:rPr>
                <w:rFonts w:ascii="Arial" w:hAnsi="Arial" w:cs="Arial"/>
                <w:sz w:val="20"/>
                <w:szCs w:val="20"/>
                <w:highlight w:val="lightGray"/>
              </w:rPr>
            </w:pPr>
            <w:r>
              <w:rPr>
                <w:rFonts w:ascii="Arial" w:hAnsi="Arial" w:cs="Arial"/>
                <w:sz w:val="20"/>
                <w:szCs w:val="20"/>
              </w:rPr>
              <w:t>69.8%</w:t>
            </w:r>
          </w:p>
        </w:tc>
        <w:tc>
          <w:tcPr>
            <w:tcW w:w="1183" w:type="dxa"/>
            <w:shd w:val="clear" w:color="auto" w:fill="D9D9D9" w:themeFill="background1" w:themeFillShade="D9"/>
            <w:vAlign w:val="center"/>
          </w:tcPr>
          <w:p w14:paraId="79554508" w14:textId="7356B96B" w:rsidR="00E815B8" w:rsidRPr="009E6BF8" w:rsidRDefault="00E815B8" w:rsidP="00E815B8">
            <w:pPr>
              <w:jc w:val="center"/>
              <w:rPr>
                <w:rFonts w:ascii="Arial" w:hAnsi="Arial" w:cs="Arial"/>
                <w:sz w:val="20"/>
                <w:szCs w:val="20"/>
              </w:rPr>
            </w:pPr>
          </w:p>
        </w:tc>
        <w:tc>
          <w:tcPr>
            <w:tcW w:w="1183" w:type="dxa"/>
            <w:shd w:val="clear" w:color="auto" w:fill="D9D9D9" w:themeFill="background1" w:themeFillShade="D9"/>
            <w:vAlign w:val="center"/>
          </w:tcPr>
          <w:p w14:paraId="5746350C" w14:textId="288972E7" w:rsidR="00E815B8" w:rsidRPr="0085081D" w:rsidRDefault="00E815B8" w:rsidP="00E815B8">
            <w:pPr>
              <w:jc w:val="center"/>
              <w:rPr>
                <w:rFonts w:ascii="Arial" w:hAnsi="Arial" w:cs="Arial"/>
                <w:sz w:val="20"/>
                <w:szCs w:val="20"/>
              </w:rPr>
            </w:pPr>
          </w:p>
        </w:tc>
      </w:tr>
      <w:tr w:rsidR="00E815B8" w:rsidRPr="00AD2A60" w14:paraId="4B387663" w14:textId="77777777" w:rsidTr="00EA1956">
        <w:trPr>
          <w:cantSplit/>
          <w:trHeight w:val="455"/>
        </w:trPr>
        <w:tc>
          <w:tcPr>
            <w:tcW w:w="2973" w:type="dxa"/>
            <w:vMerge/>
          </w:tcPr>
          <w:p w14:paraId="03E94E95" w14:textId="77777777" w:rsidR="00E815B8" w:rsidRPr="0085081D" w:rsidRDefault="00E815B8" w:rsidP="00E815B8">
            <w:pPr>
              <w:pStyle w:val="ListParagraph"/>
              <w:numPr>
                <w:ilvl w:val="0"/>
                <w:numId w:val="8"/>
              </w:numPr>
              <w:tabs>
                <w:tab w:val="left" w:pos="2985"/>
              </w:tabs>
              <w:rPr>
                <w:rFonts w:ascii="Arial" w:hAnsi="Arial" w:cs="Arial"/>
                <w:sz w:val="20"/>
                <w:szCs w:val="20"/>
              </w:rPr>
            </w:pPr>
          </w:p>
        </w:tc>
        <w:tc>
          <w:tcPr>
            <w:tcW w:w="1123" w:type="dxa"/>
            <w:shd w:val="clear" w:color="auto" w:fill="FFFFFF" w:themeFill="background1"/>
            <w:vAlign w:val="center"/>
          </w:tcPr>
          <w:p w14:paraId="28784B2D" w14:textId="77777777" w:rsidR="00E815B8" w:rsidRPr="0085081D" w:rsidRDefault="00E815B8" w:rsidP="00E815B8">
            <w:pPr>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auto"/>
            <w:vAlign w:val="center"/>
          </w:tcPr>
          <w:p w14:paraId="29E8B4CC" w14:textId="181EDCC6" w:rsidR="00E815B8" w:rsidRPr="0085081D" w:rsidRDefault="00E815B8" w:rsidP="00E815B8">
            <w:pPr>
              <w:jc w:val="center"/>
              <w:rPr>
                <w:rFonts w:ascii="Arial" w:hAnsi="Arial" w:cs="Arial"/>
                <w:i/>
                <w:iCs/>
                <w:sz w:val="20"/>
                <w:szCs w:val="20"/>
              </w:rPr>
            </w:pPr>
            <w:r w:rsidRPr="009E6BF8">
              <w:rPr>
                <w:rFonts w:ascii="Arial" w:hAnsi="Arial" w:cs="Arial"/>
                <w:i/>
                <w:iCs/>
                <w:sz w:val="20"/>
                <w:szCs w:val="20"/>
              </w:rPr>
              <w:t>70.0%</w:t>
            </w:r>
          </w:p>
        </w:tc>
        <w:tc>
          <w:tcPr>
            <w:tcW w:w="1140" w:type="dxa"/>
            <w:shd w:val="clear" w:color="auto" w:fill="FFFFFF" w:themeFill="background1"/>
            <w:vAlign w:val="center"/>
          </w:tcPr>
          <w:p w14:paraId="5F6CB978" w14:textId="73084D5A" w:rsidR="00E815B8" w:rsidRPr="0085081D" w:rsidRDefault="00E815B8" w:rsidP="00E815B8">
            <w:pPr>
              <w:jc w:val="center"/>
              <w:rPr>
                <w:rFonts w:ascii="Arial" w:hAnsi="Arial" w:cs="Arial"/>
                <w:i/>
                <w:iCs/>
                <w:sz w:val="20"/>
                <w:szCs w:val="20"/>
              </w:rPr>
            </w:pPr>
            <w:r w:rsidRPr="00DA1F7B">
              <w:rPr>
                <w:rFonts w:ascii="Arial" w:hAnsi="Arial" w:cs="Arial"/>
                <w:i/>
                <w:iCs/>
                <w:sz w:val="20"/>
                <w:szCs w:val="20"/>
              </w:rPr>
              <w:t>70.0%</w:t>
            </w:r>
          </w:p>
        </w:tc>
        <w:tc>
          <w:tcPr>
            <w:tcW w:w="1266" w:type="dxa"/>
            <w:shd w:val="clear" w:color="auto" w:fill="FFFFFF" w:themeFill="background1"/>
            <w:vAlign w:val="center"/>
          </w:tcPr>
          <w:p w14:paraId="691415BF" w14:textId="208C6318" w:rsidR="00E815B8" w:rsidRPr="0085081D" w:rsidRDefault="00E815B8" w:rsidP="00E815B8">
            <w:pPr>
              <w:jc w:val="center"/>
              <w:rPr>
                <w:rFonts w:ascii="Arial" w:hAnsi="Arial" w:cs="Arial"/>
                <w:i/>
                <w:iCs/>
                <w:sz w:val="20"/>
                <w:szCs w:val="20"/>
              </w:rPr>
            </w:pPr>
            <w:r>
              <w:rPr>
                <w:rFonts w:ascii="Arial" w:hAnsi="Arial" w:cs="Arial"/>
                <w:i/>
                <w:iCs/>
                <w:sz w:val="20"/>
                <w:szCs w:val="20"/>
              </w:rPr>
              <w:t>66.2%</w:t>
            </w:r>
          </w:p>
        </w:tc>
        <w:tc>
          <w:tcPr>
            <w:tcW w:w="1183" w:type="dxa"/>
            <w:shd w:val="clear" w:color="auto" w:fill="FFFFFF" w:themeFill="background1"/>
            <w:vAlign w:val="center"/>
          </w:tcPr>
          <w:p w14:paraId="42932278" w14:textId="44C24AB0" w:rsidR="00E815B8" w:rsidRPr="009E6BF8" w:rsidRDefault="00E815B8" w:rsidP="00E815B8">
            <w:pPr>
              <w:jc w:val="center"/>
              <w:rPr>
                <w:rFonts w:ascii="Arial" w:hAnsi="Arial" w:cs="Arial"/>
                <w:i/>
                <w:iCs/>
                <w:sz w:val="20"/>
                <w:szCs w:val="20"/>
              </w:rPr>
            </w:pPr>
            <w:r>
              <w:rPr>
                <w:rFonts w:ascii="Arial" w:hAnsi="Arial" w:cs="Arial"/>
                <w:i/>
                <w:iCs/>
                <w:sz w:val="20"/>
                <w:szCs w:val="20"/>
              </w:rPr>
              <w:t>67.9%</w:t>
            </w:r>
          </w:p>
        </w:tc>
        <w:tc>
          <w:tcPr>
            <w:tcW w:w="1183" w:type="dxa"/>
            <w:shd w:val="clear" w:color="auto" w:fill="FFFFFF" w:themeFill="background1"/>
            <w:vAlign w:val="center"/>
          </w:tcPr>
          <w:p w14:paraId="219E2685" w14:textId="4F465784" w:rsidR="00E815B8" w:rsidRPr="0085081D" w:rsidRDefault="00E815B8" w:rsidP="00E815B8">
            <w:pPr>
              <w:jc w:val="center"/>
              <w:rPr>
                <w:rFonts w:ascii="Arial" w:hAnsi="Arial" w:cs="Arial"/>
                <w:i/>
                <w:iCs/>
                <w:sz w:val="20"/>
                <w:szCs w:val="20"/>
              </w:rPr>
            </w:pPr>
          </w:p>
        </w:tc>
      </w:tr>
      <w:tr w:rsidR="00E815B8" w:rsidRPr="00AD2A60" w14:paraId="7218CBE0" w14:textId="77777777" w:rsidTr="00EA1956">
        <w:trPr>
          <w:cantSplit/>
          <w:trHeight w:val="455"/>
        </w:trPr>
        <w:tc>
          <w:tcPr>
            <w:tcW w:w="2973" w:type="dxa"/>
            <w:vMerge w:val="restart"/>
          </w:tcPr>
          <w:p w14:paraId="0BE83BB9" w14:textId="6CF36F8E" w:rsidR="00E815B8" w:rsidRPr="0085081D" w:rsidRDefault="00E815B8" w:rsidP="00E815B8">
            <w:pPr>
              <w:pStyle w:val="ListParagraph"/>
              <w:numPr>
                <w:ilvl w:val="0"/>
                <w:numId w:val="8"/>
              </w:numPr>
              <w:rPr>
                <w:rFonts w:ascii="Arial" w:hAnsi="Arial" w:cs="Arial"/>
                <w:sz w:val="20"/>
                <w:szCs w:val="20"/>
              </w:rPr>
            </w:pPr>
            <w:r w:rsidRPr="0085081D">
              <w:rPr>
                <w:rFonts w:ascii="Arial" w:hAnsi="Arial" w:cs="Arial"/>
                <w:i/>
                <w:iCs/>
                <w:sz w:val="20"/>
                <w:szCs w:val="20"/>
              </w:rPr>
              <w:t xml:space="preserve">WIOA </w:t>
            </w:r>
            <w:r w:rsidRPr="0085081D">
              <w:rPr>
                <w:rFonts w:ascii="Arial" w:hAnsi="Arial" w:cs="Arial"/>
                <w:sz w:val="20"/>
                <w:szCs w:val="20"/>
              </w:rPr>
              <w:t>–</w:t>
            </w:r>
            <w:r w:rsidRPr="0085081D">
              <w:rPr>
                <w:rFonts w:ascii="Arial" w:hAnsi="Arial" w:cs="Arial"/>
                <w:i/>
                <w:iCs/>
                <w:sz w:val="20"/>
                <w:szCs w:val="20"/>
              </w:rPr>
              <w:t xml:space="preserve"> </w:t>
            </w:r>
            <w:r w:rsidRPr="0085081D">
              <w:rPr>
                <w:rFonts w:ascii="Arial" w:hAnsi="Arial" w:cs="Arial"/>
                <w:sz w:val="20"/>
                <w:szCs w:val="20"/>
              </w:rPr>
              <w:t xml:space="preserve">Youth Placement Rate in Employment or Education </w:t>
            </w:r>
          </w:p>
        </w:tc>
        <w:tc>
          <w:tcPr>
            <w:tcW w:w="1123" w:type="dxa"/>
            <w:shd w:val="clear" w:color="auto" w:fill="D9D9D9" w:themeFill="background1" w:themeFillShade="D9"/>
            <w:vAlign w:val="center"/>
          </w:tcPr>
          <w:p w14:paraId="6747D6A9" w14:textId="77777777" w:rsidR="00E815B8" w:rsidRPr="0085081D" w:rsidRDefault="00E815B8" w:rsidP="00E815B8">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4A0302E9" w14:textId="6DC69632" w:rsidR="00E815B8" w:rsidRPr="0085081D" w:rsidRDefault="00E815B8" w:rsidP="00E815B8">
            <w:pPr>
              <w:jc w:val="center"/>
              <w:rPr>
                <w:rFonts w:ascii="Arial" w:hAnsi="Arial" w:cs="Arial"/>
                <w:sz w:val="20"/>
                <w:szCs w:val="20"/>
              </w:rPr>
            </w:pPr>
            <w:r w:rsidRPr="009E6BF8">
              <w:rPr>
                <w:rFonts w:ascii="Arial" w:hAnsi="Arial" w:cs="Arial"/>
                <w:sz w:val="20"/>
                <w:szCs w:val="20"/>
              </w:rPr>
              <w:t>81.4%</w:t>
            </w:r>
          </w:p>
        </w:tc>
        <w:tc>
          <w:tcPr>
            <w:tcW w:w="1140" w:type="dxa"/>
            <w:shd w:val="clear" w:color="auto" w:fill="D9D9D9" w:themeFill="background1" w:themeFillShade="D9"/>
            <w:vAlign w:val="center"/>
          </w:tcPr>
          <w:p w14:paraId="70938599" w14:textId="767CEFED" w:rsidR="00E815B8" w:rsidRPr="0085081D" w:rsidRDefault="00E815B8" w:rsidP="00E815B8">
            <w:pPr>
              <w:jc w:val="center"/>
              <w:rPr>
                <w:rFonts w:ascii="Arial" w:hAnsi="Arial" w:cs="Arial"/>
                <w:sz w:val="20"/>
                <w:szCs w:val="20"/>
              </w:rPr>
            </w:pPr>
            <w:r w:rsidRPr="004E252F">
              <w:rPr>
                <w:rFonts w:ascii="Arial" w:hAnsi="Arial" w:cs="Arial"/>
                <w:sz w:val="20"/>
                <w:szCs w:val="20"/>
              </w:rPr>
              <w:t>80.7%</w:t>
            </w:r>
          </w:p>
        </w:tc>
        <w:tc>
          <w:tcPr>
            <w:tcW w:w="1266" w:type="dxa"/>
            <w:shd w:val="clear" w:color="auto" w:fill="D9D9D9" w:themeFill="background1" w:themeFillShade="D9"/>
            <w:vAlign w:val="center"/>
          </w:tcPr>
          <w:p w14:paraId="6679406E" w14:textId="320D495D" w:rsidR="00E815B8" w:rsidRPr="0085081D" w:rsidRDefault="00E815B8" w:rsidP="00E815B8">
            <w:pPr>
              <w:jc w:val="center"/>
              <w:rPr>
                <w:rFonts w:ascii="Arial" w:hAnsi="Arial" w:cs="Arial"/>
                <w:sz w:val="20"/>
                <w:szCs w:val="20"/>
                <w:highlight w:val="lightGray"/>
              </w:rPr>
            </w:pPr>
            <w:r>
              <w:rPr>
                <w:rFonts w:ascii="Arial" w:hAnsi="Arial" w:cs="Arial"/>
                <w:sz w:val="20"/>
                <w:szCs w:val="20"/>
              </w:rPr>
              <w:t>76.5%</w:t>
            </w:r>
          </w:p>
        </w:tc>
        <w:tc>
          <w:tcPr>
            <w:tcW w:w="1183" w:type="dxa"/>
            <w:shd w:val="clear" w:color="auto" w:fill="D9D9D9" w:themeFill="background1" w:themeFillShade="D9"/>
            <w:vAlign w:val="center"/>
          </w:tcPr>
          <w:p w14:paraId="54A9B3EC" w14:textId="3A2D4C86" w:rsidR="00E815B8" w:rsidRPr="009E6BF8" w:rsidRDefault="00E815B8" w:rsidP="00E815B8">
            <w:pPr>
              <w:jc w:val="center"/>
              <w:rPr>
                <w:rFonts w:ascii="Arial" w:hAnsi="Arial" w:cs="Arial"/>
                <w:sz w:val="20"/>
                <w:szCs w:val="20"/>
              </w:rPr>
            </w:pPr>
          </w:p>
        </w:tc>
        <w:tc>
          <w:tcPr>
            <w:tcW w:w="1183" w:type="dxa"/>
            <w:shd w:val="clear" w:color="auto" w:fill="D9D9D9" w:themeFill="background1" w:themeFillShade="D9"/>
            <w:vAlign w:val="center"/>
          </w:tcPr>
          <w:p w14:paraId="0D683729" w14:textId="7590C010" w:rsidR="00E815B8" w:rsidRPr="0085081D" w:rsidRDefault="00E815B8" w:rsidP="00E815B8">
            <w:pPr>
              <w:jc w:val="center"/>
              <w:rPr>
                <w:rFonts w:ascii="Arial" w:hAnsi="Arial" w:cs="Arial"/>
                <w:sz w:val="20"/>
                <w:szCs w:val="20"/>
              </w:rPr>
            </w:pPr>
          </w:p>
        </w:tc>
      </w:tr>
      <w:tr w:rsidR="00E815B8" w:rsidRPr="00E305B2" w14:paraId="10E697D9" w14:textId="77777777" w:rsidTr="00EA1956">
        <w:trPr>
          <w:cantSplit/>
          <w:trHeight w:val="455"/>
        </w:trPr>
        <w:tc>
          <w:tcPr>
            <w:tcW w:w="2973" w:type="dxa"/>
            <w:vMerge/>
          </w:tcPr>
          <w:p w14:paraId="3C52421E" w14:textId="77777777" w:rsidR="00E815B8" w:rsidRPr="0085081D" w:rsidRDefault="00E815B8" w:rsidP="00E815B8">
            <w:pPr>
              <w:pStyle w:val="ListParagraph"/>
              <w:numPr>
                <w:ilvl w:val="0"/>
                <w:numId w:val="8"/>
              </w:numPr>
              <w:rPr>
                <w:rFonts w:ascii="Arial" w:hAnsi="Arial" w:cs="Arial"/>
                <w:bCs/>
                <w:sz w:val="20"/>
                <w:szCs w:val="20"/>
              </w:rPr>
            </w:pPr>
          </w:p>
        </w:tc>
        <w:tc>
          <w:tcPr>
            <w:tcW w:w="1123" w:type="dxa"/>
            <w:shd w:val="clear" w:color="auto" w:fill="FFFFFF" w:themeFill="background1"/>
            <w:vAlign w:val="center"/>
          </w:tcPr>
          <w:p w14:paraId="3ABF488C" w14:textId="77777777" w:rsidR="00E815B8" w:rsidRPr="0085081D" w:rsidRDefault="00E815B8" w:rsidP="00E815B8">
            <w:pPr>
              <w:jc w:val="center"/>
              <w:rPr>
                <w:rFonts w:ascii="Arial" w:hAnsi="Arial" w:cs="Arial"/>
                <w:sz w:val="20"/>
                <w:szCs w:val="20"/>
              </w:rPr>
            </w:pPr>
            <w:r w:rsidRPr="0085081D">
              <w:rPr>
                <w:rFonts w:ascii="Arial" w:hAnsi="Arial" w:cs="Arial"/>
                <w:i/>
                <w:iCs/>
                <w:sz w:val="20"/>
                <w:szCs w:val="20"/>
              </w:rPr>
              <w:t>target</w:t>
            </w:r>
          </w:p>
        </w:tc>
        <w:tc>
          <w:tcPr>
            <w:tcW w:w="1212" w:type="dxa"/>
            <w:shd w:val="clear" w:color="auto" w:fill="FFFFFF" w:themeFill="background1"/>
            <w:vAlign w:val="center"/>
          </w:tcPr>
          <w:p w14:paraId="574EFFEB" w14:textId="000EE18B" w:rsidR="00E815B8" w:rsidRPr="0085081D" w:rsidRDefault="00E815B8" w:rsidP="00E815B8">
            <w:pPr>
              <w:jc w:val="center"/>
              <w:rPr>
                <w:rFonts w:ascii="Arial" w:hAnsi="Arial" w:cs="Arial"/>
                <w:i/>
                <w:iCs/>
                <w:sz w:val="20"/>
                <w:szCs w:val="20"/>
              </w:rPr>
            </w:pPr>
            <w:r w:rsidRPr="0085081D">
              <w:rPr>
                <w:rFonts w:ascii="Arial" w:hAnsi="Arial" w:cs="Arial"/>
                <w:i/>
                <w:iCs/>
                <w:sz w:val="20"/>
                <w:szCs w:val="20"/>
              </w:rPr>
              <w:t>76.5%</w:t>
            </w:r>
          </w:p>
        </w:tc>
        <w:tc>
          <w:tcPr>
            <w:tcW w:w="1140" w:type="dxa"/>
            <w:shd w:val="clear" w:color="auto" w:fill="FFFFFF" w:themeFill="background1"/>
            <w:vAlign w:val="center"/>
          </w:tcPr>
          <w:p w14:paraId="0CBCCB24" w14:textId="55EF3C47" w:rsidR="00E815B8" w:rsidRPr="0085081D" w:rsidRDefault="00E815B8" w:rsidP="00E815B8">
            <w:pPr>
              <w:jc w:val="center"/>
              <w:rPr>
                <w:rFonts w:ascii="Arial" w:hAnsi="Arial" w:cs="Arial"/>
                <w:i/>
                <w:iCs/>
                <w:sz w:val="20"/>
                <w:szCs w:val="20"/>
              </w:rPr>
            </w:pPr>
            <w:r>
              <w:rPr>
                <w:rFonts w:ascii="Arial" w:hAnsi="Arial" w:cs="Arial"/>
                <w:i/>
                <w:iCs/>
                <w:sz w:val="20"/>
                <w:szCs w:val="20"/>
              </w:rPr>
              <w:t>76.5%</w:t>
            </w:r>
          </w:p>
        </w:tc>
        <w:tc>
          <w:tcPr>
            <w:tcW w:w="1266" w:type="dxa"/>
            <w:shd w:val="clear" w:color="auto" w:fill="FFFFFF" w:themeFill="background1"/>
            <w:vAlign w:val="center"/>
          </w:tcPr>
          <w:p w14:paraId="41C9E5B7" w14:textId="55E86522" w:rsidR="00E815B8" w:rsidRPr="0085081D" w:rsidRDefault="00E815B8" w:rsidP="00E815B8">
            <w:pPr>
              <w:jc w:val="center"/>
              <w:rPr>
                <w:rFonts w:ascii="Arial" w:hAnsi="Arial" w:cs="Arial"/>
                <w:i/>
                <w:iCs/>
                <w:sz w:val="20"/>
                <w:szCs w:val="20"/>
              </w:rPr>
            </w:pPr>
            <w:r>
              <w:rPr>
                <w:rFonts w:ascii="Arial" w:hAnsi="Arial" w:cs="Arial"/>
                <w:i/>
                <w:iCs/>
                <w:sz w:val="20"/>
                <w:szCs w:val="20"/>
              </w:rPr>
              <w:t>75.0%</w:t>
            </w:r>
          </w:p>
        </w:tc>
        <w:tc>
          <w:tcPr>
            <w:tcW w:w="1183" w:type="dxa"/>
            <w:shd w:val="clear" w:color="auto" w:fill="FFFFFF" w:themeFill="background1"/>
            <w:vAlign w:val="center"/>
          </w:tcPr>
          <w:p w14:paraId="797E7BD0" w14:textId="4F7C9BB2" w:rsidR="00E815B8" w:rsidRPr="0085081D" w:rsidRDefault="00E815B8" w:rsidP="00E815B8">
            <w:pPr>
              <w:jc w:val="center"/>
              <w:rPr>
                <w:rFonts w:ascii="Arial" w:hAnsi="Arial" w:cs="Arial"/>
                <w:i/>
                <w:iCs/>
                <w:sz w:val="20"/>
                <w:szCs w:val="20"/>
              </w:rPr>
            </w:pPr>
            <w:r>
              <w:rPr>
                <w:rFonts w:ascii="Arial" w:hAnsi="Arial" w:cs="Arial"/>
                <w:i/>
                <w:iCs/>
                <w:sz w:val="20"/>
                <w:szCs w:val="20"/>
              </w:rPr>
              <w:t>77.8%</w:t>
            </w:r>
          </w:p>
        </w:tc>
        <w:tc>
          <w:tcPr>
            <w:tcW w:w="1183" w:type="dxa"/>
            <w:shd w:val="clear" w:color="auto" w:fill="FFFFFF" w:themeFill="background1"/>
            <w:vAlign w:val="center"/>
          </w:tcPr>
          <w:p w14:paraId="0460CEB5" w14:textId="7BEC8744" w:rsidR="00E815B8" w:rsidRPr="0085081D" w:rsidRDefault="00E815B8" w:rsidP="00E815B8">
            <w:pPr>
              <w:jc w:val="center"/>
              <w:rPr>
                <w:rFonts w:ascii="Arial" w:hAnsi="Arial" w:cs="Arial"/>
                <w:i/>
                <w:iCs/>
                <w:sz w:val="20"/>
                <w:szCs w:val="20"/>
              </w:rPr>
            </w:pPr>
          </w:p>
        </w:tc>
      </w:tr>
      <w:tr w:rsidR="00E815B8" w:rsidRPr="0038412B" w14:paraId="5C6211E3" w14:textId="77777777" w:rsidTr="0013383C">
        <w:trPr>
          <w:cantSplit/>
          <w:trHeight w:val="455"/>
        </w:trPr>
        <w:tc>
          <w:tcPr>
            <w:tcW w:w="10080" w:type="dxa"/>
            <w:gridSpan w:val="7"/>
            <w:shd w:val="clear" w:color="auto" w:fill="DBE5F1" w:themeFill="accent1" w:themeFillTint="33"/>
            <w:vAlign w:val="center"/>
          </w:tcPr>
          <w:p w14:paraId="3C8BE2BA" w14:textId="77777777" w:rsidR="00E815B8" w:rsidRDefault="00E815B8" w:rsidP="00E815B8">
            <w:pPr>
              <w:jc w:val="center"/>
              <w:rPr>
                <w:rFonts w:ascii="Arial" w:hAnsi="Arial" w:cs="Arial"/>
                <w:b/>
                <w:bCs/>
                <w:sz w:val="20"/>
              </w:rPr>
            </w:pPr>
          </w:p>
          <w:p w14:paraId="5D85D967" w14:textId="4F542691" w:rsidR="00E815B8" w:rsidRDefault="00E815B8" w:rsidP="00E815B8">
            <w:pPr>
              <w:jc w:val="center"/>
              <w:rPr>
                <w:rFonts w:ascii="Arial" w:hAnsi="Arial" w:cs="Arial"/>
                <w:b/>
                <w:bCs/>
                <w:sz w:val="20"/>
              </w:rPr>
            </w:pPr>
            <w:r>
              <w:rPr>
                <w:rFonts w:ascii="Arial" w:hAnsi="Arial" w:cs="Arial"/>
                <w:b/>
                <w:bCs/>
                <w:sz w:val="20"/>
              </w:rPr>
              <w:t>Goal II:</w:t>
            </w:r>
          </w:p>
          <w:p w14:paraId="72F22A78" w14:textId="610775FE" w:rsidR="00E815B8" w:rsidRDefault="00E815B8" w:rsidP="00E815B8">
            <w:pPr>
              <w:jc w:val="center"/>
              <w:rPr>
                <w:rFonts w:ascii="Arial" w:hAnsi="Arial" w:cs="Arial"/>
                <w:b/>
                <w:bCs/>
                <w:sz w:val="20"/>
              </w:rPr>
            </w:pPr>
            <w:r>
              <w:rPr>
                <w:rFonts w:ascii="Arial" w:hAnsi="Arial" w:cs="Arial"/>
                <w:b/>
                <w:bCs/>
                <w:sz w:val="20"/>
              </w:rPr>
              <w:t xml:space="preserve">Provide </w:t>
            </w:r>
            <w:r w:rsidRPr="004E1503">
              <w:rPr>
                <w:rFonts w:ascii="Arial" w:hAnsi="Arial" w:cs="Arial"/>
                <w:b/>
                <w:bCs/>
                <w:sz w:val="20"/>
              </w:rPr>
              <w:t>Effective and Efficient Program Administration</w:t>
            </w:r>
          </w:p>
          <w:p w14:paraId="7ED8C09C" w14:textId="77777777" w:rsidR="00E815B8" w:rsidRPr="0085081D" w:rsidRDefault="00E815B8" w:rsidP="00E815B8">
            <w:pPr>
              <w:jc w:val="center"/>
              <w:rPr>
                <w:rFonts w:ascii="Arial" w:hAnsi="Arial" w:cs="Arial"/>
                <w:sz w:val="20"/>
                <w:szCs w:val="20"/>
              </w:rPr>
            </w:pPr>
          </w:p>
        </w:tc>
      </w:tr>
      <w:tr w:rsidR="00E815B8" w:rsidRPr="0038412B" w14:paraId="5C9DFC57" w14:textId="77777777" w:rsidTr="00EA1956">
        <w:trPr>
          <w:cantSplit/>
          <w:trHeight w:val="455"/>
        </w:trPr>
        <w:tc>
          <w:tcPr>
            <w:tcW w:w="2973" w:type="dxa"/>
            <w:vMerge w:val="restart"/>
          </w:tcPr>
          <w:p w14:paraId="795C2C1B" w14:textId="48B9406D" w:rsidR="00E815B8" w:rsidRPr="0085081D" w:rsidRDefault="00E815B8" w:rsidP="00E815B8">
            <w:pPr>
              <w:pStyle w:val="ListParagraph"/>
              <w:numPr>
                <w:ilvl w:val="0"/>
                <w:numId w:val="8"/>
              </w:numPr>
              <w:rPr>
                <w:rFonts w:ascii="Arial" w:hAnsi="Arial" w:cs="Arial"/>
                <w:i/>
                <w:iCs/>
                <w:sz w:val="20"/>
                <w:szCs w:val="20"/>
              </w:rPr>
            </w:pPr>
            <w:r w:rsidRPr="0085081D">
              <w:rPr>
                <w:rFonts w:ascii="Arial" w:hAnsi="Arial" w:cs="Arial"/>
                <w:i/>
                <w:iCs/>
                <w:sz w:val="20"/>
                <w:szCs w:val="20"/>
              </w:rPr>
              <w:t xml:space="preserve">UI - </w:t>
            </w:r>
            <w:r w:rsidRPr="0085081D">
              <w:rPr>
                <w:rFonts w:ascii="Arial" w:hAnsi="Arial" w:cs="Arial"/>
                <w:sz w:val="20"/>
                <w:szCs w:val="20"/>
              </w:rPr>
              <w:t xml:space="preserve">First Pay Benefit Timeliness </w:t>
            </w:r>
          </w:p>
        </w:tc>
        <w:tc>
          <w:tcPr>
            <w:tcW w:w="1123" w:type="dxa"/>
            <w:shd w:val="clear" w:color="auto" w:fill="D9D9D9" w:themeFill="background1" w:themeFillShade="D9"/>
            <w:vAlign w:val="center"/>
          </w:tcPr>
          <w:p w14:paraId="60150490" w14:textId="77777777" w:rsidR="00E815B8" w:rsidRPr="0085081D" w:rsidRDefault="00E815B8" w:rsidP="00E815B8">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215CF2CA" w14:textId="5565512B" w:rsidR="00E815B8" w:rsidRPr="0085081D" w:rsidRDefault="00E815B8" w:rsidP="00E815B8">
            <w:pPr>
              <w:jc w:val="center"/>
              <w:rPr>
                <w:rFonts w:ascii="Arial" w:hAnsi="Arial" w:cs="Arial"/>
                <w:sz w:val="20"/>
                <w:szCs w:val="20"/>
              </w:rPr>
            </w:pPr>
            <w:r>
              <w:rPr>
                <w:rFonts w:ascii="Arial" w:hAnsi="Arial" w:cs="Arial"/>
                <w:sz w:val="20"/>
                <w:szCs w:val="20"/>
              </w:rPr>
              <w:t>89.9%</w:t>
            </w:r>
          </w:p>
        </w:tc>
        <w:tc>
          <w:tcPr>
            <w:tcW w:w="1140" w:type="dxa"/>
            <w:shd w:val="clear" w:color="auto" w:fill="D9D9D9" w:themeFill="background1" w:themeFillShade="D9"/>
            <w:vAlign w:val="center"/>
          </w:tcPr>
          <w:p w14:paraId="05DAE722" w14:textId="2AE7AFC5" w:rsidR="00E815B8" w:rsidRPr="0085081D" w:rsidRDefault="00E815B8" w:rsidP="00E815B8">
            <w:pPr>
              <w:jc w:val="center"/>
              <w:rPr>
                <w:rFonts w:ascii="Arial" w:hAnsi="Arial" w:cs="Arial"/>
                <w:sz w:val="20"/>
                <w:szCs w:val="20"/>
              </w:rPr>
            </w:pPr>
            <w:r>
              <w:rPr>
                <w:rFonts w:ascii="Arial" w:hAnsi="Arial" w:cs="Arial"/>
                <w:sz w:val="20"/>
                <w:szCs w:val="20"/>
              </w:rPr>
              <w:t>93.4%</w:t>
            </w:r>
          </w:p>
        </w:tc>
        <w:tc>
          <w:tcPr>
            <w:tcW w:w="1266" w:type="dxa"/>
            <w:shd w:val="clear" w:color="auto" w:fill="D9D9D9" w:themeFill="background1" w:themeFillShade="D9"/>
            <w:vAlign w:val="center"/>
          </w:tcPr>
          <w:p w14:paraId="39E1BC39" w14:textId="154EE78B" w:rsidR="00E815B8" w:rsidRPr="0085081D" w:rsidRDefault="00E815B8" w:rsidP="00E815B8">
            <w:pPr>
              <w:jc w:val="center"/>
              <w:rPr>
                <w:rFonts w:ascii="Arial" w:hAnsi="Arial" w:cs="Arial"/>
                <w:sz w:val="20"/>
                <w:szCs w:val="20"/>
              </w:rPr>
            </w:pPr>
            <w:r>
              <w:rPr>
                <w:rFonts w:ascii="Arial" w:hAnsi="Arial" w:cs="Arial"/>
                <w:sz w:val="20"/>
                <w:szCs w:val="20"/>
              </w:rPr>
              <w:t>90.4%</w:t>
            </w:r>
          </w:p>
        </w:tc>
        <w:tc>
          <w:tcPr>
            <w:tcW w:w="1183" w:type="dxa"/>
            <w:shd w:val="clear" w:color="auto" w:fill="D9D9D9" w:themeFill="background1" w:themeFillShade="D9"/>
            <w:vAlign w:val="center"/>
          </w:tcPr>
          <w:p w14:paraId="23FEAB61" w14:textId="6E342803" w:rsidR="00E815B8" w:rsidRPr="0085081D" w:rsidRDefault="00E815B8" w:rsidP="00E815B8">
            <w:pPr>
              <w:jc w:val="center"/>
              <w:rPr>
                <w:rFonts w:ascii="Arial" w:hAnsi="Arial" w:cs="Arial"/>
                <w:sz w:val="20"/>
                <w:szCs w:val="20"/>
              </w:rPr>
            </w:pPr>
          </w:p>
        </w:tc>
        <w:tc>
          <w:tcPr>
            <w:tcW w:w="1183" w:type="dxa"/>
            <w:shd w:val="clear" w:color="auto" w:fill="D9D9D9" w:themeFill="background1" w:themeFillShade="D9"/>
            <w:vAlign w:val="center"/>
          </w:tcPr>
          <w:p w14:paraId="7C016574" w14:textId="3490BEA6" w:rsidR="00E815B8" w:rsidRPr="0085081D" w:rsidRDefault="00E815B8" w:rsidP="00E815B8">
            <w:pPr>
              <w:jc w:val="center"/>
              <w:rPr>
                <w:rFonts w:ascii="Arial" w:hAnsi="Arial" w:cs="Arial"/>
                <w:sz w:val="20"/>
                <w:szCs w:val="20"/>
              </w:rPr>
            </w:pPr>
          </w:p>
        </w:tc>
      </w:tr>
      <w:tr w:rsidR="00E815B8" w:rsidRPr="0038412B" w14:paraId="37F79AD6" w14:textId="77777777" w:rsidTr="00EA1956">
        <w:trPr>
          <w:cantSplit/>
          <w:trHeight w:val="455"/>
        </w:trPr>
        <w:tc>
          <w:tcPr>
            <w:tcW w:w="2973" w:type="dxa"/>
            <w:vMerge/>
          </w:tcPr>
          <w:p w14:paraId="33E67058" w14:textId="77777777" w:rsidR="00E815B8" w:rsidRPr="0085081D" w:rsidRDefault="00E815B8" w:rsidP="00E815B8">
            <w:pPr>
              <w:rPr>
                <w:rFonts w:ascii="Arial" w:hAnsi="Arial" w:cs="Arial"/>
                <w:iCs/>
                <w:sz w:val="20"/>
                <w:szCs w:val="20"/>
              </w:rPr>
            </w:pPr>
          </w:p>
        </w:tc>
        <w:tc>
          <w:tcPr>
            <w:tcW w:w="1123" w:type="dxa"/>
            <w:shd w:val="clear" w:color="auto" w:fill="auto"/>
            <w:vAlign w:val="center"/>
          </w:tcPr>
          <w:p w14:paraId="2A70B889" w14:textId="77777777" w:rsidR="00E815B8" w:rsidRPr="0085081D" w:rsidRDefault="00E815B8" w:rsidP="00E815B8">
            <w:pPr>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auto"/>
            <w:vAlign w:val="center"/>
          </w:tcPr>
          <w:p w14:paraId="41642E12" w14:textId="477DAE62" w:rsidR="00E815B8" w:rsidRPr="0085081D" w:rsidRDefault="00E815B8" w:rsidP="00E815B8">
            <w:pPr>
              <w:jc w:val="center"/>
              <w:rPr>
                <w:rFonts w:ascii="Arial" w:hAnsi="Arial" w:cs="Arial"/>
                <w:i/>
                <w:iCs/>
                <w:sz w:val="20"/>
                <w:szCs w:val="20"/>
              </w:rPr>
            </w:pPr>
            <w:r w:rsidRPr="0085081D">
              <w:rPr>
                <w:rFonts w:ascii="Arial" w:hAnsi="Arial" w:cs="Arial"/>
                <w:i/>
                <w:iCs/>
                <w:sz w:val="20"/>
                <w:szCs w:val="20"/>
              </w:rPr>
              <w:t>&gt;=87.0%</w:t>
            </w:r>
          </w:p>
        </w:tc>
        <w:tc>
          <w:tcPr>
            <w:tcW w:w="1140" w:type="dxa"/>
            <w:shd w:val="clear" w:color="auto" w:fill="auto"/>
            <w:vAlign w:val="center"/>
          </w:tcPr>
          <w:p w14:paraId="3B483B43" w14:textId="3B97CA3B" w:rsidR="00E815B8" w:rsidRPr="0085081D" w:rsidRDefault="00E815B8" w:rsidP="00E815B8">
            <w:pPr>
              <w:jc w:val="center"/>
              <w:rPr>
                <w:rFonts w:ascii="Arial" w:hAnsi="Arial" w:cs="Arial"/>
                <w:i/>
                <w:iCs/>
                <w:sz w:val="20"/>
                <w:szCs w:val="20"/>
              </w:rPr>
            </w:pPr>
            <w:r w:rsidRPr="0085081D">
              <w:rPr>
                <w:rFonts w:ascii="Arial" w:hAnsi="Arial" w:cs="Arial"/>
                <w:i/>
                <w:iCs/>
                <w:sz w:val="20"/>
                <w:szCs w:val="20"/>
              </w:rPr>
              <w:t>&gt;=87.0%</w:t>
            </w:r>
          </w:p>
        </w:tc>
        <w:tc>
          <w:tcPr>
            <w:tcW w:w="1266" w:type="dxa"/>
            <w:shd w:val="clear" w:color="auto" w:fill="auto"/>
            <w:vAlign w:val="center"/>
          </w:tcPr>
          <w:p w14:paraId="5D164132" w14:textId="49361119" w:rsidR="00E815B8" w:rsidRPr="0085081D" w:rsidRDefault="00E815B8" w:rsidP="00E815B8">
            <w:pPr>
              <w:jc w:val="center"/>
              <w:rPr>
                <w:rFonts w:ascii="Arial" w:hAnsi="Arial" w:cs="Arial"/>
                <w:i/>
                <w:iCs/>
                <w:sz w:val="20"/>
                <w:szCs w:val="20"/>
              </w:rPr>
            </w:pPr>
            <w:r w:rsidRPr="0085081D">
              <w:rPr>
                <w:rFonts w:ascii="Arial" w:hAnsi="Arial" w:cs="Arial"/>
                <w:i/>
                <w:iCs/>
                <w:sz w:val="20"/>
                <w:szCs w:val="20"/>
              </w:rPr>
              <w:t>&gt;=87.0%</w:t>
            </w:r>
          </w:p>
        </w:tc>
        <w:tc>
          <w:tcPr>
            <w:tcW w:w="1183" w:type="dxa"/>
            <w:shd w:val="clear" w:color="auto" w:fill="auto"/>
            <w:vAlign w:val="center"/>
          </w:tcPr>
          <w:p w14:paraId="39CFFC6C" w14:textId="3A3AD9DA" w:rsidR="00E815B8" w:rsidRPr="0085081D" w:rsidRDefault="00E815B8" w:rsidP="00E815B8">
            <w:pPr>
              <w:jc w:val="center"/>
              <w:rPr>
                <w:rFonts w:ascii="Arial" w:hAnsi="Arial" w:cs="Arial"/>
                <w:i/>
                <w:iCs/>
                <w:sz w:val="20"/>
                <w:szCs w:val="20"/>
              </w:rPr>
            </w:pPr>
            <w:r w:rsidRPr="0085081D">
              <w:rPr>
                <w:rFonts w:ascii="Arial" w:hAnsi="Arial" w:cs="Arial"/>
                <w:i/>
                <w:iCs/>
                <w:sz w:val="20"/>
                <w:szCs w:val="20"/>
              </w:rPr>
              <w:t>&gt;=87.0%</w:t>
            </w:r>
          </w:p>
        </w:tc>
        <w:tc>
          <w:tcPr>
            <w:tcW w:w="1183" w:type="dxa"/>
            <w:shd w:val="clear" w:color="auto" w:fill="auto"/>
            <w:vAlign w:val="center"/>
          </w:tcPr>
          <w:p w14:paraId="7B138C3B" w14:textId="6009562F" w:rsidR="00E815B8" w:rsidRPr="0085081D" w:rsidRDefault="00E815B8" w:rsidP="00E815B8">
            <w:pPr>
              <w:jc w:val="center"/>
              <w:rPr>
                <w:rFonts w:ascii="Arial" w:hAnsi="Arial" w:cs="Arial"/>
                <w:i/>
                <w:iCs/>
                <w:sz w:val="20"/>
                <w:szCs w:val="20"/>
              </w:rPr>
            </w:pPr>
          </w:p>
        </w:tc>
      </w:tr>
      <w:tr w:rsidR="00E815B8" w:rsidRPr="0038412B" w14:paraId="3F3B70B1" w14:textId="77777777" w:rsidTr="00EA1956">
        <w:trPr>
          <w:cantSplit/>
          <w:trHeight w:val="455"/>
        </w:trPr>
        <w:tc>
          <w:tcPr>
            <w:tcW w:w="2973" w:type="dxa"/>
            <w:vMerge w:val="restart"/>
          </w:tcPr>
          <w:p w14:paraId="30FBD0B2" w14:textId="2817DA17" w:rsidR="00E815B8" w:rsidRPr="00EA1956" w:rsidRDefault="00E815B8" w:rsidP="00E815B8">
            <w:pPr>
              <w:pStyle w:val="ListParagraph"/>
              <w:keepNext/>
              <w:numPr>
                <w:ilvl w:val="0"/>
                <w:numId w:val="8"/>
              </w:numPr>
              <w:rPr>
                <w:rFonts w:ascii="Arial" w:hAnsi="Arial" w:cs="Arial"/>
                <w:i/>
                <w:iCs/>
                <w:sz w:val="20"/>
                <w:szCs w:val="20"/>
              </w:rPr>
            </w:pPr>
            <w:bookmarkStart w:id="8" w:name="_Hlk48564669"/>
            <w:r w:rsidRPr="0085081D">
              <w:rPr>
                <w:rFonts w:ascii="Arial" w:hAnsi="Arial" w:cs="Arial"/>
                <w:i/>
                <w:iCs/>
                <w:sz w:val="20"/>
                <w:szCs w:val="20"/>
              </w:rPr>
              <w:t>UI-</w:t>
            </w:r>
            <w:r w:rsidRPr="0085081D">
              <w:rPr>
                <w:rFonts w:ascii="Arial" w:hAnsi="Arial" w:cs="Arial"/>
                <w:sz w:val="20"/>
                <w:szCs w:val="20"/>
              </w:rPr>
              <w:t>Non-Monetary Determination</w:t>
            </w:r>
            <w:r>
              <w:rPr>
                <w:rFonts w:ascii="Arial" w:hAnsi="Arial" w:cs="Arial"/>
                <w:sz w:val="20"/>
                <w:szCs w:val="20"/>
              </w:rPr>
              <w:t xml:space="preserve"> Timeliness</w:t>
            </w:r>
            <w:r w:rsidRPr="0085081D">
              <w:rPr>
                <w:rFonts w:ascii="Arial" w:hAnsi="Arial" w:cs="Arial"/>
                <w:sz w:val="20"/>
                <w:szCs w:val="20"/>
              </w:rPr>
              <w:t xml:space="preserve"> </w:t>
            </w:r>
            <w:bookmarkEnd w:id="8"/>
          </w:p>
        </w:tc>
        <w:tc>
          <w:tcPr>
            <w:tcW w:w="1123" w:type="dxa"/>
            <w:shd w:val="clear" w:color="auto" w:fill="D9D9D9" w:themeFill="background1" w:themeFillShade="D9"/>
            <w:vAlign w:val="center"/>
          </w:tcPr>
          <w:p w14:paraId="4782050B" w14:textId="77777777" w:rsidR="00E815B8" w:rsidRPr="0085081D" w:rsidRDefault="00E815B8" w:rsidP="00E815B8">
            <w:pPr>
              <w:keepNext/>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620862AB" w14:textId="4E573616" w:rsidR="00E815B8" w:rsidRPr="0085081D" w:rsidRDefault="00E815B8" w:rsidP="00E815B8">
            <w:pPr>
              <w:keepNext/>
              <w:jc w:val="center"/>
              <w:rPr>
                <w:rFonts w:ascii="Arial" w:hAnsi="Arial" w:cs="Arial"/>
                <w:sz w:val="20"/>
                <w:szCs w:val="20"/>
              </w:rPr>
            </w:pPr>
            <w:r>
              <w:rPr>
                <w:rFonts w:ascii="Arial" w:hAnsi="Arial" w:cs="Arial"/>
                <w:sz w:val="20"/>
                <w:szCs w:val="20"/>
              </w:rPr>
              <w:t>75.7%</w:t>
            </w:r>
          </w:p>
        </w:tc>
        <w:tc>
          <w:tcPr>
            <w:tcW w:w="1140" w:type="dxa"/>
            <w:shd w:val="clear" w:color="auto" w:fill="D9D9D9" w:themeFill="background1" w:themeFillShade="D9"/>
            <w:vAlign w:val="center"/>
          </w:tcPr>
          <w:p w14:paraId="76BE14A2" w14:textId="02C2CF39" w:rsidR="00E815B8" w:rsidRPr="0085081D" w:rsidRDefault="00E815B8" w:rsidP="00E815B8">
            <w:pPr>
              <w:keepNext/>
              <w:jc w:val="center"/>
              <w:rPr>
                <w:rFonts w:ascii="Arial" w:hAnsi="Arial" w:cs="Arial"/>
                <w:sz w:val="20"/>
                <w:szCs w:val="20"/>
              </w:rPr>
            </w:pPr>
            <w:r>
              <w:rPr>
                <w:rFonts w:ascii="Arial" w:hAnsi="Arial" w:cs="Arial"/>
                <w:sz w:val="20"/>
                <w:szCs w:val="20"/>
              </w:rPr>
              <w:t>83.3%</w:t>
            </w:r>
          </w:p>
        </w:tc>
        <w:tc>
          <w:tcPr>
            <w:tcW w:w="1266" w:type="dxa"/>
            <w:shd w:val="clear" w:color="auto" w:fill="D9D9D9" w:themeFill="background1" w:themeFillShade="D9"/>
            <w:vAlign w:val="center"/>
          </w:tcPr>
          <w:p w14:paraId="752A74DF" w14:textId="06948066" w:rsidR="00E815B8" w:rsidRPr="0085081D" w:rsidRDefault="00E815B8" w:rsidP="00E815B8">
            <w:pPr>
              <w:keepNext/>
              <w:jc w:val="center"/>
              <w:rPr>
                <w:rFonts w:ascii="Arial" w:hAnsi="Arial" w:cs="Arial"/>
                <w:sz w:val="20"/>
                <w:szCs w:val="20"/>
              </w:rPr>
            </w:pPr>
            <w:r>
              <w:rPr>
                <w:rFonts w:ascii="Arial" w:hAnsi="Arial" w:cs="Arial"/>
                <w:sz w:val="20"/>
                <w:szCs w:val="20"/>
              </w:rPr>
              <w:t>75.2%</w:t>
            </w:r>
          </w:p>
        </w:tc>
        <w:tc>
          <w:tcPr>
            <w:tcW w:w="1183" w:type="dxa"/>
            <w:shd w:val="clear" w:color="auto" w:fill="D9D9D9" w:themeFill="background1" w:themeFillShade="D9"/>
            <w:vAlign w:val="center"/>
          </w:tcPr>
          <w:p w14:paraId="78D2901C" w14:textId="6F8FA870" w:rsidR="00E815B8" w:rsidRPr="0085081D" w:rsidRDefault="00E815B8" w:rsidP="00E815B8">
            <w:pPr>
              <w:keepNext/>
              <w:jc w:val="center"/>
              <w:rPr>
                <w:rFonts w:ascii="Arial" w:hAnsi="Arial" w:cs="Arial"/>
                <w:sz w:val="20"/>
                <w:szCs w:val="20"/>
              </w:rPr>
            </w:pPr>
          </w:p>
        </w:tc>
        <w:tc>
          <w:tcPr>
            <w:tcW w:w="1183" w:type="dxa"/>
            <w:shd w:val="clear" w:color="auto" w:fill="D9D9D9" w:themeFill="background1" w:themeFillShade="D9"/>
            <w:vAlign w:val="center"/>
          </w:tcPr>
          <w:p w14:paraId="40EF812D" w14:textId="3DC6331B" w:rsidR="00E815B8" w:rsidRPr="0085081D" w:rsidRDefault="00E815B8" w:rsidP="00E815B8">
            <w:pPr>
              <w:keepNext/>
              <w:jc w:val="center"/>
              <w:rPr>
                <w:rFonts w:ascii="Arial" w:hAnsi="Arial" w:cs="Arial"/>
                <w:sz w:val="20"/>
                <w:szCs w:val="20"/>
              </w:rPr>
            </w:pPr>
          </w:p>
        </w:tc>
      </w:tr>
      <w:tr w:rsidR="00E815B8" w:rsidRPr="0038412B" w14:paraId="353CFBB0" w14:textId="77777777" w:rsidTr="00EA1956">
        <w:trPr>
          <w:cantSplit/>
          <w:trHeight w:val="455"/>
        </w:trPr>
        <w:tc>
          <w:tcPr>
            <w:tcW w:w="2973" w:type="dxa"/>
            <w:vMerge/>
          </w:tcPr>
          <w:p w14:paraId="665F0BDE" w14:textId="77777777" w:rsidR="00E815B8" w:rsidRPr="0085081D" w:rsidRDefault="00E815B8" w:rsidP="00E815B8">
            <w:pPr>
              <w:keepNext/>
              <w:rPr>
                <w:rFonts w:ascii="Arial" w:hAnsi="Arial" w:cs="Arial"/>
                <w:i/>
                <w:iCs/>
                <w:sz w:val="20"/>
                <w:szCs w:val="20"/>
              </w:rPr>
            </w:pPr>
          </w:p>
        </w:tc>
        <w:tc>
          <w:tcPr>
            <w:tcW w:w="1123" w:type="dxa"/>
            <w:shd w:val="clear" w:color="auto" w:fill="auto"/>
            <w:vAlign w:val="center"/>
          </w:tcPr>
          <w:p w14:paraId="67572E1F" w14:textId="77777777" w:rsidR="00E815B8" w:rsidRPr="0085081D" w:rsidRDefault="00E815B8" w:rsidP="00E815B8">
            <w:pPr>
              <w:keepNext/>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auto"/>
            <w:vAlign w:val="center"/>
          </w:tcPr>
          <w:p w14:paraId="16913960" w14:textId="66D82C93" w:rsidR="00E815B8" w:rsidRPr="0085081D" w:rsidRDefault="00E815B8" w:rsidP="00E815B8">
            <w:pPr>
              <w:keepNext/>
              <w:jc w:val="center"/>
              <w:rPr>
                <w:rFonts w:ascii="Arial" w:hAnsi="Arial" w:cs="Arial"/>
                <w:i/>
                <w:iCs/>
                <w:sz w:val="20"/>
                <w:szCs w:val="20"/>
              </w:rPr>
            </w:pPr>
            <w:r w:rsidRPr="000A3B5D">
              <w:rPr>
                <w:rFonts w:ascii="Arial" w:hAnsi="Arial" w:cs="Arial"/>
                <w:i/>
                <w:iCs/>
                <w:sz w:val="20"/>
                <w:szCs w:val="20"/>
              </w:rPr>
              <w:t>&gt;=80.0%</w:t>
            </w:r>
          </w:p>
        </w:tc>
        <w:tc>
          <w:tcPr>
            <w:tcW w:w="1140" w:type="dxa"/>
            <w:shd w:val="clear" w:color="auto" w:fill="auto"/>
            <w:vAlign w:val="center"/>
          </w:tcPr>
          <w:p w14:paraId="5C52D0BF" w14:textId="0E32DEFF" w:rsidR="00E815B8" w:rsidRPr="0085081D" w:rsidRDefault="00E815B8" w:rsidP="00E815B8">
            <w:pPr>
              <w:keepNext/>
              <w:jc w:val="center"/>
              <w:rPr>
                <w:rFonts w:ascii="Arial" w:hAnsi="Arial" w:cs="Arial"/>
                <w:i/>
                <w:iCs/>
                <w:sz w:val="20"/>
                <w:szCs w:val="20"/>
              </w:rPr>
            </w:pPr>
            <w:r w:rsidRPr="000A3B5D">
              <w:rPr>
                <w:rFonts w:ascii="Arial" w:hAnsi="Arial" w:cs="Arial"/>
                <w:i/>
                <w:iCs/>
                <w:sz w:val="20"/>
                <w:szCs w:val="20"/>
              </w:rPr>
              <w:t>&gt;=80.0%</w:t>
            </w:r>
          </w:p>
        </w:tc>
        <w:tc>
          <w:tcPr>
            <w:tcW w:w="1266" w:type="dxa"/>
            <w:shd w:val="clear" w:color="auto" w:fill="auto"/>
            <w:vAlign w:val="center"/>
          </w:tcPr>
          <w:p w14:paraId="701F040E" w14:textId="50A1962E" w:rsidR="00E815B8" w:rsidRPr="000A3B5D" w:rsidRDefault="00E815B8" w:rsidP="00E815B8">
            <w:pPr>
              <w:keepNext/>
              <w:jc w:val="center"/>
              <w:rPr>
                <w:rFonts w:ascii="Arial" w:hAnsi="Arial" w:cs="Arial"/>
                <w:i/>
                <w:iCs/>
                <w:sz w:val="20"/>
                <w:szCs w:val="20"/>
              </w:rPr>
            </w:pPr>
            <w:r w:rsidRPr="000A3B5D">
              <w:rPr>
                <w:rFonts w:ascii="Arial" w:hAnsi="Arial" w:cs="Arial"/>
                <w:i/>
                <w:iCs/>
                <w:sz w:val="20"/>
                <w:szCs w:val="20"/>
              </w:rPr>
              <w:t>&gt;=80.0%</w:t>
            </w:r>
          </w:p>
        </w:tc>
        <w:tc>
          <w:tcPr>
            <w:tcW w:w="1183" w:type="dxa"/>
            <w:shd w:val="clear" w:color="auto" w:fill="auto"/>
            <w:vAlign w:val="center"/>
          </w:tcPr>
          <w:p w14:paraId="70EB70AA" w14:textId="620B4FBB" w:rsidR="00E815B8" w:rsidRPr="000A3B5D" w:rsidRDefault="00E815B8" w:rsidP="00E815B8">
            <w:pPr>
              <w:keepNext/>
              <w:jc w:val="center"/>
              <w:rPr>
                <w:rFonts w:ascii="Arial" w:hAnsi="Arial" w:cs="Arial"/>
                <w:i/>
                <w:iCs/>
                <w:sz w:val="20"/>
                <w:szCs w:val="20"/>
              </w:rPr>
            </w:pPr>
            <w:r w:rsidRPr="000A3B5D">
              <w:rPr>
                <w:rFonts w:ascii="Arial" w:hAnsi="Arial" w:cs="Arial"/>
                <w:i/>
                <w:iCs/>
                <w:sz w:val="20"/>
                <w:szCs w:val="20"/>
              </w:rPr>
              <w:t>&gt;=80.0%</w:t>
            </w:r>
          </w:p>
        </w:tc>
        <w:tc>
          <w:tcPr>
            <w:tcW w:w="1183" w:type="dxa"/>
            <w:shd w:val="clear" w:color="auto" w:fill="auto"/>
            <w:vAlign w:val="center"/>
          </w:tcPr>
          <w:p w14:paraId="134E1309" w14:textId="147C0073" w:rsidR="00E815B8" w:rsidRPr="000A3B5D" w:rsidRDefault="00E815B8" w:rsidP="00E815B8">
            <w:pPr>
              <w:keepNext/>
              <w:jc w:val="center"/>
              <w:rPr>
                <w:rFonts w:ascii="Arial" w:hAnsi="Arial" w:cs="Arial"/>
                <w:i/>
                <w:iCs/>
                <w:sz w:val="20"/>
                <w:szCs w:val="20"/>
              </w:rPr>
            </w:pPr>
          </w:p>
        </w:tc>
      </w:tr>
      <w:tr w:rsidR="00E815B8" w:rsidRPr="001D59BE" w14:paraId="144DA106" w14:textId="77777777" w:rsidTr="00EA1956">
        <w:trPr>
          <w:cantSplit/>
          <w:trHeight w:val="455"/>
        </w:trPr>
        <w:tc>
          <w:tcPr>
            <w:tcW w:w="2973" w:type="dxa"/>
            <w:vMerge w:val="restart"/>
          </w:tcPr>
          <w:p w14:paraId="7F906A59" w14:textId="361675BB" w:rsidR="00E815B8" w:rsidRPr="0085081D" w:rsidRDefault="00E815B8" w:rsidP="00E815B8">
            <w:pPr>
              <w:pStyle w:val="ListParagraph"/>
              <w:numPr>
                <w:ilvl w:val="0"/>
                <w:numId w:val="8"/>
              </w:numPr>
              <w:rPr>
                <w:rFonts w:ascii="Arial" w:hAnsi="Arial" w:cs="Arial"/>
                <w:sz w:val="20"/>
                <w:szCs w:val="20"/>
              </w:rPr>
            </w:pPr>
            <w:r w:rsidRPr="0085081D">
              <w:rPr>
                <w:rFonts w:ascii="Arial" w:hAnsi="Arial" w:cs="Arial"/>
                <w:i/>
                <w:iCs/>
                <w:sz w:val="20"/>
                <w:szCs w:val="20"/>
              </w:rPr>
              <w:t>DDS</w:t>
            </w:r>
            <w:r w:rsidRPr="0085081D">
              <w:rPr>
                <w:rFonts w:ascii="Arial" w:hAnsi="Arial" w:cs="Arial"/>
                <w:sz w:val="20"/>
                <w:szCs w:val="20"/>
              </w:rPr>
              <w:t xml:space="preserve"> – Productivity per Work Year (per worker) </w:t>
            </w:r>
          </w:p>
        </w:tc>
        <w:tc>
          <w:tcPr>
            <w:tcW w:w="1123" w:type="dxa"/>
            <w:shd w:val="clear" w:color="auto" w:fill="D9D9D9" w:themeFill="background1" w:themeFillShade="D9"/>
            <w:vAlign w:val="center"/>
          </w:tcPr>
          <w:p w14:paraId="624CC93F" w14:textId="77777777" w:rsidR="00E815B8" w:rsidRPr="0085081D" w:rsidRDefault="00E815B8" w:rsidP="00E815B8">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36D16BE6" w14:textId="50F81497" w:rsidR="00E815B8" w:rsidRPr="0085081D" w:rsidRDefault="00E815B8" w:rsidP="00E815B8">
            <w:pPr>
              <w:jc w:val="center"/>
              <w:rPr>
                <w:rFonts w:ascii="Arial" w:hAnsi="Arial" w:cs="Arial"/>
                <w:sz w:val="20"/>
                <w:szCs w:val="20"/>
              </w:rPr>
            </w:pPr>
            <w:r>
              <w:rPr>
                <w:rFonts w:ascii="Arial" w:hAnsi="Arial" w:cs="Arial"/>
                <w:sz w:val="20"/>
                <w:szCs w:val="20"/>
              </w:rPr>
              <w:t>260.0</w:t>
            </w:r>
          </w:p>
        </w:tc>
        <w:tc>
          <w:tcPr>
            <w:tcW w:w="1140" w:type="dxa"/>
            <w:shd w:val="clear" w:color="auto" w:fill="D9D9D9" w:themeFill="background1" w:themeFillShade="D9"/>
            <w:vAlign w:val="center"/>
          </w:tcPr>
          <w:p w14:paraId="1B25339E" w14:textId="583AC643" w:rsidR="00E815B8" w:rsidRPr="0085081D" w:rsidRDefault="00E815B8" w:rsidP="00E815B8">
            <w:pPr>
              <w:jc w:val="center"/>
              <w:rPr>
                <w:rFonts w:ascii="Arial" w:hAnsi="Arial" w:cs="Arial"/>
                <w:sz w:val="20"/>
                <w:szCs w:val="20"/>
              </w:rPr>
            </w:pPr>
            <w:r>
              <w:rPr>
                <w:rFonts w:ascii="Arial" w:hAnsi="Arial" w:cs="Arial"/>
                <w:sz w:val="20"/>
                <w:szCs w:val="20"/>
              </w:rPr>
              <w:t>255.9</w:t>
            </w:r>
          </w:p>
        </w:tc>
        <w:tc>
          <w:tcPr>
            <w:tcW w:w="1266" w:type="dxa"/>
            <w:shd w:val="clear" w:color="auto" w:fill="D9D9D9" w:themeFill="background1" w:themeFillShade="D9"/>
            <w:vAlign w:val="center"/>
          </w:tcPr>
          <w:p w14:paraId="7D39FECC" w14:textId="61D4D746" w:rsidR="00E815B8" w:rsidRPr="0085081D" w:rsidRDefault="00E815B8" w:rsidP="00E815B8">
            <w:pPr>
              <w:jc w:val="center"/>
              <w:rPr>
                <w:rFonts w:ascii="Arial" w:hAnsi="Arial" w:cs="Arial"/>
                <w:sz w:val="20"/>
                <w:szCs w:val="20"/>
              </w:rPr>
            </w:pPr>
            <w:r>
              <w:rPr>
                <w:rFonts w:ascii="Arial" w:hAnsi="Arial" w:cs="Arial"/>
                <w:sz w:val="20"/>
                <w:szCs w:val="20"/>
              </w:rPr>
              <w:t>255.8</w:t>
            </w:r>
          </w:p>
        </w:tc>
        <w:tc>
          <w:tcPr>
            <w:tcW w:w="1183" w:type="dxa"/>
            <w:shd w:val="clear" w:color="auto" w:fill="D9D9D9" w:themeFill="background1" w:themeFillShade="D9"/>
            <w:vAlign w:val="center"/>
          </w:tcPr>
          <w:p w14:paraId="34F0E679" w14:textId="350169A4" w:rsidR="00E815B8" w:rsidRPr="0085081D" w:rsidRDefault="00E815B8" w:rsidP="00E815B8">
            <w:pPr>
              <w:jc w:val="center"/>
              <w:rPr>
                <w:rFonts w:ascii="Arial" w:hAnsi="Arial" w:cs="Arial"/>
                <w:sz w:val="20"/>
                <w:szCs w:val="20"/>
              </w:rPr>
            </w:pPr>
          </w:p>
        </w:tc>
        <w:tc>
          <w:tcPr>
            <w:tcW w:w="1183" w:type="dxa"/>
            <w:shd w:val="clear" w:color="auto" w:fill="D9D9D9" w:themeFill="background1" w:themeFillShade="D9"/>
            <w:vAlign w:val="center"/>
          </w:tcPr>
          <w:p w14:paraId="18C68E4B" w14:textId="3FF2349F" w:rsidR="00E815B8" w:rsidRPr="0085081D" w:rsidRDefault="00E815B8" w:rsidP="00E815B8">
            <w:pPr>
              <w:jc w:val="center"/>
              <w:rPr>
                <w:rFonts w:ascii="Arial" w:hAnsi="Arial" w:cs="Arial"/>
                <w:sz w:val="20"/>
                <w:szCs w:val="20"/>
              </w:rPr>
            </w:pPr>
          </w:p>
        </w:tc>
      </w:tr>
      <w:tr w:rsidR="00E815B8" w14:paraId="37496144" w14:textId="77777777" w:rsidTr="00EA1956">
        <w:trPr>
          <w:cantSplit/>
          <w:trHeight w:val="455"/>
        </w:trPr>
        <w:tc>
          <w:tcPr>
            <w:tcW w:w="2973" w:type="dxa"/>
            <w:vMerge/>
          </w:tcPr>
          <w:p w14:paraId="01272B7D" w14:textId="77777777" w:rsidR="00E815B8" w:rsidRPr="0085081D" w:rsidRDefault="00E815B8" w:rsidP="00E815B8">
            <w:pPr>
              <w:pStyle w:val="ListParagraph"/>
              <w:numPr>
                <w:ilvl w:val="0"/>
                <w:numId w:val="8"/>
              </w:numPr>
              <w:rPr>
                <w:rFonts w:ascii="Arial" w:hAnsi="Arial" w:cs="Arial"/>
                <w:bCs/>
                <w:sz w:val="20"/>
                <w:szCs w:val="20"/>
              </w:rPr>
            </w:pPr>
          </w:p>
        </w:tc>
        <w:tc>
          <w:tcPr>
            <w:tcW w:w="1123" w:type="dxa"/>
            <w:shd w:val="clear" w:color="auto" w:fill="FFFFFF" w:themeFill="background1"/>
            <w:vAlign w:val="center"/>
          </w:tcPr>
          <w:p w14:paraId="56BC18C0" w14:textId="77777777" w:rsidR="00E815B8" w:rsidRPr="0085081D" w:rsidRDefault="00E815B8" w:rsidP="00E815B8">
            <w:pPr>
              <w:jc w:val="center"/>
              <w:rPr>
                <w:rFonts w:ascii="Arial" w:hAnsi="Arial" w:cs="Arial"/>
                <w:sz w:val="20"/>
                <w:szCs w:val="20"/>
              </w:rPr>
            </w:pPr>
            <w:r w:rsidRPr="0085081D">
              <w:rPr>
                <w:rFonts w:ascii="Arial" w:hAnsi="Arial" w:cs="Arial"/>
                <w:i/>
                <w:iCs/>
                <w:sz w:val="20"/>
                <w:szCs w:val="20"/>
              </w:rPr>
              <w:t>target</w:t>
            </w:r>
          </w:p>
        </w:tc>
        <w:tc>
          <w:tcPr>
            <w:tcW w:w="1212" w:type="dxa"/>
            <w:shd w:val="clear" w:color="auto" w:fill="auto"/>
            <w:vAlign w:val="center"/>
          </w:tcPr>
          <w:p w14:paraId="090E5C64" w14:textId="461FA98E" w:rsidR="00E815B8" w:rsidRPr="0085081D" w:rsidRDefault="00E815B8" w:rsidP="00E815B8">
            <w:pPr>
              <w:jc w:val="center"/>
              <w:rPr>
                <w:rFonts w:ascii="Arial" w:hAnsi="Arial" w:cs="Arial"/>
                <w:i/>
                <w:iCs/>
                <w:sz w:val="20"/>
                <w:szCs w:val="20"/>
              </w:rPr>
            </w:pPr>
            <w:r>
              <w:rPr>
                <w:rFonts w:ascii="Arial" w:hAnsi="Arial" w:cs="Arial"/>
                <w:i/>
                <w:iCs/>
                <w:sz w:val="20"/>
                <w:szCs w:val="20"/>
              </w:rPr>
              <w:t>282.74</w:t>
            </w:r>
          </w:p>
        </w:tc>
        <w:tc>
          <w:tcPr>
            <w:tcW w:w="1140" w:type="dxa"/>
            <w:shd w:val="clear" w:color="auto" w:fill="auto"/>
            <w:vAlign w:val="center"/>
          </w:tcPr>
          <w:p w14:paraId="06FB10B8" w14:textId="47B89449" w:rsidR="00E815B8" w:rsidRPr="0085081D" w:rsidRDefault="00E815B8" w:rsidP="00E815B8">
            <w:pPr>
              <w:jc w:val="center"/>
              <w:rPr>
                <w:rFonts w:ascii="Arial" w:hAnsi="Arial" w:cs="Arial"/>
                <w:i/>
                <w:iCs/>
                <w:sz w:val="20"/>
                <w:szCs w:val="20"/>
              </w:rPr>
            </w:pPr>
            <w:r w:rsidRPr="000A3B5D">
              <w:rPr>
                <w:rFonts w:ascii="Arial" w:hAnsi="Arial" w:cs="Arial"/>
                <w:i/>
                <w:iCs/>
                <w:sz w:val="20"/>
                <w:szCs w:val="20"/>
              </w:rPr>
              <w:t>255.8</w:t>
            </w:r>
          </w:p>
        </w:tc>
        <w:tc>
          <w:tcPr>
            <w:tcW w:w="1266" w:type="dxa"/>
            <w:shd w:val="clear" w:color="auto" w:fill="FFFFFF" w:themeFill="background1"/>
            <w:vAlign w:val="center"/>
          </w:tcPr>
          <w:p w14:paraId="68BD12A5" w14:textId="0F1D9D59" w:rsidR="00E815B8" w:rsidRPr="0085081D" w:rsidRDefault="00E815B8" w:rsidP="00E815B8">
            <w:pPr>
              <w:jc w:val="center"/>
              <w:rPr>
                <w:rFonts w:ascii="Arial" w:hAnsi="Arial" w:cs="Arial"/>
                <w:i/>
                <w:iCs/>
                <w:sz w:val="20"/>
                <w:szCs w:val="20"/>
              </w:rPr>
            </w:pPr>
            <w:r>
              <w:rPr>
                <w:rFonts w:ascii="Arial" w:hAnsi="Arial" w:cs="Arial"/>
                <w:i/>
                <w:iCs/>
                <w:sz w:val="20"/>
                <w:szCs w:val="20"/>
              </w:rPr>
              <w:t>255.8</w:t>
            </w:r>
          </w:p>
        </w:tc>
        <w:tc>
          <w:tcPr>
            <w:tcW w:w="1183" w:type="dxa"/>
            <w:shd w:val="clear" w:color="auto" w:fill="FFFFFF" w:themeFill="background1"/>
            <w:vAlign w:val="center"/>
          </w:tcPr>
          <w:p w14:paraId="38813FCC" w14:textId="7E2A173A" w:rsidR="00E815B8" w:rsidRPr="0085081D" w:rsidRDefault="00E815B8" w:rsidP="00E815B8">
            <w:pPr>
              <w:jc w:val="center"/>
              <w:rPr>
                <w:rFonts w:ascii="Arial" w:hAnsi="Arial" w:cs="Arial"/>
                <w:i/>
                <w:iCs/>
                <w:sz w:val="20"/>
                <w:szCs w:val="20"/>
              </w:rPr>
            </w:pPr>
            <w:r w:rsidRPr="00754BF8">
              <w:rPr>
                <w:rFonts w:ascii="Arial" w:hAnsi="Arial" w:cs="Arial"/>
                <w:i/>
                <w:iCs/>
                <w:sz w:val="20"/>
                <w:szCs w:val="20"/>
              </w:rPr>
              <w:t>240</w:t>
            </w:r>
          </w:p>
        </w:tc>
        <w:tc>
          <w:tcPr>
            <w:tcW w:w="1183" w:type="dxa"/>
            <w:shd w:val="clear" w:color="auto" w:fill="FFFFFF" w:themeFill="background1"/>
            <w:vAlign w:val="center"/>
          </w:tcPr>
          <w:p w14:paraId="5179589D" w14:textId="4DE03C20" w:rsidR="00E815B8" w:rsidRPr="00EC519B" w:rsidRDefault="00E815B8" w:rsidP="00E815B8">
            <w:pPr>
              <w:jc w:val="center"/>
              <w:rPr>
                <w:rFonts w:ascii="Arial" w:hAnsi="Arial" w:cs="Arial"/>
                <w:i/>
                <w:iCs/>
                <w:strike/>
                <w:sz w:val="20"/>
                <w:szCs w:val="20"/>
              </w:rPr>
            </w:pPr>
          </w:p>
        </w:tc>
      </w:tr>
      <w:tr w:rsidR="00E815B8" w:rsidRPr="00736A10" w14:paraId="44AD32A8" w14:textId="77777777" w:rsidTr="00EA1956">
        <w:trPr>
          <w:cantSplit/>
          <w:trHeight w:val="455"/>
        </w:trPr>
        <w:tc>
          <w:tcPr>
            <w:tcW w:w="2973" w:type="dxa"/>
            <w:vMerge w:val="restart"/>
          </w:tcPr>
          <w:p w14:paraId="15254C91" w14:textId="5CE1CE7C" w:rsidR="00E815B8" w:rsidRPr="0085081D" w:rsidRDefault="00E815B8" w:rsidP="00E815B8">
            <w:pPr>
              <w:pStyle w:val="ListParagraph"/>
              <w:numPr>
                <w:ilvl w:val="0"/>
                <w:numId w:val="8"/>
              </w:numPr>
              <w:rPr>
                <w:rFonts w:ascii="Arial" w:hAnsi="Arial" w:cs="Arial"/>
                <w:b/>
                <w:bCs/>
                <w:sz w:val="20"/>
                <w:szCs w:val="20"/>
              </w:rPr>
            </w:pPr>
            <w:bookmarkStart w:id="9" w:name="_Hlk48735254"/>
            <w:r w:rsidRPr="0085081D">
              <w:rPr>
                <w:rFonts w:ascii="Arial" w:hAnsi="Arial" w:cs="Arial"/>
                <w:i/>
                <w:iCs/>
                <w:sz w:val="20"/>
                <w:szCs w:val="20"/>
              </w:rPr>
              <w:t xml:space="preserve">IHRC – </w:t>
            </w:r>
            <w:r w:rsidRPr="0085081D">
              <w:rPr>
                <w:rFonts w:ascii="Arial" w:hAnsi="Arial" w:cs="Arial"/>
                <w:sz w:val="20"/>
                <w:szCs w:val="20"/>
              </w:rPr>
              <w:t>Total of Administrative Cases Resolved</w:t>
            </w:r>
            <w:bookmarkEnd w:id="9"/>
          </w:p>
        </w:tc>
        <w:tc>
          <w:tcPr>
            <w:tcW w:w="1123" w:type="dxa"/>
            <w:shd w:val="clear" w:color="auto" w:fill="D9D9D9" w:themeFill="background1" w:themeFillShade="D9"/>
            <w:vAlign w:val="center"/>
          </w:tcPr>
          <w:p w14:paraId="52F70881" w14:textId="6122FDB2" w:rsidR="00E815B8" w:rsidRPr="0085081D" w:rsidRDefault="00E815B8" w:rsidP="00E815B8">
            <w:pPr>
              <w:jc w:val="center"/>
              <w:rPr>
                <w:rFonts w:ascii="Arial" w:hAnsi="Arial" w:cs="Arial"/>
                <w:sz w:val="20"/>
                <w:szCs w:val="20"/>
              </w:rPr>
            </w:pPr>
            <w:r w:rsidRPr="0085081D">
              <w:rPr>
                <w:rFonts w:ascii="Arial" w:hAnsi="Arial" w:cs="Arial"/>
                <w:sz w:val="20"/>
                <w:szCs w:val="20"/>
              </w:rPr>
              <w:t>actual</w:t>
            </w:r>
          </w:p>
        </w:tc>
        <w:tc>
          <w:tcPr>
            <w:tcW w:w="1212" w:type="dxa"/>
            <w:shd w:val="clear" w:color="auto" w:fill="D9D9D9" w:themeFill="background1" w:themeFillShade="D9"/>
            <w:vAlign w:val="center"/>
          </w:tcPr>
          <w:p w14:paraId="6A0E0EAF" w14:textId="726B8C06" w:rsidR="00E815B8" w:rsidRPr="0085081D" w:rsidRDefault="00E815B8" w:rsidP="00E815B8">
            <w:pPr>
              <w:jc w:val="center"/>
              <w:rPr>
                <w:rFonts w:ascii="Arial" w:hAnsi="Arial" w:cs="Arial"/>
                <w:sz w:val="20"/>
                <w:szCs w:val="20"/>
              </w:rPr>
            </w:pPr>
            <w:r>
              <w:rPr>
                <w:rFonts w:ascii="Arial" w:hAnsi="Arial" w:cs="Arial"/>
                <w:sz w:val="20"/>
                <w:szCs w:val="20"/>
              </w:rPr>
              <w:t>307</w:t>
            </w:r>
          </w:p>
        </w:tc>
        <w:tc>
          <w:tcPr>
            <w:tcW w:w="1140" w:type="dxa"/>
            <w:shd w:val="clear" w:color="auto" w:fill="D9D9D9" w:themeFill="background1" w:themeFillShade="D9"/>
            <w:vAlign w:val="center"/>
          </w:tcPr>
          <w:p w14:paraId="385636E7" w14:textId="22E7AD7B" w:rsidR="00E815B8" w:rsidRPr="0085081D" w:rsidRDefault="00E815B8" w:rsidP="00E815B8">
            <w:pPr>
              <w:jc w:val="center"/>
              <w:rPr>
                <w:rFonts w:ascii="Arial" w:hAnsi="Arial" w:cs="Arial"/>
                <w:sz w:val="20"/>
                <w:szCs w:val="20"/>
              </w:rPr>
            </w:pPr>
            <w:r>
              <w:rPr>
                <w:rFonts w:ascii="Arial" w:hAnsi="Arial" w:cs="Arial"/>
                <w:sz w:val="20"/>
                <w:szCs w:val="20"/>
              </w:rPr>
              <w:t>349</w:t>
            </w:r>
          </w:p>
        </w:tc>
        <w:tc>
          <w:tcPr>
            <w:tcW w:w="1266" w:type="dxa"/>
            <w:shd w:val="clear" w:color="auto" w:fill="D9D9D9" w:themeFill="background1" w:themeFillShade="D9"/>
            <w:vAlign w:val="center"/>
          </w:tcPr>
          <w:p w14:paraId="5E8501E6" w14:textId="2CF6FF5B" w:rsidR="00E815B8" w:rsidRPr="0085081D" w:rsidRDefault="00E815B8" w:rsidP="00E815B8">
            <w:pPr>
              <w:jc w:val="center"/>
              <w:rPr>
                <w:rFonts w:ascii="Arial" w:hAnsi="Arial" w:cs="Arial"/>
                <w:sz w:val="20"/>
                <w:szCs w:val="20"/>
              </w:rPr>
            </w:pPr>
            <w:r>
              <w:rPr>
                <w:rFonts w:ascii="Arial" w:hAnsi="Arial" w:cs="Arial"/>
                <w:sz w:val="20"/>
                <w:szCs w:val="20"/>
              </w:rPr>
              <w:t>373</w:t>
            </w:r>
          </w:p>
        </w:tc>
        <w:tc>
          <w:tcPr>
            <w:tcW w:w="1183" w:type="dxa"/>
            <w:shd w:val="clear" w:color="auto" w:fill="D9D9D9" w:themeFill="background1" w:themeFillShade="D9"/>
            <w:vAlign w:val="center"/>
          </w:tcPr>
          <w:p w14:paraId="2FA6C76C" w14:textId="7B7A1C0E" w:rsidR="00E815B8" w:rsidRPr="0085081D" w:rsidRDefault="00E815B8" w:rsidP="00E815B8">
            <w:pPr>
              <w:jc w:val="center"/>
              <w:rPr>
                <w:rFonts w:ascii="Arial" w:hAnsi="Arial" w:cs="Arial"/>
                <w:sz w:val="20"/>
                <w:szCs w:val="20"/>
              </w:rPr>
            </w:pPr>
          </w:p>
        </w:tc>
        <w:tc>
          <w:tcPr>
            <w:tcW w:w="1183" w:type="dxa"/>
            <w:shd w:val="clear" w:color="auto" w:fill="D9D9D9" w:themeFill="background1" w:themeFillShade="D9"/>
            <w:vAlign w:val="center"/>
          </w:tcPr>
          <w:p w14:paraId="2C3D3F2C" w14:textId="0925C46F" w:rsidR="00E815B8" w:rsidRPr="0085081D" w:rsidRDefault="00E815B8" w:rsidP="00E815B8">
            <w:pPr>
              <w:jc w:val="center"/>
              <w:rPr>
                <w:rFonts w:ascii="Arial" w:hAnsi="Arial" w:cs="Arial"/>
                <w:sz w:val="20"/>
                <w:szCs w:val="20"/>
              </w:rPr>
            </w:pPr>
          </w:p>
        </w:tc>
      </w:tr>
      <w:tr w:rsidR="00E815B8" w:rsidRPr="00736A10" w14:paraId="7B88F590" w14:textId="77777777" w:rsidTr="00EA1956">
        <w:trPr>
          <w:cantSplit/>
          <w:trHeight w:val="455"/>
        </w:trPr>
        <w:tc>
          <w:tcPr>
            <w:tcW w:w="2973" w:type="dxa"/>
            <w:vMerge/>
          </w:tcPr>
          <w:p w14:paraId="2B1C70C6" w14:textId="77777777" w:rsidR="00E815B8" w:rsidRPr="0085081D" w:rsidRDefault="00E815B8" w:rsidP="00E815B8">
            <w:pPr>
              <w:pStyle w:val="ListParagraph"/>
              <w:numPr>
                <w:ilvl w:val="0"/>
                <w:numId w:val="8"/>
              </w:numPr>
              <w:rPr>
                <w:rFonts w:ascii="Arial" w:hAnsi="Arial" w:cs="Arial"/>
                <w:i/>
                <w:iCs/>
                <w:sz w:val="20"/>
                <w:szCs w:val="20"/>
              </w:rPr>
            </w:pPr>
          </w:p>
        </w:tc>
        <w:tc>
          <w:tcPr>
            <w:tcW w:w="1123" w:type="dxa"/>
            <w:shd w:val="clear" w:color="auto" w:fill="FFFFFF" w:themeFill="background1"/>
            <w:vAlign w:val="center"/>
          </w:tcPr>
          <w:p w14:paraId="7D1F388A" w14:textId="14514EED" w:rsidR="00E815B8" w:rsidRPr="0085081D" w:rsidRDefault="00E815B8" w:rsidP="00E815B8">
            <w:pPr>
              <w:jc w:val="center"/>
              <w:rPr>
                <w:rFonts w:ascii="Arial" w:hAnsi="Arial" w:cs="Arial"/>
                <w:i/>
                <w:iCs/>
                <w:sz w:val="20"/>
                <w:szCs w:val="20"/>
              </w:rPr>
            </w:pPr>
            <w:r w:rsidRPr="0085081D">
              <w:rPr>
                <w:rFonts w:ascii="Arial" w:hAnsi="Arial" w:cs="Arial"/>
                <w:i/>
                <w:iCs/>
                <w:sz w:val="20"/>
                <w:szCs w:val="20"/>
              </w:rPr>
              <w:t>target</w:t>
            </w:r>
          </w:p>
        </w:tc>
        <w:tc>
          <w:tcPr>
            <w:tcW w:w="1212" w:type="dxa"/>
            <w:shd w:val="clear" w:color="auto" w:fill="FFFFFF" w:themeFill="background1"/>
            <w:vAlign w:val="center"/>
          </w:tcPr>
          <w:p w14:paraId="31C8F374" w14:textId="4B2B2EF1" w:rsidR="00E815B8" w:rsidRPr="0085081D" w:rsidRDefault="00E815B8" w:rsidP="00E815B8">
            <w:pPr>
              <w:jc w:val="center"/>
              <w:rPr>
                <w:rFonts w:ascii="Arial" w:hAnsi="Arial" w:cs="Arial"/>
                <w:i/>
                <w:iCs/>
                <w:sz w:val="20"/>
                <w:szCs w:val="20"/>
              </w:rPr>
            </w:pPr>
            <w:r w:rsidRPr="0085081D">
              <w:rPr>
                <w:rFonts w:ascii="Arial" w:hAnsi="Arial" w:cs="Arial"/>
                <w:i/>
                <w:iCs/>
                <w:sz w:val="20"/>
                <w:szCs w:val="20"/>
              </w:rPr>
              <w:t>350</w:t>
            </w:r>
          </w:p>
        </w:tc>
        <w:tc>
          <w:tcPr>
            <w:tcW w:w="1140" w:type="dxa"/>
            <w:shd w:val="clear" w:color="auto" w:fill="FFFFFF" w:themeFill="background1"/>
            <w:vAlign w:val="center"/>
          </w:tcPr>
          <w:p w14:paraId="05308395" w14:textId="52B4B6C1" w:rsidR="00E815B8" w:rsidRPr="0085081D" w:rsidRDefault="00E815B8" w:rsidP="00E815B8">
            <w:pPr>
              <w:jc w:val="center"/>
              <w:rPr>
                <w:rFonts w:ascii="Arial" w:hAnsi="Arial" w:cs="Arial"/>
                <w:i/>
                <w:iCs/>
                <w:sz w:val="20"/>
                <w:szCs w:val="20"/>
              </w:rPr>
            </w:pPr>
            <w:r>
              <w:rPr>
                <w:rFonts w:ascii="Arial" w:hAnsi="Arial" w:cs="Arial"/>
                <w:i/>
                <w:iCs/>
                <w:sz w:val="20"/>
                <w:szCs w:val="20"/>
              </w:rPr>
              <w:t>350</w:t>
            </w:r>
          </w:p>
        </w:tc>
        <w:tc>
          <w:tcPr>
            <w:tcW w:w="1266" w:type="dxa"/>
            <w:shd w:val="clear" w:color="auto" w:fill="FFFFFF" w:themeFill="background1"/>
            <w:vAlign w:val="center"/>
          </w:tcPr>
          <w:p w14:paraId="3134A7D2" w14:textId="79D3F6D5" w:rsidR="00E815B8" w:rsidRPr="0085081D" w:rsidRDefault="00E815B8" w:rsidP="00E815B8">
            <w:pPr>
              <w:jc w:val="center"/>
              <w:rPr>
                <w:rFonts w:ascii="Arial" w:hAnsi="Arial" w:cs="Arial"/>
                <w:i/>
                <w:iCs/>
                <w:sz w:val="20"/>
                <w:szCs w:val="20"/>
              </w:rPr>
            </w:pPr>
            <w:r>
              <w:rPr>
                <w:rFonts w:ascii="Arial" w:hAnsi="Arial" w:cs="Arial"/>
                <w:i/>
                <w:iCs/>
                <w:sz w:val="20"/>
                <w:szCs w:val="20"/>
              </w:rPr>
              <w:t>350</w:t>
            </w:r>
          </w:p>
        </w:tc>
        <w:tc>
          <w:tcPr>
            <w:tcW w:w="1183" w:type="dxa"/>
            <w:shd w:val="clear" w:color="auto" w:fill="FFFFFF" w:themeFill="background1"/>
            <w:vAlign w:val="center"/>
          </w:tcPr>
          <w:p w14:paraId="4C170213" w14:textId="53B138B9" w:rsidR="00E815B8" w:rsidRPr="0085081D" w:rsidRDefault="00E815B8" w:rsidP="00E815B8">
            <w:pPr>
              <w:jc w:val="center"/>
              <w:rPr>
                <w:rFonts w:ascii="Arial" w:hAnsi="Arial" w:cs="Arial"/>
                <w:i/>
                <w:iCs/>
                <w:sz w:val="20"/>
                <w:szCs w:val="20"/>
              </w:rPr>
            </w:pPr>
            <w:r w:rsidRPr="00754BF8">
              <w:rPr>
                <w:rFonts w:ascii="Arial" w:hAnsi="Arial" w:cs="Arial"/>
                <w:i/>
                <w:iCs/>
                <w:sz w:val="20"/>
                <w:szCs w:val="20"/>
              </w:rPr>
              <w:t>350</w:t>
            </w:r>
          </w:p>
        </w:tc>
        <w:tc>
          <w:tcPr>
            <w:tcW w:w="1183" w:type="dxa"/>
            <w:shd w:val="clear" w:color="auto" w:fill="FFFFFF" w:themeFill="background1"/>
            <w:vAlign w:val="center"/>
          </w:tcPr>
          <w:p w14:paraId="29B76420" w14:textId="6009C4F8" w:rsidR="00E815B8" w:rsidRPr="00EC519B" w:rsidRDefault="00E815B8" w:rsidP="00E815B8">
            <w:pPr>
              <w:jc w:val="center"/>
              <w:rPr>
                <w:rFonts w:ascii="Arial" w:hAnsi="Arial" w:cs="Arial"/>
                <w:i/>
                <w:iCs/>
                <w:sz w:val="20"/>
                <w:szCs w:val="20"/>
              </w:rPr>
            </w:pPr>
          </w:p>
        </w:tc>
      </w:tr>
    </w:tbl>
    <w:p w14:paraId="795332F3" w14:textId="77777777" w:rsidR="000A23A0" w:rsidRDefault="000A23A0" w:rsidP="00095708">
      <w:pPr>
        <w:jc w:val="both"/>
        <w:rPr>
          <w:rFonts w:ascii="Arial" w:hAnsi="Arial" w:cs="Arial"/>
          <w:b/>
          <w:bCs/>
        </w:rPr>
      </w:pPr>
    </w:p>
    <w:p w14:paraId="2B29F797" w14:textId="4AC90B2B" w:rsidR="00095708" w:rsidRPr="003C73E5" w:rsidRDefault="607C4A4B" w:rsidP="607C4A4B">
      <w:pPr>
        <w:jc w:val="both"/>
        <w:rPr>
          <w:rFonts w:ascii="Arial" w:hAnsi="Arial" w:cs="Arial"/>
          <w:b/>
          <w:bCs/>
          <w:color w:val="FF0000"/>
        </w:rPr>
      </w:pPr>
      <w:r w:rsidRPr="003C73E5">
        <w:rPr>
          <w:rFonts w:ascii="Arial" w:hAnsi="Arial" w:cs="Arial"/>
          <w:b/>
          <w:bCs/>
        </w:rPr>
        <w:t xml:space="preserve">Performance Measure Explanatory Notes </w:t>
      </w:r>
    </w:p>
    <w:p w14:paraId="0A749944" w14:textId="77777777" w:rsidR="000A23A0" w:rsidRPr="000A23A0" w:rsidRDefault="000A23A0" w:rsidP="607C4A4B">
      <w:pPr>
        <w:jc w:val="both"/>
        <w:rPr>
          <w:rFonts w:ascii="Arial" w:hAnsi="Arial" w:cs="Arial"/>
          <w:i/>
          <w:iCs/>
          <w:color w:val="FF0000"/>
          <w:sz w:val="20"/>
          <w:szCs w:val="20"/>
        </w:rPr>
      </w:pPr>
    </w:p>
    <w:p w14:paraId="040C25AA" w14:textId="77777777" w:rsidR="000E6565" w:rsidRPr="000E6565" w:rsidRDefault="607C4A4B" w:rsidP="00EA1956">
      <w:pPr>
        <w:pStyle w:val="ListParagraph"/>
        <w:numPr>
          <w:ilvl w:val="0"/>
          <w:numId w:val="20"/>
        </w:numPr>
        <w:ind w:left="360"/>
        <w:jc w:val="both"/>
        <w:rPr>
          <w:rFonts w:ascii="Arial" w:hAnsi="Arial" w:cs="Arial"/>
          <w:color w:val="000000" w:themeColor="text1"/>
          <w:sz w:val="20"/>
          <w:szCs w:val="20"/>
        </w:rPr>
      </w:pPr>
      <w:r w:rsidRPr="607C4A4B">
        <w:rPr>
          <w:rFonts w:ascii="Arial" w:hAnsi="Arial" w:cs="Arial"/>
          <w:b/>
          <w:bCs/>
          <w:color w:val="000000" w:themeColor="text1"/>
          <w:sz w:val="20"/>
          <w:szCs w:val="20"/>
        </w:rPr>
        <w:t>Entered Employment Rate (Employment Services)</w:t>
      </w:r>
      <w:r w:rsidRPr="607C4A4B">
        <w:rPr>
          <w:rFonts w:ascii="Arial" w:hAnsi="Arial" w:cs="Arial"/>
          <w:sz w:val="20"/>
          <w:szCs w:val="20"/>
        </w:rPr>
        <w:t xml:space="preserve"> – </w:t>
      </w:r>
      <w:r w:rsidRPr="607C4A4B">
        <w:rPr>
          <w:rFonts w:ascii="Arial" w:hAnsi="Arial" w:cs="Arial"/>
          <w:color w:val="000000" w:themeColor="text1"/>
          <w:sz w:val="20"/>
          <w:szCs w:val="20"/>
        </w:rPr>
        <w:t xml:space="preserve">Percent of adult participants employed during the second quarter after exiting the program. </w:t>
      </w:r>
    </w:p>
    <w:p w14:paraId="610D9B03" w14:textId="77777777" w:rsidR="000E6565" w:rsidRPr="000E6565" w:rsidRDefault="000E6565" w:rsidP="00EA1956">
      <w:pPr>
        <w:ind w:left="72"/>
        <w:jc w:val="both"/>
        <w:rPr>
          <w:rFonts w:ascii="Arial" w:hAnsi="Arial" w:cs="Arial"/>
          <w:color w:val="000000" w:themeColor="text1"/>
          <w:sz w:val="20"/>
          <w:szCs w:val="20"/>
        </w:rPr>
      </w:pPr>
    </w:p>
    <w:p w14:paraId="62009B07" w14:textId="180ED763" w:rsidR="000E6565" w:rsidRPr="000E6565" w:rsidRDefault="607C4A4B" w:rsidP="00EA1956">
      <w:pPr>
        <w:pStyle w:val="ListParagraph"/>
        <w:numPr>
          <w:ilvl w:val="0"/>
          <w:numId w:val="20"/>
        </w:numPr>
        <w:ind w:left="360"/>
        <w:jc w:val="both"/>
        <w:rPr>
          <w:rFonts w:ascii="Arial" w:hAnsi="Arial" w:cs="Arial"/>
          <w:color w:val="000000" w:themeColor="text1"/>
          <w:sz w:val="20"/>
          <w:szCs w:val="20"/>
        </w:rPr>
      </w:pPr>
      <w:r w:rsidRPr="607C4A4B">
        <w:rPr>
          <w:rFonts w:ascii="Arial" w:hAnsi="Arial" w:cs="Arial"/>
          <w:b/>
          <w:bCs/>
          <w:color w:val="000000" w:themeColor="text1"/>
          <w:sz w:val="20"/>
          <w:szCs w:val="20"/>
        </w:rPr>
        <w:t>Employee Retention Rate (Employment Services)</w:t>
      </w:r>
      <w:r w:rsidRPr="607C4A4B">
        <w:rPr>
          <w:rFonts w:ascii="Arial" w:hAnsi="Arial" w:cs="Arial"/>
          <w:color w:val="000000" w:themeColor="text1"/>
          <w:sz w:val="20"/>
          <w:szCs w:val="20"/>
        </w:rPr>
        <w:t xml:space="preserve"> – Employment rate, fourth quarter. Percent of participants employed in the fourth quarter after exiting the program. </w:t>
      </w:r>
    </w:p>
    <w:p w14:paraId="01641720" w14:textId="77777777" w:rsidR="009E6BF8" w:rsidRPr="000E6565" w:rsidRDefault="009E6BF8" w:rsidP="00C05F16">
      <w:pPr>
        <w:jc w:val="both"/>
        <w:rPr>
          <w:rFonts w:ascii="Arial" w:hAnsi="Arial" w:cs="Arial"/>
          <w:color w:val="000000" w:themeColor="text1"/>
          <w:sz w:val="20"/>
          <w:szCs w:val="20"/>
        </w:rPr>
      </w:pPr>
    </w:p>
    <w:p w14:paraId="2240A0A3" w14:textId="77777777" w:rsidR="000E6565" w:rsidRPr="00BB115E" w:rsidRDefault="607C4A4B" w:rsidP="00EA1956">
      <w:pPr>
        <w:pStyle w:val="ListParagraph"/>
        <w:numPr>
          <w:ilvl w:val="0"/>
          <w:numId w:val="20"/>
        </w:numPr>
        <w:ind w:left="360"/>
        <w:jc w:val="both"/>
        <w:rPr>
          <w:rFonts w:ascii="Arial" w:hAnsi="Arial" w:cs="Arial"/>
          <w:color w:val="000000" w:themeColor="text1"/>
          <w:sz w:val="20"/>
          <w:szCs w:val="20"/>
        </w:rPr>
      </w:pPr>
      <w:r w:rsidRPr="607C4A4B">
        <w:rPr>
          <w:rFonts w:ascii="Arial" w:hAnsi="Arial" w:cs="Arial"/>
          <w:b/>
          <w:bCs/>
          <w:color w:val="000000" w:themeColor="text1"/>
          <w:sz w:val="20"/>
          <w:szCs w:val="20"/>
        </w:rPr>
        <w:t>Youth Placement Rate (Workforce Innovation and Opportunity Act)</w:t>
      </w:r>
      <w:r w:rsidRPr="607C4A4B">
        <w:rPr>
          <w:rFonts w:ascii="Arial" w:hAnsi="Arial" w:cs="Arial"/>
          <w:sz w:val="20"/>
          <w:szCs w:val="20"/>
        </w:rPr>
        <w:t xml:space="preserve"> – </w:t>
      </w:r>
      <w:r w:rsidRPr="607C4A4B">
        <w:rPr>
          <w:rFonts w:ascii="Arial" w:hAnsi="Arial" w:cs="Arial"/>
          <w:color w:val="000000" w:themeColor="text1"/>
          <w:sz w:val="20"/>
          <w:szCs w:val="20"/>
        </w:rPr>
        <w:t xml:space="preserve">Percent of youth participants either employed or enrolled in school during the second quarter after exiting the program. </w:t>
      </w:r>
    </w:p>
    <w:p w14:paraId="245F4EDB" w14:textId="77777777" w:rsidR="00420923" w:rsidRPr="00F37D2F" w:rsidRDefault="00420923" w:rsidP="00EA1956">
      <w:pPr>
        <w:ind w:left="72"/>
        <w:jc w:val="both"/>
        <w:rPr>
          <w:rFonts w:ascii="Arial" w:hAnsi="Arial" w:cs="Arial"/>
          <w:sz w:val="20"/>
          <w:szCs w:val="20"/>
        </w:rPr>
      </w:pPr>
    </w:p>
    <w:p w14:paraId="5A6C322E" w14:textId="781B6BC3" w:rsidR="00420923" w:rsidRDefault="607C4A4B" w:rsidP="00EA1956">
      <w:pPr>
        <w:pStyle w:val="ListParagraph"/>
        <w:numPr>
          <w:ilvl w:val="0"/>
          <w:numId w:val="20"/>
        </w:numPr>
        <w:ind w:left="360"/>
        <w:jc w:val="both"/>
        <w:rPr>
          <w:rFonts w:ascii="Arial" w:hAnsi="Arial" w:cs="Arial"/>
          <w:sz w:val="20"/>
          <w:szCs w:val="20"/>
        </w:rPr>
      </w:pPr>
      <w:r w:rsidRPr="00B6587D">
        <w:rPr>
          <w:rFonts w:ascii="Arial" w:hAnsi="Arial" w:cs="Arial"/>
          <w:b/>
          <w:bCs/>
          <w:sz w:val="20"/>
          <w:szCs w:val="20"/>
        </w:rPr>
        <w:t>First Pay Benefit Timeliness (Unemployment Insurance)</w:t>
      </w:r>
      <w:r w:rsidRPr="00B6587D">
        <w:rPr>
          <w:rFonts w:ascii="Arial" w:hAnsi="Arial" w:cs="Arial"/>
          <w:sz w:val="20"/>
          <w:szCs w:val="20"/>
        </w:rPr>
        <w:t xml:space="preserve"> – Percent of all first payments made within 14 days after the week ending date of the first compensable week in the benefit year. </w:t>
      </w:r>
    </w:p>
    <w:p w14:paraId="4F0217F7" w14:textId="77777777" w:rsidR="00B6587D" w:rsidRPr="00B6587D" w:rsidRDefault="00B6587D" w:rsidP="00EA1956">
      <w:pPr>
        <w:pStyle w:val="ListParagraph"/>
        <w:ind w:left="72"/>
        <w:jc w:val="both"/>
        <w:rPr>
          <w:rFonts w:ascii="Arial" w:hAnsi="Arial" w:cs="Arial"/>
          <w:sz w:val="20"/>
          <w:szCs w:val="20"/>
        </w:rPr>
      </w:pPr>
    </w:p>
    <w:p w14:paraId="03CDFD89" w14:textId="4E518A4A" w:rsidR="00420923" w:rsidRPr="00346C7C" w:rsidRDefault="607C4A4B" w:rsidP="00EA1956">
      <w:pPr>
        <w:pStyle w:val="ListParagraph"/>
        <w:numPr>
          <w:ilvl w:val="0"/>
          <w:numId w:val="20"/>
        </w:numPr>
        <w:ind w:left="360"/>
        <w:jc w:val="both"/>
        <w:rPr>
          <w:rFonts w:ascii="Arial" w:hAnsi="Arial" w:cs="Arial"/>
          <w:sz w:val="20"/>
          <w:szCs w:val="20"/>
        </w:rPr>
      </w:pPr>
      <w:r w:rsidRPr="607C4A4B">
        <w:rPr>
          <w:rFonts w:ascii="Arial" w:hAnsi="Arial" w:cs="Arial"/>
          <w:b/>
          <w:bCs/>
          <w:sz w:val="20"/>
          <w:szCs w:val="20"/>
        </w:rPr>
        <w:t>Nonmonetary Determination (Unemployment Insurance)</w:t>
      </w:r>
      <w:r w:rsidRPr="607C4A4B">
        <w:rPr>
          <w:rFonts w:ascii="Arial" w:hAnsi="Arial" w:cs="Arial"/>
          <w:sz w:val="20"/>
          <w:szCs w:val="20"/>
        </w:rPr>
        <w:t xml:space="preserve"> – Percent of all nonmonetary determinations (separations and non-separations) made within 21 days of the date of detection of any nonmonetary issue that would affect the claimants’ right to unemployment compensation. </w:t>
      </w:r>
    </w:p>
    <w:p w14:paraId="108416B0" w14:textId="77777777" w:rsidR="006A3FC2" w:rsidRPr="006A3FC2" w:rsidRDefault="006A3FC2" w:rsidP="00EA1956">
      <w:pPr>
        <w:ind w:left="72"/>
        <w:jc w:val="both"/>
        <w:rPr>
          <w:rFonts w:ascii="Arial" w:hAnsi="Arial" w:cs="Arial"/>
          <w:sz w:val="20"/>
          <w:szCs w:val="20"/>
        </w:rPr>
      </w:pPr>
    </w:p>
    <w:p w14:paraId="36670DF8" w14:textId="77777777" w:rsidR="00236A7F" w:rsidRPr="005F4FD4" w:rsidRDefault="607C4A4B" w:rsidP="00EA1956">
      <w:pPr>
        <w:pStyle w:val="ListParagraph"/>
        <w:numPr>
          <w:ilvl w:val="0"/>
          <w:numId w:val="20"/>
        </w:numPr>
        <w:ind w:left="360"/>
        <w:jc w:val="both"/>
        <w:rPr>
          <w:rFonts w:ascii="Arial" w:hAnsi="Arial" w:cs="Arial"/>
          <w:sz w:val="20"/>
          <w:szCs w:val="20"/>
        </w:rPr>
      </w:pPr>
      <w:r w:rsidRPr="607C4A4B">
        <w:rPr>
          <w:rFonts w:ascii="Arial" w:hAnsi="Arial" w:cs="Arial"/>
          <w:b/>
          <w:bCs/>
          <w:sz w:val="20"/>
          <w:szCs w:val="20"/>
        </w:rPr>
        <w:t>Productivity per Work Year (Disability Determinations Service)</w:t>
      </w:r>
      <w:r w:rsidRPr="607C4A4B">
        <w:rPr>
          <w:rFonts w:ascii="Arial" w:hAnsi="Arial" w:cs="Arial"/>
          <w:sz w:val="20"/>
          <w:szCs w:val="20"/>
        </w:rPr>
        <w:t xml:space="preserve"> – The higher the number </w:t>
      </w:r>
      <w:proofErr w:type="gramStart"/>
      <w:r w:rsidRPr="607C4A4B">
        <w:rPr>
          <w:rFonts w:ascii="Arial" w:hAnsi="Arial" w:cs="Arial"/>
          <w:sz w:val="20"/>
          <w:szCs w:val="20"/>
        </w:rPr>
        <w:t>in a given year</w:t>
      </w:r>
      <w:proofErr w:type="gramEnd"/>
      <w:r w:rsidRPr="607C4A4B">
        <w:rPr>
          <w:rFonts w:ascii="Arial" w:hAnsi="Arial" w:cs="Arial"/>
          <w:sz w:val="20"/>
          <w:szCs w:val="20"/>
        </w:rPr>
        <w:t>, the greater the productivity per worker in terms of case decisions and processing – federal program standard.</w:t>
      </w:r>
    </w:p>
    <w:p w14:paraId="2A8FA721" w14:textId="77777777" w:rsidR="00420923" w:rsidRPr="00F5653D" w:rsidRDefault="00420923" w:rsidP="00EA1956">
      <w:pPr>
        <w:ind w:left="72"/>
        <w:jc w:val="both"/>
        <w:rPr>
          <w:rFonts w:ascii="Arial" w:hAnsi="Arial" w:cs="Arial"/>
          <w:sz w:val="20"/>
          <w:szCs w:val="20"/>
        </w:rPr>
      </w:pPr>
    </w:p>
    <w:p w14:paraId="640B7421" w14:textId="5EEE948E" w:rsidR="00391633" w:rsidRDefault="607C4A4B" w:rsidP="00EA1956">
      <w:pPr>
        <w:pStyle w:val="ListParagraph"/>
        <w:numPr>
          <w:ilvl w:val="0"/>
          <w:numId w:val="20"/>
        </w:numPr>
        <w:ind w:left="360"/>
        <w:jc w:val="both"/>
        <w:rPr>
          <w:rFonts w:ascii="Arial" w:hAnsi="Arial" w:cs="Arial"/>
          <w:sz w:val="20"/>
          <w:szCs w:val="20"/>
        </w:rPr>
      </w:pPr>
      <w:r w:rsidRPr="607C4A4B">
        <w:rPr>
          <w:rFonts w:ascii="Arial" w:hAnsi="Arial" w:cs="Arial"/>
          <w:b/>
          <w:bCs/>
          <w:sz w:val="20"/>
          <w:szCs w:val="20"/>
        </w:rPr>
        <w:t>Cases Closed through the Idaho Human Rights Commission’s Administrative Process</w:t>
      </w:r>
      <w:r w:rsidRPr="607C4A4B">
        <w:rPr>
          <w:rFonts w:ascii="Arial" w:hAnsi="Arial" w:cs="Arial"/>
          <w:sz w:val="20"/>
          <w:szCs w:val="20"/>
        </w:rPr>
        <w:t xml:space="preserve"> – All cases closed from July 1 through June 30 (state fiscal year).</w:t>
      </w:r>
    </w:p>
    <w:p w14:paraId="2672F958" w14:textId="77777777" w:rsidR="00391633" w:rsidRPr="00391633" w:rsidRDefault="00391633" w:rsidP="00391633">
      <w:pPr>
        <w:pStyle w:val="ListParagraph"/>
        <w:jc w:val="both"/>
        <w:rPr>
          <w:rFonts w:ascii="Arial" w:hAnsi="Arial" w:cs="Arial"/>
          <w:b/>
          <w:sz w:val="20"/>
          <w:szCs w:val="20"/>
        </w:rPr>
      </w:pPr>
    </w:p>
    <w:p w14:paraId="293CE671" w14:textId="77777777" w:rsidR="00EA0681" w:rsidRDefault="00EA0681" w:rsidP="00EA0681">
      <w:pPr>
        <w:jc w:val="both"/>
        <w:rPr>
          <w:rFonts w:ascii="Arial" w:hAnsi="Arial" w:cs="Arial"/>
          <w:sz w:val="20"/>
          <w:szCs w:val="20"/>
        </w:rPr>
      </w:pPr>
    </w:p>
    <w:p w14:paraId="2061547F" w14:textId="77777777" w:rsidR="00EF656E" w:rsidRPr="00391633" w:rsidRDefault="00EF656E" w:rsidP="00863314">
      <w:pPr>
        <w:rPr>
          <w:rFonts w:ascii="Arial" w:hAnsi="Arial" w:cs="Arial"/>
          <w:sz w:val="20"/>
          <w:szCs w:val="20"/>
        </w:rPr>
      </w:pPr>
    </w:p>
    <w:tbl>
      <w:tblPr>
        <w:tblpPr w:leftFromText="180" w:rightFromText="180" w:vertAnchor="text" w:horzAnchor="margin" w:tblpXSpec="center" w:tblpY="-7"/>
        <w:tblW w:w="0" w:type="auto"/>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863314" w:rsidRPr="00793F94" w14:paraId="788F92CA" w14:textId="77777777" w:rsidTr="607C4A4B">
        <w:trPr>
          <w:trHeight w:val="1996"/>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50F33EA3" w14:textId="77777777" w:rsidR="00863314" w:rsidRDefault="607C4A4B" w:rsidP="607C4A4B">
            <w:pPr>
              <w:jc w:val="center"/>
              <w:rPr>
                <w:rFonts w:ascii="Arial" w:hAnsi="Arial" w:cs="Arial"/>
                <w:b/>
                <w:bCs/>
                <w:sz w:val="20"/>
                <w:szCs w:val="20"/>
              </w:rPr>
            </w:pPr>
            <w:r w:rsidRPr="607C4A4B">
              <w:rPr>
                <w:rFonts w:ascii="Arial" w:hAnsi="Arial" w:cs="Arial"/>
                <w:b/>
                <w:bCs/>
                <w:sz w:val="20"/>
                <w:szCs w:val="20"/>
              </w:rPr>
              <w:t>For More Information Contact:</w:t>
            </w:r>
          </w:p>
          <w:p w14:paraId="1EB6DD64" w14:textId="77777777" w:rsidR="00863314" w:rsidRPr="00793F94" w:rsidRDefault="00863314" w:rsidP="00F47460">
            <w:pPr>
              <w:jc w:val="center"/>
              <w:rPr>
                <w:rFonts w:ascii="Arial" w:hAnsi="Arial" w:cs="Arial"/>
                <w:sz w:val="20"/>
                <w:szCs w:val="20"/>
              </w:rPr>
            </w:pPr>
          </w:p>
          <w:p w14:paraId="68580790" w14:textId="1805379F" w:rsidR="00863314" w:rsidRPr="00793F94" w:rsidRDefault="003D1051" w:rsidP="00F47460">
            <w:pPr>
              <w:ind w:left="252"/>
              <w:rPr>
                <w:rFonts w:ascii="Arial" w:hAnsi="Arial" w:cs="Arial"/>
                <w:sz w:val="20"/>
                <w:szCs w:val="20"/>
              </w:rPr>
            </w:pPr>
            <w:r>
              <w:rPr>
                <w:rFonts w:ascii="Arial" w:hAnsi="Arial" w:cs="Arial"/>
                <w:noProof/>
                <w:sz w:val="20"/>
                <w:szCs w:val="20"/>
              </w:rPr>
              <w:t>Darlene Carnopis</w:t>
            </w:r>
            <w:r w:rsidR="00E8163D">
              <w:rPr>
                <w:rFonts w:ascii="Arial" w:hAnsi="Arial" w:cs="Arial"/>
                <w:noProof/>
                <w:sz w:val="20"/>
                <w:szCs w:val="20"/>
              </w:rPr>
              <w:t xml:space="preserve">, </w:t>
            </w:r>
            <w:r>
              <w:rPr>
                <w:rFonts w:ascii="Arial" w:hAnsi="Arial" w:cs="Arial"/>
                <w:noProof/>
                <w:sz w:val="20"/>
                <w:szCs w:val="20"/>
              </w:rPr>
              <w:t>Policy Coordinator</w:t>
            </w:r>
            <w:r w:rsidR="004F699C">
              <w:rPr>
                <w:rFonts w:ascii="Arial" w:hAnsi="Arial" w:cs="Arial"/>
                <w:noProof/>
                <w:sz w:val="20"/>
                <w:szCs w:val="20"/>
              </w:rPr>
              <w:t xml:space="preserve"> </w:t>
            </w:r>
          </w:p>
          <w:p w14:paraId="14270F09" w14:textId="77777777" w:rsidR="00863314" w:rsidRPr="00793F94" w:rsidRDefault="00863314" w:rsidP="00F47460">
            <w:pPr>
              <w:ind w:left="252"/>
              <w:rPr>
                <w:rFonts w:ascii="Arial" w:hAnsi="Arial" w:cs="Arial"/>
                <w:sz w:val="20"/>
                <w:szCs w:val="20"/>
              </w:rPr>
            </w:pPr>
            <w:r w:rsidRPr="00793F94">
              <w:rPr>
                <w:rFonts w:ascii="Arial" w:hAnsi="Arial" w:cs="Arial"/>
                <w:noProof/>
                <w:sz w:val="20"/>
                <w:szCs w:val="20"/>
              </w:rPr>
              <w:t>Idaho Department of Labor</w:t>
            </w:r>
          </w:p>
          <w:p w14:paraId="39787914" w14:textId="7B0C33C6" w:rsidR="00863314" w:rsidRPr="00793F94" w:rsidRDefault="00863314" w:rsidP="00F47460">
            <w:pPr>
              <w:ind w:left="252"/>
              <w:rPr>
                <w:rFonts w:ascii="Arial" w:hAnsi="Arial" w:cs="Arial"/>
                <w:sz w:val="20"/>
                <w:szCs w:val="20"/>
              </w:rPr>
            </w:pPr>
            <w:r w:rsidRPr="00793F94">
              <w:rPr>
                <w:rFonts w:ascii="Arial" w:hAnsi="Arial" w:cs="Arial"/>
                <w:noProof/>
                <w:sz w:val="20"/>
                <w:szCs w:val="20"/>
              </w:rPr>
              <w:t>317 W</w:t>
            </w:r>
            <w:r w:rsidR="004F699C">
              <w:rPr>
                <w:rFonts w:ascii="Arial" w:hAnsi="Arial" w:cs="Arial"/>
                <w:noProof/>
                <w:sz w:val="20"/>
                <w:szCs w:val="20"/>
              </w:rPr>
              <w:t>.</w:t>
            </w:r>
            <w:r w:rsidRPr="00793F94">
              <w:rPr>
                <w:rFonts w:ascii="Arial" w:hAnsi="Arial" w:cs="Arial"/>
                <w:noProof/>
                <w:sz w:val="20"/>
                <w:szCs w:val="20"/>
              </w:rPr>
              <w:t xml:space="preserve"> Main St.</w:t>
            </w:r>
          </w:p>
          <w:p w14:paraId="5DC9BF91" w14:textId="77777777" w:rsidR="00863314" w:rsidRPr="00793F94" w:rsidRDefault="607C4A4B" w:rsidP="607C4A4B">
            <w:pPr>
              <w:ind w:left="252"/>
              <w:rPr>
                <w:rFonts w:ascii="Arial" w:hAnsi="Arial" w:cs="Arial"/>
                <w:sz w:val="20"/>
                <w:szCs w:val="20"/>
              </w:rPr>
            </w:pPr>
            <w:r w:rsidRPr="607C4A4B">
              <w:rPr>
                <w:rFonts w:ascii="Arial" w:hAnsi="Arial" w:cs="Arial"/>
                <w:noProof/>
                <w:sz w:val="20"/>
                <w:szCs w:val="20"/>
              </w:rPr>
              <w:t>Boise</w:t>
            </w:r>
            <w:r w:rsidRPr="607C4A4B">
              <w:rPr>
                <w:rFonts w:ascii="Arial" w:hAnsi="Arial" w:cs="Arial"/>
                <w:sz w:val="20"/>
                <w:szCs w:val="20"/>
              </w:rPr>
              <w:t xml:space="preserve">, </w:t>
            </w:r>
            <w:r w:rsidRPr="607C4A4B">
              <w:rPr>
                <w:rFonts w:ascii="Arial" w:hAnsi="Arial" w:cs="Arial"/>
                <w:noProof/>
                <w:sz w:val="20"/>
                <w:szCs w:val="20"/>
              </w:rPr>
              <w:t>ID</w:t>
            </w:r>
            <w:r w:rsidRPr="607C4A4B">
              <w:rPr>
                <w:rFonts w:ascii="Arial" w:hAnsi="Arial" w:cs="Arial"/>
                <w:sz w:val="20"/>
                <w:szCs w:val="20"/>
              </w:rPr>
              <w:t xml:space="preserve">  </w:t>
            </w:r>
            <w:r w:rsidRPr="607C4A4B">
              <w:rPr>
                <w:rFonts w:ascii="Arial" w:hAnsi="Arial" w:cs="Arial"/>
                <w:noProof/>
                <w:sz w:val="20"/>
                <w:szCs w:val="20"/>
              </w:rPr>
              <w:t>83735-0790</w:t>
            </w:r>
          </w:p>
          <w:p w14:paraId="1FC70C92" w14:textId="3A507AF9" w:rsidR="00863314" w:rsidRPr="00793F94" w:rsidRDefault="607C4A4B" w:rsidP="607C4A4B">
            <w:pPr>
              <w:ind w:left="252"/>
              <w:rPr>
                <w:rFonts w:ascii="Arial" w:hAnsi="Arial" w:cs="Arial"/>
                <w:sz w:val="20"/>
                <w:szCs w:val="20"/>
              </w:rPr>
            </w:pPr>
            <w:r w:rsidRPr="607C4A4B">
              <w:rPr>
                <w:rFonts w:ascii="Arial" w:hAnsi="Arial" w:cs="Arial"/>
                <w:sz w:val="20"/>
                <w:szCs w:val="20"/>
              </w:rPr>
              <w:t xml:space="preserve">Phone: (208) 332-3570 x </w:t>
            </w:r>
            <w:r w:rsidR="003D1051">
              <w:rPr>
                <w:rFonts w:ascii="Arial" w:hAnsi="Arial" w:cs="Arial"/>
                <w:sz w:val="20"/>
                <w:szCs w:val="20"/>
              </w:rPr>
              <w:t>3439</w:t>
            </w:r>
          </w:p>
          <w:p w14:paraId="323A1049" w14:textId="4A3E45EA" w:rsidR="00863314" w:rsidRPr="00793F94" w:rsidRDefault="607C4A4B" w:rsidP="607C4A4B">
            <w:pPr>
              <w:ind w:left="252"/>
              <w:rPr>
                <w:rFonts w:ascii="Arial" w:hAnsi="Arial" w:cs="Arial"/>
                <w:sz w:val="20"/>
                <w:szCs w:val="20"/>
              </w:rPr>
            </w:pPr>
            <w:r w:rsidRPr="607C4A4B">
              <w:rPr>
                <w:rFonts w:ascii="Arial" w:hAnsi="Arial" w:cs="Arial"/>
                <w:sz w:val="20"/>
                <w:szCs w:val="20"/>
              </w:rPr>
              <w:t xml:space="preserve">E-mail:  </w:t>
            </w:r>
            <w:hyperlink r:id="rId11" w:history="1">
              <w:r w:rsidR="003D1051" w:rsidRPr="003D1051">
                <w:rPr>
                  <w:rStyle w:val="Hyperlink"/>
                  <w:rFonts w:ascii="Arial" w:hAnsi="Arial" w:cs="Arial"/>
                  <w:sz w:val="20"/>
                  <w:szCs w:val="20"/>
                </w:rPr>
                <w:t>darlene.carnopis@labor.idaho.gov</w:t>
              </w:r>
            </w:hyperlink>
          </w:p>
        </w:tc>
      </w:tr>
    </w:tbl>
    <w:p w14:paraId="36FF3A28" w14:textId="77777777" w:rsidR="00863314" w:rsidRPr="00863314" w:rsidRDefault="00863314" w:rsidP="00863314">
      <w:pPr>
        <w:rPr>
          <w:rFonts w:ascii="Arial" w:hAnsi="Arial" w:cs="Arial"/>
          <w:szCs w:val="20"/>
        </w:rPr>
      </w:pPr>
    </w:p>
    <w:sectPr w:rsidR="00863314" w:rsidRPr="00863314" w:rsidSect="00BA4E30">
      <w:headerReference w:type="default" r:id="rId12"/>
      <w:footerReference w:type="even" r:id="rId13"/>
      <w:footerReference w:type="default" r:id="rId14"/>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1F736" w14:textId="77777777" w:rsidR="00A17CFB" w:rsidRDefault="00A17CFB">
      <w:r>
        <w:separator/>
      </w:r>
    </w:p>
  </w:endnote>
  <w:endnote w:type="continuationSeparator" w:id="0">
    <w:p w14:paraId="78FAF86D" w14:textId="77777777" w:rsidR="00A17CFB" w:rsidRDefault="00A17CFB">
      <w:r>
        <w:continuationSeparator/>
      </w:r>
    </w:p>
  </w:endnote>
  <w:endnote w:type="continuationNotice" w:id="1">
    <w:p w14:paraId="1F341099" w14:textId="77777777" w:rsidR="00A17CFB" w:rsidRDefault="00A1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4A18" w14:textId="77777777" w:rsidR="00D14045" w:rsidRDefault="00D14045" w:rsidP="005A7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816AAA" w14:textId="77777777" w:rsidR="00D14045" w:rsidRDefault="00D14045" w:rsidP="00C67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465891137"/>
      <w:docPartObj>
        <w:docPartGallery w:val="Page Numbers (Bottom of Page)"/>
        <w:docPartUnique/>
      </w:docPartObj>
    </w:sdtPr>
    <w:sdtEndPr>
      <w:rPr>
        <w:rFonts w:ascii="Times New Roman" w:hAnsi="Times New Roman" w:cs="Times New Roman"/>
        <w:noProof/>
        <w:sz w:val="24"/>
        <w:szCs w:val="24"/>
      </w:rPr>
    </w:sdtEndPr>
    <w:sdtContent>
      <w:p w14:paraId="11A289E6" w14:textId="77777777" w:rsidR="00D14045" w:rsidRPr="00A07EEF" w:rsidRDefault="00D14045" w:rsidP="001A55BC">
        <w:pPr>
          <w:pStyle w:val="Footer"/>
          <w:tabs>
            <w:tab w:val="clear" w:pos="4320"/>
            <w:tab w:val="clear" w:pos="8640"/>
            <w:tab w:val="center" w:pos="4680"/>
            <w:tab w:val="right" w:pos="10080"/>
          </w:tabs>
          <w:rPr>
            <w:rFonts w:ascii="Arial" w:hAnsi="Arial" w:cs="Arial"/>
            <w:sz w:val="20"/>
            <w:szCs w:val="20"/>
          </w:rPr>
        </w:pPr>
      </w:p>
      <w:p w14:paraId="23910636" w14:textId="7FBE9246" w:rsidR="00D14045" w:rsidRPr="001A55BC" w:rsidRDefault="00D14045" w:rsidP="001A55BC">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8105D8">
          <w:rPr>
            <w:rFonts w:ascii="Arial" w:hAnsi="Arial" w:cs="Arial"/>
            <w:noProof/>
            <w:sz w:val="20"/>
            <w:szCs w:val="20"/>
          </w:rPr>
          <w:t>1</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F5F6" w14:textId="77777777" w:rsidR="00A17CFB" w:rsidRDefault="00A17CFB">
      <w:r>
        <w:separator/>
      </w:r>
    </w:p>
  </w:footnote>
  <w:footnote w:type="continuationSeparator" w:id="0">
    <w:p w14:paraId="0669E463" w14:textId="77777777" w:rsidR="00A17CFB" w:rsidRDefault="00A17CFB">
      <w:r>
        <w:continuationSeparator/>
      </w:r>
    </w:p>
  </w:footnote>
  <w:footnote w:type="continuationNotice" w:id="1">
    <w:p w14:paraId="5CF24976" w14:textId="77777777" w:rsidR="00A17CFB" w:rsidRDefault="00A17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D14045" w14:paraId="09427257" w14:textId="77777777" w:rsidTr="607C4A4B">
      <w:tc>
        <w:tcPr>
          <w:tcW w:w="10080" w:type="dxa"/>
          <w:shd w:val="clear" w:color="auto" w:fill="000080"/>
          <w:vAlign w:val="center"/>
        </w:tcPr>
        <w:p w14:paraId="2C530DBA" w14:textId="77777777" w:rsidR="00D14045" w:rsidRPr="006301C9" w:rsidRDefault="00D14045" w:rsidP="607C4A4B">
          <w:pPr>
            <w:tabs>
              <w:tab w:val="right" w:pos="9852"/>
            </w:tabs>
            <w:rPr>
              <w:rFonts w:ascii="Arial" w:hAnsi="Arial" w:cs="Arial"/>
              <w:b/>
              <w:bCs/>
              <w:color w:val="FFFFFF" w:themeColor="background1"/>
            </w:rPr>
          </w:pPr>
          <w:r w:rsidRPr="006301C9">
            <w:rPr>
              <w:rFonts w:ascii="Arial" w:hAnsi="Arial" w:cs="Arial"/>
              <w:b/>
              <w:bCs/>
              <w:noProof/>
              <w:color w:val="FFFFFF"/>
            </w:rPr>
            <w:t>Idaho Department of Labor</w:t>
          </w:r>
          <w:r w:rsidRPr="006301C9">
            <w:rPr>
              <w:rFonts w:ascii="Arial" w:hAnsi="Arial" w:cs="Arial"/>
              <w:b/>
              <w:bCs/>
              <w:color w:val="FFFFFF"/>
            </w:rPr>
            <w:tab/>
          </w:r>
          <w:r w:rsidRPr="00A07EEF">
            <w:rPr>
              <w:rFonts w:ascii="Arial" w:hAnsi="Arial" w:cs="Arial"/>
              <w:color w:val="FFFFFF"/>
            </w:rPr>
            <w:t>Performance Report</w:t>
          </w:r>
        </w:p>
      </w:tc>
    </w:tr>
    <w:tr w:rsidR="00D14045" w14:paraId="24887C6D" w14:textId="77777777" w:rsidTr="607C4A4B">
      <w:trPr>
        <w:trHeight w:hRule="exact" w:val="90"/>
      </w:trPr>
      <w:tc>
        <w:tcPr>
          <w:tcW w:w="10080" w:type="dxa"/>
          <w:tcBorders>
            <w:top w:val="nil"/>
            <w:bottom w:val="single" w:sz="4" w:space="0" w:color="auto"/>
          </w:tcBorders>
          <w:vAlign w:val="center"/>
        </w:tcPr>
        <w:p w14:paraId="552917F2" w14:textId="77777777" w:rsidR="00D14045" w:rsidRDefault="00D14045" w:rsidP="006A0EF4"/>
      </w:tc>
    </w:tr>
    <w:tr w:rsidR="00D14045" w14:paraId="3E9B1E0D" w14:textId="77777777" w:rsidTr="607C4A4B">
      <w:tc>
        <w:tcPr>
          <w:tcW w:w="10080" w:type="dxa"/>
          <w:tcBorders>
            <w:top w:val="single" w:sz="4" w:space="0" w:color="auto"/>
            <w:bottom w:val="nil"/>
          </w:tcBorders>
          <w:shd w:val="clear" w:color="auto" w:fill="000080"/>
          <w:vAlign w:val="center"/>
        </w:tcPr>
        <w:p w14:paraId="231A2F73" w14:textId="77777777" w:rsidR="00D14045" w:rsidRDefault="00D14045" w:rsidP="006A0EF4"/>
      </w:tc>
    </w:tr>
  </w:tbl>
  <w:p w14:paraId="5FDCB94E" w14:textId="77777777" w:rsidR="00D14045" w:rsidRDefault="00D14045" w:rsidP="00EE4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B1AA07"/>
    <w:multiLevelType w:val="hybridMultilevel"/>
    <w:tmpl w:val="899136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C41D7"/>
    <w:multiLevelType w:val="hybridMultilevel"/>
    <w:tmpl w:val="D592F9F4"/>
    <w:lvl w:ilvl="0" w:tplc="0409000F">
      <w:start w:val="1"/>
      <w:numFmt w:val="decimal"/>
      <w:lvlText w:val="%1."/>
      <w:lvlJc w:val="left"/>
      <w:pPr>
        <w:ind w:left="720" w:hanging="360"/>
      </w:pPr>
      <w:rPr>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3F71A1"/>
    <w:multiLevelType w:val="hybridMultilevel"/>
    <w:tmpl w:val="529201FE"/>
    <w:lvl w:ilvl="0" w:tplc="F0B0346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90575"/>
    <w:multiLevelType w:val="hybridMultilevel"/>
    <w:tmpl w:val="98429EC6"/>
    <w:lvl w:ilvl="0" w:tplc="9AEE2A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C68B6"/>
    <w:multiLevelType w:val="hybridMultilevel"/>
    <w:tmpl w:val="94EEF984"/>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23160"/>
    <w:multiLevelType w:val="hybridMultilevel"/>
    <w:tmpl w:val="0B7E4498"/>
    <w:lvl w:ilvl="0" w:tplc="E1786C9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8777"/>
    <w:multiLevelType w:val="hybridMultilevel"/>
    <w:tmpl w:val="A9EAB2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F319A8"/>
    <w:multiLevelType w:val="hybridMultilevel"/>
    <w:tmpl w:val="AC3E5350"/>
    <w:lvl w:ilvl="0" w:tplc="BCE2AA12">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2F3E56"/>
    <w:multiLevelType w:val="hybridMultilevel"/>
    <w:tmpl w:val="EF1EF266"/>
    <w:lvl w:ilvl="0" w:tplc="AEF8E118">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D353CB"/>
    <w:multiLevelType w:val="hybridMultilevel"/>
    <w:tmpl w:val="45506B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9C4594"/>
    <w:multiLevelType w:val="hybridMultilevel"/>
    <w:tmpl w:val="54BE5556"/>
    <w:lvl w:ilvl="0" w:tplc="329CF782">
      <w:start w:val="1"/>
      <w:numFmt w:val="decimal"/>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436DB"/>
    <w:multiLevelType w:val="hybridMultilevel"/>
    <w:tmpl w:val="6BEA5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B9298D"/>
    <w:multiLevelType w:val="multilevel"/>
    <w:tmpl w:val="74821E7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0EA67B3"/>
    <w:multiLevelType w:val="hybridMultilevel"/>
    <w:tmpl w:val="198EDAD2"/>
    <w:lvl w:ilvl="0" w:tplc="190423AE">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B0D5115"/>
    <w:multiLevelType w:val="hybridMultilevel"/>
    <w:tmpl w:val="D27A5402"/>
    <w:lvl w:ilvl="0" w:tplc="66400066">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36A7530"/>
    <w:multiLevelType w:val="hybridMultilevel"/>
    <w:tmpl w:val="3FAC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034F0"/>
    <w:multiLevelType w:val="multilevel"/>
    <w:tmpl w:val="F2BCDCD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767379D3"/>
    <w:multiLevelType w:val="hybridMultilevel"/>
    <w:tmpl w:val="05887E0A"/>
    <w:lvl w:ilvl="0" w:tplc="3E3873E2">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5084367">
    <w:abstractNumId w:val="0"/>
  </w:num>
  <w:num w:numId="2" w16cid:durableId="2095977116">
    <w:abstractNumId w:val="6"/>
  </w:num>
  <w:num w:numId="3" w16cid:durableId="987318318">
    <w:abstractNumId w:val="2"/>
  </w:num>
  <w:num w:numId="4" w16cid:durableId="909853067">
    <w:abstractNumId w:val="7"/>
  </w:num>
  <w:num w:numId="5" w16cid:durableId="587346570">
    <w:abstractNumId w:val="17"/>
  </w:num>
  <w:num w:numId="6" w16cid:durableId="933171026">
    <w:abstractNumId w:val="12"/>
  </w:num>
  <w:num w:numId="7" w16cid:durableId="1620331561">
    <w:abstractNumId w:val="14"/>
  </w:num>
  <w:num w:numId="8" w16cid:durableId="2051569156">
    <w:abstractNumId w:val="15"/>
  </w:num>
  <w:num w:numId="9" w16cid:durableId="635642377">
    <w:abstractNumId w:val="8"/>
  </w:num>
  <w:num w:numId="10" w16cid:durableId="322780301">
    <w:abstractNumId w:val="18"/>
  </w:num>
  <w:num w:numId="11" w16cid:durableId="1064793782">
    <w:abstractNumId w:val="11"/>
  </w:num>
  <w:num w:numId="12" w16cid:durableId="1278638039">
    <w:abstractNumId w:val="9"/>
  </w:num>
  <w:num w:numId="13" w16cid:durableId="1238975990">
    <w:abstractNumId w:val="10"/>
  </w:num>
  <w:num w:numId="14" w16cid:durableId="23873364">
    <w:abstractNumId w:val="13"/>
  </w:num>
  <w:num w:numId="15" w16cid:durableId="127164314">
    <w:abstractNumId w:val="3"/>
  </w:num>
  <w:num w:numId="16" w16cid:durableId="1387876736">
    <w:abstractNumId w:val="5"/>
  </w:num>
  <w:num w:numId="17" w16cid:durableId="1162349792">
    <w:abstractNumId w:val="16"/>
  </w:num>
  <w:num w:numId="18" w16cid:durableId="1635330804">
    <w:abstractNumId w:val="4"/>
  </w:num>
  <w:num w:numId="19" w16cid:durableId="11044207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5365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88"/>
    <w:rsid w:val="00000AE5"/>
    <w:rsid w:val="00001BE8"/>
    <w:rsid w:val="000056E3"/>
    <w:rsid w:val="000061FB"/>
    <w:rsid w:val="00007259"/>
    <w:rsid w:val="0000779A"/>
    <w:rsid w:val="000111F0"/>
    <w:rsid w:val="000132F9"/>
    <w:rsid w:val="00020E73"/>
    <w:rsid w:val="00023C4F"/>
    <w:rsid w:val="00026070"/>
    <w:rsid w:val="0004053C"/>
    <w:rsid w:val="00040C2D"/>
    <w:rsid w:val="00041062"/>
    <w:rsid w:val="00041F1D"/>
    <w:rsid w:val="000429D3"/>
    <w:rsid w:val="00042C2B"/>
    <w:rsid w:val="000472C0"/>
    <w:rsid w:val="00051218"/>
    <w:rsid w:val="00052EA7"/>
    <w:rsid w:val="0005340C"/>
    <w:rsid w:val="0005592E"/>
    <w:rsid w:val="00061849"/>
    <w:rsid w:val="0006320D"/>
    <w:rsid w:val="00067F40"/>
    <w:rsid w:val="000708D5"/>
    <w:rsid w:val="00071DED"/>
    <w:rsid w:val="00077FA2"/>
    <w:rsid w:val="000804EC"/>
    <w:rsid w:val="000832F2"/>
    <w:rsid w:val="00084384"/>
    <w:rsid w:val="00084529"/>
    <w:rsid w:val="00084734"/>
    <w:rsid w:val="00086395"/>
    <w:rsid w:val="000942F7"/>
    <w:rsid w:val="00094EC4"/>
    <w:rsid w:val="00095708"/>
    <w:rsid w:val="00096B00"/>
    <w:rsid w:val="000A23A0"/>
    <w:rsid w:val="000A3A6F"/>
    <w:rsid w:val="000A3B5D"/>
    <w:rsid w:val="000B20DD"/>
    <w:rsid w:val="000B3C88"/>
    <w:rsid w:val="000B69C7"/>
    <w:rsid w:val="000B745F"/>
    <w:rsid w:val="000C181B"/>
    <w:rsid w:val="000C31CA"/>
    <w:rsid w:val="000C58B4"/>
    <w:rsid w:val="000C62F7"/>
    <w:rsid w:val="000D0825"/>
    <w:rsid w:val="000D09F8"/>
    <w:rsid w:val="000D3FA3"/>
    <w:rsid w:val="000D7AD2"/>
    <w:rsid w:val="000E04E8"/>
    <w:rsid w:val="000E2984"/>
    <w:rsid w:val="000E2BAF"/>
    <w:rsid w:val="000E61FE"/>
    <w:rsid w:val="000E6565"/>
    <w:rsid w:val="000F0CD0"/>
    <w:rsid w:val="000F1223"/>
    <w:rsid w:val="000F491F"/>
    <w:rsid w:val="000F5818"/>
    <w:rsid w:val="001000D6"/>
    <w:rsid w:val="001041CA"/>
    <w:rsid w:val="00106B0F"/>
    <w:rsid w:val="00112937"/>
    <w:rsid w:val="0012575D"/>
    <w:rsid w:val="00132C4E"/>
    <w:rsid w:val="00135B59"/>
    <w:rsid w:val="001479C0"/>
    <w:rsid w:val="001513F7"/>
    <w:rsid w:val="00154E50"/>
    <w:rsid w:val="00163454"/>
    <w:rsid w:val="001678D1"/>
    <w:rsid w:val="00171FC6"/>
    <w:rsid w:val="00174382"/>
    <w:rsid w:val="0018111C"/>
    <w:rsid w:val="001832E7"/>
    <w:rsid w:val="00184A4F"/>
    <w:rsid w:val="00185FDD"/>
    <w:rsid w:val="00186F9F"/>
    <w:rsid w:val="00194BAB"/>
    <w:rsid w:val="00196C88"/>
    <w:rsid w:val="001A175C"/>
    <w:rsid w:val="001A55BC"/>
    <w:rsid w:val="001A685B"/>
    <w:rsid w:val="001B0500"/>
    <w:rsid w:val="001B275D"/>
    <w:rsid w:val="001B296E"/>
    <w:rsid w:val="001C0606"/>
    <w:rsid w:val="001C0C27"/>
    <w:rsid w:val="001C331F"/>
    <w:rsid w:val="001C34BE"/>
    <w:rsid w:val="001C47A1"/>
    <w:rsid w:val="001C5D38"/>
    <w:rsid w:val="001D3DA8"/>
    <w:rsid w:val="001D4156"/>
    <w:rsid w:val="001D6F96"/>
    <w:rsid w:val="001D7217"/>
    <w:rsid w:val="001E0DCF"/>
    <w:rsid w:val="001E25D7"/>
    <w:rsid w:val="001E7675"/>
    <w:rsid w:val="001F0189"/>
    <w:rsid w:val="001F70A2"/>
    <w:rsid w:val="00205CB7"/>
    <w:rsid w:val="0020660F"/>
    <w:rsid w:val="0021080F"/>
    <w:rsid w:val="00212194"/>
    <w:rsid w:val="00212B56"/>
    <w:rsid w:val="00213525"/>
    <w:rsid w:val="00215641"/>
    <w:rsid w:val="00216BA2"/>
    <w:rsid w:val="00220714"/>
    <w:rsid w:val="0022179E"/>
    <w:rsid w:val="00221E0C"/>
    <w:rsid w:val="00224E88"/>
    <w:rsid w:val="00226C0A"/>
    <w:rsid w:val="00234384"/>
    <w:rsid w:val="00236A7F"/>
    <w:rsid w:val="00242218"/>
    <w:rsid w:val="00244710"/>
    <w:rsid w:val="00245889"/>
    <w:rsid w:val="00246A4D"/>
    <w:rsid w:val="0024767A"/>
    <w:rsid w:val="00250130"/>
    <w:rsid w:val="002552C1"/>
    <w:rsid w:val="00255AF7"/>
    <w:rsid w:val="00256E59"/>
    <w:rsid w:val="00257D5C"/>
    <w:rsid w:val="00262618"/>
    <w:rsid w:val="0026424A"/>
    <w:rsid w:val="002643AA"/>
    <w:rsid w:val="00270455"/>
    <w:rsid w:val="00274236"/>
    <w:rsid w:val="0027493E"/>
    <w:rsid w:val="00277AF3"/>
    <w:rsid w:val="00277DCB"/>
    <w:rsid w:val="0028148C"/>
    <w:rsid w:val="002959D4"/>
    <w:rsid w:val="00296F9D"/>
    <w:rsid w:val="002A0630"/>
    <w:rsid w:val="002A14F5"/>
    <w:rsid w:val="002A17E9"/>
    <w:rsid w:val="002A3CD1"/>
    <w:rsid w:val="002A5451"/>
    <w:rsid w:val="002A7DB7"/>
    <w:rsid w:val="002B62C9"/>
    <w:rsid w:val="002B6D16"/>
    <w:rsid w:val="002B6FE2"/>
    <w:rsid w:val="002B71B8"/>
    <w:rsid w:val="002C1649"/>
    <w:rsid w:val="002C7EC9"/>
    <w:rsid w:val="002D7E75"/>
    <w:rsid w:val="002E0115"/>
    <w:rsid w:val="002E1DB2"/>
    <w:rsid w:val="002E427D"/>
    <w:rsid w:val="002E4C25"/>
    <w:rsid w:val="002E4D2D"/>
    <w:rsid w:val="002E6244"/>
    <w:rsid w:val="002E694C"/>
    <w:rsid w:val="002F0D78"/>
    <w:rsid w:val="002F2884"/>
    <w:rsid w:val="002F3622"/>
    <w:rsid w:val="002F7FF6"/>
    <w:rsid w:val="00302E58"/>
    <w:rsid w:val="00303381"/>
    <w:rsid w:val="003045B4"/>
    <w:rsid w:val="00307AD8"/>
    <w:rsid w:val="003142E7"/>
    <w:rsid w:val="00314D87"/>
    <w:rsid w:val="003151EB"/>
    <w:rsid w:val="00316BE6"/>
    <w:rsid w:val="003241D5"/>
    <w:rsid w:val="00333609"/>
    <w:rsid w:val="00337411"/>
    <w:rsid w:val="00337D63"/>
    <w:rsid w:val="0034009A"/>
    <w:rsid w:val="00340920"/>
    <w:rsid w:val="003435E7"/>
    <w:rsid w:val="00344464"/>
    <w:rsid w:val="00344D3A"/>
    <w:rsid w:val="00345C63"/>
    <w:rsid w:val="00346C7C"/>
    <w:rsid w:val="00353BDB"/>
    <w:rsid w:val="0035718D"/>
    <w:rsid w:val="00360C14"/>
    <w:rsid w:val="00360D23"/>
    <w:rsid w:val="00361006"/>
    <w:rsid w:val="0036180F"/>
    <w:rsid w:val="003638CB"/>
    <w:rsid w:val="003644AF"/>
    <w:rsid w:val="00370001"/>
    <w:rsid w:val="003708B0"/>
    <w:rsid w:val="0037098A"/>
    <w:rsid w:val="00372506"/>
    <w:rsid w:val="00373A3C"/>
    <w:rsid w:val="003742EF"/>
    <w:rsid w:val="00374A03"/>
    <w:rsid w:val="00376033"/>
    <w:rsid w:val="0037710E"/>
    <w:rsid w:val="0038412B"/>
    <w:rsid w:val="00387200"/>
    <w:rsid w:val="00391633"/>
    <w:rsid w:val="00392514"/>
    <w:rsid w:val="0039633C"/>
    <w:rsid w:val="003A0AAA"/>
    <w:rsid w:val="003A3F78"/>
    <w:rsid w:val="003B30EE"/>
    <w:rsid w:val="003B5081"/>
    <w:rsid w:val="003C37BA"/>
    <w:rsid w:val="003C4F77"/>
    <w:rsid w:val="003C53A7"/>
    <w:rsid w:val="003C73E5"/>
    <w:rsid w:val="003D1051"/>
    <w:rsid w:val="003D62EE"/>
    <w:rsid w:val="003E1069"/>
    <w:rsid w:val="003F4303"/>
    <w:rsid w:val="0040001A"/>
    <w:rsid w:val="00400D99"/>
    <w:rsid w:val="004012A4"/>
    <w:rsid w:val="004013F2"/>
    <w:rsid w:val="004051E1"/>
    <w:rsid w:val="00407E7D"/>
    <w:rsid w:val="00414839"/>
    <w:rsid w:val="00414BF0"/>
    <w:rsid w:val="00415218"/>
    <w:rsid w:val="00420923"/>
    <w:rsid w:val="004209EF"/>
    <w:rsid w:val="004304BC"/>
    <w:rsid w:val="00432A97"/>
    <w:rsid w:val="00437753"/>
    <w:rsid w:val="0043776E"/>
    <w:rsid w:val="0044054E"/>
    <w:rsid w:val="00441D45"/>
    <w:rsid w:val="004462BB"/>
    <w:rsid w:val="00451AC4"/>
    <w:rsid w:val="00453255"/>
    <w:rsid w:val="00453D08"/>
    <w:rsid w:val="004614D6"/>
    <w:rsid w:val="004645A5"/>
    <w:rsid w:val="004747BE"/>
    <w:rsid w:val="0047726F"/>
    <w:rsid w:val="00483EF6"/>
    <w:rsid w:val="00484383"/>
    <w:rsid w:val="00485846"/>
    <w:rsid w:val="00486A07"/>
    <w:rsid w:val="00491091"/>
    <w:rsid w:val="004957EA"/>
    <w:rsid w:val="0049777B"/>
    <w:rsid w:val="004A22FC"/>
    <w:rsid w:val="004A3CBE"/>
    <w:rsid w:val="004A42E4"/>
    <w:rsid w:val="004A6230"/>
    <w:rsid w:val="004A6596"/>
    <w:rsid w:val="004B4080"/>
    <w:rsid w:val="004B4D3C"/>
    <w:rsid w:val="004C0887"/>
    <w:rsid w:val="004C25B2"/>
    <w:rsid w:val="004C2DAD"/>
    <w:rsid w:val="004C335F"/>
    <w:rsid w:val="004D250D"/>
    <w:rsid w:val="004D2560"/>
    <w:rsid w:val="004D37F6"/>
    <w:rsid w:val="004E1503"/>
    <w:rsid w:val="004E252F"/>
    <w:rsid w:val="004E2728"/>
    <w:rsid w:val="004E6604"/>
    <w:rsid w:val="004E6F49"/>
    <w:rsid w:val="004F0E28"/>
    <w:rsid w:val="004F1A2A"/>
    <w:rsid w:val="004F2624"/>
    <w:rsid w:val="004F4B57"/>
    <w:rsid w:val="004F4E5A"/>
    <w:rsid w:val="004F699C"/>
    <w:rsid w:val="00502B2D"/>
    <w:rsid w:val="00502FAE"/>
    <w:rsid w:val="005030E5"/>
    <w:rsid w:val="0051204F"/>
    <w:rsid w:val="00512EA1"/>
    <w:rsid w:val="00515BA4"/>
    <w:rsid w:val="00516EC2"/>
    <w:rsid w:val="00522F45"/>
    <w:rsid w:val="0052329D"/>
    <w:rsid w:val="005238BA"/>
    <w:rsid w:val="00525220"/>
    <w:rsid w:val="00532AB1"/>
    <w:rsid w:val="00534C56"/>
    <w:rsid w:val="00540EA9"/>
    <w:rsid w:val="005417BF"/>
    <w:rsid w:val="00542072"/>
    <w:rsid w:val="005437CE"/>
    <w:rsid w:val="00543B05"/>
    <w:rsid w:val="00546897"/>
    <w:rsid w:val="0055069C"/>
    <w:rsid w:val="00553CD8"/>
    <w:rsid w:val="005575BC"/>
    <w:rsid w:val="005623AC"/>
    <w:rsid w:val="00570FE5"/>
    <w:rsid w:val="00571996"/>
    <w:rsid w:val="005750DB"/>
    <w:rsid w:val="005765B1"/>
    <w:rsid w:val="0057790D"/>
    <w:rsid w:val="00581C2A"/>
    <w:rsid w:val="005851E9"/>
    <w:rsid w:val="005901F6"/>
    <w:rsid w:val="005930C3"/>
    <w:rsid w:val="00593818"/>
    <w:rsid w:val="00595D79"/>
    <w:rsid w:val="00596C40"/>
    <w:rsid w:val="00597688"/>
    <w:rsid w:val="005A14A9"/>
    <w:rsid w:val="005A4859"/>
    <w:rsid w:val="005A4E2A"/>
    <w:rsid w:val="005A517A"/>
    <w:rsid w:val="005A5D17"/>
    <w:rsid w:val="005A71F7"/>
    <w:rsid w:val="005B0F3A"/>
    <w:rsid w:val="005B3DDB"/>
    <w:rsid w:val="005B6E66"/>
    <w:rsid w:val="005C578D"/>
    <w:rsid w:val="005C5E6E"/>
    <w:rsid w:val="005D005A"/>
    <w:rsid w:val="005D09AD"/>
    <w:rsid w:val="005D23A3"/>
    <w:rsid w:val="005D23A9"/>
    <w:rsid w:val="005D26FC"/>
    <w:rsid w:val="005E3C31"/>
    <w:rsid w:val="005E6925"/>
    <w:rsid w:val="005F4FD4"/>
    <w:rsid w:val="005F50F9"/>
    <w:rsid w:val="006029A6"/>
    <w:rsid w:val="0060638B"/>
    <w:rsid w:val="006102FE"/>
    <w:rsid w:val="00611D26"/>
    <w:rsid w:val="00614DF6"/>
    <w:rsid w:val="00614F0D"/>
    <w:rsid w:val="0061601A"/>
    <w:rsid w:val="00616C1C"/>
    <w:rsid w:val="006211C5"/>
    <w:rsid w:val="00624522"/>
    <w:rsid w:val="00624B34"/>
    <w:rsid w:val="00626751"/>
    <w:rsid w:val="006301C9"/>
    <w:rsid w:val="006303D5"/>
    <w:rsid w:val="0063072C"/>
    <w:rsid w:val="00631817"/>
    <w:rsid w:val="006340BD"/>
    <w:rsid w:val="00635A97"/>
    <w:rsid w:val="00641B3B"/>
    <w:rsid w:val="00666A6D"/>
    <w:rsid w:val="006676D3"/>
    <w:rsid w:val="00670C8E"/>
    <w:rsid w:val="00676B57"/>
    <w:rsid w:val="00681CED"/>
    <w:rsid w:val="0068499B"/>
    <w:rsid w:val="006905E0"/>
    <w:rsid w:val="00692A13"/>
    <w:rsid w:val="00696553"/>
    <w:rsid w:val="0069725A"/>
    <w:rsid w:val="006976C9"/>
    <w:rsid w:val="006A0EF4"/>
    <w:rsid w:val="006A1AD8"/>
    <w:rsid w:val="006A3D12"/>
    <w:rsid w:val="006A3FC2"/>
    <w:rsid w:val="006A6CE2"/>
    <w:rsid w:val="006B0378"/>
    <w:rsid w:val="006B1838"/>
    <w:rsid w:val="006C7145"/>
    <w:rsid w:val="006E10BA"/>
    <w:rsid w:val="006E10BB"/>
    <w:rsid w:val="006E1B51"/>
    <w:rsid w:val="006E2A74"/>
    <w:rsid w:val="006E4BF2"/>
    <w:rsid w:val="006E6E7C"/>
    <w:rsid w:val="006E6EF8"/>
    <w:rsid w:val="006F1DB7"/>
    <w:rsid w:val="006F23A5"/>
    <w:rsid w:val="006F2812"/>
    <w:rsid w:val="006F33B5"/>
    <w:rsid w:val="006F3F36"/>
    <w:rsid w:val="006F5E17"/>
    <w:rsid w:val="006F7F33"/>
    <w:rsid w:val="00701E05"/>
    <w:rsid w:val="00703052"/>
    <w:rsid w:val="00707752"/>
    <w:rsid w:val="00710C1C"/>
    <w:rsid w:val="00712438"/>
    <w:rsid w:val="00712682"/>
    <w:rsid w:val="00714577"/>
    <w:rsid w:val="007151AF"/>
    <w:rsid w:val="00715709"/>
    <w:rsid w:val="0072224D"/>
    <w:rsid w:val="00723774"/>
    <w:rsid w:val="007313C8"/>
    <w:rsid w:val="0073182A"/>
    <w:rsid w:val="00731F60"/>
    <w:rsid w:val="00732B64"/>
    <w:rsid w:val="00736A10"/>
    <w:rsid w:val="00737DFC"/>
    <w:rsid w:val="0074418C"/>
    <w:rsid w:val="0074427A"/>
    <w:rsid w:val="00744F49"/>
    <w:rsid w:val="007476E8"/>
    <w:rsid w:val="0075058E"/>
    <w:rsid w:val="0075099E"/>
    <w:rsid w:val="00752A59"/>
    <w:rsid w:val="00754BF8"/>
    <w:rsid w:val="00763FBF"/>
    <w:rsid w:val="00767A99"/>
    <w:rsid w:val="007704A3"/>
    <w:rsid w:val="007730EB"/>
    <w:rsid w:val="00773860"/>
    <w:rsid w:val="00773AA2"/>
    <w:rsid w:val="0078038E"/>
    <w:rsid w:val="00780DF4"/>
    <w:rsid w:val="0078130F"/>
    <w:rsid w:val="007868FF"/>
    <w:rsid w:val="0079005E"/>
    <w:rsid w:val="00793F94"/>
    <w:rsid w:val="007964B2"/>
    <w:rsid w:val="00797FDF"/>
    <w:rsid w:val="007A2F45"/>
    <w:rsid w:val="007A3FAC"/>
    <w:rsid w:val="007A50FB"/>
    <w:rsid w:val="007A67A7"/>
    <w:rsid w:val="007B2AB5"/>
    <w:rsid w:val="007C03E7"/>
    <w:rsid w:val="007C2476"/>
    <w:rsid w:val="007C2F00"/>
    <w:rsid w:val="007C4B88"/>
    <w:rsid w:val="007C4B91"/>
    <w:rsid w:val="007C65A5"/>
    <w:rsid w:val="007D5321"/>
    <w:rsid w:val="007E0D24"/>
    <w:rsid w:val="007E3458"/>
    <w:rsid w:val="007F23D3"/>
    <w:rsid w:val="007F7A20"/>
    <w:rsid w:val="0080426A"/>
    <w:rsid w:val="0080541D"/>
    <w:rsid w:val="008075B8"/>
    <w:rsid w:val="008105D8"/>
    <w:rsid w:val="00817853"/>
    <w:rsid w:val="008256BE"/>
    <w:rsid w:val="00831FB6"/>
    <w:rsid w:val="00833ABF"/>
    <w:rsid w:val="00835DD0"/>
    <w:rsid w:val="0083764A"/>
    <w:rsid w:val="008406E1"/>
    <w:rsid w:val="00841D72"/>
    <w:rsid w:val="008430ED"/>
    <w:rsid w:val="00843DBF"/>
    <w:rsid w:val="0085005A"/>
    <w:rsid w:val="0085081D"/>
    <w:rsid w:val="00850959"/>
    <w:rsid w:val="00863314"/>
    <w:rsid w:val="00863331"/>
    <w:rsid w:val="00871C24"/>
    <w:rsid w:val="00872058"/>
    <w:rsid w:val="0087363D"/>
    <w:rsid w:val="00876768"/>
    <w:rsid w:val="00880A80"/>
    <w:rsid w:val="00887DAD"/>
    <w:rsid w:val="008908A1"/>
    <w:rsid w:val="008A4858"/>
    <w:rsid w:val="008A6EBD"/>
    <w:rsid w:val="008B129D"/>
    <w:rsid w:val="008B2C6D"/>
    <w:rsid w:val="008B63B1"/>
    <w:rsid w:val="008C04F6"/>
    <w:rsid w:val="008C088F"/>
    <w:rsid w:val="008C56F1"/>
    <w:rsid w:val="008C6AB8"/>
    <w:rsid w:val="008C7705"/>
    <w:rsid w:val="008F0405"/>
    <w:rsid w:val="008F4531"/>
    <w:rsid w:val="009009E6"/>
    <w:rsid w:val="00901527"/>
    <w:rsid w:val="00901F7E"/>
    <w:rsid w:val="00903538"/>
    <w:rsid w:val="00911A05"/>
    <w:rsid w:val="00913717"/>
    <w:rsid w:val="009149DF"/>
    <w:rsid w:val="00914A78"/>
    <w:rsid w:val="00921F4B"/>
    <w:rsid w:val="00923F2D"/>
    <w:rsid w:val="00926B96"/>
    <w:rsid w:val="00931717"/>
    <w:rsid w:val="00935463"/>
    <w:rsid w:val="00942886"/>
    <w:rsid w:val="00943636"/>
    <w:rsid w:val="00943DE8"/>
    <w:rsid w:val="00946B30"/>
    <w:rsid w:val="009576F7"/>
    <w:rsid w:val="00960B36"/>
    <w:rsid w:val="00961981"/>
    <w:rsid w:val="00962ACD"/>
    <w:rsid w:val="009634B7"/>
    <w:rsid w:val="00965862"/>
    <w:rsid w:val="00966FE3"/>
    <w:rsid w:val="00967B69"/>
    <w:rsid w:val="0097106D"/>
    <w:rsid w:val="0097353C"/>
    <w:rsid w:val="0097776F"/>
    <w:rsid w:val="009849E8"/>
    <w:rsid w:val="00987C13"/>
    <w:rsid w:val="00992B2C"/>
    <w:rsid w:val="00993D47"/>
    <w:rsid w:val="00994FB5"/>
    <w:rsid w:val="00996460"/>
    <w:rsid w:val="009A42F5"/>
    <w:rsid w:val="009A68C8"/>
    <w:rsid w:val="009B0FD7"/>
    <w:rsid w:val="009B1CAF"/>
    <w:rsid w:val="009B70C3"/>
    <w:rsid w:val="009B7476"/>
    <w:rsid w:val="009C57CE"/>
    <w:rsid w:val="009D026D"/>
    <w:rsid w:val="009D3F78"/>
    <w:rsid w:val="009D6099"/>
    <w:rsid w:val="009D6E99"/>
    <w:rsid w:val="009E0405"/>
    <w:rsid w:val="009E65D2"/>
    <w:rsid w:val="009E677E"/>
    <w:rsid w:val="009E6BF8"/>
    <w:rsid w:val="009E76E3"/>
    <w:rsid w:val="009F6D12"/>
    <w:rsid w:val="00A025A9"/>
    <w:rsid w:val="00A02CBF"/>
    <w:rsid w:val="00A043E9"/>
    <w:rsid w:val="00A04DBF"/>
    <w:rsid w:val="00A060ED"/>
    <w:rsid w:val="00A07EEF"/>
    <w:rsid w:val="00A102AF"/>
    <w:rsid w:val="00A13883"/>
    <w:rsid w:val="00A157F9"/>
    <w:rsid w:val="00A17CFB"/>
    <w:rsid w:val="00A2083C"/>
    <w:rsid w:val="00A23C91"/>
    <w:rsid w:val="00A24652"/>
    <w:rsid w:val="00A266C1"/>
    <w:rsid w:val="00A33EE0"/>
    <w:rsid w:val="00A36D7E"/>
    <w:rsid w:val="00A411DF"/>
    <w:rsid w:val="00A424A3"/>
    <w:rsid w:val="00A4520D"/>
    <w:rsid w:val="00A510C8"/>
    <w:rsid w:val="00A52521"/>
    <w:rsid w:val="00A5302C"/>
    <w:rsid w:val="00A54BEB"/>
    <w:rsid w:val="00A5687A"/>
    <w:rsid w:val="00A621C1"/>
    <w:rsid w:val="00A62C6D"/>
    <w:rsid w:val="00A633F4"/>
    <w:rsid w:val="00A71A97"/>
    <w:rsid w:val="00A72038"/>
    <w:rsid w:val="00A75781"/>
    <w:rsid w:val="00A77461"/>
    <w:rsid w:val="00A77695"/>
    <w:rsid w:val="00A82C8A"/>
    <w:rsid w:val="00A83726"/>
    <w:rsid w:val="00A83729"/>
    <w:rsid w:val="00A85486"/>
    <w:rsid w:val="00A87EA1"/>
    <w:rsid w:val="00A9029F"/>
    <w:rsid w:val="00A921A0"/>
    <w:rsid w:val="00A9662F"/>
    <w:rsid w:val="00A96A1D"/>
    <w:rsid w:val="00A976DB"/>
    <w:rsid w:val="00AA24F8"/>
    <w:rsid w:val="00AB0002"/>
    <w:rsid w:val="00AB208A"/>
    <w:rsid w:val="00AB286E"/>
    <w:rsid w:val="00AB2D33"/>
    <w:rsid w:val="00AB3134"/>
    <w:rsid w:val="00AB4B53"/>
    <w:rsid w:val="00AB5C64"/>
    <w:rsid w:val="00AC090F"/>
    <w:rsid w:val="00AC26AC"/>
    <w:rsid w:val="00AC2EF2"/>
    <w:rsid w:val="00AC4238"/>
    <w:rsid w:val="00AD0D52"/>
    <w:rsid w:val="00AD3E80"/>
    <w:rsid w:val="00AD61A1"/>
    <w:rsid w:val="00AE75AD"/>
    <w:rsid w:val="00AF00FA"/>
    <w:rsid w:val="00AF1E10"/>
    <w:rsid w:val="00AF4A7B"/>
    <w:rsid w:val="00B03442"/>
    <w:rsid w:val="00B05158"/>
    <w:rsid w:val="00B0639A"/>
    <w:rsid w:val="00B10927"/>
    <w:rsid w:val="00B11E49"/>
    <w:rsid w:val="00B21014"/>
    <w:rsid w:val="00B30195"/>
    <w:rsid w:val="00B30A54"/>
    <w:rsid w:val="00B346DB"/>
    <w:rsid w:val="00B35BC2"/>
    <w:rsid w:val="00B43570"/>
    <w:rsid w:val="00B45E3D"/>
    <w:rsid w:val="00B511A3"/>
    <w:rsid w:val="00B51C4A"/>
    <w:rsid w:val="00B51EBD"/>
    <w:rsid w:val="00B521C5"/>
    <w:rsid w:val="00B52623"/>
    <w:rsid w:val="00B53676"/>
    <w:rsid w:val="00B5600E"/>
    <w:rsid w:val="00B56B76"/>
    <w:rsid w:val="00B620C2"/>
    <w:rsid w:val="00B62B46"/>
    <w:rsid w:val="00B63F9D"/>
    <w:rsid w:val="00B6587D"/>
    <w:rsid w:val="00B67EAE"/>
    <w:rsid w:val="00B743F3"/>
    <w:rsid w:val="00B8246D"/>
    <w:rsid w:val="00B845D1"/>
    <w:rsid w:val="00B905D8"/>
    <w:rsid w:val="00B9363F"/>
    <w:rsid w:val="00B94777"/>
    <w:rsid w:val="00BA0DE4"/>
    <w:rsid w:val="00BA2571"/>
    <w:rsid w:val="00BA3701"/>
    <w:rsid w:val="00BA481B"/>
    <w:rsid w:val="00BA4E30"/>
    <w:rsid w:val="00BA5679"/>
    <w:rsid w:val="00BA63B3"/>
    <w:rsid w:val="00BB0B72"/>
    <w:rsid w:val="00BB115E"/>
    <w:rsid w:val="00BB41CF"/>
    <w:rsid w:val="00BB688E"/>
    <w:rsid w:val="00BB7B90"/>
    <w:rsid w:val="00BC4B73"/>
    <w:rsid w:val="00BC4B8E"/>
    <w:rsid w:val="00BC6D4C"/>
    <w:rsid w:val="00BD13E8"/>
    <w:rsid w:val="00BD466C"/>
    <w:rsid w:val="00BD5BC9"/>
    <w:rsid w:val="00BD74AE"/>
    <w:rsid w:val="00BE2F41"/>
    <w:rsid w:val="00BE3179"/>
    <w:rsid w:val="00BE4001"/>
    <w:rsid w:val="00BE5BC4"/>
    <w:rsid w:val="00BF16F7"/>
    <w:rsid w:val="00BF1F05"/>
    <w:rsid w:val="00BF21C0"/>
    <w:rsid w:val="00BF38C4"/>
    <w:rsid w:val="00BF53CE"/>
    <w:rsid w:val="00C04380"/>
    <w:rsid w:val="00C05F16"/>
    <w:rsid w:val="00C16B10"/>
    <w:rsid w:val="00C21A6C"/>
    <w:rsid w:val="00C22355"/>
    <w:rsid w:val="00C410A7"/>
    <w:rsid w:val="00C431DF"/>
    <w:rsid w:val="00C449E3"/>
    <w:rsid w:val="00C46BA5"/>
    <w:rsid w:val="00C477EF"/>
    <w:rsid w:val="00C479EC"/>
    <w:rsid w:val="00C51072"/>
    <w:rsid w:val="00C57AE1"/>
    <w:rsid w:val="00C60CAE"/>
    <w:rsid w:val="00C62C77"/>
    <w:rsid w:val="00C65929"/>
    <w:rsid w:val="00C65C7F"/>
    <w:rsid w:val="00C6770B"/>
    <w:rsid w:val="00C830D8"/>
    <w:rsid w:val="00C83164"/>
    <w:rsid w:val="00C83583"/>
    <w:rsid w:val="00C8627A"/>
    <w:rsid w:val="00C921D4"/>
    <w:rsid w:val="00C9358B"/>
    <w:rsid w:val="00C93ED0"/>
    <w:rsid w:val="00C94FA9"/>
    <w:rsid w:val="00CA1F9F"/>
    <w:rsid w:val="00CA2C8D"/>
    <w:rsid w:val="00CA3999"/>
    <w:rsid w:val="00CB4278"/>
    <w:rsid w:val="00CB6C85"/>
    <w:rsid w:val="00CB736D"/>
    <w:rsid w:val="00CC11C7"/>
    <w:rsid w:val="00CC2B87"/>
    <w:rsid w:val="00CC377A"/>
    <w:rsid w:val="00CC58AE"/>
    <w:rsid w:val="00CD18E7"/>
    <w:rsid w:val="00CD2D85"/>
    <w:rsid w:val="00CD716D"/>
    <w:rsid w:val="00CE0BCA"/>
    <w:rsid w:val="00CE2464"/>
    <w:rsid w:val="00CE3760"/>
    <w:rsid w:val="00CE7A47"/>
    <w:rsid w:val="00CF3E7B"/>
    <w:rsid w:val="00D02D48"/>
    <w:rsid w:val="00D03ED2"/>
    <w:rsid w:val="00D0663A"/>
    <w:rsid w:val="00D108DA"/>
    <w:rsid w:val="00D14045"/>
    <w:rsid w:val="00D1718C"/>
    <w:rsid w:val="00D17B76"/>
    <w:rsid w:val="00D20782"/>
    <w:rsid w:val="00D20D0C"/>
    <w:rsid w:val="00D27C62"/>
    <w:rsid w:val="00D30D57"/>
    <w:rsid w:val="00D3154B"/>
    <w:rsid w:val="00D364C5"/>
    <w:rsid w:val="00D435B3"/>
    <w:rsid w:val="00D450A1"/>
    <w:rsid w:val="00D45F01"/>
    <w:rsid w:val="00D55476"/>
    <w:rsid w:val="00D55770"/>
    <w:rsid w:val="00D567FD"/>
    <w:rsid w:val="00D643CD"/>
    <w:rsid w:val="00D67907"/>
    <w:rsid w:val="00D67E49"/>
    <w:rsid w:val="00D70AB2"/>
    <w:rsid w:val="00D733E4"/>
    <w:rsid w:val="00D8534C"/>
    <w:rsid w:val="00D86F2A"/>
    <w:rsid w:val="00D90339"/>
    <w:rsid w:val="00D950B5"/>
    <w:rsid w:val="00DA0D40"/>
    <w:rsid w:val="00DA1F7B"/>
    <w:rsid w:val="00DB2A37"/>
    <w:rsid w:val="00DB4A80"/>
    <w:rsid w:val="00DC29D6"/>
    <w:rsid w:val="00DC4417"/>
    <w:rsid w:val="00DE0B17"/>
    <w:rsid w:val="00DF1E8C"/>
    <w:rsid w:val="00DF2D7E"/>
    <w:rsid w:val="00DF2F95"/>
    <w:rsid w:val="00DF4471"/>
    <w:rsid w:val="00DF66C7"/>
    <w:rsid w:val="00DF7978"/>
    <w:rsid w:val="00E020AB"/>
    <w:rsid w:val="00E042A0"/>
    <w:rsid w:val="00E058E1"/>
    <w:rsid w:val="00E05BE3"/>
    <w:rsid w:val="00E13F75"/>
    <w:rsid w:val="00E170E4"/>
    <w:rsid w:val="00E17ADB"/>
    <w:rsid w:val="00E17CDB"/>
    <w:rsid w:val="00E17F92"/>
    <w:rsid w:val="00E205E3"/>
    <w:rsid w:val="00E2268B"/>
    <w:rsid w:val="00E24348"/>
    <w:rsid w:val="00E249FA"/>
    <w:rsid w:val="00E26057"/>
    <w:rsid w:val="00E27346"/>
    <w:rsid w:val="00E343D7"/>
    <w:rsid w:val="00E349D6"/>
    <w:rsid w:val="00E35575"/>
    <w:rsid w:val="00E3738F"/>
    <w:rsid w:val="00E4728D"/>
    <w:rsid w:val="00E5511C"/>
    <w:rsid w:val="00E56834"/>
    <w:rsid w:val="00E652D7"/>
    <w:rsid w:val="00E6597D"/>
    <w:rsid w:val="00E76862"/>
    <w:rsid w:val="00E815B8"/>
    <w:rsid w:val="00E8163D"/>
    <w:rsid w:val="00E9021B"/>
    <w:rsid w:val="00E90F6B"/>
    <w:rsid w:val="00E91E61"/>
    <w:rsid w:val="00E9246E"/>
    <w:rsid w:val="00E9351B"/>
    <w:rsid w:val="00E9527E"/>
    <w:rsid w:val="00E95C66"/>
    <w:rsid w:val="00EA0681"/>
    <w:rsid w:val="00EA1956"/>
    <w:rsid w:val="00EA2B0D"/>
    <w:rsid w:val="00EA5943"/>
    <w:rsid w:val="00EA664F"/>
    <w:rsid w:val="00EA66C6"/>
    <w:rsid w:val="00EA69C5"/>
    <w:rsid w:val="00EB0643"/>
    <w:rsid w:val="00EB502D"/>
    <w:rsid w:val="00EC011F"/>
    <w:rsid w:val="00EC3DD9"/>
    <w:rsid w:val="00EC4355"/>
    <w:rsid w:val="00EC519B"/>
    <w:rsid w:val="00EC52EA"/>
    <w:rsid w:val="00ED037E"/>
    <w:rsid w:val="00ED3463"/>
    <w:rsid w:val="00ED3E35"/>
    <w:rsid w:val="00ED4B11"/>
    <w:rsid w:val="00ED6805"/>
    <w:rsid w:val="00EE4683"/>
    <w:rsid w:val="00EE5196"/>
    <w:rsid w:val="00EF34DF"/>
    <w:rsid w:val="00EF4065"/>
    <w:rsid w:val="00EF5750"/>
    <w:rsid w:val="00EF656E"/>
    <w:rsid w:val="00F016BA"/>
    <w:rsid w:val="00F01A2A"/>
    <w:rsid w:val="00F01D84"/>
    <w:rsid w:val="00F02C2F"/>
    <w:rsid w:val="00F14B30"/>
    <w:rsid w:val="00F1773D"/>
    <w:rsid w:val="00F22FF7"/>
    <w:rsid w:val="00F30127"/>
    <w:rsid w:val="00F3034E"/>
    <w:rsid w:val="00F313D0"/>
    <w:rsid w:val="00F355F0"/>
    <w:rsid w:val="00F37D2F"/>
    <w:rsid w:val="00F41E29"/>
    <w:rsid w:val="00F449AC"/>
    <w:rsid w:val="00F47460"/>
    <w:rsid w:val="00F51BCE"/>
    <w:rsid w:val="00F51E88"/>
    <w:rsid w:val="00F5653D"/>
    <w:rsid w:val="00F62C27"/>
    <w:rsid w:val="00F679DE"/>
    <w:rsid w:val="00F67A6F"/>
    <w:rsid w:val="00F70187"/>
    <w:rsid w:val="00F72315"/>
    <w:rsid w:val="00F73A16"/>
    <w:rsid w:val="00F76854"/>
    <w:rsid w:val="00F8005C"/>
    <w:rsid w:val="00F82BA2"/>
    <w:rsid w:val="00F83C25"/>
    <w:rsid w:val="00F9265F"/>
    <w:rsid w:val="00F930A0"/>
    <w:rsid w:val="00F9320D"/>
    <w:rsid w:val="00F94F28"/>
    <w:rsid w:val="00F96BBA"/>
    <w:rsid w:val="00F97038"/>
    <w:rsid w:val="00FA4D00"/>
    <w:rsid w:val="00FB356C"/>
    <w:rsid w:val="00FB3B9A"/>
    <w:rsid w:val="00FB6D15"/>
    <w:rsid w:val="00FB6E93"/>
    <w:rsid w:val="00FC1044"/>
    <w:rsid w:val="00FC2BBF"/>
    <w:rsid w:val="00FC4781"/>
    <w:rsid w:val="00FC6DAC"/>
    <w:rsid w:val="00FD3068"/>
    <w:rsid w:val="00FD5AF0"/>
    <w:rsid w:val="00FD6EF9"/>
    <w:rsid w:val="00FD7114"/>
    <w:rsid w:val="00FE0D9E"/>
    <w:rsid w:val="00FE6370"/>
    <w:rsid w:val="00FF3613"/>
    <w:rsid w:val="00FF438B"/>
    <w:rsid w:val="00FF75BF"/>
    <w:rsid w:val="607C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348274"/>
  <w15:docId w15:val="{04E0409B-162B-4989-9C9C-F95891BF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230"/>
    <w:rPr>
      <w:sz w:val="24"/>
      <w:szCs w:val="24"/>
    </w:rPr>
  </w:style>
  <w:style w:type="paragraph" w:styleId="Heading1">
    <w:name w:val="heading 1"/>
    <w:basedOn w:val="Normal"/>
    <w:next w:val="Normal"/>
    <w:link w:val="Heading1Char"/>
    <w:qFormat/>
    <w:rsid w:val="002F7F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224E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A6230"/>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4A6230"/>
    <w:pPr>
      <w:tabs>
        <w:tab w:val="center" w:pos="4320"/>
        <w:tab w:val="right" w:pos="8640"/>
      </w:tabs>
    </w:pPr>
  </w:style>
  <w:style w:type="paragraph" w:styleId="Footer">
    <w:name w:val="footer"/>
    <w:basedOn w:val="Normal"/>
    <w:link w:val="FooterChar"/>
    <w:uiPriority w:val="99"/>
    <w:rsid w:val="004A6230"/>
    <w:pPr>
      <w:tabs>
        <w:tab w:val="center" w:pos="4320"/>
        <w:tab w:val="right" w:pos="8640"/>
      </w:tabs>
    </w:pPr>
  </w:style>
  <w:style w:type="character" w:styleId="PageNumber">
    <w:name w:val="page number"/>
    <w:basedOn w:val="DefaultParagraphFont"/>
    <w:rsid w:val="004A6230"/>
  </w:style>
  <w:style w:type="paragraph" w:styleId="NormalWeb">
    <w:name w:val="Normal (Web)"/>
    <w:basedOn w:val="Normal"/>
    <w:uiPriority w:val="99"/>
    <w:rsid w:val="004A6230"/>
    <w:pPr>
      <w:spacing w:before="100" w:beforeAutospacing="1" w:after="100" w:afterAutospacing="1"/>
    </w:pPr>
    <w:rPr>
      <w:rFonts w:eastAsia="PMingLiU"/>
      <w:lang w:eastAsia="zh-TW"/>
    </w:rPr>
  </w:style>
  <w:style w:type="character" w:styleId="Hyperlink">
    <w:name w:val="Hyperlink"/>
    <w:basedOn w:val="DefaultParagraphFont"/>
    <w:rsid w:val="004A6230"/>
    <w:rPr>
      <w:color w:val="0000FF"/>
      <w:u w:val="single"/>
    </w:rPr>
  </w:style>
  <w:style w:type="paragraph" w:styleId="BalloonText">
    <w:name w:val="Balloon Text"/>
    <w:basedOn w:val="Normal"/>
    <w:semiHidden/>
    <w:rsid w:val="004A6230"/>
    <w:rPr>
      <w:rFonts w:ascii="Tahoma" w:hAnsi="Tahoma" w:cs="Tahoma"/>
      <w:sz w:val="16"/>
      <w:szCs w:val="16"/>
    </w:rPr>
  </w:style>
  <w:style w:type="character" w:customStyle="1" w:styleId="article1">
    <w:name w:val="article1"/>
    <w:basedOn w:val="DefaultParagraphFont"/>
    <w:rsid w:val="004A6230"/>
    <w:rPr>
      <w:rFonts w:ascii="Arial" w:hAnsi="Arial" w:cs="Arial" w:hint="default"/>
      <w:color w:val="000000"/>
      <w:sz w:val="20"/>
      <w:szCs w:val="20"/>
    </w:rPr>
  </w:style>
  <w:style w:type="paragraph" w:customStyle="1" w:styleId="CharCharCharChar">
    <w:name w:val="Char Char Char Char"/>
    <w:basedOn w:val="Normal"/>
    <w:rsid w:val="004B4080"/>
    <w:pPr>
      <w:spacing w:after="160" w:line="240" w:lineRule="exact"/>
    </w:pPr>
    <w:rPr>
      <w:rFonts w:ascii="Tahoma" w:hAnsi="Tahoma"/>
      <w:sz w:val="20"/>
      <w:szCs w:val="20"/>
    </w:rPr>
  </w:style>
  <w:style w:type="table" w:styleId="TableGrid">
    <w:name w:val="Table Grid"/>
    <w:basedOn w:val="TableNormal"/>
    <w:rsid w:val="00DC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3FAC"/>
    <w:rPr>
      <w:sz w:val="16"/>
      <w:szCs w:val="16"/>
    </w:rPr>
  </w:style>
  <w:style w:type="paragraph" w:styleId="CommentText">
    <w:name w:val="annotation text"/>
    <w:basedOn w:val="Normal"/>
    <w:semiHidden/>
    <w:rsid w:val="007A3FAC"/>
    <w:rPr>
      <w:sz w:val="20"/>
      <w:szCs w:val="20"/>
    </w:rPr>
  </w:style>
  <w:style w:type="paragraph" w:styleId="CommentSubject">
    <w:name w:val="annotation subject"/>
    <w:basedOn w:val="CommentText"/>
    <w:next w:val="CommentText"/>
    <w:semiHidden/>
    <w:rsid w:val="007A3FAC"/>
    <w:rPr>
      <w:b/>
      <w:bCs/>
    </w:rPr>
  </w:style>
  <w:style w:type="character" w:styleId="Strong">
    <w:name w:val="Strong"/>
    <w:basedOn w:val="DefaultParagraphFont"/>
    <w:uiPriority w:val="22"/>
    <w:qFormat/>
    <w:rsid w:val="00B62B46"/>
    <w:rPr>
      <w:b/>
      <w:bCs/>
    </w:rPr>
  </w:style>
  <w:style w:type="character" w:customStyle="1" w:styleId="FooterChar">
    <w:name w:val="Footer Char"/>
    <w:basedOn w:val="DefaultParagraphFont"/>
    <w:link w:val="Footer"/>
    <w:uiPriority w:val="99"/>
    <w:rsid w:val="003F4303"/>
    <w:rPr>
      <w:sz w:val="24"/>
      <w:szCs w:val="24"/>
    </w:rPr>
  </w:style>
  <w:style w:type="paragraph" w:customStyle="1" w:styleId="Default">
    <w:name w:val="Default"/>
    <w:rsid w:val="003F4303"/>
    <w:pPr>
      <w:autoSpaceDE w:val="0"/>
      <w:autoSpaceDN w:val="0"/>
      <w:adjustRightInd w:val="0"/>
    </w:pPr>
    <w:rPr>
      <w:rFonts w:ascii="Arial" w:hAnsi="Arial" w:cs="Arial"/>
      <w:color w:val="000000"/>
      <w:sz w:val="24"/>
      <w:szCs w:val="24"/>
    </w:rPr>
  </w:style>
  <w:style w:type="character" w:customStyle="1" w:styleId="f11s">
    <w:name w:val="f11s"/>
    <w:basedOn w:val="DefaultParagraphFont"/>
    <w:rsid w:val="003C4F77"/>
  </w:style>
  <w:style w:type="paragraph" w:styleId="ListParagraph">
    <w:name w:val="List Paragraph"/>
    <w:basedOn w:val="Normal"/>
    <w:uiPriority w:val="34"/>
    <w:qFormat/>
    <w:rsid w:val="000F491F"/>
    <w:pPr>
      <w:ind w:left="720"/>
      <w:contextualSpacing/>
    </w:pPr>
  </w:style>
  <w:style w:type="character" w:customStyle="1" w:styleId="Heading1Char">
    <w:name w:val="Heading 1 Char"/>
    <w:basedOn w:val="DefaultParagraphFont"/>
    <w:link w:val="Heading1"/>
    <w:rsid w:val="002F7FF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A411DF"/>
    <w:rPr>
      <w:sz w:val="20"/>
      <w:szCs w:val="20"/>
    </w:rPr>
  </w:style>
  <w:style w:type="character" w:customStyle="1" w:styleId="FootnoteTextChar">
    <w:name w:val="Footnote Text Char"/>
    <w:basedOn w:val="DefaultParagraphFont"/>
    <w:link w:val="FootnoteText"/>
    <w:semiHidden/>
    <w:rsid w:val="00A411DF"/>
  </w:style>
  <w:style w:type="character" w:styleId="FootnoteReference">
    <w:name w:val="footnote reference"/>
    <w:basedOn w:val="DefaultParagraphFont"/>
    <w:semiHidden/>
    <w:unhideWhenUsed/>
    <w:rsid w:val="00A411DF"/>
    <w:rPr>
      <w:vertAlign w:val="superscript"/>
    </w:rPr>
  </w:style>
  <w:style w:type="character" w:styleId="UnresolvedMention">
    <w:name w:val="Unresolved Mention"/>
    <w:basedOn w:val="DefaultParagraphFont"/>
    <w:uiPriority w:val="99"/>
    <w:semiHidden/>
    <w:unhideWhenUsed/>
    <w:rsid w:val="003D1051"/>
    <w:rPr>
      <w:color w:val="605E5C"/>
      <w:shd w:val="clear" w:color="auto" w:fill="E1DFDD"/>
    </w:rPr>
  </w:style>
  <w:style w:type="paragraph" w:styleId="Revision">
    <w:name w:val="Revision"/>
    <w:hidden/>
    <w:uiPriority w:val="99"/>
    <w:semiHidden/>
    <w:rsid w:val="002135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7116">
      <w:bodyDiv w:val="1"/>
      <w:marLeft w:val="0"/>
      <w:marRight w:val="0"/>
      <w:marTop w:val="0"/>
      <w:marBottom w:val="0"/>
      <w:divBdr>
        <w:top w:val="none" w:sz="0" w:space="0" w:color="auto"/>
        <w:left w:val="none" w:sz="0" w:space="0" w:color="auto"/>
        <w:bottom w:val="none" w:sz="0" w:space="0" w:color="auto"/>
        <w:right w:val="none" w:sz="0" w:space="0" w:color="auto"/>
      </w:divBdr>
    </w:div>
    <w:div w:id="42943729">
      <w:bodyDiv w:val="1"/>
      <w:marLeft w:val="0"/>
      <w:marRight w:val="0"/>
      <w:marTop w:val="0"/>
      <w:marBottom w:val="0"/>
      <w:divBdr>
        <w:top w:val="none" w:sz="0" w:space="0" w:color="auto"/>
        <w:left w:val="none" w:sz="0" w:space="0" w:color="auto"/>
        <w:bottom w:val="none" w:sz="0" w:space="0" w:color="auto"/>
        <w:right w:val="none" w:sz="0" w:space="0" w:color="auto"/>
      </w:divBdr>
    </w:div>
    <w:div w:id="46538766">
      <w:bodyDiv w:val="1"/>
      <w:marLeft w:val="0"/>
      <w:marRight w:val="0"/>
      <w:marTop w:val="0"/>
      <w:marBottom w:val="0"/>
      <w:divBdr>
        <w:top w:val="none" w:sz="0" w:space="0" w:color="auto"/>
        <w:left w:val="none" w:sz="0" w:space="0" w:color="auto"/>
        <w:bottom w:val="none" w:sz="0" w:space="0" w:color="auto"/>
        <w:right w:val="none" w:sz="0" w:space="0" w:color="auto"/>
      </w:divBdr>
    </w:div>
    <w:div w:id="123888137">
      <w:bodyDiv w:val="1"/>
      <w:marLeft w:val="0"/>
      <w:marRight w:val="0"/>
      <w:marTop w:val="0"/>
      <w:marBottom w:val="0"/>
      <w:divBdr>
        <w:top w:val="none" w:sz="0" w:space="0" w:color="auto"/>
        <w:left w:val="none" w:sz="0" w:space="0" w:color="auto"/>
        <w:bottom w:val="none" w:sz="0" w:space="0" w:color="auto"/>
        <w:right w:val="none" w:sz="0" w:space="0" w:color="auto"/>
      </w:divBdr>
    </w:div>
    <w:div w:id="248661021">
      <w:bodyDiv w:val="1"/>
      <w:marLeft w:val="0"/>
      <w:marRight w:val="0"/>
      <w:marTop w:val="0"/>
      <w:marBottom w:val="0"/>
      <w:divBdr>
        <w:top w:val="none" w:sz="0" w:space="0" w:color="auto"/>
        <w:left w:val="none" w:sz="0" w:space="0" w:color="auto"/>
        <w:bottom w:val="none" w:sz="0" w:space="0" w:color="auto"/>
        <w:right w:val="none" w:sz="0" w:space="0" w:color="auto"/>
      </w:divBdr>
    </w:div>
    <w:div w:id="362831385">
      <w:bodyDiv w:val="1"/>
      <w:marLeft w:val="0"/>
      <w:marRight w:val="0"/>
      <w:marTop w:val="0"/>
      <w:marBottom w:val="0"/>
      <w:divBdr>
        <w:top w:val="none" w:sz="0" w:space="0" w:color="auto"/>
        <w:left w:val="none" w:sz="0" w:space="0" w:color="auto"/>
        <w:bottom w:val="none" w:sz="0" w:space="0" w:color="auto"/>
        <w:right w:val="none" w:sz="0" w:space="0" w:color="auto"/>
      </w:divBdr>
    </w:div>
    <w:div w:id="420104438">
      <w:bodyDiv w:val="1"/>
      <w:marLeft w:val="0"/>
      <w:marRight w:val="0"/>
      <w:marTop w:val="0"/>
      <w:marBottom w:val="0"/>
      <w:divBdr>
        <w:top w:val="none" w:sz="0" w:space="0" w:color="auto"/>
        <w:left w:val="none" w:sz="0" w:space="0" w:color="auto"/>
        <w:bottom w:val="none" w:sz="0" w:space="0" w:color="auto"/>
        <w:right w:val="none" w:sz="0" w:space="0" w:color="auto"/>
      </w:divBdr>
    </w:div>
    <w:div w:id="438985190">
      <w:bodyDiv w:val="1"/>
      <w:marLeft w:val="0"/>
      <w:marRight w:val="0"/>
      <w:marTop w:val="0"/>
      <w:marBottom w:val="0"/>
      <w:divBdr>
        <w:top w:val="none" w:sz="0" w:space="0" w:color="auto"/>
        <w:left w:val="none" w:sz="0" w:space="0" w:color="auto"/>
        <w:bottom w:val="none" w:sz="0" w:space="0" w:color="auto"/>
        <w:right w:val="none" w:sz="0" w:space="0" w:color="auto"/>
      </w:divBdr>
    </w:div>
    <w:div w:id="485754251">
      <w:bodyDiv w:val="1"/>
      <w:marLeft w:val="0"/>
      <w:marRight w:val="0"/>
      <w:marTop w:val="0"/>
      <w:marBottom w:val="0"/>
      <w:divBdr>
        <w:top w:val="none" w:sz="0" w:space="0" w:color="auto"/>
        <w:left w:val="none" w:sz="0" w:space="0" w:color="auto"/>
        <w:bottom w:val="none" w:sz="0" w:space="0" w:color="auto"/>
        <w:right w:val="none" w:sz="0" w:space="0" w:color="auto"/>
      </w:divBdr>
    </w:div>
    <w:div w:id="513344412">
      <w:bodyDiv w:val="1"/>
      <w:marLeft w:val="0"/>
      <w:marRight w:val="0"/>
      <w:marTop w:val="0"/>
      <w:marBottom w:val="0"/>
      <w:divBdr>
        <w:top w:val="none" w:sz="0" w:space="0" w:color="auto"/>
        <w:left w:val="none" w:sz="0" w:space="0" w:color="auto"/>
        <w:bottom w:val="none" w:sz="0" w:space="0" w:color="auto"/>
        <w:right w:val="none" w:sz="0" w:space="0" w:color="auto"/>
      </w:divBdr>
    </w:div>
    <w:div w:id="545678309">
      <w:bodyDiv w:val="1"/>
      <w:marLeft w:val="0"/>
      <w:marRight w:val="0"/>
      <w:marTop w:val="0"/>
      <w:marBottom w:val="0"/>
      <w:divBdr>
        <w:top w:val="none" w:sz="0" w:space="0" w:color="auto"/>
        <w:left w:val="none" w:sz="0" w:space="0" w:color="auto"/>
        <w:bottom w:val="none" w:sz="0" w:space="0" w:color="auto"/>
        <w:right w:val="none" w:sz="0" w:space="0" w:color="auto"/>
      </w:divBdr>
    </w:div>
    <w:div w:id="679043373">
      <w:bodyDiv w:val="1"/>
      <w:marLeft w:val="0"/>
      <w:marRight w:val="0"/>
      <w:marTop w:val="0"/>
      <w:marBottom w:val="0"/>
      <w:divBdr>
        <w:top w:val="none" w:sz="0" w:space="0" w:color="auto"/>
        <w:left w:val="none" w:sz="0" w:space="0" w:color="auto"/>
        <w:bottom w:val="none" w:sz="0" w:space="0" w:color="auto"/>
        <w:right w:val="none" w:sz="0" w:space="0" w:color="auto"/>
      </w:divBdr>
    </w:div>
    <w:div w:id="765150452">
      <w:bodyDiv w:val="1"/>
      <w:marLeft w:val="0"/>
      <w:marRight w:val="0"/>
      <w:marTop w:val="0"/>
      <w:marBottom w:val="0"/>
      <w:divBdr>
        <w:top w:val="none" w:sz="0" w:space="0" w:color="auto"/>
        <w:left w:val="none" w:sz="0" w:space="0" w:color="auto"/>
        <w:bottom w:val="none" w:sz="0" w:space="0" w:color="auto"/>
        <w:right w:val="none" w:sz="0" w:space="0" w:color="auto"/>
      </w:divBdr>
    </w:div>
    <w:div w:id="794562793">
      <w:bodyDiv w:val="1"/>
      <w:marLeft w:val="0"/>
      <w:marRight w:val="0"/>
      <w:marTop w:val="0"/>
      <w:marBottom w:val="0"/>
      <w:divBdr>
        <w:top w:val="none" w:sz="0" w:space="0" w:color="auto"/>
        <w:left w:val="none" w:sz="0" w:space="0" w:color="auto"/>
        <w:bottom w:val="none" w:sz="0" w:space="0" w:color="auto"/>
        <w:right w:val="none" w:sz="0" w:space="0" w:color="auto"/>
      </w:divBdr>
    </w:div>
    <w:div w:id="888882093">
      <w:bodyDiv w:val="1"/>
      <w:marLeft w:val="0"/>
      <w:marRight w:val="0"/>
      <w:marTop w:val="0"/>
      <w:marBottom w:val="0"/>
      <w:divBdr>
        <w:top w:val="none" w:sz="0" w:space="0" w:color="auto"/>
        <w:left w:val="none" w:sz="0" w:space="0" w:color="auto"/>
        <w:bottom w:val="none" w:sz="0" w:space="0" w:color="auto"/>
        <w:right w:val="none" w:sz="0" w:space="0" w:color="auto"/>
      </w:divBdr>
    </w:div>
    <w:div w:id="953439759">
      <w:bodyDiv w:val="1"/>
      <w:marLeft w:val="0"/>
      <w:marRight w:val="0"/>
      <w:marTop w:val="0"/>
      <w:marBottom w:val="0"/>
      <w:divBdr>
        <w:top w:val="none" w:sz="0" w:space="0" w:color="auto"/>
        <w:left w:val="none" w:sz="0" w:space="0" w:color="auto"/>
        <w:bottom w:val="none" w:sz="0" w:space="0" w:color="auto"/>
        <w:right w:val="none" w:sz="0" w:space="0" w:color="auto"/>
      </w:divBdr>
    </w:div>
    <w:div w:id="981731675">
      <w:bodyDiv w:val="1"/>
      <w:marLeft w:val="0"/>
      <w:marRight w:val="0"/>
      <w:marTop w:val="0"/>
      <w:marBottom w:val="0"/>
      <w:divBdr>
        <w:top w:val="none" w:sz="0" w:space="0" w:color="auto"/>
        <w:left w:val="none" w:sz="0" w:space="0" w:color="auto"/>
        <w:bottom w:val="none" w:sz="0" w:space="0" w:color="auto"/>
        <w:right w:val="none" w:sz="0" w:space="0" w:color="auto"/>
      </w:divBdr>
    </w:div>
    <w:div w:id="1053117290">
      <w:bodyDiv w:val="1"/>
      <w:marLeft w:val="0"/>
      <w:marRight w:val="0"/>
      <w:marTop w:val="0"/>
      <w:marBottom w:val="0"/>
      <w:divBdr>
        <w:top w:val="none" w:sz="0" w:space="0" w:color="auto"/>
        <w:left w:val="none" w:sz="0" w:space="0" w:color="auto"/>
        <w:bottom w:val="none" w:sz="0" w:space="0" w:color="auto"/>
        <w:right w:val="none" w:sz="0" w:space="0" w:color="auto"/>
      </w:divBdr>
    </w:div>
    <w:div w:id="1072391528">
      <w:bodyDiv w:val="1"/>
      <w:marLeft w:val="0"/>
      <w:marRight w:val="0"/>
      <w:marTop w:val="0"/>
      <w:marBottom w:val="0"/>
      <w:divBdr>
        <w:top w:val="none" w:sz="0" w:space="0" w:color="auto"/>
        <w:left w:val="none" w:sz="0" w:space="0" w:color="auto"/>
        <w:bottom w:val="none" w:sz="0" w:space="0" w:color="auto"/>
        <w:right w:val="none" w:sz="0" w:space="0" w:color="auto"/>
      </w:divBdr>
    </w:div>
    <w:div w:id="1181626503">
      <w:bodyDiv w:val="1"/>
      <w:marLeft w:val="0"/>
      <w:marRight w:val="0"/>
      <w:marTop w:val="0"/>
      <w:marBottom w:val="0"/>
      <w:divBdr>
        <w:top w:val="none" w:sz="0" w:space="0" w:color="auto"/>
        <w:left w:val="none" w:sz="0" w:space="0" w:color="auto"/>
        <w:bottom w:val="none" w:sz="0" w:space="0" w:color="auto"/>
        <w:right w:val="none" w:sz="0" w:space="0" w:color="auto"/>
      </w:divBdr>
    </w:div>
    <w:div w:id="1188374806">
      <w:bodyDiv w:val="1"/>
      <w:marLeft w:val="0"/>
      <w:marRight w:val="0"/>
      <w:marTop w:val="0"/>
      <w:marBottom w:val="0"/>
      <w:divBdr>
        <w:top w:val="none" w:sz="0" w:space="0" w:color="auto"/>
        <w:left w:val="none" w:sz="0" w:space="0" w:color="auto"/>
        <w:bottom w:val="none" w:sz="0" w:space="0" w:color="auto"/>
        <w:right w:val="none" w:sz="0" w:space="0" w:color="auto"/>
      </w:divBdr>
    </w:div>
    <w:div w:id="1250845987">
      <w:bodyDiv w:val="1"/>
      <w:marLeft w:val="0"/>
      <w:marRight w:val="0"/>
      <w:marTop w:val="0"/>
      <w:marBottom w:val="0"/>
      <w:divBdr>
        <w:top w:val="none" w:sz="0" w:space="0" w:color="auto"/>
        <w:left w:val="none" w:sz="0" w:space="0" w:color="auto"/>
        <w:bottom w:val="none" w:sz="0" w:space="0" w:color="auto"/>
        <w:right w:val="none" w:sz="0" w:space="0" w:color="auto"/>
      </w:divBdr>
    </w:div>
    <w:div w:id="1338725003">
      <w:bodyDiv w:val="1"/>
      <w:marLeft w:val="0"/>
      <w:marRight w:val="0"/>
      <w:marTop w:val="0"/>
      <w:marBottom w:val="0"/>
      <w:divBdr>
        <w:top w:val="none" w:sz="0" w:space="0" w:color="auto"/>
        <w:left w:val="none" w:sz="0" w:space="0" w:color="auto"/>
        <w:bottom w:val="none" w:sz="0" w:space="0" w:color="auto"/>
        <w:right w:val="none" w:sz="0" w:space="0" w:color="auto"/>
      </w:divBdr>
    </w:div>
    <w:div w:id="1381247422">
      <w:bodyDiv w:val="1"/>
      <w:marLeft w:val="0"/>
      <w:marRight w:val="0"/>
      <w:marTop w:val="0"/>
      <w:marBottom w:val="0"/>
      <w:divBdr>
        <w:top w:val="none" w:sz="0" w:space="0" w:color="auto"/>
        <w:left w:val="none" w:sz="0" w:space="0" w:color="auto"/>
        <w:bottom w:val="none" w:sz="0" w:space="0" w:color="auto"/>
        <w:right w:val="none" w:sz="0" w:space="0" w:color="auto"/>
      </w:divBdr>
    </w:div>
    <w:div w:id="1431662924">
      <w:bodyDiv w:val="1"/>
      <w:marLeft w:val="0"/>
      <w:marRight w:val="0"/>
      <w:marTop w:val="0"/>
      <w:marBottom w:val="0"/>
      <w:divBdr>
        <w:top w:val="none" w:sz="0" w:space="0" w:color="auto"/>
        <w:left w:val="none" w:sz="0" w:space="0" w:color="auto"/>
        <w:bottom w:val="none" w:sz="0" w:space="0" w:color="auto"/>
        <w:right w:val="none" w:sz="0" w:space="0" w:color="auto"/>
      </w:divBdr>
    </w:div>
    <w:div w:id="1481969642">
      <w:bodyDiv w:val="1"/>
      <w:marLeft w:val="0"/>
      <w:marRight w:val="0"/>
      <w:marTop w:val="0"/>
      <w:marBottom w:val="0"/>
      <w:divBdr>
        <w:top w:val="none" w:sz="0" w:space="0" w:color="auto"/>
        <w:left w:val="none" w:sz="0" w:space="0" w:color="auto"/>
        <w:bottom w:val="none" w:sz="0" w:space="0" w:color="auto"/>
        <w:right w:val="none" w:sz="0" w:space="0" w:color="auto"/>
      </w:divBdr>
    </w:div>
    <w:div w:id="1489517142">
      <w:bodyDiv w:val="1"/>
      <w:marLeft w:val="0"/>
      <w:marRight w:val="0"/>
      <w:marTop w:val="0"/>
      <w:marBottom w:val="0"/>
      <w:divBdr>
        <w:top w:val="none" w:sz="0" w:space="0" w:color="auto"/>
        <w:left w:val="none" w:sz="0" w:space="0" w:color="auto"/>
        <w:bottom w:val="none" w:sz="0" w:space="0" w:color="auto"/>
        <w:right w:val="none" w:sz="0" w:space="0" w:color="auto"/>
      </w:divBdr>
    </w:div>
    <w:div w:id="1515460886">
      <w:bodyDiv w:val="1"/>
      <w:marLeft w:val="0"/>
      <w:marRight w:val="0"/>
      <w:marTop w:val="0"/>
      <w:marBottom w:val="0"/>
      <w:divBdr>
        <w:top w:val="none" w:sz="0" w:space="0" w:color="auto"/>
        <w:left w:val="none" w:sz="0" w:space="0" w:color="auto"/>
        <w:bottom w:val="none" w:sz="0" w:space="0" w:color="auto"/>
        <w:right w:val="none" w:sz="0" w:space="0" w:color="auto"/>
      </w:divBdr>
    </w:div>
    <w:div w:id="1549225967">
      <w:bodyDiv w:val="1"/>
      <w:marLeft w:val="0"/>
      <w:marRight w:val="0"/>
      <w:marTop w:val="0"/>
      <w:marBottom w:val="0"/>
      <w:divBdr>
        <w:top w:val="none" w:sz="0" w:space="0" w:color="auto"/>
        <w:left w:val="none" w:sz="0" w:space="0" w:color="auto"/>
        <w:bottom w:val="none" w:sz="0" w:space="0" w:color="auto"/>
        <w:right w:val="none" w:sz="0" w:space="0" w:color="auto"/>
      </w:divBdr>
    </w:div>
    <w:div w:id="1639610004">
      <w:bodyDiv w:val="1"/>
      <w:marLeft w:val="0"/>
      <w:marRight w:val="0"/>
      <w:marTop w:val="0"/>
      <w:marBottom w:val="0"/>
      <w:divBdr>
        <w:top w:val="none" w:sz="0" w:space="0" w:color="auto"/>
        <w:left w:val="none" w:sz="0" w:space="0" w:color="auto"/>
        <w:bottom w:val="none" w:sz="0" w:space="0" w:color="auto"/>
        <w:right w:val="none" w:sz="0" w:space="0" w:color="auto"/>
      </w:divBdr>
    </w:div>
    <w:div w:id="1708948669">
      <w:bodyDiv w:val="1"/>
      <w:marLeft w:val="0"/>
      <w:marRight w:val="0"/>
      <w:marTop w:val="0"/>
      <w:marBottom w:val="0"/>
      <w:divBdr>
        <w:top w:val="none" w:sz="0" w:space="0" w:color="auto"/>
        <w:left w:val="none" w:sz="0" w:space="0" w:color="auto"/>
        <w:bottom w:val="none" w:sz="0" w:space="0" w:color="auto"/>
        <w:right w:val="none" w:sz="0" w:space="0" w:color="auto"/>
      </w:divBdr>
    </w:div>
    <w:div w:id="1854764010">
      <w:bodyDiv w:val="1"/>
      <w:marLeft w:val="0"/>
      <w:marRight w:val="0"/>
      <w:marTop w:val="0"/>
      <w:marBottom w:val="0"/>
      <w:divBdr>
        <w:top w:val="none" w:sz="0" w:space="0" w:color="auto"/>
        <w:left w:val="none" w:sz="0" w:space="0" w:color="auto"/>
        <w:bottom w:val="none" w:sz="0" w:space="0" w:color="auto"/>
        <w:right w:val="none" w:sz="0" w:space="0" w:color="auto"/>
      </w:divBdr>
    </w:div>
    <w:div w:id="1874877210">
      <w:bodyDiv w:val="1"/>
      <w:marLeft w:val="0"/>
      <w:marRight w:val="0"/>
      <w:marTop w:val="0"/>
      <w:marBottom w:val="0"/>
      <w:divBdr>
        <w:top w:val="none" w:sz="0" w:space="0" w:color="auto"/>
        <w:left w:val="none" w:sz="0" w:space="0" w:color="auto"/>
        <w:bottom w:val="none" w:sz="0" w:space="0" w:color="auto"/>
        <w:right w:val="none" w:sz="0" w:space="0" w:color="auto"/>
      </w:divBdr>
    </w:div>
    <w:div w:id="1901867436">
      <w:bodyDiv w:val="1"/>
      <w:marLeft w:val="0"/>
      <w:marRight w:val="0"/>
      <w:marTop w:val="0"/>
      <w:marBottom w:val="0"/>
      <w:divBdr>
        <w:top w:val="none" w:sz="0" w:space="0" w:color="auto"/>
        <w:left w:val="none" w:sz="0" w:space="0" w:color="auto"/>
        <w:bottom w:val="none" w:sz="0" w:space="0" w:color="auto"/>
        <w:right w:val="none" w:sz="0" w:space="0" w:color="auto"/>
      </w:divBdr>
    </w:div>
    <w:div w:id="1935089679">
      <w:bodyDiv w:val="1"/>
      <w:marLeft w:val="0"/>
      <w:marRight w:val="0"/>
      <w:marTop w:val="0"/>
      <w:marBottom w:val="0"/>
      <w:divBdr>
        <w:top w:val="none" w:sz="0" w:space="0" w:color="auto"/>
        <w:left w:val="none" w:sz="0" w:space="0" w:color="auto"/>
        <w:bottom w:val="none" w:sz="0" w:space="0" w:color="auto"/>
        <w:right w:val="none" w:sz="0" w:space="0" w:color="auto"/>
      </w:divBdr>
    </w:div>
    <w:div w:id="2032948354">
      <w:bodyDiv w:val="1"/>
      <w:marLeft w:val="0"/>
      <w:marRight w:val="0"/>
      <w:marTop w:val="0"/>
      <w:marBottom w:val="0"/>
      <w:divBdr>
        <w:top w:val="none" w:sz="0" w:space="0" w:color="auto"/>
        <w:left w:val="none" w:sz="0" w:space="0" w:color="auto"/>
        <w:bottom w:val="none" w:sz="0" w:space="0" w:color="auto"/>
        <w:right w:val="none" w:sz="0" w:space="0" w:color="auto"/>
      </w:divBdr>
    </w:div>
    <w:div w:id="2045325053">
      <w:bodyDiv w:val="1"/>
      <w:marLeft w:val="0"/>
      <w:marRight w:val="0"/>
      <w:marTop w:val="0"/>
      <w:marBottom w:val="0"/>
      <w:divBdr>
        <w:top w:val="none" w:sz="0" w:space="0" w:color="auto"/>
        <w:left w:val="none" w:sz="0" w:space="0" w:color="auto"/>
        <w:bottom w:val="none" w:sz="0" w:space="0" w:color="auto"/>
        <w:right w:val="none" w:sz="0" w:space="0" w:color="auto"/>
      </w:divBdr>
    </w:div>
    <w:div w:id="20513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rlene.carnopis@labor.idaho.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eviewable Documents" ma:contentTypeID="0x0101002F4BE59E619A2A48AAC1821E9C56AB6C004262AD96632852409A0AAA6E475AEB77" ma:contentTypeVersion="11" ma:contentTypeDescription="Document content type with the review date and owner columns." ma:contentTypeScope="" ma:versionID="f2623668a3004b3f8a061c8df154c0ac">
  <xsd:schema xmlns:xsd="http://www.w3.org/2001/XMLSchema" xmlns:xs="http://www.w3.org/2001/XMLSchema" xmlns:p="http://schemas.microsoft.com/office/2006/metadata/properties" xmlns:ns2="7e591419-fdc1-4d4a-be21-8fdab776cd69" xmlns:ns3="f0033e98-6279-401f-a5be-fb00b77b02e6" targetNamespace="http://schemas.microsoft.com/office/2006/metadata/properties" ma:root="true" ma:fieldsID="0eddb9872f10e2d22b5a417b15ed5001" ns2:_="" ns3:_="">
    <xsd:import namespace="7e591419-fdc1-4d4a-be21-8fdab776cd69"/>
    <xsd:import namespace="f0033e98-6279-401f-a5be-fb00b77b02e6"/>
    <xsd:element name="properties">
      <xsd:complexType>
        <xsd:sequence>
          <xsd:element name="documentManagement">
            <xsd:complexType>
              <xsd:all>
                <xsd:element ref="ns2:Item_x0020_Owner"/>
                <xsd:element ref="ns2:Review_x0020_Date"/>
                <xsd:element ref="ns3:KpiDescription"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91419-fdc1-4d4a-be21-8fdab776cd69" elementFormDefault="qualified">
    <xsd:import namespace="http://schemas.microsoft.com/office/2006/documentManagement/types"/>
    <xsd:import namespace="http://schemas.microsoft.com/office/infopath/2007/PartnerControls"/>
    <xsd:element name="Item_x0020_Owner" ma:index="8" ma:displayName="Item Owner" ma:description="Identifies the owner who is responsible for reviewing, revising, and maintaining this content." ma:list="UserInfo" ma:SharePointGroup="0" ma:internalName="Item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 ma:index="9" ma:displayName="Review Date" ma:format="DateOnly" ma:internalName="Review_x0020_Date" ma:readOnly="false">
      <xsd:simpleType>
        <xsd:restriction base="dms:DateTime"/>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033e98-6279-401f-a5be-fb00b77b02e6" elementFormDefault="qualified">
    <xsd:import namespace="http://schemas.microsoft.com/office/2006/documentManagement/types"/>
    <xsd:import namespace="http://schemas.microsoft.com/office/infopath/2007/PartnerControls"/>
    <xsd:element name="KpiDescription" ma:index="10" nillable="true" ma:displayName="Description" ma:description="The description provides information about the purpose of the goal." ma:internalName="KpiDescription"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7e591419-fdc1-4d4a-be21-8fdab776cd69"/>
    <Item_x0020_Owner xmlns="7e591419-fdc1-4d4a-be21-8fdab776cd69">
      <UserInfo>
        <DisplayName>Darlene Carnopis</DisplayName>
        <AccountId>15</AccountId>
        <AccountType/>
      </UserInfo>
    </Item_x0020_Owner>
    <KpiDescription xmlns="f0033e98-6279-401f-a5be-fb00b77b02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88A0F-99FE-4579-9408-4F08A1A1B807}">
  <ds:schemaRefs>
    <ds:schemaRef ds:uri="http://schemas.openxmlformats.org/officeDocument/2006/bibliography"/>
  </ds:schemaRefs>
</ds:datastoreItem>
</file>

<file path=customXml/itemProps2.xml><?xml version="1.0" encoding="utf-8"?>
<ds:datastoreItem xmlns:ds="http://schemas.openxmlformats.org/officeDocument/2006/customXml" ds:itemID="{1D5108A4-1C11-47A7-BC6D-2D0D212B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91419-fdc1-4d4a-be21-8fdab776cd69"/>
    <ds:schemaRef ds:uri="f0033e98-6279-401f-a5be-fb00b77b0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E29E5-AB3C-4322-B74D-E0F0E3F06E58}">
  <ds:schemaRefs>
    <ds:schemaRef ds:uri="http://schemas.microsoft.com/office/2006/metadata/properties"/>
    <ds:schemaRef ds:uri="http://schemas.microsoft.com/office/infopath/2007/PartnerControls"/>
    <ds:schemaRef ds:uri="7e591419-fdc1-4d4a-be21-8fdab776cd69"/>
    <ds:schemaRef ds:uri="f0033e98-6279-401f-a5be-fb00b77b02e6"/>
  </ds:schemaRefs>
</ds:datastoreItem>
</file>

<file path=customXml/itemProps4.xml><?xml version="1.0" encoding="utf-8"?>
<ds:datastoreItem xmlns:ds="http://schemas.openxmlformats.org/officeDocument/2006/customXml" ds:itemID="{24CE5389-BE58-45AC-AD8B-9BDBA2E60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1553</Words>
  <Characters>9387</Characters>
  <Application>Microsoft Office Word</Application>
  <DocSecurity>0</DocSecurity>
  <Lines>426</Lines>
  <Paragraphs>341</Paragraphs>
  <ScaleCrop>false</ScaleCrop>
  <HeadingPairs>
    <vt:vector size="2" baseType="variant">
      <vt:variant>
        <vt:lpstr>Title</vt:lpstr>
      </vt:variant>
      <vt:variant>
        <vt:i4>1</vt:i4>
      </vt:variant>
    </vt:vector>
  </HeadingPairs>
  <TitlesOfParts>
    <vt:vector size="1" baseType="lpstr">
      <vt:lpstr>SFY - 2020 - 240_Labor_Department-Performance Report-08.26.20</vt:lpstr>
    </vt:vector>
  </TitlesOfParts>
  <Company>Division of Financial Management</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- 2020 - 240_Labor_Department-Performance Report-08.26.20</dc:title>
  <dc:creator>Anita Hamann</dc:creator>
  <cp:lastModifiedBy>Christopher Davis</cp:lastModifiedBy>
  <cp:revision>5</cp:revision>
  <cp:lastPrinted>2021-08-18T14:53:00Z</cp:lastPrinted>
  <dcterms:created xsi:type="dcterms:W3CDTF">2024-12-11T22:03:00Z</dcterms:created>
  <dcterms:modified xsi:type="dcterms:W3CDTF">2025-06-24T23:13:00Z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0x0101002F4BE59E619A2A48AAC1821E9C56AB6C004262AD96632852409A0AAA6E475AEB77</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026b7ad7-749f-4248-9924-6d8c83c1021f</vt:lpwstr>
  </property>
  <property fmtid="{D5CDD505-2E9C-101B-9397-08002B2CF9AE}" pid="6" name="GrammarlyDocumentId">
    <vt:lpwstr>8fbd47b1-c76e-4f14-835e-91914187b263</vt:lpwstr>
  </property>
</Properties>
</file>