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9B2B" w14:textId="77777777" w:rsidR="00BC4B72" w:rsidRPr="007E7476" w:rsidRDefault="00BC4B72" w:rsidP="00982493">
      <w:pPr>
        <w:pStyle w:val="Heading2"/>
        <w:spacing w:before="0"/>
        <w:ind w:left="90"/>
        <w:rPr>
          <w:color w:val="000080"/>
        </w:rPr>
      </w:pPr>
      <w:bookmarkStart w:id="0" w:name="OLE_LINK1"/>
      <w:bookmarkStart w:id="1" w:name="OLE_LINK2"/>
      <w:r w:rsidRPr="007E7476">
        <w:rPr>
          <w:color w:val="000080"/>
        </w:rPr>
        <w:t xml:space="preserve">Part </w:t>
      </w:r>
      <w:r w:rsidR="003E5632">
        <w:rPr>
          <w:color w:val="000080"/>
        </w:rPr>
        <w:t>I</w:t>
      </w:r>
      <w:r w:rsidRPr="007E7476">
        <w:rPr>
          <w:color w:val="000080"/>
        </w:rPr>
        <w:t xml:space="preserve"> – Agency Profile</w:t>
      </w:r>
    </w:p>
    <w:bookmarkEnd w:id="0"/>
    <w:bookmarkEnd w:id="1"/>
    <w:p w14:paraId="327C9CDC" w14:textId="77777777" w:rsidR="005D1B0F" w:rsidRPr="005D1B0F" w:rsidRDefault="005D1B0F" w:rsidP="00982493">
      <w:pPr>
        <w:ind w:left="90"/>
        <w:rPr>
          <w:rFonts w:ascii="Arial" w:hAnsi="Arial" w:cs="Arial"/>
          <w:b/>
          <w:bCs/>
          <w:sz w:val="16"/>
          <w:szCs w:val="16"/>
        </w:rPr>
      </w:pPr>
    </w:p>
    <w:p w14:paraId="719A6E66" w14:textId="77777777" w:rsidR="00BC4B72" w:rsidRDefault="00BC4B72" w:rsidP="00982493">
      <w:pPr>
        <w:ind w:left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Agency Overview</w:t>
      </w:r>
    </w:p>
    <w:p w14:paraId="72454298" w14:textId="77777777" w:rsidR="00982493" w:rsidRPr="00967829" w:rsidRDefault="00982493" w:rsidP="00982493">
      <w:pPr>
        <w:ind w:left="90"/>
        <w:rPr>
          <w:rFonts w:ascii="Arial" w:hAnsi="Arial" w:cs="Arial"/>
          <w:sz w:val="18"/>
          <w:szCs w:val="18"/>
        </w:rPr>
      </w:pPr>
    </w:p>
    <w:p w14:paraId="09686326" w14:textId="19E9C453" w:rsidR="00A03A68" w:rsidRPr="00A30F3E" w:rsidRDefault="00A30F3E" w:rsidP="00982493">
      <w:pPr>
        <w:pStyle w:val="Content"/>
        <w:ind w:left="90"/>
        <w:jc w:val="both"/>
        <w:rPr>
          <w:rFonts w:ascii="Arial" w:hAnsi="Arial" w:cs="Arial"/>
          <w:color w:val="auto"/>
          <w:sz w:val="20"/>
          <w:szCs w:val="20"/>
        </w:rPr>
      </w:pPr>
      <w:r w:rsidRPr="00A30F3E">
        <w:rPr>
          <w:rFonts w:ascii="Arial" w:hAnsi="Arial" w:cs="Arial"/>
          <w:color w:val="auto"/>
          <w:sz w:val="20"/>
          <w:szCs w:val="20"/>
        </w:rPr>
        <w:t xml:space="preserve">The Idaho Council on Domestic Violence &amp; Victim Assistance (ICDVVA) was created by the </w:t>
      </w:r>
      <w:r w:rsidR="00A01EB2">
        <w:rPr>
          <w:rFonts w:ascii="Arial" w:hAnsi="Arial" w:cs="Arial"/>
          <w:color w:val="auto"/>
          <w:sz w:val="20"/>
          <w:szCs w:val="20"/>
        </w:rPr>
        <w:t>l</w:t>
      </w:r>
      <w:r w:rsidRPr="00A30F3E">
        <w:rPr>
          <w:rFonts w:ascii="Arial" w:hAnsi="Arial" w:cs="Arial"/>
          <w:color w:val="auto"/>
          <w:sz w:val="20"/>
          <w:szCs w:val="20"/>
        </w:rPr>
        <w:t>egislature in 1982 to address the disruptive influence of domestic violence on society, provide protection and refuge for victims, and provide funding for victim service programs throughout the State</w:t>
      </w:r>
      <w:hyperlink r:id="rId10" w:history="1">
        <w:r w:rsidRPr="00FC7926">
          <w:rPr>
            <w:rStyle w:val="Hyperlink"/>
            <w:rFonts w:ascii="Arial" w:hAnsi="Arial" w:cs="Arial"/>
            <w:sz w:val="20"/>
            <w:szCs w:val="20"/>
          </w:rPr>
          <w:t>.  I.C. § 39-5201</w:t>
        </w:r>
      </w:hyperlink>
      <w:r w:rsidRPr="00A30F3E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 xml:space="preserve">Per </w:t>
      </w:r>
      <w:hyperlink r:id="rId11" w:history="1">
        <w:r w:rsidRPr="00FC7926">
          <w:rPr>
            <w:rStyle w:val="Hyperlink"/>
            <w:rFonts w:ascii="Arial" w:hAnsi="Arial" w:cs="Arial"/>
            <w:sz w:val="20"/>
            <w:szCs w:val="20"/>
          </w:rPr>
          <w:t>I.C. § 39-5203</w:t>
        </w:r>
      </w:hyperlink>
      <w:r>
        <w:rPr>
          <w:rFonts w:ascii="Arial" w:hAnsi="Arial" w:cs="Arial"/>
          <w:color w:val="auto"/>
          <w:sz w:val="20"/>
          <w:szCs w:val="20"/>
        </w:rPr>
        <w:t>, ICDVVA shall be the advisory body for programs and services affecting victims of domestic violence and other crimes in Idaho.</w:t>
      </w:r>
      <w:r w:rsidRPr="00A30F3E">
        <w:rPr>
          <w:rFonts w:ascii="Arial" w:hAnsi="Arial" w:cs="Arial"/>
          <w:color w:val="auto"/>
          <w:sz w:val="20"/>
          <w:szCs w:val="20"/>
        </w:rPr>
        <w:t xml:space="preserve"> For budgetary purposes and for administrative support purposes, the Council is assigned by the </w:t>
      </w:r>
      <w:r>
        <w:rPr>
          <w:rFonts w:ascii="Arial" w:hAnsi="Arial" w:cs="Arial"/>
          <w:color w:val="auto"/>
          <w:sz w:val="20"/>
          <w:szCs w:val="20"/>
        </w:rPr>
        <w:t>G</w:t>
      </w:r>
      <w:r w:rsidRPr="00A30F3E">
        <w:rPr>
          <w:rFonts w:ascii="Arial" w:hAnsi="Arial" w:cs="Arial"/>
          <w:color w:val="auto"/>
          <w:sz w:val="20"/>
          <w:szCs w:val="20"/>
        </w:rPr>
        <w:t xml:space="preserve">overnor to a department or office within the State per </w:t>
      </w:r>
      <w:hyperlink r:id="rId12" w:history="1">
        <w:r w:rsidRPr="00FC7926">
          <w:rPr>
            <w:rStyle w:val="Hyperlink"/>
            <w:rFonts w:ascii="Arial" w:hAnsi="Arial" w:cs="Arial"/>
            <w:sz w:val="20"/>
            <w:szCs w:val="20"/>
          </w:rPr>
          <w:t>I.C. § 39-5203(2)</w:t>
        </w:r>
      </w:hyperlink>
      <w:r w:rsidRPr="00A30F3E">
        <w:rPr>
          <w:rFonts w:ascii="Arial" w:hAnsi="Arial" w:cs="Arial"/>
          <w:color w:val="auto"/>
          <w:sz w:val="20"/>
          <w:szCs w:val="20"/>
        </w:rPr>
        <w:t>.  Currently ICDVVA is assigned to the Department of Health &amp; Welfare for those purposes but is otherwise an independent agency</w:t>
      </w:r>
      <w:r>
        <w:rPr>
          <w:rFonts w:ascii="Arial" w:hAnsi="Arial" w:cs="Arial"/>
          <w:color w:val="auto"/>
          <w:sz w:val="20"/>
          <w:szCs w:val="20"/>
        </w:rPr>
        <w:t xml:space="preserve"> with 6 </w:t>
      </w:r>
      <w:r w:rsidR="00967829">
        <w:rPr>
          <w:rFonts w:ascii="Arial" w:hAnsi="Arial" w:cs="Arial"/>
          <w:color w:val="auto"/>
          <w:sz w:val="20"/>
          <w:szCs w:val="20"/>
        </w:rPr>
        <w:t xml:space="preserve">approved </w:t>
      </w:r>
      <w:r>
        <w:rPr>
          <w:rFonts w:ascii="Arial" w:hAnsi="Arial" w:cs="Arial"/>
          <w:color w:val="auto"/>
          <w:sz w:val="20"/>
          <w:szCs w:val="20"/>
        </w:rPr>
        <w:t>FTEs, led by an Executive Director</w:t>
      </w:r>
      <w:r w:rsidR="00FC7926">
        <w:rPr>
          <w:rFonts w:ascii="Arial" w:hAnsi="Arial" w:cs="Arial"/>
          <w:color w:val="auto"/>
          <w:sz w:val="20"/>
          <w:szCs w:val="20"/>
        </w:rPr>
        <w:t xml:space="preserve"> appointed by the Council</w:t>
      </w:r>
      <w:r w:rsidRPr="00A30F3E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30F3E">
        <w:rPr>
          <w:rFonts w:ascii="Arial" w:hAnsi="Arial" w:cs="Arial"/>
          <w:color w:val="auto"/>
          <w:sz w:val="20"/>
          <w:szCs w:val="20"/>
        </w:rPr>
        <w:t>The Council is composed of seven Council members</w:t>
      </w:r>
      <w:r w:rsidR="00A01EB2">
        <w:rPr>
          <w:rFonts w:ascii="Arial" w:hAnsi="Arial" w:cs="Arial"/>
          <w:color w:val="auto"/>
          <w:sz w:val="20"/>
          <w:szCs w:val="20"/>
        </w:rPr>
        <w:t xml:space="preserve"> appointed by the Governor</w:t>
      </w:r>
      <w:r w:rsidRPr="00A30F3E">
        <w:rPr>
          <w:rFonts w:ascii="Arial" w:hAnsi="Arial" w:cs="Arial"/>
          <w:color w:val="auto"/>
          <w:sz w:val="20"/>
          <w:szCs w:val="20"/>
        </w:rPr>
        <w:t xml:space="preserve">, one from each of the seven public health district regions of Idaho. </w:t>
      </w:r>
    </w:p>
    <w:p w14:paraId="4DE533F7" w14:textId="77777777" w:rsidR="00A30F3E" w:rsidRPr="00967829" w:rsidRDefault="00A30F3E" w:rsidP="00982493">
      <w:pPr>
        <w:ind w:left="90"/>
        <w:rPr>
          <w:rFonts w:ascii="Arial" w:hAnsi="Arial" w:cs="Arial"/>
          <w:sz w:val="18"/>
          <w:szCs w:val="18"/>
        </w:rPr>
      </w:pPr>
    </w:p>
    <w:p w14:paraId="04B052EB" w14:textId="77777777" w:rsidR="00BC4B72" w:rsidRDefault="00BC4B72" w:rsidP="00982493">
      <w:pPr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 Functions/Idaho Code</w:t>
      </w:r>
    </w:p>
    <w:p w14:paraId="5B432620" w14:textId="77777777" w:rsidR="00982493" w:rsidRPr="00967829" w:rsidRDefault="00982493">
      <w:pPr>
        <w:jc w:val="both"/>
        <w:rPr>
          <w:rFonts w:ascii="Arial" w:hAnsi="Arial" w:cs="Arial"/>
          <w:sz w:val="18"/>
          <w:szCs w:val="18"/>
        </w:rPr>
      </w:pPr>
    </w:p>
    <w:p w14:paraId="7DCFB468" w14:textId="205AA738" w:rsidR="00E802D9" w:rsidRPr="009A76C1" w:rsidRDefault="00E802D9" w:rsidP="00982493">
      <w:pPr>
        <w:pStyle w:val="Content"/>
        <w:ind w:left="90"/>
        <w:rPr>
          <w:rFonts w:ascii="Arial" w:hAnsi="Arial" w:cs="Arial"/>
          <w:color w:val="000000" w:themeColor="text1"/>
          <w:sz w:val="20"/>
          <w:szCs w:val="20"/>
        </w:rPr>
      </w:pPr>
      <w:hyperlink r:id="rId13" w:history="1">
        <w:r w:rsidRPr="00E802D9">
          <w:rPr>
            <w:rStyle w:val="Hyperlink"/>
            <w:rFonts w:ascii="Arial" w:hAnsi="Arial" w:cs="Arial"/>
            <w:sz w:val="20"/>
            <w:szCs w:val="20"/>
          </w:rPr>
          <w:t>I</w:t>
        </w:r>
        <w:r>
          <w:rPr>
            <w:rStyle w:val="Hyperlink"/>
            <w:rFonts w:ascii="Arial" w:hAnsi="Arial" w:cs="Arial"/>
            <w:sz w:val="20"/>
            <w:szCs w:val="20"/>
          </w:rPr>
          <w:t>.C.</w:t>
        </w:r>
        <w:r w:rsidRPr="00E802D9">
          <w:rPr>
            <w:rStyle w:val="Hyperlink"/>
            <w:rFonts w:ascii="Arial" w:hAnsi="Arial" w:cs="Arial"/>
            <w:sz w:val="20"/>
            <w:szCs w:val="20"/>
          </w:rPr>
          <w:t xml:space="preserve"> § 39-5208</w:t>
        </w:r>
      </w:hyperlink>
      <w:r w:rsidRPr="00E802D9">
        <w:rPr>
          <w:rFonts w:ascii="Arial" w:hAnsi="Arial" w:cs="Arial"/>
          <w:sz w:val="20"/>
          <w:szCs w:val="20"/>
        </w:rPr>
        <w:t xml:space="preserve">, </w:t>
      </w:r>
      <w:r w:rsidRPr="009A76C1">
        <w:rPr>
          <w:rFonts w:ascii="Arial" w:hAnsi="Arial" w:cs="Arial"/>
          <w:color w:val="000000" w:themeColor="text1"/>
          <w:sz w:val="20"/>
          <w:szCs w:val="20"/>
        </w:rPr>
        <w:t>Responsibilities &amp; Duties, provides the Council shall:</w:t>
      </w:r>
    </w:p>
    <w:p w14:paraId="2448FE68" w14:textId="75DB36E0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>(1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)  Establish</w:t>
      </w:r>
      <w:proofErr w:type="gramEnd"/>
      <w:r w:rsidRPr="00E802D9">
        <w:rPr>
          <w:rFonts w:ascii="Arial" w:hAnsi="Arial" w:cs="Arial"/>
          <w:spacing w:val="4"/>
          <w:sz w:val="20"/>
          <w:szCs w:val="20"/>
        </w:rPr>
        <w:t xml:space="preserve"> standards for projects applying for grants from the </w:t>
      </w:r>
      <w:r w:rsidR="000A418F">
        <w:rPr>
          <w:rFonts w:ascii="Arial" w:hAnsi="Arial" w:cs="Arial"/>
          <w:spacing w:val="4"/>
          <w:sz w:val="20"/>
          <w:szCs w:val="20"/>
        </w:rPr>
        <w:t>C</w:t>
      </w:r>
      <w:r w:rsidRPr="00E802D9">
        <w:rPr>
          <w:rFonts w:ascii="Arial" w:hAnsi="Arial" w:cs="Arial"/>
          <w:spacing w:val="4"/>
          <w:sz w:val="20"/>
          <w:szCs w:val="20"/>
        </w:rPr>
        <w:t xml:space="preserve">ouncil under this 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chapter;</w:t>
      </w:r>
      <w:proofErr w:type="gramEnd"/>
    </w:p>
    <w:p w14:paraId="1F54A2BE" w14:textId="77777777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>(2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)  Disseminate</w:t>
      </w:r>
      <w:proofErr w:type="gramEnd"/>
      <w:r w:rsidRPr="00E802D9">
        <w:rPr>
          <w:rFonts w:ascii="Arial" w:hAnsi="Arial" w:cs="Arial"/>
          <w:spacing w:val="4"/>
          <w:sz w:val="20"/>
          <w:szCs w:val="20"/>
        </w:rPr>
        <w:t xml:space="preserve"> information on availability of funds and the application 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process;</w:t>
      </w:r>
      <w:proofErr w:type="gramEnd"/>
    </w:p>
    <w:p w14:paraId="0CF40707" w14:textId="77777777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>(3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)  Receive</w:t>
      </w:r>
      <w:proofErr w:type="gramEnd"/>
      <w:r w:rsidRPr="00E802D9">
        <w:rPr>
          <w:rFonts w:ascii="Arial" w:hAnsi="Arial" w:cs="Arial"/>
          <w:spacing w:val="4"/>
          <w:sz w:val="20"/>
          <w:szCs w:val="20"/>
        </w:rPr>
        <w:t xml:space="preserve"> grant applications for the development and establishment of projects for victims of domestic violence and certain other 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crimes;</w:t>
      </w:r>
      <w:proofErr w:type="gramEnd"/>
    </w:p>
    <w:p w14:paraId="08BE4D45" w14:textId="0D66FFC3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>(4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)  Distribute</w:t>
      </w:r>
      <w:proofErr w:type="gramEnd"/>
      <w:r w:rsidRPr="00E802D9">
        <w:rPr>
          <w:rFonts w:ascii="Arial" w:hAnsi="Arial" w:cs="Arial"/>
          <w:spacing w:val="4"/>
          <w:sz w:val="20"/>
          <w:szCs w:val="20"/>
        </w:rPr>
        <w:t xml:space="preserve"> funds after approval of projects meeting </w:t>
      </w:r>
      <w:r w:rsidR="000A418F">
        <w:rPr>
          <w:rFonts w:ascii="Arial" w:hAnsi="Arial" w:cs="Arial"/>
          <w:spacing w:val="4"/>
          <w:sz w:val="20"/>
          <w:szCs w:val="20"/>
        </w:rPr>
        <w:t>C</w:t>
      </w:r>
      <w:r w:rsidRPr="00E802D9">
        <w:rPr>
          <w:rFonts w:ascii="Arial" w:hAnsi="Arial" w:cs="Arial"/>
          <w:spacing w:val="4"/>
          <w:sz w:val="20"/>
          <w:szCs w:val="20"/>
        </w:rPr>
        <w:t xml:space="preserve">ouncil 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standards;</w:t>
      </w:r>
      <w:proofErr w:type="gramEnd"/>
    </w:p>
    <w:p w14:paraId="07A70C9D" w14:textId="77777777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>(5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)  Assess</w:t>
      </w:r>
      <w:proofErr w:type="gramEnd"/>
      <w:r w:rsidRPr="00E802D9">
        <w:rPr>
          <w:rFonts w:ascii="Arial" w:hAnsi="Arial" w:cs="Arial"/>
          <w:spacing w:val="4"/>
          <w:sz w:val="20"/>
          <w:szCs w:val="20"/>
        </w:rPr>
        <w:t xml:space="preserve">, review, and monitor the services and programs being provided for victims of domestic violence and other crimes under this 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chapter;</w:t>
      </w:r>
      <w:proofErr w:type="gramEnd"/>
    </w:p>
    <w:p w14:paraId="2E9B8D85" w14:textId="77777777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>(6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)  Monitor</w:t>
      </w:r>
      <w:proofErr w:type="gramEnd"/>
      <w:r w:rsidRPr="00E802D9">
        <w:rPr>
          <w:rFonts w:ascii="Arial" w:hAnsi="Arial" w:cs="Arial"/>
          <w:spacing w:val="4"/>
          <w:sz w:val="20"/>
          <w:szCs w:val="20"/>
        </w:rPr>
        <w:t xml:space="preserve"> programs and services for victims of domestic violence and other crimes to assure nonduplication of services and to encourage efficient and coordinated use of resources in the provision of </w:t>
      </w:r>
      <w:proofErr w:type="gramStart"/>
      <w:r w:rsidRPr="00E802D9">
        <w:rPr>
          <w:rFonts w:ascii="Arial" w:hAnsi="Arial" w:cs="Arial"/>
          <w:spacing w:val="4"/>
          <w:sz w:val="20"/>
          <w:szCs w:val="20"/>
        </w:rPr>
        <w:t>services;</w:t>
      </w:r>
      <w:proofErr w:type="gramEnd"/>
    </w:p>
    <w:p w14:paraId="209100C8" w14:textId="77777777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>(7)  Compile data on the services and programs provided to victims of domestic violence and other crimes and the geographic incidence of domestic violence and other crimes in this state; and</w:t>
      </w:r>
    </w:p>
    <w:p w14:paraId="75D7CDD9" w14:textId="4F6915DC" w:rsidR="00E802D9" w:rsidRPr="00E802D9" w:rsidRDefault="00E802D9" w:rsidP="00835818">
      <w:pPr>
        <w:shd w:val="clear" w:color="auto" w:fill="FFFFFF"/>
        <w:spacing w:line="240" w:lineRule="atLeast"/>
        <w:ind w:left="1125" w:hanging="403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802D9">
        <w:rPr>
          <w:rFonts w:ascii="Arial" w:hAnsi="Arial" w:cs="Arial"/>
          <w:spacing w:val="4"/>
          <w:sz w:val="20"/>
          <w:szCs w:val="20"/>
        </w:rPr>
        <w:t xml:space="preserve">(8)  Submit annual reports to the </w:t>
      </w:r>
      <w:r w:rsidR="000A418F">
        <w:rPr>
          <w:rFonts w:ascii="Arial" w:hAnsi="Arial" w:cs="Arial"/>
          <w:spacing w:val="4"/>
          <w:sz w:val="20"/>
          <w:szCs w:val="20"/>
        </w:rPr>
        <w:t>G</w:t>
      </w:r>
      <w:r w:rsidRPr="00E802D9">
        <w:rPr>
          <w:rFonts w:ascii="Arial" w:hAnsi="Arial" w:cs="Arial"/>
          <w:spacing w:val="4"/>
          <w:sz w:val="20"/>
          <w:szCs w:val="20"/>
        </w:rPr>
        <w:t xml:space="preserve">overnor and the </w:t>
      </w:r>
      <w:r w:rsidR="000A418F">
        <w:rPr>
          <w:rFonts w:ascii="Arial" w:hAnsi="Arial" w:cs="Arial"/>
          <w:spacing w:val="4"/>
          <w:sz w:val="20"/>
          <w:szCs w:val="20"/>
        </w:rPr>
        <w:t>L</w:t>
      </w:r>
      <w:r w:rsidRPr="00E802D9">
        <w:rPr>
          <w:rFonts w:ascii="Arial" w:hAnsi="Arial" w:cs="Arial"/>
          <w:spacing w:val="4"/>
          <w:sz w:val="20"/>
          <w:szCs w:val="20"/>
        </w:rPr>
        <w:t>egislature.</w:t>
      </w:r>
    </w:p>
    <w:p w14:paraId="7300EBD3" w14:textId="77777777" w:rsidR="00E802D9" w:rsidRPr="00967829" w:rsidRDefault="00E802D9" w:rsidP="00835818">
      <w:pPr>
        <w:pStyle w:val="Content"/>
        <w:jc w:val="both"/>
        <w:rPr>
          <w:rFonts w:ascii="Arial" w:hAnsi="Arial" w:cs="Arial"/>
          <w:sz w:val="18"/>
          <w:szCs w:val="18"/>
        </w:rPr>
      </w:pPr>
    </w:p>
    <w:p w14:paraId="0563F05F" w14:textId="5251B28E" w:rsidR="00E802D9" w:rsidRPr="009A76C1" w:rsidRDefault="00E802D9" w:rsidP="00982493">
      <w:pPr>
        <w:pStyle w:val="Content"/>
        <w:ind w:left="9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9A76C1">
        <w:rPr>
          <w:rFonts w:ascii="Arial" w:hAnsi="Arial" w:cs="Arial"/>
          <w:color w:val="000000" w:themeColor="text1"/>
          <w:spacing w:val="4"/>
          <w:sz w:val="20"/>
          <w:szCs w:val="20"/>
          <w:shd w:val="clear" w:color="auto" w:fill="FFFFFF"/>
        </w:rPr>
        <w:t xml:space="preserve">The Council is also responsible </w:t>
      </w:r>
      <w:r w:rsidR="00231325">
        <w:rPr>
          <w:rFonts w:ascii="Arial" w:hAnsi="Arial" w:cs="Arial"/>
          <w:color w:val="000000" w:themeColor="text1"/>
          <w:spacing w:val="4"/>
          <w:sz w:val="20"/>
          <w:szCs w:val="20"/>
          <w:shd w:val="clear" w:color="auto" w:fill="FFFFFF"/>
        </w:rPr>
        <w:t xml:space="preserve">per </w:t>
      </w:r>
      <w:hyperlink r:id="rId14" w:history="1">
        <w:r w:rsidR="00231325" w:rsidRPr="009A76C1">
          <w:rPr>
            <w:rStyle w:val="Hyperlink"/>
            <w:rFonts w:ascii="Arial" w:hAnsi="Arial" w:cs="Arial"/>
            <w:color w:val="0070C0"/>
            <w:sz w:val="20"/>
            <w:szCs w:val="20"/>
          </w:rPr>
          <w:t>I.C. § 18-918(7)(d)</w:t>
        </w:r>
      </w:hyperlink>
      <w:r w:rsidR="00231325">
        <w:rPr>
          <w:rFonts w:ascii="Arial" w:hAnsi="Arial" w:cs="Arial"/>
          <w:color w:val="000000" w:themeColor="text1"/>
          <w:spacing w:val="4"/>
          <w:sz w:val="20"/>
          <w:szCs w:val="20"/>
          <w:shd w:val="clear" w:color="auto" w:fill="FFFFFF"/>
        </w:rPr>
        <w:t xml:space="preserve"> f</w:t>
      </w:r>
      <w:r w:rsidRPr="009A76C1">
        <w:rPr>
          <w:rFonts w:ascii="Arial" w:hAnsi="Arial" w:cs="Arial"/>
          <w:color w:val="000000" w:themeColor="text1"/>
          <w:spacing w:val="4"/>
          <w:sz w:val="20"/>
          <w:szCs w:val="20"/>
          <w:shd w:val="clear" w:color="auto" w:fill="FFFFFF"/>
        </w:rPr>
        <w:t>or establishing minimum standards for offender intervention treatment programs and determining which providers are approved to offer such programs.</w:t>
      </w:r>
    </w:p>
    <w:p w14:paraId="19E7745B" w14:textId="77777777" w:rsidR="00A03A68" w:rsidRPr="00967829" w:rsidRDefault="00A03A68" w:rsidP="00982493">
      <w:pPr>
        <w:ind w:left="90"/>
        <w:jc w:val="both"/>
        <w:rPr>
          <w:rFonts w:ascii="Arial" w:hAnsi="Arial" w:cs="Arial"/>
          <w:sz w:val="18"/>
          <w:szCs w:val="18"/>
        </w:rPr>
      </w:pPr>
    </w:p>
    <w:p w14:paraId="5F67985B" w14:textId="0C77634B" w:rsidR="00BC4B72" w:rsidRDefault="00BC4B72" w:rsidP="00982493">
      <w:pPr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p w14:paraId="63279274" w14:textId="77777777" w:rsidR="00982493" w:rsidRPr="00967829" w:rsidRDefault="00982493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1782"/>
        <w:gridCol w:w="1778"/>
        <w:gridCol w:w="1778"/>
        <w:gridCol w:w="1778"/>
      </w:tblGrid>
      <w:tr w:rsidR="00973684" w14:paraId="3FED0D19" w14:textId="77777777" w:rsidTr="00310E40">
        <w:tc>
          <w:tcPr>
            <w:tcW w:w="2846" w:type="dxa"/>
            <w:shd w:val="clear" w:color="auto" w:fill="000080"/>
          </w:tcPr>
          <w:p w14:paraId="244CB7F9" w14:textId="0CD83D2F" w:rsidR="00973684" w:rsidRDefault="00973684" w:rsidP="00973684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782" w:type="dxa"/>
            <w:shd w:val="clear" w:color="auto" w:fill="000080"/>
          </w:tcPr>
          <w:p w14:paraId="2E3A87ED" w14:textId="46B15BB1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2022</w:t>
            </w:r>
          </w:p>
        </w:tc>
        <w:tc>
          <w:tcPr>
            <w:tcW w:w="1778" w:type="dxa"/>
            <w:shd w:val="clear" w:color="auto" w:fill="000080"/>
          </w:tcPr>
          <w:p w14:paraId="167D58FB" w14:textId="29A78BE1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2023</w:t>
            </w:r>
          </w:p>
        </w:tc>
        <w:tc>
          <w:tcPr>
            <w:tcW w:w="1778" w:type="dxa"/>
            <w:shd w:val="clear" w:color="auto" w:fill="000080"/>
          </w:tcPr>
          <w:p w14:paraId="61CB4C67" w14:textId="7AFEE624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2024</w:t>
            </w:r>
          </w:p>
        </w:tc>
        <w:tc>
          <w:tcPr>
            <w:tcW w:w="1778" w:type="dxa"/>
            <w:shd w:val="clear" w:color="auto" w:fill="000080"/>
          </w:tcPr>
          <w:p w14:paraId="4F3F0699" w14:textId="485023A9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973684" w14:paraId="7017F099" w14:textId="77777777" w:rsidTr="00310E40">
        <w:tc>
          <w:tcPr>
            <w:tcW w:w="2846" w:type="dxa"/>
          </w:tcPr>
          <w:p w14:paraId="041C590B" w14:textId="10C6C174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General Funds</w:t>
            </w:r>
          </w:p>
        </w:tc>
        <w:tc>
          <w:tcPr>
            <w:tcW w:w="1782" w:type="dxa"/>
          </w:tcPr>
          <w:p w14:paraId="4E90B01F" w14:textId="4235F79E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$16,500</w:t>
            </w:r>
          </w:p>
        </w:tc>
        <w:tc>
          <w:tcPr>
            <w:tcW w:w="1778" w:type="dxa"/>
          </w:tcPr>
          <w:p w14:paraId="1FC166C9" w14:textId="2B6931C1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$317,100</w:t>
            </w:r>
          </w:p>
        </w:tc>
        <w:tc>
          <w:tcPr>
            <w:tcW w:w="1778" w:type="dxa"/>
          </w:tcPr>
          <w:p w14:paraId="5990F879" w14:textId="7DA68C48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$335,600</w:t>
            </w:r>
          </w:p>
        </w:tc>
        <w:tc>
          <w:tcPr>
            <w:tcW w:w="1778" w:type="dxa"/>
          </w:tcPr>
          <w:p w14:paraId="2999106D" w14:textId="59D151EA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73684" w14:paraId="79C5DDFC" w14:textId="77777777" w:rsidTr="00310E40">
        <w:tc>
          <w:tcPr>
            <w:tcW w:w="2846" w:type="dxa"/>
          </w:tcPr>
          <w:p w14:paraId="4D09C566" w14:textId="74A37A64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Grant Appropriation</w:t>
            </w:r>
          </w:p>
        </w:tc>
        <w:tc>
          <w:tcPr>
            <w:tcW w:w="1782" w:type="dxa"/>
          </w:tcPr>
          <w:p w14:paraId="0AE6B5FF" w14:textId="09AD4243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**$13,135,800</w:t>
            </w:r>
          </w:p>
        </w:tc>
        <w:tc>
          <w:tcPr>
            <w:tcW w:w="1778" w:type="dxa"/>
          </w:tcPr>
          <w:p w14:paraId="4FE0A63E" w14:textId="56D3B844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$16,407,400</w:t>
            </w:r>
          </w:p>
        </w:tc>
        <w:tc>
          <w:tcPr>
            <w:tcW w:w="1778" w:type="dxa"/>
          </w:tcPr>
          <w:p w14:paraId="7856719C" w14:textId="1350DDD3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$13,015,400</w:t>
            </w:r>
          </w:p>
        </w:tc>
        <w:tc>
          <w:tcPr>
            <w:tcW w:w="1778" w:type="dxa"/>
          </w:tcPr>
          <w:p w14:paraId="27516CC1" w14:textId="3069C932" w:rsidR="00973684" w:rsidRPr="00482DD7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73684" w14:paraId="5331301D" w14:textId="77777777" w:rsidTr="00310E40">
        <w:tc>
          <w:tcPr>
            <w:tcW w:w="2846" w:type="dxa"/>
          </w:tcPr>
          <w:p w14:paraId="11C4425A" w14:textId="6BBD6585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Income (Actual: Conference)</w:t>
            </w:r>
          </w:p>
        </w:tc>
        <w:tc>
          <w:tcPr>
            <w:tcW w:w="1782" w:type="dxa"/>
          </w:tcPr>
          <w:p w14:paraId="31322574" w14:textId="50F7FBE6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 w:rsidRPr="00594DFD">
              <w:rPr>
                <w:rFonts w:ascii="Arial" w:hAnsi="Arial" w:cs="Arial"/>
                <w:sz w:val="20"/>
              </w:rPr>
              <w:t>$20,587</w:t>
            </w:r>
          </w:p>
        </w:tc>
        <w:tc>
          <w:tcPr>
            <w:tcW w:w="1778" w:type="dxa"/>
          </w:tcPr>
          <w:p w14:paraId="6BD393CD" w14:textId="5487838A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-0-</w:t>
            </w:r>
          </w:p>
        </w:tc>
        <w:tc>
          <w:tcPr>
            <w:tcW w:w="1778" w:type="dxa"/>
          </w:tcPr>
          <w:p w14:paraId="2EDA164F" w14:textId="6DCE2EEE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-0-</w:t>
            </w:r>
          </w:p>
        </w:tc>
        <w:tc>
          <w:tcPr>
            <w:tcW w:w="1778" w:type="dxa"/>
          </w:tcPr>
          <w:p w14:paraId="7F96B1D5" w14:textId="62AEB04A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73684" w:rsidRPr="00C71865" w14:paraId="6908F5B5" w14:textId="77777777" w:rsidTr="00310E40">
        <w:tc>
          <w:tcPr>
            <w:tcW w:w="2846" w:type="dxa"/>
          </w:tcPr>
          <w:p w14:paraId="6429A9DF" w14:textId="30368DFA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Revenue (Dedicated Funds)</w:t>
            </w:r>
          </w:p>
        </w:tc>
        <w:tc>
          <w:tcPr>
            <w:tcW w:w="1782" w:type="dxa"/>
          </w:tcPr>
          <w:p w14:paraId="2D66BC22" w14:textId="72E5CE29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 w:rsidRPr="00594DFD"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t>344,560</w:t>
            </w:r>
          </w:p>
        </w:tc>
        <w:tc>
          <w:tcPr>
            <w:tcW w:w="1778" w:type="dxa"/>
          </w:tcPr>
          <w:p w14:paraId="594C424F" w14:textId="7522F985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$396,500</w:t>
            </w:r>
          </w:p>
        </w:tc>
        <w:tc>
          <w:tcPr>
            <w:tcW w:w="1778" w:type="dxa"/>
          </w:tcPr>
          <w:p w14:paraId="5D98C85C" w14:textId="59CB629E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 w:rsidRPr="00C71865">
              <w:rPr>
                <w:rFonts w:ascii="Arial" w:hAnsi="Arial" w:cs="Arial"/>
                <w:sz w:val="20"/>
              </w:rPr>
              <w:t>$334,200</w:t>
            </w:r>
          </w:p>
        </w:tc>
        <w:tc>
          <w:tcPr>
            <w:tcW w:w="1778" w:type="dxa"/>
          </w:tcPr>
          <w:p w14:paraId="494B4E55" w14:textId="0174B14D" w:rsidR="00973684" w:rsidRPr="00C71865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73684" w14:paraId="000DC841" w14:textId="77777777" w:rsidTr="00310E40">
        <w:tc>
          <w:tcPr>
            <w:tcW w:w="2846" w:type="dxa"/>
          </w:tcPr>
          <w:p w14:paraId="39FFBF0C" w14:textId="65A3831A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ARPA Stimulus Funds</w:t>
            </w:r>
          </w:p>
        </w:tc>
        <w:tc>
          <w:tcPr>
            <w:tcW w:w="1782" w:type="dxa"/>
          </w:tcPr>
          <w:p w14:paraId="23510BD3" w14:textId="2CEFCA7C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-0-</w:t>
            </w:r>
          </w:p>
        </w:tc>
        <w:tc>
          <w:tcPr>
            <w:tcW w:w="1778" w:type="dxa"/>
          </w:tcPr>
          <w:p w14:paraId="773F56AB" w14:textId="0637BCA9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$6,000,000</w:t>
            </w:r>
          </w:p>
        </w:tc>
        <w:tc>
          <w:tcPr>
            <w:tcW w:w="1778" w:type="dxa"/>
          </w:tcPr>
          <w:p w14:paraId="53ECE717" w14:textId="234D490F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$2,500,000</w:t>
            </w:r>
          </w:p>
        </w:tc>
        <w:tc>
          <w:tcPr>
            <w:tcW w:w="1778" w:type="dxa"/>
          </w:tcPr>
          <w:p w14:paraId="426A38B1" w14:textId="7A515583" w:rsidR="00973684" w:rsidRPr="00594DFD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73684" w14:paraId="1E160360" w14:textId="77777777" w:rsidTr="00310E40">
        <w:tc>
          <w:tcPr>
            <w:tcW w:w="2846" w:type="dxa"/>
          </w:tcPr>
          <w:p w14:paraId="7F879B8E" w14:textId="77777777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</w:tcPr>
          <w:p w14:paraId="1067919F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14:paraId="704A3E20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14:paraId="6B3E48C2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14:paraId="4F7A337C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73684" w14:paraId="60D9729A" w14:textId="77777777" w:rsidTr="00310E40">
        <w:tc>
          <w:tcPr>
            <w:tcW w:w="2846" w:type="dxa"/>
          </w:tcPr>
          <w:p w14:paraId="617616F7" w14:textId="77777777" w:rsidR="00973684" w:rsidRDefault="00973684" w:rsidP="00973684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782" w:type="dxa"/>
          </w:tcPr>
          <w:p w14:paraId="0A5BE577" w14:textId="65121149" w:rsidR="00973684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$13,517,447</w:t>
            </w:r>
          </w:p>
        </w:tc>
        <w:tc>
          <w:tcPr>
            <w:tcW w:w="1778" w:type="dxa"/>
          </w:tcPr>
          <w:p w14:paraId="027EB0A5" w14:textId="012E0766" w:rsidR="00973684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$23,121,000</w:t>
            </w:r>
          </w:p>
        </w:tc>
        <w:tc>
          <w:tcPr>
            <w:tcW w:w="1778" w:type="dxa"/>
          </w:tcPr>
          <w:p w14:paraId="514B5613" w14:textId="5DDE7A6B" w:rsidR="00973684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$16,185,200</w:t>
            </w:r>
          </w:p>
        </w:tc>
        <w:tc>
          <w:tcPr>
            <w:tcW w:w="1778" w:type="dxa"/>
          </w:tcPr>
          <w:p w14:paraId="5231F038" w14:textId="271B15FE" w:rsidR="00973684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73684" w14:paraId="490EADFD" w14:textId="77777777" w:rsidTr="00310E40">
        <w:tc>
          <w:tcPr>
            <w:tcW w:w="2846" w:type="dxa"/>
            <w:shd w:val="clear" w:color="auto" w:fill="000080"/>
          </w:tcPr>
          <w:p w14:paraId="110E6B1E" w14:textId="77777777" w:rsidR="00973684" w:rsidRDefault="00973684" w:rsidP="00973684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</w:t>
            </w:r>
          </w:p>
        </w:tc>
        <w:tc>
          <w:tcPr>
            <w:tcW w:w="1782" w:type="dxa"/>
            <w:shd w:val="clear" w:color="auto" w:fill="000080"/>
          </w:tcPr>
          <w:p w14:paraId="71302A53" w14:textId="6F1E01E2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2022</w:t>
            </w:r>
          </w:p>
        </w:tc>
        <w:tc>
          <w:tcPr>
            <w:tcW w:w="1778" w:type="dxa"/>
            <w:shd w:val="clear" w:color="auto" w:fill="000080"/>
          </w:tcPr>
          <w:p w14:paraId="5FD4967B" w14:textId="6D3B1D2E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2023</w:t>
            </w:r>
          </w:p>
        </w:tc>
        <w:tc>
          <w:tcPr>
            <w:tcW w:w="1778" w:type="dxa"/>
            <w:shd w:val="clear" w:color="auto" w:fill="000080"/>
          </w:tcPr>
          <w:p w14:paraId="799DCEE9" w14:textId="0FDB6513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2024</w:t>
            </w:r>
          </w:p>
        </w:tc>
        <w:tc>
          <w:tcPr>
            <w:tcW w:w="1778" w:type="dxa"/>
            <w:shd w:val="clear" w:color="auto" w:fill="000080"/>
          </w:tcPr>
          <w:p w14:paraId="3617C5DE" w14:textId="4574F41E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973684" w14:paraId="672C983B" w14:textId="77777777" w:rsidTr="00310E40">
        <w:tc>
          <w:tcPr>
            <w:tcW w:w="2846" w:type="dxa"/>
          </w:tcPr>
          <w:p w14:paraId="5335A2AB" w14:textId="03AF9B2E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Costs***</w:t>
            </w:r>
          </w:p>
        </w:tc>
        <w:tc>
          <w:tcPr>
            <w:tcW w:w="1782" w:type="dxa"/>
          </w:tcPr>
          <w:p w14:paraId="4BAE5934" w14:textId="0867AC60" w:rsidR="00973684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C444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527,900</w:t>
            </w:r>
          </w:p>
        </w:tc>
        <w:tc>
          <w:tcPr>
            <w:tcW w:w="1778" w:type="dxa"/>
          </w:tcPr>
          <w:p w14:paraId="7AA10CFC" w14:textId="0C4CA323" w:rsidR="00973684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$538,500</w:t>
            </w:r>
          </w:p>
        </w:tc>
        <w:tc>
          <w:tcPr>
            <w:tcW w:w="1778" w:type="dxa"/>
          </w:tcPr>
          <w:p w14:paraId="0F7C0B5F" w14:textId="731B3B65" w:rsidR="00973684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1865">
              <w:rPr>
                <w:rFonts w:ascii="Arial" w:hAnsi="Arial" w:cs="Arial"/>
                <w:sz w:val="20"/>
                <w:szCs w:val="20"/>
              </w:rPr>
              <w:t>$488,7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78" w:type="dxa"/>
          </w:tcPr>
          <w:p w14:paraId="24CCFDAD" w14:textId="687DF242" w:rsidR="00973684" w:rsidRPr="00C7186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18004017" w14:textId="77777777" w:rsidTr="00310E40">
        <w:tc>
          <w:tcPr>
            <w:tcW w:w="2846" w:type="dxa"/>
          </w:tcPr>
          <w:p w14:paraId="34D90D17" w14:textId="77777777" w:rsidR="00973684" w:rsidRPr="002C4447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 w:rsidRPr="002C4447"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782" w:type="dxa"/>
          </w:tcPr>
          <w:p w14:paraId="05D7F64A" w14:textId="20F694DB" w:rsidR="00973684" w:rsidRPr="002C444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447">
              <w:rPr>
                <w:rFonts w:ascii="Arial" w:hAnsi="Arial" w:cs="Arial"/>
                <w:sz w:val="20"/>
                <w:szCs w:val="20"/>
              </w:rPr>
              <w:t xml:space="preserve">       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128,300</w:t>
            </w:r>
          </w:p>
        </w:tc>
        <w:tc>
          <w:tcPr>
            <w:tcW w:w="1778" w:type="dxa"/>
          </w:tcPr>
          <w:p w14:paraId="49101A92" w14:textId="2EB952C7" w:rsidR="00973684" w:rsidRPr="002C444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$227,000</w:t>
            </w:r>
          </w:p>
        </w:tc>
        <w:tc>
          <w:tcPr>
            <w:tcW w:w="1778" w:type="dxa"/>
          </w:tcPr>
          <w:p w14:paraId="09D83AE5" w14:textId="16A95F22" w:rsidR="00973684" w:rsidRPr="002C444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1865">
              <w:rPr>
                <w:rFonts w:ascii="Arial" w:hAnsi="Arial" w:cs="Arial"/>
                <w:sz w:val="20"/>
                <w:szCs w:val="20"/>
              </w:rPr>
              <w:t>$151,4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78" w:type="dxa"/>
          </w:tcPr>
          <w:p w14:paraId="47580D3A" w14:textId="63DA70A5" w:rsidR="00973684" w:rsidRPr="00C7186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29F1B220" w14:textId="77777777" w:rsidTr="00310E40">
        <w:tc>
          <w:tcPr>
            <w:tcW w:w="2846" w:type="dxa"/>
          </w:tcPr>
          <w:p w14:paraId="5CA779E9" w14:textId="44C77CD3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782" w:type="dxa"/>
          </w:tcPr>
          <w:p w14:paraId="1FFCCB65" w14:textId="4C066B23" w:rsidR="00973684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6BA7">
              <w:rPr>
                <w:rFonts w:ascii="Arial" w:hAnsi="Arial" w:cs="Arial"/>
                <w:sz w:val="20"/>
                <w:szCs w:val="20"/>
              </w:rPr>
              <w:t xml:space="preserve">       $</w:t>
            </w:r>
            <w:r>
              <w:rPr>
                <w:rFonts w:ascii="Arial" w:hAnsi="Arial" w:cs="Arial"/>
                <w:sz w:val="20"/>
                <w:szCs w:val="20"/>
              </w:rPr>
              <w:t>11,122,300</w:t>
            </w:r>
          </w:p>
        </w:tc>
        <w:tc>
          <w:tcPr>
            <w:tcW w:w="1778" w:type="dxa"/>
          </w:tcPr>
          <w:p w14:paraId="40139CCF" w14:textId="2D48EC2B" w:rsidR="00973684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$12,644,900</w:t>
            </w:r>
          </w:p>
        </w:tc>
        <w:tc>
          <w:tcPr>
            <w:tcW w:w="1778" w:type="dxa"/>
          </w:tcPr>
          <w:p w14:paraId="4B73971A" w14:textId="6198E7EA" w:rsidR="00973684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1865">
              <w:rPr>
                <w:rFonts w:ascii="Arial" w:hAnsi="Arial" w:cs="Arial"/>
                <w:sz w:val="20"/>
                <w:szCs w:val="20"/>
              </w:rPr>
              <w:t>$10,933,0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78" w:type="dxa"/>
          </w:tcPr>
          <w:p w14:paraId="2C789B7C" w14:textId="6B9FBC07" w:rsidR="00973684" w:rsidRPr="00C7186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3DEC2B2A" w14:textId="77777777" w:rsidTr="00310E40">
        <w:tc>
          <w:tcPr>
            <w:tcW w:w="2846" w:type="dxa"/>
          </w:tcPr>
          <w:p w14:paraId="384B3371" w14:textId="4F231950" w:rsidR="00973684" w:rsidRDefault="00973684" w:rsidP="0097368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</w:tcPr>
          <w:p w14:paraId="38014A45" w14:textId="02854E8D" w:rsidR="00973684" w:rsidRPr="00536B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48B1934" w14:textId="5FF62F66" w:rsidR="00973684" w:rsidRPr="00536B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7529518" w14:textId="1B9C8DBC" w:rsidR="00973684" w:rsidRPr="00536B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62E6BDA" w14:textId="39E7905D" w:rsidR="00973684" w:rsidRPr="00C7186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035767E6" w14:textId="77777777" w:rsidTr="00310E40">
        <w:tc>
          <w:tcPr>
            <w:tcW w:w="2846" w:type="dxa"/>
          </w:tcPr>
          <w:p w14:paraId="2840C11A" w14:textId="77777777" w:rsidR="00973684" w:rsidRDefault="00973684" w:rsidP="00973684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782" w:type="dxa"/>
          </w:tcPr>
          <w:p w14:paraId="573CC9ED" w14:textId="76BB628D" w:rsidR="00973684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$</w:t>
            </w:r>
            <w:r>
              <w:rPr>
                <w:rFonts w:ascii="Arial" w:hAnsi="Arial" w:cs="Arial"/>
                <w:b/>
                <w:bCs/>
                <w:sz w:val="20"/>
              </w:rPr>
              <w:t>11,778,500</w:t>
            </w:r>
          </w:p>
        </w:tc>
        <w:tc>
          <w:tcPr>
            <w:tcW w:w="1778" w:type="dxa"/>
          </w:tcPr>
          <w:p w14:paraId="521B6DE0" w14:textId="0DC0AB8B" w:rsidR="00973684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$13,410,400</w:t>
            </w:r>
          </w:p>
        </w:tc>
        <w:tc>
          <w:tcPr>
            <w:tcW w:w="1778" w:type="dxa"/>
          </w:tcPr>
          <w:p w14:paraId="01530FFB" w14:textId="3381B1C3" w:rsidR="00973684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865">
              <w:rPr>
                <w:rFonts w:ascii="Arial" w:hAnsi="Arial" w:cs="Arial"/>
                <w:b/>
                <w:bCs/>
                <w:sz w:val="20"/>
                <w:szCs w:val="20"/>
              </w:rPr>
              <w:t>$11,573,1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78" w:type="dxa"/>
          </w:tcPr>
          <w:p w14:paraId="6A98CF59" w14:textId="0023AC6B" w:rsidR="00973684" w:rsidRPr="00C71865" w:rsidRDefault="00973684" w:rsidP="009736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B3983F9" w14:textId="2BF42A80" w:rsidR="00385DB1" w:rsidRDefault="00CE55A0" w:rsidP="00436363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t xml:space="preserve">  </w:t>
      </w:r>
      <w:r w:rsidRPr="00D7740E">
        <w:rPr>
          <w:rFonts w:ascii="Arial" w:hAnsi="Arial" w:cs="Arial"/>
          <w:noProof/>
          <w:sz w:val="20"/>
          <w:szCs w:val="20"/>
        </w:rPr>
        <w:t>*</w:t>
      </w:r>
      <w:r w:rsidR="00D7740E" w:rsidRPr="00D7740E">
        <w:rPr>
          <w:rFonts w:ascii="Arial" w:hAnsi="Arial" w:cs="Arial"/>
          <w:noProof/>
          <w:sz w:val="20"/>
          <w:szCs w:val="20"/>
        </w:rPr>
        <w:t>Plus a one-time $30,000 appropriation for a Missing and Murdered Indigenous Persons report</w:t>
      </w:r>
    </w:p>
    <w:p w14:paraId="510F3BE1" w14:textId="02E0EE29" w:rsidR="00D7740E" w:rsidRDefault="00D7740E" w:rsidP="00436363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*</w:t>
      </w:r>
      <w:r w:rsidRPr="00D7740E">
        <w:rPr>
          <w:rFonts w:ascii="Arial" w:hAnsi="Arial" w:cs="Arial"/>
          <w:noProof/>
          <w:sz w:val="20"/>
          <w:szCs w:val="20"/>
        </w:rPr>
        <w:t>*Plus</w:t>
      </w:r>
      <w:r>
        <w:rPr>
          <w:rFonts w:ascii="Arial" w:hAnsi="Arial" w:cs="Arial"/>
          <w:noProof/>
          <w:sz w:val="20"/>
          <w:szCs w:val="20"/>
        </w:rPr>
        <w:t xml:space="preserve"> a one-time $2,000 appropriation for equipment for a new FTE</w:t>
      </w:r>
    </w:p>
    <w:p w14:paraId="428DD992" w14:textId="2B98DA97" w:rsidR="00ED56D7" w:rsidRPr="000E1FDD" w:rsidRDefault="00D7740E" w:rsidP="000E1FDD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**</w:t>
      </w:r>
      <w:r w:rsidRPr="00D7740E">
        <w:rPr>
          <w:rFonts w:ascii="Arial" w:hAnsi="Arial" w:cs="Arial"/>
          <w:noProof/>
          <w:sz w:val="20"/>
          <w:szCs w:val="20"/>
        </w:rPr>
        <w:t>*</w:t>
      </w:r>
      <w:r>
        <w:rPr>
          <w:rFonts w:ascii="Arial" w:hAnsi="Arial" w:cs="Arial"/>
          <w:noProof/>
          <w:sz w:val="20"/>
          <w:szCs w:val="20"/>
        </w:rPr>
        <w:t>FY21 5 FTE; FY22</w:t>
      </w:r>
      <w:r w:rsidR="004F7A39">
        <w:rPr>
          <w:rFonts w:ascii="Arial" w:hAnsi="Arial" w:cs="Arial"/>
          <w:noProof/>
          <w:sz w:val="20"/>
          <w:szCs w:val="20"/>
        </w:rPr>
        <w:t xml:space="preserve"> </w:t>
      </w:r>
      <w:r w:rsidR="001B2AF7">
        <w:rPr>
          <w:rFonts w:ascii="Arial" w:hAnsi="Arial" w:cs="Arial"/>
          <w:noProof/>
          <w:sz w:val="20"/>
          <w:szCs w:val="20"/>
        </w:rPr>
        <w:t xml:space="preserve">- </w:t>
      </w:r>
      <w:r w:rsidR="004F7A39">
        <w:rPr>
          <w:rFonts w:ascii="Arial" w:hAnsi="Arial" w:cs="Arial"/>
          <w:noProof/>
          <w:sz w:val="20"/>
          <w:szCs w:val="20"/>
        </w:rPr>
        <w:t>FY2</w:t>
      </w:r>
      <w:r w:rsidR="001B2AF7">
        <w:rPr>
          <w:rFonts w:ascii="Arial" w:hAnsi="Arial" w:cs="Arial"/>
          <w:noProof/>
          <w:sz w:val="20"/>
          <w:szCs w:val="20"/>
        </w:rPr>
        <w:t>4</w:t>
      </w:r>
      <w:r>
        <w:rPr>
          <w:rFonts w:ascii="Arial" w:hAnsi="Arial" w:cs="Arial"/>
          <w:noProof/>
          <w:sz w:val="20"/>
          <w:szCs w:val="20"/>
        </w:rPr>
        <w:t xml:space="preserve"> 6 FTE</w:t>
      </w:r>
    </w:p>
    <w:p w14:paraId="7888C1BE" w14:textId="35456704" w:rsidR="00BC4B72" w:rsidRDefault="00BC4B72" w:rsidP="00982493">
      <w:pPr>
        <w:ind w:left="180"/>
        <w:jc w:val="both"/>
        <w:rPr>
          <w:rFonts w:ascii="Arial" w:hAnsi="Arial" w:cs="Arial"/>
          <w:b/>
          <w:bCs/>
        </w:rPr>
      </w:pPr>
      <w:r w:rsidRPr="002C4447">
        <w:rPr>
          <w:rFonts w:ascii="Arial" w:hAnsi="Arial" w:cs="Arial"/>
          <w:b/>
          <w:bCs/>
        </w:rPr>
        <w:lastRenderedPageBreak/>
        <w:t>Profile of Cases Managed and/or Key Services Provided</w:t>
      </w:r>
    </w:p>
    <w:p w14:paraId="724CAE86" w14:textId="77777777" w:rsidR="00982493" w:rsidRPr="00967829" w:rsidRDefault="00982493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6"/>
        <w:gridCol w:w="1544"/>
        <w:gridCol w:w="1544"/>
        <w:gridCol w:w="1544"/>
        <w:gridCol w:w="1544"/>
      </w:tblGrid>
      <w:tr w:rsidR="00973684" w14:paraId="573959B6" w14:textId="77777777" w:rsidTr="00231325">
        <w:tc>
          <w:tcPr>
            <w:tcW w:w="3786" w:type="dxa"/>
            <w:shd w:val="clear" w:color="auto" w:fill="000080"/>
          </w:tcPr>
          <w:p w14:paraId="317D9182" w14:textId="77777777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544" w:type="dxa"/>
            <w:shd w:val="clear" w:color="auto" w:fill="000080"/>
          </w:tcPr>
          <w:p w14:paraId="7D4A434C" w14:textId="791F14CE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2022</w:t>
            </w:r>
          </w:p>
        </w:tc>
        <w:tc>
          <w:tcPr>
            <w:tcW w:w="1544" w:type="dxa"/>
            <w:shd w:val="clear" w:color="auto" w:fill="000080"/>
          </w:tcPr>
          <w:p w14:paraId="41F849E1" w14:textId="7268BDCA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2023</w:t>
            </w:r>
          </w:p>
        </w:tc>
        <w:tc>
          <w:tcPr>
            <w:tcW w:w="1544" w:type="dxa"/>
            <w:shd w:val="clear" w:color="auto" w:fill="000080"/>
          </w:tcPr>
          <w:p w14:paraId="7372F411" w14:textId="114EDD46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2024</w:t>
            </w:r>
          </w:p>
        </w:tc>
        <w:tc>
          <w:tcPr>
            <w:tcW w:w="1544" w:type="dxa"/>
            <w:shd w:val="clear" w:color="auto" w:fill="000080"/>
          </w:tcPr>
          <w:p w14:paraId="4CB858F4" w14:textId="17BF2039" w:rsidR="00973684" w:rsidRDefault="00973684" w:rsidP="0097368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    FY 2025</w:t>
            </w:r>
          </w:p>
        </w:tc>
      </w:tr>
      <w:tr w:rsidR="00973684" w14:paraId="3DDCC443" w14:textId="77777777" w:rsidTr="00231325">
        <w:trPr>
          <w:trHeight w:val="153"/>
        </w:trPr>
        <w:tc>
          <w:tcPr>
            <w:tcW w:w="3786" w:type="dxa"/>
          </w:tcPr>
          <w:p w14:paraId="4E33897C" w14:textId="194CEE0E" w:rsidR="00973684" w:rsidRPr="00B515C4" w:rsidRDefault="00973684" w:rsidP="00973684">
            <w:pPr>
              <w:rPr>
                <w:rFonts w:ascii="Arial" w:hAnsi="Arial" w:cs="Arial"/>
                <w:b/>
                <w:bCs/>
                <w:sz w:val="20"/>
              </w:rPr>
            </w:pPr>
            <w:r w:rsidRPr="00B515C4">
              <w:rPr>
                <w:rFonts w:ascii="Arial" w:hAnsi="Arial" w:cs="Arial"/>
                <w:b/>
                <w:bCs/>
                <w:sz w:val="20"/>
              </w:rPr>
              <w:t>Use of Grant Funds</w:t>
            </w:r>
          </w:p>
        </w:tc>
        <w:tc>
          <w:tcPr>
            <w:tcW w:w="1544" w:type="dxa"/>
          </w:tcPr>
          <w:p w14:paraId="2A2E493E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</w:tcPr>
          <w:p w14:paraId="4CBC9847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</w:tcPr>
          <w:p w14:paraId="7A2AC3F1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</w:tcPr>
          <w:p w14:paraId="55ABE0D2" w14:textId="77777777" w:rsidR="00973684" w:rsidRDefault="00973684" w:rsidP="0097368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73684" w:rsidRPr="00A2531C" w14:paraId="37E0C2B8" w14:textId="77777777" w:rsidTr="004E62C5">
        <w:trPr>
          <w:trHeight w:val="288"/>
        </w:trPr>
        <w:tc>
          <w:tcPr>
            <w:tcW w:w="3786" w:type="dxa"/>
          </w:tcPr>
          <w:p w14:paraId="59620E5D" w14:textId="6B27194F" w:rsidR="00973684" w:rsidRPr="001E2C78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VOCA (Victims of Crime)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Subawarded</w:t>
            </w:r>
            <w:proofErr w:type="spellEnd"/>
          </w:p>
        </w:tc>
        <w:tc>
          <w:tcPr>
            <w:tcW w:w="1544" w:type="dxa"/>
          </w:tcPr>
          <w:p w14:paraId="21CDDF54" w14:textId="5F86DC79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$12,744,476</w:t>
            </w:r>
          </w:p>
        </w:tc>
        <w:tc>
          <w:tcPr>
            <w:tcW w:w="1544" w:type="dxa"/>
          </w:tcPr>
          <w:p w14:paraId="71FD4F50" w14:textId="53C4F415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$3,335,243</w:t>
            </w:r>
          </w:p>
        </w:tc>
        <w:tc>
          <w:tcPr>
            <w:tcW w:w="1544" w:type="dxa"/>
          </w:tcPr>
          <w:p w14:paraId="1DD899F0" w14:textId="45D4B992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$6,623,978</w:t>
            </w:r>
          </w:p>
        </w:tc>
        <w:tc>
          <w:tcPr>
            <w:tcW w:w="1544" w:type="dxa"/>
          </w:tcPr>
          <w:p w14:paraId="199658FE" w14:textId="78A3420C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7A9B2C6F" w14:textId="77777777" w:rsidTr="004E62C5">
        <w:trPr>
          <w:trHeight w:val="90"/>
        </w:trPr>
        <w:tc>
          <w:tcPr>
            <w:tcW w:w="3786" w:type="dxa"/>
          </w:tcPr>
          <w:p w14:paraId="449ADA65" w14:textId="732446D3" w:rsidR="00973684" w:rsidRPr="00A2531C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of VOCA Subawards to Programs</w:t>
            </w:r>
          </w:p>
        </w:tc>
        <w:tc>
          <w:tcPr>
            <w:tcW w:w="1544" w:type="dxa"/>
          </w:tcPr>
          <w:p w14:paraId="03B92E76" w14:textId="082483D8" w:rsidR="00973684" w:rsidRPr="005865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5A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44" w:type="dxa"/>
          </w:tcPr>
          <w:p w14:paraId="72380934" w14:textId="7BE298C2" w:rsidR="00973684" w:rsidRPr="005865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44" w:type="dxa"/>
          </w:tcPr>
          <w:p w14:paraId="6AC613C3" w14:textId="3F0B3985" w:rsidR="00973684" w:rsidRPr="005865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BF1140E" w14:textId="0A47A871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4132626F" w14:textId="77777777" w:rsidTr="004E62C5">
        <w:trPr>
          <w:trHeight w:val="260"/>
        </w:trPr>
        <w:tc>
          <w:tcPr>
            <w:tcW w:w="3786" w:type="dxa"/>
          </w:tcPr>
          <w:p w14:paraId="2E0485E0" w14:textId="02C0C228" w:rsidR="00973684" w:rsidRPr="00705FE6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FVPSA (Family Violence)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Subawarded</w:t>
            </w:r>
            <w:proofErr w:type="spellEnd"/>
          </w:p>
        </w:tc>
        <w:tc>
          <w:tcPr>
            <w:tcW w:w="1544" w:type="dxa"/>
          </w:tcPr>
          <w:p w14:paraId="7E90BD69" w14:textId="24AFAC46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$1,086,993</w:t>
            </w:r>
          </w:p>
        </w:tc>
        <w:tc>
          <w:tcPr>
            <w:tcW w:w="1544" w:type="dxa"/>
          </w:tcPr>
          <w:p w14:paraId="11BF5996" w14:textId="0270B65A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$1,032,437</w:t>
            </w:r>
          </w:p>
        </w:tc>
        <w:tc>
          <w:tcPr>
            <w:tcW w:w="1544" w:type="dxa"/>
          </w:tcPr>
          <w:p w14:paraId="74DC8D74" w14:textId="391041A9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$1,047,962</w:t>
            </w:r>
          </w:p>
        </w:tc>
        <w:tc>
          <w:tcPr>
            <w:tcW w:w="1544" w:type="dxa"/>
            <w:shd w:val="clear" w:color="auto" w:fill="auto"/>
          </w:tcPr>
          <w:p w14:paraId="4C2BA3A9" w14:textId="09E68DF6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54698E66" w14:textId="77777777" w:rsidTr="004E62C5">
        <w:trPr>
          <w:trHeight w:val="296"/>
        </w:trPr>
        <w:tc>
          <w:tcPr>
            <w:tcW w:w="3786" w:type="dxa"/>
          </w:tcPr>
          <w:p w14:paraId="44F72693" w14:textId="16A86BF5" w:rsidR="00973684" w:rsidRPr="00A2531C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FVPSA Subawards</w:t>
            </w:r>
          </w:p>
        </w:tc>
        <w:tc>
          <w:tcPr>
            <w:tcW w:w="1544" w:type="dxa"/>
          </w:tcPr>
          <w:p w14:paraId="588F9E9B" w14:textId="6C3D6CAE" w:rsidR="00973684" w:rsidRPr="005865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5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4" w:type="dxa"/>
          </w:tcPr>
          <w:p w14:paraId="18C48BE9" w14:textId="0B7F48E6" w:rsidR="00973684" w:rsidRPr="005865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44" w:type="dxa"/>
          </w:tcPr>
          <w:p w14:paraId="473816D4" w14:textId="2D1C526F" w:rsidR="00973684" w:rsidRPr="005865A7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44" w:type="dxa"/>
          </w:tcPr>
          <w:p w14:paraId="4DD08ACC" w14:textId="5AB72CF5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767F261A" w14:textId="77777777" w:rsidTr="004E62C5">
        <w:tc>
          <w:tcPr>
            <w:tcW w:w="3786" w:type="dxa"/>
          </w:tcPr>
          <w:p w14:paraId="7088B42C" w14:textId="44E23F8D" w:rsidR="00973684" w:rsidRPr="00A2531C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Dedicated DV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Subawarded</w:t>
            </w:r>
            <w:proofErr w:type="spellEnd"/>
          </w:p>
        </w:tc>
        <w:tc>
          <w:tcPr>
            <w:tcW w:w="1544" w:type="dxa"/>
          </w:tcPr>
          <w:p w14:paraId="4774E303" w14:textId="53235707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$214,751</w:t>
            </w:r>
          </w:p>
        </w:tc>
        <w:tc>
          <w:tcPr>
            <w:tcW w:w="1544" w:type="dxa"/>
          </w:tcPr>
          <w:p w14:paraId="6A35BAA3" w14:textId="0DCE9923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$259,464</w:t>
            </w:r>
          </w:p>
        </w:tc>
        <w:tc>
          <w:tcPr>
            <w:tcW w:w="1544" w:type="dxa"/>
          </w:tcPr>
          <w:p w14:paraId="2A45E32C" w14:textId="49D59547" w:rsidR="00973684" w:rsidRDefault="00973684" w:rsidP="0097368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$245,210</w:t>
            </w:r>
          </w:p>
        </w:tc>
        <w:tc>
          <w:tcPr>
            <w:tcW w:w="1544" w:type="dxa"/>
          </w:tcPr>
          <w:p w14:paraId="5628CE4C" w14:textId="697AE85E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45F7A856" w14:textId="77777777" w:rsidTr="004E62C5">
        <w:tc>
          <w:tcPr>
            <w:tcW w:w="3786" w:type="dxa"/>
          </w:tcPr>
          <w:p w14:paraId="41651CC9" w14:textId="6ABA59B5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Dedicated DV Subawards</w:t>
            </w:r>
          </w:p>
        </w:tc>
        <w:tc>
          <w:tcPr>
            <w:tcW w:w="1544" w:type="dxa"/>
          </w:tcPr>
          <w:p w14:paraId="5F0E1127" w14:textId="418FA2CB" w:rsidR="00973684" w:rsidRPr="009013B8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44" w:type="dxa"/>
          </w:tcPr>
          <w:p w14:paraId="39B4DF9B" w14:textId="3E650DAD" w:rsidR="00973684" w:rsidRPr="009013B8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44" w:type="dxa"/>
          </w:tcPr>
          <w:p w14:paraId="6AF3205D" w14:textId="45CA8E13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44" w:type="dxa"/>
          </w:tcPr>
          <w:p w14:paraId="0C2D6E93" w14:textId="75BA23ED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45033153" w14:textId="77777777" w:rsidTr="004E62C5">
        <w:tc>
          <w:tcPr>
            <w:tcW w:w="3786" w:type="dxa"/>
          </w:tcPr>
          <w:p w14:paraId="171C1EAD" w14:textId="5A1AA4F1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Supp. One-Time Funds Awarded</w:t>
            </w:r>
          </w:p>
        </w:tc>
        <w:tc>
          <w:tcPr>
            <w:tcW w:w="1544" w:type="dxa"/>
          </w:tcPr>
          <w:p w14:paraId="2CD19EFA" w14:textId="0B372912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$1,694,781</w:t>
            </w:r>
          </w:p>
        </w:tc>
        <w:tc>
          <w:tcPr>
            <w:tcW w:w="1544" w:type="dxa"/>
          </w:tcPr>
          <w:p w14:paraId="00CCA548" w14:textId="5E2F60F8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$7,351,149</w:t>
            </w:r>
          </w:p>
        </w:tc>
        <w:tc>
          <w:tcPr>
            <w:tcW w:w="1544" w:type="dxa"/>
          </w:tcPr>
          <w:p w14:paraId="45ED6112" w14:textId="5AA7E43B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$3,376,808</w:t>
            </w:r>
          </w:p>
        </w:tc>
        <w:tc>
          <w:tcPr>
            <w:tcW w:w="1544" w:type="dxa"/>
          </w:tcPr>
          <w:p w14:paraId="3EB1C5EF" w14:textId="445E0A0D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57FD1B02" w14:textId="77777777" w:rsidTr="004E62C5">
        <w:tc>
          <w:tcPr>
            <w:tcW w:w="3786" w:type="dxa"/>
          </w:tcPr>
          <w:p w14:paraId="38A1AE57" w14:textId="12234655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Supplemental One-Time Subawards</w:t>
            </w:r>
          </w:p>
        </w:tc>
        <w:tc>
          <w:tcPr>
            <w:tcW w:w="1544" w:type="dxa"/>
          </w:tcPr>
          <w:p w14:paraId="2DAA0943" w14:textId="6A589E16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44" w:type="dxa"/>
          </w:tcPr>
          <w:p w14:paraId="6F321805" w14:textId="64B5A827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44" w:type="dxa"/>
          </w:tcPr>
          <w:p w14:paraId="6FD058FF" w14:textId="2800CB2B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44" w:type="dxa"/>
          </w:tcPr>
          <w:p w14:paraId="26F31F1B" w14:textId="7C2435FF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55E2769F" w14:textId="77777777" w:rsidTr="004E62C5">
        <w:tc>
          <w:tcPr>
            <w:tcW w:w="3786" w:type="dxa"/>
          </w:tcPr>
          <w:p w14:paraId="2314329C" w14:textId="27F8DB89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Jobs funded (whole or in part) by ICDVVA grants awarded</w:t>
            </w:r>
          </w:p>
        </w:tc>
        <w:tc>
          <w:tcPr>
            <w:tcW w:w="1544" w:type="dxa"/>
          </w:tcPr>
          <w:p w14:paraId="58E645A4" w14:textId="3E34CB68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13B8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544" w:type="dxa"/>
          </w:tcPr>
          <w:p w14:paraId="150A7C8C" w14:textId="0A6C2C14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C5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544" w:type="dxa"/>
          </w:tcPr>
          <w:p w14:paraId="4E58C3C7" w14:textId="72E39FD4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544" w:type="dxa"/>
          </w:tcPr>
          <w:p w14:paraId="3E5B769F" w14:textId="03AEB0F6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0573E1DC" w14:textId="77777777" w:rsidTr="004E62C5">
        <w:tc>
          <w:tcPr>
            <w:tcW w:w="3786" w:type="dxa"/>
          </w:tcPr>
          <w:p w14:paraId="1C688EDA" w14:textId="1310E6C8" w:rsidR="00973684" w:rsidRPr="00B515C4" w:rsidRDefault="00973684" w:rsidP="0097368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Efficiency and Operations</w:t>
            </w:r>
          </w:p>
        </w:tc>
        <w:tc>
          <w:tcPr>
            <w:tcW w:w="1544" w:type="dxa"/>
          </w:tcPr>
          <w:p w14:paraId="723CF50B" w14:textId="5C15C933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7919B83" w14:textId="4AD48FBB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1807B574" w14:textId="579AC97B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7AC8D3D7" w14:textId="683057A3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2065D6E6" w14:textId="77777777" w:rsidTr="004E62C5">
        <w:tc>
          <w:tcPr>
            <w:tcW w:w="3786" w:type="dxa"/>
          </w:tcPr>
          <w:p w14:paraId="5D4FE861" w14:textId="191E7653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Reimbursements processed within 30 days of ICDV receipt </w:t>
            </w:r>
          </w:p>
        </w:tc>
        <w:tc>
          <w:tcPr>
            <w:tcW w:w="1544" w:type="dxa"/>
          </w:tcPr>
          <w:p w14:paraId="5D92CA52" w14:textId="7FA0B5E2" w:rsidR="00973684" w:rsidRPr="00924D9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C31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  <w:tc>
          <w:tcPr>
            <w:tcW w:w="1544" w:type="dxa"/>
          </w:tcPr>
          <w:p w14:paraId="63689A02" w14:textId="536E9CD5" w:rsidR="00973684" w:rsidRPr="00924D9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1544" w:type="dxa"/>
          </w:tcPr>
          <w:p w14:paraId="3EE91FFC" w14:textId="5583696D" w:rsidR="00973684" w:rsidRPr="008D2C31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77%</w:t>
            </w:r>
          </w:p>
        </w:tc>
        <w:tc>
          <w:tcPr>
            <w:tcW w:w="1544" w:type="dxa"/>
          </w:tcPr>
          <w:p w14:paraId="107CD78C" w14:textId="3C358931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A2531C" w14:paraId="42DF6857" w14:textId="77777777" w:rsidTr="004E62C5">
        <w:tc>
          <w:tcPr>
            <w:tcW w:w="3786" w:type="dxa"/>
          </w:tcPr>
          <w:p w14:paraId="57474C95" w14:textId="720506AE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Of funded programs monitored</w:t>
            </w:r>
          </w:p>
        </w:tc>
        <w:tc>
          <w:tcPr>
            <w:tcW w:w="1544" w:type="dxa"/>
          </w:tcPr>
          <w:p w14:paraId="6551D2BC" w14:textId="48CBC537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44" w:type="dxa"/>
          </w:tcPr>
          <w:p w14:paraId="0F0E51A3" w14:textId="4C599C9B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44" w:type="dxa"/>
          </w:tcPr>
          <w:p w14:paraId="335E9DCD" w14:textId="24D9C70B" w:rsidR="00973684" w:rsidRPr="00C1093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4" w:type="dxa"/>
          </w:tcPr>
          <w:p w14:paraId="4FD8952B" w14:textId="259A2845" w:rsidR="00973684" w:rsidRPr="004E62C5" w:rsidRDefault="00973684" w:rsidP="009736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CA4BB7" w14:textId="77777777" w:rsidR="00FF58C6" w:rsidRPr="00967829" w:rsidRDefault="00FF58C6">
      <w:pPr>
        <w:rPr>
          <w:rFonts w:ascii="Arial" w:hAnsi="Arial" w:cs="Arial"/>
          <w:sz w:val="18"/>
          <w:szCs w:val="18"/>
        </w:rPr>
      </w:pPr>
    </w:p>
    <w:p w14:paraId="30C76ADF" w14:textId="6131CBD0" w:rsidR="005B3FD6" w:rsidRDefault="005720DB" w:rsidP="00982493">
      <w:pPr>
        <w:ind w:lef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FY 2024</w:t>
      </w:r>
      <w:r w:rsidR="00130C52">
        <w:rPr>
          <w:rFonts w:ascii="Arial" w:hAnsi="Arial" w:cs="Arial"/>
          <w:b/>
          <w:bCs/>
        </w:rPr>
        <w:t xml:space="preserve"> </w:t>
      </w:r>
      <w:r w:rsidR="00BC4B72">
        <w:rPr>
          <w:rFonts w:ascii="Arial" w:hAnsi="Arial" w:cs="Arial"/>
          <w:b/>
          <w:bCs/>
        </w:rPr>
        <w:t>Performance Highlights</w:t>
      </w:r>
    </w:p>
    <w:p w14:paraId="3AC75793" w14:textId="77777777" w:rsidR="00982493" w:rsidRPr="00967829" w:rsidRDefault="00982493" w:rsidP="00982493">
      <w:pPr>
        <w:ind w:left="90"/>
        <w:jc w:val="both"/>
        <w:rPr>
          <w:rFonts w:ascii="Arial" w:hAnsi="Arial" w:cs="Arial"/>
          <w:b/>
          <w:bCs/>
          <w:sz w:val="18"/>
          <w:szCs w:val="18"/>
        </w:rPr>
      </w:pPr>
    </w:p>
    <w:p w14:paraId="6D5BBA1C" w14:textId="3FBBB262" w:rsidR="0020407C" w:rsidRDefault="008A174E" w:rsidP="00982493">
      <w:pPr>
        <w:ind w:left="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ICDVVA</w:t>
      </w:r>
      <w:r w:rsidR="00FD210C">
        <w:rPr>
          <w:rFonts w:ascii="Arial" w:hAnsi="Arial" w:cs="Arial"/>
          <w:sz w:val="20"/>
        </w:rPr>
        <w:t xml:space="preserve"> </w:t>
      </w:r>
      <w:r w:rsidR="004D1EA4">
        <w:rPr>
          <w:rFonts w:ascii="Arial" w:hAnsi="Arial" w:cs="Arial"/>
          <w:sz w:val="20"/>
        </w:rPr>
        <w:t>hosted</w:t>
      </w:r>
      <w:r w:rsidR="00601D5B">
        <w:rPr>
          <w:rFonts w:ascii="Arial" w:hAnsi="Arial" w:cs="Arial"/>
          <w:sz w:val="20"/>
        </w:rPr>
        <w:t xml:space="preserve"> three</w:t>
      </w:r>
      <w:r w:rsidR="004D1EA4">
        <w:rPr>
          <w:rFonts w:ascii="Arial" w:hAnsi="Arial" w:cs="Arial"/>
          <w:sz w:val="20"/>
        </w:rPr>
        <w:t xml:space="preserve"> Regional Roundtables with funded programs, partner agencies, and key stakeholders </w:t>
      </w:r>
      <w:r w:rsidR="00BD09B2">
        <w:rPr>
          <w:rFonts w:ascii="Arial" w:hAnsi="Arial" w:cs="Arial"/>
          <w:sz w:val="20"/>
        </w:rPr>
        <w:t>to</w:t>
      </w:r>
      <w:r w:rsidR="004D1EA4">
        <w:rPr>
          <w:rFonts w:ascii="Arial" w:hAnsi="Arial" w:cs="Arial"/>
          <w:sz w:val="20"/>
        </w:rPr>
        <w:t xml:space="preserve"> provide </w:t>
      </w:r>
      <w:r w:rsidR="00601D5B">
        <w:rPr>
          <w:rFonts w:ascii="Arial" w:hAnsi="Arial" w:cs="Arial"/>
          <w:sz w:val="20"/>
        </w:rPr>
        <w:t>language access</w:t>
      </w:r>
      <w:r w:rsidR="004D1EA4">
        <w:rPr>
          <w:rFonts w:ascii="Arial" w:hAnsi="Arial" w:cs="Arial"/>
          <w:sz w:val="20"/>
        </w:rPr>
        <w:t xml:space="preserve"> training and discuss </w:t>
      </w:r>
      <w:r w:rsidR="007B4290">
        <w:rPr>
          <w:rFonts w:ascii="Arial" w:hAnsi="Arial" w:cs="Arial"/>
          <w:sz w:val="20"/>
        </w:rPr>
        <w:t xml:space="preserve">victimization data, trends, and </w:t>
      </w:r>
      <w:r w:rsidR="002149BF">
        <w:rPr>
          <w:rFonts w:ascii="Arial" w:hAnsi="Arial" w:cs="Arial"/>
          <w:sz w:val="20"/>
        </w:rPr>
        <w:t>service</w:t>
      </w:r>
      <w:r w:rsidR="007B4290">
        <w:rPr>
          <w:rFonts w:ascii="Arial" w:hAnsi="Arial" w:cs="Arial"/>
          <w:sz w:val="20"/>
        </w:rPr>
        <w:t xml:space="preserve"> needs.</w:t>
      </w:r>
      <w:r w:rsidR="00967829">
        <w:rPr>
          <w:rFonts w:ascii="Arial" w:hAnsi="Arial" w:cs="Arial"/>
          <w:sz w:val="20"/>
        </w:rPr>
        <w:t xml:space="preserve"> </w:t>
      </w:r>
      <w:r w:rsidR="004D1EA4">
        <w:rPr>
          <w:rFonts w:ascii="Arial" w:hAnsi="Arial" w:cs="Arial"/>
          <w:sz w:val="20"/>
        </w:rPr>
        <w:t xml:space="preserve">ICDVVA </w:t>
      </w:r>
      <w:r w:rsidR="00601D5B">
        <w:rPr>
          <w:rFonts w:ascii="Arial" w:hAnsi="Arial" w:cs="Arial"/>
          <w:sz w:val="20"/>
        </w:rPr>
        <w:t>utilized</w:t>
      </w:r>
      <w:r w:rsidR="004D1EA4">
        <w:rPr>
          <w:rFonts w:ascii="Arial" w:hAnsi="Arial" w:cs="Arial"/>
          <w:sz w:val="20"/>
        </w:rPr>
        <w:t xml:space="preserve"> a </w:t>
      </w:r>
      <w:r w:rsidR="007B4290">
        <w:rPr>
          <w:rFonts w:ascii="Arial" w:hAnsi="Arial" w:cs="Arial"/>
          <w:sz w:val="20"/>
        </w:rPr>
        <w:t>$500</w:t>
      </w:r>
      <w:r w:rsidR="000A418F">
        <w:rPr>
          <w:rFonts w:ascii="Arial" w:hAnsi="Arial" w:cs="Arial"/>
          <w:sz w:val="20"/>
        </w:rPr>
        <w:t>K</w:t>
      </w:r>
      <w:r w:rsidR="007B4290">
        <w:rPr>
          <w:rFonts w:ascii="Arial" w:hAnsi="Arial" w:cs="Arial"/>
          <w:sz w:val="20"/>
        </w:rPr>
        <w:t xml:space="preserve"> federal</w:t>
      </w:r>
      <w:r w:rsidR="004D1EA4">
        <w:rPr>
          <w:rFonts w:ascii="Arial" w:hAnsi="Arial" w:cs="Arial"/>
          <w:sz w:val="20"/>
        </w:rPr>
        <w:t xml:space="preserve"> </w:t>
      </w:r>
      <w:r w:rsidR="007B4290">
        <w:rPr>
          <w:rFonts w:ascii="Arial" w:hAnsi="Arial" w:cs="Arial"/>
          <w:sz w:val="20"/>
        </w:rPr>
        <w:t>award</w:t>
      </w:r>
      <w:r w:rsidR="004D1EA4">
        <w:rPr>
          <w:rFonts w:ascii="Arial" w:hAnsi="Arial" w:cs="Arial"/>
          <w:sz w:val="20"/>
        </w:rPr>
        <w:t xml:space="preserve"> </w:t>
      </w:r>
      <w:r w:rsidR="000C4667">
        <w:rPr>
          <w:rFonts w:ascii="Arial" w:hAnsi="Arial" w:cs="Arial"/>
          <w:sz w:val="20"/>
        </w:rPr>
        <w:t xml:space="preserve">for a grant management system and </w:t>
      </w:r>
      <w:r w:rsidR="007B4290">
        <w:rPr>
          <w:rFonts w:ascii="Arial" w:hAnsi="Arial" w:cs="Arial"/>
          <w:sz w:val="20"/>
        </w:rPr>
        <w:t>partner</w:t>
      </w:r>
      <w:r w:rsidR="000C4667">
        <w:rPr>
          <w:rFonts w:ascii="Arial" w:hAnsi="Arial" w:cs="Arial"/>
          <w:sz w:val="20"/>
        </w:rPr>
        <w:t>ed</w:t>
      </w:r>
      <w:r w:rsidR="007B4290">
        <w:rPr>
          <w:rFonts w:ascii="Arial" w:hAnsi="Arial" w:cs="Arial"/>
          <w:sz w:val="20"/>
        </w:rPr>
        <w:t xml:space="preserve"> </w:t>
      </w:r>
      <w:r w:rsidR="004D1EA4">
        <w:rPr>
          <w:rFonts w:ascii="Arial" w:hAnsi="Arial" w:cs="Arial"/>
          <w:sz w:val="20"/>
        </w:rPr>
        <w:t xml:space="preserve">with the State Controller’s Office on </w:t>
      </w:r>
      <w:r w:rsidR="007B4290">
        <w:rPr>
          <w:rFonts w:ascii="Arial" w:hAnsi="Arial" w:cs="Arial"/>
          <w:sz w:val="20"/>
        </w:rPr>
        <w:t>the</w:t>
      </w:r>
      <w:r w:rsidR="004D1EA4">
        <w:rPr>
          <w:rFonts w:ascii="Arial" w:hAnsi="Arial" w:cs="Arial"/>
          <w:sz w:val="20"/>
        </w:rPr>
        <w:t xml:space="preserve"> procurement </w:t>
      </w:r>
      <w:r w:rsidR="00967829">
        <w:rPr>
          <w:rFonts w:ascii="Arial" w:hAnsi="Arial" w:cs="Arial"/>
          <w:sz w:val="20"/>
        </w:rPr>
        <w:t>for</w:t>
      </w:r>
      <w:r w:rsidR="000C4667">
        <w:rPr>
          <w:rFonts w:ascii="Arial" w:hAnsi="Arial" w:cs="Arial"/>
          <w:sz w:val="20"/>
        </w:rPr>
        <w:t xml:space="preserve"> a s</w:t>
      </w:r>
      <w:r w:rsidR="004D1EA4">
        <w:rPr>
          <w:rFonts w:ascii="Arial" w:hAnsi="Arial" w:cs="Arial"/>
          <w:sz w:val="20"/>
        </w:rPr>
        <w:t>tatewide system</w:t>
      </w:r>
      <w:r w:rsidR="000C4667">
        <w:rPr>
          <w:rFonts w:ascii="Arial" w:hAnsi="Arial" w:cs="Arial"/>
          <w:sz w:val="20"/>
        </w:rPr>
        <w:t>.  ICDVVA implemented the system in October 2023</w:t>
      </w:r>
      <w:r w:rsidR="004D1EA4">
        <w:rPr>
          <w:rFonts w:ascii="Arial" w:hAnsi="Arial" w:cs="Arial"/>
          <w:sz w:val="20"/>
        </w:rPr>
        <w:t xml:space="preserve">. </w:t>
      </w:r>
      <w:r w:rsidR="000C4667">
        <w:rPr>
          <w:rFonts w:ascii="Arial" w:hAnsi="Arial" w:cs="Arial"/>
          <w:sz w:val="20"/>
        </w:rPr>
        <w:t>ICDVVA implemented n</w:t>
      </w:r>
      <w:r w:rsidR="00BD09B2">
        <w:rPr>
          <w:rFonts w:ascii="Arial" w:hAnsi="Arial" w:cs="Arial"/>
          <w:sz w:val="20"/>
        </w:rPr>
        <w:t xml:space="preserve">ew IDAPA rules passed during the 2023 Legislative Session to </w:t>
      </w:r>
      <w:r w:rsidR="00FD210C">
        <w:rPr>
          <w:rFonts w:ascii="Arial" w:hAnsi="Arial" w:cs="Arial"/>
          <w:sz w:val="20"/>
        </w:rPr>
        <w:t>revise the distribution of grant funding throughout the state</w:t>
      </w:r>
      <w:r w:rsidR="000A418F">
        <w:rPr>
          <w:rFonts w:ascii="Arial" w:hAnsi="Arial" w:cs="Arial"/>
          <w:sz w:val="20"/>
        </w:rPr>
        <w:t>,</w:t>
      </w:r>
      <w:r w:rsidR="00936424">
        <w:rPr>
          <w:rFonts w:ascii="Arial" w:hAnsi="Arial" w:cs="Arial"/>
          <w:sz w:val="20"/>
        </w:rPr>
        <w:t xml:space="preserve"> </w:t>
      </w:r>
      <w:r w:rsidR="000C4667">
        <w:rPr>
          <w:rFonts w:ascii="Arial" w:hAnsi="Arial" w:cs="Arial"/>
          <w:sz w:val="20"/>
        </w:rPr>
        <w:t xml:space="preserve">which allowed </w:t>
      </w:r>
      <w:r w:rsidR="000A418F">
        <w:rPr>
          <w:rFonts w:ascii="Arial" w:hAnsi="Arial" w:cs="Arial"/>
          <w:sz w:val="20"/>
        </w:rPr>
        <w:t xml:space="preserve">for </w:t>
      </w:r>
      <w:r w:rsidR="000C4667">
        <w:rPr>
          <w:rFonts w:ascii="Arial" w:hAnsi="Arial" w:cs="Arial"/>
          <w:sz w:val="20"/>
        </w:rPr>
        <w:t xml:space="preserve">the allocation of </w:t>
      </w:r>
      <w:r w:rsidR="00936424">
        <w:rPr>
          <w:rFonts w:ascii="Arial" w:hAnsi="Arial" w:cs="Arial"/>
          <w:sz w:val="20"/>
        </w:rPr>
        <w:t xml:space="preserve">limited resources where </w:t>
      </w:r>
      <w:r w:rsidR="00967829">
        <w:rPr>
          <w:rFonts w:ascii="Arial" w:hAnsi="Arial" w:cs="Arial"/>
          <w:sz w:val="20"/>
        </w:rPr>
        <w:t xml:space="preserve">they are </w:t>
      </w:r>
      <w:r w:rsidR="00936424">
        <w:rPr>
          <w:rFonts w:ascii="Arial" w:hAnsi="Arial" w:cs="Arial"/>
          <w:sz w:val="20"/>
        </w:rPr>
        <w:t>most needed</w:t>
      </w:r>
      <w:r w:rsidR="00FD210C">
        <w:rPr>
          <w:rFonts w:ascii="Arial" w:hAnsi="Arial" w:cs="Arial"/>
          <w:sz w:val="20"/>
        </w:rPr>
        <w:t xml:space="preserve">. </w:t>
      </w:r>
      <w:r w:rsidR="00967829">
        <w:rPr>
          <w:rFonts w:ascii="Arial" w:hAnsi="Arial" w:cs="Arial"/>
          <w:sz w:val="20"/>
        </w:rPr>
        <w:t>A new Crime Victim Services Data Dashboard was launched in 2023 after a multi-year, multi-agency collaboration with the Idaho State Police Statistical Analysis Center.</w:t>
      </w:r>
    </w:p>
    <w:p w14:paraId="1E448689" w14:textId="77777777" w:rsidR="0011187F" w:rsidRPr="00967829" w:rsidRDefault="0011187F" w:rsidP="0020407C">
      <w:pPr>
        <w:jc w:val="both"/>
        <w:rPr>
          <w:rFonts w:ascii="Arial" w:hAnsi="Arial" w:cs="Arial"/>
          <w:sz w:val="18"/>
          <w:szCs w:val="18"/>
        </w:rPr>
      </w:pPr>
    </w:p>
    <w:p w14:paraId="58964EA0" w14:textId="77777777" w:rsidR="00BC4B72" w:rsidRDefault="00BC4B72" w:rsidP="00982493">
      <w:pPr>
        <w:pStyle w:val="Heading2"/>
        <w:spacing w:before="120"/>
        <w:ind w:left="90"/>
        <w:rPr>
          <w:color w:val="000080"/>
        </w:rPr>
      </w:pPr>
      <w:r w:rsidRPr="0069259B">
        <w:rPr>
          <w:color w:val="000080"/>
        </w:rPr>
        <w:t>Part II – Performance Measures</w:t>
      </w:r>
    </w:p>
    <w:p w14:paraId="19532B77" w14:textId="77777777" w:rsidR="005D1B0F" w:rsidRPr="00967829" w:rsidRDefault="005D1B0F" w:rsidP="005D1B0F">
      <w:pPr>
        <w:rPr>
          <w:sz w:val="18"/>
          <w:szCs w:val="18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60"/>
        <w:gridCol w:w="990"/>
        <w:gridCol w:w="1170"/>
        <w:gridCol w:w="1170"/>
        <w:gridCol w:w="1170"/>
        <w:gridCol w:w="990"/>
      </w:tblGrid>
      <w:tr w:rsidR="00973684" w:rsidRPr="00523825" w14:paraId="7F6F5A20" w14:textId="6351B3C0" w:rsidTr="00973684">
        <w:trPr>
          <w:trHeight w:val="357"/>
        </w:trPr>
        <w:tc>
          <w:tcPr>
            <w:tcW w:w="3397" w:type="dxa"/>
            <w:shd w:val="clear" w:color="auto" w:fill="000080"/>
          </w:tcPr>
          <w:p w14:paraId="26B737D1" w14:textId="77777777" w:rsidR="00973684" w:rsidRPr="00523825" w:rsidRDefault="00973684" w:rsidP="009736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523825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260" w:type="dxa"/>
            <w:shd w:val="clear" w:color="auto" w:fill="000080"/>
          </w:tcPr>
          <w:p w14:paraId="5DE5209F" w14:textId="77777777" w:rsidR="00973684" w:rsidRDefault="00973684" w:rsidP="009736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990" w:type="dxa"/>
            <w:shd w:val="clear" w:color="auto" w:fill="000080"/>
          </w:tcPr>
          <w:p w14:paraId="3A21497B" w14:textId="49D66F4A" w:rsidR="00973684" w:rsidRPr="00523825" w:rsidRDefault="00973684" w:rsidP="009736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170" w:type="dxa"/>
            <w:shd w:val="clear" w:color="auto" w:fill="000080"/>
          </w:tcPr>
          <w:p w14:paraId="2A0CC5BB" w14:textId="1B12BEA6" w:rsidR="00973684" w:rsidRPr="00523825" w:rsidRDefault="00973684" w:rsidP="009736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170" w:type="dxa"/>
            <w:shd w:val="clear" w:color="auto" w:fill="000080"/>
          </w:tcPr>
          <w:p w14:paraId="470A6CCD" w14:textId="675DEB48" w:rsidR="00973684" w:rsidRPr="00523825" w:rsidRDefault="00973684" w:rsidP="009736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170" w:type="dxa"/>
            <w:shd w:val="clear" w:color="auto" w:fill="000080"/>
          </w:tcPr>
          <w:p w14:paraId="75FCD474" w14:textId="4B290BEF" w:rsidR="00973684" w:rsidRPr="00523825" w:rsidRDefault="00973684" w:rsidP="009736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990" w:type="dxa"/>
            <w:shd w:val="clear" w:color="auto" w:fill="000080"/>
          </w:tcPr>
          <w:p w14:paraId="5069AE29" w14:textId="6BE3509E" w:rsidR="00973684" w:rsidRDefault="00973684" w:rsidP="009736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973684" w14:paraId="7FAD73DC" w14:textId="014B2A79" w:rsidTr="00973684">
        <w:tc>
          <w:tcPr>
            <w:tcW w:w="9157" w:type="dxa"/>
            <w:gridSpan w:val="6"/>
            <w:shd w:val="clear" w:color="auto" w:fill="DBE5F1" w:themeFill="accent1" w:themeFillTint="33"/>
          </w:tcPr>
          <w:p w14:paraId="6AA6185C" w14:textId="11AEA9FD" w:rsidR="00973684" w:rsidRPr="007F06C2" w:rsidRDefault="00973684" w:rsidP="00973684">
            <w:pPr>
              <w:pStyle w:val="BodyText"/>
              <w:spacing w:before="80"/>
              <w:ind w:left="408" w:right="-90"/>
              <w:rPr>
                <w:b/>
                <w:bCs/>
                <w:sz w:val="20"/>
                <w:szCs w:val="20"/>
              </w:rPr>
            </w:pPr>
            <w:r w:rsidRPr="007F06C2">
              <w:rPr>
                <w:b/>
                <w:bCs/>
                <w:sz w:val="20"/>
                <w:szCs w:val="20"/>
              </w:rPr>
              <w:t>Goal 1: Prioritize the availability of direct services to assist victims of crime throughout Idaho and the efficient use of funding to maximize those services</w:t>
            </w:r>
          </w:p>
          <w:p w14:paraId="6DE184B8" w14:textId="1C54574E" w:rsidR="00973684" w:rsidRPr="00E0300A" w:rsidRDefault="00973684" w:rsidP="00973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14:paraId="3BA913B0" w14:textId="77777777" w:rsidR="00973684" w:rsidRDefault="00973684" w:rsidP="00973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05A70C37" w14:textId="60651576" w:rsidTr="00973684">
        <w:tc>
          <w:tcPr>
            <w:tcW w:w="3397" w:type="dxa"/>
            <w:vMerge w:val="restart"/>
          </w:tcPr>
          <w:p w14:paraId="3C42CA37" w14:textId="3F49B259" w:rsidR="00973684" w:rsidRPr="00C236D4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236D4">
              <w:rPr>
                <w:rFonts w:ascii="Arial" w:hAnsi="Arial" w:cs="Arial"/>
                <w:sz w:val="20"/>
                <w:szCs w:val="20"/>
              </w:rPr>
              <w:t xml:space="preserve">Each grant </w:t>
            </w:r>
            <w:r>
              <w:rPr>
                <w:rFonts w:ascii="Arial" w:hAnsi="Arial" w:cs="Arial"/>
                <w:sz w:val="20"/>
                <w:szCs w:val="20"/>
              </w:rPr>
              <w:t>sub</w:t>
            </w:r>
            <w:r w:rsidRPr="00C236D4">
              <w:rPr>
                <w:rFonts w:ascii="Arial" w:hAnsi="Arial" w:cs="Arial"/>
                <w:sz w:val="20"/>
                <w:szCs w:val="20"/>
              </w:rPr>
              <w:t xml:space="preserve">award will include a minimum budget of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236D4">
              <w:rPr>
                <w:rFonts w:ascii="Arial" w:hAnsi="Arial" w:cs="Arial"/>
                <w:sz w:val="20"/>
                <w:szCs w:val="20"/>
              </w:rPr>
              <w:t>0% for direct victim services</w:t>
            </w:r>
          </w:p>
        </w:tc>
        <w:tc>
          <w:tcPr>
            <w:tcW w:w="1260" w:type="dxa"/>
          </w:tcPr>
          <w:p w14:paraId="69546D3B" w14:textId="77777777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</w:t>
            </w:r>
          </w:p>
        </w:tc>
        <w:tc>
          <w:tcPr>
            <w:tcW w:w="990" w:type="dxa"/>
          </w:tcPr>
          <w:p w14:paraId="66EF54B0" w14:textId="237645D4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14:paraId="0690BF21" w14:textId="0B619F26" w:rsidR="00973684" w:rsidRDefault="00973684" w:rsidP="00973684">
            <w:r w:rsidRPr="00987C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7A010AA2" w14:textId="3B233312" w:rsidR="00973684" w:rsidRDefault="00973684" w:rsidP="00973684">
            <w:r w:rsidRPr="0026570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1501EB28" w14:textId="61AA2A41" w:rsidR="00973684" w:rsidRPr="00987C5D" w:rsidRDefault="00973684" w:rsidP="0097368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0F542F6" w14:textId="25DA61E2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7499CCDB" w14:textId="7C168AD7" w:rsidTr="00973684">
        <w:tc>
          <w:tcPr>
            <w:tcW w:w="3397" w:type="dxa"/>
            <w:vMerge/>
          </w:tcPr>
          <w:p w14:paraId="748C53AC" w14:textId="77777777" w:rsidR="00973684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72E871" w14:textId="77777777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</w:t>
            </w:r>
          </w:p>
        </w:tc>
        <w:tc>
          <w:tcPr>
            <w:tcW w:w="990" w:type="dxa"/>
          </w:tcPr>
          <w:p w14:paraId="414C13BD" w14:textId="367FE5A9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14:paraId="1E9E0797" w14:textId="639A6234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60% direct services</w:t>
            </w:r>
          </w:p>
        </w:tc>
        <w:tc>
          <w:tcPr>
            <w:tcW w:w="1170" w:type="dxa"/>
          </w:tcPr>
          <w:p w14:paraId="2F95DBBC" w14:textId="34B64E9E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60% direct services</w:t>
            </w:r>
          </w:p>
        </w:tc>
        <w:tc>
          <w:tcPr>
            <w:tcW w:w="1170" w:type="dxa"/>
          </w:tcPr>
          <w:p w14:paraId="231B97C3" w14:textId="50F2C230" w:rsidR="00973684" w:rsidRDefault="00973684" w:rsidP="00973684">
            <w:r w:rsidRPr="00005DD5">
              <w:rPr>
                <w:rFonts w:ascii="Arial" w:hAnsi="Arial" w:cs="Arial"/>
                <w:sz w:val="20"/>
                <w:szCs w:val="20"/>
              </w:rPr>
              <w:t>65% direct services</w:t>
            </w:r>
          </w:p>
        </w:tc>
        <w:tc>
          <w:tcPr>
            <w:tcW w:w="990" w:type="dxa"/>
          </w:tcPr>
          <w:p w14:paraId="07D95225" w14:textId="10BE80B9" w:rsidR="00973684" w:rsidRPr="00005DD5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E0300A" w14:paraId="356917AF" w14:textId="77777777" w:rsidTr="00973684">
        <w:tc>
          <w:tcPr>
            <w:tcW w:w="3397" w:type="dxa"/>
            <w:vMerge w:val="restart"/>
          </w:tcPr>
          <w:p w14:paraId="41F1D58A" w14:textId="4FF122A0" w:rsidR="00973684" w:rsidRPr="00C236D4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2B5F698E">
              <w:rPr>
                <w:rFonts w:ascii="Arial" w:hAnsi="Arial" w:cs="Arial"/>
                <w:sz w:val="20"/>
                <w:szCs w:val="20"/>
              </w:rPr>
              <w:t xml:space="preserve">2. Use </w:t>
            </w:r>
            <w:r>
              <w:rPr>
                <w:rFonts w:ascii="Arial" w:hAnsi="Arial" w:cs="Arial"/>
                <w:sz w:val="20"/>
                <w:szCs w:val="20"/>
              </w:rPr>
              <w:t>a minimum of 98% of</w:t>
            </w:r>
            <w:r w:rsidRPr="2B5F698E">
              <w:rPr>
                <w:rFonts w:ascii="Arial" w:hAnsi="Arial" w:cs="Arial"/>
                <w:sz w:val="20"/>
                <w:szCs w:val="20"/>
              </w:rPr>
              <w:t xml:space="preserve"> federal grant funds awarded, with </w:t>
            </w:r>
            <w:r>
              <w:rPr>
                <w:rFonts w:ascii="Arial" w:hAnsi="Arial" w:cs="Arial"/>
                <w:sz w:val="20"/>
                <w:szCs w:val="20"/>
              </w:rPr>
              <w:t>minimal reversions</w:t>
            </w:r>
            <w:r w:rsidRPr="2B5F698E">
              <w:rPr>
                <w:rFonts w:ascii="Arial" w:hAnsi="Arial" w:cs="Arial"/>
                <w:sz w:val="20"/>
                <w:szCs w:val="20"/>
              </w:rPr>
              <w:t xml:space="preserve"> at end of grant period</w:t>
            </w:r>
          </w:p>
        </w:tc>
        <w:tc>
          <w:tcPr>
            <w:tcW w:w="1260" w:type="dxa"/>
          </w:tcPr>
          <w:p w14:paraId="7599DD35" w14:textId="77777777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</w:t>
            </w:r>
          </w:p>
        </w:tc>
        <w:tc>
          <w:tcPr>
            <w:tcW w:w="990" w:type="dxa"/>
          </w:tcPr>
          <w:p w14:paraId="2AC81E6F" w14:textId="7211F83C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14:paraId="5A445C9E" w14:textId="366D1C98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0BA20081" w14:textId="12EEC45F" w:rsidR="00973684" w:rsidRDefault="00973684" w:rsidP="00973684">
            <w:r w:rsidRPr="0026570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60FA05F1" w14:textId="3F82AD86" w:rsidR="00973684" w:rsidRPr="00DA4563" w:rsidRDefault="00973684" w:rsidP="0097368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2C2C76A" w14:textId="0CEFA87F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E0300A" w14:paraId="0908AF9F" w14:textId="77777777" w:rsidTr="00973684">
        <w:tc>
          <w:tcPr>
            <w:tcW w:w="3397" w:type="dxa"/>
            <w:vMerge/>
          </w:tcPr>
          <w:p w14:paraId="1BBE56E3" w14:textId="77777777" w:rsidR="00973684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4AF4C3" w14:textId="77777777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</w:t>
            </w:r>
          </w:p>
          <w:p w14:paraId="29A0F65B" w14:textId="77777777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812C9" w14:textId="039C98DD" w:rsidR="00973684" w:rsidRPr="00802E2B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959E6E" w14:textId="5200A555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14:paraId="7DD39D72" w14:textId="77777777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14EBD414" w14:textId="3A4C0A03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reverted</w:t>
            </w:r>
          </w:p>
        </w:tc>
        <w:tc>
          <w:tcPr>
            <w:tcW w:w="1170" w:type="dxa"/>
          </w:tcPr>
          <w:p w14:paraId="1228E8A3" w14:textId="77777777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3633CF3E" w14:textId="46717CFF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reverted</w:t>
            </w:r>
          </w:p>
        </w:tc>
        <w:tc>
          <w:tcPr>
            <w:tcW w:w="1170" w:type="dxa"/>
          </w:tcPr>
          <w:p w14:paraId="7CA25E67" w14:textId="0AD51CEE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$0 reverted</w:t>
            </w:r>
          </w:p>
        </w:tc>
        <w:tc>
          <w:tcPr>
            <w:tcW w:w="990" w:type="dxa"/>
          </w:tcPr>
          <w:p w14:paraId="7C0C904C" w14:textId="43141876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E0300A" w14:paraId="61153E89" w14:textId="77777777" w:rsidTr="00973684">
        <w:tc>
          <w:tcPr>
            <w:tcW w:w="3397" w:type="dxa"/>
            <w:vMerge w:val="restart"/>
          </w:tcPr>
          <w:p w14:paraId="5EFDC9F1" w14:textId="3FC5A27C" w:rsidR="00973684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% of federal grants allocated to T&amp;B</w:t>
            </w:r>
          </w:p>
        </w:tc>
        <w:tc>
          <w:tcPr>
            <w:tcW w:w="1260" w:type="dxa"/>
          </w:tcPr>
          <w:p w14:paraId="49390468" w14:textId="1C616CAD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achieved </w:t>
            </w:r>
          </w:p>
        </w:tc>
        <w:tc>
          <w:tcPr>
            <w:tcW w:w="990" w:type="dxa"/>
          </w:tcPr>
          <w:p w14:paraId="2B6AEC2A" w14:textId="2CC38538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3FF2CDB1" w14:textId="63DA7601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60C9CF3F" w14:textId="4EEDFB33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39209CD2" w14:textId="0E890BE5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2D0493" w14:textId="10C916C4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:rsidRPr="00E0300A" w14:paraId="4AFBB3C0" w14:textId="77777777" w:rsidTr="00973684">
        <w:tc>
          <w:tcPr>
            <w:tcW w:w="3397" w:type="dxa"/>
            <w:vMerge/>
          </w:tcPr>
          <w:p w14:paraId="070D0463" w14:textId="77777777" w:rsidR="00973684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6DEBAF" w14:textId="6BD371CB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</w:t>
            </w:r>
          </w:p>
        </w:tc>
        <w:tc>
          <w:tcPr>
            <w:tcW w:w="990" w:type="dxa"/>
          </w:tcPr>
          <w:p w14:paraId="28F76860" w14:textId="1ACAB084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170" w:type="dxa"/>
          </w:tcPr>
          <w:p w14:paraId="366BEF83" w14:textId="6CE27B63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170" w:type="dxa"/>
          </w:tcPr>
          <w:p w14:paraId="65D036C0" w14:textId="47A47116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170" w:type="dxa"/>
          </w:tcPr>
          <w:p w14:paraId="7FD14C7F" w14:textId="0A933708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990" w:type="dxa"/>
          </w:tcPr>
          <w:p w14:paraId="1B70A1CB" w14:textId="22F29134" w:rsidR="00973684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7F327CB3" w14:textId="25FCDD55" w:rsidTr="00973684">
        <w:tc>
          <w:tcPr>
            <w:tcW w:w="9157" w:type="dxa"/>
            <w:gridSpan w:val="6"/>
            <w:shd w:val="clear" w:color="auto" w:fill="DBE5F1" w:themeFill="accent1" w:themeFillTint="33"/>
          </w:tcPr>
          <w:p w14:paraId="5F6CCA67" w14:textId="0CB5E4C0" w:rsidR="00973684" w:rsidRPr="007F06C2" w:rsidRDefault="00973684" w:rsidP="00973684">
            <w:pPr>
              <w:pStyle w:val="ListParagraph"/>
              <w:ind w:left="498" w:firstLine="0"/>
              <w:rPr>
                <w:b/>
                <w:bCs/>
                <w:sz w:val="20"/>
                <w:szCs w:val="20"/>
              </w:rPr>
            </w:pPr>
            <w:r w:rsidRPr="007F06C2">
              <w:rPr>
                <w:b/>
                <w:bCs/>
                <w:sz w:val="20"/>
                <w:szCs w:val="20"/>
              </w:rPr>
              <w:t>Goal 3: Serve as a key resource on issues and policies impacting victims of crime</w:t>
            </w:r>
          </w:p>
          <w:p w14:paraId="79885BB1" w14:textId="36791D7B" w:rsidR="00973684" w:rsidRPr="007F06C2" w:rsidRDefault="00973684" w:rsidP="00973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14:paraId="70C3C318" w14:textId="77777777" w:rsidR="00973684" w:rsidRDefault="00973684" w:rsidP="00973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09DAED5A" w14:textId="212058EC" w:rsidTr="00973684">
        <w:tc>
          <w:tcPr>
            <w:tcW w:w="3397" w:type="dxa"/>
            <w:vMerge w:val="restart"/>
          </w:tcPr>
          <w:p w14:paraId="4EE6D257" w14:textId="29554C6A" w:rsidR="00973684" w:rsidRPr="007C28EE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2B5F698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#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B5F698E">
              <w:rPr>
                <w:rFonts w:ascii="Arial" w:hAnsi="Arial" w:cs="Arial"/>
                <w:sz w:val="20"/>
                <w:szCs w:val="20"/>
              </w:rPr>
              <w:t xml:space="preserve">training opportunities provided annually </w:t>
            </w:r>
          </w:p>
        </w:tc>
        <w:tc>
          <w:tcPr>
            <w:tcW w:w="1260" w:type="dxa"/>
          </w:tcPr>
          <w:p w14:paraId="0820426E" w14:textId="77777777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</w:t>
            </w:r>
          </w:p>
        </w:tc>
        <w:tc>
          <w:tcPr>
            <w:tcW w:w="990" w:type="dxa"/>
          </w:tcPr>
          <w:p w14:paraId="58A11BE0" w14:textId="4863656A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14:paraId="37B736C5" w14:textId="283677C4" w:rsidR="00973684" w:rsidRDefault="00973684" w:rsidP="00973684">
            <w:r w:rsidRPr="00735C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14:paraId="0ABCE79B" w14:textId="4C9D5D6A" w:rsidR="00973684" w:rsidRPr="00735C8E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 w:rsidRPr="00735C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C0DD617" w14:textId="1497EFB3" w:rsidR="00973684" w:rsidRPr="00735C8E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000A1B" w14:textId="77777777" w:rsidR="00973684" w:rsidRPr="00735C8E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684" w14:paraId="560735E5" w14:textId="2990ACBD" w:rsidTr="00973684">
        <w:tc>
          <w:tcPr>
            <w:tcW w:w="3397" w:type="dxa"/>
            <w:vMerge/>
          </w:tcPr>
          <w:p w14:paraId="2ED043A1" w14:textId="77777777" w:rsidR="00973684" w:rsidRDefault="00973684" w:rsidP="009736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BF383B" w14:textId="77777777" w:rsidR="00973684" w:rsidRPr="00E0300A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</w:t>
            </w:r>
          </w:p>
        </w:tc>
        <w:tc>
          <w:tcPr>
            <w:tcW w:w="990" w:type="dxa"/>
          </w:tcPr>
          <w:p w14:paraId="70DCE082" w14:textId="7044DD87" w:rsidR="00973684" w:rsidRDefault="00973684" w:rsidP="00973684"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14:paraId="649DDA74" w14:textId="1CF37A95" w:rsidR="00973684" w:rsidRDefault="00973684" w:rsidP="00973684">
            <w:r w:rsidRPr="00735C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14:paraId="16D27E77" w14:textId="43B26764" w:rsidR="00973684" w:rsidRPr="00735C8E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 w:rsidRPr="00735C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14:paraId="244A6B68" w14:textId="2E354930" w:rsidR="00973684" w:rsidRPr="00735C8E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  <w:r w:rsidRPr="00735C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E3F9D1D" w14:textId="20CC1979" w:rsidR="00973684" w:rsidRPr="00735C8E" w:rsidRDefault="00973684" w:rsidP="009736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66C6A" w14:textId="0B0F1E54" w:rsidR="00BC4B72" w:rsidRDefault="00BC4B72" w:rsidP="00982493">
      <w:pPr>
        <w:ind w:left="90"/>
        <w:rPr>
          <w:rFonts w:ascii="Arial" w:hAnsi="Arial" w:cs="Arial"/>
        </w:rPr>
      </w:pPr>
      <w:r w:rsidRPr="00BE41B3">
        <w:rPr>
          <w:rFonts w:ascii="Arial" w:hAnsi="Arial" w:cs="Arial"/>
          <w:b/>
          <w:bCs/>
        </w:rPr>
        <w:lastRenderedPageBreak/>
        <w:t>Performance Measure Explanatory Note</w:t>
      </w:r>
      <w:r w:rsidR="00967829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:</w:t>
      </w:r>
      <w:r w:rsidRPr="00BE41B3">
        <w:rPr>
          <w:rFonts w:ascii="Arial" w:hAnsi="Arial" w:cs="Arial"/>
        </w:rPr>
        <w:t xml:space="preserve"> </w:t>
      </w:r>
    </w:p>
    <w:p w14:paraId="370D3DEA" w14:textId="77777777" w:rsidR="000E1FDD" w:rsidRPr="00967829" w:rsidRDefault="000E1FDD" w:rsidP="00982493">
      <w:pPr>
        <w:ind w:left="90"/>
        <w:rPr>
          <w:rFonts w:ascii="Arial" w:hAnsi="Arial" w:cs="Arial"/>
          <w:sz w:val="18"/>
          <w:szCs w:val="18"/>
        </w:rPr>
      </w:pPr>
    </w:p>
    <w:p w14:paraId="535A11BF" w14:textId="3F6B25DD" w:rsidR="0020407C" w:rsidRPr="00272247" w:rsidRDefault="00005DD5" w:rsidP="00AE5B14">
      <w:pPr>
        <w:pStyle w:val="ListParagraph"/>
        <w:numPr>
          <w:ilvl w:val="0"/>
          <w:numId w:val="5"/>
        </w:numPr>
        <w:spacing w:before="0"/>
        <w:jc w:val="both"/>
        <w:rPr>
          <w:sz w:val="20"/>
        </w:rPr>
      </w:pPr>
      <w:r w:rsidRPr="00272247">
        <w:rPr>
          <w:sz w:val="20"/>
        </w:rPr>
        <w:t>Use of funding for d</w:t>
      </w:r>
      <w:r w:rsidR="00D33AC3" w:rsidRPr="00272247">
        <w:rPr>
          <w:sz w:val="20"/>
        </w:rPr>
        <w:t xml:space="preserve">irect victim services </w:t>
      </w:r>
      <w:r w:rsidRPr="00272247">
        <w:rPr>
          <w:sz w:val="20"/>
        </w:rPr>
        <w:t xml:space="preserve">and reduced reliance on ICDVVA funding </w:t>
      </w:r>
      <w:r w:rsidR="00D33AC3" w:rsidRPr="00272247">
        <w:rPr>
          <w:sz w:val="20"/>
        </w:rPr>
        <w:t>shall be prioritized in the scoring of grant applications</w:t>
      </w:r>
      <w:r w:rsidR="000D0711" w:rsidRPr="00272247">
        <w:rPr>
          <w:sz w:val="20"/>
        </w:rPr>
        <w:t>.</w:t>
      </w:r>
    </w:p>
    <w:p w14:paraId="416EC428" w14:textId="760AC995" w:rsidR="00AE5B14" w:rsidRPr="00272247" w:rsidRDefault="000D0711" w:rsidP="00AE5B14">
      <w:pPr>
        <w:pStyle w:val="ListParagraph"/>
        <w:numPr>
          <w:ilvl w:val="0"/>
          <w:numId w:val="5"/>
        </w:numPr>
        <w:spacing w:before="0"/>
        <w:jc w:val="both"/>
        <w:rPr>
          <w:sz w:val="20"/>
        </w:rPr>
      </w:pPr>
      <w:r w:rsidRPr="00272247">
        <w:rPr>
          <w:sz w:val="20"/>
        </w:rPr>
        <w:t>A</w:t>
      </w:r>
      <w:r w:rsidR="00087D45" w:rsidRPr="00272247">
        <w:rPr>
          <w:sz w:val="20"/>
        </w:rPr>
        <w:t>ll available grant funding</w:t>
      </w:r>
      <w:r w:rsidRPr="00272247">
        <w:rPr>
          <w:sz w:val="20"/>
        </w:rPr>
        <w:t xml:space="preserve"> will be fully utilized.</w:t>
      </w:r>
    </w:p>
    <w:p w14:paraId="4B01EA2F" w14:textId="02FA116A" w:rsidR="002C5942" w:rsidRDefault="002C5942" w:rsidP="00AE5B14">
      <w:pPr>
        <w:pStyle w:val="ListParagraph"/>
        <w:numPr>
          <w:ilvl w:val="0"/>
          <w:numId w:val="5"/>
        </w:numPr>
        <w:spacing w:before="0"/>
        <w:jc w:val="both"/>
        <w:rPr>
          <w:sz w:val="20"/>
        </w:rPr>
      </w:pPr>
      <w:r>
        <w:rPr>
          <w:sz w:val="20"/>
        </w:rPr>
        <w:t xml:space="preserve">The annual regional roundtables were consolidated to reduce travel and meeting expenses and to </w:t>
      </w:r>
      <w:r w:rsidR="000A418F">
        <w:rPr>
          <w:sz w:val="20"/>
        </w:rPr>
        <w:t>maximiz</w:t>
      </w:r>
      <w:r>
        <w:rPr>
          <w:sz w:val="20"/>
        </w:rPr>
        <w:t xml:space="preserve">e networking and engagement among roundtable participants.  </w:t>
      </w:r>
    </w:p>
    <w:p w14:paraId="3C79AC3F" w14:textId="0451EB30" w:rsidR="00272247" w:rsidRDefault="00272247" w:rsidP="00AE5B14">
      <w:pPr>
        <w:pStyle w:val="ListParagraph"/>
        <w:numPr>
          <w:ilvl w:val="0"/>
          <w:numId w:val="5"/>
        </w:numPr>
        <w:spacing w:before="0"/>
        <w:jc w:val="both"/>
        <w:rPr>
          <w:sz w:val="20"/>
        </w:rPr>
      </w:pPr>
      <w:r>
        <w:rPr>
          <w:sz w:val="20"/>
        </w:rPr>
        <w:t>Enhanced collaboration, education, and outreach among stakeholders with intersecting populations is a strategic planning priority.</w:t>
      </w:r>
    </w:p>
    <w:p w14:paraId="58CB7303" w14:textId="77777777" w:rsidR="002D1FDA" w:rsidRPr="00967829" w:rsidRDefault="002D1FDA" w:rsidP="002D1FDA">
      <w:pPr>
        <w:pStyle w:val="ListParagraph"/>
        <w:spacing w:before="0"/>
        <w:ind w:left="720" w:firstLine="0"/>
        <w:jc w:val="both"/>
        <w:rPr>
          <w:sz w:val="18"/>
          <w:szCs w:val="18"/>
        </w:rPr>
      </w:pPr>
    </w:p>
    <w:p w14:paraId="1931E8F8" w14:textId="7898F8B8" w:rsidR="002D1FDA" w:rsidRDefault="002D1FDA" w:rsidP="00982493">
      <w:pPr>
        <w:ind w:left="9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External Factors:</w:t>
      </w:r>
      <w:r w:rsidRPr="00BE41B3">
        <w:rPr>
          <w:rFonts w:ascii="Arial" w:hAnsi="Arial" w:cs="Arial"/>
        </w:rPr>
        <w:t xml:space="preserve"> </w:t>
      </w:r>
    </w:p>
    <w:p w14:paraId="2AC334DB" w14:textId="03CAB6F3" w:rsidR="002D1FDA" w:rsidRPr="00961304" w:rsidRDefault="002D1FDA" w:rsidP="002D1FDA">
      <w:pPr>
        <w:pStyle w:val="ListParagraph"/>
        <w:numPr>
          <w:ilvl w:val="0"/>
          <w:numId w:val="6"/>
        </w:numPr>
        <w:spacing w:before="0"/>
        <w:jc w:val="both"/>
        <w:rPr>
          <w:sz w:val="20"/>
        </w:rPr>
      </w:pPr>
      <w:r w:rsidRPr="00961304">
        <w:rPr>
          <w:sz w:val="20"/>
        </w:rPr>
        <w:t>Availability of funding</w:t>
      </w:r>
    </w:p>
    <w:p w14:paraId="5E74D445" w14:textId="76149C74" w:rsidR="002D1FDA" w:rsidRPr="00961304" w:rsidRDefault="002D1FDA" w:rsidP="002D1FDA">
      <w:pPr>
        <w:pStyle w:val="ListParagraph"/>
        <w:numPr>
          <w:ilvl w:val="0"/>
          <w:numId w:val="6"/>
        </w:numPr>
        <w:spacing w:before="0"/>
        <w:jc w:val="both"/>
        <w:rPr>
          <w:sz w:val="20"/>
        </w:rPr>
      </w:pPr>
      <w:r w:rsidRPr="00961304">
        <w:rPr>
          <w:sz w:val="20"/>
        </w:rPr>
        <w:t>Demand and need for victim services and for trauma-informed training</w:t>
      </w:r>
    </w:p>
    <w:p w14:paraId="4167B450" w14:textId="77777777" w:rsidR="00BC4B72" w:rsidRDefault="00BC4B7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188" w:type="dxa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  <w:insideH w:val="threeDEmboss" w:sz="24" w:space="0" w:color="333399"/>
          <w:insideV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BC4B72" w:rsidRPr="006B1ACE" w14:paraId="3E6DB8C7" w14:textId="77777777">
        <w:tc>
          <w:tcPr>
            <w:tcW w:w="7680" w:type="dxa"/>
          </w:tcPr>
          <w:p w14:paraId="3CE9B0DB" w14:textId="77777777" w:rsidR="00BC4B72" w:rsidRDefault="00BC4B7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68E8931C" w14:textId="7D52468C" w:rsidR="0020407C" w:rsidRDefault="001E2C78" w:rsidP="002368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  </w:t>
            </w:r>
            <w:r w:rsidR="000C4667">
              <w:rPr>
                <w:rFonts w:ascii="Arial" w:hAnsi="Arial" w:cs="Arial"/>
                <w:noProof/>
                <w:sz w:val="20"/>
              </w:rPr>
              <w:t xml:space="preserve">Dana Wiemiller, </w:t>
            </w:r>
            <w:r w:rsidR="00A15468">
              <w:rPr>
                <w:rFonts w:ascii="Arial" w:hAnsi="Arial" w:cs="Arial"/>
                <w:sz w:val="20"/>
                <w:szCs w:val="20"/>
              </w:rPr>
              <w:t>Executive Director</w:t>
            </w:r>
          </w:p>
          <w:p w14:paraId="4DEEF4C6" w14:textId="4BE85EBA" w:rsidR="00236852" w:rsidRDefault="00236852" w:rsidP="00236852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  Idaho Council on Domestic Violence &amp; Victim Assistance</w:t>
            </w:r>
          </w:p>
          <w:p w14:paraId="2570D44A" w14:textId="58696145" w:rsidR="00A12F93" w:rsidRDefault="00236852" w:rsidP="00236852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    </w:t>
            </w:r>
            <w:r w:rsidR="00531660">
              <w:rPr>
                <w:rFonts w:ascii="Arial" w:hAnsi="Arial" w:cs="Arial"/>
                <w:sz w:val="20"/>
                <w:lang w:val="fr-FR"/>
              </w:rPr>
              <w:t>450 W. State St.,</w:t>
            </w:r>
            <w:r w:rsidR="000C4667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531660">
              <w:rPr>
                <w:rFonts w:ascii="Arial" w:hAnsi="Arial" w:cs="Arial"/>
                <w:sz w:val="20"/>
                <w:lang w:val="fr-FR"/>
              </w:rPr>
              <w:t xml:space="preserve">5th </w:t>
            </w:r>
            <w:proofErr w:type="spellStart"/>
            <w:r w:rsidR="00531660">
              <w:rPr>
                <w:rFonts w:ascii="Arial" w:hAnsi="Arial" w:cs="Arial"/>
                <w:sz w:val="20"/>
                <w:lang w:val="fr-FR"/>
              </w:rPr>
              <w:t>Floor</w:t>
            </w:r>
            <w:proofErr w:type="spellEnd"/>
            <w:r w:rsidR="00A15468">
              <w:rPr>
                <w:rFonts w:ascii="Arial" w:hAnsi="Arial" w:cs="Arial"/>
                <w:sz w:val="20"/>
                <w:lang w:val="fr-FR"/>
              </w:rPr>
              <w:t> </w:t>
            </w:r>
          </w:p>
          <w:p w14:paraId="3807D5F6" w14:textId="2926F351" w:rsidR="00936AB4" w:rsidRDefault="00A12F93" w:rsidP="00236852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    </w:t>
            </w:r>
            <w:r w:rsidR="00236852">
              <w:rPr>
                <w:rFonts w:ascii="Arial" w:hAnsi="Arial" w:cs="Arial"/>
                <w:sz w:val="20"/>
                <w:lang w:val="fr-FR"/>
              </w:rPr>
              <w:t>P.O. Box 83720</w:t>
            </w:r>
          </w:p>
          <w:p w14:paraId="7AFFBD91" w14:textId="41FB8E3C" w:rsidR="00A12F93" w:rsidRDefault="00236852" w:rsidP="00A15468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936AB4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lang w:val="fr-FR"/>
              </w:rPr>
              <w:t>Boise, ID 83720-0036</w:t>
            </w:r>
            <w:r w:rsidR="00A15468">
              <w:rPr>
                <w:rFonts w:ascii="Arial" w:hAnsi="Arial" w:cs="Arial"/>
                <w:sz w:val="20"/>
                <w:lang w:val="fr-FR"/>
              </w:rPr>
              <w:t> </w:t>
            </w:r>
          </w:p>
          <w:p w14:paraId="7C53AC19" w14:textId="268AEC95" w:rsidR="00936AB4" w:rsidRPr="006B1ACE" w:rsidRDefault="00A15468" w:rsidP="00A15468">
            <w:pPr>
              <w:rPr>
                <w:rFonts w:ascii="Arial" w:hAnsi="Arial" w:cs="Arial"/>
                <w:sz w:val="20"/>
                <w:szCs w:val="17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A12F93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r w:rsidR="00936AB4">
              <w:rPr>
                <w:rFonts w:ascii="Arial" w:hAnsi="Arial" w:cs="Arial"/>
                <w:sz w:val="20"/>
                <w:szCs w:val="20"/>
              </w:rPr>
              <w:t>Phone: (208) 332-154</w:t>
            </w:r>
            <w:r w:rsidR="00A12F9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56AD4AD" w14:textId="369325D2" w:rsidR="00BC4B72" w:rsidRPr="006B1ACE" w:rsidRDefault="00A12F93" w:rsidP="00A12F93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31660">
              <w:rPr>
                <w:rFonts w:ascii="Arial" w:hAnsi="Arial" w:cs="Arial"/>
                <w:sz w:val="20"/>
                <w:szCs w:val="20"/>
              </w:rPr>
              <w:t>info</w:t>
            </w:r>
            <w:r w:rsidR="00B61214">
              <w:rPr>
                <w:rFonts w:ascii="Arial" w:hAnsi="Arial" w:cs="Arial"/>
                <w:sz w:val="20"/>
                <w:szCs w:val="20"/>
              </w:rPr>
              <w:t>@icdv.idaho.gov</w:t>
            </w:r>
          </w:p>
        </w:tc>
      </w:tr>
    </w:tbl>
    <w:p w14:paraId="12569285" w14:textId="77777777" w:rsidR="00BC4B72" w:rsidRPr="006B1ACE" w:rsidRDefault="00BC4B72">
      <w:pPr>
        <w:jc w:val="both"/>
        <w:rPr>
          <w:rFonts w:ascii="Arial" w:hAnsi="Arial" w:cs="Arial"/>
          <w:sz w:val="20"/>
          <w:lang w:val="fr-FR"/>
        </w:rPr>
      </w:pPr>
    </w:p>
    <w:sectPr w:rsidR="00BC4B72" w:rsidRPr="006B1ACE" w:rsidSect="00C315AD">
      <w:headerReference w:type="default" r:id="rId15"/>
      <w:footerReference w:type="default" r:id="rId16"/>
      <w:type w:val="continuous"/>
      <w:pgSz w:w="12240" w:h="15840" w:code="1"/>
      <w:pgMar w:top="1080" w:right="1080" w:bottom="72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FE96" w14:textId="77777777" w:rsidR="002D0373" w:rsidRDefault="002D0373">
      <w:r>
        <w:separator/>
      </w:r>
    </w:p>
  </w:endnote>
  <w:endnote w:type="continuationSeparator" w:id="0">
    <w:p w14:paraId="3AA231E2" w14:textId="77777777" w:rsidR="002D0373" w:rsidRDefault="002D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966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61DD6" w14:textId="1F3BB7AC" w:rsidR="00C315AD" w:rsidRPr="00C315AD" w:rsidRDefault="00C315AD" w:rsidP="00C315AD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 w:rsidR="00F863C2">
          <w:rPr>
            <w:rFonts w:ascii="Arial" w:hAnsi="Arial" w:cs="Arial"/>
            <w:sz w:val="20"/>
            <w:szCs w:val="20"/>
          </w:rPr>
          <w:t xml:space="preserve">        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B30A0C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BF3697E" w14:textId="77777777" w:rsidR="0002131B" w:rsidRPr="00213360" w:rsidRDefault="0002131B">
    <w:pPr>
      <w:pStyle w:val="Footer"/>
      <w:tabs>
        <w:tab w:val="clear" w:pos="4320"/>
        <w:tab w:val="clear" w:pos="8640"/>
        <w:tab w:val="center" w:pos="4680"/>
        <w:tab w:val="right" w:pos="100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ED5E" w14:textId="77777777" w:rsidR="002D0373" w:rsidRDefault="002D0373">
      <w:r>
        <w:separator/>
      </w:r>
    </w:p>
  </w:footnote>
  <w:footnote w:type="continuationSeparator" w:id="0">
    <w:p w14:paraId="69B32C43" w14:textId="77777777" w:rsidR="002D0373" w:rsidRDefault="002D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108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C474B9" w14:paraId="2A3E83F6" w14:textId="77777777" w:rsidTr="00A46274">
      <w:tc>
        <w:tcPr>
          <w:tcW w:w="10080" w:type="dxa"/>
          <w:shd w:val="clear" w:color="auto" w:fill="000080"/>
        </w:tcPr>
        <w:p w14:paraId="3EA0648E" w14:textId="27E5F51E" w:rsidR="00C474B9" w:rsidRDefault="00ED56D7" w:rsidP="00A46274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Council on Domestic Violence &amp; Victim Assistance</w:t>
          </w:r>
          <w:r w:rsidR="00C474B9">
            <w:rPr>
              <w:rFonts w:ascii="Arial" w:hAnsi="Arial" w:cs="Arial"/>
              <w:b/>
              <w:bCs/>
              <w:color w:val="FFFFFF"/>
            </w:rPr>
            <w:tab/>
          </w:r>
          <w:r w:rsidR="00C474B9">
            <w:rPr>
              <w:rFonts w:ascii="Arial" w:hAnsi="Arial" w:cs="Arial"/>
              <w:color w:val="FFFFFF"/>
            </w:rPr>
            <w:t>Performance Measurement Report</w:t>
          </w:r>
        </w:p>
      </w:tc>
    </w:tr>
    <w:tr w:rsidR="00C474B9" w14:paraId="6C3F773E" w14:textId="77777777" w:rsidTr="00A46274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3B594F2E" w14:textId="77777777" w:rsidR="00C474B9" w:rsidRDefault="00C474B9" w:rsidP="00A46274"/>
      </w:tc>
    </w:tr>
    <w:tr w:rsidR="00C474B9" w14:paraId="60943D6B" w14:textId="77777777" w:rsidTr="00A46274">
      <w:tc>
        <w:tcPr>
          <w:tcW w:w="10080" w:type="dxa"/>
          <w:tcBorders>
            <w:bottom w:val="nil"/>
          </w:tcBorders>
          <w:shd w:val="clear" w:color="auto" w:fill="000080"/>
        </w:tcPr>
        <w:p w14:paraId="59CE7611" w14:textId="77777777" w:rsidR="00C474B9" w:rsidRDefault="00C474B9" w:rsidP="00A46274"/>
      </w:tc>
    </w:tr>
  </w:tbl>
  <w:p w14:paraId="32052A82" w14:textId="42C7FA6E" w:rsidR="0002131B" w:rsidRPr="00C474B9" w:rsidRDefault="0002131B" w:rsidP="00C4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7D5"/>
    <w:multiLevelType w:val="hybridMultilevel"/>
    <w:tmpl w:val="46C8F25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17C012F"/>
    <w:multiLevelType w:val="hybridMultilevel"/>
    <w:tmpl w:val="924C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592B"/>
    <w:multiLevelType w:val="hybridMultilevel"/>
    <w:tmpl w:val="28580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34188"/>
    <w:multiLevelType w:val="hybridMultilevel"/>
    <w:tmpl w:val="6EEC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E88"/>
    <w:multiLevelType w:val="hybridMultilevel"/>
    <w:tmpl w:val="D2FA644C"/>
    <w:lvl w:ilvl="0" w:tplc="02302D00">
      <w:start w:val="1"/>
      <w:numFmt w:val="decimal"/>
      <w:lvlText w:val="%1."/>
      <w:lvlJc w:val="left"/>
      <w:pPr>
        <w:ind w:left="2159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5" w15:restartNumberingAfterBreak="0">
    <w:nsid w:val="796C768D"/>
    <w:multiLevelType w:val="hybridMultilevel"/>
    <w:tmpl w:val="924CE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4452">
    <w:abstractNumId w:val="2"/>
  </w:num>
  <w:num w:numId="2" w16cid:durableId="1805003315">
    <w:abstractNumId w:val="0"/>
  </w:num>
  <w:num w:numId="3" w16cid:durableId="1470779795">
    <w:abstractNumId w:val="3"/>
  </w:num>
  <w:num w:numId="4" w16cid:durableId="573198542">
    <w:abstractNumId w:val="4"/>
  </w:num>
  <w:num w:numId="5" w16cid:durableId="838085523">
    <w:abstractNumId w:val="5"/>
  </w:num>
  <w:num w:numId="6" w16cid:durableId="998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3B"/>
    <w:rsid w:val="00005DD5"/>
    <w:rsid w:val="00007D6C"/>
    <w:rsid w:val="000112E8"/>
    <w:rsid w:val="0001798A"/>
    <w:rsid w:val="00020C0E"/>
    <w:rsid w:val="0002131B"/>
    <w:rsid w:val="00033DE1"/>
    <w:rsid w:val="000406E6"/>
    <w:rsid w:val="00052F62"/>
    <w:rsid w:val="000567E8"/>
    <w:rsid w:val="00056CFA"/>
    <w:rsid w:val="000607A9"/>
    <w:rsid w:val="0006381D"/>
    <w:rsid w:val="0007014F"/>
    <w:rsid w:val="00073530"/>
    <w:rsid w:val="00087D45"/>
    <w:rsid w:val="000A2697"/>
    <w:rsid w:val="000A418F"/>
    <w:rsid w:val="000A5A09"/>
    <w:rsid w:val="000C3319"/>
    <w:rsid w:val="000C4667"/>
    <w:rsid w:val="000D0711"/>
    <w:rsid w:val="000D2E75"/>
    <w:rsid w:val="000D53E1"/>
    <w:rsid w:val="000E18F9"/>
    <w:rsid w:val="000E1FDD"/>
    <w:rsid w:val="000F1003"/>
    <w:rsid w:val="001008FA"/>
    <w:rsid w:val="0011187F"/>
    <w:rsid w:val="00120F98"/>
    <w:rsid w:val="001265D5"/>
    <w:rsid w:val="00130C52"/>
    <w:rsid w:val="00170E76"/>
    <w:rsid w:val="001A4125"/>
    <w:rsid w:val="001B2AF7"/>
    <w:rsid w:val="001C48FB"/>
    <w:rsid w:val="001D484A"/>
    <w:rsid w:val="001E01F4"/>
    <w:rsid w:val="001E2C78"/>
    <w:rsid w:val="001E67DC"/>
    <w:rsid w:val="001F2DD5"/>
    <w:rsid w:val="00200909"/>
    <w:rsid w:val="00200DFE"/>
    <w:rsid w:val="00203B5E"/>
    <w:rsid w:val="0020407C"/>
    <w:rsid w:val="0021185B"/>
    <w:rsid w:val="00213360"/>
    <w:rsid w:val="002149BF"/>
    <w:rsid w:val="002252A6"/>
    <w:rsid w:val="00231325"/>
    <w:rsid w:val="00236852"/>
    <w:rsid w:val="002406F0"/>
    <w:rsid w:val="00240AD4"/>
    <w:rsid w:val="0024231B"/>
    <w:rsid w:val="0024618B"/>
    <w:rsid w:val="00257C56"/>
    <w:rsid w:val="0026246C"/>
    <w:rsid w:val="00265703"/>
    <w:rsid w:val="00267A24"/>
    <w:rsid w:val="002705BA"/>
    <w:rsid w:val="00272247"/>
    <w:rsid w:val="00281F59"/>
    <w:rsid w:val="0028739F"/>
    <w:rsid w:val="002979A9"/>
    <w:rsid w:val="002A2858"/>
    <w:rsid w:val="002A2889"/>
    <w:rsid w:val="002B245F"/>
    <w:rsid w:val="002C4447"/>
    <w:rsid w:val="002C5942"/>
    <w:rsid w:val="002C70D6"/>
    <w:rsid w:val="002D00EE"/>
    <w:rsid w:val="002D0373"/>
    <w:rsid w:val="002D17DF"/>
    <w:rsid w:val="002D1FDA"/>
    <w:rsid w:val="002E3050"/>
    <w:rsid w:val="00310E40"/>
    <w:rsid w:val="00313295"/>
    <w:rsid w:val="00330BA5"/>
    <w:rsid w:val="00340859"/>
    <w:rsid w:val="00363A35"/>
    <w:rsid w:val="0036486C"/>
    <w:rsid w:val="00365A8C"/>
    <w:rsid w:val="00374A4E"/>
    <w:rsid w:val="00377093"/>
    <w:rsid w:val="00377346"/>
    <w:rsid w:val="00385DB1"/>
    <w:rsid w:val="003B4314"/>
    <w:rsid w:val="003B5317"/>
    <w:rsid w:val="003C5A5F"/>
    <w:rsid w:val="003C5DD5"/>
    <w:rsid w:val="003E39E7"/>
    <w:rsid w:val="003E5235"/>
    <w:rsid w:val="003E5632"/>
    <w:rsid w:val="003E7D07"/>
    <w:rsid w:val="003F4101"/>
    <w:rsid w:val="003F54D1"/>
    <w:rsid w:val="00400727"/>
    <w:rsid w:val="0040658B"/>
    <w:rsid w:val="00412076"/>
    <w:rsid w:val="00416C9E"/>
    <w:rsid w:val="00436363"/>
    <w:rsid w:val="00436A4C"/>
    <w:rsid w:val="00452C30"/>
    <w:rsid w:val="00461E33"/>
    <w:rsid w:val="00465D76"/>
    <w:rsid w:val="00476C76"/>
    <w:rsid w:val="00482DD7"/>
    <w:rsid w:val="0049756D"/>
    <w:rsid w:val="004A087C"/>
    <w:rsid w:val="004B6187"/>
    <w:rsid w:val="004D1EA4"/>
    <w:rsid w:val="004D480E"/>
    <w:rsid w:val="004D5177"/>
    <w:rsid w:val="004E17A2"/>
    <w:rsid w:val="004E190C"/>
    <w:rsid w:val="004E62C5"/>
    <w:rsid w:val="004F7A39"/>
    <w:rsid w:val="00503B8A"/>
    <w:rsid w:val="00515E29"/>
    <w:rsid w:val="00523825"/>
    <w:rsid w:val="00527125"/>
    <w:rsid w:val="00527D7D"/>
    <w:rsid w:val="00531660"/>
    <w:rsid w:val="00536BA7"/>
    <w:rsid w:val="005470C5"/>
    <w:rsid w:val="005503E6"/>
    <w:rsid w:val="005504D5"/>
    <w:rsid w:val="00561836"/>
    <w:rsid w:val="005720DB"/>
    <w:rsid w:val="00573937"/>
    <w:rsid w:val="0057614E"/>
    <w:rsid w:val="005865A7"/>
    <w:rsid w:val="00594DFD"/>
    <w:rsid w:val="005956D3"/>
    <w:rsid w:val="005B3FD6"/>
    <w:rsid w:val="005B5812"/>
    <w:rsid w:val="005D1B0F"/>
    <w:rsid w:val="005E0FCD"/>
    <w:rsid w:val="005F5D46"/>
    <w:rsid w:val="00601D5B"/>
    <w:rsid w:val="006220BA"/>
    <w:rsid w:val="00624BAC"/>
    <w:rsid w:val="00640B31"/>
    <w:rsid w:val="006479F4"/>
    <w:rsid w:val="00651E39"/>
    <w:rsid w:val="00674B2E"/>
    <w:rsid w:val="00675332"/>
    <w:rsid w:val="0069259B"/>
    <w:rsid w:val="006961D2"/>
    <w:rsid w:val="006A2FE6"/>
    <w:rsid w:val="006B1A05"/>
    <w:rsid w:val="006B1ACE"/>
    <w:rsid w:val="006B2260"/>
    <w:rsid w:val="006B2DA9"/>
    <w:rsid w:val="006C04CB"/>
    <w:rsid w:val="006E112F"/>
    <w:rsid w:val="006E25E9"/>
    <w:rsid w:val="006E275E"/>
    <w:rsid w:val="006F079C"/>
    <w:rsid w:val="006F7AEF"/>
    <w:rsid w:val="0070464A"/>
    <w:rsid w:val="00705FC4"/>
    <w:rsid w:val="00705FE6"/>
    <w:rsid w:val="00713445"/>
    <w:rsid w:val="00735C8E"/>
    <w:rsid w:val="00771505"/>
    <w:rsid w:val="007740F9"/>
    <w:rsid w:val="00776732"/>
    <w:rsid w:val="00792EE7"/>
    <w:rsid w:val="00796AA4"/>
    <w:rsid w:val="007B0EB2"/>
    <w:rsid w:val="007B4290"/>
    <w:rsid w:val="007C28EE"/>
    <w:rsid w:val="007E7476"/>
    <w:rsid w:val="007F06C2"/>
    <w:rsid w:val="007F1C2A"/>
    <w:rsid w:val="00802E2B"/>
    <w:rsid w:val="00813E62"/>
    <w:rsid w:val="00821BC0"/>
    <w:rsid w:val="00824E36"/>
    <w:rsid w:val="00827E72"/>
    <w:rsid w:val="00833EE3"/>
    <w:rsid w:val="00835818"/>
    <w:rsid w:val="00851547"/>
    <w:rsid w:val="0085194E"/>
    <w:rsid w:val="00856433"/>
    <w:rsid w:val="00857139"/>
    <w:rsid w:val="00861AEC"/>
    <w:rsid w:val="00862EE0"/>
    <w:rsid w:val="00865CC6"/>
    <w:rsid w:val="00876841"/>
    <w:rsid w:val="00876B9C"/>
    <w:rsid w:val="00897512"/>
    <w:rsid w:val="008A174E"/>
    <w:rsid w:val="008A33A8"/>
    <w:rsid w:val="008A5E22"/>
    <w:rsid w:val="008A60A5"/>
    <w:rsid w:val="008B4C5D"/>
    <w:rsid w:val="008D2C31"/>
    <w:rsid w:val="008D6ADD"/>
    <w:rsid w:val="008F43E9"/>
    <w:rsid w:val="009013B8"/>
    <w:rsid w:val="00914A68"/>
    <w:rsid w:val="00923CD2"/>
    <w:rsid w:val="00924D95"/>
    <w:rsid w:val="009262D4"/>
    <w:rsid w:val="00931C43"/>
    <w:rsid w:val="00936424"/>
    <w:rsid w:val="00936AB4"/>
    <w:rsid w:val="00957025"/>
    <w:rsid w:val="00961304"/>
    <w:rsid w:val="00965908"/>
    <w:rsid w:val="00967829"/>
    <w:rsid w:val="00973684"/>
    <w:rsid w:val="00982493"/>
    <w:rsid w:val="00987C5D"/>
    <w:rsid w:val="00992BDE"/>
    <w:rsid w:val="009A4E18"/>
    <w:rsid w:val="009A76C1"/>
    <w:rsid w:val="009B3DBB"/>
    <w:rsid w:val="00A01EB2"/>
    <w:rsid w:val="00A027A8"/>
    <w:rsid w:val="00A03A68"/>
    <w:rsid w:val="00A12F93"/>
    <w:rsid w:val="00A15468"/>
    <w:rsid w:val="00A16CDF"/>
    <w:rsid w:val="00A23973"/>
    <w:rsid w:val="00A2531C"/>
    <w:rsid w:val="00A25F9D"/>
    <w:rsid w:val="00A30F3E"/>
    <w:rsid w:val="00A46033"/>
    <w:rsid w:val="00A92405"/>
    <w:rsid w:val="00AA1E34"/>
    <w:rsid w:val="00AA5A3B"/>
    <w:rsid w:val="00AC11F7"/>
    <w:rsid w:val="00AD1889"/>
    <w:rsid w:val="00AE2D0D"/>
    <w:rsid w:val="00AE431B"/>
    <w:rsid w:val="00AE5B14"/>
    <w:rsid w:val="00B27767"/>
    <w:rsid w:val="00B30A0C"/>
    <w:rsid w:val="00B32A26"/>
    <w:rsid w:val="00B37DE0"/>
    <w:rsid w:val="00B446FC"/>
    <w:rsid w:val="00B5158F"/>
    <w:rsid w:val="00B515C4"/>
    <w:rsid w:val="00B61214"/>
    <w:rsid w:val="00B62924"/>
    <w:rsid w:val="00B662BC"/>
    <w:rsid w:val="00B6665A"/>
    <w:rsid w:val="00B76FFA"/>
    <w:rsid w:val="00B83FFA"/>
    <w:rsid w:val="00B97B8B"/>
    <w:rsid w:val="00BA1307"/>
    <w:rsid w:val="00BA21AC"/>
    <w:rsid w:val="00BA268C"/>
    <w:rsid w:val="00BA5FE9"/>
    <w:rsid w:val="00BB21C5"/>
    <w:rsid w:val="00BC29AB"/>
    <w:rsid w:val="00BC4B72"/>
    <w:rsid w:val="00BC63D5"/>
    <w:rsid w:val="00BC6DF8"/>
    <w:rsid w:val="00BD09B2"/>
    <w:rsid w:val="00BD3CA5"/>
    <w:rsid w:val="00BE41B3"/>
    <w:rsid w:val="00C05953"/>
    <w:rsid w:val="00C236D4"/>
    <w:rsid w:val="00C27F7B"/>
    <w:rsid w:val="00C315AD"/>
    <w:rsid w:val="00C34169"/>
    <w:rsid w:val="00C4249F"/>
    <w:rsid w:val="00C4534D"/>
    <w:rsid w:val="00C474B9"/>
    <w:rsid w:val="00C53398"/>
    <w:rsid w:val="00C64F47"/>
    <w:rsid w:val="00C6545E"/>
    <w:rsid w:val="00C71865"/>
    <w:rsid w:val="00C74FB6"/>
    <w:rsid w:val="00C91E11"/>
    <w:rsid w:val="00C92405"/>
    <w:rsid w:val="00CA067F"/>
    <w:rsid w:val="00CA1E9D"/>
    <w:rsid w:val="00CA3599"/>
    <w:rsid w:val="00CA5AF3"/>
    <w:rsid w:val="00CB1A70"/>
    <w:rsid w:val="00CC190F"/>
    <w:rsid w:val="00CE3C22"/>
    <w:rsid w:val="00CE4A88"/>
    <w:rsid w:val="00CE5028"/>
    <w:rsid w:val="00CE55A0"/>
    <w:rsid w:val="00CF4C3A"/>
    <w:rsid w:val="00CF4D64"/>
    <w:rsid w:val="00D16229"/>
    <w:rsid w:val="00D33AC3"/>
    <w:rsid w:val="00D3629C"/>
    <w:rsid w:val="00D37835"/>
    <w:rsid w:val="00D43932"/>
    <w:rsid w:val="00D50477"/>
    <w:rsid w:val="00D517AB"/>
    <w:rsid w:val="00D62E1A"/>
    <w:rsid w:val="00D70AFC"/>
    <w:rsid w:val="00D714C2"/>
    <w:rsid w:val="00D77263"/>
    <w:rsid w:val="00D7740E"/>
    <w:rsid w:val="00D870D7"/>
    <w:rsid w:val="00DA447F"/>
    <w:rsid w:val="00DA4563"/>
    <w:rsid w:val="00DC26E9"/>
    <w:rsid w:val="00DC2EFF"/>
    <w:rsid w:val="00DE7FF0"/>
    <w:rsid w:val="00DF352C"/>
    <w:rsid w:val="00DF4E04"/>
    <w:rsid w:val="00E07484"/>
    <w:rsid w:val="00E220DC"/>
    <w:rsid w:val="00E27E2C"/>
    <w:rsid w:val="00E34D30"/>
    <w:rsid w:val="00E43AAB"/>
    <w:rsid w:val="00E46C17"/>
    <w:rsid w:val="00E515A3"/>
    <w:rsid w:val="00E61041"/>
    <w:rsid w:val="00E63021"/>
    <w:rsid w:val="00E70ED9"/>
    <w:rsid w:val="00E802D9"/>
    <w:rsid w:val="00EA0A7D"/>
    <w:rsid w:val="00EB03B4"/>
    <w:rsid w:val="00EB5611"/>
    <w:rsid w:val="00EC2CB2"/>
    <w:rsid w:val="00ED56D7"/>
    <w:rsid w:val="00ED620B"/>
    <w:rsid w:val="00F0173D"/>
    <w:rsid w:val="00F22EEE"/>
    <w:rsid w:val="00F71853"/>
    <w:rsid w:val="00F77124"/>
    <w:rsid w:val="00F863C2"/>
    <w:rsid w:val="00F8777E"/>
    <w:rsid w:val="00FA1231"/>
    <w:rsid w:val="00FA4E6C"/>
    <w:rsid w:val="00FB6C95"/>
    <w:rsid w:val="00FC6650"/>
    <w:rsid w:val="00FC7475"/>
    <w:rsid w:val="00FC7926"/>
    <w:rsid w:val="00FD210C"/>
    <w:rsid w:val="00FD6FE0"/>
    <w:rsid w:val="00FF5280"/>
    <w:rsid w:val="00FF58C6"/>
    <w:rsid w:val="00FF6542"/>
    <w:rsid w:val="028449AE"/>
    <w:rsid w:val="03606849"/>
    <w:rsid w:val="096121FC"/>
    <w:rsid w:val="26F38350"/>
    <w:rsid w:val="2B5F698E"/>
    <w:rsid w:val="2F06A0E1"/>
    <w:rsid w:val="573F6D61"/>
    <w:rsid w:val="5A55E7F5"/>
    <w:rsid w:val="616BD621"/>
    <w:rsid w:val="746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1ECBC"/>
  <w15:docId w15:val="{3B29989E-C4EA-46F5-9961-AA51865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3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5A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2EEE"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856433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uiPriority w:val="99"/>
    <w:rsid w:val="008564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E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64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2EE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64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63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link w:val="ContentChar"/>
    <w:qFormat/>
    <w:rsid w:val="00A30F3E"/>
    <w:pPr>
      <w:spacing w:line="276" w:lineRule="auto"/>
    </w:pPr>
    <w:rPr>
      <w:rFonts w:asciiTheme="minorHAnsi" w:eastAsiaTheme="minorEastAsia" w:hAnsiTheme="minorHAnsi" w:cstheme="minorBidi"/>
      <w:color w:val="1F497D" w:themeColor="text2"/>
      <w:sz w:val="28"/>
      <w:szCs w:val="22"/>
    </w:rPr>
  </w:style>
  <w:style w:type="character" w:customStyle="1" w:styleId="ContentChar">
    <w:name w:val="Content Char"/>
    <w:basedOn w:val="DefaultParagraphFont"/>
    <w:link w:val="Content"/>
    <w:rsid w:val="00A30F3E"/>
    <w:rPr>
      <w:rFonts w:asciiTheme="minorHAnsi" w:eastAsiaTheme="minorEastAsia" w:hAnsiTheme="minorHAnsi" w:cstheme="minorBidi"/>
      <w:color w:val="1F497D" w:themeColor="text2"/>
      <w:sz w:val="28"/>
    </w:rPr>
  </w:style>
  <w:style w:type="character" w:styleId="Hyperlink">
    <w:name w:val="Hyperlink"/>
    <w:basedOn w:val="DefaultParagraphFont"/>
    <w:uiPriority w:val="99"/>
    <w:unhideWhenUsed/>
    <w:rsid w:val="00A30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9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F06C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F06C2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7F06C2"/>
    <w:pPr>
      <w:widowControl w:val="0"/>
      <w:autoSpaceDE w:val="0"/>
      <w:autoSpaceDN w:val="0"/>
      <w:spacing w:before="179"/>
      <w:ind w:left="2160" w:hanging="361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1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7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gislature.idaho.gov/statutesrules/idstat/Title39/T39CH52/SECT39-5208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gislature.idaho.gov/statutesrules/idstat/Title39/T39CH52/SECT39-520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gislature.idaho.gov/statutesrules/idstat/Title39/T39CH52/SECT39-5203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egislature.idaho.gov/statutesrules/idstat/Title39/T39CH52/SECT39-520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gislature.idaho.gov/statutesrules/idstat/title18/t18ch9/sect18-9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CBD562951A43A2469A6363D38A7D" ma:contentTypeVersion="4" ma:contentTypeDescription="Create a new document." ma:contentTypeScope="" ma:versionID="0fa84e8a362f2e12d72476902c284950">
  <xsd:schema xmlns:xsd="http://www.w3.org/2001/XMLSchema" xmlns:xs="http://www.w3.org/2001/XMLSchema" xmlns:p="http://schemas.microsoft.com/office/2006/metadata/properties" xmlns:ns2="63c1604d-ef01-43cc-bcd2-80842ef01d6b" xmlns:ns3="e320ff97-4442-431e-bb08-94a2d8cf4e84" targetNamespace="http://schemas.microsoft.com/office/2006/metadata/properties" ma:root="true" ma:fieldsID="18b3614140328f18105fe468e7e2cad6" ns2:_="" ns3:_="">
    <xsd:import namespace="63c1604d-ef01-43cc-bcd2-80842ef01d6b"/>
    <xsd:import namespace="e320ff97-4442-431e-bb08-94a2d8cf4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604d-ef01-43cc-bcd2-80842ef01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0ff97-4442-431e-bb08-94a2d8cf4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823D3-E97B-48D9-94E4-3C53F4C3C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2485F-3DA3-4437-9E14-85514772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1604d-ef01-43cc-bcd2-80842ef01d6b"/>
    <ds:schemaRef ds:uri="e320ff97-4442-431e-bb08-94a2d8cf4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15940-E57E-429D-B16D-089DC7362F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6173</Characters>
  <Application>Microsoft Office Word</Application>
  <DocSecurity>0</DocSecurity>
  <Lines>363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Christopher Davis</cp:lastModifiedBy>
  <cp:revision>3</cp:revision>
  <cp:lastPrinted>2022-08-23T17:13:00Z</cp:lastPrinted>
  <dcterms:created xsi:type="dcterms:W3CDTF">2024-09-03T16:12:00Z</dcterms:created>
  <dcterms:modified xsi:type="dcterms:W3CDTF">2025-06-24T23:10:00Z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0x010100FD71CBD562951A43A2469A6363D38A7D</vt:lpwstr>
  </property>
  <property fmtid="{D5CDD505-2E9C-101B-9397-08002B2CF9AE}" pid="3" name="GrammarlyDocumentId">
    <vt:lpwstr>0c8d3219-5d92-4dea-992b-40004a3bb5b6</vt:lpwstr>
  </property>
</Properties>
</file>