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FFF69" w14:textId="77777777" w:rsidR="001935A7" w:rsidRPr="00250391" w:rsidRDefault="001935A7" w:rsidP="00FC30BB">
      <w:pPr>
        <w:pStyle w:val="Heading1"/>
        <w:spacing w:before="0"/>
        <w:rPr>
          <w:rFonts w:ascii="Arial" w:hAnsi="Arial" w:cs="Arial"/>
          <w:i/>
          <w:color w:val="000080"/>
          <w:szCs w:val="24"/>
        </w:rPr>
      </w:pPr>
      <w:bookmarkStart w:id="0" w:name="OLE_LINK2"/>
      <w:bookmarkStart w:id="1" w:name="OLE_LINK1"/>
      <w:r w:rsidRPr="00250391">
        <w:rPr>
          <w:rFonts w:ascii="Arial" w:hAnsi="Arial" w:cs="Arial"/>
          <w:i/>
          <w:color w:val="000080"/>
          <w:szCs w:val="24"/>
        </w:rPr>
        <w:t>Part I – Agency Profile</w:t>
      </w:r>
      <w:bookmarkEnd w:id="0"/>
      <w:bookmarkEnd w:id="1"/>
    </w:p>
    <w:p w14:paraId="58E65515" w14:textId="77777777" w:rsidR="007C157C" w:rsidRDefault="007C157C" w:rsidP="00F666A4">
      <w:pPr>
        <w:rPr>
          <w:rFonts w:ascii="Arial" w:hAnsi="Arial" w:cs="Arial"/>
          <w:b/>
          <w:bCs/>
        </w:rPr>
      </w:pPr>
    </w:p>
    <w:p w14:paraId="5691872F" w14:textId="77777777" w:rsidR="00D00B5E" w:rsidRDefault="0064735C" w:rsidP="006B0941">
      <w:pPr>
        <w:jc w:val="both"/>
        <w:rPr>
          <w:rFonts w:ascii="Arial" w:hAnsi="Arial" w:cs="Arial"/>
          <w:color w:val="000000"/>
          <w:sz w:val="20"/>
          <w:szCs w:val="20"/>
        </w:rPr>
      </w:pPr>
      <w:r w:rsidRPr="00D00B5E">
        <w:rPr>
          <w:rFonts w:ascii="Arial" w:hAnsi="Arial" w:cs="Arial"/>
          <w:b/>
          <w:bCs/>
        </w:rPr>
        <w:t>Agency Overview</w:t>
      </w:r>
    </w:p>
    <w:p w14:paraId="175ADCE0" w14:textId="6FCAEA75" w:rsidR="0064735C" w:rsidRPr="00D00B5E" w:rsidRDefault="0064735C" w:rsidP="006B0941">
      <w:pPr>
        <w:jc w:val="both"/>
        <w:rPr>
          <w:rFonts w:ascii="Arial" w:hAnsi="Arial" w:cs="Arial"/>
          <w:color w:val="000000"/>
          <w:sz w:val="20"/>
          <w:szCs w:val="20"/>
        </w:rPr>
      </w:pPr>
      <w:r w:rsidRPr="00D00B5E">
        <w:rPr>
          <w:rFonts w:ascii="Arial" w:hAnsi="Arial" w:cs="Arial"/>
          <w:color w:val="000000"/>
          <w:sz w:val="20"/>
          <w:szCs w:val="20"/>
        </w:rPr>
        <w:t xml:space="preserve"> </w:t>
      </w:r>
    </w:p>
    <w:p w14:paraId="13D8337A" w14:textId="1181A2A2" w:rsidR="0064735C" w:rsidRDefault="0064735C" w:rsidP="00A91D91">
      <w:pPr>
        <w:rPr>
          <w:rFonts w:ascii="Arial" w:hAnsi="Arial" w:cs="Arial"/>
          <w:color w:val="000000"/>
          <w:sz w:val="20"/>
          <w:szCs w:val="20"/>
        </w:rPr>
      </w:pPr>
      <w:r w:rsidRPr="006B0941">
        <w:rPr>
          <w:rFonts w:ascii="Arial" w:hAnsi="Arial" w:cs="Arial"/>
          <w:color w:val="000000"/>
          <w:sz w:val="20"/>
          <w:szCs w:val="20"/>
        </w:rPr>
        <w:t xml:space="preserve">The Idaho State Lottery </w:t>
      </w:r>
      <w:r w:rsidR="004F5499" w:rsidRPr="006B0941">
        <w:rPr>
          <w:rFonts w:ascii="Arial" w:hAnsi="Arial" w:cs="Arial"/>
          <w:color w:val="000000"/>
          <w:sz w:val="20"/>
          <w:szCs w:val="20"/>
        </w:rPr>
        <w:t>was</w:t>
      </w:r>
      <w:r w:rsidRPr="006B0941">
        <w:rPr>
          <w:rFonts w:ascii="Arial" w:hAnsi="Arial" w:cs="Arial"/>
          <w:color w:val="000000"/>
          <w:sz w:val="20"/>
          <w:szCs w:val="20"/>
        </w:rPr>
        <w:t xml:space="preserve"> estab</w:t>
      </w:r>
      <w:r w:rsidR="00332AB9" w:rsidRPr="006B0941">
        <w:rPr>
          <w:rFonts w:ascii="Arial" w:hAnsi="Arial" w:cs="Arial"/>
          <w:color w:val="000000"/>
          <w:sz w:val="20"/>
          <w:szCs w:val="20"/>
        </w:rPr>
        <w:t xml:space="preserve">lished by </w:t>
      </w:r>
      <w:r w:rsidR="004F5499" w:rsidRPr="006B0941">
        <w:rPr>
          <w:rFonts w:ascii="Arial" w:hAnsi="Arial" w:cs="Arial"/>
          <w:color w:val="000000"/>
          <w:sz w:val="20"/>
          <w:szCs w:val="20"/>
        </w:rPr>
        <w:t xml:space="preserve">citizen initiative in 1988 and is governed by </w:t>
      </w:r>
      <w:r w:rsidR="00332AB9" w:rsidRPr="006B0941">
        <w:rPr>
          <w:rFonts w:ascii="Arial" w:hAnsi="Arial" w:cs="Arial"/>
          <w:color w:val="000000"/>
          <w:sz w:val="20"/>
          <w:szCs w:val="20"/>
        </w:rPr>
        <w:t xml:space="preserve">Title 67, Chapter 74, </w:t>
      </w:r>
      <w:r w:rsidRPr="006B0941">
        <w:rPr>
          <w:rFonts w:ascii="Arial" w:hAnsi="Arial" w:cs="Arial"/>
          <w:i/>
          <w:iCs/>
          <w:color w:val="000000"/>
          <w:sz w:val="20"/>
          <w:szCs w:val="20"/>
        </w:rPr>
        <w:t>Idaho Code</w:t>
      </w:r>
      <w:r w:rsidRPr="006B0941">
        <w:rPr>
          <w:rFonts w:ascii="Arial" w:hAnsi="Arial" w:cs="Arial"/>
          <w:color w:val="000000"/>
          <w:sz w:val="20"/>
          <w:szCs w:val="20"/>
        </w:rPr>
        <w:t xml:space="preserve"> for the purpose of operating the state lottery at the least public expense and </w:t>
      </w:r>
      <w:r w:rsidR="00D01F54" w:rsidRPr="006B0941">
        <w:rPr>
          <w:rFonts w:ascii="Arial" w:hAnsi="Arial" w:cs="Arial"/>
          <w:color w:val="000000"/>
          <w:sz w:val="20"/>
          <w:szCs w:val="20"/>
        </w:rPr>
        <w:t xml:space="preserve">the smallest staffing possible. </w:t>
      </w:r>
      <w:r w:rsidR="001430B0" w:rsidRPr="001430B0">
        <w:rPr>
          <w:rFonts w:ascii="Arial" w:hAnsi="Arial" w:cs="Arial"/>
          <w:i/>
          <w:iCs/>
          <w:color w:val="000000"/>
          <w:sz w:val="20"/>
          <w:szCs w:val="20"/>
        </w:rPr>
        <w:t>Idaho Code</w:t>
      </w:r>
      <w:r w:rsidR="001430B0">
        <w:rPr>
          <w:rFonts w:ascii="Arial" w:hAnsi="Arial" w:cs="Arial"/>
          <w:color w:val="000000"/>
          <w:sz w:val="20"/>
          <w:szCs w:val="20"/>
        </w:rPr>
        <w:t xml:space="preserve"> </w:t>
      </w:r>
      <w:r w:rsidR="00563455">
        <w:rPr>
          <w:rFonts w:ascii="Arial" w:hAnsi="Arial" w:cs="Arial"/>
          <w:color w:val="000000"/>
          <w:sz w:val="20"/>
          <w:szCs w:val="20"/>
        </w:rPr>
        <w:t xml:space="preserve">Title </w:t>
      </w:r>
      <w:r w:rsidR="001430B0">
        <w:rPr>
          <w:rFonts w:ascii="Arial" w:hAnsi="Arial" w:cs="Arial"/>
          <w:color w:val="000000"/>
          <w:sz w:val="20"/>
          <w:szCs w:val="20"/>
        </w:rPr>
        <w:t xml:space="preserve">67, Chapter 7403 specifically </w:t>
      </w:r>
      <w:r w:rsidR="0006549B">
        <w:rPr>
          <w:rFonts w:ascii="Arial" w:hAnsi="Arial" w:cs="Arial"/>
          <w:color w:val="000000"/>
          <w:sz w:val="20"/>
          <w:szCs w:val="20"/>
        </w:rPr>
        <w:t>states</w:t>
      </w:r>
      <w:r w:rsidR="001430B0">
        <w:rPr>
          <w:rFonts w:ascii="Arial" w:hAnsi="Arial" w:cs="Arial"/>
          <w:color w:val="000000"/>
          <w:sz w:val="20"/>
          <w:szCs w:val="20"/>
        </w:rPr>
        <w:t>, “…</w:t>
      </w:r>
      <w:r w:rsidR="001430B0" w:rsidRPr="00563455">
        <w:rPr>
          <w:rFonts w:ascii="Arial" w:hAnsi="Arial" w:cs="Arial"/>
          <w:b/>
          <w:bCs/>
          <w:i/>
          <w:iCs/>
          <w:color w:val="000000"/>
          <w:sz w:val="20"/>
          <w:szCs w:val="20"/>
        </w:rPr>
        <w:t>The lottery shall be operated to produce the maximum amount of net income to benefit the public purposes described in this chapter</w:t>
      </w:r>
      <w:r w:rsidR="001430B0">
        <w:rPr>
          <w:rFonts w:ascii="Arial" w:hAnsi="Arial" w:cs="Arial"/>
          <w:color w:val="000000"/>
          <w:sz w:val="20"/>
          <w:szCs w:val="20"/>
        </w:rPr>
        <w:t xml:space="preserve">…”  </w:t>
      </w:r>
      <w:r w:rsidRPr="006B0941">
        <w:rPr>
          <w:rFonts w:ascii="Arial" w:hAnsi="Arial" w:cs="Arial"/>
          <w:color w:val="000000"/>
          <w:sz w:val="20"/>
          <w:szCs w:val="20"/>
        </w:rPr>
        <w:t>Organizationally, the Idaho Lottery is categorized as a Self-Governing Agency.</w:t>
      </w:r>
    </w:p>
    <w:p w14:paraId="3548C8F0" w14:textId="4267626C" w:rsidR="004A6751" w:rsidRDefault="004A6751" w:rsidP="00A91D91">
      <w:pPr>
        <w:rPr>
          <w:rFonts w:ascii="Arial" w:hAnsi="Arial" w:cs="Arial"/>
          <w:color w:val="000000"/>
          <w:sz w:val="20"/>
          <w:szCs w:val="20"/>
        </w:rPr>
      </w:pPr>
    </w:p>
    <w:p w14:paraId="56167CFE" w14:textId="783C95E0" w:rsidR="004A6751" w:rsidRDefault="004A6751" w:rsidP="004A6751">
      <w:pPr>
        <w:rPr>
          <w:rFonts w:ascii="Arial" w:hAnsi="Arial" w:cs="Arial"/>
          <w:color w:val="000000"/>
          <w:sz w:val="20"/>
          <w:szCs w:val="20"/>
        </w:rPr>
      </w:pPr>
      <w:r>
        <w:rPr>
          <w:rFonts w:ascii="Arial" w:hAnsi="Arial" w:cs="Arial"/>
          <w:sz w:val="20"/>
          <w:szCs w:val="20"/>
        </w:rPr>
        <w:t xml:space="preserve">The Idaho Lottery was created in 1988 by a vote of the people with the promise that proceeds and dividends from the sale of tickets would be used to benefit public education.  When the Lottery sold its first ticket in July 1989, the annual dividend was split equally between the Idaho Department of Education’s Public School Building Fund Account and the Idaho Department of Administration’s Permanent Building Fund.  </w:t>
      </w:r>
      <w:r>
        <w:rPr>
          <w:rFonts w:ascii="Arial" w:hAnsi="Arial" w:cs="Arial"/>
          <w:color w:val="000000"/>
          <w:sz w:val="20"/>
          <w:szCs w:val="20"/>
        </w:rPr>
        <w:t xml:space="preserve">The Department of Education used Lottery dividends for school facility improvements.  The Permanent Building Fund projects provided maintenance, repair, and capital projects for the State’s permanent facilities, many of which are on college and university campuses.  </w:t>
      </w:r>
      <w:r w:rsidR="007F31CB" w:rsidRPr="007F31CB">
        <w:rPr>
          <w:rFonts w:ascii="Arial" w:hAnsi="Arial" w:cs="Arial"/>
          <w:sz w:val="20"/>
          <w:szCs w:val="20"/>
        </w:rPr>
        <w:t>A 2009 statutory change altered the Lottery proceeds distribution formula so three-eighths went to the Public School Building Fund Account, three-eighths to the Permanent Building Fund, and one quarter to the Department of Education’s Bond Levy Equalization Fund. During the 2024 legislative session the distribution model was altered again. The new changes ensure Idaho Lottery dividends will continue benefiting public school district facilities and providing property tax relief by paying down voter-approved bonds and levies. The statute change eliminated the Bond Levy Equalization Fund while continuing the Department of Education’s five-eighths distribution and three-eighths to the Permanent Building Fund.</w:t>
      </w:r>
    </w:p>
    <w:p w14:paraId="37C5ECF9" w14:textId="77777777" w:rsidR="004A6751" w:rsidRDefault="004A6751" w:rsidP="004A6751">
      <w:pPr>
        <w:rPr>
          <w:rFonts w:ascii="Arial" w:hAnsi="Arial" w:cs="Arial"/>
          <w:color w:val="000000"/>
          <w:sz w:val="20"/>
          <w:szCs w:val="20"/>
        </w:rPr>
      </w:pPr>
    </w:p>
    <w:p w14:paraId="3F20D7FC" w14:textId="224267AE" w:rsidR="004A6751" w:rsidRDefault="004A6751" w:rsidP="004A6751">
      <w:pPr>
        <w:rPr>
          <w:rFonts w:ascii="Arial" w:hAnsi="Arial" w:cs="Arial"/>
          <w:color w:val="000000"/>
          <w:sz w:val="20"/>
          <w:szCs w:val="20"/>
        </w:rPr>
      </w:pPr>
      <w:bookmarkStart w:id="2" w:name="_Hlk48561054"/>
      <w:r>
        <w:rPr>
          <w:rFonts w:ascii="Arial" w:hAnsi="Arial" w:cs="Arial"/>
          <w:color w:val="000000"/>
          <w:sz w:val="20"/>
          <w:szCs w:val="20"/>
        </w:rPr>
        <w:t xml:space="preserve">Since 1989, the Idaho Lottery has returned more </w:t>
      </w:r>
      <w:r w:rsidRPr="00CA6632">
        <w:rPr>
          <w:rFonts w:ascii="Arial" w:hAnsi="Arial" w:cs="Arial"/>
          <w:color w:val="000000"/>
          <w:sz w:val="20"/>
          <w:szCs w:val="20"/>
        </w:rPr>
        <w:t>than $1,</w:t>
      </w:r>
      <w:r w:rsidR="00CA6632" w:rsidRPr="00CA6632">
        <w:rPr>
          <w:rFonts w:ascii="Arial" w:hAnsi="Arial" w:cs="Arial"/>
          <w:color w:val="000000"/>
          <w:sz w:val="20"/>
          <w:szCs w:val="20"/>
        </w:rPr>
        <w:t>273,</w:t>
      </w:r>
      <w:r w:rsidRPr="00CA6632">
        <w:rPr>
          <w:rFonts w:ascii="Arial" w:hAnsi="Arial" w:cs="Arial"/>
          <w:color w:val="000000"/>
          <w:sz w:val="20"/>
          <w:szCs w:val="20"/>
        </w:rPr>
        <w:t>000,000 for</w:t>
      </w:r>
      <w:r>
        <w:rPr>
          <w:rFonts w:ascii="Arial" w:hAnsi="Arial" w:cs="Arial"/>
          <w:color w:val="000000"/>
          <w:sz w:val="20"/>
          <w:szCs w:val="20"/>
        </w:rPr>
        <w:t xml:space="preserve"> its good causes. </w:t>
      </w:r>
    </w:p>
    <w:bookmarkEnd w:id="2"/>
    <w:p w14:paraId="13379331" w14:textId="77777777" w:rsidR="004A6751" w:rsidRPr="006B0941" w:rsidRDefault="004A6751" w:rsidP="00A91D91">
      <w:pPr>
        <w:rPr>
          <w:rFonts w:ascii="Arial" w:hAnsi="Arial" w:cs="Arial"/>
          <w:color w:val="000000"/>
          <w:sz w:val="20"/>
          <w:szCs w:val="20"/>
        </w:rPr>
      </w:pPr>
    </w:p>
    <w:p w14:paraId="4EEA5436" w14:textId="4FE813BA" w:rsidR="0064735C" w:rsidRPr="006B0941" w:rsidRDefault="0064735C" w:rsidP="00A91D91">
      <w:pPr>
        <w:rPr>
          <w:rFonts w:ascii="Arial" w:hAnsi="Arial" w:cs="Arial"/>
          <w:color w:val="000000"/>
          <w:sz w:val="20"/>
          <w:szCs w:val="20"/>
        </w:rPr>
      </w:pPr>
      <w:r w:rsidRPr="006B0941">
        <w:rPr>
          <w:rFonts w:ascii="Arial" w:hAnsi="Arial" w:cs="Arial"/>
          <w:color w:val="000000"/>
          <w:sz w:val="20"/>
          <w:szCs w:val="20"/>
        </w:rPr>
        <w:t>The five-</w:t>
      </w:r>
      <w:r w:rsidR="00760020" w:rsidRPr="006B0941">
        <w:rPr>
          <w:rFonts w:ascii="Arial" w:hAnsi="Arial" w:cs="Arial"/>
          <w:color w:val="000000"/>
          <w:sz w:val="20"/>
          <w:szCs w:val="20"/>
        </w:rPr>
        <w:t xml:space="preserve">members of the Idaho Lottery </w:t>
      </w:r>
      <w:r w:rsidR="00747F33">
        <w:rPr>
          <w:rFonts w:ascii="Arial" w:hAnsi="Arial" w:cs="Arial"/>
          <w:color w:val="000000"/>
          <w:sz w:val="20"/>
          <w:szCs w:val="20"/>
        </w:rPr>
        <w:t>Commission</w:t>
      </w:r>
      <w:r w:rsidR="00760020" w:rsidRPr="006B0941">
        <w:rPr>
          <w:rFonts w:ascii="Arial" w:hAnsi="Arial" w:cs="Arial"/>
          <w:color w:val="000000"/>
          <w:sz w:val="20"/>
          <w:szCs w:val="20"/>
        </w:rPr>
        <w:t xml:space="preserve"> are</w:t>
      </w:r>
      <w:r w:rsidRPr="006B0941">
        <w:rPr>
          <w:rFonts w:ascii="Arial" w:hAnsi="Arial" w:cs="Arial"/>
          <w:color w:val="000000"/>
          <w:sz w:val="20"/>
          <w:szCs w:val="20"/>
        </w:rPr>
        <w:t xml:space="preserve"> appointed by the Governor </w:t>
      </w:r>
      <w:r w:rsidR="00CD322C" w:rsidRPr="006B0941">
        <w:rPr>
          <w:rFonts w:ascii="Arial" w:hAnsi="Arial" w:cs="Arial"/>
          <w:color w:val="000000"/>
          <w:sz w:val="20"/>
          <w:szCs w:val="20"/>
        </w:rPr>
        <w:t xml:space="preserve">and confirmed by the </w:t>
      </w:r>
      <w:r w:rsidR="004F5499" w:rsidRPr="006B0941">
        <w:rPr>
          <w:rFonts w:ascii="Arial" w:hAnsi="Arial" w:cs="Arial"/>
          <w:color w:val="000000"/>
          <w:sz w:val="20"/>
          <w:szCs w:val="20"/>
        </w:rPr>
        <w:t xml:space="preserve">Idaho </w:t>
      </w:r>
      <w:r w:rsidR="00CD322C" w:rsidRPr="006B0941">
        <w:rPr>
          <w:rFonts w:ascii="Arial" w:hAnsi="Arial" w:cs="Arial"/>
          <w:color w:val="000000"/>
          <w:sz w:val="20"/>
          <w:szCs w:val="20"/>
        </w:rPr>
        <w:t xml:space="preserve">Senate </w:t>
      </w:r>
      <w:r w:rsidRPr="006B0941">
        <w:rPr>
          <w:rFonts w:ascii="Arial" w:hAnsi="Arial" w:cs="Arial"/>
          <w:color w:val="000000"/>
          <w:sz w:val="20"/>
          <w:szCs w:val="20"/>
        </w:rPr>
        <w:t>for staggered fiv</w:t>
      </w:r>
      <w:r w:rsidR="00760020" w:rsidRPr="006B0941">
        <w:rPr>
          <w:rFonts w:ascii="Arial" w:hAnsi="Arial" w:cs="Arial"/>
          <w:color w:val="000000"/>
          <w:sz w:val="20"/>
          <w:szCs w:val="20"/>
        </w:rPr>
        <w:t xml:space="preserve">e-year </w:t>
      </w:r>
      <w:r w:rsidR="00332AB9" w:rsidRPr="006B0941">
        <w:rPr>
          <w:rFonts w:ascii="Arial" w:hAnsi="Arial" w:cs="Arial"/>
          <w:color w:val="000000"/>
          <w:sz w:val="20"/>
          <w:szCs w:val="20"/>
        </w:rPr>
        <w:t xml:space="preserve">terms. </w:t>
      </w:r>
      <w:r w:rsidR="00760020" w:rsidRPr="006B0941">
        <w:rPr>
          <w:rFonts w:ascii="Arial" w:hAnsi="Arial" w:cs="Arial"/>
          <w:color w:val="000000"/>
          <w:sz w:val="20"/>
          <w:szCs w:val="20"/>
        </w:rPr>
        <w:t xml:space="preserve">They are </w:t>
      </w:r>
      <w:r w:rsidRPr="006B0941">
        <w:rPr>
          <w:rFonts w:ascii="Arial" w:hAnsi="Arial" w:cs="Arial"/>
          <w:color w:val="000000"/>
          <w:sz w:val="20"/>
          <w:szCs w:val="20"/>
        </w:rPr>
        <w:t>responsible for setting policy for the agency and app</w:t>
      </w:r>
      <w:r w:rsidR="00D01F54" w:rsidRPr="006B0941">
        <w:rPr>
          <w:rFonts w:ascii="Arial" w:hAnsi="Arial" w:cs="Arial"/>
          <w:color w:val="000000"/>
          <w:sz w:val="20"/>
          <w:szCs w:val="20"/>
        </w:rPr>
        <w:t xml:space="preserve">roving all major procurements. </w:t>
      </w:r>
      <w:r w:rsidRPr="006B0941">
        <w:rPr>
          <w:rFonts w:ascii="Arial" w:hAnsi="Arial" w:cs="Arial"/>
          <w:color w:val="000000"/>
          <w:sz w:val="20"/>
          <w:szCs w:val="20"/>
        </w:rPr>
        <w:t>Co</w:t>
      </w:r>
      <w:r w:rsidR="00147AEA" w:rsidRPr="006B0941">
        <w:rPr>
          <w:rFonts w:ascii="Arial" w:hAnsi="Arial" w:cs="Arial"/>
          <w:color w:val="000000"/>
          <w:sz w:val="20"/>
          <w:szCs w:val="20"/>
        </w:rPr>
        <w:t xml:space="preserve">mmission members </w:t>
      </w:r>
      <w:proofErr w:type="gramStart"/>
      <w:r w:rsidR="006A6943">
        <w:rPr>
          <w:rFonts w:ascii="Arial" w:hAnsi="Arial" w:cs="Arial"/>
          <w:color w:val="000000"/>
          <w:sz w:val="20"/>
          <w:szCs w:val="20"/>
        </w:rPr>
        <w:t>include</w:t>
      </w:r>
      <w:r w:rsidR="00147AEA" w:rsidRPr="006B0941">
        <w:rPr>
          <w:rFonts w:ascii="Arial" w:hAnsi="Arial" w:cs="Arial"/>
          <w:color w:val="000000"/>
          <w:sz w:val="20"/>
          <w:szCs w:val="20"/>
        </w:rPr>
        <w:t>:</w:t>
      </w:r>
      <w:proofErr w:type="gramEnd"/>
      <w:r w:rsidR="00147AEA" w:rsidRPr="006B0941">
        <w:rPr>
          <w:rFonts w:ascii="Arial" w:hAnsi="Arial" w:cs="Arial"/>
          <w:color w:val="000000"/>
          <w:sz w:val="20"/>
          <w:szCs w:val="20"/>
        </w:rPr>
        <w:t xml:space="preserve"> </w:t>
      </w:r>
      <w:r w:rsidR="00B55A6A" w:rsidRPr="006B0941">
        <w:rPr>
          <w:rFonts w:ascii="Arial" w:hAnsi="Arial" w:cs="Arial"/>
          <w:color w:val="000000"/>
          <w:sz w:val="20"/>
          <w:szCs w:val="20"/>
        </w:rPr>
        <w:t>Chairman</w:t>
      </w:r>
      <w:r w:rsidR="00EE1A34">
        <w:rPr>
          <w:rFonts w:ascii="Arial" w:hAnsi="Arial" w:cs="Arial"/>
          <w:color w:val="000000"/>
          <w:sz w:val="20"/>
          <w:szCs w:val="20"/>
        </w:rPr>
        <w:t xml:space="preserve"> </w:t>
      </w:r>
      <w:r w:rsidR="00D1143B" w:rsidRPr="006B0941">
        <w:rPr>
          <w:rFonts w:ascii="Arial" w:hAnsi="Arial" w:cs="Arial"/>
          <w:sz w:val="20"/>
          <w:szCs w:val="20"/>
        </w:rPr>
        <w:t>C</w:t>
      </w:r>
      <w:r w:rsidR="00147AEA" w:rsidRPr="006B0941">
        <w:rPr>
          <w:rFonts w:ascii="Arial" w:hAnsi="Arial" w:cs="Arial"/>
          <w:color w:val="000000"/>
          <w:sz w:val="20"/>
          <w:szCs w:val="20"/>
        </w:rPr>
        <w:t>raig Corbett</w:t>
      </w:r>
      <w:r w:rsidR="007C2872" w:rsidRPr="006B0941">
        <w:rPr>
          <w:rFonts w:ascii="Arial" w:hAnsi="Arial" w:cs="Arial"/>
          <w:color w:val="000000"/>
          <w:sz w:val="20"/>
          <w:szCs w:val="20"/>
        </w:rPr>
        <w:t xml:space="preserve"> (</w:t>
      </w:r>
      <w:r w:rsidR="00147AEA" w:rsidRPr="006B0941">
        <w:rPr>
          <w:rFonts w:ascii="Arial" w:hAnsi="Arial" w:cs="Arial"/>
          <w:color w:val="000000"/>
          <w:sz w:val="20"/>
          <w:szCs w:val="20"/>
        </w:rPr>
        <w:t>Grace</w:t>
      </w:r>
      <w:r w:rsidR="007C2872" w:rsidRPr="006B0941">
        <w:rPr>
          <w:rFonts w:ascii="Arial" w:hAnsi="Arial" w:cs="Arial"/>
          <w:color w:val="000000"/>
          <w:sz w:val="20"/>
          <w:szCs w:val="20"/>
        </w:rPr>
        <w:t>)</w:t>
      </w:r>
      <w:r w:rsidR="002D1949" w:rsidRPr="006B0941">
        <w:rPr>
          <w:rFonts w:ascii="Arial" w:hAnsi="Arial" w:cs="Arial"/>
          <w:color w:val="000000"/>
          <w:sz w:val="20"/>
          <w:szCs w:val="20"/>
        </w:rPr>
        <w:t xml:space="preserve">, </w:t>
      </w:r>
      <w:r w:rsidR="00040839">
        <w:rPr>
          <w:rFonts w:ascii="Arial" w:hAnsi="Arial" w:cs="Arial"/>
          <w:color w:val="000000"/>
          <w:sz w:val="20"/>
          <w:szCs w:val="20"/>
        </w:rPr>
        <w:t xml:space="preserve">Susan Kerrick </w:t>
      </w:r>
      <w:r w:rsidR="00B55A6A" w:rsidRPr="006B0941">
        <w:rPr>
          <w:rFonts w:ascii="Arial" w:hAnsi="Arial" w:cs="Arial"/>
          <w:color w:val="000000"/>
          <w:sz w:val="20"/>
          <w:szCs w:val="20"/>
        </w:rPr>
        <w:t>(Lewiston)</w:t>
      </w:r>
      <w:r w:rsidR="006A6943">
        <w:rPr>
          <w:rFonts w:ascii="Arial" w:hAnsi="Arial" w:cs="Arial"/>
          <w:color w:val="000000"/>
          <w:sz w:val="20"/>
          <w:szCs w:val="20"/>
        </w:rPr>
        <w:t xml:space="preserve">, </w:t>
      </w:r>
      <w:r w:rsidR="00ED193B">
        <w:rPr>
          <w:rFonts w:ascii="Arial" w:hAnsi="Arial" w:cs="Arial"/>
          <w:color w:val="000000"/>
          <w:sz w:val="20"/>
          <w:szCs w:val="20"/>
        </w:rPr>
        <w:t>C</w:t>
      </w:r>
      <w:r w:rsidR="006A6943">
        <w:rPr>
          <w:rFonts w:ascii="Arial" w:hAnsi="Arial" w:cs="Arial"/>
          <w:color w:val="000000"/>
          <w:sz w:val="20"/>
          <w:szCs w:val="20"/>
        </w:rPr>
        <w:t>harles ‘Skip’ Smyser</w:t>
      </w:r>
      <w:r w:rsidR="00040839">
        <w:rPr>
          <w:rFonts w:ascii="Arial" w:hAnsi="Arial" w:cs="Arial"/>
          <w:color w:val="000000"/>
          <w:sz w:val="20"/>
          <w:szCs w:val="20"/>
        </w:rPr>
        <w:t xml:space="preserve"> </w:t>
      </w:r>
      <w:r w:rsidR="005F29C4" w:rsidRPr="006B0941">
        <w:rPr>
          <w:rFonts w:ascii="Arial" w:hAnsi="Arial" w:cs="Arial"/>
          <w:color w:val="000000"/>
          <w:sz w:val="20"/>
          <w:szCs w:val="20"/>
        </w:rPr>
        <w:t>(</w:t>
      </w:r>
      <w:r w:rsidR="006A6943">
        <w:rPr>
          <w:rFonts w:ascii="Arial" w:hAnsi="Arial" w:cs="Arial"/>
          <w:color w:val="000000"/>
          <w:sz w:val="20"/>
          <w:szCs w:val="20"/>
        </w:rPr>
        <w:t>Parma</w:t>
      </w:r>
      <w:r w:rsidR="005F29C4" w:rsidRPr="006B0941">
        <w:rPr>
          <w:rFonts w:ascii="Arial" w:hAnsi="Arial" w:cs="Arial"/>
          <w:color w:val="000000"/>
          <w:sz w:val="20"/>
          <w:szCs w:val="20"/>
        </w:rPr>
        <w:t>)</w:t>
      </w:r>
      <w:r w:rsidR="00040839">
        <w:rPr>
          <w:rFonts w:ascii="Arial" w:hAnsi="Arial" w:cs="Arial"/>
          <w:color w:val="000000"/>
          <w:sz w:val="20"/>
          <w:szCs w:val="20"/>
        </w:rPr>
        <w:t>,</w:t>
      </w:r>
      <w:r w:rsidR="009D5ACE">
        <w:rPr>
          <w:rFonts w:ascii="Arial" w:hAnsi="Arial" w:cs="Arial"/>
          <w:color w:val="000000"/>
          <w:sz w:val="20"/>
          <w:szCs w:val="20"/>
        </w:rPr>
        <w:t xml:space="preserve"> </w:t>
      </w:r>
      <w:r w:rsidR="00040839">
        <w:rPr>
          <w:rFonts w:ascii="Arial" w:hAnsi="Arial" w:cs="Arial"/>
          <w:color w:val="000000"/>
          <w:sz w:val="20"/>
          <w:szCs w:val="20"/>
        </w:rPr>
        <w:t>Joni Stright (Boise)</w:t>
      </w:r>
      <w:r w:rsidR="009D5ACE">
        <w:rPr>
          <w:rFonts w:ascii="Arial" w:hAnsi="Arial" w:cs="Arial"/>
          <w:color w:val="000000"/>
          <w:sz w:val="20"/>
          <w:szCs w:val="20"/>
        </w:rPr>
        <w:t xml:space="preserve"> and Amy Bloem (Coeur d’Alene)</w:t>
      </w:r>
      <w:r w:rsidR="00D01F54" w:rsidRPr="006B0941">
        <w:rPr>
          <w:rFonts w:ascii="Arial" w:hAnsi="Arial" w:cs="Arial"/>
          <w:color w:val="000000"/>
          <w:sz w:val="20"/>
          <w:szCs w:val="20"/>
        </w:rPr>
        <w:t xml:space="preserve">. </w:t>
      </w:r>
      <w:r w:rsidR="006A6943">
        <w:rPr>
          <w:rFonts w:ascii="Arial" w:hAnsi="Arial" w:cs="Arial"/>
          <w:color w:val="000000"/>
          <w:sz w:val="20"/>
          <w:szCs w:val="20"/>
        </w:rPr>
        <w:t xml:space="preserve"> </w:t>
      </w:r>
      <w:r w:rsidRPr="006B0941">
        <w:rPr>
          <w:rFonts w:ascii="Arial" w:hAnsi="Arial" w:cs="Arial"/>
          <w:color w:val="000000"/>
          <w:sz w:val="20"/>
          <w:szCs w:val="20"/>
        </w:rPr>
        <w:t>Administrative responsibility for the agency rests with the Director, wh</w:t>
      </w:r>
      <w:r w:rsidR="00F652A3" w:rsidRPr="006B0941">
        <w:rPr>
          <w:rFonts w:ascii="Arial" w:hAnsi="Arial" w:cs="Arial"/>
          <w:color w:val="000000"/>
          <w:sz w:val="20"/>
          <w:szCs w:val="20"/>
        </w:rPr>
        <w:t>o is appointed by the Governor</w:t>
      </w:r>
      <w:r w:rsidR="004F5499" w:rsidRPr="006B0941">
        <w:rPr>
          <w:rFonts w:ascii="Arial" w:hAnsi="Arial" w:cs="Arial"/>
          <w:color w:val="000000"/>
          <w:sz w:val="20"/>
          <w:szCs w:val="20"/>
        </w:rPr>
        <w:t xml:space="preserve"> and confirmed by the Idaho Senate</w:t>
      </w:r>
      <w:r w:rsidR="00F652A3" w:rsidRPr="006B0941">
        <w:rPr>
          <w:rFonts w:ascii="Arial" w:hAnsi="Arial" w:cs="Arial"/>
          <w:color w:val="000000"/>
          <w:sz w:val="20"/>
          <w:szCs w:val="20"/>
        </w:rPr>
        <w:t xml:space="preserve">. </w:t>
      </w:r>
      <w:r w:rsidR="00AC1E4F" w:rsidRPr="006B0941">
        <w:rPr>
          <w:rFonts w:ascii="Arial" w:hAnsi="Arial" w:cs="Arial"/>
          <w:color w:val="000000"/>
          <w:sz w:val="20"/>
          <w:szCs w:val="20"/>
        </w:rPr>
        <w:t>Jeffrey R. Anderson</w:t>
      </w:r>
      <w:r w:rsidR="004F5499" w:rsidRPr="006B0941">
        <w:rPr>
          <w:rFonts w:ascii="Arial" w:hAnsi="Arial" w:cs="Arial"/>
          <w:color w:val="000000"/>
          <w:sz w:val="20"/>
          <w:szCs w:val="20"/>
        </w:rPr>
        <w:t xml:space="preserve"> </w:t>
      </w:r>
      <w:r w:rsidR="00A4647E" w:rsidRPr="006B0941">
        <w:rPr>
          <w:rFonts w:ascii="Arial" w:hAnsi="Arial" w:cs="Arial"/>
          <w:color w:val="000000"/>
          <w:sz w:val="20"/>
          <w:szCs w:val="20"/>
        </w:rPr>
        <w:t xml:space="preserve">served as </w:t>
      </w:r>
      <w:r w:rsidR="00725DE3" w:rsidRPr="006B0941">
        <w:rPr>
          <w:rFonts w:ascii="Arial" w:hAnsi="Arial" w:cs="Arial"/>
          <w:color w:val="000000"/>
          <w:sz w:val="20"/>
          <w:szCs w:val="20"/>
        </w:rPr>
        <w:t xml:space="preserve">the </w:t>
      </w:r>
      <w:r w:rsidR="00FE4A80">
        <w:rPr>
          <w:rFonts w:ascii="Arial" w:hAnsi="Arial" w:cs="Arial"/>
          <w:color w:val="000000"/>
          <w:sz w:val="20"/>
          <w:szCs w:val="20"/>
        </w:rPr>
        <w:t xml:space="preserve">Lottery </w:t>
      </w:r>
      <w:r w:rsidR="00725DE3" w:rsidRPr="006B0941">
        <w:rPr>
          <w:rFonts w:ascii="Arial" w:hAnsi="Arial" w:cs="Arial"/>
          <w:color w:val="000000"/>
          <w:sz w:val="20"/>
          <w:szCs w:val="20"/>
        </w:rPr>
        <w:t>Director</w:t>
      </w:r>
      <w:r w:rsidR="004F5499" w:rsidRPr="006B0941">
        <w:rPr>
          <w:rFonts w:ascii="Arial" w:hAnsi="Arial" w:cs="Arial"/>
          <w:color w:val="000000"/>
          <w:sz w:val="20"/>
          <w:szCs w:val="20"/>
        </w:rPr>
        <w:t xml:space="preserve"> </w:t>
      </w:r>
      <w:r w:rsidR="009D5ACE">
        <w:rPr>
          <w:rFonts w:ascii="Arial" w:hAnsi="Arial" w:cs="Arial"/>
          <w:color w:val="000000"/>
          <w:sz w:val="20"/>
          <w:szCs w:val="20"/>
        </w:rPr>
        <w:t>from</w:t>
      </w:r>
      <w:r w:rsidR="004F5499" w:rsidRPr="006B0941">
        <w:rPr>
          <w:rFonts w:ascii="Arial" w:hAnsi="Arial" w:cs="Arial"/>
          <w:color w:val="000000"/>
          <w:sz w:val="20"/>
          <w:szCs w:val="20"/>
        </w:rPr>
        <w:t xml:space="preserve"> 2007</w:t>
      </w:r>
      <w:r w:rsidR="009D5ACE">
        <w:rPr>
          <w:rFonts w:ascii="Arial" w:hAnsi="Arial" w:cs="Arial"/>
          <w:color w:val="000000"/>
          <w:sz w:val="20"/>
          <w:szCs w:val="20"/>
        </w:rPr>
        <w:t xml:space="preserve"> to July 2024, when he retired. No permanent replacement for Director Anderson has been announced at the time this document is published</w:t>
      </w:r>
      <w:r w:rsidR="00AC1E4F" w:rsidRPr="006B0941">
        <w:rPr>
          <w:rFonts w:ascii="Arial" w:hAnsi="Arial" w:cs="Arial"/>
          <w:color w:val="000000"/>
          <w:sz w:val="20"/>
          <w:szCs w:val="20"/>
        </w:rPr>
        <w:t>.</w:t>
      </w:r>
    </w:p>
    <w:p w14:paraId="0EAD76F5" w14:textId="77777777" w:rsidR="0064735C" w:rsidRPr="006B0941" w:rsidRDefault="0064735C" w:rsidP="00A91D91">
      <w:pPr>
        <w:rPr>
          <w:rFonts w:ascii="Arial" w:hAnsi="Arial" w:cs="Arial"/>
          <w:color w:val="000000"/>
          <w:sz w:val="20"/>
          <w:szCs w:val="20"/>
        </w:rPr>
      </w:pPr>
    </w:p>
    <w:p w14:paraId="2FB95897" w14:textId="10DF1BA5" w:rsidR="0064735C" w:rsidRPr="006B0941" w:rsidRDefault="0064735C" w:rsidP="00A91D91">
      <w:pPr>
        <w:rPr>
          <w:rFonts w:ascii="Arial" w:hAnsi="Arial" w:cs="Arial"/>
          <w:color w:val="000000"/>
          <w:sz w:val="20"/>
          <w:szCs w:val="20"/>
        </w:rPr>
      </w:pPr>
      <w:r w:rsidRPr="006B0941">
        <w:rPr>
          <w:rFonts w:ascii="Arial" w:hAnsi="Arial" w:cs="Arial"/>
          <w:color w:val="000000"/>
          <w:sz w:val="20"/>
          <w:szCs w:val="20"/>
        </w:rPr>
        <w:t>The agency is</w:t>
      </w:r>
      <w:r w:rsidR="00F652A3" w:rsidRPr="006B0941">
        <w:rPr>
          <w:rFonts w:ascii="Arial" w:hAnsi="Arial" w:cs="Arial"/>
          <w:color w:val="000000"/>
          <w:sz w:val="20"/>
          <w:szCs w:val="20"/>
        </w:rPr>
        <w:t xml:space="preserve"> organized into four divisions: </w:t>
      </w:r>
      <w:r w:rsidRPr="006B0941">
        <w:rPr>
          <w:rFonts w:ascii="Arial" w:hAnsi="Arial" w:cs="Arial"/>
          <w:color w:val="000000"/>
          <w:sz w:val="20"/>
          <w:szCs w:val="20"/>
        </w:rPr>
        <w:t>Administration/Ope</w:t>
      </w:r>
      <w:r w:rsidR="00760020" w:rsidRPr="006B0941">
        <w:rPr>
          <w:rFonts w:ascii="Arial" w:hAnsi="Arial" w:cs="Arial"/>
          <w:color w:val="000000"/>
          <w:sz w:val="20"/>
          <w:szCs w:val="20"/>
        </w:rPr>
        <w:t>rations, Sales, Marketing</w:t>
      </w:r>
      <w:r w:rsidR="00F652A3" w:rsidRPr="006B0941">
        <w:rPr>
          <w:rFonts w:ascii="Arial" w:hAnsi="Arial" w:cs="Arial"/>
          <w:color w:val="000000"/>
          <w:sz w:val="20"/>
          <w:szCs w:val="20"/>
        </w:rPr>
        <w:t>,</w:t>
      </w:r>
      <w:r w:rsidR="00760020" w:rsidRPr="006B0941">
        <w:rPr>
          <w:rFonts w:ascii="Arial" w:hAnsi="Arial" w:cs="Arial"/>
          <w:color w:val="000000"/>
          <w:sz w:val="20"/>
          <w:szCs w:val="20"/>
        </w:rPr>
        <w:t xml:space="preserve"> and </w:t>
      </w:r>
      <w:r w:rsidRPr="006B0941">
        <w:rPr>
          <w:rFonts w:ascii="Arial" w:hAnsi="Arial" w:cs="Arial"/>
          <w:color w:val="000000"/>
          <w:sz w:val="20"/>
          <w:szCs w:val="20"/>
        </w:rPr>
        <w:t>Securit</w:t>
      </w:r>
      <w:r w:rsidR="00F652A3" w:rsidRPr="006B0941">
        <w:rPr>
          <w:rFonts w:ascii="Arial" w:hAnsi="Arial" w:cs="Arial"/>
          <w:color w:val="000000"/>
          <w:sz w:val="20"/>
          <w:szCs w:val="20"/>
        </w:rPr>
        <w:t xml:space="preserve">y. </w:t>
      </w:r>
      <w:r w:rsidR="00760020" w:rsidRPr="006B0941">
        <w:rPr>
          <w:rFonts w:ascii="Arial" w:hAnsi="Arial" w:cs="Arial"/>
          <w:color w:val="000000"/>
          <w:sz w:val="20"/>
          <w:szCs w:val="20"/>
        </w:rPr>
        <w:t>The Security division oversees a warehouse in Boise used for the storage and di</w:t>
      </w:r>
      <w:r w:rsidR="000471F5" w:rsidRPr="006B0941">
        <w:rPr>
          <w:rFonts w:ascii="Arial" w:hAnsi="Arial" w:cs="Arial"/>
          <w:color w:val="000000"/>
          <w:sz w:val="20"/>
          <w:szCs w:val="20"/>
        </w:rPr>
        <w:t>stribution of Scratch™ tickets.</w:t>
      </w:r>
      <w:r w:rsidR="00760020" w:rsidRPr="006B0941">
        <w:rPr>
          <w:rFonts w:ascii="Arial" w:hAnsi="Arial" w:cs="Arial"/>
          <w:color w:val="000000"/>
          <w:sz w:val="20"/>
          <w:szCs w:val="20"/>
        </w:rPr>
        <w:t xml:space="preserve"> Lottery </w:t>
      </w:r>
      <w:r w:rsidRPr="001E1C3C">
        <w:rPr>
          <w:rFonts w:ascii="Arial" w:hAnsi="Arial" w:cs="Arial"/>
          <w:color w:val="000000"/>
          <w:sz w:val="20"/>
          <w:szCs w:val="20"/>
        </w:rPr>
        <w:t xml:space="preserve">headquarters are located at 1199 </w:t>
      </w:r>
      <w:r w:rsidR="00760020" w:rsidRPr="001E1C3C">
        <w:rPr>
          <w:rFonts w:ascii="Arial" w:hAnsi="Arial" w:cs="Arial"/>
          <w:color w:val="000000"/>
          <w:sz w:val="20"/>
          <w:szCs w:val="20"/>
        </w:rPr>
        <w:t>Shoreline Lane in Boise</w:t>
      </w:r>
      <w:r w:rsidR="004F5499" w:rsidRPr="001E1C3C">
        <w:rPr>
          <w:rFonts w:ascii="Arial" w:hAnsi="Arial" w:cs="Arial"/>
          <w:color w:val="000000"/>
          <w:sz w:val="20"/>
          <w:szCs w:val="20"/>
        </w:rPr>
        <w:t xml:space="preserve">.  The agency has </w:t>
      </w:r>
      <w:r w:rsidR="00040839" w:rsidRPr="001E1C3C">
        <w:rPr>
          <w:rFonts w:ascii="Arial" w:hAnsi="Arial" w:cs="Arial"/>
          <w:color w:val="000000"/>
          <w:sz w:val="20"/>
          <w:szCs w:val="20"/>
        </w:rPr>
        <w:t>5</w:t>
      </w:r>
      <w:r w:rsidR="009E14B2">
        <w:rPr>
          <w:rFonts w:ascii="Arial" w:hAnsi="Arial" w:cs="Arial"/>
          <w:color w:val="000000"/>
          <w:sz w:val="20"/>
          <w:szCs w:val="20"/>
        </w:rPr>
        <w:t>1</w:t>
      </w:r>
      <w:r w:rsidR="00760020" w:rsidRPr="001E1C3C">
        <w:rPr>
          <w:rFonts w:ascii="Arial" w:hAnsi="Arial" w:cs="Arial"/>
          <w:color w:val="000000"/>
          <w:sz w:val="20"/>
          <w:szCs w:val="20"/>
        </w:rPr>
        <w:t xml:space="preserve"> autho</w:t>
      </w:r>
      <w:r w:rsidRPr="001E1C3C">
        <w:rPr>
          <w:rFonts w:ascii="Arial" w:hAnsi="Arial" w:cs="Arial"/>
          <w:color w:val="000000"/>
          <w:sz w:val="20"/>
          <w:szCs w:val="20"/>
        </w:rPr>
        <w:t>rized positions</w:t>
      </w:r>
      <w:r w:rsidR="004F5499" w:rsidRPr="001E1C3C">
        <w:rPr>
          <w:rFonts w:ascii="Arial" w:hAnsi="Arial" w:cs="Arial"/>
          <w:color w:val="000000"/>
          <w:sz w:val="20"/>
          <w:szCs w:val="20"/>
        </w:rPr>
        <w:t xml:space="preserve"> </w:t>
      </w:r>
      <w:r w:rsidRPr="001E1C3C">
        <w:rPr>
          <w:rFonts w:ascii="Arial" w:hAnsi="Arial" w:cs="Arial"/>
          <w:color w:val="000000"/>
          <w:sz w:val="20"/>
          <w:szCs w:val="20"/>
        </w:rPr>
        <w:t xml:space="preserve">distributed as follows: </w:t>
      </w:r>
      <w:r w:rsidR="00F03B7E" w:rsidRPr="001E1C3C">
        <w:rPr>
          <w:rFonts w:ascii="Arial" w:hAnsi="Arial" w:cs="Arial"/>
          <w:color w:val="000000"/>
          <w:sz w:val="20"/>
          <w:szCs w:val="20"/>
        </w:rPr>
        <w:t>Administration/Operations</w:t>
      </w:r>
      <w:r w:rsidR="00147AEA" w:rsidRPr="001E1C3C">
        <w:rPr>
          <w:rFonts w:ascii="Arial" w:hAnsi="Arial" w:cs="Arial"/>
          <w:color w:val="000000"/>
          <w:sz w:val="20"/>
          <w:szCs w:val="20"/>
        </w:rPr>
        <w:t xml:space="preserve"> </w:t>
      </w:r>
      <w:r w:rsidR="007628DB" w:rsidRPr="001E1C3C">
        <w:rPr>
          <w:rFonts w:ascii="Arial" w:hAnsi="Arial" w:cs="Arial"/>
          <w:color w:val="000000"/>
          <w:sz w:val="20"/>
          <w:szCs w:val="20"/>
        </w:rPr>
        <w:t>–</w:t>
      </w:r>
      <w:r w:rsidR="00147AEA" w:rsidRPr="001E1C3C">
        <w:rPr>
          <w:rFonts w:ascii="Arial" w:hAnsi="Arial" w:cs="Arial"/>
          <w:color w:val="000000"/>
          <w:sz w:val="20"/>
          <w:szCs w:val="20"/>
        </w:rPr>
        <w:t xml:space="preserve"> </w:t>
      </w:r>
      <w:r w:rsidR="004F0324" w:rsidRPr="001E1C3C">
        <w:rPr>
          <w:rFonts w:ascii="Arial" w:hAnsi="Arial" w:cs="Arial"/>
          <w:color w:val="000000"/>
          <w:sz w:val="20"/>
          <w:szCs w:val="20"/>
        </w:rPr>
        <w:t>15</w:t>
      </w:r>
      <w:r w:rsidRPr="001E1C3C">
        <w:rPr>
          <w:rFonts w:ascii="Arial" w:hAnsi="Arial" w:cs="Arial"/>
          <w:color w:val="000000"/>
          <w:sz w:val="20"/>
          <w:szCs w:val="20"/>
        </w:rPr>
        <w:t xml:space="preserve">, </w:t>
      </w:r>
      <w:r w:rsidR="00040839" w:rsidRPr="001E1C3C">
        <w:rPr>
          <w:rFonts w:ascii="Arial" w:hAnsi="Arial" w:cs="Arial"/>
          <w:color w:val="000000"/>
          <w:sz w:val="20"/>
          <w:szCs w:val="20"/>
        </w:rPr>
        <w:t>Sales/</w:t>
      </w:r>
      <w:r w:rsidRPr="001E1C3C">
        <w:rPr>
          <w:rFonts w:ascii="Arial" w:hAnsi="Arial" w:cs="Arial"/>
          <w:color w:val="000000"/>
          <w:sz w:val="20"/>
          <w:szCs w:val="20"/>
        </w:rPr>
        <w:t>Regional Sales Representatives (located throughout the state)</w:t>
      </w:r>
      <w:r w:rsidR="00147AEA" w:rsidRPr="001E1C3C">
        <w:rPr>
          <w:rFonts w:ascii="Arial" w:hAnsi="Arial" w:cs="Arial"/>
          <w:color w:val="000000"/>
          <w:sz w:val="20"/>
          <w:szCs w:val="20"/>
        </w:rPr>
        <w:t xml:space="preserve"> </w:t>
      </w:r>
      <w:r w:rsidR="00760020" w:rsidRPr="001E1C3C">
        <w:rPr>
          <w:rFonts w:ascii="Arial" w:hAnsi="Arial" w:cs="Arial"/>
          <w:color w:val="000000"/>
          <w:sz w:val="20"/>
          <w:szCs w:val="20"/>
        </w:rPr>
        <w:t>–</w:t>
      </w:r>
      <w:r w:rsidR="00147AEA" w:rsidRPr="001E1C3C">
        <w:rPr>
          <w:rFonts w:ascii="Arial" w:hAnsi="Arial" w:cs="Arial"/>
          <w:color w:val="000000"/>
          <w:sz w:val="20"/>
          <w:szCs w:val="20"/>
        </w:rPr>
        <w:t xml:space="preserve"> </w:t>
      </w:r>
      <w:r w:rsidR="00040839" w:rsidRPr="001E1C3C">
        <w:rPr>
          <w:rFonts w:ascii="Arial" w:hAnsi="Arial" w:cs="Arial"/>
          <w:color w:val="000000"/>
          <w:sz w:val="20"/>
          <w:szCs w:val="20"/>
        </w:rPr>
        <w:t>1</w:t>
      </w:r>
      <w:r w:rsidR="009967B0">
        <w:rPr>
          <w:rFonts w:ascii="Arial" w:hAnsi="Arial" w:cs="Arial"/>
          <w:color w:val="000000"/>
          <w:sz w:val="20"/>
          <w:szCs w:val="20"/>
        </w:rPr>
        <w:t>9</w:t>
      </w:r>
      <w:r w:rsidR="00F03B7E" w:rsidRPr="001E1C3C">
        <w:rPr>
          <w:rFonts w:ascii="Arial" w:hAnsi="Arial" w:cs="Arial"/>
          <w:color w:val="000000"/>
          <w:sz w:val="20"/>
          <w:szCs w:val="20"/>
        </w:rPr>
        <w:t>, Marketing -</w:t>
      </w:r>
      <w:r w:rsidR="004F0324" w:rsidRPr="001E1C3C">
        <w:rPr>
          <w:rFonts w:ascii="Arial" w:hAnsi="Arial" w:cs="Arial"/>
          <w:color w:val="000000"/>
          <w:sz w:val="20"/>
          <w:szCs w:val="20"/>
        </w:rPr>
        <w:t xml:space="preserve"> 6</w:t>
      </w:r>
      <w:r w:rsidR="00F03B7E" w:rsidRPr="001E1C3C">
        <w:rPr>
          <w:rFonts w:ascii="Arial" w:hAnsi="Arial" w:cs="Arial"/>
          <w:color w:val="000000"/>
          <w:sz w:val="20"/>
          <w:szCs w:val="20"/>
        </w:rPr>
        <w:t xml:space="preserve">, Security/Warehouse </w:t>
      </w:r>
      <w:r w:rsidR="004F0324" w:rsidRPr="001E1C3C">
        <w:rPr>
          <w:rFonts w:ascii="Arial" w:hAnsi="Arial" w:cs="Arial"/>
          <w:color w:val="000000"/>
          <w:sz w:val="20"/>
          <w:szCs w:val="20"/>
        </w:rPr>
        <w:t>– 1</w:t>
      </w:r>
      <w:r w:rsidR="001F6F47" w:rsidRPr="001E1C3C">
        <w:rPr>
          <w:rFonts w:ascii="Arial" w:hAnsi="Arial" w:cs="Arial"/>
          <w:color w:val="000000"/>
          <w:sz w:val="20"/>
          <w:szCs w:val="20"/>
        </w:rPr>
        <w:t>1</w:t>
      </w:r>
      <w:r w:rsidR="004F0324" w:rsidRPr="001E1C3C">
        <w:rPr>
          <w:rFonts w:ascii="Arial" w:hAnsi="Arial" w:cs="Arial"/>
          <w:color w:val="000000"/>
          <w:sz w:val="20"/>
          <w:szCs w:val="20"/>
        </w:rPr>
        <w:t>.</w:t>
      </w:r>
      <w:r w:rsidR="00F03B7E">
        <w:rPr>
          <w:rFonts w:ascii="Arial" w:hAnsi="Arial" w:cs="Arial"/>
          <w:color w:val="000000"/>
          <w:sz w:val="20"/>
          <w:szCs w:val="20"/>
        </w:rPr>
        <w:t xml:space="preserve"> </w:t>
      </w:r>
      <w:r w:rsidR="00C53CEF">
        <w:rPr>
          <w:rFonts w:ascii="Arial" w:hAnsi="Arial" w:cs="Arial"/>
          <w:color w:val="000000"/>
          <w:sz w:val="20"/>
          <w:szCs w:val="20"/>
        </w:rPr>
        <w:t xml:space="preserve">  </w:t>
      </w:r>
      <w:r w:rsidR="00CD0858" w:rsidRPr="00782EC4">
        <w:rPr>
          <w:rFonts w:ascii="Arial" w:hAnsi="Arial" w:cs="Arial"/>
          <w:color w:val="000000"/>
          <w:sz w:val="20"/>
          <w:szCs w:val="20"/>
        </w:rPr>
        <w:t xml:space="preserve">As of </w:t>
      </w:r>
      <w:r w:rsidR="009D5ACE">
        <w:rPr>
          <w:rFonts w:ascii="Arial" w:hAnsi="Arial" w:cs="Arial"/>
          <w:color w:val="000000"/>
          <w:sz w:val="20"/>
          <w:szCs w:val="20"/>
        </w:rPr>
        <w:t>August 30, 2024</w:t>
      </w:r>
      <w:r w:rsidR="00CD0858" w:rsidRPr="00782EC4">
        <w:rPr>
          <w:rFonts w:ascii="Arial" w:hAnsi="Arial" w:cs="Arial"/>
          <w:color w:val="000000"/>
          <w:sz w:val="20"/>
          <w:szCs w:val="20"/>
        </w:rPr>
        <w:t>, th</w:t>
      </w:r>
      <w:r w:rsidR="00456708" w:rsidRPr="00782EC4">
        <w:rPr>
          <w:rFonts w:ascii="Arial" w:hAnsi="Arial" w:cs="Arial"/>
          <w:color w:val="000000"/>
          <w:sz w:val="20"/>
          <w:szCs w:val="20"/>
        </w:rPr>
        <w:t xml:space="preserve">e Lottery has </w:t>
      </w:r>
      <w:r w:rsidR="00782EC4" w:rsidRPr="00782EC4">
        <w:rPr>
          <w:rFonts w:ascii="Arial" w:hAnsi="Arial" w:cs="Arial"/>
          <w:color w:val="000000"/>
          <w:sz w:val="20"/>
          <w:szCs w:val="20"/>
        </w:rPr>
        <w:t xml:space="preserve">one unfilled </w:t>
      </w:r>
      <w:r w:rsidR="009D5ACE">
        <w:rPr>
          <w:rFonts w:ascii="Arial" w:hAnsi="Arial" w:cs="Arial"/>
          <w:color w:val="000000"/>
          <w:sz w:val="20"/>
          <w:szCs w:val="20"/>
        </w:rPr>
        <w:t>IT Support Analyst</w:t>
      </w:r>
      <w:r w:rsidR="00FE4A80">
        <w:rPr>
          <w:rFonts w:ascii="Arial" w:hAnsi="Arial" w:cs="Arial"/>
          <w:color w:val="000000"/>
          <w:sz w:val="20"/>
          <w:szCs w:val="20"/>
        </w:rPr>
        <w:t xml:space="preserve"> </w:t>
      </w:r>
      <w:r w:rsidR="00782EC4" w:rsidRPr="00782EC4">
        <w:rPr>
          <w:rFonts w:ascii="Arial" w:hAnsi="Arial" w:cs="Arial"/>
          <w:color w:val="000000"/>
          <w:sz w:val="20"/>
          <w:szCs w:val="20"/>
        </w:rPr>
        <w:t xml:space="preserve">position for which we are actively </w:t>
      </w:r>
      <w:r w:rsidR="009E14B2">
        <w:rPr>
          <w:rFonts w:ascii="Arial" w:hAnsi="Arial" w:cs="Arial"/>
          <w:color w:val="000000"/>
          <w:sz w:val="20"/>
          <w:szCs w:val="20"/>
        </w:rPr>
        <w:t>interviewing</w:t>
      </w:r>
      <w:r w:rsidR="00782EC4" w:rsidRPr="00782EC4">
        <w:rPr>
          <w:rFonts w:ascii="Arial" w:hAnsi="Arial" w:cs="Arial"/>
          <w:color w:val="000000"/>
          <w:sz w:val="20"/>
          <w:szCs w:val="20"/>
        </w:rPr>
        <w:t xml:space="preserve">.  </w:t>
      </w:r>
      <w:r w:rsidR="00AD4E4F" w:rsidRPr="006B0941">
        <w:rPr>
          <w:rFonts w:ascii="Arial" w:hAnsi="Arial" w:cs="Arial"/>
          <w:color w:val="000000"/>
          <w:sz w:val="20"/>
          <w:szCs w:val="20"/>
        </w:rPr>
        <w:t xml:space="preserve">  </w:t>
      </w:r>
    </w:p>
    <w:p w14:paraId="74886C8C" w14:textId="77777777" w:rsidR="0064735C" w:rsidRPr="006B0941" w:rsidRDefault="0064735C" w:rsidP="00A91D91">
      <w:pPr>
        <w:shd w:val="clear" w:color="auto" w:fill="FFFFFF" w:themeFill="background1"/>
        <w:rPr>
          <w:rFonts w:ascii="Arial" w:hAnsi="Arial" w:cs="Arial"/>
          <w:sz w:val="20"/>
          <w:szCs w:val="20"/>
        </w:rPr>
      </w:pPr>
    </w:p>
    <w:p w14:paraId="30B932F1" w14:textId="3F7288AD" w:rsidR="00FF6149" w:rsidRPr="006B0941" w:rsidRDefault="00FF6149" w:rsidP="00A91D91">
      <w:pPr>
        <w:shd w:val="clear" w:color="auto" w:fill="FFFFFF"/>
        <w:rPr>
          <w:rFonts w:ascii="Arial" w:hAnsi="Arial" w:cs="Arial"/>
          <w:sz w:val="20"/>
          <w:szCs w:val="20"/>
        </w:rPr>
      </w:pPr>
      <w:bookmarkStart w:id="3" w:name="_Hlk48309435"/>
      <w:r w:rsidRPr="00AB2DE9">
        <w:rPr>
          <w:rFonts w:ascii="Arial" w:hAnsi="Arial" w:cs="Arial"/>
          <w:sz w:val="20"/>
          <w:szCs w:val="20"/>
        </w:rPr>
        <w:t>Lottery products and their</w:t>
      </w:r>
      <w:r w:rsidRPr="00456708">
        <w:rPr>
          <w:rFonts w:ascii="Arial" w:hAnsi="Arial" w:cs="Arial"/>
          <w:sz w:val="20"/>
          <w:szCs w:val="20"/>
        </w:rPr>
        <w:t xml:space="preserve"> percentage of total sales fall into three play styles; Draw style </w:t>
      </w:r>
      <w:r w:rsidRPr="00FE4A80">
        <w:rPr>
          <w:rFonts w:ascii="Arial" w:hAnsi="Arial" w:cs="Arial"/>
          <w:sz w:val="20"/>
          <w:szCs w:val="20"/>
        </w:rPr>
        <w:t xml:space="preserve">games </w:t>
      </w:r>
      <w:r w:rsidRPr="00A732AD">
        <w:rPr>
          <w:rFonts w:ascii="Arial" w:hAnsi="Arial" w:cs="Arial"/>
          <w:sz w:val="20"/>
          <w:szCs w:val="20"/>
        </w:rPr>
        <w:t>(</w:t>
      </w:r>
      <w:r w:rsidR="00320830" w:rsidRPr="00A732AD">
        <w:rPr>
          <w:rFonts w:ascii="Arial" w:hAnsi="Arial" w:cs="Arial"/>
          <w:sz w:val="20"/>
          <w:szCs w:val="20"/>
        </w:rPr>
        <w:t>2</w:t>
      </w:r>
      <w:r w:rsidR="00A732AD" w:rsidRPr="00A732AD">
        <w:rPr>
          <w:rFonts w:ascii="Arial" w:hAnsi="Arial" w:cs="Arial"/>
          <w:sz w:val="20"/>
          <w:szCs w:val="20"/>
        </w:rPr>
        <w:t>2.8</w:t>
      </w:r>
      <w:r w:rsidRPr="00A732AD">
        <w:rPr>
          <w:rFonts w:ascii="Arial" w:hAnsi="Arial" w:cs="Arial"/>
          <w:sz w:val="20"/>
          <w:szCs w:val="20"/>
        </w:rPr>
        <w:t>%),</w:t>
      </w:r>
      <w:r w:rsidRPr="00FE4A80">
        <w:rPr>
          <w:rFonts w:ascii="Arial" w:hAnsi="Arial" w:cs="Arial"/>
          <w:sz w:val="20"/>
          <w:szCs w:val="20"/>
        </w:rPr>
        <w:t xml:space="preserve"> Scratch games </w:t>
      </w:r>
      <w:r w:rsidRPr="00A732AD">
        <w:rPr>
          <w:rFonts w:ascii="Arial" w:hAnsi="Arial" w:cs="Arial"/>
          <w:sz w:val="20"/>
          <w:szCs w:val="20"/>
        </w:rPr>
        <w:t>(</w:t>
      </w:r>
      <w:r w:rsidR="00320830" w:rsidRPr="00A732AD">
        <w:rPr>
          <w:rFonts w:ascii="Arial" w:hAnsi="Arial" w:cs="Arial"/>
          <w:sz w:val="20"/>
          <w:szCs w:val="20"/>
        </w:rPr>
        <w:t>5</w:t>
      </w:r>
      <w:r w:rsidR="00A732AD" w:rsidRPr="00A732AD">
        <w:rPr>
          <w:rFonts w:ascii="Arial" w:hAnsi="Arial" w:cs="Arial"/>
          <w:sz w:val="20"/>
          <w:szCs w:val="20"/>
        </w:rPr>
        <w:t>7.7</w:t>
      </w:r>
      <w:r w:rsidRPr="00A732AD">
        <w:rPr>
          <w:rFonts w:ascii="Arial" w:hAnsi="Arial" w:cs="Arial"/>
          <w:sz w:val="20"/>
          <w:szCs w:val="20"/>
        </w:rPr>
        <w:t>%),</w:t>
      </w:r>
      <w:r w:rsidRPr="00FE4A80">
        <w:rPr>
          <w:rFonts w:ascii="Arial" w:hAnsi="Arial" w:cs="Arial"/>
          <w:sz w:val="20"/>
          <w:szCs w:val="20"/>
        </w:rPr>
        <w:t xml:space="preserve"> and PullTab games </w:t>
      </w:r>
      <w:r w:rsidRPr="00A732AD">
        <w:rPr>
          <w:rFonts w:ascii="Arial" w:hAnsi="Arial" w:cs="Arial"/>
          <w:sz w:val="20"/>
          <w:szCs w:val="20"/>
        </w:rPr>
        <w:t>(</w:t>
      </w:r>
      <w:r w:rsidR="00320830" w:rsidRPr="00A732AD">
        <w:rPr>
          <w:rFonts w:ascii="Arial" w:hAnsi="Arial" w:cs="Arial"/>
          <w:sz w:val="20"/>
          <w:szCs w:val="20"/>
        </w:rPr>
        <w:t>19.</w:t>
      </w:r>
      <w:r w:rsidR="00A732AD" w:rsidRPr="00A732AD">
        <w:rPr>
          <w:rFonts w:ascii="Arial" w:hAnsi="Arial" w:cs="Arial"/>
          <w:sz w:val="20"/>
          <w:szCs w:val="20"/>
        </w:rPr>
        <w:t>5</w:t>
      </w:r>
      <w:r w:rsidRPr="00A732AD">
        <w:rPr>
          <w:rFonts w:ascii="Arial" w:hAnsi="Arial" w:cs="Arial"/>
          <w:sz w:val="20"/>
          <w:szCs w:val="20"/>
        </w:rPr>
        <w:t>%).</w:t>
      </w:r>
      <w:r w:rsidRPr="00FE4A80">
        <w:rPr>
          <w:rFonts w:ascii="Arial" w:hAnsi="Arial" w:cs="Arial"/>
          <w:sz w:val="20"/>
          <w:szCs w:val="20"/>
        </w:rPr>
        <w:t xml:space="preserve"> Draw game sales are comprised of </w:t>
      </w:r>
      <w:r w:rsidR="001234E0" w:rsidRPr="00FE4A80">
        <w:rPr>
          <w:rFonts w:ascii="Arial" w:hAnsi="Arial" w:cs="Arial"/>
          <w:sz w:val="20"/>
          <w:szCs w:val="20"/>
        </w:rPr>
        <w:t>eleven</w:t>
      </w:r>
      <w:r w:rsidRPr="00FE4A80">
        <w:rPr>
          <w:rFonts w:ascii="Arial" w:hAnsi="Arial" w:cs="Arial"/>
          <w:sz w:val="20"/>
          <w:szCs w:val="20"/>
        </w:rPr>
        <w:t xml:space="preserve"> games: </w:t>
      </w:r>
      <w:r w:rsidRPr="00FE4A80">
        <w:rPr>
          <w:rFonts w:ascii="Arial" w:hAnsi="Arial" w:cs="Arial"/>
          <w:i/>
          <w:iCs/>
          <w:sz w:val="20"/>
          <w:szCs w:val="20"/>
        </w:rPr>
        <w:t>Powerball</w:t>
      </w:r>
      <w:r w:rsidRPr="00FE4A80">
        <w:rPr>
          <w:rFonts w:ascii="Arial" w:hAnsi="Arial" w:cs="Arial"/>
          <w:sz w:val="20"/>
          <w:szCs w:val="20"/>
        </w:rPr>
        <w:t xml:space="preserve"> </w:t>
      </w:r>
      <w:r w:rsidRPr="00A732AD">
        <w:rPr>
          <w:rFonts w:ascii="Arial" w:hAnsi="Arial" w:cs="Arial"/>
          <w:sz w:val="20"/>
          <w:szCs w:val="20"/>
        </w:rPr>
        <w:t>(</w:t>
      </w:r>
      <w:r w:rsidR="00A732AD" w:rsidRPr="00A732AD">
        <w:rPr>
          <w:rFonts w:ascii="Arial" w:hAnsi="Arial" w:cs="Arial"/>
          <w:sz w:val="20"/>
          <w:szCs w:val="20"/>
        </w:rPr>
        <w:t>50.4</w:t>
      </w:r>
      <w:r w:rsidR="002D6984" w:rsidRPr="00A732AD">
        <w:rPr>
          <w:rFonts w:ascii="Arial" w:hAnsi="Arial" w:cs="Arial"/>
          <w:sz w:val="20"/>
          <w:szCs w:val="20"/>
        </w:rPr>
        <w:t>%</w:t>
      </w:r>
      <w:r w:rsidRPr="00A732AD">
        <w:rPr>
          <w:rFonts w:ascii="Arial" w:hAnsi="Arial" w:cs="Arial"/>
          <w:sz w:val="20"/>
          <w:szCs w:val="20"/>
        </w:rPr>
        <w:t>),</w:t>
      </w:r>
      <w:r w:rsidRPr="00FE4A80">
        <w:rPr>
          <w:rFonts w:ascii="Arial" w:hAnsi="Arial" w:cs="Arial"/>
          <w:sz w:val="20"/>
          <w:szCs w:val="20"/>
        </w:rPr>
        <w:t xml:space="preserve"> </w:t>
      </w:r>
      <w:r w:rsidRPr="00FE4A80">
        <w:rPr>
          <w:rFonts w:ascii="Arial" w:hAnsi="Arial" w:cs="Arial"/>
          <w:i/>
          <w:iCs/>
          <w:sz w:val="20"/>
          <w:szCs w:val="20"/>
        </w:rPr>
        <w:t>Mega Millions</w:t>
      </w:r>
      <w:r w:rsidRPr="00FE4A80">
        <w:rPr>
          <w:rFonts w:ascii="Arial" w:hAnsi="Arial" w:cs="Arial"/>
          <w:sz w:val="20"/>
          <w:szCs w:val="20"/>
        </w:rPr>
        <w:t xml:space="preserve"> </w:t>
      </w:r>
      <w:r w:rsidR="005055A2" w:rsidRPr="00A732AD">
        <w:rPr>
          <w:rFonts w:ascii="Arial" w:hAnsi="Arial" w:cs="Arial"/>
          <w:sz w:val="20"/>
          <w:szCs w:val="20"/>
        </w:rPr>
        <w:t>(</w:t>
      </w:r>
      <w:r w:rsidR="00A732AD" w:rsidRPr="00A732AD">
        <w:rPr>
          <w:rFonts w:ascii="Arial" w:hAnsi="Arial" w:cs="Arial"/>
          <w:sz w:val="20"/>
          <w:szCs w:val="20"/>
        </w:rPr>
        <w:t>26.9</w:t>
      </w:r>
      <w:r w:rsidR="005055A2" w:rsidRPr="00A732AD">
        <w:rPr>
          <w:rFonts w:ascii="Arial" w:hAnsi="Arial" w:cs="Arial"/>
          <w:sz w:val="20"/>
          <w:szCs w:val="20"/>
        </w:rPr>
        <w:t>%),</w:t>
      </w:r>
      <w:r w:rsidR="005055A2" w:rsidRPr="00FE4A80">
        <w:rPr>
          <w:rFonts w:ascii="Arial" w:hAnsi="Arial" w:cs="Arial"/>
          <w:sz w:val="20"/>
          <w:szCs w:val="20"/>
        </w:rPr>
        <w:t xml:space="preserve"> </w:t>
      </w:r>
      <w:r w:rsidRPr="00FE4A80">
        <w:rPr>
          <w:rFonts w:ascii="Arial" w:hAnsi="Arial" w:cs="Arial"/>
          <w:i/>
          <w:iCs/>
          <w:sz w:val="20"/>
          <w:szCs w:val="20"/>
        </w:rPr>
        <w:t>Idaho Cash</w:t>
      </w:r>
      <w:r w:rsidRPr="00FE4A80">
        <w:rPr>
          <w:rFonts w:ascii="Arial" w:hAnsi="Arial" w:cs="Arial"/>
          <w:sz w:val="20"/>
          <w:szCs w:val="20"/>
        </w:rPr>
        <w:t xml:space="preserve"> </w:t>
      </w:r>
      <w:r w:rsidRPr="00A732AD">
        <w:rPr>
          <w:rFonts w:ascii="Arial" w:hAnsi="Arial" w:cs="Arial"/>
          <w:sz w:val="20"/>
          <w:szCs w:val="20"/>
        </w:rPr>
        <w:t>(</w:t>
      </w:r>
      <w:r w:rsidR="000A1E6D" w:rsidRPr="00A732AD">
        <w:rPr>
          <w:rFonts w:ascii="Arial" w:hAnsi="Arial" w:cs="Arial"/>
          <w:sz w:val="20"/>
          <w:szCs w:val="20"/>
        </w:rPr>
        <w:t>2</w:t>
      </w:r>
      <w:r w:rsidR="00DD6A65" w:rsidRPr="00A732AD">
        <w:rPr>
          <w:rFonts w:ascii="Arial" w:hAnsi="Arial" w:cs="Arial"/>
          <w:sz w:val="20"/>
          <w:szCs w:val="20"/>
        </w:rPr>
        <w:t>.</w:t>
      </w:r>
      <w:r w:rsidR="00A732AD" w:rsidRPr="00A732AD">
        <w:rPr>
          <w:rFonts w:ascii="Arial" w:hAnsi="Arial" w:cs="Arial"/>
          <w:sz w:val="20"/>
          <w:szCs w:val="20"/>
        </w:rPr>
        <w:t>2</w:t>
      </w:r>
      <w:r w:rsidRPr="00A732AD">
        <w:rPr>
          <w:rFonts w:ascii="Arial" w:hAnsi="Arial" w:cs="Arial"/>
          <w:sz w:val="20"/>
          <w:szCs w:val="20"/>
        </w:rPr>
        <w:t>%),</w:t>
      </w:r>
      <w:r w:rsidRPr="00FE4A80">
        <w:rPr>
          <w:rFonts w:ascii="Arial" w:hAnsi="Arial" w:cs="Arial"/>
          <w:sz w:val="20"/>
          <w:szCs w:val="20"/>
        </w:rPr>
        <w:t xml:space="preserve"> </w:t>
      </w:r>
      <w:r w:rsidRPr="00FE4A80">
        <w:rPr>
          <w:rFonts w:ascii="Arial" w:hAnsi="Arial" w:cs="Arial"/>
          <w:i/>
          <w:iCs/>
          <w:sz w:val="20"/>
          <w:szCs w:val="20"/>
        </w:rPr>
        <w:t>Pick 3</w:t>
      </w:r>
      <w:r w:rsidRPr="00FE4A80">
        <w:rPr>
          <w:rFonts w:ascii="Arial" w:hAnsi="Arial" w:cs="Arial"/>
          <w:sz w:val="20"/>
          <w:szCs w:val="20"/>
        </w:rPr>
        <w:t xml:space="preserve"> </w:t>
      </w:r>
      <w:r w:rsidRPr="00A732AD">
        <w:rPr>
          <w:rFonts w:ascii="Arial" w:hAnsi="Arial" w:cs="Arial"/>
          <w:sz w:val="20"/>
          <w:szCs w:val="20"/>
        </w:rPr>
        <w:t>(</w:t>
      </w:r>
      <w:r w:rsidR="00320830" w:rsidRPr="00A732AD">
        <w:rPr>
          <w:rFonts w:ascii="Arial" w:hAnsi="Arial" w:cs="Arial"/>
          <w:sz w:val="20"/>
          <w:szCs w:val="20"/>
        </w:rPr>
        <w:t>2.</w:t>
      </w:r>
      <w:r w:rsidR="00A732AD" w:rsidRPr="00A732AD">
        <w:rPr>
          <w:rFonts w:ascii="Arial" w:hAnsi="Arial" w:cs="Arial"/>
          <w:sz w:val="20"/>
          <w:szCs w:val="20"/>
        </w:rPr>
        <w:t>4</w:t>
      </w:r>
      <w:r w:rsidRPr="00A732AD">
        <w:rPr>
          <w:rFonts w:ascii="Arial" w:hAnsi="Arial" w:cs="Arial"/>
          <w:sz w:val="20"/>
          <w:szCs w:val="20"/>
        </w:rPr>
        <w:t>%)</w:t>
      </w:r>
      <w:r w:rsidR="00AB2DE9" w:rsidRPr="00A732AD">
        <w:rPr>
          <w:rFonts w:ascii="Arial" w:hAnsi="Arial" w:cs="Arial"/>
          <w:sz w:val="20"/>
          <w:szCs w:val="20"/>
        </w:rPr>
        <w:t>,</w:t>
      </w:r>
      <w:r w:rsidR="00AB2DE9" w:rsidRPr="00FE4A80">
        <w:rPr>
          <w:rFonts w:ascii="Arial" w:hAnsi="Arial" w:cs="Arial"/>
          <w:sz w:val="20"/>
          <w:szCs w:val="20"/>
        </w:rPr>
        <w:t xml:space="preserve"> Pick 4 </w:t>
      </w:r>
      <w:r w:rsidR="00AB2DE9" w:rsidRPr="00A732AD">
        <w:rPr>
          <w:rFonts w:ascii="Arial" w:hAnsi="Arial" w:cs="Arial"/>
          <w:sz w:val="20"/>
          <w:szCs w:val="20"/>
        </w:rPr>
        <w:t>(1.</w:t>
      </w:r>
      <w:r w:rsidR="00A732AD" w:rsidRPr="00A732AD">
        <w:rPr>
          <w:rFonts w:ascii="Arial" w:hAnsi="Arial" w:cs="Arial"/>
          <w:sz w:val="20"/>
          <w:szCs w:val="20"/>
        </w:rPr>
        <w:t>3</w:t>
      </w:r>
      <w:r w:rsidR="00AB2DE9" w:rsidRPr="00A732AD">
        <w:rPr>
          <w:rFonts w:ascii="Arial" w:hAnsi="Arial" w:cs="Arial"/>
          <w:sz w:val="20"/>
          <w:szCs w:val="20"/>
        </w:rPr>
        <w:t>%)</w:t>
      </w:r>
      <w:r w:rsidRPr="00A732AD">
        <w:rPr>
          <w:rFonts w:ascii="Arial" w:hAnsi="Arial" w:cs="Arial"/>
          <w:sz w:val="20"/>
          <w:szCs w:val="20"/>
        </w:rPr>
        <w:t>,</w:t>
      </w:r>
      <w:r w:rsidRPr="00FE4A80">
        <w:rPr>
          <w:rFonts w:ascii="Arial" w:hAnsi="Arial" w:cs="Arial"/>
          <w:sz w:val="20"/>
          <w:szCs w:val="20"/>
        </w:rPr>
        <w:t xml:space="preserve"> </w:t>
      </w:r>
      <w:r w:rsidR="00764536" w:rsidRPr="00FE4A80">
        <w:rPr>
          <w:rFonts w:ascii="Arial" w:hAnsi="Arial" w:cs="Arial"/>
          <w:i/>
          <w:iCs/>
          <w:sz w:val="20"/>
          <w:szCs w:val="20"/>
        </w:rPr>
        <w:t>Idaho $1,000,000</w:t>
      </w:r>
      <w:r w:rsidR="00764536" w:rsidRPr="00FE4A80">
        <w:rPr>
          <w:rFonts w:ascii="Arial" w:hAnsi="Arial" w:cs="Arial"/>
          <w:sz w:val="20"/>
          <w:szCs w:val="20"/>
        </w:rPr>
        <w:t xml:space="preserve"> </w:t>
      </w:r>
      <w:r w:rsidRPr="00FE4A80">
        <w:rPr>
          <w:rFonts w:ascii="Arial" w:hAnsi="Arial" w:cs="Arial"/>
          <w:i/>
          <w:iCs/>
          <w:sz w:val="20"/>
          <w:szCs w:val="20"/>
        </w:rPr>
        <w:t>Raffle</w:t>
      </w:r>
      <w:r w:rsidRPr="00FE4A80">
        <w:rPr>
          <w:rFonts w:ascii="Arial" w:hAnsi="Arial" w:cs="Arial"/>
          <w:sz w:val="20"/>
          <w:szCs w:val="20"/>
        </w:rPr>
        <w:t xml:space="preserve"> </w:t>
      </w:r>
      <w:r w:rsidRPr="00A732AD">
        <w:rPr>
          <w:rFonts w:ascii="Arial" w:hAnsi="Arial" w:cs="Arial"/>
          <w:sz w:val="20"/>
          <w:szCs w:val="20"/>
        </w:rPr>
        <w:t>(</w:t>
      </w:r>
      <w:r w:rsidR="00A732AD" w:rsidRPr="00A732AD">
        <w:rPr>
          <w:rFonts w:ascii="Arial" w:hAnsi="Arial" w:cs="Arial"/>
          <w:sz w:val="20"/>
          <w:szCs w:val="20"/>
        </w:rPr>
        <w:t>4.7</w:t>
      </w:r>
      <w:r w:rsidR="004915AA" w:rsidRPr="00A732AD">
        <w:rPr>
          <w:rFonts w:ascii="Arial" w:hAnsi="Arial" w:cs="Arial"/>
          <w:sz w:val="20"/>
          <w:szCs w:val="20"/>
        </w:rPr>
        <w:t>%)</w:t>
      </w:r>
      <w:r w:rsidRPr="00A732AD">
        <w:rPr>
          <w:rFonts w:ascii="Arial" w:hAnsi="Arial" w:cs="Arial"/>
          <w:sz w:val="20"/>
          <w:szCs w:val="20"/>
        </w:rPr>
        <w:t>,</w:t>
      </w:r>
      <w:r w:rsidRPr="00FE4A80">
        <w:rPr>
          <w:rFonts w:ascii="Arial" w:hAnsi="Arial" w:cs="Arial"/>
          <w:sz w:val="20"/>
          <w:szCs w:val="20"/>
        </w:rPr>
        <w:t xml:space="preserve"> </w:t>
      </w:r>
      <w:r w:rsidRPr="00FE4A80">
        <w:rPr>
          <w:rFonts w:ascii="Arial" w:hAnsi="Arial" w:cs="Arial"/>
          <w:i/>
          <w:iCs/>
          <w:sz w:val="20"/>
          <w:szCs w:val="20"/>
        </w:rPr>
        <w:t>Weekly Grand</w:t>
      </w:r>
      <w:r w:rsidRPr="00FE4A80">
        <w:rPr>
          <w:rFonts w:ascii="Arial" w:hAnsi="Arial" w:cs="Arial"/>
          <w:sz w:val="20"/>
          <w:szCs w:val="20"/>
        </w:rPr>
        <w:t xml:space="preserve"> </w:t>
      </w:r>
      <w:r w:rsidRPr="00A732AD">
        <w:rPr>
          <w:rFonts w:ascii="Arial" w:hAnsi="Arial" w:cs="Arial"/>
          <w:sz w:val="20"/>
          <w:szCs w:val="20"/>
        </w:rPr>
        <w:t>(</w:t>
      </w:r>
      <w:r w:rsidR="00A732AD" w:rsidRPr="00A732AD">
        <w:rPr>
          <w:rFonts w:ascii="Arial" w:hAnsi="Arial" w:cs="Arial"/>
          <w:sz w:val="20"/>
          <w:szCs w:val="20"/>
        </w:rPr>
        <w:t>1.6</w:t>
      </w:r>
      <w:r w:rsidRPr="00A732AD">
        <w:rPr>
          <w:rFonts w:ascii="Arial" w:hAnsi="Arial" w:cs="Arial"/>
          <w:sz w:val="20"/>
          <w:szCs w:val="20"/>
        </w:rPr>
        <w:t>%)</w:t>
      </w:r>
      <w:r w:rsidR="009967B0">
        <w:rPr>
          <w:rFonts w:ascii="Arial" w:hAnsi="Arial" w:cs="Arial"/>
          <w:sz w:val="20"/>
          <w:szCs w:val="20"/>
        </w:rPr>
        <w:t xml:space="preserve"> </w:t>
      </w:r>
      <w:r w:rsidR="009967B0" w:rsidRPr="00EE1A34">
        <w:rPr>
          <w:rFonts w:ascii="Arial" w:hAnsi="Arial" w:cs="Arial"/>
          <w:sz w:val="20"/>
          <w:szCs w:val="20"/>
        </w:rPr>
        <w:t xml:space="preserve">[this game was ended on </w:t>
      </w:r>
      <w:r w:rsidR="00EE1A34" w:rsidRPr="00EE1A34">
        <w:rPr>
          <w:rFonts w:ascii="Arial" w:hAnsi="Arial" w:cs="Arial"/>
          <w:sz w:val="20"/>
          <w:szCs w:val="20"/>
        </w:rPr>
        <w:t>6.22.2024</w:t>
      </w:r>
      <w:r w:rsidR="009967B0" w:rsidRPr="00EE1A34">
        <w:rPr>
          <w:rFonts w:ascii="Arial" w:hAnsi="Arial" w:cs="Arial"/>
          <w:sz w:val="20"/>
          <w:szCs w:val="20"/>
        </w:rPr>
        <w:t>]</w:t>
      </w:r>
      <w:r w:rsidR="00247E78" w:rsidRPr="00EE1A34">
        <w:rPr>
          <w:rFonts w:ascii="Arial" w:hAnsi="Arial" w:cs="Arial"/>
          <w:sz w:val="20"/>
          <w:szCs w:val="20"/>
        </w:rPr>
        <w:t>,</w:t>
      </w:r>
      <w:r w:rsidR="00247E78" w:rsidRPr="00FE4A80">
        <w:rPr>
          <w:rFonts w:ascii="Arial" w:hAnsi="Arial" w:cs="Arial"/>
          <w:sz w:val="20"/>
          <w:szCs w:val="20"/>
        </w:rPr>
        <w:t xml:space="preserve"> </w:t>
      </w:r>
      <w:r w:rsidR="00AD5F37" w:rsidRPr="00FE4A80">
        <w:rPr>
          <w:rFonts w:ascii="Arial" w:hAnsi="Arial" w:cs="Arial"/>
          <w:i/>
          <w:iCs/>
          <w:sz w:val="20"/>
          <w:szCs w:val="20"/>
        </w:rPr>
        <w:t>5 Star Draw</w:t>
      </w:r>
      <w:r w:rsidR="00AD5F37" w:rsidRPr="00FE4A80">
        <w:rPr>
          <w:rFonts w:ascii="Arial" w:hAnsi="Arial" w:cs="Arial"/>
          <w:sz w:val="20"/>
          <w:szCs w:val="20"/>
        </w:rPr>
        <w:t xml:space="preserve"> </w:t>
      </w:r>
      <w:r w:rsidR="00AD5F37" w:rsidRPr="00A732AD">
        <w:rPr>
          <w:rFonts w:ascii="Arial" w:hAnsi="Arial" w:cs="Arial"/>
          <w:sz w:val="20"/>
          <w:szCs w:val="20"/>
        </w:rPr>
        <w:t>(</w:t>
      </w:r>
      <w:r w:rsidR="00320830" w:rsidRPr="00A732AD">
        <w:rPr>
          <w:rFonts w:ascii="Arial" w:hAnsi="Arial" w:cs="Arial"/>
          <w:sz w:val="20"/>
          <w:szCs w:val="20"/>
        </w:rPr>
        <w:t>2.</w:t>
      </w:r>
      <w:r w:rsidR="00A732AD" w:rsidRPr="00A732AD">
        <w:rPr>
          <w:rFonts w:ascii="Arial" w:hAnsi="Arial" w:cs="Arial"/>
          <w:sz w:val="20"/>
          <w:szCs w:val="20"/>
        </w:rPr>
        <w:t>0</w:t>
      </w:r>
      <w:r w:rsidR="00AD5F37" w:rsidRPr="00A732AD">
        <w:rPr>
          <w:rFonts w:ascii="Arial" w:hAnsi="Arial" w:cs="Arial"/>
          <w:sz w:val="20"/>
          <w:szCs w:val="20"/>
        </w:rPr>
        <w:t>%),</w:t>
      </w:r>
      <w:r w:rsidR="00AD5F37" w:rsidRPr="00FE4A80">
        <w:rPr>
          <w:rFonts w:ascii="Arial" w:hAnsi="Arial" w:cs="Arial"/>
          <w:sz w:val="20"/>
          <w:szCs w:val="20"/>
        </w:rPr>
        <w:t xml:space="preserve"> </w:t>
      </w:r>
      <w:r w:rsidR="00247E78" w:rsidRPr="00FE4A80">
        <w:rPr>
          <w:rFonts w:ascii="Arial" w:hAnsi="Arial" w:cs="Arial"/>
          <w:i/>
          <w:iCs/>
          <w:sz w:val="20"/>
          <w:szCs w:val="20"/>
        </w:rPr>
        <w:t>Lotto America</w:t>
      </w:r>
      <w:r w:rsidR="00247E78" w:rsidRPr="00FE4A80">
        <w:rPr>
          <w:rFonts w:ascii="Arial" w:hAnsi="Arial" w:cs="Arial"/>
          <w:sz w:val="20"/>
          <w:szCs w:val="20"/>
        </w:rPr>
        <w:t xml:space="preserve"> </w:t>
      </w:r>
      <w:r w:rsidR="00247E78" w:rsidRPr="00A732AD">
        <w:rPr>
          <w:rFonts w:ascii="Arial" w:hAnsi="Arial" w:cs="Arial"/>
          <w:sz w:val="20"/>
          <w:szCs w:val="20"/>
        </w:rPr>
        <w:t>(</w:t>
      </w:r>
      <w:r w:rsidR="00A732AD" w:rsidRPr="00A732AD">
        <w:rPr>
          <w:rFonts w:ascii="Arial" w:hAnsi="Arial" w:cs="Arial"/>
          <w:sz w:val="20"/>
          <w:szCs w:val="20"/>
        </w:rPr>
        <w:t>2.8</w:t>
      </w:r>
      <w:r w:rsidR="00247E78" w:rsidRPr="00A732AD">
        <w:rPr>
          <w:rFonts w:ascii="Arial" w:hAnsi="Arial" w:cs="Arial"/>
          <w:sz w:val="20"/>
          <w:szCs w:val="20"/>
        </w:rPr>
        <w:t>%)</w:t>
      </w:r>
      <w:r w:rsidR="00AD5F37" w:rsidRPr="00A732AD">
        <w:rPr>
          <w:rFonts w:ascii="Arial" w:hAnsi="Arial" w:cs="Arial"/>
          <w:sz w:val="20"/>
          <w:szCs w:val="20"/>
        </w:rPr>
        <w:t>,</w:t>
      </w:r>
      <w:r w:rsidR="00AD5F37" w:rsidRPr="00FE4A80">
        <w:rPr>
          <w:rFonts w:ascii="Arial" w:hAnsi="Arial" w:cs="Arial"/>
          <w:sz w:val="20"/>
          <w:szCs w:val="20"/>
        </w:rPr>
        <w:t xml:space="preserve"> </w:t>
      </w:r>
      <w:r w:rsidR="009967B0">
        <w:rPr>
          <w:rFonts w:ascii="Arial" w:hAnsi="Arial" w:cs="Arial"/>
          <w:sz w:val="20"/>
          <w:szCs w:val="20"/>
        </w:rPr>
        <w:t xml:space="preserve">and </w:t>
      </w:r>
      <w:r w:rsidRPr="00FE4A80">
        <w:rPr>
          <w:rFonts w:ascii="Arial" w:hAnsi="Arial" w:cs="Arial"/>
          <w:i/>
          <w:iCs/>
          <w:sz w:val="20"/>
          <w:szCs w:val="20"/>
        </w:rPr>
        <w:t>Lucky for Life</w:t>
      </w:r>
      <w:r w:rsidRPr="00FE4A80">
        <w:rPr>
          <w:rFonts w:ascii="Arial" w:hAnsi="Arial" w:cs="Arial"/>
          <w:sz w:val="20"/>
          <w:szCs w:val="20"/>
        </w:rPr>
        <w:t xml:space="preserve"> </w:t>
      </w:r>
      <w:r w:rsidRPr="00A732AD">
        <w:rPr>
          <w:rFonts w:ascii="Arial" w:hAnsi="Arial" w:cs="Arial"/>
          <w:sz w:val="20"/>
          <w:szCs w:val="20"/>
        </w:rPr>
        <w:t>(</w:t>
      </w:r>
      <w:r w:rsidR="00320830" w:rsidRPr="00A732AD">
        <w:rPr>
          <w:rFonts w:ascii="Arial" w:hAnsi="Arial" w:cs="Arial"/>
          <w:sz w:val="20"/>
          <w:szCs w:val="20"/>
        </w:rPr>
        <w:t>5.</w:t>
      </w:r>
      <w:r w:rsidR="00A732AD" w:rsidRPr="00A732AD">
        <w:rPr>
          <w:rFonts w:ascii="Arial" w:hAnsi="Arial" w:cs="Arial"/>
          <w:sz w:val="20"/>
          <w:szCs w:val="20"/>
        </w:rPr>
        <w:t>7</w:t>
      </w:r>
      <w:r w:rsidRPr="00A732AD">
        <w:rPr>
          <w:rFonts w:ascii="Arial" w:hAnsi="Arial" w:cs="Arial"/>
          <w:sz w:val="20"/>
          <w:szCs w:val="20"/>
        </w:rPr>
        <w:t>%)</w:t>
      </w:r>
      <w:r w:rsidR="009967B0" w:rsidRPr="00A732AD">
        <w:rPr>
          <w:rFonts w:ascii="Arial" w:hAnsi="Arial" w:cs="Arial"/>
          <w:sz w:val="20"/>
          <w:szCs w:val="20"/>
        </w:rPr>
        <w:t>.</w:t>
      </w:r>
      <w:r w:rsidR="009967B0">
        <w:rPr>
          <w:rFonts w:ascii="Arial" w:hAnsi="Arial" w:cs="Arial"/>
          <w:sz w:val="20"/>
          <w:szCs w:val="20"/>
        </w:rPr>
        <w:t xml:space="preserve"> </w:t>
      </w:r>
      <w:r w:rsidRPr="00FE4A80">
        <w:rPr>
          <w:rFonts w:ascii="Arial" w:hAnsi="Arial" w:cs="Arial"/>
          <w:sz w:val="20"/>
          <w:szCs w:val="20"/>
        </w:rPr>
        <w:t xml:space="preserve">Lottery tickets are sold by </w:t>
      </w:r>
      <w:r w:rsidR="007D150E">
        <w:rPr>
          <w:rFonts w:ascii="Arial" w:hAnsi="Arial" w:cs="Arial"/>
          <w:sz w:val="20"/>
          <w:szCs w:val="20"/>
        </w:rPr>
        <w:t>1,206</w:t>
      </w:r>
      <w:r w:rsidRPr="00FE4A80">
        <w:rPr>
          <w:rFonts w:ascii="Arial" w:hAnsi="Arial" w:cs="Arial"/>
          <w:sz w:val="20"/>
          <w:szCs w:val="20"/>
        </w:rPr>
        <w:t xml:space="preserve"> contracted Lottery retailers statewide. These consist of convenience stores, supermarkets, and other retail locations. Retailers receive 5% of sales as a base commission and may earn</w:t>
      </w:r>
      <w:r w:rsidRPr="006B0941">
        <w:rPr>
          <w:rFonts w:ascii="Arial" w:hAnsi="Arial" w:cs="Arial"/>
          <w:sz w:val="20"/>
          <w:szCs w:val="20"/>
        </w:rPr>
        <w:t xml:space="preserve"> additional payments in the form of sales and cashing bonuses. The total for such additional payments is limited by statute §67-7414 to a statewide total of 1% of sales.  </w:t>
      </w:r>
    </w:p>
    <w:p w14:paraId="4BE41999" w14:textId="77777777" w:rsidR="0082030D" w:rsidRPr="006B0941" w:rsidRDefault="0082030D" w:rsidP="00EF2DAE">
      <w:pPr>
        <w:shd w:val="clear" w:color="auto" w:fill="FFFFFF" w:themeFill="background1"/>
        <w:jc w:val="both"/>
        <w:rPr>
          <w:rFonts w:ascii="Arial" w:hAnsi="Arial" w:cs="Arial"/>
          <w:sz w:val="20"/>
          <w:szCs w:val="20"/>
          <w:highlight w:val="cyan"/>
        </w:rPr>
      </w:pPr>
    </w:p>
    <w:bookmarkEnd w:id="3"/>
    <w:p w14:paraId="73587927" w14:textId="37A1DB28" w:rsidR="00CC11AD" w:rsidRDefault="00456708" w:rsidP="00A91D91">
      <w:pPr>
        <w:rPr>
          <w:rFonts w:ascii="Arial" w:hAnsi="Arial" w:cs="Arial"/>
          <w:sz w:val="20"/>
          <w:szCs w:val="20"/>
        </w:rPr>
      </w:pPr>
      <w:r w:rsidRPr="00456708">
        <w:rPr>
          <w:rFonts w:ascii="Arial" w:hAnsi="Arial" w:cs="Arial"/>
          <w:sz w:val="20"/>
          <w:szCs w:val="20"/>
        </w:rPr>
        <w:t>The conclusion of Fiscal Year 202</w:t>
      </w:r>
      <w:r w:rsidR="009967B0">
        <w:rPr>
          <w:rFonts w:ascii="Arial" w:hAnsi="Arial" w:cs="Arial"/>
          <w:sz w:val="20"/>
          <w:szCs w:val="20"/>
        </w:rPr>
        <w:t>4</w:t>
      </w:r>
      <w:r w:rsidRPr="00456708">
        <w:rPr>
          <w:rFonts w:ascii="Arial" w:hAnsi="Arial" w:cs="Arial"/>
          <w:sz w:val="20"/>
          <w:szCs w:val="20"/>
        </w:rPr>
        <w:t xml:space="preserve"> saw the Idaho Lottery deliver its largest dividend in history, $</w:t>
      </w:r>
      <w:r w:rsidR="00FB0BFA">
        <w:rPr>
          <w:rFonts w:ascii="Arial" w:hAnsi="Arial" w:cs="Arial"/>
          <w:sz w:val="20"/>
          <w:szCs w:val="20"/>
        </w:rPr>
        <w:t>8</w:t>
      </w:r>
      <w:r w:rsidR="009967B0">
        <w:rPr>
          <w:rFonts w:ascii="Arial" w:hAnsi="Arial" w:cs="Arial"/>
          <w:sz w:val="20"/>
          <w:szCs w:val="20"/>
        </w:rPr>
        <w:t>4</w:t>
      </w:r>
      <w:r w:rsidRPr="00456708">
        <w:rPr>
          <w:rFonts w:ascii="Arial" w:hAnsi="Arial" w:cs="Arial"/>
          <w:sz w:val="20"/>
          <w:szCs w:val="20"/>
        </w:rPr>
        <w:t xml:space="preserve"> million, </w:t>
      </w:r>
      <w:r w:rsidR="00DB4F49">
        <w:rPr>
          <w:rFonts w:ascii="Arial" w:hAnsi="Arial" w:cs="Arial"/>
          <w:sz w:val="20"/>
          <w:szCs w:val="20"/>
        </w:rPr>
        <w:t xml:space="preserve">bringing </w:t>
      </w:r>
      <w:r w:rsidRPr="00456708">
        <w:rPr>
          <w:rFonts w:ascii="Arial" w:hAnsi="Arial" w:cs="Arial"/>
          <w:sz w:val="20"/>
          <w:szCs w:val="20"/>
        </w:rPr>
        <w:t xml:space="preserve">total dividend transfers </w:t>
      </w:r>
      <w:r w:rsidR="00DB4F49">
        <w:rPr>
          <w:rFonts w:ascii="Arial" w:hAnsi="Arial" w:cs="Arial"/>
          <w:sz w:val="20"/>
          <w:szCs w:val="20"/>
        </w:rPr>
        <w:t xml:space="preserve">to </w:t>
      </w:r>
      <w:r w:rsidR="00DB4F49" w:rsidRPr="009E14B2">
        <w:rPr>
          <w:rFonts w:ascii="Arial" w:hAnsi="Arial" w:cs="Arial"/>
          <w:sz w:val="20"/>
          <w:szCs w:val="20"/>
        </w:rPr>
        <w:t>$1.</w:t>
      </w:r>
      <w:r w:rsidR="009E14B2" w:rsidRPr="009E14B2">
        <w:rPr>
          <w:rFonts w:ascii="Arial" w:hAnsi="Arial" w:cs="Arial"/>
          <w:sz w:val="20"/>
          <w:szCs w:val="20"/>
        </w:rPr>
        <w:t>273</w:t>
      </w:r>
      <w:r w:rsidR="00DB4F49" w:rsidRPr="009E14B2">
        <w:rPr>
          <w:rFonts w:ascii="Arial" w:hAnsi="Arial" w:cs="Arial"/>
          <w:sz w:val="20"/>
          <w:szCs w:val="20"/>
        </w:rPr>
        <w:t xml:space="preserve"> billion</w:t>
      </w:r>
      <w:r w:rsidR="00DB4F49">
        <w:rPr>
          <w:rFonts w:ascii="Arial" w:hAnsi="Arial" w:cs="Arial"/>
          <w:sz w:val="20"/>
          <w:szCs w:val="20"/>
        </w:rPr>
        <w:t xml:space="preserve"> si</w:t>
      </w:r>
      <w:r w:rsidRPr="00456708">
        <w:rPr>
          <w:rFonts w:ascii="Arial" w:hAnsi="Arial" w:cs="Arial"/>
          <w:sz w:val="20"/>
          <w:szCs w:val="20"/>
        </w:rPr>
        <w:t xml:space="preserve">nce beginning operations in 1989. This year’s historic dividend </w:t>
      </w:r>
      <w:r w:rsidR="004A6751">
        <w:rPr>
          <w:rFonts w:ascii="Arial" w:hAnsi="Arial" w:cs="Arial"/>
          <w:sz w:val="20"/>
          <w:szCs w:val="20"/>
        </w:rPr>
        <w:lastRenderedPageBreak/>
        <w:t xml:space="preserve">was a </w:t>
      </w:r>
      <w:r w:rsidR="004A6751" w:rsidRPr="00783919">
        <w:rPr>
          <w:rFonts w:ascii="Arial" w:hAnsi="Arial" w:cs="Arial"/>
          <w:sz w:val="20"/>
          <w:szCs w:val="20"/>
        </w:rPr>
        <w:t xml:space="preserve">result of </w:t>
      </w:r>
      <w:r w:rsidRPr="00783919">
        <w:rPr>
          <w:rFonts w:ascii="Arial" w:hAnsi="Arial" w:cs="Arial"/>
          <w:sz w:val="20"/>
          <w:szCs w:val="20"/>
        </w:rPr>
        <w:t>$</w:t>
      </w:r>
      <w:r w:rsidR="000E5C03" w:rsidRPr="00783919">
        <w:rPr>
          <w:rFonts w:ascii="Arial" w:hAnsi="Arial" w:cs="Arial"/>
          <w:sz w:val="20"/>
          <w:szCs w:val="20"/>
        </w:rPr>
        <w:t>42</w:t>
      </w:r>
      <w:r w:rsidR="00783919" w:rsidRPr="00783919">
        <w:rPr>
          <w:rFonts w:ascii="Arial" w:hAnsi="Arial" w:cs="Arial"/>
          <w:sz w:val="20"/>
          <w:szCs w:val="20"/>
        </w:rPr>
        <w:t>2</w:t>
      </w:r>
      <w:r w:rsidR="00124831" w:rsidRPr="00783919">
        <w:rPr>
          <w:rFonts w:ascii="Arial" w:hAnsi="Arial" w:cs="Arial"/>
          <w:sz w:val="20"/>
          <w:szCs w:val="20"/>
        </w:rPr>
        <w:t>.</w:t>
      </w:r>
      <w:r w:rsidR="00783919" w:rsidRPr="00783919">
        <w:rPr>
          <w:rFonts w:ascii="Arial" w:hAnsi="Arial" w:cs="Arial"/>
          <w:sz w:val="20"/>
          <w:szCs w:val="20"/>
        </w:rPr>
        <w:t>8</w:t>
      </w:r>
      <w:r w:rsidRPr="00783919">
        <w:rPr>
          <w:rFonts w:ascii="Arial" w:hAnsi="Arial" w:cs="Arial"/>
          <w:sz w:val="20"/>
          <w:szCs w:val="20"/>
        </w:rPr>
        <w:t xml:space="preserve"> million in product</w:t>
      </w:r>
      <w:r w:rsidR="00764536" w:rsidRPr="00783919">
        <w:rPr>
          <w:rFonts w:ascii="Arial" w:hAnsi="Arial" w:cs="Arial"/>
          <w:sz w:val="20"/>
          <w:szCs w:val="20"/>
        </w:rPr>
        <w:t xml:space="preserve"> </w:t>
      </w:r>
      <w:r w:rsidRPr="00783919">
        <w:rPr>
          <w:rFonts w:ascii="Arial" w:hAnsi="Arial" w:cs="Arial"/>
          <w:sz w:val="20"/>
          <w:szCs w:val="20"/>
        </w:rPr>
        <w:t>s</w:t>
      </w:r>
      <w:r w:rsidR="00764536" w:rsidRPr="00783919">
        <w:rPr>
          <w:rFonts w:ascii="Arial" w:hAnsi="Arial" w:cs="Arial"/>
          <w:sz w:val="20"/>
          <w:szCs w:val="20"/>
        </w:rPr>
        <w:t>ales</w:t>
      </w:r>
      <w:r w:rsidRPr="00783919">
        <w:rPr>
          <w:rFonts w:ascii="Arial" w:hAnsi="Arial" w:cs="Arial"/>
          <w:sz w:val="20"/>
          <w:szCs w:val="20"/>
        </w:rPr>
        <w:t>.</w:t>
      </w:r>
      <w:r w:rsidRPr="00456708">
        <w:rPr>
          <w:rFonts w:ascii="Arial" w:hAnsi="Arial" w:cs="Arial"/>
          <w:sz w:val="20"/>
          <w:szCs w:val="20"/>
        </w:rPr>
        <w:t xml:space="preserve">  </w:t>
      </w:r>
      <w:r w:rsidR="009967B0">
        <w:rPr>
          <w:rFonts w:ascii="Arial" w:hAnsi="Arial" w:cs="Arial"/>
          <w:sz w:val="20"/>
          <w:szCs w:val="20"/>
        </w:rPr>
        <w:t>S</w:t>
      </w:r>
      <w:r w:rsidRPr="00456708">
        <w:rPr>
          <w:rFonts w:ascii="Arial" w:hAnsi="Arial" w:cs="Arial"/>
          <w:sz w:val="20"/>
          <w:szCs w:val="20"/>
        </w:rPr>
        <w:t xml:space="preserve">ales </w:t>
      </w:r>
      <w:r w:rsidR="004B1376">
        <w:rPr>
          <w:rFonts w:ascii="Arial" w:hAnsi="Arial" w:cs="Arial"/>
          <w:sz w:val="20"/>
          <w:szCs w:val="20"/>
        </w:rPr>
        <w:t>exceeded</w:t>
      </w:r>
      <w:r w:rsidRPr="00456708">
        <w:rPr>
          <w:rFonts w:ascii="Arial" w:hAnsi="Arial" w:cs="Arial"/>
          <w:sz w:val="20"/>
          <w:szCs w:val="20"/>
        </w:rPr>
        <w:t xml:space="preserve"> plan</w:t>
      </w:r>
      <w:r w:rsidR="00CC11AD">
        <w:rPr>
          <w:rFonts w:ascii="Arial" w:hAnsi="Arial" w:cs="Arial"/>
          <w:sz w:val="20"/>
          <w:szCs w:val="20"/>
        </w:rPr>
        <w:t xml:space="preserve"> on the strength of Idaho’s economy and continue</w:t>
      </w:r>
      <w:r w:rsidR="009254EB">
        <w:rPr>
          <w:rFonts w:ascii="Arial" w:hAnsi="Arial" w:cs="Arial"/>
          <w:sz w:val="20"/>
          <w:szCs w:val="20"/>
        </w:rPr>
        <w:t>d</w:t>
      </w:r>
      <w:r w:rsidR="00CC11AD">
        <w:rPr>
          <w:rFonts w:ascii="Arial" w:hAnsi="Arial" w:cs="Arial"/>
          <w:sz w:val="20"/>
          <w:szCs w:val="20"/>
        </w:rPr>
        <w:t xml:space="preserve"> population growth.  </w:t>
      </w:r>
    </w:p>
    <w:p w14:paraId="1F795A92" w14:textId="530148F3" w:rsidR="00456708" w:rsidRPr="00456708" w:rsidRDefault="00456708" w:rsidP="00A91D91">
      <w:pPr>
        <w:rPr>
          <w:rFonts w:ascii="Arial" w:hAnsi="Arial" w:cs="Arial"/>
          <w:sz w:val="20"/>
          <w:szCs w:val="20"/>
        </w:rPr>
      </w:pPr>
      <w:r w:rsidRPr="00456708">
        <w:rPr>
          <w:rFonts w:ascii="Arial" w:hAnsi="Arial" w:cs="Arial"/>
          <w:sz w:val="20"/>
          <w:szCs w:val="20"/>
        </w:rPr>
        <w:t xml:space="preserve"> </w:t>
      </w:r>
    </w:p>
    <w:p w14:paraId="0D254146" w14:textId="4A4AADA5" w:rsidR="00AF31D0" w:rsidRDefault="00AF31D0" w:rsidP="00AF31D0">
      <w:pPr>
        <w:rPr>
          <w:rFonts w:ascii="Calibri" w:hAnsi="Calibri" w:cs="Calibri"/>
          <w:sz w:val="22"/>
          <w:szCs w:val="22"/>
        </w:rPr>
      </w:pPr>
      <w:r>
        <w:rPr>
          <w:rFonts w:ascii="Arial" w:hAnsi="Arial" w:cs="Arial"/>
          <w:sz w:val="20"/>
          <w:szCs w:val="20"/>
        </w:rPr>
        <w:t>Scratch</w:t>
      </w:r>
      <w:r w:rsidR="008A093B">
        <w:rPr>
          <w:rFonts w:ascii="Arial" w:hAnsi="Arial" w:cs="Arial"/>
          <w:sz w:val="20"/>
          <w:szCs w:val="20"/>
        </w:rPr>
        <w:t>™</w:t>
      </w:r>
      <w:r>
        <w:rPr>
          <w:rFonts w:ascii="Arial" w:hAnsi="Arial" w:cs="Arial"/>
          <w:sz w:val="20"/>
          <w:szCs w:val="20"/>
        </w:rPr>
        <w:t xml:space="preserve"> ticket</w:t>
      </w:r>
      <w:r w:rsidR="001F6A0A">
        <w:rPr>
          <w:rFonts w:ascii="Arial" w:hAnsi="Arial" w:cs="Arial"/>
          <w:sz w:val="20"/>
          <w:szCs w:val="20"/>
        </w:rPr>
        <w:t xml:space="preserve">s continue to be a </w:t>
      </w:r>
      <w:r w:rsidR="008A093B">
        <w:rPr>
          <w:rFonts w:ascii="Arial" w:hAnsi="Arial" w:cs="Arial"/>
          <w:sz w:val="20"/>
          <w:szCs w:val="20"/>
        </w:rPr>
        <w:t>favorite</w:t>
      </w:r>
      <w:r w:rsidR="001F6A0A">
        <w:rPr>
          <w:rFonts w:ascii="Arial" w:hAnsi="Arial" w:cs="Arial"/>
          <w:sz w:val="20"/>
          <w:szCs w:val="20"/>
        </w:rPr>
        <w:t xml:space="preserve"> for Lottery players. T</w:t>
      </w:r>
      <w:r>
        <w:rPr>
          <w:rFonts w:ascii="Arial" w:hAnsi="Arial" w:cs="Arial"/>
          <w:sz w:val="20"/>
          <w:szCs w:val="20"/>
        </w:rPr>
        <w:t xml:space="preserve">he Lottery introduced </w:t>
      </w:r>
      <w:r w:rsidR="009E14B2">
        <w:rPr>
          <w:rFonts w:ascii="Arial" w:hAnsi="Arial" w:cs="Arial"/>
          <w:sz w:val="20"/>
          <w:szCs w:val="20"/>
        </w:rPr>
        <w:t>54</w:t>
      </w:r>
      <w:r>
        <w:rPr>
          <w:rFonts w:ascii="Arial" w:hAnsi="Arial" w:cs="Arial"/>
          <w:sz w:val="20"/>
          <w:szCs w:val="20"/>
        </w:rPr>
        <w:t xml:space="preserve"> different Scratch games during the fiscal year. </w:t>
      </w:r>
    </w:p>
    <w:p w14:paraId="276E0732" w14:textId="77777777" w:rsidR="00456708" w:rsidRPr="008A093B" w:rsidRDefault="00456708" w:rsidP="00A91D91">
      <w:pPr>
        <w:rPr>
          <w:rFonts w:ascii="Arial" w:hAnsi="Arial" w:cs="Arial"/>
          <w:color w:val="FF0000"/>
          <w:sz w:val="20"/>
          <w:szCs w:val="20"/>
        </w:rPr>
      </w:pPr>
    </w:p>
    <w:p w14:paraId="4316D3B8" w14:textId="522B1195" w:rsidR="00456708" w:rsidRPr="00AF31D0" w:rsidRDefault="009254EB" w:rsidP="00A91D91">
      <w:pPr>
        <w:rPr>
          <w:rFonts w:ascii="Calibri" w:hAnsi="Calibri" w:cs="Calibri"/>
          <w:sz w:val="22"/>
          <w:szCs w:val="22"/>
        </w:rPr>
      </w:pPr>
      <w:r>
        <w:rPr>
          <w:rFonts w:ascii="Arial" w:hAnsi="Arial" w:cs="Arial"/>
          <w:sz w:val="20"/>
          <w:szCs w:val="20"/>
        </w:rPr>
        <w:t xml:space="preserve">The </w:t>
      </w:r>
      <w:r w:rsidR="009967B0">
        <w:rPr>
          <w:rFonts w:ascii="Arial" w:hAnsi="Arial" w:cs="Arial"/>
          <w:sz w:val="20"/>
          <w:szCs w:val="20"/>
        </w:rPr>
        <w:t>seventeent</w:t>
      </w:r>
      <w:r w:rsidR="006F7E9D">
        <w:rPr>
          <w:rFonts w:ascii="Arial" w:hAnsi="Arial" w:cs="Arial"/>
          <w:sz w:val="20"/>
          <w:szCs w:val="20"/>
        </w:rPr>
        <w:t>h</w:t>
      </w:r>
      <w:r w:rsidR="004C3254" w:rsidRPr="004C3254">
        <w:rPr>
          <w:rFonts w:ascii="Arial" w:hAnsi="Arial" w:cs="Arial"/>
          <w:sz w:val="20"/>
          <w:szCs w:val="20"/>
        </w:rPr>
        <w:t xml:space="preserve"> edition of the </w:t>
      </w:r>
      <w:r w:rsidR="00456708" w:rsidRPr="004C3254">
        <w:rPr>
          <w:rFonts w:ascii="Arial" w:hAnsi="Arial" w:cs="Arial"/>
          <w:i/>
          <w:iCs/>
          <w:sz w:val="20"/>
          <w:szCs w:val="20"/>
        </w:rPr>
        <w:t>Idaho $1,000,000 Raffle</w:t>
      </w:r>
      <w:r w:rsidR="00A02423">
        <w:rPr>
          <w:rFonts w:ascii="Arial" w:hAnsi="Arial" w:cs="Arial"/>
          <w:i/>
          <w:iCs/>
          <w:sz w:val="20"/>
          <w:szCs w:val="20"/>
        </w:rPr>
        <w:t xml:space="preserve">, </w:t>
      </w:r>
      <w:r w:rsidR="00A02423">
        <w:rPr>
          <w:rFonts w:ascii="Arial" w:hAnsi="Arial" w:cs="Arial"/>
          <w:sz w:val="20"/>
          <w:szCs w:val="20"/>
        </w:rPr>
        <w:t xml:space="preserve">launched on October 21, 2024 and </w:t>
      </w:r>
      <w:r w:rsidR="00EE1A34" w:rsidRPr="004C3254">
        <w:rPr>
          <w:rFonts w:ascii="Arial" w:hAnsi="Arial" w:cs="Arial"/>
          <w:sz w:val="20"/>
          <w:szCs w:val="20"/>
        </w:rPr>
        <w:t>sold</w:t>
      </w:r>
      <w:r w:rsidR="00456708" w:rsidRPr="004C3254">
        <w:rPr>
          <w:rFonts w:ascii="Arial" w:hAnsi="Arial" w:cs="Arial"/>
          <w:sz w:val="20"/>
          <w:szCs w:val="20"/>
        </w:rPr>
        <w:t xml:space="preserve"> </w:t>
      </w:r>
      <w:r w:rsidR="00A02423">
        <w:rPr>
          <w:rFonts w:ascii="Arial" w:hAnsi="Arial" w:cs="Arial"/>
          <w:sz w:val="20"/>
          <w:szCs w:val="20"/>
        </w:rPr>
        <w:t xml:space="preserve">450,000 tickets </w:t>
      </w:r>
      <w:r w:rsidR="00456708" w:rsidRPr="004C3254">
        <w:rPr>
          <w:rFonts w:ascii="Arial" w:hAnsi="Arial" w:cs="Arial"/>
          <w:sz w:val="20"/>
          <w:szCs w:val="20"/>
        </w:rPr>
        <w:t>in only</w:t>
      </w:r>
      <w:r w:rsidR="00A02423">
        <w:rPr>
          <w:rFonts w:ascii="Arial" w:hAnsi="Arial" w:cs="Arial"/>
          <w:sz w:val="20"/>
          <w:szCs w:val="20"/>
        </w:rPr>
        <w:t xml:space="preserve"> 36</w:t>
      </w:r>
      <w:r w:rsidR="00534A86">
        <w:rPr>
          <w:rFonts w:ascii="Arial" w:hAnsi="Arial" w:cs="Arial"/>
          <w:sz w:val="20"/>
          <w:szCs w:val="20"/>
        </w:rPr>
        <w:t xml:space="preserve"> </w:t>
      </w:r>
      <w:r w:rsidR="00456708" w:rsidRPr="004C3254">
        <w:rPr>
          <w:rFonts w:ascii="Arial" w:hAnsi="Arial" w:cs="Arial"/>
          <w:sz w:val="20"/>
          <w:szCs w:val="20"/>
        </w:rPr>
        <w:t>days</w:t>
      </w:r>
      <w:r w:rsidR="00A02423">
        <w:rPr>
          <w:rFonts w:ascii="Arial" w:hAnsi="Arial" w:cs="Arial"/>
          <w:sz w:val="20"/>
          <w:szCs w:val="20"/>
        </w:rPr>
        <w:t xml:space="preserve">.  This </w:t>
      </w:r>
      <w:r w:rsidR="003D1492">
        <w:rPr>
          <w:rFonts w:ascii="Arial" w:hAnsi="Arial" w:cs="Arial"/>
          <w:sz w:val="20"/>
          <w:szCs w:val="20"/>
        </w:rPr>
        <w:t>version</w:t>
      </w:r>
      <w:r w:rsidR="00A02423">
        <w:rPr>
          <w:rFonts w:ascii="Arial" w:hAnsi="Arial" w:cs="Arial"/>
          <w:sz w:val="20"/>
          <w:szCs w:val="20"/>
        </w:rPr>
        <w:t xml:space="preserve"> had 200,000 more tickets</w:t>
      </w:r>
      <w:r w:rsidR="003D1492">
        <w:rPr>
          <w:rFonts w:ascii="Arial" w:hAnsi="Arial" w:cs="Arial"/>
          <w:sz w:val="20"/>
          <w:szCs w:val="20"/>
        </w:rPr>
        <w:t xml:space="preserve"> than previous versions</w:t>
      </w:r>
      <w:r w:rsidR="00A02423">
        <w:rPr>
          <w:rFonts w:ascii="Arial" w:hAnsi="Arial" w:cs="Arial"/>
          <w:sz w:val="20"/>
          <w:szCs w:val="20"/>
        </w:rPr>
        <w:t xml:space="preserve"> and an additional million dollar prize. </w:t>
      </w:r>
      <w:r w:rsidR="00534A86">
        <w:rPr>
          <w:rFonts w:ascii="Arial" w:hAnsi="Arial" w:cs="Arial"/>
          <w:sz w:val="20"/>
          <w:szCs w:val="20"/>
        </w:rPr>
        <w:t xml:space="preserve">This continues to be a very popular game with Lottery players. </w:t>
      </w:r>
    </w:p>
    <w:p w14:paraId="0FB7C5EC" w14:textId="77777777" w:rsidR="009C6B5E" w:rsidRPr="006B0941" w:rsidRDefault="009C6B5E" w:rsidP="00A91D91">
      <w:pPr>
        <w:rPr>
          <w:rFonts w:ascii="Arial" w:hAnsi="Arial" w:cs="Arial"/>
          <w:sz w:val="20"/>
          <w:szCs w:val="20"/>
        </w:rPr>
      </w:pPr>
    </w:p>
    <w:p w14:paraId="39A06724" w14:textId="6EF15DC1" w:rsidR="00C858FE" w:rsidRDefault="0064735C" w:rsidP="00A91D91">
      <w:pPr>
        <w:rPr>
          <w:rFonts w:ascii="Arial" w:hAnsi="Arial" w:cs="Arial"/>
          <w:color w:val="000000"/>
          <w:sz w:val="20"/>
          <w:szCs w:val="20"/>
        </w:rPr>
      </w:pPr>
      <w:r>
        <w:rPr>
          <w:rFonts w:ascii="Arial" w:hAnsi="Arial" w:cs="Arial"/>
          <w:color w:val="000000"/>
          <w:sz w:val="20"/>
          <w:szCs w:val="20"/>
        </w:rPr>
        <w:t xml:space="preserve">In addition to its </w:t>
      </w:r>
      <w:r w:rsidR="002F582F">
        <w:rPr>
          <w:rFonts w:ascii="Arial" w:hAnsi="Arial" w:cs="Arial"/>
          <w:color w:val="000000"/>
          <w:sz w:val="20"/>
          <w:szCs w:val="20"/>
        </w:rPr>
        <w:t>l</w:t>
      </w:r>
      <w:r>
        <w:rPr>
          <w:rFonts w:ascii="Arial" w:hAnsi="Arial" w:cs="Arial"/>
          <w:color w:val="000000"/>
          <w:sz w:val="20"/>
          <w:szCs w:val="20"/>
        </w:rPr>
        <w:t xml:space="preserve">ottery responsibilities, </w:t>
      </w:r>
      <w:r w:rsidR="00360362">
        <w:rPr>
          <w:rFonts w:ascii="Arial" w:hAnsi="Arial" w:cs="Arial"/>
          <w:i/>
          <w:iCs/>
          <w:color w:val="000000"/>
          <w:sz w:val="20"/>
          <w:szCs w:val="20"/>
        </w:rPr>
        <w:t>Idaho Code,</w:t>
      </w:r>
      <w:r w:rsidR="00360362">
        <w:rPr>
          <w:rFonts w:ascii="Arial" w:hAnsi="Arial" w:cs="Arial"/>
          <w:color w:val="000000"/>
          <w:sz w:val="20"/>
          <w:szCs w:val="20"/>
        </w:rPr>
        <w:t xml:space="preserve"> T</w:t>
      </w:r>
      <w:r>
        <w:rPr>
          <w:rFonts w:ascii="Arial" w:hAnsi="Arial" w:cs="Arial"/>
          <w:color w:val="000000"/>
          <w:sz w:val="20"/>
          <w:szCs w:val="20"/>
        </w:rPr>
        <w:t xml:space="preserve">itle 67, Chapter 77, </w:t>
      </w:r>
      <w:r w:rsidR="00C858FE">
        <w:rPr>
          <w:rFonts w:ascii="Arial" w:hAnsi="Arial" w:cs="Arial"/>
          <w:color w:val="000000"/>
          <w:sz w:val="20"/>
          <w:szCs w:val="20"/>
        </w:rPr>
        <w:t xml:space="preserve">grants authority to </w:t>
      </w:r>
      <w:r>
        <w:rPr>
          <w:rFonts w:ascii="Arial" w:hAnsi="Arial" w:cs="Arial"/>
          <w:color w:val="000000"/>
          <w:sz w:val="20"/>
          <w:szCs w:val="20"/>
        </w:rPr>
        <w:t xml:space="preserve">the Idaho Lottery to license and regulate </w:t>
      </w:r>
      <w:r w:rsidR="00D17118">
        <w:rPr>
          <w:rFonts w:ascii="Arial" w:hAnsi="Arial" w:cs="Arial"/>
          <w:color w:val="000000"/>
          <w:sz w:val="20"/>
          <w:szCs w:val="20"/>
        </w:rPr>
        <w:t xml:space="preserve">charitable </w:t>
      </w:r>
      <w:r>
        <w:rPr>
          <w:rFonts w:ascii="Arial" w:hAnsi="Arial" w:cs="Arial"/>
          <w:color w:val="000000"/>
          <w:sz w:val="20"/>
          <w:szCs w:val="20"/>
        </w:rPr>
        <w:t>bingo and raffles conducted by charitable and non-profit o</w:t>
      </w:r>
      <w:r w:rsidR="003E76CB">
        <w:rPr>
          <w:rFonts w:ascii="Arial" w:hAnsi="Arial" w:cs="Arial"/>
          <w:color w:val="000000"/>
          <w:sz w:val="20"/>
          <w:szCs w:val="20"/>
        </w:rPr>
        <w:t xml:space="preserve">rganizations within the state. </w:t>
      </w:r>
    </w:p>
    <w:p w14:paraId="27CA2786" w14:textId="77777777" w:rsidR="00C858FE" w:rsidRDefault="00C858FE" w:rsidP="00A91D91">
      <w:pPr>
        <w:rPr>
          <w:rFonts w:ascii="Arial" w:hAnsi="Arial" w:cs="Arial"/>
          <w:color w:val="000000"/>
          <w:sz w:val="20"/>
          <w:szCs w:val="20"/>
        </w:rPr>
      </w:pPr>
    </w:p>
    <w:p w14:paraId="0CF38F1F" w14:textId="5FA416F9" w:rsidR="00AF632F" w:rsidRDefault="00AF632F" w:rsidP="00A91D91">
      <w:pPr>
        <w:rPr>
          <w:rFonts w:ascii="Arial" w:hAnsi="Arial" w:cs="Arial"/>
          <w:color w:val="000000"/>
          <w:sz w:val="20"/>
          <w:szCs w:val="20"/>
        </w:rPr>
      </w:pPr>
      <w:r>
        <w:rPr>
          <w:rFonts w:ascii="Arial" w:hAnsi="Arial" w:cs="Arial"/>
          <w:color w:val="000000"/>
          <w:sz w:val="20"/>
          <w:szCs w:val="20"/>
        </w:rPr>
        <w:t>T</w:t>
      </w:r>
      <w:r w:rsidR="002555AC">
        <w:rPr>
          <w:rFonts w:ascii="Arial" w:hAnsi="Arial" w:cs="Arial"/>
          <w:color w:val="000000"/>
          <w:sz w:val="20"/>
          <w:szCs w:val="20"/>
        </w:rPr>
        <w:t>he Director of Lottery Security</w:t>
      </w:r>
      <w:r w:rsidR="00D17118">
        <w:rPr>
          <w:rFonts w:ascii="Arial" w:hAnsi="Arial" w:cs="Arial"/>
          <w:color w:val="000000"/>
          <w:sz w:val="20"/>
          <w:szCs w:val="20"/>
        </w:rPr>
        <w:t>, a</w:t>
      </w:r>
      <w:r w:rsidR="002F582F">
        <w:rPr>
          <w:rFonts w:ascii="Arial" w:hAnsi="Arial" w:cs="Arial"/>
          <w:color w:val="000000"/>
          <w:sz w:val="20"/>
          <w:szCs w:val="20"/>
        </w:rPr>
        <w:t xml:space="preserve"> </w:t>
      </w:r>
      <w:r w:rsidR="002555AC">
        <w:rPr>
          <w:rFonts w:ascii="Arial" w:hAnsi="Arial" w:cs="Arial"/>
          <w:color w:val="000000"/>
          <w:sz w:val="20"/>
          <w:szCs w:val="20"/>
        </w:rPr>
        <w:t xml:space="preserve">position mandated by </w:t>
      </w:r>
      <w:r w:rsidR="002555AC" w:rsidRPr="00764536">
        <w:rPr>
          <w:rFonts w:ascii="Arial" w:hAnsi="Arial" w:cs="Arial"/>
          <w:i/>
          <w:iCs/>
          <w:color w:val="000000"/>
          <w:sz w:val="20"/>
          <w:szCs w:val="20"/>
        </w:rPr>
        <w:t>Idaho Code</w:t>
      </w:r>
      <w:r w:rsidR="002555AC">
        <w:rPr>
          <w:rFonts w:ascii="Arial" w:hAnsi="Arial" w:cs="Arial"/>
          <w:color w:val="000000"/>
          <w:sz w:val="20"/>
          <w:szCs w:val="20"/>
        </w:rPr>
        <w:t xml:space="preserve"> §67-7410</w:t>
      </w:r>
      <w:r w:rsidR="00296E96">
        <w:rPr>
          <w:rFonts w:ascii="Arial" w:hAnsi="Arial" w:cs="Arial"/>
          <w:color w:val="000000"/>
          <w:sz w:val="20"/>
          <w:szCs w:val="20"/>
        </w:rPr>
        <w:t xml:space="preserve"> and reporting to the Lottery Director,</w:t>
      </w:r>
      <w:r w:rsidR="002555AC">
        <w:rPr>
          <w:rFonts w:ascii="Arial" w:hAnsi="Arial" w:cs="Arial"/>
          <w:color w:val="000000"/>
          <w:sz w:val="20"/>
          <w:szCs w:val="20"/>
        </w:rPr>
        <w:t xml:space="preserve"> </w:t>
      </w:r>
      <w:r>
        <w:rPr>
          <w:rFonts w:ascii="Arial" w:hAnsi="Arial" w:cs="Arial"/>
          <w:color w:val="000000"/>
          <w:sz w:val="20"/>
          <w:szCs w:val="20"/>
        </w:rPr>
        <w:t>is</w:t>
      </w:r>
      <w:r w:rsidR="002555AC">
        <w:rPr>
          <w:rFonts w:ascii="Arial" w:hAnsi="Arial" w:cs="Arial"/>
          <w:color w:val="000000"/>
          <w:sz w:val="20"/>
          <w:szCs w:val="20"/>
        </w:rPr>
        <w:t xml:space="preserve"> responsible for</w:t>
      </w:r>
      <w:r w:rsidR="00360362">
        <w:rPr>
          <w:rFonts w:ascii="Arial" w:hAnsi="Arial" w:cs="Arial"/>
          <w:color w:val="000000"/>
          <w:sz w:val="20"/>
          <w:szCs w:val="20"/>
        </w:rPr>
        <w:t xml:space="preserve"> </w:t>
      </w:r>
      <w:r w:rsidR="001907D2">
        <w:rPr>
          <w:rFonts w:ascii="Arial" w:hAnsi="Arial" w:cs="Arial"/>
          <w:color w:val="000000"/>
          <w:sz w:val="20"/>
          <w:szCs w:val="20"/>
        </w:rPr>
        <w:t>the security of all Lottery games, fraud prevention, the Warehouse, Charitable Gaming and retail</w:t>
      </w:r>
      <w:r w:rsidR="00360362">
        <w:rPr>
          <w:rFonts w:ascii="Arial" w:hAnsi="Arial" w:cs="Arial"/>
          <w:color w:val="000000"/>
          <w:sz w:val="20"/>
          <w:szCs w:val="20"/>
        </w:rPr>
        <w:t>er compliance</w:t>
      </w:r>
      <w:r w:rsidR="001907D2">
        <w:rPr>
          <w:rFonts w:ascii="Arial" w:hAnsi="Arial" w:cs="Arial"/>
          <w:color w:val="000000"/>
          <w:sz w:val="20"/>
          <w:szCs w:val="20"/>
        </w:rPr>
        <w:t xml:space="preserve"> </w:t>
      </w:r>
      <w:r w:rsidR="00360362">
        <w:rPr>
          <w:rFonts w:ascii="Arial" w:hAnsi="Arial" w:cs="Arial"/>
          <w:color w:val="000000"/>
          <w:sz w:val="20"/>
          <w:szCs w:val="20"/>
        </w:rPr>
        <w:t>with the</w:t>
      </w:r>
      <w:r w:rsidR="002555AC">
        <w:rPr>
          <w:rFonts w:ascii="Arial" w:hAnsi="Arial" w:cs="Arial"/>
          <w:color w:val="000000"/>
          <w:sz w:val="20"/>
          <w:szCs w:val="20"/>
        </w:rPr>
        <w:t xml:space="preserve"> </w:t>
      </w:r>
      <w:r w:rsidR="005114ED">
        <w:rPr>
          <w:rFonts w:ascii="Arial" w:hAnsi="Arial" w:cs="Arial"/>
          <w:color w:val="000000"/>
          <w:sz w:val="20"/>
          <w:szCs w:val="20"/>
        </w:rPr>
        <w:t>Americans with Disabilities Act (ADA)</w:t>
      </w:r>
      <w:r w:rsidR="001907D2">
        <w:rPr>
          <w:rFonts w:ascii="Arial" w:hAnsi="Arial" w:cs="Arial"/>
          <w:color w:val="000000"/>
          <w:sz w:val="20"/>
          <w:szCs w:val="20"/>
        </w:rPr>
        <w:t>.</w:t>
      </w:r>
    </w:p>
    <w:p w14:paraId="2E8B57E5" w14:textId="77777777" w:rsidR="00AF632F" w:rsidRDefault="00AF632F" w:rsidP="00A91D91">
      <w:pPr>
        <w:rPr>
          <w:rFonts w:ascii="Arial" w:hAnsi="Arial" w:cs="Arial"/>
          <w:color w:val="000000"/>
          <w:sz w:val="20"/>
          <w:szCs w:val="20"/>
        </w:rPr>
      </w:pPr>
    </w:p>
    <w:p w14:paraId="089FA521" w14:textId="77777777" w:rsidR="00D00B5E" w:rsidRDefault="0064735C" w:rsidP="00EF2DAE">
      <w:pPr>
        <w:jc w:val="both"/>
        <w:rPr>
          <w:rFonts w:ascii="Arial" w:hAnsi="Arial" w:cs="Arial"/>
          <w:b/>
          <w:bCs/>
        </w:rPr>
      </w:pPr>
      <w:r>
        <w:rPr>
          <w:rFonts w:ascii="Arial" w:hAnsi="Arial" w:cs="Arial"/>
          <w:b/>
          <w:bCs/>
        </w:rPr>
        <w:t>Core Functions/Idaho Code</w:t>
      </w:r>
    </w:p>
    <w:p w14:paraId="553942BB" w14:textId="27FBF981" w:rsidR="0064735C" w:rsidRDefault="0064735C" w:rsidP="00EF2DAE">
      <w:pPr>
        <w:jc w:val="both"/>
        <w:rPr>
          <w:rFonts w:ascii="Arial" w:hAnsi="Arial" w:cs="Arial"/>
          <w:b/>
          <w:bCs/>
        </w:rPr>
      </w:pPr>
      <w:r>
        <w:rPr>
          <w:rFonts w:ascii="Arial" w:hAnsi="Arial" w:cs="Arial"/>
          <w:b/>
          <w:bCs/>
        </w:rPr>
        <w:t xml:space="preserve"> </w:t>
      </w:r>
    </w:p>
    <w:p w14:paraId="10C1F008" w14:textId="6E7A1348" w:rsidR="0064735C" w:rsidRDefault="0064735C" w:rsidP="00A91D91">
      <w:pPr>
        <w:rPr>
          <w:rFonts w:ascii="Arial" w:hAnsi="Arial" w:cs="Arial"/>
          <w:color w:val="000000"/>
          <w:sz w:val="20"/>
          <w:szCs w:val="20"/>
        </w:rPr>
      </w:pPr>
      <w:r>
        <w:rPr>
          <w:rFonts w:ascii="Arial" w:hAnsi="Arial" w:cs="Arial"/>
          <w:sz w:val="20"/>
          <w:szCs w:val="20"/>
        </w:rPr>
        <w:t xml:space="preserve">The Idaho Lottery is established and regulated by </w:t>
      </w:r>
      <w:r w:rsidR="003A4076">
        <w:rPr>
          <w:rFonts w:ascii="Arial" w:hAnsi="Arial" w:cs="Arial"/>
          <w:i/>
          <w:iCs/>
          <w:color w:val="000000"/>
          <w:sz w:val="20"/>
          <w:szCs w:val="20"/>
        </w:rPr>
        <w:t>Idaho Code</w:t>
      </w:r>
      <w:r w:rsidR="003A4076">
        <w:rPr>
          <w:rFonts w:ascii="Arial" w:hAnsi="Arial" w:cs="Arial"/>
          <w:sz w:val="20"/>
          <w:szCs w:val="20"/>
        </w:rPr>
        <w:t xml:space="preserve">, </w:t>
      </w:r>
      <w:r>
        <w:rPr>
          <w:rFonts w:ascii="Arial" w:hAnsi="Arial" w:cs="Arial"/>
          <w:sz w:val="20"/>
          <w:szCs w:val="20"/>
        </w:rPr>
        <w:t>Title 67,</w:t>
      </w:r>
      <w:r w:rsidR="003A4076">
        <w:rPr>
          <w:rFonts w:ascii="Arial" w:hAnsi="Arial" w:cs="Arial"/>
          <w:sz w:val="20"/>
          <w:szCs w:val="20"/>
        </w:rPr>
        <w:t xml:space="preserve"> </w:t>
      </w:r>
      <w:r>
        <w:rPr>
          <w:rFonts w:ascii="Arial" w:hAnsi="Arial" w:cs="Arial"/>
          <w:color w:val="000000"/>
          <w:sz w:val="20"/>
          <w:szCs w:val="20"/>
        </w:rPr>
        <w:t>Chapter 74</w:t>
      </w:r>
      <w:r>
        <w:rPr>
          <w:rFonts w:ascii="Arial" w:hAnsi="Arial" w:cs="Arial"/>
          <w:i/>
          <w:iCs/>
          <w:color w:val="000000"/>
          <w:sz w:val="20"/>
          <w:szCs w:val="20"/>
        </w:rPr>
        <w:t xml:space="preserve">. </w:t>
      </w:r>
      <w:r w:rsidR="003A4076">
        <w:rPr>
          <w:rFonts w:ascii="Arial" w:hAnsi="Arial" w:cs="Arial"/>
          <w:i/>
          <w:iCs/>
          <w:color w:val="000000"/>
          <w:sz w:val="20"/>
          <w:szCs w:val="20"/>
        </w:rPr>
        <w:t xml:space="preserve"> </w:t>
      </w:r>
      <w:r w:rsidR="00296E96" w:rsidRPr="00296E96">
        <w:rPr>
          <w:rFonts w:ascii="Arial" w:hAnsi="Arial" w:cs="Arial"/>
          <w:color w:val="000000"/>
          <w:sz w:val="20"/>
          <w:szCs w:val="20"/>
        </w:rPr>
        <w:t>T</w:t>
      </w:r>
      <w:r>
        <w:rPr>
          <w:rFonts w:ascii="Arial" w:hAnsi="Arial" w:cs="Arial"/>
          <w:color w:val="000000"/>
          <w:sz w:val="20"/>
          <w:szCs w:val="20"/>
        </w:rPr>
        <w:t>he chapter defines</w:t>
      </w:r>
      <w:r w:rsidR="00296E96">
        <w:rPr>
          <w:rFonts w:ascii="Arial" w:hAnsi="Arial" w:cs="Arial"/>
          <w:color w:val="000000"/>
          <w:sz w:val="20"/>
          <w:szCs w:val="20"/>
        </w:rPr>
        <w:t>, among other things,</w:t>
      </w:r>
      <w:r>
        <w:rPr>
          <w:rFonts w:ascii="Arial" w:hAnsi="Arial" w:cs="Arial"/>
          <w:color w:val="000000"/>
          <w:sz w:val="20"/>
          <w:szCs w:val="20"/>
        </w:rPr>
        <w:t xml:space="preserve"> the duties of the Commission and the Director, establishes the legal age for purchasing and selling lottery tickets, prescribes the uses of lottery proceeds, and places limits on certain agency expenditures.</w:t>
      </w:r>
    </w:p>
    <w:p w14:paraId="7B220C30" w14:textId="77777777" w:rsidR="0064735C" w:rsidRDefault="0064735C" w:rsidP="00A91D91">
      <w:pPr>
        <w:rPr>
          <w:rFonts w:ascii="Arial" w:hAnsi="Arial" w:cs="Arial"/>
          <w:color w:val="000000"/>
          <w:sz w:val="20"/>
          <w:szCs w:val="20"/>
        </w:rPr>
      </w:pPr>
    </w:p>
    <w:p w14:paraId="643A90DC" w14:textId="32AAA3DB" w:rsidR="0064735C" w:rsidRDefault="003A4076" w:rsidP="00A91D91">
      <w:pPr>
        <w:rPr>
          <w:rFonts w:ascii="Arial" w:hAnsi="Arial" w:cs="Arial"/>
          <w:color w:val="000000"/>
          <w:sz w:val="20"/>
          <w:szCs w:val="20"/>
        </w:rPr>
      </w:pPr>
      <w:r>
        <w:rPr>
          <w:rFonts w:ascii="Arial" w:hAnsi="Arial" w:cs="Arial"/>
          <w:i/>
          <w:iCs/>
          <w:color w:val="000000"/>
          <w:sz w:val="20"/>
          <w:szCs w:val="20"/>
        </w:rPr>
        <w:t xml:space="preserve">Idaho Code, </w:t>
      </w:r>
      <w:r w:rsidR="0064735C">
        <w:rPr>
          <w:rFonts w:ascii="Arial" w:hAnsi="Arial" w:cs="Arial"/>
          <w:sz w:val="20"/>
          <w:szCs w:val="20"/>
        </w:rPr>
        <w:t xml:space="preserve">Title 67, </w:t>
      </w:r>
      <w:r w:rsidR="0064735C">
        <w:rPr>
          <w:rFonts w:ascii="Arial" w:hAnsi="Arial" w:cs="Arial"/>
          <w:color w:val="000000"/>
          <w:sz w:val="20"/>
          <w:szCs w:val="20"/>
        </w:rPr>
        <w:t>Chapter 77, governs charitable and non-profit bingo and raffles within the state. Section 67-7711</w:t>
      </w:r>
      <w:r>
        <w:rPr>
          <w:rFonts w:ascii="Arial" w:hAnsi="Arial" w:cs="Arial"/>
          <w:color w:val="000000"/>
          <w:sz w:val="20"/>
          <w:szCs w:val="20"/>
        </w:rPr>
        <w:t xml:space="preserve"> </w:t>
      </w:r>
      <w:r w:rsidR="0064735C">
        <w:rPr>
          <w:rFonts w:ascii="Arial" w:hAnsi="Arial" w:cs="Arial"/>
          <w:color w:val="000000"/>
          <w:sz w:val="20"/>
          <w:szCs w:val="20"/>
        </w:rPr>
        <w:t>gives the Idaho State Lottery the authority to license organizations conducting bingo games or raffles and to regulate how those games or raffles are conducted.</w:t>
      </w:r>
    </w:p>
    <w:p w14:paraId="69A2B56E" w14:textId="77777777" w:rsidR="00EF2DAE" w:rsidRDefault="00EF2DAE" w:rsidP="00F666A4">
      <w:pPr>
        <w:jc w:val="both"/>
        <w:rPr>
          <w:rFonts w:ascii="Arial" w:hAnsi="Arial" w:cs="Arial"/>
          <w:color w:val="000000"/>
          <w:sz w:val="20"/>
          <w:szCs w:val="20"/>
        </w:rPr>
      </w:pPr>
    </w:p>
    <w:p w14:paraId="29955FAE" w14:textId="589BBCB1" w:rsidR="0064735C" w:rsidRDefault="00055B87" w:rsidP="00F666A4">
      <w:pPr>
        <w:jc w:val="both"/>
        <w:rPr>
          <w:rFonts w:ascii="Arial" w:hAnsi="Arial" w:cs="Arial"/>
          <w:b/>
          <w:bCs/>
        </w:rPr>
      </w:pPr>
      <w:r w:rsidRPr="007D2843">
        <w:rPr>
          <w:rFonts w:ascii="Arial" w:hAnsi="Arial" w:cs="Arial"/>
          <w:b/>
          <w:bCs/>
        </w:rPr>
        <w:t xml:space="preserve">Revenue and </w:t>
      </w:r>
      <w:r w:rsidR="00317114" w:rsidRPr="007D2843">
        <w:rPr>
          <w:rFonts w:ascii="Arial" w:hAnsi="Arial" w:cs="Arial"/>
          <w:b/>
          <w:bCs/>
        </w:rPr>
        <w:t>Expenditure</w:t>
      </w:r>
      <w:r w:rsidR="00DE1340" w:rsidRPr="007D2843">
        <w:rPr>
          <w:rFonts w:ascii="Arial" w:hAnsi="Arial" w:cs="Arial"/>
          <w:b/>
          <w:bCs/>
        </w:rPr>
        <w:t>s</w:t>
      </w:r>
    </w:p>
    <w:p w14:paraId="4D8DD520" w14:textId="77777777" w:rsidR="00D00B5E" w:rsidRPr="007D2843" w:rsidRDefault="00D00B5E" w:rsidP="00F666A4">
      <w:pPr>
        <w:jc w:val="both"/>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2"/>
        <w:gridCol w:w="1944"/>
        <w:gridCol w:w="1887"/>
        <w:gridCol w:w="1799"/>
        <w:gridCol w:w="1708"/>
      </w:tblGrid>
      <w:tr w:rsidR="00192F38" w:rsidRPr="007D2843" w14:paraId="261E2BB8" w14:textId="77777777" w:rsidTr="005104CC">
        <w:trPr>
          <w:trHeight w:val="318"/>
        </w:trPr>
        <w:tc>
          <w:tcPr>
            <w:tcW w:w="1357" w:type="pct"/>
            <w:tcBorders>
              <w:bottom w:val="single" w:sz="4" w:space="0" w:color="auto"/>
            </w:tcBorders>
            <w:shd w:val="clear" w:color="000000" w:fill="000080"/>
            <w:vAlign w:val="center"/>
            <w:hideMark/>
          </w:tcPr>
          <w:p w14:paraId="62846C4D" w14:textId="77777777" w:rsidR="00192F38" w:rsidRPr="007D2843" w:rsidRDefault="00192F38" w:rsidP="00192F38">
            <w:pPr>
              <w:rPr>
                <w:rFonts w:ascii="Arial" w:hAnsi="Arial" w:cs="Arial"/>
                <w:b/>
                <w:bCs/>
                <w:color w:val="FFFFFF"/>
                <w:sz w:val="20"/>
                <w:szCs w:val="20"/>
              </w:rPr>
            </w:pPr>
            <w:r w:rsidRPr="007D2843">
              <w:rPr>
                <w:rFonts w:ascii="Arial" w:hAnsi="Arial" w:cs="Arial"/>
                <w:b/>
                <w:bCs/>
                <w:color w:val="FFFFFF"/>
                <w:sz w:val="20"/>
                <w:szCs w:val="20"/>
              </w:rPr>
              <w:t>Revenue</w:t>
            </w:r>
          </w:p>
        </w:tc>
        <w:tc>
          <w:tcPr>
            <w:tcW w:w="965" w:type="pct"/>
            <w:tcBorders>
              <w:bottom w:val="single" w:sz="4" w:space="0" w:color="auto"/>
            </w:tcBorders>
            <w:shd w:val="clear" w:color="000000" w:fill="000080"/>
            <w:vAlign w:val="center"/>
          </w:tcPr>
          <w:p w14:paraId="0D3BBADD" w14:textId="4301A40C" w:rsidR="00192F38" w:rsidRPr="007D2843" w:rsidRDefault="00192F38" w:rsidP="00192F38">
            <w:pPr>
              <w:jc w:val="right"/>
              <w:rPr>
                <w:rFonts w:ascii="Arial" w:hAnsi="Arial" w:cs="Arial"/>
                <w:b/>
                <w:bCs/>
                <w:color w:val="FFFFFF"/>
                <w:sz w:val="20"/>
                <w:szCs w:val="20"/>
              </w:rPr>
            </w:pPr>
            <w:r>
              <w:rPr>
                <w:rFonts w:ascii="Arial" w:hAnsi="Arial" w:cs="Arial"/>
                <w:b/>
                <w:bCs/>
                <w:color w:val="FFFFFF"/>
                <w:sz w:val="20"/>
                <w:szCs w:val="20"/>
              </w:rPr>
              <w:t>FY 2022</w:t>
            </w:r>
          </w:p>
        </w:tc>
        <w:tc>
          <w:tcPr>
            <w:tcW w:w="937" w:type="pct"/>
            <w:tcBorders>
              <w:bottom w:val="single" w:sz="4" w:space="0" w:color="auto"/>
            </w:tcBorders>
            <w:shd w:val="clear" w:color="000000" w:fill="000080"/>
            <w:vAlign w:val="center"/>
          </w:tcPr>
          <w:p w14:paraId="477C718C" w14:textId="493AB5C7" w:rsidR="00192F38" w:rsidRPr="007D2843" w:rsidRDefault="00192F38" w:rsidP="00192F38">
            <w:pPr>
              <w:jc w:val="right"/>
              <w:rPr>
                <w:rFonts w:ascii="Arial" w:hAnsi="Arial" w:cs="Arial"/>
                <w:b/>
                <w:bCs/>
                <w:color w:val="FFFFFF"/>
                <w:sz w:val="20"/>
                <w:szCs w:val="20"/>
              </w:rPr>
            </w:pPr>
            <w:r>
              <w:rPr>
                <w:rFonts w:ascii="Arial" w:hAnsi="Arial" w:cs="Arial"/>
                <w:b/>
                <w:bCs/>
                <w:color w:val="FFFFFF"/>
                <w:sz w:val="20"/>
                <w:szCs w:val="20"/>
              </w:rPr>
              <w:t>FY 2023</w:t>
            </w:r>
          </w:p>
        </w:tc>
        <w:tc>
          <w:tcPr>
            <w:tcW w:w="893" w:type="pct"/>
            <w:tcBorders>
              <w:bottom w:val="single" w:sz="4" w:space="0" w:color="auto"/>
            </w:tcBorders>
            <w:shd w:val="clear" w:color="000000" w:fill="000080"/>
            <w:vAlign w:val="center"/>
          </w:tcPr>
          <w:p w14:paraId="0C1CE9B8" w14:textId="325D514F" w:rsidR="00192F38" w:rsidRPr="007D2843" w:rsidRDefault="00192F38" w:rsidP="00192F38">
            <w:pPr>
              <w:jc w:val="right"/>
              <w:rPr>
                <w:rFonts w:ascii="Arial" w:hAnsi="Arial" w:cs="Arial"/>
                <w:b/>
                <w:bCs/>
                <w:color w:val="FFFFFF"/>
                <w:sz w:val="20"/>
                <w:szCs w:val="20"/>
              </w:rPr>
            </w:pPr>
            <w:r w:rsidRPr="00124831">
              <w:rPr>
                <w:rFonts w:ascii="Arial" w:hAnsi="Arial" w:cs="Arial"/>
                <w:b/>
                <w:bCs/>
                <w:sz w:val="20"/>
                <w:szCs w:val="20"/>
              </w:rPr>
              <w:t>FY 2024</w:t>
            </w:r>
          </w:p>
        </w:tc>
        <w:tc>
          <w:tcPr>
            <w:tcW w:w="848" w:type="pct"/>
            <w:tcBorders>
              <w:bottom w:val="single" w:sz="4" w:space="0" w:color="auto"/>
            </w:tcBorders>
            <w:shd w:val="clear" w:color="000000" w:fill="000080"/>
            <w:vAlign w:val="center"/>
          </w:tcPr>
          <w:p w14:paraId="4C3EF3DC" w14:textId="2BDDD891" w:rsidR="00192F38" w:rsidRPr="006F7E9D" w:rsidRDefault="00192F38" w:rsidP="00192F38">
            <w:pPr>
              <w:jc w:val="right"/>
              <w:rPr>
                <w:rFonts w:ascii="Arial" w:hAnsi="Arial" w:cs="Arial"/>
                <w:b/>
                <w:bCs/>
                <w:sz w:val="20"/>
                <w:szCs w:val="20"/>
              </w:rPr>
            </w:pPr>
            <w:r w:rsidRPr="00124831">
              <w:rPr>
                <w:rFonts w:ascii="Arial" w:hAnsi="Arial" w:cs="Arial"/>
                <w:b/>
                <w:bCs/>
                <w:sz w:val="20"/>
                <w:szCs w:val="20"/>
              </w:rPr>
              <w:t>FY 202</w:t>
            </w:r>
            <w:r>
              <w:rPr>
                <w:rFonts w:ascii="Arial" w:hAnsi="Arial" w:cs="Arial"/>
                <w:b/>
                <w:bCs/>
                <w:sz w:val="20"/>
                <w:szCs w:val="20"/>
              </w:rPr>
              <w:t>5</w:t>
            </w:r>
          </w:p>
        </w:tc>
      </w:tr>
      <w:tr w:rsidR="00192F38" w:rsidRPr="00FE4A80" w14:paraId="444B6AC6" w14:textId="77777777" w:rsidTr="005104CC">
        <w:trPr>
          <w:trHeight w:val="318"/>
        </w:trPr>
        <w:tc>
          <w:tcPr>
            <w:tcW w:w="1357" w:type="pct"/>
            <w:tcBorders>
              <w:bottom w:val="nil"/>
              <w:right w:val="nil"/>
            </w:tcBorders>
            <w:shd w:val="clear" w:color="auto" w:fill="auto"/>
            <w:vAlign w:val="center"/>
            <w:hideMark/>
          </w:tcPr>
          <w:p w14:paraId="6E8001CA" w14:textId="13979F5D" w:rsidR="00192F38" w:rsidRPr="007D2843" w:rsidRDefault="00192F38" w:rsidP="00192F38">
            <w:pPr>
              <w:rPr>
                <w:rFonts w:ascii="Arial" w:hAnsi="Arial" w:cs="Arial"/>
                <w:b/>
                <w:color w:val="000000"/>
                <w:sz w:val="20"/>
                <w:szCs w:val="20"/>
              </w:rPr>
            </w:pPr>
            <w:r w:rsidRPr="007D2843">
              <w:rPr>
                <w:rFonts w:ascii="Arial" w:hAnsi="Arial" w:cs="Arial"/>
                <w:b/>
                <w:color w:val="000000"/>
                <w:sz w:val="20"/>
                <w:szCs w:val="20"/>
              </w:rPr>
              <w:t>Lottery</w:t>
            </w:r>
            <w:r>
              <w:rPr>
                <w:rFonts w:ascii="Arial" w:hAnsi="Arial" w:cs="Arial"/>
                <w:b/>
                <w:color w:val="000000"/>
                <w:sz w:val="20"/>
                <w:szCs w:val="20"/>
              </w:rPr>
              <w:t xml:space="preserve"> Dedicated Funds</w:t>
            </w:r>
          </w:p>
        </w:tc>
        <w:tc>
          <w:tcPr>
            <w:tcW w:w="965" w:type="pct"/>
            <w:tcBorders>
              <w:top w:val="single" w:sz="4" w:space="0" w:color="auto"/>
              <w:left w:val="nil"/>
              <w:bottom w:val="nil"/>
              <w:right w:val="nil"/>
            </w:tcBorders>
            <w:vAlign w:val="center"/>
          </w:tcPr>
          <w:p w14:paraId="3FD19B51" w14:textId="37C11F6C" w:rsidR="00192F38" w:rsidRPr="007D2843" w:rsidRDefault="00192F38" w:rsidP="00192F38">
            <w:pPr>
              <w:jc w:val="right"/>
              <w:rPr>
                <w:rFonts w:ascii="Arial" w:hAnsi="Arial" w:cs="Arial"/>
                <w:color w:val="000000"/>
                <w:sz w:val="20"/>
                <w:szCs w:val="20"/>
                <w:u w:val="single"/>
              </w:rPr>
            </w:pPr>
            <w:r>
              <w:rPr>
                <w:rFonts w:ascii="Arial" w:hAnsi="Arial" w:cs="Arial"/>
                <w:color w:val="000000"/>
                <w:sz w:val="20"/>
                <w:szCs w:val="20"/>
                <w:u w:val="single"/>
              </w:rPr>
              <w:t>$377,057,800</w:t>
            </w:r>
          </w:p>
        </w:tc>
        <w:tc>
          <w:tcPr>
            <w:tcW w:w="937" w:type="pct"/>
            <w:tcBorders>
              <w:top w:val="single" w:sz="4" w:space="0" w:color="auto"/>
              <w:left w:val="nil"/>
              <w:bottom w:val="nil"/>
              <w:right w:val="nil"/>
            </w:tcBorders>
            <w:vAlign w:val="center"/>
          </w:tcPr>
          <w:p w14:paraId="674052DB" w14:textId="06DF4A6E" w:rsidR="00192F38" w:rsidRPr="007D2843" w:rsidRDefault="00192F38" w:rsidP="00192F38">
            <w:pPr>
              <w:jc w:val="right"/>
              <w:rPr>
                <w:rFonts w:ascii="Arial" w:hAnsi="Arial" w:cs="Arial"/>
                <w:color w:val="000000"/>
                <w:sz w:val="20"/>
                <w:szCs w:val="20"/>
                <w:u w:val="single"/>
              </w:rPr>
            </w:pPr>
            <w:r w:rsidRPr="00FE4A80">
              <w:rPr>
                <w:rFonts w:ascii="Arial" w:hAnsi="Arial" w:cs="Arial"/>
                <w:color w:val="000000"/>
                <w:sz w:val="20"/>
                <w:szCs w:val="20"/>
                <w:u w:val="single"/>
              </w:rPr>
              <w:t>$42</w:t>
            </w:r>
            <w:r>
              <w:rPr>
                <w:rFonts w:ascii="Arial" w:hAnsi="Arial" w:cs="Arial"/>
                <w:color w:val="000000"/>
                <w:sz w:val="20"/>
                <w:szCs w:val="20"/>
                <w:u w:val="single"/>
              </w:rPr>
              <w:t>3,197,500</w:t>
            </w:r>
          </w:p>
        </w:tc>
        <w:tc>
          <w:tcPr>
            <w:tcW w:w="893" w:type="pct"/>
            <w:tcBorders>
              <w:top w:val="single" w:sz="4" w:space="0" w:color="auto"/>
              <w:left w:val="nil"/>
              <w:bottom w:val="nil"/>
              <w:right w:val="nil"/>
            </w:tcBorders>
            <w:vAlign w:val="center"/>
          </w:tcPr>
          <w:p w14:paraId="29B792FF" w14:textId="3F37206C" w:rsidR="00192F38" w:rsidRPr="007D2843" w:rsidRDefault="00192F38" w:rsidP="00192F38">
            <w:pPr>
              <w:jc w:val="right"/>
              <w:rPr>
                <w:rFonts w:ascii="Arial" w:hAnsi="Arial" w:cs="Arial"/>
                <w:color w:val="000000"/>
                <w:sz w:val="20"/>
                <w:szCs w:val="20"/>
                <w:u w:val="single"/>
              </w:rPr>
            </w:pPr>
            <w:r>
              <w:rPr>
                <w:rFonts w:ascii="Arial" w:hAnsi="Arial" w:cs="Arial"/>
                <w:color w:val="000000"/>
                <w:sz w:val="20"/>
                <w:szCs w:val="20"/>
                <w:u w:val="single"/>
              </w:rPr>
              <w:t>$423,574,200</w:t>
            </w:r>
          </w:p>
        </w:tc>
        <w:tc>
          <w:tcPr>
            <w:tcW w:w="848" w:type="pct"/>
            <w:tcBorders>
              <w:left w:val="nil"/>
              <w:bottom w:val="nil"/>
            </w:tcBorders>
            <w:vAlign w:val="center"/>
          </w:tcPr>
          <w:p w14:paraId="028F08A6" w14:textId="3908C14C" w:rsidR="00192F38" w:rsidRPr="00FE4A80" w:rsidRDefault="00192F38" w:rsidP="00192F38">
            <w:pPr>
              <w:jc w:val="right"/>
              <w:rPr>
                <w:rFonts w:ascii="Arial" w:hAnsi="Arial" w:cs="Arial"/>
                <w:color w:val="000000"/>
                <w:sz w:val="20"/>
                <w:szCs w:val="20"/>
                <w:u w:val="single"/>
              </w:rPr>
            </w:pPr>
          </w:p>
        </w:tc>
      </w:tr>
      <w:tr w:rsidR="00192F38" w:rsidRPr="00FE4A80" w14:paraId="2A288200" w14:textId="77777777" w:rsidTr="005104CC">
        <w:trPr>
          <w:trHeight w:val="318"/>
        </w:trPr>
        <w:tc>
          <w:tcPr>
            <w:tcW w:w="1357" w:type="pct"/>
            <w:tcBorders>
              <w:top w:val="nil"/>
              <w:bottom w:val="nil"/>
              <w:right w:val="nil"/>
            </w:tcBorders>
            <w:shd w:val="clear" w:color="auto" w:fill="auto"/>
            <w:vAlign w:val="center"/>
            <w:hideMark/>
          </w:tcPr>
          <w:p w14:paraId="1C4BF6B1" w14:textId="77777777" w:rsidR="00192F38" w:rsidRPr="007D2843" w:rsidRDefault="00192F38" w:rsidP="00192F38">
            <w:pPr>
              <w:jc w:val="right"/>
              <w:rPr>
                <w:rFonts w:ascii="Arial" w:hAnsi="Arial" w:cs="Arial"/>
                <w:b/>
                <w:bCs/>
                <w:color w:val="000000"/>
                <w:sz w:val="20"/>
                <w:szCs w:val="20"/>
              </w:rPr>
            </w:pPr>
            <w:r w:rsidRPr="007D2843">
              <w:rPr>
                <w:rFonts w:ascii="Arial" w:hAnsi="Arial" w:cs="Arial"/>
                <w:b/>
                <w:bCs/>
                <w:color w:val="000000"/>
                <w:sz w:val="20"/>
                <w:szCs w:val="20"/>
              </w:rPr>
              <w:t>Total</w:t>
            </w:r>
          </w:p>
        </w:tc>
        <w:tc>
          <w:tcPr>
            <w:tcW w:w="965" w:type="pct"/>
            <w:tcBorders>
              <w:top w:val="nil"/>
              <w:left w:val="nil"/>
              <w:bottom w:val="single" w:sz="4" w:space="0" w:color="auto"/>
              <w:right w:val="nil"/>
            </w:tcBorders>
            <w:vAlign w:val="center"/>
          </w:tcPr>
          <w:p w14:paraId="294396BB" w14:textId="7983A7F1" w:rsidR="00192F38" w:rsidRPr="007D2843" w:rsidRDefault="00192F38" w:rsidP="00192F38">
            <w:pPr>
              <w:jc w:val="right"/>
              <w:rPr>
                <w:rFonts w:ascii="Arial" w:hAnsi="Arial" w:cs="Arial"/>
                <w:b/>
                <w:color w:val="000000"/>
                <w:sz w:val="20"/>
                <w:szCs w:val="20"/>
              </w:rPr>
            </w:pPr>
            <w:r>
              <w:rPr>
                <w:rFonts w:ascii="Arial" w:hAnsi="Arial" w:cs="Arial"/>
                <w:b/>
                <w:bCs/>
                <w:color w:val="000000"/>
                <w:sz w:val="20"/>
                <w:szCs w:val="20"/>
              </w:rPr>
              <w:t>$377,057,800</w:t>
            </w:r>
          </w:p>
        </w:tc>
        <w:tc>
          <w:tcPr>
            <w:tcW w:w="937" w:type="pct"/>
            <w:tcBorders>
              <w:top w:val="nil"/>
              <w:left w:val="nil"/>
              <w:bottom w:val="single" w:sz="4" w:space="0" w:color="auto"/>
              <w:right w:val="nil"/>
            </w:tcBorders>
            <w:vAlign w:val="center"/>
          </w:tcPr>
          <w:p w14:paraId="20FA40C7" w14:textId="4ACEBB57" w:rsidR="00192F38" w:rsidRPr="007D2843" w:rsidRDefault="00192F38" w:rsidP="00192F38">
            <w:pPr>
              <w:jc w:val="right"/>
              <w:rPr>
                <w:rFonts w:ascii="Arial" w:hAnsi="Arial" w:cs="Arial"/>
                <w:b/>
                <w:bCs/>
                <w:color w:val="000000"/>
                <w:sz w:val="20"/>
                <w:szCs w:val="20"/>
              </w:rPr>
            </w:pPr>
            <w:r w:rsidRPr="00FE4A80">
              <w:rPr>
                <w:rFonts w:ascii="Arial" w:hAnsi="Arial" w:cs="Arial"/>
                <w:b/>
                <w:bCs/>
                <w:color w:val="000000"/>
                <w:sz w:val="20"/>
                <w:szCs w:val="20"/>
              </w:rPr>
              <w:t>$42</w:t>
            </w:r>
            <w:r>
              <w:rPr>
                <w:rFonts w:ascii="Arial" w:hAnsi="Arial" w:cs="Arial"/>
                <w:b/>
                <w:bCs/>
                <w:color w:val="000000"/>
                <w:sz w:val="20"/>
                <w:szCs w:val="20"/>
              </w:rPr>
              <w:t>3,197,500</w:t>
            </w:r>
          </w:p>
        </w:tc>
        <w:tc>
          <w:tcPr>
            <w:tcW w:w="893" w:type="pct"/>
            <w:tcBorders>
              <w:top w:val="nil"/>
              <w:left w:val="nil"/>
              <w:bottom w:val="single" w:sz="4" w:space="0" w:color="auto"/>
              <w:right w:val="nil"/>
            </w:tcBorders>
            <w:vAlign w:val="center"/>
          </w:tcPr>
          <w:p w14:paraId="3B93D8A7" w14:textId="77F5DCEE" w:rsidR="00192F38" w:rsidRPr="007D2843" w:rsidRDefault="00192F38" w:rsidP="00192F38">
            <w:pPr>
              <w:jc w:val="right"/>
              <w:rPr>
                <w:rFonts w:ascii="Arial" w:hAnsi="Arial" w:cs="Arial"/>
                <w:b/>
                <w:bCs/>
                <w:color w:val="000000"/>
                <w:sz w:val="20"/>
                <w:szCs w:val="20"/>
              </w:rPr>
            </w:pPr>
            <w:r w:rsidRPr="00124831">
              <w:rPr>
                <w:rFonts w:ascii="Arial" w:hAnsi="Arial" w:cs="Arial"/>
                <w:b/>
                <w:bCs/>
                <w:color w:val="000000"/>
                <w:sz w:val="20"/>
                <w:szCs w:val="20"/>
              </w:rPr>
              <w:t>$42</w:t>
            </w:r>
            <w:r>
              <w:rPr>
                <w:rFonts w:ascii="Arial" w:hAnsi="Arial" w:cs="Arial"/>
                <w:b/>
                <w:bCs/>
                <w:color w:val="000000"/>
                <w:sz w:val="20"/>
                <w:szCs w:val="20"/>
              </w:rPr>
              <w:t>3,574,200</w:t>
            </w:r>
          </w:p>
        </w:tc>
        <w:tc>
          <w:tcPr>
            <w:tcW w:w="848" w:type="pct"/>
            <w:tcBorders>
              <w:top w:val="nil"/>
              <w:left w:val="nil"/>
              <w:bottom w:val="nil"/>
            </w:tcBorders>
            <w:vAlign w:val="center"/>
          </w:tcPr>
          <w:p w14:paraId="31EB47A6" w14:textId="0E9F3962" w:rsidR="00192F38" w:rsidRPr="00124831" w:rsidRDefault="00192F38" w:rsidP="00192F38">
            <w:pPr>
              <w:jc w:val="right"/>
              <w:rPr>
                <w:rFonts w:ascii="Arial" w:hAnsi="Arial" w:cs="Arial"/>
                <w:b/>
                <w:bCs/>
                <w:color w:val="000000"/>
                <w:sz w:val="20"/>
                <w:szCs w:val="20"/>
              </w:rPr>
            </w:pPr>
          </w:p>
        </w:tc>
      </w:tr>
      <w:tr w:rsidR="00192F38" w:rsidRPr="00FE4A80" w14:paraId="3013E2A7" w14:textId="77777777" w:rsidTr="005104CC">
        <w:trPr>
          <w:trHeight w:val="318"/>
        </w:trPr>
        <w:tc>
          <w:tcPr>
            <w:tcW w:w="1357" w:type="pct"/>
            <w:tcBorders>
              <w:top w:val="nil"/>
              <w:bottom w:val="single" w:sz="4" w:space="0" w:color="auto"/>
              <w:right w:val="nil"/>
            </w:tcBorders>
            <w:shd w:val="clear" w:color="000000" w:fill="000080"/>
            <w:vAlign w:val="center"/>
            <w:hideMark/>
          </w:tcPr>
          <w:p w14:paraId="6F0FF38B" w14:textId="77777777" w:rsidR="00192F38" w:rsidRPr="007D2843" w:rsidRDefault="00192F38" w:rsidP="00192F38">
            <w:pPr>
              <w:rPr>
                <w:rFonts w:ascii="Arial" w:hAnsi="Arial" w:cs="Arial"/>
                <w:b/>
                <w:bCs/>
                <w:color w:val="FFFFFF"/>
                <w:sz w:val="20"/>
                <w:szCs w:val="20"/>
              </w:rPr>
            </w:pPr>
            <w:r w:rsidRPr="007D2843">
              <w:rPr>
                <w:rFonts w:ascii="Arial" w:hAnsi="Arial" w:cs="Arial"/>
                <w:b/>
                <w:bCs/>
                <w:color w:val="FFFFFF"/>
                <w:sz w:val="20"/>
                <w:szCs w:val="20"/>
              </w:rPr>
              <w:t>Expenditures</w:t>
            </w:r>
          </w:p>
        </w:tc>
        <w:tc>
          <w:tcPr>
            <w:tcW w:w="965" w:type="pct"/>
            <w:tcBorders>
              <w:top w:val="single" w:sz="4" w:space="0" w:color="auto"/>
              <w:left w:val="nil"/>
              <w:bottom w:val="single" w:sz="4" w:space="0" w:color="auto"/>
              <w:right w:val="nil"/>
            </w:tcBorders>
            <w:shd w:val="clear" w:color="000000" w:fill="000080"/>
            <w:vAlign w:val="center"/>
          </w:tcPr>
          <w:p w14:paraId="51FF0884" w14:textId="078E02EC" w:rsidR="00192F38" w:rsidRPr="007D2843" w:rsidRDefault="00192F38" w:rsidP="00192F38">
            <w:pPr>
              <w:jc w:val="right"/>
              <w:rPr>
                <w:rFonts w:ascii="Arial" w:hAnsi="Arial" w:cs="Arial"/>
                <w:b/>
                <w:bCs/>
                <w:color w:val="FFFFFF"/>
                <w:sz w:val="20"/>
                <w:szCs w:val="20"/>
              </w:rPr>
            </w:pPr>
            <w:r>
              <w:rPr>
                <w:rFonts w:ascii="Arial" w:hAnsi="Arial" w:cs="Arial"/>
                <w:b/>
                <w:bCs/>
                <w:color w:val="FFFFFF"/>
                <w:sz w:val="20"/>
                <w:szCs w:val="20"/>
              </w:rPr>
              <w:t>FY 2022</w:t>
            </w:r>
          </w:p>
        </w:tc>
        <w:tc>
          <w:tcPr>
            <w:tcW w:w="937" w:type="pct"/>
            <w:tcBorders>
              <w:top w:val="single" w:sz="4" w:space="0" w:color="auto"/>
              <w:left w:val="nil"/>
              <w:bottom w:val="single" w:sz="4" w:space="0" w:color="auto"/>
              <w:right w:val="nil"/>
            </w:tcBorders>
            <w:shd w:val="clear" w:color="000000" w:fill="000080"/>
            <w:vAlign w:val="center"/>
          </w:tcPr>
          <w:p w14:paraId="3FF694E2" w14:textId="5F758608" w:rsidR="00192F38" w:rsidRPr="007D2843" w:rsidRDefault="00192F38" w:rsidP="00192F38">
            <w:pPr>
              <w:jc w:val="right"/>
              <w:rPr>
                <w:rFonts w:ascii="Arial" w:hAnsi="Arial" w:cs="Arial"/>
                <w:b/>
                <w:bCs/>
                <w:color w:val="FFFFFF"/>
                <w:sz w:val="20"/>
                <w:szCs w:val="20"/>
              </w:rPr>
            </w:pPr>
            <w:r>
              <w:rPr>
                <w:rFonts w:ascii="Arial" w:hAnsi="Arial" w:cs="Arial"/>
                <w:b/>
                <w:bCs/>
                <w:color w:val="FFFFFF"/>
                <w:sz w:val="20"/>
                <w:szCs w:val="20"/>
              </w:rPr>
              <w:t>FY 2023</w:t>
            </w:r>
          </w:p>
        </w:tc>
        <w:tc>
          <w:tcPr>
            <w:tcW w:w="893" w:type="pct"/>
            <w:tcBorders>
              <w:top w:val="single" w:sz="4" w:space="0" w:color="auto"/>
              <w:left w:val="nil"/>
              <w:bottom w:val="single" w:sz="4" w:space="0" w:color="auto"/>
              <w:right w:val="nil"/>
            </w:tcBorders>
            <w:shd w:val="clear" w:color="000000" w:fill="000080"/>
            <w:vAlign w:val="center"/>
          </w:tcPr>
          <w:p w14:paraId="71BA6F46" w14:textId="3A3F5505" w:rsidR="00192F38" w:rsidRPr="007D2843" w:rsidRDefault="00192F38" w:rsidP="00192F38">
            <w:pPr>
              <w:jc w:val="right"/>
              <w:rPr>
                <w:rFonts w:ascii="Arial" w:hAnsi="Arial" w:cs="Arial"/>
                <w:b/>
                <w:bCs/>
                <w:color w:val="FFFFFF"/>
                <w:sz w:val="20"/>
                <w:szCs w:val="20"/>
              </w:rPr>
            </w:pPr>
            <w:r w:rsidRPr="00124831">
              <w:rPr>
                <w:rFonts w:ascii="Arial" w:hAnsi="Arial" w:cs="Arial"/>
                <w:b/>
                <w:bCs/>
                <w:sz w:val="20"/>
                <w:szCs w:val="20"/>
              </w:rPr>
              <w:t>FY 2024</w:t>
            </w:r>
          </w:p>
        </w:tc>
        <w:tc>
          <w:tcPr>
            <w:tcW w:w="848" w:type="pct"/>
            <w:tcBorders>
              <w:top w:val="nil"/>
              <w:left w:val="nil"/>
              <w:bottom w:val="single" w:sz="4" w:space="0" w:color="auto"/>
            </w:tcBorders>
            <w:shd w:val="clear" w:color="000000" w:fill="000080"/>
            <w:vAlign w:val="center"/>
          </w:tcPr>
          <w:p w14:paraId="184BD415" w14:textId="5AD1A184" w:rsidR="00192F38" w:rsidRPr="00FE4A80" w:rsidRDefault="00192F38" w:rsidP="00192F38">
            <w:pPr>
              <w:jc w:val="right"/>
              <w:rPr>
                <w:rFonts w:ascii="Arial" w:hAnsi="Arial" w:cs="Arial"/>
                <w:b/>
                <w:bCs/>
                <w:color w:val="FFFFFF"/>
                <w:sz w:val="20"/>
                <w:szCs w:val="20"/>
              </w:rPr>
            </w:pPr>
            <w:r w:rsidRPr="0058213B">
              <w:rPr>
                <w:rFonts w:ascii="Arial" w:hAnsi="Arial" w:cs="Arial"/>
                <w:b/>
                <w:bCs/>
                <w:color w:val="FFFFFF"/>
                <w:sz w:val="20"/>
                <w:szCs w:val="20"/>
              </w:rPr>
              <w:t>FY 202</w:t>
            </w:r>
            <w:r>
              <w:rPr>
                <w:rFonts w:ascii="Arial" w:hAnsi="Arial" w:cs="Arial"/>
                <w:b/>
                <w:bCs/>
                <w:color w:val="FFFFFF"/>
                <w:sz w:val="20"/>
                <w:szCs w:val="20"/>
              </w:rPr>
              <w:t>5</w:t>
            </w:r>
          </w:p>
        </w:tc>
      </w:tr>
      <w:tr w:rsidR="00192F38" w:rsidRPr="00FE4A80" w14:paraId="1E29B1FC" w14:textId="77777777" w:rsidTr="00E93476">
        <w:trPr>
          <w:trHeight w:val="318"/>
        </w:trPr>
        <w:tc>
          <w:tcPr>
            <w:tcW w:w="5000" w:type="pct"/>
            <w:gridSpan w:val="5"/>
            <w:tcBorders>
              <w:bottom w:val="nil"/>
            </w:tcBorders>
            <w:shd w:val="clear" w:color="auto" w:fill="auto"/>
            <w:vAlign w:val="center"/>
          </w:tcPr>
          <w:p w14:paraId="05EADCEA" w14:textId="77777777" w:rsidR="00192F38" w:rsidRPr="00FE4A80" w:rsidRDefault="00192F38" w:rsidP="00192F38">
            <w:pPr>
              <w:rPr>
                <w:rFonts w:ascii="Arial" w:hAnsi="Arial" w:cs="Arial"/>
                <w:b/>
                <w:color w:val="000000"/>
                <w:sz w:val="20"/>
                <w:szCs w:val="20"/>
              </w:rPr>
            </w:pPr>
            <w:r w:rsidRPr="00FE4A80">
              <w:rPr>
                <w:rFonts w:ascii="Arial" w:hAnsi="Arial" w:cs="Arial"/>
                <w:b/>
                <w:color w:val="000000"/>
                <w:sz w:val="20"/>
                <w:szCs w:val="20"/>
              </w:rPr>
              <w:t>Appropriated*</w:t>
            </w:r>
          </w:p>
        </w:tc>
      </w:tr>
      <w:tr w:rsidR="00192F38" w:rsidRPr="00FE4A80" w14:paraId="1EC723CE" w14:textId="77777777" w:rsidTr="005104CC">
        <w:trPr>
          <w:trHeight w:val="318"/>
        </w:trPr>
        <w:tc>
          <w:tcPr>
            <w:tcW w:w="1357" w:type="pct"/>
            <w:tcBorders>
              <w:top w:val="nil"/>
              <w:bottom w:val="nil"/>
              <w:right w:val="nil"/>
            </w:tcBorders>
            <w:shd w:val="clear" w:color="auto" w:fill="auto"/>
            <w:vAlign w:val="center"/>
            <w:hideMark/>
          </w:tcPr>
          <w:p w14:paraId="409DD422" w14:textId="77777777" w:rsidR="00192F38" w:rsidRPr="007D2843" w:rsidRDefault="00192F38" w:rsidP="00192F38">
            <w:pPr>
              <w:rPr>
                <w:rFonts w:ascii="Arial" w:hAnsi="Arial" w:cs="Arial"/>
                <w:color w:val="000000"/>
                <w:sz w:val="20"/>
                <w:szCs w:val="20"/>
              </w:rPr>
            </w:pPr>
            <w:r w:rsidRPr="007D2843">
              <w:rPr>
                <w:rFonts w:ascii="Arial" w:hAnsi="Arial" w:cs="Arial"/>
                <w:color w:val="000000"/>
                <w:sz w:val="20"/>
                <w:szCs w:val="20"/>
              </w:rPr>
              <w:t xml:space="preserve">     Personnel Costs</w:t>
            </w:r>
          </w:p>
        </w:tc>
        <w:tc>
          <w:tcPr>
            <w:tcW w:w="965" w:type="pct"/>
            <w:tcBorders>
              <w:top w:val="nil"/>
              <w:left w:val="nil"/>
              <w:bottom w:val="nil"/>
              <w:right w:val="nil"/>
            </w:tcBorders>
            <w:vAlign w:val="center"/>
          </w:tcPr>
          <w:p w14:paraId="01DFF00D" w14:textId="383DBC99" w:rsidR="00192F38" w:rsidRPr="007D2843" w:rsidRDefault="00192F38" w:rsidP="00192F38">
            <w:pPr>
              <w:jc w:val="right"/>
              <w:rPr>
                <w:rFonts w:ascii="Arial" w:hAnsi="Arial" w:cs="Arial"/>
                <w:color w:val="000000"/>
                <w:sz w:val="20"/>
                <w:szCs w:val="20"/>
              </w:rPr>
            </w:pPr>
            <w:r>
              <w:rPr>
                <w:rFonts w:ascii="Arial" w:hAnsi="Arial" w:cs="Arial"/>
                <w:color w:val="000000"/>
                <w:sz w:val="20"/>
                <w:szCs w:val="20"/>
              </w:rPr>
              <w:t>$3,350,500</w:t>
            </w:r>
          </w:p>
        </w:tc>
        <w:tc>
          <w:tcPr>
            <w:tcW w:w="937" w:type="pct"/>
            <w:tcBorders>
              <w:top w:val="nil"/>
              <w:left w:val="nil"/>
              <w:bottom w:val="nil"/>
              <w:right w:val="nil"/>
            </w:tcBorders>
            <w:vAlign w:val="center"/>
          </w:tcPr>
          <w:p w14:paraId="0708D215" w14:textId="337919F1" w:rsidR="00192F38" w:rsidRPr="007D2843" w:rsidRDefault="00192F38" w:rsidP="00192F38">
            <w:pPr>
              <w:jc w:val="right"/>
              <w:rPr>
                <w:rFonts w:ascii="Arial" w:hAnsi="Arial" w:cs="Arial"/>
                <w:color w:val="000000"/>
                <w:sz w:val="20"/>
                <w:szCs w:val="20"/>
              </w:rPr>
            </w:pPr>
            <w:r w:rsidRPr="00FE4A80">
              <w:rPr>
                <w:rFonts w:ascii="Arial" w:hAnsi="Arial" w:cs="Arial"/>
                <w:color w:val="000000"/>
                <w:sz w:val="20"/>
                <w:szCs w:val="20"/>
              </w:rPr>
              <w:t>$4,038,500</w:t>
            </w:r>
          </w:p>
        </w:tc>
        <w:tc>
          <w:tcPr>
            <w:tcW w:w="893" w:type="pct"/>
            <w:tcBorders>
              <w:top w:val="nil"/>
              <w:left w:val="nil"/>
              <w:bottom w:val="nil"/>
              <w:right w:val="nil"/>
            </w:tcBorders>
            <w:vAlign w:val="center"/>
          </w:tcPr>
          <w:p w14:paraId="78701B50" w14:textId="47E4FCA8" w:rsidR="00192F38" w:rsidRPr="007D2843" w:rsidRDefault="00192F38" w:rsidP="00192F38">
            <w:pPr>
              <w:jc w:val="right"/>
              <w:rPr>
                <w:rFonts w:ascii="Arial" w:hAnsi="Arial" w:cs="Arial"/>
                <w:color w:val="000000"/>
                <w:sz w:val="20"/>
                <w:szCs w:val="20"/>
              </w:rPr>
            </w:pPr>
            <w:r>
              <w:rPr>
                <w:rFonts w:ascii="Arial" w:hAnsi="Arial" w:cs="Arial"/>
                <w:color w:val="000000"/>
                <w:sz w:val="20"/>
                <w:szCs w:val="20"/>
              </w:rPr>
              <w:t>$4,497,400</w:t>
            </w:r>
          </w:p>
        </w:tc>
        <w:tc>
          <w:tcPr>
            <w:tcW w:w="848" w:type="pct"/>
            <w:tcBorders>
              <w:top w:val="nil"/>
              <w:left w:val="nil"/>
              <w:bottom w:val="nil"/>
            </w:tcBorders>
            <w:vAlign w:val="center"/>
          </w:tcPr>
          <w:p w14:paraId="7FD4B8EC" w14:textId="452A8070" w:rsidR="00192F38" w:rsidRPr="00FE4A80" w:rsidRDefault="00192F38" w:rsidP="00192F38">
            <w:pPr>
              <w:jc w:val="right"/>
              <w:rPr>
                <w:rFonts w:ascii="Arial" w:hAnsi="Arial" w:cs="Arial"/>
                <w:color w:val="000000"/>
                <w:sz w:val="20"/>
                <w:szCs w:val="20"/>
              </w:rPr>
            </w:pPr>
          </w:p>
        </w:tc>
      </w:tr>
      <w:tr w:rsidR="00192F38" w:rsidRPr="00FE4A80" w14:paraId="3D92EA36" w14:textId="77777777" w:rsidTr="005104CC">
        <w:trPr>
          <w:trHeight w:val="318"/>
        </w:trPr>
        <w:tc>
          <w:tcPr>
            <w:tcW w:w="1357" w:type="pct"/>
            <w:tcBorders>
              <w:top w:val="nil"/>
              <w:bottom w:val="nil"/>
              <w:right w:val="nil"/>
            </w:tcBorders>
            <w:shd w:val="clear" w:color="auto" w:fill="auto"/>
            <w:vAlign w:val="center"/>
            <w:hideMark/>
          </w:tcPr>
          <w:p w14:paraId="58B5693B" w14:textId="77777777" w:rsidR="00192F38" w:rsidRPr="007D2843" w:rsidRDefault="00192F38" w:rsidP="00192F38">
            <w:pPr>
              <w:rPr>
                <w:rFonts w:ascii="Arial" w:hAnsi="Arial" w:cs="Arial"/>
                <w:color w:val="000000"/>
                <w:sz w:val="20"/>
                <w:szCs w:val="20"/>
              </w:rPr>
            </w:pPr>
            <w:r w:rsidRPr="007D2843">
              <w:rPr>
                <w:rFonts w:ascii="Arial" w:hAnsi="Arial" w:cs="Arial"/>
                <w:color w:val="000000"/>
                <w:sz w:val="20"/>
                <w:szCs w:val="20"/>
              </w:rPr>
              <w:t xml:space="preserve">     Operating Expenditures</w:t>
            </w:r>
          </w:p>
        </w:tc>
        <w:tc>
          <w:tcPr>
            <w:tcW w:w="965" w:type="pct"/>
            <w:tcBorders>
              <w:top w:val="nil"/>
              <w:left w:val="nil"/>
              <w:bottom w:val="nil"/>
              <w:right w:val="nil"/>
            </w:tcBorders>
            <w:vAlign w:val="center"/>
          </w:tcPr>
          <w:p w14:paraId="4292DCA4" w14:textId="1FAA3E5A" w:rsidR="00192F38" w:rsidRPr="007D2843" w:rsidRDefault="00192F38" w:rsidP="00192F38">
            <w:pPr>
              <w:jc w:val="right"/>
              <w:rPr>
                <w:rFonts w:ascii="Arial" w:hAnsi="Arial" w:cs="Arial"/>
                <w:color w:val="000000"/>
                <w:sz w:val="20"/>
                <w:szCs w:val="20"/>
              </w:rPr>
            </w:pPr>
            <w:r>
              <w:rPr>
                <w:rFonts w:ascii="Arial" w:hAnsi="Arial" w:cs="Arial"/>
                <w:color w:val="000000"/>
                <w:sz w:val="20"/>
                <w:szCs w:val="20"/>
              </w:rPr>
              <w:t>$2,058,400</w:t>
            </w:r>
          </w:p>
        </w:tc>
        <w:tc>
          <w:tcPr>
            <w:tcW w:w="937" w:type="pct"/>
            <w:tcBorders>
              <w:top w:val="nil"/>
              <w:left w:val="nil"/>
              <w:bottom w:val="nil"/>
              <w:right w:val="nil"/>
            </w:tcBorders>
            <w:vAlign w:val="center"/>
          </w:tcPr>
          <w:p w14:paraId="1727621D" w14:textId="6126CEF8" w:rsidR="00192F38" w:rsidRPr="007D2843" w:rsidRDefault="00192F38" w:rsidP="00192F38">
            <w:pPr>
              <w:jc w:val="right"/>
              <w:rPr>
                <w:rFonts w:ascii="Arial" w:hAnsi="Arial" w:cs="Arial"/>
                <w:color w:val="000000"/>
                <w:sz w:val="20"/>
                <w:szCs w:val="20"/>
              </w:rPr>
            </w:pPr>
            <w:r w:rsidRPr="00FE4A80">
              <w:rPr>
                <w:rFonts w:ascii="Arial" w:hAnsi="Arial" w:cs="Arial"/>
                <w:color w:val="000000"/>
                <w:sz w:val="20"/>
                <w:szCs w:val="20"/>
              </w:rPr>
              <w:t>$2,861,500</w:t>
            </w:r>
          </w:p>
        </w:tc>
        <w:tc>
          <w:tcPr>
            <w:tcW w:w="893" w:type="pct"/>
            <w:tcBorders>
              <w:top w:val="nil"/>
              <w:left w:val="nil"/>
              <w:bottom w:val="nil"/>
              <w:right w:val="nil"/>
            </w:tcBorders>
            <w:vAlign w:val="center"/>
          </w:tcPr>
          <w:p w14:paraId="5CEBA08A" w14:textId="28DEFCDA" w:rsidR="00192F38" w:rsidRPr="007D2843" w:rsidRDefault="00192F38" w:rsidP="00192F38">
            <w:pPr>
              <w:jc w:val="right"/>
              <w:rPr>
                <w:rFonts w:ascii="Arial" w:hAnsi="Arial" w:cs="Arial"/>
                <w:color w:val="000000"/>
                <w:sz w:val="20"/>
                <w:szCs w:val="20"/>
              </w:rPr>
            </w:pPr>
            <w:r>
              <w:rPr>
                <w:rFonts w:ascii="Arial" w:hAnsi="Arial" w:cs="Arial"/>
                <w:color w:val="000000"/>
                <w:sz w:val="20"/>
                <w:szCs w:val="20"/>
              </w:rPr>
              <w:t>$2,818,900</w:t>
            </w:r>
          </w:p>
        </w:tc>
        <w:tc>
          <w:tcPr>
            <w:tcW w:w="848" w:type="pct"/>
            <w:tcBorders>
              <w:top w:val="nil"/>
              <w:left w:val="nil"/>
              <w:bottom w:val="nil"/>
            </w:tcBorders>
            <w:vAlign w:val="center"/>
          </w:tcPr>
          <w:p w14:paraId="567ABC34" w14:textId="7CFA92C3" w:rsidR="00192F38" w:rsidRPr="00FE4A80" w:rsidRDefault="00192F38" w:rsidP="00192F38">
            <w:pPr>
              <w:jc w:val="right"/>
              <w:rPr>
                <w:rFonts w:ascii="Arial" w:hAnsi="Arial" w:cs="Arial"/>
                <w:color w:val="000000"/>
                <w:sz w:val="20"/>
                <w:szCs w:val="20"/>
              </w:rPr>
            </w:pPr>
          </w:p>
        </w:tc>
      </w:tr>
      <w:tr w:rsidR="00192F38" w:rsidRPr="00FE4A80" w14:paraId="422496F6" w14:textId="77777777" w:rsidTr="005104CC">
        <w:trPr>
          <w:trHeight w:val="318"/>
        </w:trPr>
        <w:tc>
          <w:tcPr>
            <w:tcW w:w="1357" w:type="pct"/>
            <w:tcBorders>
              <w:top w:val="nil"/>
              <w:bottom w:val="single" w:sz="4" w:space="0" w:color="auto"/>
              <w:right w:val="nil"/>
            </w:tcBorders>
            <w:shd w:val="clear" w:color="auto" w:fill="auto"/>
            <w:vAlign w:val="center"/>
          </w:tcPr>
          <w:p w14:paraId="482FF2DB" w14:textId="77777777" w:rsidR="00192F38" w:rsidRPr="007D2843" w:rsidRDefault="00192F38" w:rsidP="00192F38">
            <w:pPr>
              <w:rPr>
                <w:rFonts w:ascii="Arial" w:hAnsi="Arial" w:cs="Arial"/>
                <w:color w:val="000000"/>
                <w:sz w:val="20"/>
                <w:szCs w:val="20"/>
              </w:rPr>
            </w:pPr>
            <w:r w:rsidRPr="007D2843">
              <w:rPr>
                <w:rFonts w:ascii="Arial" w:hAnsi="Arial" w:cs="Arial"/>
                <w:color w:val="000000"/>
                <w:sz w:val="20"/>
                <w:szCs w:val="20"/>
              </w:rPr>
              <w:t xml:space="preserve">     Capital Outlay</w:t>
            </w:r>
          </w:p>
        </w:tc>
        <w:tc>
          <w:tcPr>
            <w:tcW w:w="965" w:type="pct"/>
            <w:tcBorders>
              <w:top w:val="nil"/>
              <w:left w:val="nil"/>
              <w:bottom w:val="nil"/>
              <w:right w:val="nil"/>
            </w:tcBorders>
            <w:vAlign w:val="center"/>
          </w:tcPr>
          <w:p w14:paraId="7284A235" w14:textId="7430DD93" w:rsidR="00192F38" w:rsidRPr="007D2843" w:rsidRDefault="00192F38" w:rsidP="00192F38">
            <w:pPr>
              <w:jc w:val="right"/>
              <w:rPr>
                <w:rFonts w:ascii="Arial" w:hAnsi="Arial" w:cs="Arial"/>
                <w:color w:val="000000"/>
                <w:sz w:val="20"/>
                <w:szCs w:val="20"/>
              </w:rPr>
            </w:pPr>
            <w:r>
              <w:rPr>
                <w:rFonts w:ascii="Arial" w:hAnsi="Arial" w:cs="Arial"/>
                <w:color w:val="000000"/>
                <w:sz w:val="20"/>
                <w:szCs w:val="20"/>
              </w:rPr>
              <w:t>$96,900</w:t>
            </w:r>
          </w:p>
        </w:tc>
        <w:tc>
          <w:tcPr>
            <w:tcW w:w="937" w:type="pct"/>
            <w:tcBorders>
              <w:top w:val="nil"/>
              <w:left w:val="nil"/>
              <w:bottom w:val="nil"/>
              <w:right w:val="nil"/>
            </w:tcBorders>
            <w:vAlign w:val="center"/>
          </w:tcPr>
          <w:p w14:paraId="654FC59C" w14:textId="11B133C3" w:rsidR="00192F38" w:rsidRPr="007D2843" w:rsidRDefault="00192F38" w:rsidP="00192F38">
            <w:pPr>
              <w:jc w:val="right"/>
              <w:rPr>
                <w:rFonts w:ascii="Arial" w:hAnsi="Arial" w:cs="Arial"/>
                <w:color w:val="000000"/>
                <w:sz w:val="20"/>
                <w:szCs w:val="20"/>
              </w:rPr>
            </w:pPr>
            <w:r w:rsidRPr="00FE4A80">
              <w:rPr>
                <w:rFonts w:ascii="Arial" w:hAnsi="Arial" w:cs="Arial"/>
                <w:color w:val="000000"/>
                <w:sz w:val="20"/>
                <w:szCs w:val="20"/>
              </w:rPr>
              <w:t>$110,800</w:t>
            </w:r>
          </w:p>
        </w:tc>
        <w:tc>
          <w:tcPr>
            <w:tcW w:w="893" w:type="pct"/>
            <w:tcBorders>
              <w:top w:val="nil"/>
              <w:left w:val="nil"/>
              <w:bottom w:val="nil"/>
              <w:right w:val="nil"/>
            </w:tcBorders>
            <w:vAlign w:val="center"/>
          </w:tcPr>
          <w:p w14:paraId="405CE357" w14:textId="561B6DEB" w:rsidR="00192F38" w:rsidRPr="007D2843" w:rsidRDefault="00192F38" w:rsidP="00192F38">
            <w:pPr>
              <w:jc w:val="right"/>
              <w:rPr>
                <w:rFonts w:ascii="Arial" w:hAnsi="Arial" w:cs="Arial"/>
                <w:color w:val="000000"/>
                <w:sz w:val="20"/>
                <w:szCs w:val="20"/>
              </w:rPr>
            </w:pPr>
            <w:r>
              <w:rPr>
                <w:rFonts w:ascii="Arial" w:hAnsi="Arial" w:cs="Arial"/>
                <w:color w:val="000000"/>
                <w:sz w:val="20"/>
                <w:szCs w:val="20"/>
              </w:rPr>
              <w:t>$190,600</w:t>
            </w:r>
          </w:p>
        </w:tc>
        <w:tc>
          <w:tcPr>
            <w:tcW w:w="848" w:type="pct"/>
            <w:tcBorders>
              <w:top w:val="nil"/>
              <w:left w:val="nil"/>
              <w:bottom w:val="single" w:sz="4" w:space="0" w:color="auto"/>
            </w:tcBorders>
            <w:vAlign w:val="center"/>
          </w:tcPr>
          <w:p w14:paraId="468A4923" w14:textId="30D084BE" w:rsidR="00192F38" w:rsidRPr="00FE4A80" w:rsidRDefault="00192F38" w:rsidP="00192F38">
            <w:pPr>
              <w:jc w:val="right"/>
              <w:rPr>
                <w:rFonts w:ascii="Arial" w:hAnsi="Arial" w:cs="Arial"/>
                <w:color w:val="000000"/>
                <w:sz w:val="20"/>
                <w:szCs w:val="20"/>
              </w:rPr>
            </w:pPr>
          </w:p>
        </w:tc>
      </w:tr>
      <w:tr w:rsidR="00192F38" w:rsidRPr="00FE4A80" w14:paraId="0470AC86" w14:textId="77777777" w:rsidTr="00E93476">
        <w:trPr>
          <w:trHeight w:val="318"/>
        </w:trPr>
        <w:tc>
          <w:tcPr>
            <w:tcW w:w="5000" w:type="pct"/>
            <w:gridSpan w:val="5"/>
            <w:tcBorders>
              <w:bottom w:val="nil"/>
            </w:tcBorders>
            <w:shd w:val="clear" w:color="auto" w:fill="auto"/>
            <w:vAlign w:val="center"/>
          </w:tcPr>
          <w:p w14:paraId="4B2C7AD2" w14:textId="77777777" w:rsidR="00192F38" w:rsidRPr="00FE4A80" w:rsidRDefault="00192F38" w:rsidP="00192F38">
            <w:pPr>
              <w:keepNext/>
              <w:rPr>
                <w:rFonts w:ascii="Arial" w:hAnsi="Arial" w:cs="Arial"/>
                <w:color w:val="000000"/>
                <w:sz w:val="20"/>
                <w:szCs w:val="20"/>
              </w:rPr>
            </w:pPr>
            <w:r w:rsidRPr="00FE4A80">
              <w:rPr>
                <w:rFonts w:ascii="Arial" w:hAnsi="Arial" w:cs="Arial"/>
                <w:b/>
                <w:color w:val="000000"/>
                <w:sz w:val="20"/>
                <w:szCs w:val="20"/>
              </w:rPr>
              <w:t>Continuously Appropriated</w:t>
            </w:r>
          </w:p>
        </w:tc>
      </w:tr>
      <w:tr w:rsidR="00192F38" w:rsidRPr="00FE4A80" w14:paraId="0DB340F9" w14:textId="77777777" w:rsidTr="005104CC">
        <w:trPr>
          <w:trHeight w:val="318"/>
        </w:trPr>
        <w:tc>
          <w:tcPr>
            <w:tcW w:w="1357" w:type="pct"/>
            <w:tcBorders>
              <w:top w:val="nil"/>
              <w:bottom w:val="nil"/>
              <w:right w:val="nil"/>
            </w:tcBorders>
            <w:shd w:val="clear" w:color="auto" w:fill="auto"/>
            <w:vAlign w:val="center"/>
          </w:tcPr>
          <w:p w14:paraId="7197492C" w14:textId="77777777" w:rsidR="00192F38" w:rsidRPr="007D2843" w:rsidRDefault="00192F38" w:rsidP="00192F38">
            <w:pPr>
              <w:keepNext/>
              <w:rPr>
                <w:rFonts w:ascii="Arial" w:hAnsi="Arial" w:cs="Arial"/>
                <w:color w:val="000000"/>
                <w:sz w:val="20"/>
                <w:szCs w:val="20"/>
              </w:rPr>
            </w:pPr>
            <w:r w:rsidRPr="007D2843">
              <w:rPr>
                <w:rFonts w:ascii="Arial" w:hAnsi="Arial" w:cs="Arial"/>
                <w:color w:val="000000"/>
                <w:sz w:val="20"/>
                <w:szCs w:val="20"/>
              </w:rPr>
              <w:t xml:space="preserve">     Prizes</w:t>
            </w:r>
          </w:p>
        </w:tc>
        <w:tc>
          <w:tcPr>
            <w:tcW w:w="965" w:type="pct"/>
            <w:tcBorders>
              <w:top w:val="nil"/>
              <w:left w:val="nil"/>
              <w:bottom w:val="nil"/>
              <w:right w:val="nil"/>
            </w:tcBorders>
            <w:vAlign w:val="center"/>
          </w:tcPr>
          <w:p w14:paraId="53DF1B8A" w14:textId="191177EB" w:rsidR="00192F38" w:rsidRPr="007D2843" w:rsidRDefault="00192F38" w:rsidP="00192F38">
            <w:pPr>
              <w:jc w:val="right"/>
              <w:rPr>
                <w:rFonts w:ascii="Arial" w:hAnsi="Arial" w:cs="Arial"/>
                <w:color w:val="000000"/>
                <w:sz w:val="20"/>
                <w:szCs w:val="20"/>
              </w:rPr>
            </w:pPr>
            <w:r>
              <w:rPr>
                <w:rFonts w:ascii="Arial" w:hAnsi="Arial" w:cs="Arial"/>
                <w:color w:val="000000"/>
                <w:sz w:val="20"/>
                <w:szCs w:val="20"/>
              </w:rPr>
              <w:t>$257,122,300</w:t>
            </w:r>
          </w:p>
        </w:tc>
        <w:tc>
          <w:tcPr>
            <w:tcW w:w="937" w:type="pct"/>
            <w:tcBorders>
              <w:top w:val="nil"/>
              <w:left w:val="nil"/>
              <w:bottom w:val="nil"/>
              <w:right w:val="nil"/>
            </w:tcBorders>
            <w:vAlign w:val="center"/>
          </w:tcPr>
          <w:p w14:paraId="31304F08" w14:textId="4E3238F4" w:rsidR="00192F38" w:rsidRPr="007D2843" w:rsidRDefault="00192F38" w:rsidP="00192F38">
            <w:pPr>
              <w:jc w:val="right"/>
              <w:rPr>
                <w:rFonts w:ascii="Arial" w:hAnsi="Arial" w:cs="Arial"/>
                <w:color w:val="000000"/>
                <w:sz w:val="20"/>
                <w:szCs w:val="20"/>
              </w:rPr>
            </w:pPr>
            <w:r w:rsidRPr="00FE4A80">
              <w:rPr>
                <w:rFonts w:ascii="Arial" w:hAnsi="Arial" w:cs="Arial"/>
                <w:color w:val="000000"/>
                <w:sz w:val="20"/>
                <w:szCs w:val="20"/>
              </w:rPr>
              <w:t>$285,</w:t>
            </w:r>
            <w:r>
              <w:rPr>
                <w:rFonts w:ascii="Arial" w:hAnsi="Arial" w:cs="Arial"/>
                <w:color w:val="000000"/>
                <w:sz w:val="20"/>
                <w:szCs w:val="20"/>
              </w:rPr>
              <w:t>564,500</w:t>
            </w:r>
          </w:p>
        </w:tc>
        <w:tc>
          <w:tcPr>
            <w:tcW w:w="893" w:type="pct"/>
            <w:tcBorders>
              <w:top w:val="nil"/>
              <w:left w:val="nil"/>
              <w:bottom w:val="nil"/>
              <w:right w:val="nil"/>
            </w:tcBorders>
            <w:vAlign w:val="center"/>
          </w:tcPr>
          <w:p w14:paraId="2554ADD7" w14:textId="77BFC686" w:rsidR="00192F38" w:rsidRPr="007D2843" w:rsidRDefault="00192F38" w:rsidP="00192F38">
            <w:pPr>
              <w:jc w:val="right"/>
              <w:rPr>
                <w:rFonts w:ascii="Arial" w:hAnsi="Arial" w:cs="Arial"/>
                <w:color w:val="000000"/>
                <w:sz w:val="20"/>
                <w:szCs w:val="20"/>
              </w:rPr>
            </w:pPr>
            <w:r>
              <w:rPr>
                <w:rFonts w:ascii="Arial" w:hAnsi="Arial" w:cs="Arial"/>
                <w:color w:val="000000"/>
                <w:sz w:val="20"/>
                <w:szCs w:val="20"/>
              </w:rPr>
              <w:t>$285,755,700</w:t>
            </w:r>
          </w:p>
        </w:tc>
        <w:tc>
          <w:tcPr>
            <w:tcW w:w="848" w:type="pct"/>
            <w:tcBorders>
              <w:top w:val="nil"/>
              <w:left w:val="nil"/>
              <w:bottom w:val="nil"/>
              <w:right w:val="single" w:sz="4" w:space="0" w:color="auto"/>
            </w:tcBorders>
            <w:vAlign w:val="center"/>
          </w:tcPr>
          <w:p w14:paraId="3C9DD2F8" w14:textId="5C85E25B" w:rsidR="00192F38" w:rsidRPr="00FE4A80" w:rsidRDefault="00192F38" w:rsidP="00192F38">
            <w:pPr>
              <w:jc w:val="right"/>
              <w:rPr>
                <w:rFonts w:ascii="Arial" w:hAnsi="Arial" w:cs="Arial"/>
                <w:color w:val="000000"/>
                <w:sz w:val="20"/>
                <w:szCs w:val="20"/>
              </w:rPr>
            </w:pPr>
          </w:p>
        </w:tc>
      </w:tr>
      <w:tr w:rsidR="00192F38" w:rsidRPr="00FE4A80" w14:paraId="75CCF9DD" w14:textId="77777777" w:rsidTr="00BA1CB4">
        <w:trPr>
          <w:trHeight w:val="302"/>
        </w:trPr>
        <w:tc>
          <w:tcPr>
            <w:tcW w:w="1357" w:type="pct"/>
            <w:tcBorders>
              <w:top w:val="nil"/>
              <w:bottom w:val="nil"/>
              <w:right w:val="nil"/>
            </w:tcBorders>
            <w:shd w:val="clear" w:color="auto" w:fill="auto"/>
            <w:vAlign w:val="center"/>
            <w:hideMark/>
          </w:tcPr>
          <w:p w14:paraId="30D051DF" w14:textId="77777777" w:rsidR="00192F38" w:rsidRPr="007D2843" w:rsidRDefault="00192F38" w:rsidP="00192F38">
            <w:pPr>
              <w:keepNext/>
              <w:rPr>
                <w:rFonts w:ascii="Arial" w:hAnsi="Arial" w:cs="Arial"/>
                <w:color w:val="000000"/>
                <w:sz w:val="20"/>
                <w:szCs w:val="20"/>
              </w:rPr>
            </w:pPr>
            <w:r w:rsidRPr="007D2843">
              <w:rPr>
                <w:rFonts w:ascii="Arial" w:hAnsi="Arial" w:cs="Arial"/>
                <w:color w:val="000000"/>
                <w:sz w:val="20"/>
                <w:szCs w:val="20"/>
              </w:rPr>
              <w:t xml:space="preserve">     Commissions</w:t>
            </w:r>
          </w:p>
        </w:tc>
        <w:tc>
          <w:tcPr>
            <w:tcW w:w="965" w:type="pct"/>
            <w:tcBorders>
              <w:top w:val="nil"/>
              <w:left w:val="nil"/>
              <w:bottom w:val="nil"/>
              <w:right w:val="nil"/>
            </w:tcBorders>
          </w:tcPr>
          <w:p w14:paraId="42E1A171" w14:textId="3198648C" w:rsidR="00192F38" w:rsidRPr="007D2843" w:rsidRDefault="00192F38" w:rsidP="00192F38">
            <w:pPr>
              <w:jc w:val="right"/>
              <w:rPr>
                <w:rFonts w:ascii="Arial" w:hAnsi="Arial" w:cs="Arial"/>
                <w:color w:val="000000"/>
                <w:sz w:val="20"/>
                <w:szCs w:val="20"/>
              </w:rPr>
            </w:pPr>
            <w:r>
              <w:rPr>
                <w:rFonts w:ascii="Arial" w:hAnsi="Arial" w:cs="Arial"/>
                <w:color w:val="000000"/>
                <w:sz w:val="20"/>
                <w:szCs w:val="20"/>
              </w:rPr>
              <w:t>$22,102,800</w:t>
            </w:r>
          </w:p>
        </w:tc>
        <w:tc>
          <w:tcPr>
            <w:tcW w:w="937" w:type="pct"/>
            <w:tcBorders>
              <w:top w:val="nil"/>
              <w:left w:val="nil"/>
              <w:bottom w:val="nil"/>
              <w:right w:val="nil"/>
            </w:tcBorders>
          </w:tcPr>
          <w:p w14:paraId="64FB4630" w14:textId="3E560AF4" w:rsidR="00192F38" w:rsidRPr="007D2843" w:rsidRDefault="00192F38" w:rsidP="00192F38">
            <w:pPr>
              <w:jc w:val="right"/>
              <w:rPr>
                <w:rFonts w:ascii="Arial" w:hAnsi="Arial" w:cs="Arial"/>
                <w:color w:val="000000"/>
                <w:sz w:val="20"/>
                <w:szCs w:val="20"/>
              </w:rPr>
            </w:pPr>
            <w:r w:rsidRPr="00FE4A80">
              <w:rPr>
                <w:rFonts w:ascii="Arial" w:hAnsi="Arial" w:cs="Arial"/>
                <w:color w:val="000000"/>
                <w:sz w:val="20"/>
                <w:szCs w:val="20"/>
              </w:rPr>
              <w:t>$24,</w:t>
            </w:r>
            <w:r>
              <w:rPr>
                <w:rFonts w:ascii="Arial" w:hAnsi="Arial" w:cs="Arial"/>
                <w:color w:val="000000"/>
                <w:sz w:val="20"/>
                <w:szCs w:val="20"/>
              </w:rPr>
              <w:t>704,200</w:t>
            </w:r>
          </w:p>
        </w:tc>
        <w:tc>
          <w:tcPr>
            <w:tcW w:w="893" w:type="pct"/>
            <w:tcBorders>
              <w:top w:val="nil"/>
              <w:left w:val="nil"/>
              <w:bottom w:val="nil"/>
              <w:right w:val="nil"/>
            </w:tcBorders>
          </w:tcPr>
          <w:p w14:paraId="16C08CFC" w14:textId="05EF000C" w:rsidR="00192F38" w:rsidRPr="007D2843" w:rsidRDefault="00192F38" w:rsidP="00192F38">
            <w:pPr>
              <w:jc w:val="right"/>
              <w:rPr>
                <w:rFonts w:ascii="Arial" w:hAnsi="Arial" w:cs="Arial"/>
                <w:color w:val="000000"/>
                <w:sz w:val="20"/>
                <w:szCs w:val="20"/>
              </w:rPr>
            </w:pPr>
            <w:r>
              <w:rPr>
                <w:rFonts w:ascii="Arial" w:hAnsi="Arial" w:cs="Arial"/>
                <w:color w:val="000000"/>
                <w:sz w:val="20"/>
                <w:szCs w:val="20"/>
              </w:rPr>
              <w:t>$24,002,100</w:t>
            </w:r>
          </w:p>
        </w:tc>
        <w:tc>
          <w:tcPr>
            <w:tcW w:w="848" w:type="pct"/>
            <w:tcBorders>
              <w:top w:val="nil"/>
              <w:left w:val="nil"/>
              <w:bottom w:val="nil"/>
              <w:right w:val="single" w:sz="4" w:space="0" w:color="auto"/>
            </w:tcBorders>
          </w:tcPr>
          <w:p w14:paraId="73ED6873" w14:textId="107DA11A" w:rsidR="00192F38" w:rsidRPr="00FE4A80" w:rsidRDefault="00192F38" w:rsidP="00192F38">
            <w:pPr>
              <w:jc w:val="right"/>
              <w:rPr>
                <w:rFonts w:ascii="Arial" w:hAnsi="Arial" w:cs="Arial"/>
                <w:color w:val="000000"/>
                <w:sz w:val="20"/>
                <w:szCs w:val="20"/>
              </w:rPr>
            </w:pPr>
          </w:p>
        </w:tc>
      </w:tr>
      <w:tr w:rsidR="00192F38" w:rsidRPr="00FE4A80" w14:paraId="742ADE46" w14:textId="77777777" w:rsidTr="00BA1CB4">
        <w:trPr>
          <w:trHeight w:val="302"/>
        </w:trPr>
        <w:tc>
          <w:tcPr>
            <w:tcW w:w="1357" w:type="pct"/>
            <w:tcBorders>
              <w:top w:val="nil"/>
              <w:bottom w:val="nil"/>
              <w:right w:val="nil"/>
            </w:tcBorders>
            <w:shd w:val="clear" w:color="auto" w:fill="auto"/>
            <w:vAlign w:val="center"/>
          </w:tcPr>
          <w:p w14:paraId="539A7750" w14:textId="77777777" w:rsidR="00192F38" w:rsidRPr="007D2843" w:rsidRDefault="00192F38" w:rsidP="00192F38">
            <w:pPr>
              <w:keepNext/>
              <w:rPr>
                <w:rFonts w:ascii="Arial" w:hAnsi="Arial" w:cs="Arial"/>
                <w:color w:val="000000"/>
                <w:sz w:val="20"/>
                <w:szCs w:val="20"/>
              </w:rPr>
            </w:pPr>
            <w:r w:rsidRPr="007D2843">
              <w:rPr>
                <w:rFonts w:ascii="Arial" w:hAnsi="Arial" w:cs="Arial"/>
                <w:color w:val="000000"/>
                <w:sz w:val="20"/>
                <w:szCs w:val="20"/>
              </w:rPr>
              <w:t xml:space="preserve">     Advertising</w:t>
            </w:r>
          </w:p>
        </w:tc>
        <w:tc>
          <w:tcPr>
            <w:tcW w:w="965" w:type="pct"/>
            <w:tcBorders>
              <w:top w:val="nil"/>
              <w:left w:val="nil"/>
              <w:bottom w:val="nil"/>
              <w:right w:val="nil"/>
            </w:tcBorders>
          </w:tcPr>
          <w:p w14:paraId="67E024C8" w14:textId="2FD87E99" w:rsidR="00192F38" w:rsidRPr="007D2843" w:rsidRDefault="00192F38" w:rsidP="00192F38">
            <w:pPr>
              <w:jc w:val="right"/>
              <w:rPr>
                <w:rFonts w:ascii="Arial" w:hAnsi="Arial" w:cs="Arial"/>
                <w:color w:val="000000"/>
                <w:sz w:val="20"/>
                <w:szCs w:val="20"/>
              </w:rPr>
            </w:pPr>
            <w:r>
              <w:rPr>
                <w:rFonts w:ascii="Arial" w:hAnsi="Arial" w:cs="Arial"/>
                <w:color w:val="000000"/>
                <w:sz w:val="20"/>
                <w:szCs w:val="20"/>
              </w:rPr>
              <w:t>$4,031,800</w:t>
            </w:r>
          </w:p>
        </w:tc>
        <w:tc>
          <w:tcPr>
            <w:tcW w:w="937" w:type="pct"/>
            <w:tcBorders>
              <w:top w:val="nil"/>
              <w:left w:val="nil"/>
              <w:bottom w:val="nil"/>
              <w:right w:val="nil"/>
            </w:tcBorders>
          </w:tcPr>
          <w:p w14:paraId="1CEFFC01" w14:textId="1F7D9058" w:rsidR="00192F38" w:rsidRPr="007D2843" w:rsidRDefault="00192F38" w:rsidP="00192F38">
            <w:pPr>
              <w:jc w:val="right"/>
              <w:rPr>
                <w:rFonts w:ascii="Arial" w:hAnsi="Arial" w:cs="Arial"/>
                <w:color w:val="000000"/>
                <w:sz w:val="20"/>
                <w:szCs w:val="20"/>
              </w:rPr>
            </w:pPr>
            <w:r w:rsidRPr="00FE4A80">
              <w:rPr>
                <w:rFonts w:ascii="Arial" w:hAnsi="Arial" w:cs="Arial"/>
                <w:color w:val="000000"/>
                <w:sz w:val="20"/>
                <w:szCs w:val="20"/>
              </w:rPr>
              <w:t>$4,6</w:t>
            </w:r>
            <w:r>
              <w:rPr>
                <w:rFonts w:ascii="Arial" w:hAnsi="Arial" w:cs="Arial"/>
                <w:color w:val="000000"/>
                <w:sz w:val="20"/>
                <w:szCs w:val="20"/>
              </w:rPr>
              <w:t>07,100</w:t>
            </w:r>
          </w:p>
        </w:tc>
        <w:tc>
          <w:tcPr>
            <w:tcW w:w="893" w:type="pct"/>
            <w:tcBorders>
              <w:top w:val="nil"/>
              <w:left w:val="nil"/>
              <w:bottom w:val="nil"/>
              <w:right w:val="nil"/>
            </w:tcBorders>
          </w:tcPr>
          <w:p w14:paraId="3DA362B1" w14:textId="2F1754DD" w:rsidR="00192F38" w:rsidRPr="007D2843" w:rsidRDefault="00192F38" w:rsidP="00192F38">
            <w:pPr>
              <w:jc w:val="right"/>
              <w:rPr>
                <w:rFonts w:ascii="Arial" w:hAnsi="Arial" w:cs="Arial"/>
                <w:color w:val="000000"/>
                <w:sz w:val="20"/>
                <w:szCs w:val="20"/>
              </w:rPr>
            </w:pPr>
            <w:r>
              <w:rPr>
                <w:rFonts w:ascii="Arial" w:hAnsi="Arial" w:cs="Arial"/>
                <w:color w:val="000000"/>
                <w:sz w:val="20"/>
                <w:szCs w:val="20"/>
              </w:rPr>
              <w:t>$5,013,600</w:t>
            </w:r>
          </w:p>
        </w:tc>
        <w:tc>
          <w:tcPr>
            <w:tcW w:w="848" w:type="pct"/>
            <w:tcBorders>
              <w:top w:val="nil"/>
              <w:left w:val="nil"/>
              <w:bottom w:val="nil"/>
              <w:right w:val="single" w:sz="4" w:space="0" w:color="auto"/>
            </w:tcBorders>
          </w:tcPr>
          <w:p w14:paraId="400E0036" w14:textId="0C30781F" w:rsidR="00192F38" w:rsidRPr="00FE4A80" w:rsidRDefault="00192F38" w:rsidP="00192F38">
            <w:pPr>
              <w:jc w:val="right"/>
              <w:rPr>
                <w:rFonts w:ascii="Arial" w:hAnsi="Arial" w:cs="Arial"/>
                <w:color w:val="000000"/>
                <w:sz w:val="20"/>
                <w:szCs w:val="20"/>
              </w:rPr>
            </w:pPr>
          </w:p>
        </w:tc>
      </w:tr>
      <w:tr w:rsidR="00192F38" w:rsidRPr="00FE4A80" w14:paraId="0E7E33DF" w14:textId="77777777" w:rsidTr="00BA1CB4">
        <w:trPr>
          <w:trHeight w:val="302"/>
        </w:trPr>
        <w:tc>
          <w:tcPr>
            <w:tcW w:w="1357" w:type="pct"/>
            <w:tcBorders>
              <w:top w:val="nil"/>
              <w:bottom w:val="nil"/>
              <w:right w:val="nil"/>
            </w:tcBorders>
            <w:shd w:val="clear" w:color="auto" w:fill="auto"/>
            <w:vAlign w:val="center"/>
          </w:tcPr>
          <w:p w14:paraId="2B9E0849" w14:textId="77777777" w:rsidR="00192F38" w:rsidRPr="007D2843" w:rsidRDefault="00192F38" w:rsidP="00192F38">
            <w:pPr>
              <w:keepNext/>
              <w:rPr>
                <w:rFonts w:ascii="Arial" w:hAnsi="Arial" w:cs="Arial"/>
                <w:color w:val="000000"/>
                <w:sz w:val="20"/>
                <w:szCs w:val="20"/>
              </w:rPr>
            </w:pPr>
            <w:r w:rsidRPr="007D2843">
              <w:rPr>
                <w:rFonts w:ascii="Arial" w:hAnsi="Arial" w:cs="Arial"/>
                <w:color w:val="000000"/>
                <w:sz w:val="20"/>
                <w:szCs w:val="20"/>
              </w:rPr>
              <w:t xml:space="preserve">     Tickets</w:t>
            </w:r>
          </w:p>
        </w:tc>
        <w:tc>
          <w:tcPr>
            <w:tcW w:w="965" w:type="pct"/>
            <w:tcBorders>
              <w:top w:val="nil"/>
              <w:left w:val="nil"/>
              <w:bottom w:val="nil"/>
              <w:right w:val="nil"/>
            </w:tcBorders>
          </w:tcPr>
          <w:p w14:paraId="68B09EE0" w14:textId="2AC1969E" w:rsidR="00192F38" w:rsidRPr="007D2843" w:rsidRDefault="00192F38" w:rsidP="00192F38">
            <w:pPr>
              <w:jc w:val="right"/>
              <w:rPr>
                <w:rFonts w:ascii="Arial" w:hAnsi="Arial" w:cs="Arial"/>
                <w:color w:val="000000"/>
                <w:sz w:val="20"/>
                <w:szCs w:val="20"/>
              </w:rPr>
            </w:pPr>
            <w:r>
              <w:rPr>
                <w:rFonts w:ascii="Arial" w:hAnsi="Arial" w:cs="Arial"/>
                <w:color w:val="000000"/>
                <w:sz w:val="20"/>
                <w:szCs w:val="20"/>
              </w:rPr>
              <w:t>$7,327,500</w:t>
            </w:r>
          </w:p>
        </w:tc>
        <w:tc>
          <w:tcPr>
            <w:tcW w:w="937" w:type="pct"/>
            <w:tcBorders>
              <w:top w:val="nil"/>
              <w:left w:val="nil"/>
              <w:bottom w:val="nil"/>
              <w:right w:val="nil"/>
            </w:tcBorders>
          </w:tcPr>
          <w:p w14:paraId="5ACBE6B8" w14:textId="5FBC0742" w:rsidR="00192F38" w:rsidRPr="007D2843" w:rsidRDefault="00192F38" w:rsidP="00192F38">
            <w:pPr>
              <w:jc w:val="right"/>
              <w:rPr>
                <w:rFonts w:ascii="Arial" w:hAnsi="Arial" w:cs="Arial"/>
                <w:color w:val="000000"/>
                <w:sz w:val="20"/>
                <w:szCs w:val="20"/>
              </w:rPr>
            </w:pPr>
            <w:r w:rsidRPr="00FE4A80">
              <w:rPr>
                <w:rFonts w:ascii="Arial" w:hAnsi="Arial" w:cs="Arial"/>
                <w:color w:val="000000"/>
                <w:sz w:val="20"/>
                <w:szCs w:val="20"/>
              </w:rPr>
              <w:t>$7,51</w:t>
            </w:r>
            <w:r>
              <w:rPr>
                <w:rFonts w:ascii="Arial" w:hAnsi="Arial" w:cs="Arial"/>
                <w:color w:val="000000"/>
                <w:sz w:val="20"/>
                <w:szCs w:val="20"/>
              </w:rPr>
              <w:t>8,100</w:t>
            </w:r>
          </w:p>
        </w:tc>
        <w:tc>
          <w:tcPr>
            <w:tcW w:w="893" w:type="pct"/>
            <w:tcBorders>
              <w:top w:val="nil"/>
              <w:left w:val="nil"/>
              <w:bottom w:val="nil"/>
              <w:right w:val="nil"/>
            </w:tcBorders>
          </w:tcPr>
          <w:p w14:paraId="5B5EF789" w14:textId="4B6F6357" w:rsidR="00192F38" w:rsidRPr="007D2843" w:rsidRDefault="00192F38" w:rsidP="00192F38">
            <w:pPr>
              <w:jc w:val="right"/>
              <w:rPr>
                <w:rFonts w:ascii="Arial" w:hAnsi="Arial" w:cs="Arial"/>
                <w:color w:val="000000"/>
                <w:sz w:val="20"/>
                <w:szCs w:val="20"/>
              </w:rPr>
            </w:pPr>
            <w:r>
              <w:rPr>
                <w:rFonts w:ascii="Arial" w:hAnsi="Arial" w:cs="Arial"/>
                <w:color w:val="000000"/>
                <w:sz w:val="20"/>
                <w:szCs w:val="20"/>
              </w:rPr>
              <w:t>$7,676,800</w:t>
            </w:r>
          </w:p>
        </w:tc>
        <w:tc>
          <w:tcPr>
            <w:tcW w:w="848" w:type="pct"/>
            <w:tcBorders>
              <w:top w:val="nil"/>
              <w:left w:val="nil"/>
              <w:bottom w:val="nil"/>
              <w:right w:val="single" w:sz="4" w:space="0" w:color="auto"/>
            </w:tcBorders>
          </w:tcPr>
          <w:p w14:paraId="654B22AD" w14:textId="1DF5C9EC" w:rsidR="00192F38" w:rsidRPr="00FE4A80" w:rsidRDefault="00192F38" w:rsidP="00192F38">
            <w:pPr>
              <w:jc w:val="right"/>
              <w:rPr>
                <w:rFonts w:ascii="Arial" w:hAnsi="Arial" w:cs="Arial"/>
                <w:color w:val="000000"/>
                <w:sz w:val="20"/>
                <w:szCs w:val="20"/>
              </w:rPr>
            </w:pPr>
          </w:p>
        </w:tc>
      </w:tr>
      <w:tr w:rsidR="00192F38" w:rsidRPr="00FE4A80" w14:paraId="60E360F9" w14:textId="77777777" w:rsidTr="00BA1CB4">
        <w:trPr>
          <w:trHeight w:val="302"/>
        </w:trPr>
        <w:tc>
          <w:tcPr>
            <w:tcW w:w="1357" w:type="pct"/>
            <w:tcBorders>
              <w:top w:val="nil"/>
              <w:bottom w:val="nil"/>
              <w:right w:val="nil"/>
            </w:tcBorders>
            <w:shd w:val="clear" w:color="auto" w:fill="auto"/>
            <w:vAlign w:val="center"/>
          </w:tcPr>
          <w:p w14:paraId="1A98B081" w14:textId="77777777" w:rsidR="00192F38" w:rsidRPr="007D2843" w:rsidRDefault="00192F38" w:rsidP="00192F38">
            <w:pPr>
              <w:rPr>
                <w:rFonts w:ascii="Arial" w:hAnsi="Arial" w:cs="Arial"/>
                <w:color w:val="000000"/>
                <w:sz w:val="20"/>
                <w:szCs w:val="20"/>
              </w:rPr>
            </w:pPr>
            <w:r w:rsidRPr="007D2843">
              <w:rPr>
                <w:rFonts w:ascii="Arial" w:hAnsi="Arial" w:cs="Arial"/>
                <w:color w:val="000000"/>
                <w:sz w:val="20"/>
                <w:szCs w:val="20"/>
              </w:rPr>
              <w:t xml:space="preserve">     Service Provider</w:t>
            </w:r>
          </w:p>
        </w:tc>
        <w:tc>
          <w:tcPr>
            <w:tcW w:w="965" w:type="pct"/>
            <w:tcBorders>
              <w:top w:val="nil"/>
              <w:left w:val="nil"/>
              <w:bottom w:val="nil"/>
              <w:right w:val="nil"/>
            </w:tcBorders>
          </w:tcPr>
          <w:p w14:paraId="6EB80B12" w14:textId="1F447345" w:rsidR="00192F38" w:rsidRPr="007D2843" w:rsidRDefault="00192F38" w:rsidP="00192F38">
            <w:pPr>
              <w:jc w:val="right"/>
              <w:rPr>
                <w:rFonts w:ascii="Arial" w:hAnsi="Arial" w:cs="Arial"/>
                <w:color w:val="000000"/>
                <w:sz w:val="20"/>
                <w:szCs w:val="20"/>
                <w:u w:val="single"/>
              </w:rPr>
            </w:pPr>
            <w:r>
              <w:rPr>
                <w:rFonts w:ascii="Arial" w:hAnsi="Arial" w:cs="Arial"/>
                <w:color w:val="000000"/>
                <w:sz w:val="20"/>
                <w:szCs w:val="20"/>
                <w:u w:val="single"/>
              </w:rPr>
              <w:t>$8,601,600</w:t>
            </w:r>
          </w:p>
        </w:tc>
        <w:tc>
          <w:tcPr>
            <w:tcW w:w="937" w:type="pct"/>
            <w:tcBorders>
              <w:top w:val="nil"/>
              <w:left w:val="nil"/>
              <w:bottom w:val="nil"/>
              <w:right w:val="nil"/>
            </w:tcBorders>
          </w:tcPr>
          <w:p w14:paraId="258D92F3" w14:textId="2006D777" w:rsidR="00192F38" w:rsidRPr="007D2843" w:rsidRDefault="00192F38" w:rsidP="00192F38">
            <w:pPr>
              <w:jc w:val="right"/>
              <w:rPr>
                <w:rFonts w:ascii="Arial" w:hAnsi="Arial" w:cs="Arial"/>
                <w:color w:val="000000"/>
                <w:sz w:val="20"/>
                <w:szCs w:val="20"/>
                <w:u w:val="single"/>
              </w:rPr>
            </w:pPr>
            <w:r w:rsidRPr="00FE4A80">
              <w:rPr>
                <w:rFonts w:ascii="Arial" w:hAnsi="Arial" w:cs="Arial"/>
                <w:color w:val="000000"/>
                <w:sz w:val="20"/>
                <w:szCs w:val="20"/>
                <w:u w:val="single"/>
              </w:rPr>
              <w:t>$9,6</w:t>
            </w:r>
            <w:r>
              <w:rPr>
                <w:rFonts w:ascii="Arial" w:hAnsi="Arial" w:cs="Arial"/>
                <w:color w:val="000000"/>
                <w:sz w:val="20"/>
                <w:szCs w:val="20"/>
                <w:u w:val="single"/>
              </w:rPr>
              <w:t>38,500</w:t>
            </w:r>
          </w:p>
        </w:tc>
        <w:tc>
          <w:tcPr>
            <w:tcW w:w="893" w:type="pct"/>
            <w:tcBorders>
              <w:top w:val="nil"/>
              <w:left w:val="nil"/>
              <w:bottom w:val="nil"/>
              <w:right w:val="nil"/>
            </w:tcBorders>
          </w:tcPr>
          <w:p w14:paraId="434B2CD9" w14:textId="4184A8F4" w:rsidR="00192F38" w:rsidRPr="007D2843" w:rsidRDefault="00192F38" w:rsidP="00192F38">
            <w:pPr>
              <w:jc w:val="right"/>
              <w:rPr>
                <w:rFonts w:ascii="Arial" w:hAnsi="Arial" w:cs="Arial"/>
                <w:color w:val="000000"/>
                <w:sz w:val="20"/>
                <w:szCs w:val="20"/>
                <w:u w:val="single"/>
              </w:rPr>
            </w:pPr>
            <w:r>
              <w:rPr>
                <w:rFonts w:ascii="Arial" w:hAnsi="Arial" w:cs="Arial"/>
                <w:color w:val="000000"/>
                <w:sz w:val="20"/>
                <w:szCs w:val="20"/>
                <w:u w:val="single"/>
              </w:rPr>
              <w:t>$9,500,900</w:t>
            </w:r>
          </w:p>
        </w:tc>
        <w:tc>
          <w:tcPr>
            <w:tcW w:w="848" w:type="pct"/>
            <w:tcBorders>
              <w:top w:val="nil"/>
              <w:left w:val="nil"/>
              <w:bottom w:val="nil"/>
              <w:right w:val="single" w:sz="4" w:space="0" w:color="auto"/>
            </w:tcBorders>
          </w:tcPr>
          <w:p w14:paraId="36045FFE" w14:textId="098C9C6F" w:rsidR="00192F38" w:rsidRPr="00FE4A80" w:rsidRDefault="00192F38" w:rsidP="00192F38">
            <w:pPr>
              <w:jc w:val="right"/>
              <w:rPr>
                <w:rFonts w:ascii="Arial" w:hAnsi="Arial" w:cs="Arial"/>
                <w:color w:val="000000"/>
                <w:sz w:val="20"/>
                <w:szCs w:val="20"/>
                <w:u w:val="single"/>
              </w:rPr>
            </w:pPr>
          </w:p>
        </w:tc>
      </w:tr>
      <w:tr w:rsidR="00192F38" w:rsidRPr="00FE4A80" w14:paraId="5558E33E" w14:textId="77777777" w:rsidTr="00BA1CB4">
        <w:trPr>
          <w:trHeight w:val="302"/>
        </w:trPr>
        <w:tc>
          <w:tcPr>
            <w:tcW w:w="1357" w:type="pct"/>
            <w:tcBorders>
              <w:top w:val="nil"/>
              <w:right w:val="nil"/>
            </w:tcBorders>
            <w:shd w:val="clear" w:color="auto" w:fill="auto"/>
            <w:vAlign w:val="center"/>
          </w:tcPr>
          <w:p w14:paraId="0E0C1829" w14:textId="77777777" w:rsidR="00192F38" w:rsidRPr="007D2843" w:rsidRDefault="00192F38" w:rsidP="00192F38">
            <w:pPr>
              <w:jc w:val="right"/>
              <w:rPr>
                <w:rFonts w:ascii="Arial" w:hAnsi="Arial" w:cs="Arial"/>
                <w:b/>
                <w:color w:val="000000"/>
                <w:sz w:val="20"/>
                <w:szCs w:val="20"/>
              </w:rPr>
            </w:pPr>
            <w:r w:rsidRPr="007D2843">
              <w:rPr>
                <w:rFonts w:ascii="Arial" w:hAnsi="Arial" w:cs="Arial"/>
                <w:b/>
                <w:color w:val="000000"/>
                <w:sz w:val="20"/>
                <w:szCs w:val="20"/>
              </w:rPr>
              <w:t>Total</w:t>
            </w:r>
          </w:p>
        </w:tc>
        <w:tc>
          <w:tcPr>
            <w:tcW w:w="965" w:type="pct"/>
            <w:tcBorders>
              <w:top w:val="nil"/>
              <w:left w:val="nil"/>
              <w:bottom w:val="single" w:sz="4" w:space="0" w:color="auto"/>
              <w:right w:val="nil"/>
            </w:tcBorders>
          </w:tcPr>
          <w:p w14:paraId="01079F5C" w14:textId="0821AB56" w:rsidR="00192F38" w:rsidRPr="007D2843" w:rsidRDefault="00192F38" w:rsidP="00192F38">
            <w:pPr>
              <w:jc w:val="right"/>
              <w:rPr>
                <w:rFonts w:ascii="Arial" w:hAnsi="Arial" w:cs="Arial"/>
                <w:b/>
                <w:color w:val="000000"/>
                <w:sz w:val="20"/>
                <w:szCs w:val="20"/>
              </w:rPr>
            </w:pPr>
            <w:r>
              <w:rPr>
                <w:rFonts w:ascii="Arial" w:hAnsi="Arial" w:cs="Arial"/>
                <w:b/>
                <w:bCs/>
                <w:color w:val="000000"/>
                <w:sz w:val="20"/>
                <w:szCs w:val="20"/>
              </w:rPr>
              <w:t>$304,691,800</w:t>
            </w:r>
          </w:p>
        </w:tc>
        <w:tc>
          <w:tcPr>
            <w:tcW w:w="937" w:type="pct"/>
            <w:tcBorders>
              <w:top w:val="nil"/>
              <w:left w:val="nil"/>
              <w:bottom w:val="single" w:sz="4" w:space="0" w:color="auto"/>
              <w:right w:val="nil"/>
            </w:tcBorders>
          </w:tcPr>
          <w:p w14:paraId="1C794452" w14:textId="0EB6C455" w:rsidR="00192F38" w:rsidRPr="007D2843" w:rsidRDefault="00192F38" w:rsidP="00192F38">
            <w:pPr>
              <w:jc w:val="right"/>
              <w:rPr>
                <w:rFonts w:ascii="Arial" w:hAnsi="Arial" w:cs="Arial"/>
                <w:b/>
                <w:color w:val="000000"/>
                <w:sz w:val="20"/>
                <w:szCs w:val="20"/>
              </w:rPr>
            </w:pPr>
            <w:r w:rsidRPr="00FE4A80">
              <w:rPr>
                <w:rFonts w:ascii="Arial" w:hAnsi="Arial" w:cs="Arial"/>
                <w:b/>
                <w:bCs/>
                <w:color w:val="000000"/>
                <w:sz w:val="20"/>
                <w:szCs w:val="20"/>
              </w:rPr>
              <w:t>$332,</w:t>
            </w:r>
            <w:r>
              <w:rPr>
                <w:rFonts w:ascii="Arial" w:hAnsi="Arial" w:cs="Arial"/>
                <w:b/>
                <w:bCs/>
                <w:color w:val="000000"/>
                <w:sz w:val="20"/>
                <w:szCs w:val="20"/>
              </w:rPr>
              <w:t>032,400</w:t>
            </w:r>
          </w:p>
        </w:tc>
        <w:tc>
          <w:tcPr>
            <w:tcW w:w="893" w:type="pct"/>
            <w:tcBorders>
              <w:top w:val="nil"/>
              <w:left w:val="nil"/>
              <w:bottom w:val="single" w:sz="4" w:space="0" w:color="auto"/>
              <w:right w:val="nil"/>
            </w:tcBorders>
          </w:tcPr>
          <w:p w14:paraId="733EC498" w14:textId="1496AC4D" w:rsidR="00192F38" w:rsidRPr="007D2843" w:rsidRDefault="00192F38" w:rsidP="00192F38">
            <w:pPr>
              <w:jc w:val="right"/>
              <w:rPr>
                <w:rFonts w:ascii="Arial" w:hAnsi="Arial" w:cs="Arial"/>
                <w:b/>
                <w:color w:val="000000"/>
                <w:sz w:val="20"/>
                <w:szCs w:val="20"/>
              </w:rPr>
            </w:pPr>
            <w:r>
              <w:rPr>
                <w:rFonts w:ascii="Arial" w:hAnsi="Arial" w:cs="Arial"/>
                <w:b/>
                <w:bCs/>
                <w:color w:val="000000"/>
                <w:sz w:val="20"/>
                <w:szCs w:val="20"/>
              </w:rPr>
              <w:t>$331,949,100</w:t>
            </w:r>
          </w:p>
        </w:tc>
        <w:tc>
          <w:tcPr>
            <w:tcW w:w="848" w:type="pct"/>
            <w:tcBorders>
              <w:top w:val="nil"/>
              <w:left w:val="nil"/>
              <w:bottom w:val="single" w:sz="4" w:space="0" w:color="auto"/>
              <w:right w:val="single" w:sz="4" w:space="0" w:color="auto"/>
            </w:tcBorders>
          </w:tcPr>
          <w:p w14:paraId="4A08F983" w14:textId="25E6F8A4" w:rsidR="00192F38" w:rsidRPr="00FE4A80" w:rsidRDefault="00192F38" w:rsidP="00192F38">
            <w:pPr>
              <w:jc w:val="right"/>
              <w:rPr>
                <w:rFonts w:ascii="Arial" w:hAnsi="Arial" w:cs="Arial"/>
                <w:b/>
                <w:bCs/>
                <w:color w:val="000000"/>
                <w:sz w:val="20"/>
                <w:szCs w:val="20"/>
              </w:rPr>
            </w:pPr>
          </w:p>
        </w:tc>
      </w:tr>
    </w:tbl>
    <w:p w14:paraId="4E129465" w14:textId="0B60E61D" w:rsidR="00193D73" w:rsidRDefault="00055B87" w:rsidP="00F666A4">
      <w:pPr>
        <w:jc w:val="both"/>
        <w:rPr>
          <w:rFonts w:ascii="Arial" w:hAnsi="Arial" w:cs="Arial"/>
          <w:bCs/>
          <w:color w:val="000000"/>
          <w:sz w:val="18"/>
          <w:szCs w:val="18"/>
        </w:rPr>
      </w:pPr>
      <w:r w:rsidRPr="00D93EB4">
        <w:rPr>
          <w:rFonts w:ascii="Arial" w:hAnsi="Arial" w:cs="Arial"/>
          <w:bCs/>
          <w:color w:val="000000"/>
          <w:sz w:val="18"/>
          <w:szCs w:val="18"/>
        </w:rPr>
        <w:t>*</w:t>
      </w:r>
      <w:r w:rsidR="0074247A" w:rsidRPr="00D93EB4">
        <w:rPr>
          <w:rFonts w:ascii="Arial" w:hAnsi="Arial" w:cs="Arial"/>
          <w:bCs/>
          <w:color w:val="000000"/>
          <w:sz w:val="18"/>
          <w:szCs w:val="18"/>
        </w:rPr>
        <w:t xml:space="preserve">SPENDING AUTHORITY ONLY. </w:t>
      </w:r>
      <w:r w:rsidR="00193D73" w:rsidRPr="00D93EB4">
        <w:rPr>
          <w:rFonts w:ascii="Arial" w:hAnsi="Arial" w:cs="Arial"/>
          <w:bCs/>
          <w:color w:val="000000"/>
          <w:sz w:val="18"/>
          <w:szCs w:val="18"/>
        </w:rPr>
        <w:t>NO GENERAL FUND DOLLARS</w:t>
      </w:r>
      <w:r w:rsidR="0074247A" w:rsidRPr="00D93EB4">
        <w:rPr>
          <w:rFonts w:ascii="Arial" w:hAnsi="Arial" w:cs="Arial"/>
          <w:bCs/>
          <w:color w:val="000000"/>
          <w:sz w:val="18"/>
          <w:szCs w:val="18"/>
        </w:rPr>
        <w:t xml:space="preserve"> ARE APPROPRIATED FOR THE OPERATION OF THE LOTTERY</w:t>
      </w:r>
    </w:p>
    <w:p w14:paraId="1F689990" w14:textId="0AD7F78B" w:rsidR="00A25C8B" w:rsidRDefault="00A25C8B" w:rsidP="00F666A4">
      <w:pPr>
        <w:jc w:val="both"/>
        <w:rPr>
          <w:rFonts w:ascii="Arial" w:hAnsi="Arial" w:cs="Arial"/>
          <w:bCs/>
          <w:color w:val="000000"/>
          <w:sz w:val="18"/>
          <w:szCs w:val="18"/>
        </w:rPr>
      </w:pPr>
    </w:p>
    <w:p w14:paraId="1A4034E3" w14:textId="2C39B472" w:rsidR="00A25C8B" w:rsidRDefault="00A25C8B" w:rsidP="00F666A4">
      <w:pPr>
        <w:jc w:val="both"/>
        <w:rPr>
          <w:rFonts w:ascii="Arial" w:hAnsi="Arial" w:cs="Arial"/>
          <w:bCs/>
          <w:color w:val="000000"/>
          <w:sz w:val="18"/>
          <w:szCs w:val="18"/>
        </w:rPr>
      </w:pPr>
    </w:p>
    <w:p w14:paraId="46A3D0FD" w14:textId="77777777" w:rsidR="00A25C8B" w:rsidRPr="00D93EB4" w:rsidRDefault="00A25C8B" w:rsidP="00F666A4">
      <w:pPr>
        <w:jc w:val="both"/>
        <w:rPr>
          <w:rFonts w:ascii="Arial" w:hAnsi="Arial" w:cs="Arial"/>
          <w:bCs/>
          <w:color w:val="000000"/>
          <w:sz w:val="18"/>
          <w:szCs w:val="18"/>
        </w:rPr>
      </w:pPr>
    </w:p>
    <w:p w14:paraId="39D3BC7C" w14:textId="77777777" w:rsidR="00FF6149" w:rsidRDefault="00FF6149" w:rsidP="00F666A4">
      <w:pPr>
        <w:jc w:val="both"/>
        <w:rPr>
          <w:rFonts w:ascii="Arial" w:hAnsi="Arial" w:cs="Arial"/>
          <w:bCs/>
          <w:color w:val="000000"/>
        </w:rPr>
      </w:pPr>
    </w:p>
    <w:p w14:paraId="0AF2BA11" w14:textId="77777777" w:rsidR="0064735C" w:rsidRDefault="003D0CF2" w:rsidP="00F666A4">
      <w:pPr>
        <w:jc w:val="both"/>
        <w:rPr>
          <w:rFonts w:ascii="Arial" w:hAnsi="Arial" w:cs="Arial"/>
          <w:b/>
          <w:bCs/>
        </w:rPr>
      </w:pPr>
      <w:r>
        <w:rPr>
          <w:rFonts w:ascii="Arial" w:hAnsi="Arial" w:cs="Arial"/>
          <w:b/>
          <w:bCs/>
        </w:rPr>
        <w:t>Profile of</w:t>
      </w:r>
      <w:r w:rsidR="00F666A4">
        <w:rPr>
          <w:rFonts w:ascii="Arial" w:hAnsi="Arial" w:cs="Arial"/>
          <w:b/>
          <w:bCs/>
        </w:rPr>
        <w:t xml:space="preserve"> Cases Manage</w:t>
      </w:r>
      <w:r w:rsidR="00AD2B64">
        <w:rPr>
          <w:rFonts w:ascii="Arial" w:hAnsi="Arial" w:cs="Arial"/>
          <w:b/>
          <w:bCs/>
        </w:rPr>
        <w:t>d</w:t>
      </w:r>
      <w:r w:rsidR="00F666A4">
        <w:rPr>
          <w:rFonts w:ascii="Arial" w:hAnsi="Arial" w:cs="Arial"/>
          <w:b/>
          <w:bCs/>
        </w:rPr>
        <w:t xml:space="preserve"> and/or</w:t>
      </w:r>
      <w:r>
        <w:rPr>
          <w:rFonts w:ascii="Arial" w:hAnsi="Arial" w:cs="Arial"/>
          <w:b/>
          <w:bCs/>
        </w:rPr>
        <w:t xml:space="preserve"> </w:t>
      </w:r>
      <w:r w:rsidR="0064735C">
        <w:rPr>
          <w:rFonts w:ascii="Arial" w:hAnsi="Arial" w:cs="Arial"/>
          <w:b/>
          <w:bCs/>
        </w:rPr>
        <w:t>Key Services Provided</w:t>
      </w:r>
    </w:p>
    <w:p w14:paraId="13F65CAA" w14:textId="77777777" w:rsidR="00D00B5E" w:rsidRDefault="00D00B5E" w:rsidP="00F666A4">
      <w:pPr>
        <w:jc w:val="both"/>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4"/>
        <w:gridCol w:w="1589"/>
        <w:gridCol w:w="1589"/>
        <w:gridCol w:w="1589"/>
        <w:gridCol w:w="1589"/>
      </w:tblGrid>
      <w:tr w:rsidR="00565DE6" w14:paraId="276A76B7" w14:textId="77777777" w:rsidTr="00565DE6">
        <w:trPr>
          <w:trHeight w:val="507"/>
        </w:trPr>
        <w:tc>
          <w:tcPr>
            <w:tcW w:w="3714" w:type="dxa"/>
            <w:shd w:val="clear" w:color="000000" w:fill="000080"/>
            <w:vAlign w:val="bottom"/>
            <w:hideMark/>
          </w:tcPr>
          <w:p w14:paraId="1CD8C990" w14:textId="77777777" w:rsidR="00565DE6" w:rsidRDefault="00565DE6" w:rsidP="00565DE6">
            <w:pPr>
              <w:jc w:val="center"/>
              <w:rPr>
                <w:rFonts w:ascii="Arial" w:hAnsi="Arial" w:cs="Arial"/>
                <w:b/>
                <w:bCs/>
                <w:color w:val="FFFFFF"/>
                <w:sz w:val="20"/>
                <w:szCs w:val="20"/>
              </w:rPr>
            </w:pPr>
            <w:r>
              <w:rPr>
                <w:rFonts w:ascii="Arial" w:hAnsi="Arial" w:cs="Arial"/>
                <w:b/>
                <w:bCs/>
                <w:color w:val="FFFFFF"/>
                <w:sz w:val="20"/>
                <w:szCs w:val="20"/>
              </w:rPr>
              <w:t>Cases Managed and/or Key Services Provided</w:t>
            </w:r>
          </w:p>
        </w:tc>
        <w:tc>
          <w:tcPr>
            <w:tcW w:w="1589" w:type="dxa"/>
            <w:shd w:val="clear" w:color="000000" w:fill="000080"/>
            <w:vAlign w:val="bottom"/>
          </w:tcPr>
          <w:p w14:paraId="43B9534F" w14:textId="6D224BEE" w:rsidR="00565DE6" w:rsidRDefault="003A113C" w:rsidP="00565DE6">
            <w:pPr>
              <w:jc w:val="center"/>
              <w:rPr>
                <w:rFonts w:ascii="Arial" w:hAnsi="Arial" w:cs="Arial"/>
                <w:b/>
                <w:bCs/>
                <w:color w:val="FFFFFF"/>
                <w:sz w:val="20"/>
                <w:szCs w:val="20"/>
              </w:rPr>
            </w:pPr>
            <w:r>
              <w:rPr>
                <w:rFonts w:ascii="Arial" w:hAnsi="Arial" w:cs="Arial"/>
                <w:b/>
                <w:bCs/>
                <w:color w:val="FFFFFF"/>
                <w:sz w:val="20"/>
                <w:szCs w:val="20"/>
              </w:rPr>
              <w:t>FY 202</w:t>
            </w:r>
            <w:r w:rsidR="00192F38">
              <w:rPr>
                <w:rFonts w:ascii="Arial" w:hAnsi="Arial" w:cs="Arial"/>
                <w:b/>
                <w:bCs/>
                <w:color w:val="FFFFFF"/>
                <w:sz w:val="20"/>
                <w:szCs w:val="20"/>
              </w:rPr>
              <w:t>2</w:t>
            </w:r>
          </w:p>
        </w:tc>
        <w:tc>
          <w:tcPr>
            <w:tcW w:w="1589" w:type="dxa"/>
            <w:shd w:val="clear" w:color="000000" w:fill="000080"/>
            <w:vAlign w:val="bottom"/>
          </w:tcPr>
          <w:p w14:paraId="37BDC7CE" w14:textId="29060B68" w:rsidR="00565DE6" w:rsidRDefault="003A113C" w:rsidP="00565DE6">
            <w:pPr>
              <w:jc w:val="center"/>
              <w:rPr>
                <w:rFonts w:ascii="Arial" w:hAnsi="Arial" w:cs="Arial"/>
                <w:b/>
                <w:bCs/>
                <w:color w:val="FFFFFF"/>
                <w:sz w:val="20"/>
                <w:szCs w:val="20"/>
              </w:rPr>
            </w:pPr>
            <w:r>
              <w:rPr>
                <w:rFonts w:ascii="Arial" w:hAnsi="Arial" w:cs="Arial"/>
                <w:b/>
                <w:bCs/>
                <w:color w:val="FFFFFF"/>
                <w:sz w:val="20"/>
                <w:szCs w:val="20"/>
              </w:rPr>
              <w:t>FY 202</w:t>
            </w:r>
            <w:r w:rsidR="00192F38">
              <w:rPr>
                <w:rFonts w:ascii="Arial" w:hAnsi="Arial" w:cs="Arial"/>
                <w:b/>
                <w:bCs/>
                <w:color w:val="FFFFFF"/>
                <w:sz w:val="20"/>
                <w:szCs w:val="20"/>
              </w:rPr>
              <w:t>3</w:t>
            </w:r>
          </w:p>
        </w:tc>
        <w:tc>
          <w:tcPr>
            <w:tcW w:w="1589" w:type="dxa"/>
            <w:shd w:val="clear" w:color="000000" w:fill="000080"/>
            <w:vAlign w:val="bottom"/>
          </w:tcPr>
          <w:p w14:paraId="06A6F5F8" w14:textId="0B04DBA4" w:rsidR="00565DE6" w:rsidRDefault="003A113C" w:rsidP="00565DE6">
            <w:pPr>
              <w:jc w:val="center"/>
              <w:rPr>
                <w:rFonts w:ascii="Arial" w:hAnsi="Arial" w:cs="Arial"/>
                <w:b/>
                <w:bCs/>
                <w:color w:val="FFFFFF"/>
                <w:sz w:val="20"/>
                <w:szCs w:val="20"/>
              </w:rPr>
            </w:pPr>
            <w:r>
              <w:rPr>
                <w:rFonts w:ascii="Arial" w:hAnsi="Arial" w:cs="Arial"/>
                <w:b/>
                <w:bCs/>
                <w:color w:val="FFFFFF"/>
                <w:sz w:val="20"/>
                <w:szCs w:val="20"/>
              </w:rPr>
              <w:t>FY 202</w:t>
            </w:r>
            <w:r w:rsidR="00192F38">
              <w:rPr>
                <w:rFonts w:ascii="Arial" w:hAnsi="Arial" w:cs="Arial"/>
                <w:b/>
                <w:bCs/>
                <w:color w:val="FFFFFF"/>
                <w:sz w:val="20"/>
                <w:szCs w:val="20"/>
              </w:rPr>
              <w:t>4</w:t>
            </w:r>
          </w:p>
        </w:tc>
        <w:tc>
          <w:tcPr>
            <w:tcW w:w="1589" w:type="dxa"/>
            <w:shd w:val="clear" w:color="000000" w:fill="000080"/>
            <w:vAlign w:val="bottom"/>
          </w:tcPr>
          <w:p w14:paraId="4E36CD30" w14:textId="201E9A38" w:rsidR="00565DE6" w:rsidRDefault="003A113C" w:rsidP="00565DE6">
            <w:pPr>
              <w:jc w:val="center"/>
              <w:rPr>
                <w:rFonts w:ascii="Arial" w:hAnsi="Arial" w:cs="Arial"/>
                <w:b/>
                <w:bCs/>
                <w:color w:val="FFFFFF"/>
                <w:sz w:val="20"/>
                <w:szCs w:val="20"/>
              </w:rPr>
            </w:pPr>
            <w:r w:rsidRPr="00FE234B">
              <w:rPr>
                <w:rFonts w:ascii="Arial" w:hAnsi="Arial" w:cs="Arial"/>
                <w:b/>
                <w:bCs/>
                <w:color w:val="FFFFFF"/>
                <w:sz w:val="20"/>
                <w:szCs w:val="20"/>
              </w:rPr>
              <w:t>FY 202</w:t>
            </w:r>
            <w:r w:rsidR="00192F38">
              <w:rPr>
                <w:rFonts w:ascii="Arial" w:hAnsi="Arial" w:cs="Arial"/>
                <w:b/>
                <w:bCs/>
                <w:color w:val="FFFFFF"/>
                <w:sz w:val="20"/>
                <w:szCs w:val="20"/>
              </w:rPr>
              <w:t>5</w:t>
            </w:r>
          </w:p>
        </w:tc>
      </w:tr>
      <w:tr w:rsidR="00192F38" w:rsidRPr="007D2843" w14:paraId="64E9AD25" w14:textId="77777777" w:rsidTr="00565DE6">
        <w:trPr>
          <w:trHeight w:val="253"/>
        </w:trPr>
        <w:tc>
          <w:tcPr>
            <w:tcW w:w="3714" w:type="dxa"/>
            <w:shd w:val="clear" w:color="auto" w:fill="auto"/>
            <w:vAlign w:val="center"/>
            <w:hideMark/>
          </w:tcPr>
          <w:p w14:paraId="3A5920E0" w14:textId="0FCFB9C4" w:rsidR="00192F38" w:rsidRDefault="00192F38" w:rsidP="00192F38">
            <w:pPr>
              <w:rPr>
                <w:rFonts w:ascii="Arial" w:hAnsi="Arial" w:cs="Arial"/>
                <w:color w:val="000000"/>
                <w:sz w:val="20"/>
                <w:szCs w:val="20"/>
              </w:rPr>
            </w:pPr>
            <w:r w:rsidRPr="007D2843">
              <w:rPr>
                <w:rFonts w:ascii="Arial" w:hAnsi="Arial" w:cs="Arial"/>
                <w:color w:val="000000"/>
                <w:sz w:val="20"/>
                <w:szCs w:val="20"/>
              </w:rPr>
              <w:t>Lottery Sales</w:t>
            </w:r>
          </w:p>
          <w:p w14:paraId="084EF56A" w14:textId="77777777" w:rsidR="00192F38" w:rsidRPr="007D2843" w:rsidRDefault="00192F38" w:rsidP="00192F38">
            <w:pPr>
              <w:rPr>
                <w:rFonts w:ascii="Arial" w:hAnsi="Arial" w:cs="Arial"/>
                <w:color w:val="000000"/>
                <w:sz w:val="20"/>
                <w:szCs w:val="20"/>
              </w:rPr>
            </w:pPr>
          </w:p>
        </w:tc>
        <w:tc>
          <w:tcPr>
            <w:tcW w:w="1589" w:type="dxa"/>
            <w:vAlign w:val="center"/>
          </w:tcPr>
          <w:p w14:paraId="58299449" w14:textId="603330D3" w:rsidR="00192F38" w:rsidRPr="007D2843" w:rsidRDefault="00192F38" w:rsidP="00192F38">
            <w:pPr>
              <w:jc w:val="right"/>
              <w:rPr>
                <w:rFonts w:ascii="Arial" w:hAnsi="Arial" w:cs="Arial"/>
                <w:color w:val="000000"/>
                <w:sz w:val="20"/>
                <w:szCs w:val="20"/>
              </w:rPr>
            </w:pPr>
            <w:r>
              <w:rPr>
                <w:rFonts w:ascii="Arial" w:hAnsi="Arial" w:cs="Arial"/>
                <w:color w:val="000000"/>
                <w:sz w:val="20"/>
                <w:szCs w:val="20"/>
              </w:rPr>
              <w:t>$376,314,900</w:t>
            </w:r>
          </w:p>
        </w:tc>
        <w:tc>
          <w:tcPr>
            <w:tcW w:w="1589" w:type="dxa"/>
            <w:vAlign w:val="center"/>
          </w:tcPr>
          <w:p w14:paraId="4E2A97E0" w14:textId="26E4F5C1" w:rsidR="00192F38" w:rsidRPr="007D2843" w:rsidRDefault="00192F38" w:rsidP="00192F38">
            <w:pPr>
              <w:jc w:val="right"/>
              <w:rPr>
                <w:rFonts w:ascii="Arial" w:hAnsi="Arial" w:cs="Arial"/>
                <w:color w:val="000000"/>
                <w:sz w:val="20"/>
                <w:szCs w:val="20"/>
              </w:rPr>
            </w:pPr>
            <w:r w:rsidRPr="00FE4A80">
              <w:rPr>
                <w:rFonts w:ascii="Arial" w:hAnsi="Arial" w:cs="Arial"/>
                <w:color w:val="000000"/>
                <w:sz w:val="20"/>
                <w:szCs w:val="20"/>
              </w:rPr>
              <w:t>$422,</w:t>
            </w:r>
            <w:r>
              <w:rPr>
                <w:rFonts w:ascii="Arial" w:hAnsi="Arial" w:cs="Arial"/>
                <w:color w:val="000000"/>
                <w:sz w:val="20"/>
                <w:szCs w:val="20"/>
              </w:rPr>
              <w:t>501,000</w:t>
            </w:r>
          </w:p>
        </w:tc>
        <w:tc>
          <w:tcPr>
            <w:tcW w:w="1589" w:type="dxa"/>
            <w:vAlign w:val="center"/>
          </w:tcPr>
          <w:p w14:paraId="531140AB" w14:textId="38B4C48E" w:rsidR="00192F38" w:rsidRPr="007D2843" w:rsidRDefault="00192F38" w:rsidP="00192F38">
            <w:pPr>
              <w:jc w:val="right"/>
              <w:rPr>
                <w:rFonts w:ascii="Arial" w:hAnsi="Arial" w:cs="Arial"/>
                <w:color w:val="000000"/>
                <w:sz w:val="20"/>
                <w:szCs w:val="20"/>
              </w:rPr>
            </w:pPr>
            <w:r w:rsidRPr="00783919">
              <w:rPr>
                <w:rFonts w:ascii="Arial" w:hAnsi="Arial" w:cs="Arial"/>
                <w:color w:val="000000"/>
                <w:sz w:val="20"/>
                <w:szCs w:val="20"/>
              </w:rPr>
              <w:t>$422,855,400</w:t>
            </w:r>
          </w:p>
        </w:tc>
        <w:tc>
          <w:tcPr>
            <w:tcW w:w="1589" w:type="dxa"/>
            <w:vAlign w:val="center"/>
          </w:tcPr>
          <w:p w14:paraId="57EAC739" w14:textId="55DB1E23" w:rsidR="00192F38" w:rsidRPr="007D2843" w:rsidRDefault="00192F38" w:rsidP="00192F38">
            <w:pPr>
              <w:jc w:val="right"/>
              <w:rPr>
                <w:rFonts w:ascii="Arial" w:hAnsi="Arial" w:cs="Arial"/>
                <w:color w:val="000000"/>
                <w:sz w:val="20"/>
                <w:szCs w:val="20"/>
              </w:rPr>
            </w:pPr>
          </w:p>
        </w:tc>
      </w:tr>
      <w:tr w:rsidR="00192F38" w14:paraId="49B7382D" w14:textId="77777777" w:rsidTr="00565DE6">
        <w:trPr>
          <w:trHeight w:val="253"/>
        </w:trPr>
        <w:tc>
          <w:tcPr>
            <w:tcW w:w="3714" w:type="dxa"/>
            <w:shd w:val="clear" w:color="auto" w:fill="auto"/>
            <w:vAlign w:val="center"/>
            <w:hideMark/>
          </w:tcPr>
          <w:p w14:paraId="73A463AB" w14:textId="77777777" w:rsidR="00192F38" w:rsidRPr="007D2843" w:rsidRDefault="00192F38" w:rsidP="00192F38">
            <w:pPr>
              <w:rPr>
                <w:rFonts w:ascii="Arial" w:hAnsi="Arial" w:cs="Arial"/>
                <w:color w:val="000000"/>
                <w:sz w:val="20"/>
                <w:szCs w:val="20"/>
              </w:rPr>
            </w:pPr>
            <w:r w:rsidRPr="007D2843">
              <w:rPr>
                <w:rFonts w:ascii="Arial" w:hAnsi="Arial" w:cs="Arial"/>
                <w:color w:val="000000"/>
                <w:sz w:val="20"/>
                <w:szCs w:val="20"/>
              </w:rPr>
              <w:t>Total Dividend Declared by Commission</w:t>
            </w:r>
          </w:p>
        </w:tc>
        <w:tc>
          <w:tcPr>
            <w:tcW w:w="1589" w:type="dxa"/>
            <w:vAlign w:val="center"/>
          </w:tcPr>
          <w:p w14:paraId="0490814C" w14:textId="3DE5A9F4" w:rsidR="00192F38" w:rsidRPr="007D2843" w:rsidRDefault="00192F38" w:rsidP="00192F38">
            <w:pPr>
              <w:jc w:val="right"/>
              <w:rPr>
                <w:rFonts w:ascii="Arial" w:hAnsi="Arial" w:cs="Arial"/>
                <w:color w:val="000000"/>
                <w:sz w:val="20"/>
                <w:szCs w:val="20"/>
              </w:rPr>
            </w:pPr>
            <w:r>
              <w:rPr>
                <w:rFonts w:ascii="Arial" w:hAnsi="Arial" w:cs="Arial"/>
                <w:color w:val="000000"/>
                <w:sz w:val="20"/>
                <w:szCs w:val="20"/>
              </w:rPr>
              <w:t>$73,000,0000</w:t>
            </w:r>
          </w:p>
        </w:tc>
        <w:tc>
          <w:tcPr>
            <w:tcW w:w="1589" w:type="dxa"/>
            <w:vAlign w:val="center"/>
          </w:tcPr>
          <w:p w14:paraId="36BD02EC" w14:textId="2EB5B7E1" w:rsidR="00192F38" w:rsidRPr="007D2843" w:rsidRDefault="00192F38" w:rsidP="00192F38">
            <w:pPr>
              <w:jc w:val="right"/>
              <w:rPr>
                <w:rFonts w:ascii="Arial" w:hAnsi="Arial" w:cs="Arial"/>
                <w:color w:val="000000"/>
                <w:sz w:val="20"/>
                <w:szCs w:val="20"/>
              </w:rPr>
            </w:pPr>
            <w:r>
              <w:rPr>
                <w:rFonts w:ascii="Arial" w:hAnsi="Arial" w:cs="Arial"/>
                <w:color w:val="000000"/>
                <w:sz w:val="20"/>
                <w:szCs w:val="20"/>
              </w:rPr>
              <w:t>$82,000,000</w:t>
            </w:r>
          </w:p>
        </w:tc>
        <w:tc>
          <w:tcPr>
            <w:tcW w:w="1589" w:type="dxa"/>
            <w:vAlign w:val="center"/>
          </w:tcPr>
          <w:p w14:paraId="0C25E810" w14:textId="0C5BFC19" w:rsidR="00192F38" w:rsidRPr="007D2843" w:rsidRDefault="00192F38" w:rsidP="00192F38">
            <w:pPr>
              <w:jc w:val="right"/>
              <w:rPr>
                <w:rFonts w:ascii="Arial" w:hAnsi="Arial" w:cs="Arial"/>
                <w:color w:val="000000"/>
                <w:sz w:val="20"/>
                <w:szCs w:val="20"/>
              </w:rPr>
            </w:pPr>
            <w:r>
              <w:rPr>
                <w:rFonts w:ascii="Arial" w:hAnsi="Arial" w:cs="Arial"/>
                <w:color w:val="000000"/>
                <w:sz w:val="20"/>
                <w:szCs w:val="20"/>
              </w:rPr>
              <w:t>$84,000,000</w:t>
            </w:r>
          </w:p>
        </w:tc>
        <w:tc>
          <w:tcPr>
            <w:tcW w:w="1589" w:type="dxa"/>
            <w:vAlign w:val="center"/>
          </w:tcPr>
          <w:p w14:paraId="25445680" w14:textId="27A809AB" w:rsidR="00192F38" w:rsidRPr="007D2843" w:rsidRDefault="00192F38" w:rsidP="00192F38">
            <w:pPr>
              <w:jc w:val="right"/>
              <w:rPr>
                <w:rFonts w:ascii="Arial" w:hAnsi="Arial" w:cs="Arial"/>
                <w:color w:val="000000"/>
                <w:sz w:val="20"/>
                <w:szCs w:val="20"/>
              </w:rPr>
            </w:pPr>
          </w:p>
        </w:tc>
      </w:tr>
    </w:tbl>
    <w:p w14:paraId="14F301B9" w14:textId="77777777" w:rsidR="0074247A" w:rsidRDefault="0074247A" w:rsidP="00C303FE">
      <w:pPr>
        <w:rPr>
          <w:rFonts w:ascii="Arial" w:hAnsi="Arial" w:cs="Arial"/>
        </w:rPr>
      </w:pPr>
    </w:p>
    <w:p w14:paraId="6997D3DC" w14:textId="77777777" w:rsidR="00CA6632" w:rsidRDefault="00CA6632" w:rsidP="00C303FE">
      <w:pPr>
        <w:rPr>
          <w:rFonts w:ascii="Arial" w:hAnsi="Arial" w:cs="Arial"/>
        </w:rPr>
      </w:pPr>
    </w:p>
    <w:p w14:paraId="4995D4D9" w14:textId="77777777" w:rsidR="00BA73BF" w:rsidRDefault="00BA73BF" w:rsidP="00BA73BF">
      <w:pPr>
        <w:jc w:val="both"/>
        <w:rPr>
          <w:rFonts w:ascii="Arial" w:hAnsi="Arial" w:cs="Arial"/>
          <w:b/>
        </w:rPr>
      </w:pPr>
      <w:bookmarkStart w:id="4" w:name="_Hlk11137127"/>
      <w:r w:rsidRPr="00785CF6">
        <w:rPr>
          <w:rFonts w:ascii="Arial" w:hAnsi="Arial" w:cs="Arial"/>
          <w:b/>
        </w:rPr>
        <w:t>Licensing Freedom Act</w:t>
      </w:r>
    </w:p>
    <w:p w14:paraId="577A87C2" w14:textId="77777777" w:rsidR="00D00B5E" w:rsidRPr="00785CF6" w:rsidRDefault="00D00B5E" w:rsidP="00BA73BF">
      <w:pPr>
        <w:jc w:val="both"/>
        <w:rPr>
          <w:rFonts w:ascii="Arial" w:hAnsi="Arial" w:cs="Arial"/>
          <w:b/>
        </w:rPr>
      </w:pPr>
    </w:p>
    <w:tbl>
      <w:tblPr>
        <w:tblW w:w="9140" w:type="dxa"/>
        <w:jc w:val="center"/>
        <w:tblCellMar>
          <w:left w:w="0" w:type="dxa"/>
          <w:right w:w="0" w:type="dxa"/>
        </w:tblCellMar>
        <w:tblLook w:val="04A0" w:firstRow="1" w:lastRow="0" w:firstColumn="1" w:lastColumn="0" w:noHBand="0" w:noVBand="1"/>
      </w:tblPr>
      <w:tblGrid>
        <w:gridCol w:w="5478"/>
        <w:gridCol w:w="782"/>
        <w:gridCol w:w="960"/>
        <w:gridCol w:w="960"/>
        <w:gridCol w:w="960"/>
      </w:tblGrid>
      <w:tr w:rsidR="00FA78BD" w:rsidRPr="00FA78BD" w14:paraId="1BA93730" w14:textId="77777777" w:rsidTr="00B4112C">
        <w:trPr>
          <w:trHeight w:val="315"/>
          <w:jc w:val="center"/>
        </w:trPr>
        <w:tc>
          <w:tcPr>
            <w:tcW w:w="5478" w:type="dxa"/>
            <w:tcBorders>
              <w:top w:val="single" w:sz="8" w:space="0" w:color="auto"/>
              <w:left w:val="single" w:sz="8" w:space="0" w:color="auto"/>
              <w:bottom w:val="single" w:sz="8" w:space="0" w:color="auto"/>
              <w:right w:val="single" w:sz="8" w:space="0" w:color="auto"/>
            </w:tcBorders>
            <w:shd w:val="clear" w:color="auto" w:fill="000080"/>
            <w:tcMar>
              <w:top w:w="0" w:type="dxa"/>
              <w:left w:w="108" w:type="dxa"/>
              <w:bottom w:w="0" w:type="dxa"/>
              <w:right w:w="108" w:type="dxa"/>
            </w:tcMar>
            <w:vAlign w:val="center"/>
            <w:hideMark/>
          </w:tcPr>
          <w:p w14:paraId="2F78D434" w14:textId="77777777" w:rsidR="00FA78BD" w:rsidRDefault="00FA78BD">
            <w:pPr>
              <w:jc w:val="center"/>
              <w:rPr>
                <w:rFonts w:ascii="Arial" w:hAnsi="Arial" w:cs="Arial"/>
                <w:b/>
                <w:bCs/>
                <w:color w:val="FFFFFF"/>
                <w:sz w:val="20"/>
                <w:szCs w:val="20"/>
              </w:rPr>
            </w:pPr>
            <w:bookmarkStart w:id="5" w:name="RANGE!A12"/>
            <w:r>
              <w:rPr>
                <w:rFonts w:ascii="Arial" w:hAnsi="Arial" w:cs="Arial"/>
                <w:b/>
                <w:bCs/>
                <w:color w:val="FFFFFF"/>
                <w:sz w:val="20"/>
                <w:szCs w:val="20"/>
              </w:rPr>
              <w:t> </w:t>
            </w:r>
            <w:bookmarkEnd w:id="5"/>
          </w:p>
        </w:tc>
        <w:tc>
          <w:tcPr>
            <w:tcW w:w="782" w:type="dxa"/>
            <w:tcBorders>
              <w:top w:val="single" w:sz="8" w:space="0" w:color="auto"/>
              <w:left w:val="nil"/>
              <w:bottom w:val="single" w:sz="8" w:space="0" w:color="auto"/>
              <w:right w:val="single" w:sz="8" w:space="0" w:color="auto"/>
            </w:tcBorders>
            <w:shd w:val="clear" w:color="auto" w:fill="000080"/>
            <w:tcMar>
              <w:top w:w="0" w:type="dxa"/>
              <w:left w:w="108" w:type="dxa"/>
              <w:bottom w:w="0" w:type="dxa"/>
              <w:right w:w="108" w:type="dxa"/>
            </w:tcMar>
            <w:vAlign w:val="center"/>
            <w:hideMark/>
          </w:tcPr>
          <w:p w14:paraId="4971983F" w14:textId="4BCA0E80" w:rsidR="00FA78BD" w:rsidRDefault="00FA78BD">
            <w:pPr>
              <w:jc w:val="center"/>
              <w:rPr>
                <w:rFonts w:ascii="Arial" w:hAnsi="Arial" w:cs="Arial"/>
                <w:b/>
                <w:bCs/>
                <w:color w:val="FFFFFF"/>
                <w:sz w:val="20"/>
                <w:szCs w:val="20"/>
              </w:rPr>
            </w:pPr>
            <w:r>
              <w:rPr>
                <w:rFonts w:ascii="Arial" w:hAnsi="Arial" w:cs="Arial"/>
                <w:b/>
                <w:bCs/>
                <w:color w:val="FFFFFF"/>
                <w:sz w:val="20"/>
                <w:szCs w:val="20"/>
              </w:rPr>
              <w:t>FY 202</w:t>
            </w:r>
            <w:r w:rsidR="00192F38">
              <w:rPr>
                <w:rFonts w:ascii="Arial" w:hAnsi="Arial" w:cs="Arial"/>
                <w:b/>
                <w:bCs/>
                <w:color w:val="FFFFFF"/>
                <w:sz w:val="20"/>
                <w:szCs w:val="20"/>
              </w:rPr>
              <w:t>2</w:t>
            </w:r>
          </w:p>
        </w:tc>
        <w:tc>
          <w:tcPr>
            <w:tcW w:w="960" w:type="dxa"/>
            <w:tcBorders>
              <w:top w:val="single" w:sz="8" w:space="0" w:color="auto"/>
              <w:left w:val="nil"/>
              <w:bottom w:val="single" w:sz="8" w:space="0" w:color="auto"/>
              <w:right w:val="single" w:sz="8" w:space="0" w:color="auto"/>
            </w:tcBorders>
            <w:shd w:val="clear" w:color="auto" w:fill="000080"/>
            <w:tcMar>
              <w:top w:w="0" w:type="dxa"/>
              <w:left w:w="108" w:type="dxa"/>
              <w:bottom w:w="0" w:type="dxa"/>
              <w:right w:w="108" w:type="dxa"/>
            </w:tcMar>
            <w:vAlign w:val="center"/>
            <w:hideMark/>
          </w:tcPr>
          <w:p w14:paraId="25EA7C0F" w14:textId="570D1F98" w:rsidR="00FA78BD" w:rsidRDefault="00FA78BD">
            <w:pPr>
              <w:jc w:val="center"/>
              <w:rPr>
                <w:rFonts w:ascii="Arial" w:hAnsi="Arial" w:cs="Arial"/>
                <w:b/>
                <w:bCs/>
                <w:color w:val="FFFFFF"/>
                <w:sz w:val="20"/>
                <w:szCs w:val="20"/>
              </w:rPr>
            </w:pPr>
            <w:r>
              <w:rPr>
                <w:rFonts w:ascii="Arial" w:hAnsi="Arial" w:cs="Arial"/>
                <w:b/>
                <w:bCs/>
                <w:color w:val="FFFFFF"/>
                <w:sz w:val="20"/>
                <w:szCs w:val="20"/>
              </w:rPr>
              <w:t>FY 202</w:t>
            </w:r>
            <w:r w:rsidR="00192F38">
              <w:rPr>
                <w:rFonts w:ascii="Arial" w:hAnsi="Arial" w:cs="Arial"/>
                <w:b/>
                <w:bCs/>
                <w:color w:val="FFFFFF"/>
                <w:sz w:val="20"/>
                <w:szCs w:val="20"/>
              </w:rPr>
              <w:t>3</w:t>
            </w:r>
          </w:p>
        </w:tc>
        <w:tc>
          <w:tcPr>
            <w:tcW w:w="960" w:type="dxa"/>
            <w:tcBorders>
              <w:top w:val="single" w:sz="8" w:space="0" w:color="auto"/>
              <w:left w:val="nil"/>
              <w:bottom w:val="single" w:sz="8" w:space="0" w:color="auto"/>
              <w:right w:val="single" w:sz="8" w:space="0" w:color="auto"/>
            </w:tcBorders>
            <w:shd w:val="clear" w:color="auto" w:fill="000080"/>
            <w:tcMar>
              <w:top w:w="0" w:type="dxa"/>
              <w:left w:w="108" w:type="dxa"/>
              <w:bottom w:w="0" w:type="dxa"/>
              <w:right w:w="108" w:type="dxa"/>
            </w:tcMar>
            <w:vAlign w:val="center"/>
            <w:hideMark/>
          </w:tcPr>
          <w:p w14:paraId="2FA616C1" w14:textId="6E7DDDEF" w:rsidR="00FA78BD" w:rsidRDefault="00FA78BD">
            <w:pPr>
              <w:jc w:val="center"/>
              <w:rPr>
                <w:rFonts w:ascii="Arial" w:hAnsi="Arial" w:cs="Arial"/>
                <w:b/>
                <w:bCs/>
                <w:color w:val="FFFFFF"/>
                <w:sz w:val="20"/>
                <w:szCs w:val="20"/>
              </w:rPr>
            </w:pPr>
            <w:r>
              <w:rPr>
                <w:rFonts w:ascii="Arial" w:hAnsi="Arial" w:cs="Arial"/>
                <w:b/>
                <w:bCs/>
                <w:color w:val="FFFFFF"/>
                <w:sz w:val="20"/>
                <w:szCs w:val="20"/>
              </w:rPr>
              <w:t>FY 202</w:t>
            </w:r>
            <w:r w:rsidR="00192F38">
              <w:rPr>
                <w:rFonts w:ascii="Arial" w:hAnsi="Arial" w:cs="Arial"/>
                <w:b/>
                <w:bCs/>
                <w:color w:val="FFFFFF"/>
                <w:sz w:val="20"/>
                <w:szCs w:val="20"/>
              </w:rPr>
              <w:t>4</w:t>
            </w:r>
          </w:p>
        </w:tc>
        <w:tc>
          <w:tcPr>
            <w:tcW w:w="960" w:type="dxa"/>
            <w:tcBorders>
              <w:top w:val="single" w:sz="8" w:space="0" w:color="auto"/>
              <w:left w:val="nil"/>
              <w:bottom w:val="single" w:sz="8" w:space="0" w:color="auto"/>
              <w:right w:val="single" w:sz="8" w:space="0" w:color="auto"/>
            </w:tcBorders>
            <w:shd w:val="clear" w:color="auto" w:fill="000080"/>
            <w:tcMar>
              <w:top w:w="0" w:type="dxa"/>
              <w:left w:w="108" w:type="dxa"/>
              <w:bottom w:w="0" w:type="dxa"/>
              <w:right w:w="108" w:type="dxa"/>
            </w:tcMar>
            <w:vAlign w:val="center"/>
            <w:hideMark/>
          </w:tcPr>
          <w:p w14:paraId="11C3B2A6" w14:textId="47925555" w:rsidR="00FA78BD" w:rsidRPr="00FA78BD" w:rsidRDefault="00FA78BD">
            <w:pPr>
              <w:jc w:val="center"/>
              <w:rPr>
                <w:rFonts w:ascii="Arial" w:hAnsi="Arial" w:cs="Arial"/>
                <w:b/>
                <w:bCs/>
                <w:color w:val="FFFFFF"/>
                <w:sz w:val="22"/>
                <w:szCs w:val="22"/>
              </w:rPr>
            </w:pPr>
            <w:r w:rsidRPr="00FA78BD">
              <w:rPr>
                <w:rFonts w:ascii="Arial" w:hAnsi="Arial" w:cs="Arial"/>
                <w:b/>
                <w:bCs/>
                <w:color w:val="FFFFFF"/>
                <w:sz w:val="22"/>
                <w:szCs w:val="22"/>
              </w:rPr>
              <w:t>FY 202</w:t>
            </w:r>
            <w:r w:rsidR="00192F38">
              <w:rPr>
                <w:rFonts w:ascii="Arial" w:hAnsi="Arial" w:cs="Arial"/>
                <w:b/>
                <w:bCs/>
                <w:color w:val="FFFFFF"/>
                <w:sz w:val="22"/>
                <w:szCs w:val="22"/>
              </w:rPr>
              <w:t>5</w:t>
            </w:r>
          </w:p>
        </w:tc>
      </w:tr>
      <w:tr w:rsidR="00FA78BD" w14:paraId="18565088" w14:textId="77777777" w:rsidTr="00B4112C">
        <w:trPr>
          <w:trHeight w:val="315"/>
          <w:jc w:val="center"/>
        </w:trPr>
        <w:tc>
          <w:tcPr>
            <w:tcW w:w="9140" w:type="dxa"/>
            <w:gridSpan w:val="5"/>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14:paraId="45B6FEB5" w14:textId="77777777" w:rsidR="00FA78BD" w:rsidRDefault="00FA78BD" w:rsidP="00B4112C">
            <w:pPr>
              <w:rPr>
                <w:rFonts w:ascii="Arial" w:hAnsi="Arial" w:cs="Arial"/>
                <w:b/>
                <w:bCs/>
                <w:color w:val="000000"/>
                <w:sz w:val="22"/>
                <w:szCs w:val="22"/>
              </w:rPr>
            </w:pPr>
            <w:r>
              <w:rPr>
                <w:rFonts w:ascii="Arial" w:hAnsi="Arial" w:cs="Arial"/>
                <w:b/>
                <w:bCs/>
                <w:color w:val="000000"/>
                <w:sz w:val="22"/>
                <w:szCs w:val="22"/>
              </w:rPr>
              <w:t>IDAHO LOTTERY RETAILER LICENSES PROCESSED</w:t>
            </w:r>
          </w:p>
        </w:tc>
      </w:tr>
      <w:tr w:rsidR="00192F38" w14:paraId="723460FE" w14:textId="77777777" w:rsidTr="00192F38">
        <w:trPr>
          <w:trHeight w:val="268"/>
          <w:jc w:val="center"/>
        </w:trPr>
        <w:tc>
          <w:tcPr>
            <w:tcW w:w="54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5C1EAA" w14:textId="77777777" w:rsidR="00192F38" w:rsidRPr="00FA78BD" w:rsidRDefault="00192F38" w:rsidP="00192F38">
            <w:pPr>
              <w:ind w:firstLine="400"/>
              <w:rPr>
                <w:rFonts w:ascii="Arial" w:hAnsi="Arial" w:cs="Arial"/>
                <w:color w:val="000000"/>
                <w:sz w:val="18"/>
                <w:szCs w:val="18"/>
              </w:rPr>
            </w:pPr>
            <w:r w:rsidRPr="00FA78BD">
              <w:rPr>
                <w:rFonts w:ascii="Arial" w:hAnsi="Arial" w:cs="Arial"/>
                <w:color w:val="000000"/>
                <w:sz w:val="18"/>
                <w:szCs w:val="18"/>
              </w:rPr>
              <w:t>Total Number of Licenses</w:t>
            </w:r>
          </w:p>
        </w:tc>
        <w:tc>
          <w:tcPr>
            <w:tcW w:w="7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112E81" w14:textId="69A7523B" w:rsidR="00192F38" w:rsidRDefault="00192F38" w:rsidP="00192F38">
            <w:pPr>
              <w:jc w:val="center"/>
              <w:rPr>
                <w:rFonts w:ascii="Arial" w:hAnsi="Arial" w:cs="Arial"/>
                <w:color w:val="000000"/>
                <w:sz w:val="20"/>
                <w:szCs w:val="20"/>
              </w:rPr>
            </w:pPr>
            <w:r>
              <w:rPr>
                <w:rFonts w:ascii="Arial" w:hAnsi="Arial" w:cs="Arial"/>
                <w:color w:val="000000"/>
                <w:sz w:val="20"/>
                <w:szCs w:val="20"/>
              </w:rPr>
              <w:t>92</w:t>
            </w:r>
          </w:p>
        </w:tc>
        <w:tc>
          <w:tcPr>
            <w:tcW w:w="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5320765" w14:textId="530A92F3" w:rsidR="00192F38" w:rsidRDefault="00192F38" w:rsidP="00192F38">
            <w:pPr>
              <w:jc w:val="center"/>
              <w:rPr>
                <w:rFonts w:ascii="Arial" w:hAnsi="Arial" w:cs="Arial"/>
                <w:color w:val="000000"/>
                <w:sz w:val="20"/>
                <w:szCs w:val="20"/>
              </w:rPr>
            </w:pPr>
            <w:r>
              <w:rPr>
                <w:rFonts w:ascii="Arial" w:hAnsi="Arial" w:cs="Arial"/>
                <w:color w:val="000000"/>
                <w:sz w:val="20"/>
                <w:szCs w:val="20"/>
              </w:rPr>
              <w:t>74</w:t>
            </w:r>
          </w:p>
        </w:tc>
        <w:tc>
          <w:tcPr>
            <w:tcW w:w="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B528330" w14:textId="57B4553C" w:rsidR="00192F38" w:rsidRDefault="00192F38" w:rsidP="00192F38">
            <w:pPr>
              <w:jc w:val="center"/>
              <w:rPr>
                <w:rFonts w:ascii="Arial" w:hAnsi="Arial" w:cs="Arial"/>
                <w:color w:val="000000"/>
                <w:sz w:val="20"/>
                <w:szCs w:val="20"/>
              </w:rPr>
            </w:pPr>
            <w:r>
              <w:rPr>
                <w:rFonts w:ascii="Arial" w:hAnsi="Arial" w:cs="Arial"/>
                <w:color w:val="000000"/>
                <w:sz w:val="20"/>
                <w:szCs w:val="20"/>
              </w:rPr>
              <w:t>89</w:t>
            </w:r>
          </w:p>
        </w:tc>
        <w:tc>
          <w:tcPr>
            <w:tcW w:w="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77F8593" w14:textId="498395E6" w:rsidR="00192F38" w:rsidRDefault="00192F38" w:rsidP="00192F38">
            <w:pPr>
              <w:jc w:val="center"/>
              <w:rPr>
                <w:rFonts w:ascii="Arial" w:hAnsi="Arial" w:cs="Arial"/>
                <w:color w:val="000000"/>
                <w:sz w:val="20"/>
                <w:szCs w:val="20"/>
              </w:rPr>
            </w:pPr>
          </w:p>
        </w:tc>
      </w:tr>
      <w:tr w:rsidR="00192F38" w14:paraId="0F8FCAF6" w14:textId="77777777" w:rsidTr="00192F38">
        <w:trPr>
          <w:trHeight w:val="315"/>
          <w:jc w:val="center"/>
        </w:trPr>
        <w:tc>
          <w:tcPr>
            <w:tcW w:w="54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79F592" w14:textId="77777777" w:rsidR="00192F38" w:rsidRPr="00FA78BD" w:rsidRDefault="00192F38" w:rsidP="00192F38">
            <w:pPr>
              <w:ind w:firstLine="400"/>
              <w:rPr>
                <w:rFonts w:ascii="Arial" w:hAnsi="Arial" w:cs="Arial"/>
                <w:color w:val="000000"/>
                <w:sz w:val="18"/>
                <w:szCs w:val="18"/>
              </w:rPr>
            </w:pPr>
            <w:r w:rsidRPr="00FA78BD">
              <w:rPr>
                <w:rFonts w:ascii="Arial" w:hAnsi="Arial" w:cs="Arial"/>
                <w:color w:val="000000"/>
                <w:sz w:val="18"/>
                <w:szCs w:val="18"/>
              </w:rPr>
              <w:t>Number of New Applicants Denied Licensure</w:t>
            </w:r>
          </w:p>
        </w:tc>
        <w:tc>
          <w:tcPr>
            <w:tcW w:w="7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7CEC147" w14:textId="1A95540B" w:rsidR="00192F38" w:rsidRDefault="00192F38" w:rsidP="00192F38">
            <w:pPr>
              <w:jc w:val="center"/>
              <w:rPr>
                <w:rFonts w:ascii="Arial" w:hAnsi="Arial" w:cs="Arial"/>
                <w:color w:val="000000"/>
                <w:sz w:val="20"/>
                <w:szCs w:val="20"/>
              </w:rPr>
            </w:pPr>
            <w:r>
              <w:rPr>
                <w:rFonts w:ascii="Arial" w:hAnsi="Arial" w:cs="Arial"/>
                <w:color w:val="000000"/>
                <w:sz w:val="20"/>
                <w:szCs w:val="20"/>
              </w:rPr>
              <w:t>6</w:t>
            </w:r>
          </w:p>
        </w:tc>
        <w:tc>
          <w:tcPr>
            <w:tcW w:w="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1D96F1A" w14:textId="6DC5F572" w:rsidR="00192F38" w:rsidRDefault="00192F38" w:rsidP="00192F38">
            <w:pPr>
              <w:jc w:val="center"/>
              <w:rPr>
                <w:rFonts w:ascii="Arial" w:hAnsi="Arial" w:cs="Arial"/>
                <w:color w:val="000000"/>
                <w:sz w:val="20"/>
                <w:szCs w:val="20"/>
              </w:rPr>
            </w:pPr>
            <w:r>
              <w:rPr>
                <w:rFonts w:ascii="Arial"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D87F5AA" w14:textId="5E66133E" w:rsidR="00192F38" w:rsidRDefault="00192F38" w:rsidP="00192F38">
            <w:pPr>
              <w:jc w:val="center"/>
              <w:rPr>
                <w:rFonts w:ascii="Arial" w:hAnsi="Arial" w:cs="Arial"/>
                <w:color w:val="000000"/>
                <w:sz w:val="20"/>
                <w:szCs w:val="20"/>
              </w:rPr>
            </w:pPr>
            <w:r>
              <w:rPr>
                <w:rFonts w:ascii="Arial" w:hAnsi="Arial" w:cs="Arial"/>
                <w:color w:val="000000"/>
                <w:sz w:val="20"/>
                <w:szCs w:val="20"/>
              </w:rPr>
              <w:t>6</w:t>
            </w:r>
          </w:p>
        </w:tc>
        <w:tc>
          <w:tcPr>
            <w:tcW w:w="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3E83D98" w14:textId="0AFF226C" w:rsidR="00192F38" w:rsidRDefault="00192F38" w:rsidP="00192F38">
            <w:pPr>
              <w:jc w:val="center"/>
              <w:rPr>
                <w:rFonts w:ascii="Arial" w:hAnsi="Arial" w:cs="Arial"/>
                <w:color w:val="000000"/>
                <w:sz w:val="20"/>
                <w:szCs w:val="20"/>
              </w:rPr>
            </w:pPr>
          </w:p>
        </w:tc>
      </w:tr>
      <w:tr w:rsidR="00192F38" w14:paraId="37CDF591" w14:textId="77777777" w:rsidTr="00192F38">
        <w:trPr>
          <w:trHeight w:val="313"/>
          <w:jc w:val="center"/>
        </w:trPr>
        <w:tc>
          <w:tcPr>
            <w:tcW w:w="54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69F192" w14:textId="452E3BE7" w:rsidR="00192F38" w:rsidRPr="00FA78BD" w:rsidRDefault="00192F38" w:rsidP="00192F38">
            <w:pPr>
              <w:ind w:firstLine="400"/>
              <w:rPr>
                <w:rFonts w:ascii="Arial" w:hAnsi="Arial" w:cs="Arial"/>
                <w:color w:val="000000"/>
                <w:sz w:val="18"/>
                <w:szCs w:val="18"/>
              </w:rPr>
            </w:pPr>
            <w:r w:rsidRPr="00FA78BD">
              <w:rPr>
                <w:rFonts w:ascii="Arial" w:hAnsi="Arial" w:cs="Arial"/>
                <w:color w:val="000000"/>
                <w:sz w:val="18"/>
                <w:szCs w:val="18"/>
              </w:rPr>
              <w:t>Number of Applicants Refused Continuation of a  License</w:t>
            </w:r>
          </w:p>
        </w:tc>
        <w:tc>
          <w:tcPr>
            <w:tcW w:w="7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D653C56" w14:textId="66361797" w:rsidR="00192F38" w:rsidRDefault="00192F38" w:rsidP="00192F38">
            <w:pPr>
              <w:jc w:val="center"/>
              <w:rPr>
                <w:rFonts w:ascii="Arial" w:hAnsi="Arial" w:cs="Arial"/>
                <w:color w:val="000000"/>
                <w:sz w:val="20"/>
                <w:szCs w:val="20"/>
              </w:rPr>
            </w:pPr>
            <w:r>
              <w:rPr>
                <w:rFonts w:ascii="Arial" w:hAnsi="Arial" w:cs="Arial"/>
                <w:color w:val="000000"/>
                <w:sz w:val="20"/>
                <w:szCs w:val="20"/>
              </w:rPr>
              <w:t>26</w:t>
            </w:r>
          </w:p>
        </w:tc>
        <w:tc>
          <w:tcPr>
            <w:tcW w:w="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FC8A853" w14:textId="4433D758" w:rsidR="00192F38" w:rsidRDefault="00192F38" w:rsidP="00192F38">
            <w:pPr>
              <w:jc w:val="center"/>
              <w:rPr>
                <w:rFonts w:ascii="Arial" w:hAnsi="Arial" w:cs="Arial"/>
                <w:color w:val="000000"/>
                <w:sz w:val="20"/>
                <w:szCs w:val="20"/>
              </w:rPr>
            </w:pPr>
            <w:r>
              <w:rPr>
                <w:rFonts w:ascii="Arial" w:hAnsi="Arial" w:cs="Arial"/>
                <w:color w:val="000000"/>
                <w:sz w:val="20"/>
                <w:szCs w:val="20"/>
              </w:rPr>
              <w:t>13</w:t>
            </w:r>
          </w:p>
        </w:tc>
        <w:tc>
          <w:tcPr>
            <w:tcW w:w="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FEE6660" w14:textId="13D91C7E" w:rsidR="00192F38" w:rsidRDefault="00192F38" w:rsidP="00192F38">
            <w:pPr>
              <w:jc w:val="center"/>
              <w:rPr>
                <w:rFonts w:ascii="Arial" w:hAnsi="Arial" w:cs="Arial"/>
                <w:color w:val="000000"/>
                <w:sz w:val="20"/>
                <w:szCs w:val="20"/>
              </w:rPr>
            </w:pPr>
            <w:r>
              <w:rPr>
                <w:rFonts w:ascii="Arial" w:hAnsi="Arial" w:cs="Arial"/>
                <w:color w:val="000000"/>
                <w:sz w:val="20"/>
                <w:szCs w:val="20"/>
              </w:rPr>
              <w:t>14</w:t>
            </w:r>
          </w:p>
        </w:tc>
        <w:tc>
          <w:tcPr>
            <w:tcW w:w="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7DA2BC4" w14:textId="7932090C" w:rsidR="00192F38" w:rsidRDefault="00192F38" w:rsidP="00192F38">
            <w:pPr>
              <w:jc w:val="center"/>
              <w:rPr>
                <w:rFonts w:ascii="Arial" w:hAnsi="Arial" w:cs="Arial"/>
                <w:color w:val="000000"/>
                <w:sz w:val="20"/>
                <w:szCs w:val="20"/>
              </w:rPr>
            </w:pPr>
          </w:p>
        </w:tc>
      </w:tr>
      <w:tr w:rsidR="00192F38" w14:paraId="51691E61" w14:textId="77777777" w:rsidTr="00192F38">
        <w:trPr>
          <w:trHeight w:val="315"/>
          <w:jc w:val="center"/>
        </w:trPr>
        <w:tc>
          <w:tcPr>
            <w:tcW w:w="54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527CB6" w14:textId="77777777" w:rsidR="00192F38" w:rsidRDefault="00192F38" w:rsidP="00192F38">
            <w:pPr>
              <w:ind w:firstLine="400"/>
              <w:rPr>
                <w:rFonts w:ascii="Arial" w:hAnsi="Arial" w:cs="Arial"/>
                <w:color w:val="000000"/>
                <w:sz w:val="20"/>
                <w:szCs w:val="20"/>
              </w:rPr>
            </w:pPr>
            <w:r>
              <w:rPr>
                <w:rFonts w:ascii="Arial" w:hAnsi="Arial" w:cs="Arial"/>
                <w:color w:val="000000"/>
                <w:sz w:val="20"/>
                <w:szCs w:val="20"/>
              </w:rPr>
              <w:t>Number of Complaints Against Licensees</w:t>
            </w:r>
          </w:p>
        </w:tc>
        <w:tc>
          <w:tcPr>
            <w:tcW w:w="7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E87456F" w14:textId="6C685C89" w:rsidR="00192F38" w:rsidRDefault="00192F38" w:rsidP="00192F38">
            <w:pPr>
              <w:jc w:val="center"/>
              <w:rPr>
                <w:rFonts w:ascii="Arial" w:hAnsi="Arial" w:cs="Arial"/>
                <w:color w:val="000000"/>
                <w:sz w:val="20"/>
                <w:szCs w:val="20"/>
              </w:rPr>
            </w:pPr>
            <w:r>
              <w:rPr>
                <w:rFonts w:ascii="Arial" w:hAnsi="Arial" w:cs="Arial"/>
                <w:color w:val="000000"/>
                <w:sz w:val="20"/>
                <w:szCs w:val="20"/>
              </w:rPr>
              <w:t>11</w:t>
            </w:r>
          </w:p>
        </w:tc>
        <w:tc>
          <w:tcPr>
            <w:tcW w:w="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67F7BC7" w14:textId="7AB2E522" w:rsidR="00192F38" w:rsidRDefault="00192F38" w:rsidP="00192F38">
            <w:pPr>
              <w:jc w:val="center"/>
              <w:rPr>
                <w:rFonts w:ascii="Arial" w:hAnsi="Arial" w:cs="Arial"/>
                <w:color w:val="000000"/>
                <w:sz w:val="20"/>
                <w:szCs w:val="20"/>
              </w:rPr>
            </w:pPr>
            <w:r>
              <w:rPr>
                <w:rFonts w:ascii="Arial" w:hAnsi="Arial" w:cs="Arial"/>
                <w:color w:val="000000"/>
                <w:sz w:val="20"/>
                <w:szCs w:val="20"/>
              </w:rPr>
              <w:t>6</w:t>
            </w:r>
          </w:p>
        </w:tc>
        <w:tc>
          <w:tcPr>
            <w:tcW w:w="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3BC73EF" w14:textId="3C0D42D0" w:rsidR="00192F38" w:rsidRDefault="00192F38" w:rsidP="00192F38">
            <w:pPr>
              <w:jc w:val="center"/>
              <w:rPr>
                <w:rFonts w:ascii="Arial" w:hAnsi="Arial" w:cs="Arial"/>
                <w:color w:val="000000"/>
                <w:sz w:val="20"/>
                <w:szCs w:val="20"/>
              </w:rPr>
            </w:pPr>
            <w:r>
              <w:rPr>
                <w:rFonts w:ascii="Arial" w:hAnsi="Arial" w:cs="Arial"/>
                <w:color w:val="000000"/>
                <w:sz w:val="20"/>
                <w:szCs w:val="20"/>
              </w:rPr>
              <w:t>10</w:t>
            </w:r>
          </w:p>
        </w:tc>
        <w:tc>
          <w:tcPr>
            <w:tcW w:w="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FB86E38" w14:textId="6AC30178" w:rsidR="00192F38" w:rsidRDefault="00192F38" w:rsidP="00192F38">
            <w:pPr>
              <w:jc w:val="center"/>
              <w:rPr>
                <w:rFonts w:ascii="Arial" w:hAnsi="Arial" w:cs="Arial"/>
                <w:color w:val="000000"/>
                <w:sz w:val="20"/>
                <w:szCs w:val="20"/>
              </w:rPr>
            </w:pPr>
          </w:p>
        </w:tc>
      </w:tr>
      <w:tr w:rsidR="00192F38" w14:paraId="2F9A4DC8" w14:textId="77777777" w:rsidTr="00192F38">
        <w:trPr>
          <w:trHeight w:val="358"/>
          <w:jc w:val="center"/>
        </w:trPr>
        <w:tc>
          <w:tcPr>
            <w:tcW w:w="54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BF4661" w14:textId="77777777" w:rsidR="00192F38" w:rsidRPr="00FA78BD" w:rsidRDefault="00192F38" w:rsidP="00192F38">
            <w:pPr>
              <w:ind w:firstLine="400"/>
              <w:rPr>
                <w:rFonts w:ascii="Arial" w:hAnsi="Arial" w:cs="Arial"/>
                <w:color w:val="000000"/>
                <w:sz w:val="18"/>
                <w:szCs w:val="18"/>
              </w:rPr>
            </w:pPr>
            <w:r w:rsidRPr="00FA78BD">
              <w:rPr>
                <w:rFonts w:ascii="Arial" w:hAnsi="Arial" w:cs="Arial"/>
                <w:color w:val="000000"/>
                <w:sz w:val="18"/>
                <w:szCs w:val="18"/>
              </w:rPr>
              <w:t>Number of Final Disciplinary Actions Against Licensees</w:t>
            </w:r>
          </w:p>
        </w:tc>
        <w:tc>
          <w:tcPr>
            <w:tcW w:w="7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FBDA97" w14:textId="2DC4C914" w:rsidR="00192F38" w:rsidRDefault="00192F38" w:rsidP="00192F38">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4FDCD84" w14:textId="7162D303" w:rsidR="00192F38" w:rsidRDefault="00192F38" w:rsidP="00192F38">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7C201C4" w14:textId="7746169E" w:rsidR="00192F38" w:rsidRDefault="00192F38" w:rsidP="00192F38">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8CA9A9E" w14:textId="5F6DE5C8" w:rsidR="00192F38" w:rsidRDefault="00192F38" w:rsidP="00192F38">
            <w:pPr>
              <w:jc w:val="center"/>
              <w:rPr>
                <w:rFonts w:ascii="Arial" w:hAnsi="Arial" w:cs="Arial"/>
                <w:color w:val="000000"/>
                <w:sz w:val="20"/>
                <w:szCs w:val="20"/>
              </w:rPr>
            </w:pPr>
          </w:p>
        </w:tc>
      </w:tr>
      <w:tr w:rsidR="00192F38" w14:paraId="0F9ADE30" w14:textId="77777777" w:rsidTr="00B4112C">
        <w:trPr>
          <w:trHeight w:val="315"/>
          <w:jc w:val="center"/>
        </w:trPr>
        <w:tc>
          <w:tcPr>
            <w:tcW w:w="9140" w:type="dxa"/>
            <w:gridSpan w:val="5"/>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14:paraId="4DA6B5D7" w14:textId="77777777" w:rsidR="00192F38" w:rsidRDefault="00192F38" w:rsidP="00192F38">
            <w:pPr>
              <w:rPr>
                <w:rFonts w:ascii="Arial" w:hAnsi="Arial" w:cs="Arial"/>
                <w:b/>
                <w:bCs/>
                <w:color w:val="000000"/>
                <w:sz w:val="22"/>
                <w:szCs w:val="22"/>
              </w:rPr>
            </w:pPr>
            <w:r>
              <w:rPr>
                <w:rFonts w:ascii="Arial" w:hAnsi="Arial" w:cs="Arial"/>
                <w:b/>
                <w:bCs/>
                <w:color w:val="000000"/>
                <w:sz w:val="22"/>
                <w:szCs w:val="22"/>
              </w:rPr>
              <w:t>CHARITABLE GAMING LICENSES PROCESSED</w:t>
            </w:r>
          </w:p>
        </w:tc>
      </w:tr>
      <w:tr w:rsidR="00192F38" w14:paraId="0B38D90D" w14:textId="77777777" w:rsidTr="00192F38">
        <w:trPr>
          <w:trHeight w:val="315"/>
          <w:jc w:val="center"/>
        </w:trPr>
        <w:tc>
          <w:tcPr>
            <w:tcW w:w="54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4A8C30" w14:textId="77777777" w:rsidR="00192F38" w:rsidRPr="00FA78BD" w:rsidRDefault="00192F38" w:rsidP="00192F38">
            <w:pPr>
              <w:ind w:firstLine="400"/>
              <w:rPr>
                <w:rFonts w:ascii="Arial" w:hAnsi="Arial" w:cs="Arial"/>
                <w:color w:val="000000"/>
                <w:sz w:val="18"/>
                <w:szCs w:val="18"/>
              </w:rPr>
            </w:pPr>
            <w:r w:rsidRPr="00FA78BD">
              <w:rPr>
                <w:rFonts w:ascii="Arial" w:hAnsi="Arial" w:cs="Arial"/>
                <w:color w:val="000000"/>
                <w:sz w:val="18"/>
                <w:szCs w:val="18"/>
              </w:rPr>
              <w:t>Total Number of Licenses</w:t>
            </w:r>
          </w:p>
        </w:tc>
        <w:tc>
          <w:tcPr>
            <w:tcW w:w="7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DF0E27C" w14:textId="1AA9D656" w:rsidR="00192F38" w:rsidRDefault="00192F38" w:rsidP="00192F38">
            <w:pPr>
              <w:jc w:val="center"/>
              <w:rPr>
                <w:rFonts w:ascii="Arial" w:hAnsi="Arial" w:cs="Arial"/>
                <w:color w:val="000000"/>
                <w:sz w:val="20"/>
                <w:szCs w:val="20"/>
              </w:rPr>
            </w:pPr>
            <w:r>
              <w:rPr>
                <w:rFonts w:ascii="Arial" w:hAnsi="Arial" w:cs="Arial"/>
                <w:color w:val="000000"/>
                <w:sz w:val="20"/>
                <w:szCs w:val="20"/>
              </w:rPr>
              <w:t>161</w:t>
            </w:r>
          </w:p>
        </w:tc>
        <w:tc>
          <w:tcPr>
            <w:tcW w:w="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D2D68BE" w14:textId="00907218" w:rsidR="00192F38" w:rsidRDefault="00192F38" w:rsidP="00192F38">
            <w:pPr>
              <w:jc w:val="center"/>
              <w:rPr>
                <w:rFonts w:ascii="Arial" w:hAnsi="Arial" w:cs="Arial"/>
                <w:color w:val="000000"/>
                <w:sz w:val="20"/>
                <w:szCs w:val="20"/>
              </w:rPr>
            </w:pPr>
            <w:r>
              <w:rPr>
                <w:rFonts w:ascii="Arial" w:hAnsi="Arial" w:cs="Arial"/>
                <w:color w:val="000000"/>
                <w:sz w:val="20"/>
                <w:szCs w:val="20"/>
              </w:rPr>
              <w:t>204</w:t>
            </w:r>
          </w:p>
        </w:tc>
        <w:tc>
          <w:tcPr>
            <w:tcW w:w="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218159F" w14:textId="4075B5D2" w:rsidR="00192F38" w:rsidRDefault="00192F38" w:rsidP="00192F38">
            <w:pPr>
              <w:jc w:val="center"/>
              <w:rPr>
                <w:rFonts w:ascii="Arial" w:hAnsi="Arial" w:cs="Arial"/>
                <w:color w:val="000000"/>
                <w:sz w:val="20"/>
                <w:szCs w:val="20"/>
              </w:rPr>
            </w:pPr>
            <w:r>
              <w:rPr>
                <w:rFonts w:ascii="Arial" w:hAnsi="Arial" w:cs="Arial"/>
                <w:color w:val="000000"/>
                <w:sz w:val="20"/>
                <w:szCs w:val="20"/>
              </w:rPr>
              <w:t>204</w:t>
            </w:r>
          </w:p>
        </w:tc>
        <w:tc>
          <w:tcPr>
            <w:tcW w:w="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1022B03" w14:textId="1A09A88F" w:rsidR="00192F38" w:rsidRDefault="00192F38" w:rsidP="00192F38">
            <w:pPr>
              <w:jc w:val="center"/>
              <w:rPr>
                <w:rFonts w:ascii="Arial" w:hAnsi="Arial" w:cs="Arial"/>
                <w:color w:val="000000"/>
                <w:sz w:val="20"/>
                <w:szCs w:val="20"/>
              </w:rPr>
            </w:pPr>
          </w:p>
        </w:tc>
      </w:tr>
      <w:tr w:rsidR="00192F38" w14:paraId="164C4BB8" w14:textId="77777777" w:rsidTr="00192F38">
        <w:trPr>
          <w:trHeight w:val="315"/>
          <w:jc w:val="center"/>
        </w:trPr>
        <w:tc>
          <w:tcPr>
            <w:tcW w:w="54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EB7BBA" w14:textId="77777777" w:rsidR="00192F38" w:rsidRPr="00FA78BD" w:rsidRDefault="00192F38" w:rsidP="00192F38">
            <w:pPr>
              <w:ind w:firstLine="400"/>
              <w:rPr>
                <w:rFonts w:ascii="Arial" w:hAnsi="Arial" w:cs="Arial"/>
                <w:color w:val="000000"/>
                <w:sz w:val="18"/>
                <w:szCs w:val="18"/>
              </w:rPr>
            </w:pPr>
            <w:r w:rsidRPr="00FA78BD">
              <w:rPr>
                <w:rFonts w:ascii="Arial" w:hAnsi="Arial" w:cs="Arial"/>
                <w:color w:val="000000"/>
                <w:sz w:val="18"/>
                <w:szCs w:val="18"/>
              </w:rPr>
              <w:t>Number of New Applicants Denied Licensure</w:t>
            </w:r>
          </w:p>
        </w:tc>
        <w:tc>
          <w:tcPr>
            <w:tcW w:w="7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F6444B" w14:textId="1BB17E25" w:rsidR="00192F38" w:rsidRDefault="00192F38" w:rsidP="00192F38">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4A6D426" w14:textId="034115DB" w:rsidR="00192F38" w:rsidRDefault="00192F38" w:rsidP="00192F38">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F25AD03" w14:textId="72F01FD0" w:rsidR="00192F38" w:rsidRDefault="00192F38" w:rsidP="00192F38">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36B4BEC" w14:textId="4F9146CB" w:rsidR="00192F38" w:rsidRDefault="00192F38" w:rsidP="00192F38">
            <w:pPr>
              <w:jc w:val="center"/>
              <w:rPr>
                <w:rFonts w:ascii="Arial" w:hAnsi="Arial" w:cs="Arial"/>
                <w:color w:val="000000"/>
                <w:sz w:val="20"/>
                <w:szCs w:val="20"/>
              </w:rPr>
            </w:pPr>
          </w:p>
        </w:tc>
      </w:tr>
      <w:tr w:rsidR="00192F38" w14:paraId="35A3B441" w14:textId="77777777" w:rsidTr="00192F38">
        <w:trPr>
          <w:trHeight w:val="315"/>
          <w:jc w:val="center"/>
        </w:trPr>
        <w:tc>
          <w:tcPr>
            <w:tcW w:w="54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01810D" w14:textId="77777777" w:rsidR="00192F38" w:rsidRPr="00FA78BD" w:rsidRDefault="00192F38" w:rsidP="00192F38">
            <w:pPr>
              <w:ind w:firstLine="400"/>
              <w:rPr>
                <w:rFonts w:ascii="Arial" w:hAnsi="Arial" w:cs="Arial"/>
                <w:color w:val="000000"/>
                <w:sz w:val="18"/>
                <w:szCs w:val="18"/>
              </w:rPr>
            </w:pPr>
            <w:r w:rsidRPr="00FA78BD">
              <w:rPr>
                <w:rFonts w:ascii="Arial" w:hAnsi="Arial" w:cs="Arial"/>
                <w:color w:val="000000"/>
                <w:sz w:val="18"/>
                <w:szCs w:val="18"/>
              </w:rPr>
              <w:t>Number of Applicants Refused Renewal of a License</w:t>
            </w:r>
          </w:p>
        </w:tc>
        <w:tc>
          <w:tcPr>
            <w:tcW w:w="7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C093D5" w14:textId="2D59D105" w:rsidR="00192F38" w:rsidRDefault="00192F38" w:rsidP="00192F38">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2F4307D" w14:textId="69B4793E" w:rsidR="00192F38" w:rsidRDefault="00192F38" w:rsidP="00192F38">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CF50AA5" w14:textId="4B9C2F5B" w:rsidR="00192F38" w:rsidRDefault="00192F38" w:rsidP="00192F38">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FA6309C" w14:textId="69EA2B14" w:rsidR="00192F38" w:rsidRDefault="00192F38" w:rsidP="00192F38">
            <w:pPr>
              <w:jc w:val="center"/>
              <w:rPr>
                <w:rFonts w:ascii="Arial" w:hAnsi="Arial" w:cs="Arial"/>
                <w:color w:val="000000"/>
                <w:sz w:val="20"/>
                <w:szCs w:val="20"/>
              </w:rPr>
            </w:pPr>
          </w:p>
        </w:tc>
      </w:tr>
      <w:tr w:rsidR="00192F38" w14:paraId="5DF1B31E" w14:textId="77777777" w:rsidTr="00192F38">
        <w:trPr>
          <w:trHeight w:val="315"/>
          <w:jc w:val="center"/>
        </w:trPr>
        <w:tc>
          <w:tcPr>
            <w:tcW w:w="54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46E473" w14:textId="77777777" w:rsidR="00192F38" w:rsidRPr="00FA78BD" w:rsidRDefault="00192F38" w:rsidP="00192F38">
            <w:pPr>
              <w:ind w:firstLine="400"/>
              <w:rPr>
                <w:rFonts w:ascii="Arial" w:hAnsi="Arial" w:cs="Arial"/>
                <w:color w:val="000000"/>
                <w:sz w:val="18"/>
                <w:szCs w:val="18"/>
              </w:rPr>
            </w:pPr>
            <w:r w:rsidRPr="00FA78BD">
              <w:rPr>
                <w:rFonts w:ascii="Arial" w:hAnsi="Arial" w:cs="Arial"/>
                <w:color w:val="000000"/>
                <w:sz w:val="18"/>
                <w:szCs w:val="18"/>
              </w:rPr>
              <w:t>Number of Complaints Against Licensees</w:t>
            </w:r>
          </w:p>
        </w:tc>
        <w:tc>
          <w:tcPr>
            <w:tcW w:w="7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EB6EA85" w14:textId="1D3CF6BE" w:rsidR="00192F38" w:rsidRDefault="00192F38" w:rsidP="00192F38">
            <w:pPr>
              <w:jc w:val="center"/>
              <w:rPr>
                <w:rFonts w:ascii="Arial" w:hAnsi="Arial" w:cs="Arial"/>
                <w:color w:val="000000"/>
                <w:sz w:val="20"/>
                <w:szCs w:val="20"/>
              </w:rPr>
            </w:pPr>
            <w:r>
              <w:rPr>
                <w:rFonts w:ascii="Arial" w:hAnsi="Arial" w:cs="Arial"/>
                <w:color w:val="000000"/>
                <w:sz w:val="20"/>
                <w:szCs w:val="20"/>
              </w:rPr>
              <w:t>1</w:t>
            </w:r>
          </w:p>
        </w:tc>
        <w:tc>
          <w:tcPr>
            <w:tcW w:w="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A4FA285" w14:textId="46D28AE0" w:rsidR="00192F38" w:rsidRDefault="00192F38" w:rsidP="00192F38">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C1A969D" w14:textId="16268187" w:rsidR="00192F38" w:rsidRDefault="00192F38" w:rsidP="00192F38">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10FE1F" w14:textId="1E5F993C" w:rsidR="00192F38" w:rsidRDefault="00192F38" w:rsidP="00192F38">
            <w:pPr>
              <w:jc w:val="center"/>
              <w:rPr>
                <w:rFonts w:ascii="Arial" w:hAnsi="Arial" w:cs="Arial"/>
                <w:color w:val="000000"/>
                <w:sz w:val="20"/>
                <w:szCs w:val="20"/>
              </w:rPr>
            </w:pPr>
          </w:p>
        </w:tc>
      </w:tr>
      <w:tr w:rsidR="00192F38" w14:paraId="03A242B9" w14:textId="77777777" w:rsidTr="00192F38">
        <w:trPr>
          <w:trHeight w:val="340"/>
          <w:jc w:val="center"/>
        </w:trPr>
        <w:tc>
          <w:tcPr>
            <w:tcW w:w="54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716728" w14:textId="77777777" w:rsidR="00192F38" w:rsidRPr="00FA78BD" w:rsidRDefault="00192F38" w:rsidP="00192F38">
            <w:pPr>
              <w:ind w:firstLine="400"/>
              <w:rPr>
                <w:rFonts w:ascii="Arial" w:hAnsi="Arial" w:cs="Arial"/>
                <w:color w:val="000000"/>
                <w:sz w:val="18"/>
                <w:szCs w:val="18"/>
              </w:rPr>
            </w:pPr>
            <w:r w:rsidRPr="00FA78BD">
              <w:rPr>
                <w:rFonts w:ascii="Arial" w:hAnsi="Arial" w:cs="Arial"/>
                <w:color w:val="000000"/>
                <w:sz w:val="18"/>
                <w:szCs w:val="18"/>
              </w:rPr>
              <w:t>Number of Final Disciplinary Actions Against Licensees</w:t>
            </w:r>
          </w:p>
        </w:tc>
        <w:tc>
          <w:tcPr>
            <w:tcW w:w="7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8F3A87" w14:textId="6C7B811D" w:rsidR="00192F38" w:rsidRDefault="00192F38" w:rsidP="00192F38">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2C53472" w14:textId="5915160B" w:rsidR="00192F38" w:rsidRDefault="00192F38" w:rsidP="00192F38">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279C65F" w14:textId="18FB7C0A" w:rsidR="00192F38" w:rsidRDefault="00192F38" w:rsidP="00192F38">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4BBCC88" w14:textId="637D0F4A" w:rsidR="00192F38" w:rsidRDefault="00192F38" w:rsidP="00192F38">
            <w:pPr>
              <w:jc w:val="center"/>
              <w:rPr>
                <w:rFonts w:ascii="Arial" w:hAnsi="Arial" w:cs="Arial"/>
                <w:color w:val="000000"/>
                <w:sz w:val="20"/>
                <w:szCs w:val="20"/>
              </w:rPr>
            </w:pPr>
          </w:p>
        </w:tc>
      </w:tr>
    </w:tbl>
    <w:p w14:paraId="02E65800" w14:textId="77777777" w:rsidR="00FA78BD" w:rsidRDefault="00FA78BD" w:rsidP="00FA78BD">
      <w:pPr>
        <w:rPr>
          <w:rFonts w:ascii="Calibri" w:eastAsiaTheme="minorHAnsi" w:hAnsi="Calibri" w:cs="Calibri"/>
        </w:rPr>
      </w:pPr>
    </w:p>
    <w:p w14:paraId="762983F6" w14:textId="77777777" w:rsidR="00EF2DAE" w:rsidRDefault="00EF2DAE" w:rsidP="007E7E5D">
      <w:pPr>
        <w:rPr>
          <w:rFonts w:ascii="Arial" w:hAnsi="Arial" w:cs="Arial"/>
          <w:b/>
        </w:rPr>
      </w:pPr>
    </w:p>
    <w:bookmarkEnd w:id="4"/>
    <w:p w14:paraId="0C93D369" w14:textId="77777777" w:rsidR="00CA6632" w:rsidRDefault="00CA6632" w:rsidP="00FC30BB">
      <w:pPr>
        <w:jc w:val="both"/>
        <w:outlineLvl w:val="0"/>
        <w:rPr>
          <w:rFonts w:ascii="Arial" w:hAnsi="Arial" w:cs="Arial"/>
          <w:b/>
          <w:i/>
          <w:color w:val="000080"/>
          <w:sz w:val="28"/>
          <w:szCs w:val="28"/>
        </w:rPr>
      </w:pPr>
    </w:p>
    <w:p w14:paraId="10EDF642" w14:textId="77777777" w:rsidR="00B4112C" w:rsidRDefault="00B4112C" w:rsidP="00FC30BB">
      <w:pPr>
        <w:jc w:val="both"/>
        <w:outlineLvl w:val="0"/>
        <w:rPr>
          <w:rFonts w:ascii="Arial" w:hAnsi="Arial" w:cs="Arial"/>
          <w:b/>
          <w:i/>
          <w:color w:val="000080"/>
          <w:sz w:val="28"/>
          <w:szCs w:val="28"/>
        </w:rPr>
      </w:pPr>
    </w:p>
    <w:p w14:paraId="514DC802" w14:textId="77777777" w:rsidR="00B4112C" w:rsidRDefault="00B4112C" w:rsidP="00FC30BB">
      <w:pPr>
        <w:jc w:val="both"/>
        <w:outlineLvl w:val="0"/>
        <w:rPr>
          <w:rFonts w:ascii="Arial" w:hAnsi="Arial" w:cs="Arial"/>
          <w:b/>
          <w:i/>
          <w:color w:val="000080"/>
          <w:sz w:val="28"/>
          <w:szCs w:val="28"/>
        </w:rPr>
      </w:pPr>
    </w:p>
    <w:p w14:paraId="6943B5DE" w14:textId="2B7D9A43" w:rsidR="001935A7" w:rsidRDefault="001935A7" w:rsidP="00FC30BB">
      <w:pPr>
        <w:jc w:val="both"/>
        <w:outlineLvl w:val="0"/>
        <w:rPr>
          <w:rFonts w:ascii="Arial" w:hAnsi="Arial" w:cs="Arial"/>
          <w:b/>
          <w:i/>
          <w:color w:val="000080"/>
          <w:sz w:val="28"/>
          <w:szCs w:val="28"/>
        </w:rPr>
      </w:pPr>
      <w:r w:rsidRPr="004B2482">
        <w:rPr>
          <w:rFonts w:ascii="Arial" w:hAnsi="Arial" w:cs="Arial"/>
          <w:b/>
          <w:i/>
          <w:color w:val="000080"/>
          <w:sz w:val="28"/>
          <w:szCs w:val="28"/>
        </w:rPr>
        <w:t>Part II – Performance Measures</w:t>
      </w:r>
    </w:p>
    <w:p w14:paraId="26F51297" w14:textId="77777777" w:rsidR="00D00B5E" w:rsidRDefault="00D00B5E" w:rsidP="00FC30BB">
      <w:pPr>
        <w:jc w:val="both"/>
        <w:outlineLvl w:val="0"/>
        <w:rPr>
          <w:rFonts w:ascii="Arial" w:hAnsi="Arial" w:cs="Arial"/>
          <w:b/>
          <w:i/>
          <w:color w:val="000080"/>
          <w:sz w:val="28"/>
          <w:szCs w:val="28"/>
        </w:rPr>
      </w:pPr>
    </w:p>
    <w:p w14:paraId="0235638B" w14:textId="32B799D0" w:rsidR="00F666A4" w:rsidRDefault="00F63E89" w:rsidP="00792DCB">
      <w:pPr>
        <w:jc w:val="both"/>
        <w:rPr>
          <w:rFonts w:ascii="Arial" w:hAnsi="Arial" w:cs="Arial"/>
          <w:sz w:val="20"/>
          <w:szCs w:val="20"/>
        </w:rPr>
      </w:pPr>
      <w:r w:rsidRPr="009C0792">
        <w:rPr>
          <w:rFonts w:ascii="Arial" w:hAnsi="Arial" w:cs="Arial"/>
          <w:i/>
          <w:sz w:val="20"/>
          <w:szCs w:val="20"/>
        </w:rPr>
        <w:t>Idaho Code</w:t>
      </w:r>
      <w:r w:rsidRPr="009C0792">
        <w:rPr>
          <w:rFonts w:ascii="Arial" w:hAnsi="Arial" w:cs="Arial"/>
          <w:sz w:val="20"/>
          <w:szCs w:val="20"/>
        </w:rPr>
        <w:t xml:space="preserve"> </w:t>
      </w:r>
      <w:r w:rsidR="00E9461B" w:rsidRPr="009C0792">
        <w:rPr>
          <w:rFonts w:ascii="Arial" w:hAnsi="Arial" w:cs="Arial"/>
          <w:sz w:val="20"/>
          <w:szCs w:val="20"/>
        </w:rPr>
        <w:t>§</w:t>
      </w:r>
      <w:r w:rsidR="00F30300" w:rsidRPr="009C0792">
        <w:rPr>
          <w:rFonts w:ascii="Arial" w:hAnsi="Arial" w:cs="Arial"/>
          <w:sz w:val="20"/>
          <w:szCs w:val="20"/>
        </w:rPr>
        <w:t xml:space="preserve">67-7401 </w:t>
      </w:r>
      <w:r w:rsidR="00E731C7">
        <w:rPr>
          <w:rFonts w:ascii="Arial" w:hAnsi="Arial" w:cs="Arial"/>
          <w:sz w:val="20"/>
          <w:szCs w:val="20"/>
        </w:rPr>
        <w:t>mandates</w:t>
      </w:r>
      <w:r w:rsidR="00F30300" w:rsidRPr="009C0792">
        <w:rPr>
          <w:rFonts w:ascii="Arial" w:hAnsi="Arial" w:cs="Arial"/>
          <w:sz w:val="20"/>
          <w:szCs w:val="20"/>
        </w:rPr>
        <w:t xml:space="preserve"> the Idaho Lottery Director to operate the Lottery at the least public expense and t</w:t>
      </w:r>
      <w:r w:rsidR="00B70A6E">
        <w:rPr>
          <w:rFonts w:ascii="Arial" w:hAnsi="Arial" w:cs="Arial"/>
          <w:sz w:val="20"/>
          <w:szCs w:val="20"/>
        </w:rPr>
        <w:t xml:space="preserve">he smallest staffing possible. </w:t>
      </w:r>
      <w:r w:rsidR="00F30300" w:rsidRPr="009C0792">
        <w:rPr>
          <w:rFonts w:ascii="Arial" w:hAnsi="Arial" w:cs="Arial"/>
          <w:sz w:val="20"/>
          <w:szCs w:val="20"/>
        </w:rPr>
        <w:t>Additionally,</w:t>
      </w:r>
      <w:r w:rsidR="00E9461B" w:rsidRPr="009C0792">
        <w:rPr>
          <w:rFonts w:ascii="Arial" w:hAnsi="Arial" w:cs="Arial"/>
          <w:sz w:val="20"/>
          <w:szCs w:val="20"/>
        </w:rPr>
        <w:t xml:space="preserve"> </w:t>
      </w:r>
      <w:r w:rsidR="00F30300" w:rsidRPr="009C0792">
        <w:rPr>
          <w:rFonts w:ascii="Arial" w:hAnsi="Arial" w:cs="Arial"/>
          <w:i/>
          <w:sz w:val="20"/>
          <w:szCs w:val="20"/>
        </w:rPr>
        <w:t>Idaho Code</w:t>
      </w:r>
      <w:r w:rsidR="00F30300" w:rsidRPr="009C0792">
        <w:rPr>
          <w:rFonts w:ascii="Arial" w:hAnsi="Arial" w:cs="Arial"/>
          <w:sz w:val="20"/>
          <w:szCs w:val="20"/>
        </w:rPr>
        <w:t xml:space="preserve"> </w:t>
      </w:r>
      <w:r w:rsidR="00E9461B" w:rsidRPr="009C0792">
        <w:rPr>
          <w:rFonts w:ascii="Arial" w:hAnsi="Arial" w:cs="Arial"/>
          <w:sz w:val="20"/>
          <w:szCs w:val="20"/>
        </w:rPr>
        <w:t xml:space="preserve">§67-7403 directs that the Lottery be operated to </w:t>
      </w:r>
      <w:r w:rsidR="00D304F6">
        <w:rPr>
          <w:rFonts w:ascii="Arial" w:hAnsi="Arial" w:cs="Arial"/>
          <w:sz w:val="20"/>
          <w:szCs w:val="20"/>
        </w:rPr>
        <w:t>produce</w:t>
      </w:r>
      <w:r w:rsidR="00D304F6" w:rsidRPr="009C0792">
        <w:rPr>
          <w:rFonts w:ascii="Arial" w:hAnsi="Arial" w:cs="Arial"/>
          <w:sz w:val="20"/>
          <w:szCs w:val="20"/>
        </w:rPr>
        <w:t xml:space="preserve"> </w:t>
      </w:r>
      <w:r w:rsidR="00E9461B" w:rsidRPr="009C0792">
        <w:rPr>
          <w:rFonts w:ascii="Arial" w:hAnsi="Arial" w:cs="Arial"/>
          <w:sz w:val="20"/>
          <w:szCs w:val="20"/>
        </w:rPr>
        <w:t>the maximum amount of net income to benefit the public purposes described in the chapter, c</w:t>
      </w:r>
      <w:r w:rsidR="00E67D47">
        <w:rPr>
          <w:rFonts w:ascii="Arial" w:hAnsi="Arial" w:cs="Arial"/>
          <w:sz w:val="20"/>
          <w:szCs w:val="20"/>
        </w:rPr>
        <w:t>onsonant with the public good.</w:t>
      </w:r>
      <w:r w:rsidR="00296E96">
        <w:rPr>
          <w:rFonts w:ascii="Arial" w:hAnsi="Arial" w:cs="Arial"/>
          <w:sz w:val="20"/>
          <w:szCs w:val="20"/>
        </w:rPr>
        <w:t xml:space="preserve"> Measuring </w:t>
      </w:r>
      <w:r w:rsidR="001E68B5">
        <w:rPr>
          <w:rFonts w:ascii="Arial" w:hAnsi="Arial" w:cs="Arial"/>
          <w:sz w:val="20"/>
          <w:szCs w:val="20"/>
        </w:rPr>
        <w:t xml:space="preserve">the performance of </w:t>
      </w:r>
      <w:r w:rsidR="00296E96">
        <w:rPr>
          <w:rFonts w:ascii="Arial" w:hAnsi="Arial" w:cs="Arial"/>
          <w:sz w:val="20"/>
          <w:szCs w:val="20"/>
        </w:rPr>
        <w:t xml:space="preserve">the Idaho Lottery is effectively done by monitoring performance to plan as reported in the statement of revenues, expenditures, net income, and internal yardstick criteria.  The </w:t>
      </w:r>
      <w:r w:rsidR="00E9461B">
        <w:rPr>
          <w:rFonts w:ascii="Arial" w:hAnsi="Arial" w:cs="Arial"/>
          <w:sz w:val="20"/>
          <w:szCs w:val="20"/>
        </w:rPr>
        <w:t xml:space="preserve">Director and the Lottery Management Team </w:t>
      </w:r>
      <w:r w:rsidR="00296E96">
        <w:rPr>
          <w:rFonts w:ascii="Arial" w:hAnsi="Arial" w:cs="Arial"/>
          <w:sz w:val="20"/>
          <w:szCs w:val="20"/>
        </w:rPr>
        <w:t>monitor Peer Benchmark Performance Measures</w:t>
      </w:r>
      <w:r w:rsidR="00706A1A">
        <w:rPr>
          <w:rFonts w:ascii="Arial" w:hAnsi="Arial" w:cs="Arial"/>
          <w:sz w:val="20"/>
          <w:szCs w:val="20"/>
        </w:rPr>
        <w:t xml:space="preserve"> </w:t>
      </w:r>
      <w:r w:rsidR="00E9461B">
        <w:rPr>
          <w:rFonts w:ascii="Arial" w:hAnsi="Arial" w:cs="Arial"/>
          <w:sz w:val="20"/>
          <w:szCs w:val="20"/>
        </w:rPr>
        <w:t xml:space="preserve">to </w:t>
      </w:r>
      <w:r w:rsidR="0091383B">
        <w:rPr>
          <w:rFonts w:ascii="Arial" w:hAnsi="Arial" w:cs="Arial"/>
          <w:sz w:val="20"/>
          <w:szCs w:val="20"/>
        </w:rPr>
        <w:t>be in the top quintile among their</w:t>
      </w:r>
      <w:r w:rsidR="00E9461B">
        <w:rPr>
          <w:rFonts w:ascii="Arial" w:hAnsi="Arial" w:cs="Arial"/>
          <w:sz w:val="20"/>
          <w:szCs w:val="20"/>
        </w:rPr>
        <w:t xml:space="preserve"> peer states in the areas of </w:t>
      </w:r>
      <w:r w:rsidR="00E9461B" w:rsidRPr="00D116EA">
        <w:rPr>
          <w:rFonts w:ascii="Arial" w:hAnsi="Arial" w:cs="Arial"/>
          <w:b/>
          <w:sz w:val="20"/>
          <w:szCs w:val="20"/>
        </w:rPr>
        <w:t>Sales per Capita</w:t>
      </w:r>
      <w:r w:rsidR="00E9461B">
        <w:rPr>
          <w:rFonts w:ascii="Arial" w:hAnsi="Arial" w:cs="Arial"/>
          <w:sz w:val="20"/>
          <w:szCs w:val="20"/>
        </w:rPr>
        <w:t xml:space="preserve">, </w:t>
      </w:r>
      <w:r w:rsidR="00E9461B" w:rsidRPr="00D116EA">
        <w:rPr>
          <w:rFonts w:ascii="Arial" w:hAnsi="Arial" w:cs="Arial"/>
          <w:b/>
          <w:sz w:val="20"/>
          <w:szCs w:val="20"/>
        </w:rPr>
        <w:t>Dividends as a Percentage of Sales</w:t>
      </w:r>
      <w:r w:rsidR="00BB3E64">
        <w:rPr>
          <w:rFonts w:ascii="Arial" w:hAnsi="Arial" w:cs="Arial"/>
          <w:b/>
          <w:sz w:val="20"/>
          <w:szCs w:val="20"/>
        </w:rPr>
        <w:t>,</w:t>
      </w:r>
      <w:r w:rsidR="00E9461B">
        <w:rPr>
          <w:rFonts w:ascii="Arial" w:hAnsi="Arial" w:cs="Arial"/>
          <w:sz w:val="20"/>
          <w:szCs w:val="20"/>
        </w:rPr>
        <w:t xml:space="preserve"> and </w:t>
      </w:r>
      <w:r w:rsidR="00E9461B" w:rsidRPr="00D116EA">
        <w:rPr>
          <w:rFonts w:ascii="Arial" w:hAnsi="Arial" w:cs="Arial"/>
          <w:b/>
          <w:sz w:val="20"/>
          <w:szCs w:val="20"/>
        </w:rPr>
        <w:t>Dividend Increase Percentage</w:t>
      </w:r>
      <w:r w:rsidR="00A23B21">
        <w:rPr>
          <w:rFonts w:ascii="Arial" w:hAnsi="Arial" w:cs="Arial"/>
          <w:sz w:val="20"/>
          <w:szCs w:val="20"/>
        </w:rPr>
        <w:t xml:space="preserve"> and among the lowest quintile for </w:t>
      </w:r>
      <w:r w:rsidR="00A23B21" w:rsidRPr="00D116EA">
        <w:rPr>
          <w:rFonts w:ascii="Arial" w:hAnsi="Arial" w:cs="Arial"/>
          <w:b/>
          <w:sz w:val="20"/>
          <w:szCs w:val="20"/>
        </w:rPr>
        <w:t>Administrative Costs as a Percentage of Sales</w:t>
      </w:r>
      <w:r w:rsidR="00F666A4">
        <w:rPr>
          <w:rFonts w:ascii="Arial" w:hAnsi="Arial" w:cs="Arial"/>
          <w:sz w:val="20"/>
          <w:szCs w:val="20"/>
        </w:rPr>
        <w:t>.</w:t>
      </w:r>
    </w:p>
    <w:p w14:paraId="3DE19A8D" w14:textId="77777777" w:rsidR="00AA6A5E" w:rsidRDefault="00AA6A5E" w:rsidP="00792DCB">
      <w:pPr>
        <w:jc w:val="both"/>
        <w:rPr>
          <w:rFonts w:ascii="Arial" w:hAnsi="Arial" w:cs="Arial"/>
          <w:sz w:val="20"/>
          <w:szCs w:val="20"/>
        </w:rPr>
      </w:pPr>
    </w:p>
    <w:tbl>
      <w:tblPr>
        <w:tblW w:w="507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1799"/>
        <w:gridCol w:w="554"/>
        <w:gridCol w:w="374"/>
        <w:gridCol w:w="629"/>
        <w:gridCol w:w="288"/>
        <w:gridCol w:w="939"/>
        <w:gridCol w:w="113"/>
        <w:gridCol w:w="804"/>
        <w:gridCol w:w="541"/>
        <w:gridCol w:w="398"/>
        <w:gridCol w:w="917"/>
        <w:gridCol w:w="30"/>
        <w:gridCol w:w="909"/>
        <w:gridCol w:w="435"/>
        <w:gridCol w:w="551"/>
        <w:gridCol w:w="872"/>
        <w:gridCol w:w="67"/>
      </w:tblGrid>
      <w:tr w:rsidR="00192F38" w:rsidRPr="007D2843" w14:paraId="7E2372E8" w14:textId="77777777" w:rsidTr="00511BF3">
        <w:trPr>
          <w:gridAfter w:val="1"/>
          <w:wAfter w:w="67" w:type="dxa"/>
        </w:trPr>
        <w:tc>
          <w:tcPr>
            <w:tcW w:w="3356" w:type="dxa"/>
            <w:gridSpan w:val="4"/>
            <w:shd w:val="clear" w:color="auto" w:fill="000080"/>
            <w:vAlign w:val="bottom"/>
          </w:tcPr>
          <w:p w14:paraId="55386E69" w14:textId="77777777" w:rsidR="00192F38" w:rsidRPr="007D2843" w:rsidRDefault="00192F38" w:rsidP="00192F38">
            <w:pPr>
              <w:jc w:val="center"/>
              <w:rPr>
                <w:rFonts w:ascii="Arial" w:hAnsi="Arial" w:cs="Arial"/>
                <w:b/>
                <w:bCs/>
                <w:color w:val="FFFFFF"/>
                <w:sz w:val="20"/>
              </w:rPr>
            </w:pPr>
            <w:r w:rsidRPr="007D2843">
              <w:rPr>
                <w:rFonts w:ascii="Arial" w:hAnsi="Arial" w:cs="Arial"/>
                <w:b/>
                <w:bCs/>
                <w:color w:val="FFFFFF"/>
                <w:sz w:val="20"/>
              </w:rPr>
              <w:lastRenderedPageBreak/>
              <w:t>Performance Measure</w:t>
            </w:r>
          </w:p>
        </w:tc>
        <w:tc>
          <w:tcPr>
            <w:tcW w:w="1340" w:type="dxa"/>
            <w:gridSpan w:val="3"/>
            <w:shd w:val="clear" w:color="auto" w:fill="000080"/>
            <w:vAlign w:val="center"/>
          </w:tcPr>
          <w:p w14:paraId="70F0A4B6" w14:textId="552A0AE0" w:rsidR="00192F38" w:rsidRPr="007D2843" w:rsidRDefault="00192F38" w:rsidP="00192F38">
            <w:pPr>
              <w:jc w:val="center"/>
              <w:rPr>
                <w:rFonts w:ascii="Arial" w:hAnsi="Arial" w:cs="Arial"/>
                <w:b/>
                <w:bCs/>
                <w:color w:val="FFFFFF"/>
                <w:sz w:val="20"/>
              </w:rPr>
            </w:pPr>
            <w:r>
              <w:rPr>
                <w:rFonts w:ascii="Arial" w:hAnsi="Arial" w:cs="Arial"/>
                <w:b/>
                <w:bCs/>
                <w:color w:val="FFFFFF"/>
                <w:sz w:val="20"/>
                <w:szCs w:val="20"/>
              </w:rPr>
              <w:t>FY 2022</w:t>
            </w:r>
          </w:p>
        </w:tc>
        <w:tc>
          <w:tcPr>
            <w:tcW w:w="1345" w:type="dxa"/>
            <w:gridSpan w:val="2"/>
            <w:shd w:val="clear" w:color="auto" w:fill="000080"/>
            <w:vAlign w:val="center"/>
          </w:tcPr>
          <w:p w14:paraId="5AEBC08B" w14:textId="3C20C9B0" w:rsidR="00192F38" w:rsidRPr="007D2843" w:rsidRDefault="00192F38" w:rsidP="00192F38">
            <w:pPr>
              <w:jc w:val="center"/>
              <w:rPr>
                <w:rFonts w:ascii="Arial" w:hAnsi="Arial" w:cs="Arial"/>
                <w:b/>
                <w:bCs/>
                <w:color w:val="FFFFFF"/>
                <w:sz w:val="20"/>
              </w:rPr>
            </w:pPr>
            <w:r>
              <w:rPr>
                <w:rFonts w:ascii="Arial" w:hAnsi="Arial" w:cs="Arial"/>
                <w:b/>
                <w:bCs/>
                <w:color w:val="FFFFFF"/>
                <w:sz w:val="20"/>
                <w:szCs w:val="20"/>
              </w:rPr>
              <w:t>FY 2023</w:t>
            </w:r>
          </w:p>
        </w:tc>
        <w:tc>
          <w:tcPr>
            <w:tcW w:w="1345" w:type="dxa"/>
            <w:gridSpan w:val="3"/>
            <w:shd w:val="clear" w:color="auto" w:fill="000080"/>
            <w:vAlign w:val="center"/>
          </w:tcPr>
          <w:p w14:paraId="21467A07" w14:textId="2B22F40E" w:rsidR="00192F38" w:rsidRPr="007D2843" w:rsidRDefault="00192F38" w:rsidP="00192F38">
            <w:pPr>
              <w:jc w:val="center"/>
              <w:rPr>
                <w:rFonts w:ascii="Arial" w:hAnsi="Arial" w:cs="Arial"/>
                <w:b/>
                <w:bCs/>
                <w:color w:val="FFFFFF"/>
                <w:sz w:val="20"/>
              </w:rPr>
            </w:pPr>
            <w:r w:rsidRPr="00124831">
              <w:rPr>
                <w:rFonts w:ascii="Arial" w:hAnsi="Arial" w:cs="Arial"/>
                <w:b/>
                <w:bCs/>
                <w:sz w:val="20"/>
                <w:szCs w:val="20"/>
              </w:rPr>
              <w:t>FY 2024</w:t>
            </w:r>
          </w:p>
        </w:tc>
        <w:tc>
          <w:tcPr>
            <w:tcW w:w="1344" w:type="dxa"/>
            <w:gridSpan w:val="2"/>
            <w:shd w:val="clear" w:color="auto" w:fill="000080"/>
            <w:vAlign w:val="bottom"/>
          </w:tcPr>
          <w:p w14:paraId="27C416BE" w14:textId="27BF4BA8" w:rsidR="00192F38" w:rsidRPr="007D2843" w:rsidRDefault="00192F38" w:rsidP="00192F38">
            <w:pPr>
              <w:jc w:val="center"/>
              <w:rPr>
                <w:rFonts w:ascii="Arial" w:hAnsi="Arial" w:cs="Arial"/>
                <w:b/>
                <w:bCs/>
                <w:color w:val="FFFFFF"/>
                <w:sz w:val="20"/>
              </w:rPr>
            </w:pPr>
            <w:r>
              <w:rPr>
                <w:rFonts w:ascii="Arial" w:hAnsi="Arial" w:cs="Arial"/>
                <w:b/>
                <w:bCs/>
                <w:color w:val="FFFFFF"/>
                <w:sz w:val="20"/>
              </w:rPr>
              <w:t>FY 2025</w:t>
            </w:r>
          </w:p>
        </w:tc>
        <w:tc>
          <w:tcPr>
            <w:tcW w:w="1423" w:type="dxa"/>
            <w:gridSpan w:val="2"/>
            <w:shd w:val="clear" w:color="auto" w:fill="000080"/>
            <w:vAlign w:val="bottom"/>
          </w:tcPr>
          <w:p w14:paraId="28A93358" w14:textId="015F3A18" w:rsidR="00192F38" w:rsidRPr="007D2843" w:rsidRDefault="00192F38" w:rsidP="00192F38">
            <w:pPr>
              <w:jc w:val="center"/>
              <w:rPr>
                <w:rFonts w:ascii="Arial" w:hAnsi="Arial" w:cs="Arial"/>
                <w:b/>
                <w:bCs/>
                <w:color w:val="FFFFFF"/>
                <w:sz w:val="20"/>
              </w:rPr>
            </w:pPr>
            <w:r w:rsidRPr="00750B5C">
              <w:rPr>
                <w:rFonts w:ascii="Arial" w:hAnsi="Arial" w:cs="Arial"/>
                <w:b/>
                <w:bCs/>
                <w:color w:val="FFFFFF"/>
                <w:sz w:val="20"/>
              </w:rPr>
              <w:t>FY 202</w:t>
            </w:r>
            <w:r>
              <w:rPr>
                <w:rFonts w:ascii="Arial" w:hAnsi="Arial" w:cs="Arial"/>
                <w:b/>
                <w:bCs/>
                <w:color w:val="FFFFFF"/>
                <w:sz w:val="20"/>
              </w:rPr>
              <w:t>6</w:t>
            </w:r>
          </w:p>
        </w:tc>
      </w:tr>
      <w:tr w:rsidR="00192F38" w:rsidRPr="007D2843" w14:paraId="575C081A" w14:textId="77777777" w:rsidTr="00B4112C">
        <w:trPr>
          <w:gridAfter w:val="1"/>
          <w:wAfter w:w="67" w:type="dxa"/>
          <w:trHeight w:val="323"/>
        </w:trPr>
        <w:tc>
          <w:tcPr>
            <w:tcW w:w="10153" w:type="dxa"/>
            <w:gridSpan w:val="16"/>
            <w:shd w:val="clear" w:color="auto" w:fill="DBE5F1" w:themeFill="accent1" w:themeFillTint="33"/>
            <w:vAlign w:val="center"/>
          </w:tcPr>
          <w:p w14:paraId="30FC3A79" w14:textId="77777777" w:rsidR="00192F38" w:rsidRPr="007D2843" w:rsidRDefault="00192F38" w:rsidP="00192F38">
            <w:pPr>
              <w:rPr>
                <w:rFonts w:ascii="Arial" w:hAnsi="Arial" w:cs="Arial"/>
                <w:b/>
                <w:sz w:val="20"/>
              </w:rPr>
            </w:pPr>
            <w:r w:rsidRPr="007D2843">
              <w:rPr>
                <w:rFonts w:ascii="Arial" w:hAnsi="Arial" w:cs="Arial"/>
                <w:b/>
                <w:sz w:val="20"/>
              </w:rPr>
              <w:t>Responsibly increase net revenues</w:t>
            </w:r>
          </w:p>
        </w:tc>
      </w:tr>
      <w:tr w:rsidR="00192F38" w:rsidRPr="007D2843" w14:paraId="4BACE7E9" w14:textId="77777777" w:rsidTr="00B4112C">
        <w:trPr>
          <w:gridAfter w:val="1"/>
          <w:wAfter w:w="67" w:type="dxa"/>
          <w:trHeight w:val="288"/>
        </w:trPr>
        <w:tc>
          <w:tcPr>
            <w:tcW w:w="2353" w:type="dxa"/>
            <w:gridSpan w:val="2"/>
            <w:vMerge w:val="restart"/>
          </w:tcPr>
          <w:p w14:paraId="00AFA69D" w14:textId="77777777" w:rsidR="00192F38" w:rsidRPr="007D2843" w:rsidRDefault="00192F38" w:rsidP="00192F38">
            <w:pPr>
              <w:pStyle w:val="ListParagraph"/>
              <w:numPr>
                <w:ilvl w:val="0"/>
                <w:numId w:val="1"/>
              </w:numPr>
              <w:ind w:left="342"/>
              <w:rPr>
                <w:rFonts w:ascii="Arial" w:hAnsi="Arial" w:cs="Arial"/>
                <w:bCs/>
                <w:sz w:val="20"/>
              </w:rPr>
            </w:pPr>
            <w:r w:rsidRPr="007D2843">
              <w:rPr>
                <w:rFonts w:ascii="Arial" w:hAnsi="Arial" w:cs="Arial"/>
                <w:bCs/>
                <w:sz w:val="20"/>
              </w:rPr>
              <w:t>Total Revenue</w:t>
            </w:r>
          </w:p>
        </w:tc>
        <w:tc>
          <w:tcPr>
            <w:tcW w:w="1003" w:type="dxa"/>
            <w:gridSpan w:val="2"/>
            <w:shd w:val="clear" w:color="auto" w:fill="D9D9D9" w:themeFill="background1" w:themeFillShade="D9"/>
            <w:vAlign w:val="center"/>
          </w:tcPr>
          <w:p w14:paraId="6D978E5A" w14:textId="77777777" w:rsidR="00192F38" w:rsidRPr="00D93EB4" w:rsidRDefault="00192F38" w:rsidP="00192F38">
            <w:pPr>
              <w:jc w:val="center"/>
              <w:rPr>
                <w:rFonts w:ascii="Arial" w:hAnsi="Arial" w:cs="Arial"/>
                <w:sz w:val="20"/>
                <w:szCs w:val="20"/>
              </w:rPr>
            </w:pPr>
            <w:r w:rsidRPr="00D93EB4">
              <w:rPr>
                <w:rFonts w:ascii="Arial" w:hAnsi="Arial" w:cs="Arial"/>
                <w:sz w:val="20"/>
                <w:szCs w:val="20"/>
              </w:rPr>
              <w:t>actual</w:t>
            </w:r>
          </w:p>
        </w:tc>
        <w:tc>
          <w:tcPr>
            <w:tcW w:w="1340" w:type="dxa"/>
            <w:gridSpan w:val="3"/>
            <w:shd w:val="clear" w:color="auto" w:fill="D9D9D9" w:themeFill="background1" w:themeFillShade="D9"/>
            <w:vAlign w:val="center"/>
          </w:tcPr>
          <w:p w14:paraId="6A3D112C" w14:textId="4633C10F" w:rsidR="00192F38" w:rsidRPr="00D93EB4" w:rsidRDefault="00192F38" w:rsidP="00192F38">
            <w:pPr>
              <w:jc w:val="center"/>
              <w:rPr>
                <w:rFonts w:ascii="Arial" w:hAnsi="Arial" w:cs="Arial"/>
                <w:sz w:val="20"/>
                <w:szCs w:val="20"/>
              </w:rPr>
            </w:pPr>
            <w:r w:rsidRPr="00B4112C">
              <w:rPr>
                <w:rFonts w:ascii="Arial" w:hAnsi="Arial" w:cs="Arial"/>
                <w:sz w:val="20"/>
                <w:szCs w:val="20"/>
                <w:highlight w:val="lightGray"/>
              </w:rPr>
              <w:t>$377,057,800</w:t>
            </w:r>
          </w:p>
        </w:tc>
        <w:tc>
          <w:tcPr>
            <w:tcW w:w="1345" w:type="dxa"/>
            <w:gridSpan w:val="2"/>
            <w:shd w:val="clear" w:color="auto" w:fill="D9D9D9" w:themeFill="background1" w:themeFillShade="D9"/>
            <w:vAlign w:val="center"/>
          </w:tcPr>
          <w:p w14:paraId="43C8C1BD" w14:textId="4A822D5F" w:rsidR="00192F38" w:rsidRPr="00B4112C" w:rsidRDefault="00192F38" w:rsidP="00192F38">
            <w:pPr>
              <w:jc w:val="center"/>
              <w:rPr>
                <w:rFonts w:ascii="Arial" w:hAnsi="Arial" w:cs="Arial"/>
                <w:sz w:val="20"/>
                <w:szCs w:val="20"/>
                <w:highlight w:val="lightGray"/>
              </w:rPr>
            </w:pPr>
            <w:r w:rsidRPr="00B4112C">
              <w:rPr>
                <w:rFonts w:ascii="Arial" w:hAnsi="Arial" w:cs="Arial"/>
                <w:sz w:val="20"/>
                <w:szCs w:val="20"/>
                <w:highlight w:val="lightGray"/>
              </w:rPr>
              <w:t>$423,197,500</w:t>
            </w:r>
          </w:p>
        </w:tc>
        <w:tc>
          <w:tcPr>
            <w:tcW w:w="1345" w:type="dxa"/>
            <w:gridSpan w:val="3"/>
            <w:shd w:val="clear" w:color="auto" w:fill="D9D9D9" w:themeFill="background1" w:themeFillShade="D9"/>
            <w:vAlign w:val="center"/>
          </w:tcPr>
          <w:p w14:paraId="07BD5A10" w14:textId="7F1375F1" w:rsidR="00192F38" w:rsidRPr="00B4112C" w:rsidRDefault="00192F38" w:rsidP="00192F38">
            <w:pPr>
              <w:jc w:val="center"/>
              <w:rPr>
                <w:rFonts w:ascii="Arial" w:hAnsi="Arial" w:cs="Arial"/>
                <w:sz w:val="20"/>
                <w:szCs w:val="20"/>
                <w:highlight w:val="lightGray"/>
              </w:rPr>
            </w:pPr>
            <w:r w:rsidRPr="00B4112C">
              <w:rPr>
                <w:rFonts w:ascii="Arial" w:hAnsi="Arial" w:cs="Arial"/>
                <w:sz w:val="20"/>
                <w:szCs w:val="20"/>
                <w:highlight w:val="lightGray"/>
              </w:rPr>
              <w:t>$423,574,200</w:t>
            </w:r>
          </w:p>
        </w:tc>
        <w:tc>
          <w:tcPr>
            <w:tcW w:w="1344" w:type="dxa"/>
            <w:gridSpan w:val="2"/>
            <w:shd w:val="clear" w:color="auto" w:fill="auto"/>
            <w:vAlign w:val="center"/>
          </w:tcPr>
          <w:p w14:paraId="0634C898" w14:textId="6FC36918" w:rsidR="00192F38" w:rsidRPr="00B4112C" w:rsidRDefault="00192F38" w:rsidP="00192F38">
            <w:pPr>
              <w:jc w:val="center"/>
              <w:rPr>
                <w:rFonts w:ascii="Arial" w:hAnsi="Arial" w:cs="Arial"/>
                <w:sz w:val="20"/>
                <w:szCs w:val="20"/>
                <w:highlight w:val="lightGray"/>
              </w:rPr>
            </w:pPr>
          </w:p>
        </w:tc>
        <w:tc>
          <w:tcPr>
            <w:tcW w:w="1423" w:type="dxa"/>
            <w:gridSpan w:val="2"/>
            <w:shd w:val="clear" w:color="auto" w:fill="D9D9D9" w:themeFill="background1" w:themeFillShade="D9"/>
            <w:vAlign w:val="center"/>
          </w:tcPr>
          <w:p w14:paraId="32002C36" w14:textId="1FF146D1" w:rsidR="00192F38" w:rsidRPr="00B4112C" w:rsidRDefault="00192F38" w:rsidP="00192F38">
            <w:pPr>
              <w:jc w:val="center"/>
              <w:rPr>
                <w:rFonts w:ascii="Arial" w:hAnsi="Arial" w:cs="Arial"/>
                <w:sz w:val="20"/>
                <w:szCs w:val="20"/>
                <w:highlight w:val="lightGray"/>
              </w:rPr>
            </w:pPr>
          </w:p>
        </w:tc>
      </w:tr>
      <w:tr w:rsidR="00192F38" w:rsidRPr="007D2843" w14:paraId="05C7E8A4" w14:textId="77777777" w:rsidTr="00B4112C">
        <w:trPr>
          <w:gridAfter w:val="1"/>
          <w:wAfter w:w="67" w:type="dxa"/>
          <w:trHeight w:val="288"/>
        </w:trPr>
        <w:tc>
          <w:tcPr>
            <w:tcW w:w="2353" w:type="dxa"/>
            <w:gridSpan w:val="2"/>
            <w:vMerge/>
          </w:tcPr>
          <w:p w14:paraId="4349BCBF" w14:textId="77777777" w:rsidR="00192F38" w:rsidRPr="007D2843" w:rsidRDefault="00192F38" w:rsidP="00192F38">
            <w:pPr>
              <w:pStyle w:val="ListParagraph"/>
              <w:numPr>
                <w:ilvl w:val="0"/>
                <w:numId w:val="1"/>
              </w:numPr>
              <w:tabs>
                <w:tab w:val="left" w:pos="2985"/>
              </w:tabs>
              <w:ind w:left="342"/>
              <w:rPr>
                <w:rFonts w:ascii="Arial" w:hAnsi="Arial" w:cs="Arial"/>
                <w:sz w:val="20"/>
              </w:rPr>
            </w:pPr>
          </w:p>
        </w:tc>
        <w:tc>
          <w:tcPr>
            <w:tcW w:w="1003" w:type="dxa"/>
            <w:gridSpan w:val="2"/>
            <w:shd w:val="clear" w:color="auto" w:fill="FFFFFF" w:themeFill="background1"/>
            <w:vAlign w:val="center"/>
          </w:tcPr>
          <w:p w14:paraId="7EDAC2D3" w14:textId="77777777" w:rsidR="00192F38" w:rsidRPr="00D93EB4" w:rsidRDefault="00192F38" w:rsidP="00192F38">
            <w:pPr>
              <w:jc w:val="center"/>
              <w:rPr>
                <w:rFonts w:ascii="Arial" w:hAnsi="Arial" w:cs="Arial"/>
                <w:i/>
                <w:sz w:val="20"/>
                <w:szCs w:val="20"/>
              </w:rPr>
            </w:pPr>
            <w:r w:rsidRPr="00D93EB4">
              <w:rPr>
                <w:rFonts w:ascii="Arial" w:hAnsi="Arial" w:cs="Arial"/>
                <w:i/>
                <w:sz w:val="20"/>
                <w:szCs w:val="20"/>
              </w:rPr>
              <w:t>target</w:t>
            </w:r>
          </w:p>
        </w:tc>
        <w:tc>
          <w:tcPr>
            <w:tcW w:w="1340" w:type="dxa"/>
            <w:gridSpan w:val="3"/>
            <w:shd w:val="clear" w:color="auto" w:fill="FFFFFF" w:themeFill="background1"/>
            <w:vAlign w:val="center"/>
          </w:tcPr>
          <w:p w14:paraId="297117E2" w14:textId="33A6D311" w:rsidR="00192F38" w:rsidRPr="00D93EB4" w:rsidRDefault="00192F38" w:rsidP="00192F38">
            <w:pPr>
              <w:jc w:val="center"/>
              <w:rPr>
                <w:rFonts w:ascii="Arial" w:hAnsi="Arial" w:cs="Arial"/>
                <w:i/>
                <w:sz w:val="20"/>
                <w:szCs w:val="20"/>
              </w:rPr>
            </w:pPr>
            <w:r w:rsidRPr="00D93EB4">
              <w:rPr>
                <w:rFonts w:ascii="Arial" w:hAnsi="Arial" w:cs="Arial"/>
                <w:i/>
                <w:sz w:val="20"/>
                <w:szCs w:val="20"/>
              </w:rPr>
              <w:t>$359,360,000</w:t>
            </w:r>
          </w:p>
        </w:tc>
        <w:tc>
          <w:tcPr>
            <w:tcW w:w="1345" w:type="dxa"/>
            <w:gridSpan w:val="2"/>
            <w:shd w:val="clear" w:color="auto" w:fill="FFFFFF" w:themeFill="background1"/>
            <w:vAlign w:val="center"/>
          </w:tcPr>
          <w:p w14:paraId="72ADFD0F" w14:textId="21FC09F2" w:rsidR="00192F38" w:rsidRPr="00D93EB4" w:rsidRDefault="00192F38" w:rsidP="00192F38">
            <w:pPr>
              <w:jc w:val="center"/>
              <w:rPr>
                <w:rFonts w:ascii="Arial" w:hAnsi="Arial" w:cs="Arial"/>
                <w:i/>
                <w:sz w:val="20"/>
                <w:szCs w:val="20"/>
              </w:rPr>
            </w:pPr>
            <w:r w:rsidRPr="00EA0864">
              <w:rPr>
                <w:rFonts w:ascii="Arial" w:hAnsi="Arial" w:cs="Arial"/>
                <w:i/>
                <w:sz w:val="20"/>
                <w:szCs w:val="20"/>
              </w:rPr>
              <w:t>$383,990,000</w:t>
            </w:r>
          </w:p>
        </w:tc>
        <w:tc>
          <w:tcPr>
            <w:tcW w:w="1345" w:type="dxa"/>
            <w:gridSpan w:val="3"/>
            <w:shd w:val="clear" w:color="auto" w:fill="FFFFFF" w:themeFill="background1"/>
            <w:vAlign w:val="center"/>
          </w:tcPr>
          <w:p w14:paraId="17D21EFD" w14:textId="5D16496D" w:rsidR="00192F38" w:rsidRPr="00D93EB4" w:rsidRDefault="00192F38" w:rsidP="00192F38">
            <w:pPr>
              <w:jc w:val="center"/>
              <w:rPr>
                <w:rFonts w:ascii="Arial" w:hAnsi="Arial" w:cs="Arial"/>
                <w:i/>
                <w:sz w:val="20"/>
                <w:szCs w:val="20"/>
              </w:rPr>
            </w:pPr>
            <w:r w:rsidRPr="00FB2E57">
              <w:rPr>
                <w:rFonts w:ascii="Arial" w:hAnsi="Arial" w:cs="Arial"/>
                <w:i/>
                <w:sz w:val="20"/>
                <w:szCs w:val="20"/>
              </w:rPr>
              <w:t>$405,000,000</w:t>
            </w:r>
          </w:p>
        </w:tc>
        <w:tc>
          <w:tcPr>
            <w:tcW w:w="1344" w:type="dxa"/>
            <w:gridSpan w:val="2"/>
            <w:shd w:val="clear" w:color="auto" w:fill="FFFFFF" w:themeFill="background1"/>
            <w:vAlign w:val="center"/>
          </w:tcPr>
          <w:p w14:paraId="72FB912B" w14:textId="3B0BC37F" w:rsidR="00192F38" w:rsidRPr="006F7E9D" w:rsidRDefault="00192F38" w:rsidP="00192F38">
            <w:pPr>
              <w:jc w:val="center"/>
              <w:rPr>
                <w:rFonts w:ascii="Arial" w:hAnsi="Arial" w:cs="Arial"/>
                <w:i/>
                <w:sz w:val="20"/>
                <w:szCs w:val="20"/>
                <w:highlight w:val="cyan"/>
              </w:rPr>
            </w:pPr>
            <w:r>
              <w:rPr>
                <w:rFonts w:ascii="Arial" w:hAnsi="Arial" w:cs="Arial"/>
                <w:i/>
                <w:sz w:val="20"/>
                <w:szCs w:val="20"/>
              </w:rPr>
              <w:t>$418,125,000</w:t>
            </w:r>
          </w:p>
        </w:tc>
        <w:tc>
          <w:tcPr>
            <w:tcW w:w="1423" w:type="dxa"/>
            <w:gridSpan w:val="2"/>
            <w:shd w:val="clear" w:color="auto" w:fill="auto"/>
            <w:vAlign w:val="center"/>
          </w:tcPr>
          <w:p w14:paraId="37FD26D7" w14:textId="76CACBB9" w:rsidR="00192F38" w:rsidRPr="00D93EB4" w:rsidRDefault="00192F38" w:rsidP="00192F38">
            <w:pPr>
              <w:jc w:val="center"/>
              <w:rPr>
                <w:rFonts w:ascii="Arial" w:hAnsi="Arial" w:cs="Arial"/>
                <w:i/>
                <w:sz w:val="20"/>
                <w:szCs w:val="20"/>
              </w:rPr>
            </w:pPr>
          </w:p>
        </w:tc>
      </w:tr>
      <w:tr w:rsidR="00192F38" w:rsidRPr="007D2843" w14:paraId="457C9FD2" w14:textId="77777777" w:rsidTr="00B4112C">
        <w:trPr>
          <w:gridAfter w:val="1"/>
          <w:wAfter w:w="67" w:type="dxa"/>
          <w:trHeight w:val="305"/>
        </w:trPr>
        <w:tc>
          <w:tcPr>
            <w:tcW w:w="2353" w:type="dxa"/>
            <w:gridSpan w:val="2"/>
            <w:vMerge w:val="restart"/>
          </w:tcPr>
          <w:p w14:paraId="61348995" w14:textId="77777777" w:rsidR="00192F38" w:rsidRPr="007D2843" w:rsidRDefault="00192F38" w:rsidP="00192F38">
            <w:pPr>
              <w:pStyle w:val="ListParagraph"/>
              <w:numPr>
                <w:ilvl w:val="0"/>
                <w:numId w:val="1"/>
              </w:numPr>
              <w:ind w:left="342"/>
              <w:rPr>
                <w:rFonts w:ascii="Arial" w:hAnsi="Arial" w:cs="Arial"/>
                <w:bCs/>
                <w:sz w:val="20"/>
              </w:rPr>
            </w:pPr>
            <w:r w:rsidRPr="007D2843">
              <w:rPr>
                <w:rFonts w:ascii="Arial" w:hAnsi="Arial" w:cs="Arial"/>
                <w:bCs/>
                <w:sz w:val="20"/>
              </w:rPr>
              <w:t>Net Operating Income</w:t>
            </w:r>
          </w:p>
        </w:tc>
        <w:tc>
          <w:tcPr>
            <w:tcW w:w="1003" w:type="dxa"/>
            <w:gridSpan w:val="2"/>
            <w:shd w:val="clear" w:color="auto" w:fill="D9D9D9" w:themeFill="background1" w:themeFillShade="D9"/>
            <w:vAlign w:val="center"/>
          </w:tcPr>
          <w:p w14:paraId="378F0733" w14:textId="77777777" w:rsidR="00192F38" w:rsidRPr="00D93EB4" w:rsidRDefault="00192F38" w:rsidP="00192F38">
            <w:pPr>
              <w:jc w:val="center"/>
              <w:rPr>
                <w:rFonts w:ascii="Arial" w:hAnsi="Arial" w:cs="Arial"/>
                <w:sz w:val="20"/>
                <w:szCs w:val="20"/>
              </w:rPr>
            </w:pPr>
            <w:r w:rsidRPr="00D93EB4">
              <w:rPr>
                <w:rFonts w:ascii="Arial" w:hAnsi="Arial" w:cs="Arial"/>
                <w:sz w:val="20"/>
                <w:szCs w:val="20"/>
              </w:rPr>
              <w:t>actual</w:t>
            </w:r>
          </w:p>
        </w:tc>
        <w:tc>
          <w:tcPr>
            <w:tcW w:w="1340" w:type="dxa"/>
            <w:gridSpan w:val="3"/>
            <w:shd w:val="clear" w:color="auto" w:fill="D9D9D9" w:themeFill="background1" w:themeFillShade="D9"/>
            <w:vAlign w:val="center"/>
          </w:tcPr>
          <w:p w14:paraId="051402DA" w14:textId="3B150CD6" w:rsidR="00192F38" w:rsidRPr="00D93EB4" w:rsidRDefault="00192F38" w:rsidP="00192F38">
            <w:pPr>
              <w:jc w:val="center"/>
              <w:rPr>
                <w:rFonts w:ascii="Arial" w:hAnsi="Arial" w:cs="Arial"/>
                <w:sz w:val="20"/>
                <w:szCs w:val="20"/>
              </w:rPr>
            </w:pPr>
            <w:r>
              <w:rPr>
                <w:rFonts w:ascii="Arial" w:hAnsi="Arial" w:cs="Arial"/>
                <w:sz w:val="20"/>
                <w:szCs w:val="20"/>
              </w:rPr>
              <w:t>$72,366,000</w:t>
            </w:r>
          </w:p>
        </w:tc>
        <w:tc>
          <w:tcPr>
            <w:tcW w:w="1345" w:type="dxa"/>
            <w:gridSpan w:val="2"/>
            <w:shd w:val="clear" w:color="auto" w:fill="D9D9D9" w:themeFill="background1" w:themeFillShade="D9"/>
            <w:vAlign w:val="center"/>
          </w:tcPr>
          <w:p w14:paraId="6BBE1812" w14:textId="319A3A8B" w:rsidR="00192F38" w:rsidRPr="00D93EB4" w:rsidRDefault="00192F38" w:rsidP="00192F38">
            <w:pPr>
              <w:jc w:val="center"/>
              <w:rPr>
                <w:rFonts w:ascii="Arial" w:hAnsi="Arial" w:cs="Arial"/>
                <w:sz w:val="20"/>
                <w:szCs w:val="20"/>
              </w:rPr>
            </w:pPr>
            <w:r w:rsidRPr="00FB2E57">
              <w:rPr>
                <w:rFonts w:ascii="Arial" w:hAnsi="Arial" w:cs="Arial"/>
                <w:sz w:val="20"/>
                <w:szCs w:val="20"/>
              </w:rPr>
              <w:t>$83,</w:t>
            </w:r>
            <w:r>
              <w:rPr>
                <w:rFonts w:ascii="Arial" w:hAnsi="Arial" w:cs="Arial"/>
                <w:sz w:val="20"/>
                <w:szCs w:val="20"/>
              </w:rPr>
              <w:t>044,700</w:t>
            </w:r>
          </w:p>
        </w:tc>
        <w:tc>
          <w:tcPr>
            <w:tcW w:w="1345" w:type="dxa"/>
            <w:gridSpan w:val="3"/>
            <w:shd w:val="clear" w:color="auto" w:fill="D9D9D9" w:themeFill="background1" w:themeFillShade="D9"/>
            <w:vAlign w:val="center"/>
          </w:tcPr>
          <w:p w14:paraId="76AE5130" w14:textId="04C4C74F" w:rsidR="00192F38" w:rsidRPr="00D93EB4" w:rsidRDefault="00192F38" w:rsidP="00192F38">
            <w:pPr>
              <w:jc w:val="center"/>
              <w:rPr>
                <w:rFonts w:ascii="Arial" w:hAnsi="Arial" w:cs="Arial"/>
                <w:sz w:val="20"/>
                <w:szCs w:val="20"/>
              </w:rPr>
            </w:pPr>
            <w:r>
              <w:rPr>
                <w:rFonts w:ascii="Arial" w:hAnsi="Arial" w:cs="Arial"/>
                <w:sz w:val="20"/>
                <w:szCs w:val="20"/>
              </w:rPr>
              <w:t>$84,009,000</w:t>
            </w:r>
          </w:p>
        </w:tc>
        <w:tc>
          <w:tcPr>
            <w:tcW w:w="1344" w:type="dxa"/>
            <w:gridSpan w:val="2"/>
            <w:shd w:val="clear" w:color="auto" w:fill="D9D9D9" w:themeFill="background1" w:themeFillShade="D9"/>
            <w:vAlign w:val="center"/>
          </w:tcPr>
          <w:p w14:paraId="186D98F3" w14:textId="3901EF2C" w:rsidR="00192F38" w:rsidRPr="00FB2E57" w:rsidRDefault="00192F38" w:rsidP="00192F38">
            <w:pPr>
              <w:jc w:val="center"/>
              <w:rPr>
                <w:rFonts w:ascii="Arial" w:hAnsi="Arial" w:cs="Arial"/>
                <w:sz w:val="20"/>
                <w:szCs w:val="20"/>
              </w:rPr>
            </w:pPr>
          </w:p>
        </w:tc>
        <w:tc>
          <w:tcPr>
            <w:tcW w:w="1423" w:type="dxa"/>
            <w:gridSpan w:val="2"/>
            <w:shd w:val="clear" w:color="auto" w:fill="D9D9D9" w:themeFill="background1" w:themeFillShade="D9"/>
            <w:vAlign w:val="center"/>
          </w:tcPr>
          <w:p w14:paraId="3F915527" w14:textId="2627BBD3" w:rsidR="00192F38" w:rsidRPr="00D93EB4" w:rsidRDefault="00192F38" w:rsidP="00192F38">
            <w:pPr>
              <w:jc w:val="center"/>
              <w:rPr>
                <w:rFonts w:ascii="Arial" w:hAnsi="Arial" w:cs="Arial"/>
                <w:sz w:val="20"/>
                <w:szCs w:val="20"/>
              </w:rPr>
            </w:pPr>
          </w:p>
        </w:tc>
      </w:tr>
      <w:tr w:rsidR="00192F38" w:rsidRPr="007D2843" w14:paraId="520E5247" w14:textId="77777777" w:rsidTr="00B4112C">
        <w:trPr>
          <w:gridAfter w:val="1"/>
          <w:wAfter w:w="67" w:type="dxa"/>
          <w:trHeight w:val="288"/>
        </w:trPr>
        <w:tc>
          <w:tcPr>
            <w:tcW w:w="2353" w:type="dxa"/>
            <w:gridSpan w:val="2"/>
            <w:vMerge/>
          </w:tcPr>
          <w:p w14:paraId="590C0F48" w14:textId="77777777" w:rsidR="00192F38" w:rsidRPr="007D2843" w:rsidRDefault="00192F38" w:rsidP="00192F38">
            <w:pPr>
              <w:pStyle w:val="ListParagraph"/>
              <w:numPr>
                <w:ilvl w:val="0"/>
                <w:numId w:val="1"/>
              </w:numPr>
              <w:tabs>
                <w:tab w:val="left" w:pos="2985"/>
              </w:tabs>
              <w:ind w:left="342"/>
              <w:rPr>
                <w:rFonts w:ascii="Arial" w:hAnsi="Arial" w:cs="Arial"/>
                <w:sz w:val="20"/>
              </w:rPr>
            </w:pPr>
          </w:p>
        </w:tc>
        <w:tc>
          <w:tcPr>
            <w:tcW w:w="1003" w:type="dxa"/>
            <w:gridSpan w:val="2"/>
            <w:shd w:val="clear" w:color="auto" w:fill="FFFFFF" w:themeFill="background1"/>
            <w:vAlign w:val="center"/>
          </w:tcPr>
          <w:p w14:paraId="3EB32EBF" w14:textId="77777777" w:rsidR="00192F38" w:rsidRPr="00D93EB4" w:rsidRDefault="00192F38" w:rsidP="00192F38">
            <w:pPr>
              <w:jc w:val="center"/>
              <w:rPr>
                <w:rFonts w:ascii="Arial" w:hAnsi="Arial" w:cs="Arial"/>
                <w:i/>
                <w:sz w:val="20"/>
                <w:szCs w:val="20"/>
              </w:rPr>
            </w:pPr>
            <w:r w:rsidRPr="00D93EB4">
              <w:rPr>
                <w:rFonts w:ascii="Arial" w:hAnsi="Arial" w:cs="Arial"/>
                <w:i/>
                <w:sz w:val="20"/>
                <w:szCs w:val="20"/>
              </w:rPr>
              <w:t>target</w:t>
            </w:r>
          </w:p>
        </w:tc>
        <w:tc>
          <w:tcPr>
            <w:tcW w:w="1340" w:type="dxa"/>
            <w:gridSpan w:val="3"/>
            <w:shd w:val="clear" w:color="auto" w:fill="FFFFFF" w:themeFill="background1"/>
            <w:vAlign w:val="center"/>
          </w:tcPr>
          <w:p w14:paraId="7B153D4F" w14:textId="140D863B" w:rsidR="00192F38" w:rsidRPr="00D93EB4" w:rsidRDefault="00192F38" w:rsidP="00192F38">
            <w:pPr>
              <w:jc w:val="center"/>
              <w:rPr>
                <w:rFonts w:ascii="Arial" w:hAnsi="Arial" w:cs="Arial"/>
                <w:i/>
                <w:sz w:val="20"/>
                <w:szCs w:val="20"/>
              </w:rPr>
            </w:pPr>
            <w:r w:rsidRPr="00D93EB4">
              <w:rPr>
                <w:rFonts w:ascii="Arial" w:hAnsi="Arial" w:cs="Arial"/>
                <w:i/>
                <w:sz w:val="20"/>
                <w:szCs w:val="20"/>
              </w:rPr>
              <w:t>$68,000,000</w:t>
            </w:r>
          </w:p>
        </w:tc>
        <w:tc>
          <w:tcPr>
            <w:tcW w:w="1345" w:type="dxa"/>
            <w:gridSpan w:val="2"/>
            <w:shd w:val="clear" w:color="auto" w:fill="FFFFFF" w:themeFill="background1"/>
            <w:vAlign w:val="center"/>
          </w:tcPr>
          <w:p w14:paraId="78DDFD6D" w14:textId="65E35023" w:rsidR="00192F38" w:rsidRPr="00D93EB4" w:rsidRDefault="00192F38" w:rsidP="00192F38">
            <w:pPr>
              <w:jc w:val="center"/>
              <w:rPr>
                <w:rFonts w:ascii="Arial" w:hAnsi="Arial" w:cs="Arial"/>
                <w:i/>
                <w:sz w:val="20"/>
                <w:szCs w:val="20"/>
              </w:rPr>
            </w:pPr>
            <w:r w:rsidRPr="00EA0864">
              <w:rPr>
                <w:rFonts w:ascii="Arial" w:hAnsi="Arial" w:cs="Arial"/>
                <w:i/>
                <w:sz w:val="20"/>
                <w:szCs w:val="20"/>
              </w:rPr>
              <w:t>$74,000,0000</w:t>
            </w:r>
          </w:p>
        </w:tc>
        <w:tc>
          <w:tcPr>
            <w:tcW w:w="1345" w:type="dxa"/>
            <w:gridSpan w:val="3"/>
            <w:shd w:val="clear" w:color="auto" w:fill="FFFFFF" w:themeFill="background1"/>
            <w:vAlign w:val="center"/>
          </w:tcPr>
          <w:p w14:paraId="77503701" w14:textId="5C862C39" w:rsidR="00192F38" w:rsidRPr="00D93EB4" w:rsidRDefault="00192F38" w:rsidP="00192F38">
            <w:pPr>
              <w:jc w:val="center"/>
              <w:rPr>
                <w:rFonts w:ascii="Arial" w:hAnsi="Arial" w:cs="Arial"/>
                <w:i/>
                <w:sz w:val="20"/>
                <w:szCs w:val="20"/>
              </w:rPr>
            </w:pPr>
            <w:r w:rsidRPr="00FB2E57">
              <w:rPr>
                <w:rFonts w:ascii="Arial" w:hAnsi="Arial" w:cs="Arial"/>
                <w:i/>
                <w:sz w:val="20"/>
                <w:szCs w:val="20"/>
              </w:rPr>
              <w:t>$79,705,000</w:t>
            </w:r>
          </w:p>
        </w:tc>
        <w:tc>
          <w:tcPr>
            <w:tcW w:w="1344" w:type="dxa"/>
            <w:gridSpan w:val="2"/>
            <w:shd w:val="clear" w:color="auto" w:fill="FFFFFF" w:themeFill="background1"/>
            <w:vAlign w:val="center"/>
          </w:tcPr>
          <w:p w14:paraId="5B5B1DAB" w14:textId="225B7AEC" w:rsidR="00192F38" w:rsidRPr="006F7E9D" w:rsidRDefault="00192F38" w:rsidP="00192F38">
            <w:pPr>
              <w:jc w:val="center"/>
              <w:rPr>
                <w:rFonts w:ascii="Arial" w:hAnsi="Arial" w:cs="Arial"/>
                <w:i/>
                <w:sz w:val="20"/>
                <w:szCs w:val="20"/>
                <w:highlight w:val="cyan"/>
              </w:rPr>
            </w:pPr>
            <w:r>
              <w:rPr>
                <w:rFonts w:ascii="Arial" w:hAnsi="Arial" w:cs="Arial"/>
                <w:i/>
                <w:sz w:val="20"/>
                <w:szCs w:val="20"/>
              </w:rPr>
              <w:t>$82,285,000</w:t>
            </w:r>
          </w:p>
        </w:tc>
        <w:tc>
          <w:tcPr>
            <w:tcW w:w="1423" w:type="dxa"/>
            <w:gridSpan w:val="2"/>
            <w:shd w:val="clear" w:color="auto" w:fill="FFFFFF" w:themeFill="background1"/>
            <w:vAlign w:val="center"/>
          </w:tcPr>
          <w:p w14:paraId="518E1026" w14:textId="4A6B1C5B" w:rsidR="00192F38" w:rsidRPr="00D93EB4" w:rsidRDefault="00192F38" w:rsidP="00192F38">
            <w:pPr>
              <w:jc w:val="center"/>
              <w:rPr>
                <w:rFonts w:ascii="Arial" w:hAnsi="Arial" w:cs="Arial"/>
                <w:i/>
                <w:sz w:val="20"/>
                <w:szCs w:val="20"/>
              </w:rPr>
            </w:pPr>
          </w:p>
        </w:tc>
      </w:tr>
      <w:tr w:rsidR="00192F38" w:rsidRPr="007D2843" w14:paraId="1D7C9E18" w14:textId="77777777" w:rsidTr="00B4112C">
        <w:trPr>
          <w:gridAfter w:val="1"/>
          <w:wAfter w:w="67" w:type="dxa"/>
          <w:trHeight w:val="323"/>
        </w:trPr>
        <w:tc>
          <w:tcPr>
            <w:tcW w:w="10153" w:type="dxa"/>
            <w:gridSpan w:val="16"/>
            <w:shd w:val="clear" w:color="auto" w:fill="DBE5F1" w:themeFill="accent1" w:themeFillTint="33"/>
            <w:vAlign w:val="center"/>
          </w:tcPr>
          <w:p w14:paraId="0A774AC8" w14:textId="77777777" w:rsidR="00192F38" w:rsidRPr="00D93EB4" w:rsidRDefault="00192F38" w:rsidP="00192F38">
            <w:pPr>
              <w:rPr>
                <w:rFonts w:ascii="Arial" w:hAnsi="Arial" w:cs="Arial"/>
                <w:b/>
                <w:sz w:val="20"/>
                <w:szCs w:val="20"/>
              </w:rPr>
            </w:pPr>
            <w:r w:rsidRPr="00D93EB4">
              <w:rPr>
                <w:rFonts w:ascii="Arial" w:hAnsi="Arial" w:cs="Arial"/>
                <w:b/>
                <w:sz w:val="20"/>
                <w:szCs w:val="20"/>
              </w:rPr>
              <w:t>Rigorously manage costs</w:t>
            </w:r>
          </w:p>
        </w:tc>
      </w:tr>
      <w:tr w:rsidR="00192F38" w:rsidRPr="007D2843" w14:paraId="5E6A0ABE" w14:textId="77777777" w:rsidTr="00B4112C">
        <w:trPr>
          <w:gridAfter w:val="1"/>
          <w:wAfter w:w="67" w:type="dxa"/>
          <w:trHeight w:val="288"/>
        </w:trPr>
        <w:tc>
          <w:tcPr>
            <w:tcW w:w="2353" w:type="dxa"/>
            <w:gridSpan w:val="2"/>
            <w:vMerge w:val="restart"/>
          </w:tcPr>
          <w:p w14:paraId="50C9C47A" w14:textId="77777777" w:rsidR="00192F38" w:rsidRPr="007D2843" w:rsidRDefault="00192F38" w:rsidP="00192F38">
            <w:pPr>
              <w:pStyle w:val="ListParagraph"/>
              <w:numPr>
                <w:ilvl w:val="0"/>
                <w:numId w:val="1"/>
              </w:numPr>
              <w:ind w:left="342"/>
              <w:rPr>
                <w:rFonts w:ascii="Arial" w:hAnsi="Arial" w:cs="Arial"/>
                <w:bCs/>
                <w:sz w:val="20"/>
              </w:rPr>
            </w:pPr>
            <w:r w:rsidRPr="007D2843">
              <w:rPr>
                <w:rFonts w:ascii="Arial" w:hAnsi="Arial" w:cs="Arial"/>
                <w:bCs/>
                <w:sz w:val="20"/>
              </w:rPr>
              <w:t>Total Operating Expenses</w:t>
            </w:r>
          </w:p>
        </w:tc>
        <w:tc>
          <w:tcPr>
            <w:tcW w:w="1003" w:type="dxa"/>
            <w:gridSpan w:val="2"/>
            <w:shd w:val="clear" w:color="auto" w:fill="D9D9D9" w:themeFill="background1" w:themeFillShade="D9"/>
            <w:vAlign w:val="center"/>
          </w:tcPr>
          <w:p w14:paraId="67835A47" w14:textId="77777777" w:rsidR="00192F38" w:rsidRPr="00D93EB4" w:rsidRDefault="00192F38" w:rsidP="00192F38">
            <w:pPr>
              <w:jc w:val="center"/>
              <w:rPr>
                <w:rFonts w:ascii="Arial" w:hAnsi="Arial" w:cs="Arial"/>
                <w:sz w:val="20"/>
                <w:szCs w:val="20"/>
              </w:rPr>
            </w:pPr>
            <w:r w:rsidRPr="00D93EB4">
              <w:rPr>
                <w:rFonts w:ascii="Arial" w:hAnsi="Arial" w:cs="Arial"/>
                <w:sz w:val="20"/>
                <w:szCs w:val="20"/>
              </w:rPr>
              <w:t>actual</w:t>
            </w:r>
          </w:p>
        </w:tc>
        <w:tc>
          <w:tcPr>
            <w:tcW w:w="1340" w:type="dxa"/>
            <w:gridSpan w:val="3"/>
            <w:shd w:val="clear" w:color="auto" w:fill="D9D9D9" w:themeFill="background1" w:themeFillShade="D9"/>
            <w:vAlign w:val="center"/>
          </w:tcPr>
          <w:p w14:paraId="352B4D74" w14:textId="27F32A9B" w:rsidR="00192F38" w:rsidRPr="00D93EB4" w:rsidRDefault="00192F38" w:rsidP="00192F38">
            <w:pPr>
              <w:jc w:val="center"/>
              <w:rPr>
                <w:rFonts w:ascii="Arial" w:hAnsi="Arial" w:cs="Arial"/>
                <w:sz w:val="20"/>
                <w:szCs w:val="20"/>
              </w:rPr>
            </w:pPr>
            <w:r>
              <w:rPr>
                <w:rFonts w:ascii="Arial" w:hAnsi="Arial" w:cs="Arial"/>
                <w:sz w:val="20"/>
                <w:szCs w:val="20"/>
              </w:rPr>
              <w:t>$304,691,800</w:t>
            </w:r>
          </w:p>
        </w:tc>
        <w:tc>
          <w:tcPr>
            <w:tcW w:w="1345" w:type="dxa"/>
            <w:gridSpan w:val="2"/>
            <w:shd w:val="clear" w:color="auto" w:fill="D9D9D9" w:themeFill="background1" w:themeFillShade="D9"/>
            <w:vAlign w:val="center"/>
          </w:tcPr>
          <w:p w14:paraId="5947380D" w14:textId="36B63C86" w:rsidR="00192F38" w:rsidRPr="00D93EB4" w:rsidRDefault="00192F38" w:rsidP="00192F38">
            <w:pPr>
              <w:jc w:val="center"/>
              <w:rPr>
                <w:rFonts w:ascii="Arial" w:hAnsi="Arial" w:cs="Arial"/>
                <w:sz w:val="20"/>
                <w:szCs w:val="20"/>
              </w:rPr>
            </w:pPr>
            <w:r w:rsidRPr="00FB2E57">
              <w:rPr>
                <w:rFonts w:ascii="Arial" w:hAnsi="Arial" w:cs="Arial"/>
                <w:sz w:val="20"/>
                <w:szCs w:val="20"/>
              </w:rPr>
              <w:t>$339,667,900</w:t>
            </w:r>
          </w:p>
        </w:tc>
        <w:tc>
          <w:tcPr>
            <w:tcW w:w="1345" w:type="dxa"/>
            <w:gridSpan w:val="3"/>
            <w:shd w:val="clear" w:color="auto" w:fill="D9D9D9" w:themeFill="background1" w:themeFillShade="D9"/>
            <w:vAlign w:val="center"/>
          </w:tcPr>
          <w:p w14:paraId="1C3E2D8E" w14:textId="083CADB6" w:rsidR="00192F38" w:rsidRPr="00D93EB4" w:rsidRDefault="00192F38" w:rsidP="00192F38">
            <w:pPr>
              <w:jc w:val="center"/>
              <w:rPr>
                <w:rFonts w:ascii="Arial" w:hAnsi="Arial" w:cs="Arial"/>
                <w:sz w:val="20"/>
                <w:szCs w:val="20"/>
              </w:rPr>
            </w:pPr>
            <w:r>
              <w:rPr>
                <w:rFonts w:ascii="Arial" w:hAnsi="Arial" w:cs="Arial"/>
                <w:sz w:val="20"/>
                <w:szCs w:val="20"/>
              </w:rPr>
              <w:t>$339,565,200</w:t>
            </w:r>
          </w:p>
        </w:tc>
        <w:tc>
          <w:tcPr>
            <w:tcW w:w="1344" w:type="dxa"/>
            <w:gridSpan w:val="2"/>
            <w:shd w:val="clear" w:color="auto" w:fill="D9D9D9" w:themeFill="background1" w:themeFillShade="D9"/>
            <w:vAlign w:val="center"/>
          </w:tcPr>
          <w:p w14:paraId="18666A78" w14:textId="76FEE46A" w:rsidR="00192F38" w:rsidRPr="00D93EB4" w:rsidRDefault="00192F38" w:rsidP="00192F38">
            <w:pPr>
              <w:jc w:val="center"/>
              <w:rPr>
                <w:rFonts w:ascii="Arial" w:hAnsi="Arial" w:cs="Arial"/>
                <w:sz w:val="20"/>
                <w:szCs w:val="20"/>
              </w:rPr>
            </w:pPr>
          </w:p>
        </w:tc>
        <w:tc>
          <w:tcPr>
            <w:tcW w:w="1423" w:type="dxa"/>
            <w:gridSpan w:val="2"/>
            <w:shd w:val="clear" w:color="auto" w:fill="D9D9D9" w:themeFill="background1" w:themeFillShade="D9"/>
            <w:vAlign w:val="center"/>
          </w:tcPr>
          <w:p w14:paraId="2C0F34D1" w14:textId="2D1896D4" w:rsidR="00192F38" w:rsidRPr="00D93EB4" w:rsidRDefault="00192F38" w:rsidP="00192F38">
            <w:pPr>
              <w:jc w:val="center"/>
              <w:rPr>
                <w:rFonts w:ascii="Arial" w:hAnsi="Arial" w:cs="Arial"/>
                <w:sz w:val="20"/>
                <w:szCs w:val="20"/>
              </w:rPr>
            </w:pPr>
          </w:p>
        </w:tc>
      </w:tr>
      <w:tr w:rsidR="00192F38" w:rsidRPr="00E51672" w14:paraId="2980C19B" w14:textId="77777777" w:rsidTr="00B4112C">
        <w:trPr>
          <w:gridAfter w:val="1"/>
          <w:wAfter w:w="67" w:type="dxa"/>
          <w:trHeight w:val="288"/>
        </w:trPr>
        <w:tc>
          <w:tcPr>
            <w:tcW w:w="2353" w:type="dxa"/>
            <w:gridSpan w:val="2"/>
            <w:vMerge/>
          </w:tcPr>
          <w:p w14:paraId="252B0C8B" w14:textId="77777777" w:rsidR="00192F38" w:rsidRPr="007D2843" w:rsidRDefault="00192F38" w:rsidP="00192F38">
            <w:pPr>
              <w:pStyle w:val="ListParagraph"/>
              <w:numPr>
                <w:ilvl w:val="0"/>
                <w:numId w:val="1"/>
              </w:numPr>
              <w:tabs>
                <w:tab w:val="left" w:pos="2985"/>
              </w:tabs>
              <w:ind w:left="342"/>
              <w:rPr>
                <w:rFonts w:ascii="Arial" w:hAnsi="Arial" w:cs="Arial"/>
                <w:sz w:val="20"/>
              </w:rPr>
            </w:pPr>
          </w:p>
        </w:tc>
        <w:tc>
          <w:tcPr>
            <w:tcW w:w="1003" w:type="dxa"/>
            <w:gridSpan w:val="2"/>
            <w:shd w:val="clear" w:color="auto" w:fill="FFFFFF" w:themeFill="background1"/>
            <w:vAlign w:val="center"/>
          </w:tcPr>
          <w:p w14:paraId="7F8CEB16" w14:textId="77777777" w:rsidR="00192F38" w:rsidRPr="00D93EB4" w:rsidRDefault="00192F38" w:rsidP="00192F38">
            <w:pPr>
              <w:jc w:val="center"/>
              <w:rPr>
                <w:rFonts w:ascii="Arial" w:hAnsi="Arial" w:cs="Arial"/>
                <w:i/>
                <w:sz w:val="20"/>
                <w:szCs w:val="20"/>
              </w:rPr>
            </w:pPr>
            <w:r w:rsidRPr="00D93EB4">
              <w:rPr>
                <w:rFonts w:ascii="Arial" w:hAnsi="Arial" w:cs="Arial"/>
                <w:i/>
                <w:sz w:val="20"/>
                <w:szCs w:val="20"/>
              </w:rPr>
              <w:t>target</w:t>
            </w:r>
          </w:p>
        </w:tc>
        <w:tc>
          <w:tcPr>
            <w:tcW w:w="1340" w:type="dxa"/>
            <w:gridSpan w:val="3"/>
            <w:shd w:val="clear" w:color="auto" w:fill="FFFFFF" w:themeFill="background1"/>
            <w:vAlign w:val="center"/>
          </w:tcPr>
          <w:p w14:paraId="5C23ACD7" w14:textId="3C6974FF" w:rsidR="00192F38" w:rsidRPr="00D93EB4" w:rsidRDefault="00192F38" w:rsidP="00192F38">
            <w:pPr>
              <w:jc w:val="center"/>
              <w:rPr>
                <w:rFonts w:ascii="Arial" w:hAnsi="Arial" w:cs="Arial"/>
                <w:i/>
                <w:sz w:val="20"/>
                <w:szCs w:val="20"/>
              </w:rPr>
            </w:pPr>
            <w:r w:rsidRPr="00D93EB4">
              <w:rPr>
                <w:rFonts w:ascii="Arial" w:hAnsi="Arial" w:cs="Arial"/>
                <w:i/>
                <w:sz w:val="20"/>
                <w:szCs w:val="20"/>
              </w:rPr>
              <w:t>$291,360,000</w:t>
            </w:r>
          </w:p>
        </w:tc>
        <w:tc>
          <w:tcPr>
            <w:tcW w:w="1345" w:type="dxa"/>
            <w:gridSpan w:val="2"/>
            <w:shd w:val="clear" w:color="auto" w:fill="FFFFFF" w:themeFill="background1"/>
            <w:vAlign w:val="center"/>
          </w:tcPr>
          <w:p w14:paraId="5FAAAC10" w14:textId="34BA3587" w:rsidR="00192F38" w:rsidRPr="00D93EB4" w:rsidRDefault="00192F38" w:rsidP="00192F38">
            <w:pPr>
              <w:jc w:val="center"/>
              <w:rPr>
                <w:rFonts w:ascii="Arial" w:hAnsi="Arial" w:cs="Arial"/>
                <w:i/>
                <w:sz w:val="20"/>
                <w:szCs w:val="20"/>
              </w:rPr>
            </w:pPr>
            <w:r>
              <w:rPr>
                <w:rFonts w:ascii="Arial" w:hAnsi="Arial" w:cs="Arial"/>
                <w:i/>
                <w:sz w:val="20"/>
                <w:szCs w:val="20"/>
              </w:rPr>
              <w:t>$340,152,800</w:t>
            </w:r>
          </w:p>
        </w:tc>
        <w:tc>
          <w:tcPr>
            <w:tcW w:w="1345" w:type="dxa"/>
            <w:gridSpan w:val="3"/>
            <w:shd w:val="clear" w:color="auto" w:fill="FFFFFF" w:themeFill="background1"/>
            <w:vAlign w:val="center"/>
          </w:tcPr>
          <w:p w14:paraId="3197DA99" w14:textId="66A43C2E" w:rsidR="00192F38" w:rsidRPr="00D93EB4" w:rsidRDefault="00192F38" w:rsidP="00192F38">
            <w:pPr>
              <w:jc w:val="center"/>
              <w:rPr>
                <w:rFonts w:ascii="Arial" w:hAnsi="Arial" w:cs="Arial"/>
                <w:i/>
                <w:sz w:val="20"/>
                <w:szCs w:val="20"/>
              </w:rPr>
            </w:pPr>
            <w:r w:rsidRPr="00FB2E57">
              <w:rPr>
                <w:rFonts w:ascii="Arial" w:hAnsi="Arial" w:cs="Arial"/>
                <w:i/>
                <w:sz w:val="20"/>
                <w:szCs w:val="20"/>
              </w:rPr>
              <w:t>$325,295,000</w:t>
            </w:r>
          </w:p>
        </w:tc>
        <w:tc>
          <w:tcPr>
            <w:tcW w:w="1344" w:type="dxa"/>
            <w:gridSpan w:val="2"/>
            <w:shd w:val="clear" w:color="auto" w:fill="FFFFFF" w:themeFill="background1"/>
            <w:vAlign w:val="center"/>
          </w:tcPr>
          <w:p w14:paraId="29A9F1EE" w14:textId="45A59D22" w:rsidR="00192F38" w:rsidRPr="00D93EB4" w:rsidRDefault="00192F38" w:rsidP="00192F38">
            <w:pPr>
              <w:jc w:val="center"/>
              <w:rPr>
                <w:rFonts w:ascii="Arial" w:hAnsi="Arial" w:cs="Arial"/>
                <w:i/>
                <w:sz w:val="20"/>
                <w:szCs w:val="20"/>
              </w:rPr>
            </w:pPr>
            <w:r>
              <w:rPr>
                <w:rFonts w:ascii="Arial" w:hAnsi="Arial" w:cs="Arial"/>
                <w:i/>
                <w:sz w:val="20"/>
                <w:szCs w:val="20"/>
              </w:rPr>
              <w:t>$335,840,000</w:t>
            </w:r>
          </w:p>
        </w:tc>
        <w:tc>
          <w:tcPr>
            <w:tcW w:w="1423" w:type="dxa"/>
            <w:gridSpan w:val="2"/>
            <w:shd w:val="clear" w:color="auto" w:fill="FFFFFF" w:themeFill="background1"/>
            <w:vAlign w:val="center"/>
          </w:tcPr>
          <w:p w14:paraId="77B302D6" w14:textId="0FC0475A" w:rsidR="00192F38" w:rsidRPr="00D93EB4" w:rsidRDefault="00192F38" w:rsidP="00192F38">
            <w:pPr>
              <w:jc w:val="center"/>
              <w:rPr>
                <w:rFonts w:ascii="Arial" w:hAnsi="Arial" w:cs="Arial"/>
                <w:i/>
                <w:sz w:val="20"/>
                <w:szCs w:val="20"/>
              </w:rPr>
            </w:pPr>
          </w:p>
        </w:tc>
      </w:tr>
      <w:tr w:rsidR="00192F38" w14:paraId="52947A7C" w14:textId="77777777" w:rsidTr="00B411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3"/>
        </w:trPr>
        <w:tc>
          <w:tcPr>
            <w:tcW w:w="1799" w:type="dxa"/>
            <w:tcBorders>
              <w:top w:val="nil"/>
              <w:left w:val="nil"/>
              <w:bottom w:val="nil"/>
              <w:right w:val="nil"/>
            </w:tcBorders>
            <w:shd w:val="clear" w:color="auto" w:fill="auto"/>
            <w:noWrap/>
            <w:vAlign w:val="bottom"/>
            <w:hideMark/>
          </w:tcPr>
          <w:p w14:paraId="39157C2D" w14:textId="77777777" w:rsidR="00192F38" w:rsidRDefault="00192F38" w:rsidP="00192F38">
            <w:pPr>
              <w:rPr>
                <w:sz w:val="20"/>
                <w:szCs w:val="20"/>
              </w:rPr>
            </w:pPr>
          </w:p>
          <w:p w14:paraId="2831C38F" w14:textId="77777777" w:rsidR="00192F38" w:rsidRDefault="00192F38" w:rsidP="00192F38">
            <w:pPr>
              <w:rPr>
                <w:sz w:val="20"/>
                <w:szCs w:val="20"/>
              </w:rPr>
            </w:pPr>
          </w:p>
        </w:tc>
        <w:tc>
          <w:tcPr>
            <w:tcW w:w="928" w:type="dxa"/>
            <w:gridSpan w:val="2"/>
            <w:tcBorders>
              <w:top w:val="nil"/>
              <w:left w:val="nil"/>
              <w:bottom w:val="nil"/>
              <w:right w:val="nil"/>
            </w:tcBorders>
            <w:shd w:val="clear" w:color="auto" w:fill="auto"/>
            <w:noWrap/>
            <w:vAlign w:val="bottom"/>
            <w:hideMark/>
          </w:tcPr>
          <w:p w14:paraId="18280730" w14:textId="77777777" w:rsidR="00192F38" w:rsidRDefault="00192F38" w:rsidP="00192F38">
            <w:pPr>
              <w:rPr>
                <w:sz w:val="20"/>
                <w:szCs w:val="20"/>
              </w:rPr>
            </w:pPr>
          </w:p>
        </w:tc>
        <w:tc>
          <w:tcPr>
            <w:tcW w:w="1856" w:type="dxa"/>
            <w:gridSpan w:val="3"/>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52A885CB" w14:textId="28151727" w:rsidR="00192F38" w:rsidRDefault="00192F38" w:rsidP="00192F38">
            <w:pPr>
              <w:jc w:val="center"/>
              <w:rPr>
                <w:rFonts w:ascii="Arial" w:hAnsi="Arial" w:cs="Arial"/>
                <w:b/>
                <w:bCs/>
                <w:color w:val="000000"/>
                <w:sz w:val="20"/>
                <w:szCs w:val="20"/>
              </w:rPr>
            </w:pPr>
            <w:r>
              <w:rPr>
                <w:rFonts w:ascii="Arial" w:hAnsi="Arial" w:cs="Arial"/>
                <w:b/>
                <w:bCs/>
                <w:color w:val="000000"/>
                <w:sz w:val="20"/>
                <w:szCs w:val="20"/>
              </w:rPr>
              <w:t>FY 2022</w:t>
            </w:r>
          </w:p>
        </w:tc>
        <w:tc>
          <w:tcPr>
            <w:tcW w:w="1856" w:type="dxa"/>
            <w:gridSpan w:val="4"/>
            <w:tcBorders>
              <w:top w:val="single" w:sz="4" w:space="0" w:color="auto"/>
              <w:left w:val="nil"/>
              <w:bottom w:val="single" w:sz="4" w:space="0" w:color="auto"/>
              <w:right w:val="single" w:sz="4" w:space="0" w:color="auto"/>
            </w:tcBorders>
            <w:shd w:val="clear" w:color="000000" w:fill="DDEBF7"/>
            <w:noWrap/>
            <w:vAlign w:val="center"/>
            <w:hideMark/>
          </w:tcPr>
          <w:p w14:paraId="26218FEB" w14:textId="69F0815B" w:rsidR="00192F38" w:rsidRDefault="00192F38" w:rsidP="00192F38">
            <w:pPr>
              <w:jc w:val="center"/>
              <w:rPr>
                <w:rFonts w:ascii="Arial" w:hAnsi="Arial" w:cs="Arial"/>
                <w:b/>
                <w:bCs/>
                <w:color w:val="000000"/>
                <w:sz w:val="20"/>
                <w:szCs w:val="20"/>
              </w:rPr>
            </w:pPr>
            <w:r>
              <w:rPr>
                <w:rFonts w:ascii="Arial" w:hAnsi="Arial" w:cs="Arial"/>
                <w:b/>
                <w:bCs/>
                <w:color w:val="000000"/>
                <w:sz w:val="20"/>
                <w:szCs w:val="20"/>
              </w:rPr>
              <w:t>FY 2023</w:t>
            </w:r>
          </w:p>
        </w:tc>
        <w:tc>
          <w:tcPr>
            <w:tcW w:w="1856" w:type="dxa"/>
            <w:gridSpan w:val="3"/>
            <w:tcBorders>
              <w:top w:val="single" w:sz="4" w:space="0" w:color="auto"/>
              <w:left w:val="nil"/>
              <w:bottom w:val="single" w:sz="4" w:space="0" w:color="auto"/>
              <w:right w:val="single" w:sz="4" w:space="0" w:color="auto"/>
            </w:tcBorders>
            <w:shd w:val="clear" w:color="000000" w:fill="DDEBF7"/>
            <w:noWrap/>
            <w:vAlign w:val="center"/>
            <w:hideMark/>
          </w:tcPr>
          <w:p w14:paraId="709AF5AC" w14:textId="60BD580F" w:rsidR="00192F38" w:rsidRDefault="00192F38" w:rsidP="00192F38">
            <w:pPr>
              <w:jc w:val="center"/>
              <w:rPr>
                <w:rFonts w:ascii="Arial" w:hAnsi="Arial" w:cs="Arial"/>
                <w:b/>
                <w:bCs/>
                <w:color w:val="000000"/>
                <w:sz w:val="20"/>
                <w:szCs w:val="20"/>
              </w:rPr>
            </w:pPr>
            <w:r>
              <w:rPr>
                <w:rFonts w:ascii="Arial" w:hAnsi="Arial" w:cs="Arial"/>
                <w:b/>
                <w:bCs/>
                <w:color w:val="000000"/>
                <w:sz w:val="20"/>
                <w:szCs w:val="20"/>
              </w:rPr>
              <w:t>FY 2024**</w:t>
            </w:r>
          </w:p>
        </w:tc>
        <w:tc>
          <w:tcPr>
            <w:tcW w:w="1925" w:type="dxa"/>
            <w:gridSpan w:val="4"/>
            <w:tcBorders>
              <w:top w:val="single" w:sz="4" w:space="0" w:color="auto"/>
              <w:left w:val="nil"/>
              <w:bottom w:val="single" w:sz="4" w:space="0" w:color="auto"/>
              <w:right w:val="single" w:sz="4" w:space="0" w:color="auto"/>
            </w:tcBorders>
            <w:shd w:val="clear" w:color="000000" w:fill="DDEBF7"/>
            <w:noWrap/>
            <w:vAlign w:val="center"/>
            <w:hideMark/>
          </w:tcPr>
          <w:p w14:paraId="03CFB662" w14:textId="7131AE3F" w:rsidR="00192F38" w:rsidRDefault="00192F38" w:rsidP="00192F38">
            <w:pPr>
              <w:jc w:val="center"/>
              <w:rPr>
                <w:rFonts w:ascii="Arial" w:hAnsi="Arial" w:cs="Arial"/>
                <w:b/>
                <w:bCs/>
                <w:color w:val="000000"/>
                <w:sz w:val="20"/>
                <w:szCs w:val="20"/>
              </w:rPr>
            </w:pPr>
            <w:r w:rsidRPr="001933C8">
              <w:rPr>
                <w:rFonts w:ascii="Arial" w:hAnsi="Arial" w:cs="Arial"/>
                <w:b/>
                <w:bCs/>
                <w:color w:val="000000"/>
                <w:sz w:val="20"/>
                <w:szCs w:val="20"/>
              </w:rPr>
              <w:t>FY 202</w:t>
            </w:r>
            <w:r>
              <w:rPr>
                <w:rFonts w:ascii="Arial" w:hAnsi="Arial" w:cs="Arial"/>
                <w:b/>
                <w:bCs/>
                <w:color w:val="000000"/>
                <w:sz w:val="20"/>
                <w:szCs w:val="20"/>
              </w:rPr>
              <w:t>5</w:t>
            </w:r>
          </w:p>
        </w:tc>
      </w:tr>
      <w:tr w:rsidR="00192F38" w14:paraId="284B9F80" w14:textId="77777777" w:rsidTr="00B411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760"/>
        </w:trPr>
        <w:tc>
          <w:tcPr>
            <w:tcW w:w="2727" w:type="dxa"/>
            <w:gridSpan w:val="3"/>
            <w:tcBorders>
              <w:top w:val="single" w:sz="8" w:space="0" w:color="auto"/>
              <w:left w:val="single" w:sz="8" w:space="0" w:color="auto"/>
              <w:bottom w:val="nil"/>
              <w:right w:val="single" w:sz="8" w:space="0" w:color="000000"/>
            </w:tcBorders>
            <w:shd w:val="clear" w:color="000000" w:fill="000080"/>
            <w:vAlign w:val="center"/>
            <w:hideMark/>
          </w:tcPr>
          <w:p w14:paraId="252BB952" w14:textId="77777777" w:rsidR="00192F38" w:rsidRDefault="00192F38" w:rsidP="00192F38">
            <w:pPr>
              <w:jc w:val="center"/>
              <w:rPr>
                <w:rFonts w:ascii="Arial" w:hAnsi="Arial" w:cs="Arial"/>
                <w:color w:val="FFFFFF"/>
                <w:sz w:val="20"/>
                <w:szCs w:val="20"/>
              </w:rPr>
            </w:pPr>
            <w:r>
              <w:rPr>
                <w:rFonts w:ascii="Arial" w:hAnsi="Arial" w:cs="Arial"/>
                <w:bCs/>
                <w:color w:val="FFFFFF"/>
                <w:sz w:val="20"/>
                <w:szCs w:val="20"/>
              </w:rPr>
              <w:t>Peer Benchmark Performance Measures</w:t>
            </w:r>
          </w:p>
        </w:tc>
        <w:tc>
          <w:tcPr>
            <w:tcW w:w="917" w:type="dxa"/>
            <w:gridSpan w:val="2"/>
            <w:tcBorders>
              <w:top w:val="nil"/>
              <w:left w:val="nil"/>
              <w:bottom w:val="single" w:sz="8" w:space="0" w:color="auto"/>
              <w:right w:val="single" w:sz="8" w:space="0" w:color="auto"/>
            </w:tcBorders>
            <w:shd w:val="clear" w:color="000000" w:fill="000080"/>
            <w:vAlign w:val="center"/>
            <w:hideMark/>
          </w:tcPr>
          <w:p w14:paraId="19714334" w14:textId="77777777" w:rsidR="00192F38" w:rsidRDefault="00192F38" w:rsidP="00192F38">
            <w:pPr>
              <w:jc w:val="center"/>
              <w:rPr>
                <w:rFonts w:ascii="Arial" w:hAnsi="Arial" w:cs="Arial"/>
                <w:color w:val="FFFFFF"/>
                <w:sz w:val="20"/>
                <w:szCs w:val="20"/>
              </w:rPr>
            </w:pPr>
            <w:r>
              <w:rPr>
                <w:rFonts w:ascii="Arial" w:hAnsi="Arial" w:cs="Arial"/>
                <w:bCs/>
                <w:color w:val="FFFFFF"/>
                <w:sz w:val="20"/>
                <w:szCs w:val="20"/>
              </w:rPr>
              <w:t>Peer Group*</w:t>
            </w:r>
          </w:p>
        </w:tc>
        <w:tc>
          <w:tcPr>
            <w:tcW w:w="939" w:type="dxa"/>
            <w:tcBorders>
              <w:top w:val="nil"/>
              <w:left w:val="nil"/>
              <w:bottom w:val="single" w:sz="8" w:space="0" w:color="auto"/>
              <w:right w:val="single" w:sz="8" w:space="0" w:color="auto"/>
            </w:tcBorders>
            <w:shd w:val="clear" w:color="000000" w:fill="000080"/>
            <w:noWrap/>
            <w:vAlign w:val="center"/>
            <w:hideMark/>
          </w:tcPr>
          <w:p w14:paraId="292BCF26" w14:textId="77777777" w:rsidR="00192F38" w:rsidRDefault="00192F38" w:rsidP="00192F38">
            <w:pPr>
              <w:jc w:val="center"/>
              <w:rPr>
                <w:rFonts w:ascii="Arial" w:hAnsi="Arial" w:cs="Arial"/>
                <w:color w:val="FFFFFF"/>
                <w:sz w:val="20"/>
                <w:szCs w:val="20"/>
              </w:rPr>
            </w:pPr>
            <w:r>
              <w:rPr>
                <w:rFonts w:ascii="Arial" w:hAnsi="Arial" w:cs="Arial"/>
                <w:bCs/>
                <w:color w:val="FFFFFF"/>
                <w:sz w:val="20"/>
                <w:szCs w:val="20"/>
              </w:rPr>
              <w:t>Idaho</w:t>
            </w:r>
          </w:p>
        </w:tc>
        <w:tc>
          <w:tcPr>
            <w:tcW w:w="917" w:type="dxa"/>
            <w:gridSpan w:val="2"/>
            <w:tcBorders>
              <w:top w:val="nil"/>
              <w:left w:val="nil"/>
              <w:bottom w:val="single" w:sz="8" w:space="0" w:color="auto"/>
              <w:right w:val="single" w:sz="8" w:space="0" w:color="auto"/>
            </w:tcBorders>
            <w:shd w:val="clear" w:color="000000" w:fill="000080"/>
            <w:vAlign w:val="center"/>
            <w:hideMark/>
          </w:tcPr>
          <w:p w14:paraId="10B6B38F" w14:textId="77777777" w:rsidR="00192F38" w:rsidRDefault="00192F38" w:rsidP="00192F38">
            <w:pPr>
              <w:jc w:val="center"/>
              <w:rPr>
                <w:rFonts w:ascii="Arial" w:hAnsi="Arial" w:cs="Arial"/>
                <w:color w:val="FFFFFF"/>
                <w:sz w:val="20"/>
                <w:szCs w:val="20"/>
              </w:rPr>
            </w:pPr>
            <w:r>
              <w:rPr>
                <w:rFonts w:ascii="Arial" w:hAnsi="Arial" w:cs="Arial"/>
                <w:bCs/>
                <w:color w:val="FFFFFF"/>
                <w:sz w:val="20"/>
                <w:szCs w:val="20"/>
              </w:rPr>
              <w:t>Peer Group*</w:t>
            </w:r>
          </w:p>
        </w:tc>
        <w:tc>
          <w:tcPr>
            <w:tcW w:w="939" w:type="dxa"/>
            <w:gridSpan w:val="2"/>
            <w:tcBorders>
              <w:top w:val="nil"/>
              <w:left w:val="nil"/>
              <w:bottom w:val="nil"/>
              <w:right w:val="nil"/>
            </w:tcBorders>
            <w:shd w:val="clear" w:color="000000" w:fill="000080"/>
            <w:noWrap/>
            <w:vAlign w:val="center"/>
            <w:hideMark/>
          </w:tcPr>
          <w:p w14:paraId="4C1324C1" w14:textId="77777777" w:rsidR="00192F38" w:rsidRDefault="00192F38" w:rsidP="00192F38">
            <w:pPr>
              <w:jc w:val="center"/>
              <w:rPr>
                <w:rFonts w:ascii="Arial" w:hAnsi="Arial" w:cs="Arial"/>
                <w:color w:val="FFFFFF"/>
                <w:sz w:val="20"/>
                <w:szCs w:val="20"/>
              </w:rPr>
            </w:pPr>
            <w:r>
              <w:rPr>
                <w:rFonts w:ascii="Arial" w:hAnsi="Arial" w:cs="Arial"/>
                <w:bCs/>
                <w:color w:val="FFFFFF"/>
                <w:sz w:val="20"/>
                <w:szCs w:val="20"/>
              </w:rPr>
              <w:t>Idaho</w:t>
            </w:r>
          </w:p>
        </w:tc>
        <w:tc>
          <w:tcPr>
            <w:tcW w:w="917" w:type="dxa"/>
            <w:tcBorders>
              <w:top w:val="nil"/>
              <w:left w:val="single" w:sz="8" w:space="0" w:color="auto"/>
              <w:bottom w:val="single" w:sz="8" w:space="0" w:color="auto"/>
              <w:right w:val="single" w:sz="8" w:space="0" w:color="auto"/>
            </w:tcBorders>
            <w:shd w:val="clear" w:color="000000" w:fill="000080"/>
            <w:vAlign w:val="center"/>
            <w:hideMark/>
          </w:tcPr>
          <w:p w14:paraId="1575D59C" w14:textId="77777777" w:rsidR="00192F38" w:rsidRDefault="00192F38" w:rsidP="00192F38">
            <w:pPr>
              <w:jc w:val="center"/>
              <w:rPr>
                <w:rFonts w:ascii="Arial" w:hAnsi="Arial" w:cs="Arial"/>
                <w:color w:val="FFFFFF"/>
                <w:sz w:val="18"/>
                <w:szCs w:val="18"/>
              </w:rPr>
            </w:pPr>
            <w:r w:rsidRPr="00267487">
              <w:rPr>
                <w:rFonts w:ascii="Arial" w:hAnsi="Arial" w:cs="Arial"/>
                <w:bCs/>
                <w:color w:val="FFFFFF"/>
                <w:sz w:val="20"/>
                <w:szCs w:val="20"/>
              </w:rPr>
              <w:t>Peer Group*</w:t>
            </w:r>
          </w:p>
        </w:tc>
        <w:tc>
          <w:tcPr>
            <w:tcW w:w="939" w:type="dxa"/>
            <w:gridSpan w:val="2"/>
            <w:tcBorders>
              <w:top w:val="nil"/>
              <w:left w:val="nil"/>
              <w:bottom w:val="nil"/>
              <w:right w:val="single" w:sz="8" w:space="0" w:color="auto"/>
            </w:tcBorders>
            <w:shd w:val="clear" w:color="000000" w:fill="000080"/>
            <w:noWrap/>
            <w:vAlign w:val="center"/>
            <w:hideMark/>
          </w:tcPr>
          <w:p w14:paraId="64907ED0" w14:textId="77777777" w:rsidR="00192F38" w:rsidRDefault="00192F38" w:rsidP="00192F38">
            <w:pPr>
              <w:jc w:val="center"/>
              <w:rPr>
                <w:rFonts w:ascii="Arial" w:hAnsi="Arial" w:cs="Arial"/>
                <w:color w:val="FFFFFF"/>
                <w:sz w:val="20"/>
                <w:szCs w:val="20"/>
              </w:rPr>
            </w:pPr>
            <w:r>
              <w:rPr>
                <w:rFonts w:ascii="Arial" w:hAnsi="Arial" w:cs="Arial"/>
                <w:bCs/>
                <w:color w:val="FFFFFF"/>
                <w:sz w:val="20"/>
                <w:szCs w:val="20"/>
              </w:rPr>
              <w:t>Idaho</w:t>
            </w:r>
          </w:p>
        </w:tc>
        <w:tc>
          <w:tcPr>
            <w:tcW w:w="986" w:type="dxa"/>
            <w:gridSpan w:val="2"/>
            <w:tcBorders>
              <w:top w:val="nil"/>
              <w:left w:val="nil"/>
              <w:bottom w:val="single" w:sz="8" w:space="0" w:color="auto"/>
              <w:right w:val="single" w:sz="8" w:space="0" w:color="auto"/>
            </w:tcBorders>
            <w:shd w:val="clear" w:color="000000" w:fill="000080"/>
            <w:vAlign w:val="center"/>
            <w:hideMark/>
          </w:tcPr>
          <w:p w14:paraId="165DD3CC" w14:textId="77777777" w:rsidR="00192F38" w:rsidRDefault="00192F38" w:rsidP="00192F38">
            <w:pPr>
              <w:jc w:val="center"/>
              <w:rPr>
                <w:rFonts w:ascii="Arial" w:hAnsi="Arial" w:cs="Arial"/>
                <w:color w:val="FFFFFF"/>
                <w:sz w:val="20"/>
                <w:szCs w:val="20"/>
              </w:rPr>
            </w:pPr>
            <w:r>
              <w:rPr>
                <w:rFonts w:ascii="Arial" w:hAnsi="Arial" w:cs="Arial"/>
                <w:bCs/>
                <w:color w:val="FFFFFF"/>
                <w:sz w:val="20"/>
                <w:szCs w:val="20"/>
              </w:rPr>
              <w:t>Peer Group*</w:t>
            </w:r>
          </w:p>
        </w:tc>
        <w:tc>
          <w:tcPr>
            <w:tcW w:w="939" w:type="dxa"/>
            <w:gridSpan w:val="2"/>
            <w:tcBorders>
              <w:top w:val="nil"/>
              <w:left w:val="nil"/>
              <w:bottom w:val="nil"/>
              <w:right w:val="single" w:sz="8" w:space="0" w:color="auto"/>
            </w:tcBorders>
            <w:shd w:val="clear" w:color="000000" w:fill="000080"/>
            <w:noWrap/>
            <w:vAlign w:val="center"/>
            <w:hideMark/>
          </w:tcPr>
          <w:p w14:paraId="2892F19B" w14:textId="77777777" w:rsidR="00192F38" w:rsidRDefault="00192F38" w:rsidP="00192F38">
            <w:pPr>
              <w:jc w:val="center"/>
              <w:rPr>
                <w:rFonts w:ascii="Arial" w:hAnsi="Arial" w:cs="Arial"/>
                <w:color w:val="FFFFFF"/>
                <w:sz w:val="20"/>
                <w:szCs w:val="20"/>
              </w:rPr>
            </w:pPr>
            <w:r>
              <w:rPr>
                <w:rFonts w:ascii="Arial" w:hAnsi="Arial" w:cs="Arial"/>
                <w:bCs/>
                <w:color w:val="FFFFFF"/>
                <w:sz w:val="20"/>
                <w:szCs w:val="20"/>
              </w:rPr>
              <w:t>Idaho</w:t>
            </w:r>
          </w:p>
        </w:tc>
      </w:tr>
      <w:tr w:rsidR="00192F38" w14:paraId="065748DE" w14:textId="77777777" w:rsidTr="00B411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36"/>
        </w:trPr>
        <w:tc>
          <w:tcPr>
            <w:tcW w:w="17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32C352" w14:textId="7E3A1258" w:rsidR="00192F38" w:rsidRDefault="00192F38" w:rsidP="00192F38">
            <w:pPr>
              <w:ind w:firstLineChars="100" w:firstLine="200"/>
              <w:jc w:val="center"/>
              <w:rPr>
                <w:rFonts w:ascii="Arial" w:hAnsi="Arial" w:cs="Arial"/>
                <w:color w:val="000000"/>
                <w:sz w:val="20"/>
                <w:szCs w:val="20"/>
              </w:rPr>
            </w:pPr>
            <w:r>
              <w:rPr>
                <w:rFonts w:ascii="Arial" w:hAnsi="Arial" w:cs="Arial"/>
                <w:color w:val="000000"/>
                <w:sz w:val="20"/>
                <w:szCs w:val="20"/>
              </w:rPr>
              <w:t>Sales per capita</w:t>
            </w:r>
          </w:p>
        </w:tc>
        <w:tc>
          <w:tcPr>
            <w:tcW w:w="928" w:type="dxa"/>
            <w:gridSpan w:val="2"/>
            <w:tcBorders>
              <w:top w:val="single" w:sz="4" w:space="0" w:color="auto"/>
              <w:left w:val="nil"/>
              <w:bottom w:val="single" w:sz="4" w:space="0" w:color="auto"/>
              <w:right w:val="single" w:sz="4" w:space="0" w:color="auto"/>
            </w:tcBorders>
            <w:shd w:val="clear" w:color="000000" w:fill="D9D9D9"/>
            <w:vAlign w:val="center"/>
            <w:hideMark/>
          </w:tcPr>
          <w:p w14:paraId="4E7C081D" w14:textId="77777777" w:rsidR="00192F38" w:rsidRDefault="00192F38" w:rsidP="00192F38">
            <w:pPr>
              <w:jc w:val="center"/>
              <w:rPr>
                <w:rFonts w:ascii="Arial" w:hAnsi="Arial" w:cs="Arial"/>
                <w:b/>
                <w:bCs/>
                <w:color w:val="000000"/>
                <w:sz w:val="20"/>
                <w:szCs w:val="20"/>
              </w:rPr>
            </w:pPr>
            <w:r>
              <w:rPr>
                <w:rFonts w:ascii="Arial" w:hAnsi="Arial" w:cs="Arial"/>
                <w:b/>
                <w:bCs/>
                <w:color w:val="000000"/>
                <w:sz w:val="20"/>
                <w:szCs w:val="20"/>
              </w:rPr>
              <w:t>actual</w:t>
            </w:r>
          </w:p>
        </w:tc>
        <w:tc>
          <w:tcPr>
            <w:tcW w:w="917" w:type="dxa"/>
            <w:gridSpan w:val="2"/>
            <w:tcBorders>
              <w:top w:val="nil"/>
              <w:left w:val="nil"/>
              <w:bottom w:val="single" w:sz="4" w:space="0" w:color="auto"/>
              <w:right w:val="single" w:sz="4" w:space="0" w:color="auto"/>
            </w:tcBorders>
            <w:shd w:val="clear" w:color="000000" w:fill="D9D9D9"/>
            <w:vAlign w:val="center"/>
          </w:tcPr>
          <w:p w14:paraId="07502CF6" w14:textId="3640D0E6" w:rsidR="00192F38" w:rsidRDefault="00192F38" w:rsidP="00192F38">
            <w:pPr>
              <w:jc w:val="center"/>
              <w:rPr>
                <w:rFonts w:ascii="Arial" w:hAnsi="Arial" w:cs="Arial"/>
                <w:b/>
                <w:bCs/>
                <w:color w:val="000000"/>
                <w:sz w:val="18"/>
                <w:szCs w:val="18"/>
              </w:rPr>
            </w:pPr>
            <w:r w:rsidRPr="00267487">
              <w:rPr>
                <w:rFonts w:ascii="Arial" w:hAnsi="Arial" w:cs="Arial"/>
                <w:b/>
                <w:bCs/>
                <w:color w:val="000000"/>
                <w:sz w:val="18"/>
                <w:szCs w:val="18"/>
              </w:rPr>
              <w:t>$137.59 </w:t>
            </w:r>
          </w:p>
        </w:tc>
        <w:tc>
          <w:tcPr>
            <w:tcW w:w="939" w:type="dxa"/>
            <w:tcBorders>
              <w:top w:val="nil"/>
              <w:left w:val="nil"/>
              <w:bottom w:val="single" w:sz="4" w:space="0" w:color="auto"/>
              <w:right w:val="single" w:sz="4" w:space="0" w:color="auto"/>
            </w:tcBorders>
            <w:shd w:val="clear" w:color="000000" w:fill="D9D9D9"/>
            <w:vAlign w:val="center"/>
          </w:tcPr>
          <w:p w14:paraId="29D9867A" w14:textId="24584AC5" w:rsidR="00192F38" w:rsidRDefault="00192F38" w:rsidP="00192F38">
            <w:pPr>
              <w:jc w:val="center"/>
              <w:rPr>
                <w:rFonts w:ascii="Arial" w:hAnsi="Arial" w:cs="Arial"/>
                <w:b/>
                <w:bCs/>
                <w:color w:val="000000"/>
                <w:sz w:val="18"/>
                <w:szCs w:val="18"/>
              </w:rPr>
            </w:pPr>
            <w:r w:rsidRPr="006C1C08">
              <w:rPr>
                <w:rFonts w:ascii="Arial" w:hAnsi="Arial" w:cs="Arial"/>
                <w:b/>
                <w:bCs/>
                <w:color w:val="000000"/>
                <w:sz w:val="18"/>
                <w:szCs w:val="18"/>
              </w:rPr>
              <w:t>$19</w:t>
            </w:r>
            <w:r>
              <w:rPr>
                <w:rFonts w:ascii="Arial" w:hAnsi="Arial" w:cs="Arial"/>
                <w:b/>
                <w:bCs/>
                <w:color w:val="000000"/>
                <w:sz w:val="18"/>
                <w:szCs w:val="18"/>
              </w:rPr>
              <w:t>4</w:t>
            </w:r>
            <w:r w:rsidRPr="006C1C08">
              <w:rPr>
                <w:rFonts w:ascii="Arial" w:hAnsi="Arial" w:cs="Arial"/>
                <w:b/>
                <w:bCs/>
                <w:color w:val="000000"/>
                <w:sz w:val="18"/>
                <w:szCs w:val="18"/>
              </w:rPr>
              <w:t>.</w:t>
            </w:r>
            <w:r>
              <w:rPr>
                <w:rFonts w:ascii="Arial" w:hAnsi="Arial" w:cs="Arial"/>
                <w:b/>
                <w:bCs/>
                <w:color w:val="000000"/>
                <w:sz w:val="18"/>
                <w:szCs w:val="18"/>
              </w:rPr>
              <w:t>07</w:t>
            </w:r>
            <w:r w:rsidRPr="006C1C08">
              <w:rPr>
                <w:rFonts w:ascii="Arial" w:hAnsi="Arial" w:cs="Arial"/>
                <w:b/>
                <w:bCs/>
                <w:color w:val="000000"/>
                <w:sz w:val="18"/>
                <w:szCs w:val="18"/>
              </w:rPr>
              <w:t xml:space="preserve"> </w:t>
            </w:r>
          </w:p>
        </w:tc>
        <w:tc>
          <w:tcPr>
            <w:tcW w:w="917" w:type="dxa"/>
            <w:gridSpan w:val="2"/>
            <w:tcBorders>
              <w:top w:val="nil"/>
              <w:left w:val="nil"/>
              <w:bottom w:val="single" w:sz="4" w:space="0" w:color="auto"/>
              <w:right w:val="single" w:sz="4" w:space="0" w:color="auto"/>
            </w:tcBorders>
            <w:shd w:val="clear" w:color="000000" w:fill="D9D9D9"/>
            <w:vAlign w:val="center"/>
          </w:tcPr>
          <w:p w14:paraId="1908B723" w14:textId="6A392EAC" w:rsidR="00192F38" w:rsidRDefault="00192F38" w:rsidP="00192F38">
            <w:pPr>
              <w:jc w:val="center"/>
              <w:rPr>
                <w:rFonts w:ascii="Arial" w:hAnsi="Arial" w:cs="Arial"/>
                <w:b/>
                <w:bCs/>
                <w:color w:val="000000"/>
                <w:sz w:val="18"/>
                <w:szCs w:val="18"/>
              </w:rPr>
            </w:pPr>
            <w:r w:rsidRPr="00FC5D14">
              <w:rPr>
                <w:rFonts w:ascii="Arial" w:hAnsi="Arial" w:cs="Arial"/>
                <w:b/>
                <w:bCs/>
                <w:color w:val="000000"/>
                <w:sz w:val="18"/>
                <w:szCs w:val="18"/>
              </w:rPr>
              <w:t>148.13</w:t>
            </w:r>
          </w:p>
        </w:tc>
        <w:tc>
          <w:tcPr>
            <w:tcW w:w="939" w:type="dxa"/>
            <w:gridSpan w:val="2"/>
            <w:tcBorders>
              <w:top w:val="single" w:sz="4" w:space="0" w:color="auto"/>
              <w:left w:val="nil"/>
              <w:bottom w:val="single" w:sz="4" w:space="0" w:color="auto"/>
              <w:right w:val="single" w:sz="4" w:space="0" w:color="auto"/>
            </w:tcBorders>
            <w:shd w:val="clear" w:color="000000" w:fill="D9D9D9"/>
            <w:vAlign w:val="center"/>
          </w:tcPr>
          <w:p w14:paraId="7E6671C2" w14:textId="2EC064C9" w:rsidR="00192F38" w:rsidRDefault="00192F38" w:rsidP="00192F38">
            <w:pPr>
              <w:jc w:val="center"/>
              <w:rPr>
                <w:rFonts w:ascii="Arial" w:hAnsi="Arial" w:cs="Arial"/>
                <w:b/>
                <w:bCs/>
                <w:color w:val="000000"/>
                <w:sz w:val="18"/>
                <w:szCs w:val="18"/>
              </w:rPr>
            </w:pPr>
            <w:r>
              <w:rPr>
                <w:rFonts w:ascii="Arial" w:hAnsi="Arial" w:cs="Arial"/>
                <w:b/>
                <w:bCs/>
                <w:color w:val="000000"/>
                <w:sz w:val="18"/>
                <w:szCs w:val="18"/>
              </w:rPr>
              <w:t>$</w:t>
            </w:r>
            <w:r w:rsidRPr="00FB2E57">
              <w:rPr>
                <w:rFonts w:ascii="Arial" w:hAnsi="Arial" w:cs="Arial"/>
                <w:b/>
                <w:bCs/>
                <w:color w:val="000000"/>
                <w:sz w:val="18"/>
                <w:szCs w:val="18"/>
              </w:rPr>
              <w:t>21</w:t>
            </w:r>
            <w:r>
              <w:rPr>
                <w:rFonts w:ascii="Arial" w:hAnsi="Arial" w:cs="Arial"/>
                <w:b/>
                <w:bCs/>
                <w:color w:val="000000"/>
                <w:sz w:val="18"/>
                <w:szCs w:val="18"/>
              </w:rPr>
              <w:t>5.04</w:t>
            </w:r>
          </w:p>
        </w:tc>
        <w:tc>
          <w:tcPr>
            <w:tcW w:w="917" w:type="dxa"/>
            <w:tcBorders>
              <w:top w:val="nil"/>
              <w:left w:val="nil"/>
              <w:bottom w:val="single" w:sz="4" w:space="0" w:color="auto"/>
              <w:right w:val="single" w:sz="4" w:space="0" w:color="auto"/>
            </w:tcBorders>
            <w:shd w:val="clear" w:color="000000" w:fill="D9D9D9"/>
            <w:vAlign w:val="center"/>
          </w:tcPr>
          <w:p w14:paraId="3B271A96" w14:textId="10EF8EE8" w:rsidR="00192F38" w:rsidRPr="006C1C08" w:rsidRDefault="00192F38" w:rsidP="00192F38">
            <w:pPr>
              <w:jc w:val="center"/>
              <w:rPr>
                <w:rFonts w:ascii="Arial" w:hAnsi="Arial" w:cs="Arial"/>
                <w:b/>
                <w:bCs/>
                <w:color w:val="000000"/>
                <w:sz w:val="18"/>
                <w:szCs w:val="18"/>
                <w:highlight w:val="yellow"/>
              </w:rPr>
            </w:pPr>
          </w:p>
        </w:tc>
        <w:tc>
          <w:tcPr>
            <w:tcW w:w="939" w:type="dxa"/>
            <w:gridSpan w:val="2"/>
            <w:tcBorders>
              <w:top w:val="single" w:sz="4" w:space="0" w:color="auto"/>
              <w:left w:val="nil"/>
              <w:bottom w:val="single" w:sz="4" w:space="0" w:color="auto"/>
              <w:right w:val="single" w:sz="4" w:space="0" w:color="auto"/>
            </w:tcBorders>
            <w:shd w:val="clear" w:color="000000" w:fill="D9D9D9"/>
            <w:vAlign w:val="center"/>
          </w:tcPr>
          <w:p w14:paraId="6633B0C0" w14:textId="25E746DE" w:rsidR="00192F38" w:rsidRPr="006F7E9D" w:rsidRDefault="00192F38" w:rsidP="00192F38">
            <w:pPr>
              <w:jc w:val="center"/>
              <w:rPr>
                <w:rFonts w:ascii="Arial" w:hAnsi="Arial" w:cs="Arial"/>
                <w:b/>
                <w:bCs/>
                <w:color w:val="000000"/>
                <w:sz w:val="18"/>
                <w:szCs w:val="18"/>
                <w:highlight w:val="cyan"/>
              </w:rPr>
            </w:pPr>
            <w:r w:rsidRPr="001933C8">
              <w:rPr>
                <w:rFonts w:ascii="Arial" w:hAnsi="Arial" w:cs="Arial"/>
                <w:b/>
                <w:bCs/>
                <w:color w:val="000000"/>
                <w:sz w:val="18"/>
                <w:szCs w:val="18"/>
              </w:rPr>
              <w:t>$212.80</w:t>
            </w:r>
          </w:p>
        </w:tc>
        <w:tc>
          <w:tcPr>
            <w:tcW w:w="986" w:type="dxa"/>
            <w:gridSpan w:val="2"/>
            <w:tcBorders>
              <w:top w:val="nil"/>
              <w:left w:val="nil"/>
              <w:bottom w:val="single" w:sz="4" w:space="0" w:color="auto"/>
              <w:right w:val="single" w:sz="4" w:space="0" w:color="auto"/>
            </w:tcBorders>
            <w:shd w:val="clear" w:color="000000" w:fill="D9D9D9"/>
            <w:noWrap/>
            <w:vAlign w:val="center"/>
          </w:tcPr>
          <w:p w14:paraId="6810A1CB" w14:textId="0A5DCEF3" w:rsidR="00192F38" w:rsidRPr="006F7E9D" w:rsidRDefault="00192F38" w:rsidP="00192F38">
            <w:pPr>
              <w:jc w:val="center"/>
              <w:rPr>
                <w:rFonts w:ascii="Arial" w:hAnsi="Arial" w:cs="Arial"/>
                <w:b/>
                <w:bCs/>
                <w:color w:val="000000"/>
                <w:sz w:val="18"/>
                <w:szCs w:val="18"/>
                <w:highlight w:val="cyan"/>
              </w:rPr>
            </w:pPr>
          </w:p>
        </w:tc>
        <w:tc>
          <w:tcPr>
            <w:tcW w:w="939" w:type="dxa"/>
            <w:gridSpan w:val="2"/>
            <w:tcBorders>
              <w:top w:val="single" w:sz="4" w:space="0" w:color="auto"/>
              <w:left w:val="nil"/>
              <w:bottom w:val="single" w:sz="4" w:space="0" w:color="auto"/>
              <w:right w:val="single" w:sz="4" w:space="0" w:color="auto"/>
            </w:tcBorders>
            <w:shd w:val="clear" w:color="000000" w:fill="D9D9D9"/>
            <w:noWrap/>
            <w:vAlign w:val="center"/>
          </w:tcPr>
          <w:p w14:paraId="611BE619" w14:textId="401EDFFE" w:rsidR="00192F38" w:rsidRPr="006C1C08" w:rsidRDefault="00192F38" w:rsidP="00192F38">
            <w:pPr>
              <w:jc w:val="center"/>
              <w:rPr>
                <w:rFonts w:ascii="Arial" w:hAnsi="Arial" w:cs="Arial"/>
                <w:b/>
                <w:bCs/>
                <w:color w:val="000000"/>
                <w:sz w:val="18"/>
                <w:szCs w:val="18"/>
                <w:highlight w:val="yellow"/>
              </w:rPr>
            </w:pPr>
          </w:p>
        </w:tc>
      </w:tr>
      <w:tr w:rsidR="00192F38" w14:paraId="26C2091C" w14:textId="77777777" w:rsidTr="00B411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36"/>
        </w:trPr>
        <w:tc>
          <w:tcPr>
            <w:tcW w:w="1799" w:type="dxa"/>
            <w:vMerge/>
            <w:tcBorders>
              <w:top w:val="single" w:sz="4" w:space="0" w:color="auto"/>
              <w:left w:val="single" w:sz="4" w:space="0" w:color="auto"/>
              <w:bottom w:val="single" w:sz="4" w:space="0" w:color="auto"/>
              <w:right w:val="single" w:sz="4" w:space="0" w:color="auto"/>
            </w:tcBorders>
            <w:vAlign w:val="center"/>
            <w:hideMark/>
          </w:tcPr>
          <w:p w14:paraId="5D9322D2" w14:textId="77777777" w:rsidR="00192F38" w:rsidRDefault="00192F38" w:rsidP="00192F38">
            <w:pPr>
              <w:rPr>
                <w:rFonts w:ascii="Arial" w:hAnsi="Arial" w:cs="Arial"/>
                <w:color w:val="000000"/>
                <w:sz w:val="20"/>
                <w:szCs w:val="20"/>
              </w:rPr>
            </w:pPr>
          </w:p>
        </w:tc>
        <w:tc>
          <w:tcPr>
            <w:tcW w:w="928" w:type="dxa"/>
            <w:gridSpan w:val="2"/>
            <w:tcBorders>
              <w:top w:val="nil"/>
              <w:left w:val="nil"/>
              <w:bottom w:val="single" w:sz="4" w:space="0" w:color="auto"/>
              <w:right w:val="single" w:sz="4" w:space="0" w:color="auto"/>
            </w:tcBorders>
            <w:shd w:val="clear" w:color="auto" w:fill="auto"/>
            <w:vAlign w:val="center"/>
            <w:hideMark/>
          </w:tcPr>
          <w:p w14:paraId="70ABB8A3" w14:textId="77777777" w:rsidR="00192F38" w:rsidRDefault="00192F38" w:rsidP="00192F38">
            <w:pPr>
              <w:jc w:val="center"/>
              <w:rPr>
                <w:rFonts w:ascii="Arial" w:hAnsi="Arial" w:cs="Arial"/>
                <w:i/>
                <w:iCs/>
                <w:color w:val="000000"/>
                <w:sz w:val="20"/>
                <w:szCs w:val="20"/>
              </w:rPr>
            </w:pPr>
            <w:r>
              <w:rPr>
                <w:rFonts w:ascii="Arial" w:hAnsi="Arial" w:cs="Arial"/>
                <w:i/>
                <w:iCs/>
                <w:color w:val="000000"/>
                <w:sz w:val="20"/>
                <w:szCs w:val="20"/>
              </w:rPr>
              <w:t>target</w:t>
            </w:r>
          </w:p>
        </w:tc>
        <w:tc>
          <w:tcPr>
            <w:tcW w:w="917" w:type="dxa"/>
            <w:gridSpan w:val="2"/>
            <w:tcBorders>
              <w:top w:val="nil"/>
              <w:left w:val="nil"/>
              <w:bottom w:val="single" w:sz="4" w:space="0" w:color="auto"/>
              <w:right w:val="single" w:sz="4" w:space="0" w:color="auto"/>
            </w:tcBorders>
            <w:shd w:val="clear" w:color="auto" w:fill="auto"/>
            <w:vAlign w:val="center"/>
          </w:tcPr>
          <w:p w14:paraId="06D74A11" w14:textId="34966FF1" w:rsidR="00192F38" w:rsidRDefault="00192F38" w:rsidP="00192F38">
            <w:pPr>
              <w:jc w:val="center"/>
              <w:rPr>
                <w:rFonts w:ascii="Arial" w:hAnsi="Arial" w:cs="Arial"/>
                <w:i/>
                <w:iCs/>
                <w:color w:val="000000"/>
                <w:sz w:val="20"/>
                <w:szCs w:val="20"/>
              </w:rPr>
            </w:pPr>
          </w:p>
        </w:tc>
        <w:tc>
          <w:tcPr>
            <w:tcW w:w="939" w:type="dxa"/>
            <w:tcBorders>
              <w:top w:val="nil"/>
              <w:left w:val="nil"/>
              <w:bottom w:val="single" w:sz="4" w:space="0" w:color="auto"/>
              <w:right w:val="single" w:sz="4" w:space="0" w:color="auto"/>
            </w:tcBorders>
            <w:shd w:val="clear" w:color="000000" w:fill="FFFFFF"/>
            <w:vAlign w:val="center"/>
          </w:tcPr>
          <w:p w14:paraId="0C41239A" w14:textId="69388BAC" w:rsidR="00192F38" w:rsidRDefault="00192F38" w:rsidP="00192F38">
            <w:pPr>
              <w:jc w:val="center"/>
              <w:rPr>
                <w:rFonts w:ascii="Arial" w:hAnsi="Arial" w:cs="Arial"/>
                <w:i/>
                <w:iCs/>
                <w:color w:val="000000"/>
                <w:sz w:val="20"/>
                <w:szCs w:val="20"/>
              </w:rPr>
            </w:pPr>
            <w:r w:rsidRPr="00FB2E57">
              <w:rPr>
                <w:rFonts w:ascii="Arial" w:hAnsi="Arial" w:cs="Arial"/>
                <w:i/>
                <w:iCs/>
                <w:color w:val="000000"/>
                <w:sz w:val="20"/>
                <w:szCs w:val="20"/>
              </w:rPr>
              <w:t>$185.45</w:t>
            </w:r>
          </w:p>
        </w:tc>
        <w:tc>
          <w:tcPr>
            <w:tcW w:w="917" w:type="dxa"/>
            <w:gridSpan w:val="2"/>
            <w:tcBorders>
              <w:top w:val="nil"/>
              <w:left w:val="nil"/>
              <w:bottom w:val="single" w:sz="4" w:space="0" w:color="auto"/>
              <w:right w:val="single" w:sz="4" w:space="0" w:color="auto"/>
            </w:tcBorders>
            <w:shd w:val="clear" w:color="auto" w:fill="auto"/>
            <w:vAlign w:val="center"/>
          </w:tcPr>
          <w:p w14:paraId="39FF91FA" w14:textId="2C26D1BB" w:rsidR="00192F38" w:rsidRDefault="00192F38" w:rsidP="00192F38">
            <w:pPr>
              <w:jc w:val="center"/>
              <w:rPr>
                <w:rFonts w:ascii="Arial" w:hAnsi="Arial" w:cs="Arial"/>
                <w:i/>
                <w:iCs/>
                <w:color w:val="000000"/>
                <w:sz w:val="20"/>
                <w:szCs w:val="20"/>
              </w:rPr>
            </w:pPr>
          </w:p>
        </w:tc>
        <w:tc>
          <w:tcPr>
            <w:tcW w:w="939" w:type="dxa"/>
            <w:gridSpan w:val="2"/>
            <w:tcBorders>
              <w:top w:val="nil"/>
              <w:left w:val="nil"/>
              <w:bottom w:val="single" w:sz="4" w:space="0" w:color="auto"/>
              <w:right w:val="single" w:sz="4" w:space="0" w:color="auto"/>
            </w:tcBorders>
            <w:shd w:val="clear" w:color="000000" w:fill="FFFFFF"/>
            <w:vAlign w:val="center"/>
          </w:tcPr>
          <w:p w14:paraId="1C900528" w14:textId="395344CA" w:rsidR="00192F38" w:rsidRDefault="00192F38" w:rsidP="00192F38">
            <w:pPr>
              <w:jc w:val="center"/>
              <w:rPr>
                <w:rFonts w:ascii="Arial" w:hAnsi="Arial" w:cs="Arial"/>
                <w:i/>
                <w:iCs/>
                <w:color w:val="000000"/>
                <w:sz w:val="20"/>
                <w:szCs w:val="20"/>
              </w:rPr>
            </w:pPr>
            <w:r w:rsidRPr="006669D1">
              <w:rPr>
                <w:rFonts w:ascii="Arial" w:hAnsi="Arial" w:cs="Arial"/>
                <w:i/>
                <w:iCs/>
                <w:color w:val="000000"/>
                <w:sz w:val="20"/>
                <w:szCs w:val="20"/>
              </w:rPr>
              <w:t>$195.44</w:t>
            </w:r>
          </w:p>
        </w:tc>
        <w:tc>
          <w:tcPr>
            <w:tcW w:w="917" w:type="dxa"/>
            <w:tcBorders>
              <w:top w:val="nil"/>
              <w:left w:val="nil"/>
              <w:bottom w:val="single" w:sz="4" w:space="0" w:color="auto"/>
              <w:right w:val="single" w:sz="4" w:space="0" w:color="auto"/>
            </w:tcBorders>
            <w:shd w:val="clear" w:color="auto" w:fill="auto"/>
            <w:vAlign w:val="center"/>
          </w:tcPr>
          <w:p w14:paraId="5C228122" w14:textId="36EF3712" w:rsidR="00192F38" w:rsidRPr="006C1C08" w:rsidRDefault="00192F38" w:rsidP="00192F38">
            <w:pPr>
              <w:rPr>
                <w:rFonts w:ascii="Arial" w:hAnsi="Arial" w:cs="Arial"/>
                <w:color w:val="000000"/>
                <w:sz w:val="20"/>
                <w:szCs w:val="20"/>
                <w:highlight w:val="yellow"/>
              </w:rPr>
            </w:pPr>
          </w:p>
        </w:tc>
        <w:tc>
          <w:tcPr>
            <w:tcW w:w="939" w:type="dxa"/>
            <w:gridSpan w:val="2"/>
            <w:tcBorders>
              <w:top w:val="nil"/>
              <w:left w:val="nil"/>
              <w:bottom w:val="single" w:sz="4" w:space="0" w:color="auto"/>
              <w:right w:val="single" w:sz="4" w:space="0" w:color="auto"/>
            </w:tcBorders>
            <w:shd w:val="clear" w:color="000000" w:fill="FFFFFF"/>
            <w:vAlign w:val="center"/>
          </w:tcPr>
          <w:p w14:paraId="32C0D8A2" w14:textId="4A82C429" w:rsidR="00192F38" w:rsidRPr="006669D1" w:rsidRDefault="00192F38" w:rsidP="00192F38">
            <w:pPr>
              <w:jc w:val="center"/>
              <w:rPr>
                <w:rFonts w:ascii="Arial" w:hAnsi="Arial" w:cs="Arial"/>
                <w:i/>
                <w:iCs/>
                <w:color w:val="000000"/>
                <w:sz w:val="20"/>
                <w:szCs w:val="20"/>
              </w:rPr>
            </w:pPr>
            <w:r w:rsidRPr="00186248">
              <w:rPr>
                <w:rFonts w:ascii="Arial" w:hAnsi="Arial" w:cs="Arial"/>
                <w:i/>
                <w:iCs/>
                <w:color w:val="000000"/>
                <w:sz w:val="20"/>
                <w:szCs w:val="20"/>
              </w:rPr>
              <w:t>$203.47</w:t>
            </w:r>
          </w:p>
        </w:tc>
        <w:tc>
          <w:tcPr>
            <w:tcW w:w="986" w:type="dxa"/>
            <w:gridSpan w:val="2"/>
            <w:tcBorders>
              <w:top w:val="nil"/>
              <w:left w:val="nil"/>
              <w:bottom w:val="single" w:sz="4" w:space="0" w:color="auto"/>
              <w:right w:val="single" w:sz="4" w:space="0" w:color="auto"/>
            </w:tcBorders>
            <w:shd w:val="clear" w:color="auto" w:fill="auto"/>
            <w:noWrap/>
            <w:vAlign w:val="center"/>
          </w:tcPr>
          <w:p w14:paraId="2B438C2E" w14:textId="708063EC" w:rsidR="00192F38" w:rsidRPr="006F7E9D" w:rsidRDefault="00192F38" w:rsidP="00192F38">
            <w:pPr>
              <w:rPr>
                <w:rFonts w:ascii="Arial" w:hAnsi="Arial" w:cs="Arial"/>
                <w:color w:val="000000"/>
                <w:sz w:val="20"/>
                <w:szCs w:val="20"/>
                <w:highlight w:val="cyan"/>
              </w:rPr>
            </w:pPr>
          </w:p>
        </w:tc>
        <w:tc>
          <w:tcPr>
            <w:tcW w:w="939" w:type="dxa"/>
            <w:gridSpan w:val="2"/>
            <w:tcBorders>
              <w:top w:val="nil"/>
              <w:left w:val="nil"/>
              <w:bottom w:val="single" w:sz="4" w:space="0" w:color="auto"/>
              <w:right w:val="single" w:sz="4" w:space="0" w:color="auto"/>
            </w:tcBorders>
            <w:shd w:val="clear" w:color="000000" w:fill="FFFFFF"/>
            <w:vAlign w:val="center"/>
          </w:tcPr>
          <w:p w14:paraId="59658592" w14:textId="747A0D32" w:rsidR="00192F38" w:rsidRPr="006C1C08" w:rsidRDefault="00192F38" w:rsidP="00192F38">
            <w:pPr>
              <w:jc w:val="center"/>
              <w:rPr>
                <w:rFonts w:ascii="Arial" w:hAnsi="Arial" w:cs="Arial"/>
                <w:i/>
                <w:iCs/>
                <w:color w:val="000000"/>
                <w:sz w:val="20"/>
                <w:szCs w:val="20"/>
                <w:highlight w:val="yellow"/>
              </w:rPr>
            </w:pPr>
          </w:p>
        </w:tc>
      </w:tr>
      <w:tr w:rsidR="00192F38" w14:paraId="5C162D21" w14:textId="77777777" w:rsidTr="00B411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36"/>
        </w:trPr>
        <w:tc>
          <w:tcPr>
            <w:tcW w:w="1799" w:type="dxa"/>
            <w:vMerge w:val="restart"/>
            <w:tcBorders>
              <w:top w:val="nil"/>
              <w:left w:val="single" w:sz="4" w:space="0" w:color="auto"/>
              <w:bottom w:val="single" w:sz="4" w:space="0" w:color="auto"/>
              <w:right w:val="single" w:sz="4" w:space="0" w:color="auto"/>
            </w:tcBorders>
            <w:shd w:val="clear" w:color="auto" w:fill="auto"/>
            <w:vAlign w:val="center"/>
            <w:hideMark/>
          </w:tcPr>
          <w:p w14:paraId="7CE42D31" w14:textId="1A688AE3" w:rsidR="00192F38" w:rsidRDefault="00192F38" w:rsidP="00192F38">
            <w:pPr>
              <w:jc w:val="center"/>
              <w:rPr>
                <w:rFonts w:ascii="Arial" w:hAnsi="Arial" w:cs="Arial"/>
                <w:color w:val="000000"/>
                <w:sz w:val="20"/>
                <w:szCs w:val="20"/>
              </w:rPr>
            </w:pPr>
            <w:r>
              <w:rPr>
                <w:rFonts w:ascii="Arial" w:hAnsi="Arial" w:cs="Arial"/>
                <w:color w:val="000000"/>
                <w:sz w:val="20"/>
                <w:szCs w:val="20"/>
              </w:rPr>
              <w:t>Admin costs as a %tage of sales</w:t>
            </w:r>
          </w:p>
        </w:tc>
        <w:tc>
          <w:tcPr>
            <w:tcW w:w="928" w:type="dxa"/>
            <w:gridSpan w:val="2"/>
            <w:tcBorders>
              <w:top w:val="nil"/>
              <w:left w:val="nil"/>
              <w:bottom w:val="single" w:sz="4" w:space="0" w:color="auto"/>
              <w:right w:val="single" w:sz="4" w:space="0" w:color="auto"/>
            </w:tcBorders>
            <w:shd w:val="clear" w:color="000000" w:fill="D9D9D9"/>
            <w:vAlign w:val="center"/>
            <w:hideMark/>
          </w:tcPr>
          <w:p w14:paraId="58A6AF94" w14:textId="77777777" w:rsidR="00192F38" w:rsidRDefault="00192F38" w:rsidP="00192F38">
            <w:pPr>
              <w:jc w:val="center"/>
              <w:rPr>
                <w:rFonts w:ascii="Arial" w:hAnsi="Arial" w:cs="Arial"/>
                <w:b/>
                <w:bCs/>
                <w:color w:val="000000"/>
                <w:sz w:val="20"/>
                <w:szCs w:val="20"/>
              </w:rPr>
            </w:pPr>
            <w:r>
              <w:rPr>
                <w:rFonts w:ascii="Arial" w:hAnsi="Arial" w:cs="Arial"/>
                <w:b/>
                <w:bCs/>
                <w:color w:val="000000"/>
                <w:sz w:val="20"/>
                <w:szCs w:val="20"/>
              </w:rPr>
              <w:t>actual</w:t>
            </w:r>
          </w:p>
        </w:tc>
        <w:tc>
          <w:tcPr>
            <w:tcW w:w="917" w:type="dxa"/>
            <w:gridSpan w:val="2"/>
            <w:tcBorders>
              <w:top w:val="nil"/>
              <w:left w:val="nil"/>
              <w:bottom w:val="single" w:sz="4" w:space="0" w:color="auto"/>
              <w:right w:val="single" w:sz="4" w:space="0" w:color="auto"/>
            </w:tcBorders>
            <w:shd w:val="clear" w:color="000000" w:fill="D9D9D9"/>
            <w:vAlign w:val="center"/>
          </w:tcPr>
          <w:p w14:paraId="0DAAA77F" w14:textId="0BBB559C" w:rsidR="00192F38" w:rsidRDefault="00192F38" w:rsidP="00192F38">
            <w:pPr>
              <w:jc w:val="center"/>
              <w:rPr>
                <w:rFonts w:ascii="Arial" w:hAnsi="Arial" w:cs="Arial"/>
                <w:b/>
                <w:bCs/>
                <w:color w:val="000000"/>
                <w:sz w:val="20"/>
                <w:szCs w:val="20"/>
              </w:rPr>
            </w:pPr>
            <w:r w:rsidRPr="00267487">
              <w:rPr>
                <w:rFonts w:ascii="Arial" w:hAnsi="Arial" w:cs="Arial"/>
                <w:b/>
                <w:bCs/>
                <w:sz w:val="20"/>
                <w:szCs w:val="20"/>
              </w:rPr>
              <w:t>6.6%</w:t>
            </w:r>
          </w:p>
        </w:tc>
        <w:tc>
          <w:tcPr>
            <w:tcW w:w="939" w:type="dxa"/>
            <w:tcBorders>
              <w:top w:val="nil"/>
              <w:left w:val="nil"/>
              <w:bottom w:val="single" w:sz="4" w:space="0" w:color="auto"/>
              <w:right w:val="single" w:sz="4" w:space="0" w:color="auto"/>
            </w:tcBorders>
            <w:shd w:val="clear" w:color="000000" w:fill="D9D9D9"/>
            <w:vAlign w:val="center"/>
          </w:tcPr>
          <w:p w14:paraId="66E867BC" w14:textId="3F759611" w:rsidR="00192F38" w:rsidRPr="00165F59" w:rsidRDefault="00192F38" w:rsidP="00192F38">
            <w:pPr>
              <w:jc w:val="center"/>
              <w:rPr>
                <w:rFonts w:ascii="Arial" w:hAnsi="Arial" w:cs="Arial"/>
                <w:b/>
                <w:bCs/>
                <w:sz w:val="20"/>
                <w:szCs w:val="20"/>
              </w:rPr>
            </w:pPr>
            <w:r w:rsidRPr="006C1C08">
              <w:rPr>
                <w:rFonts w:ascii="Arial" w:hAnsi="Arial" w:cs="Arial"/>
                <w:b/>
                <w:bCs/>
                <w:color w:val="000000"/>
                <w:sz w:val="20"/>
                <w:szCs w:val="20"/>
              </w:rPr>
              <w:t> 5.6%</w:t>
            </w:r>
          </w:p>
        </w:tc>
        <w:tc>
          <w:tcPr>
            <w:tcW w:w="917" w:type="dxa"/>
            <w:gridSpan w:val="2"/>
            <w:tcBorders>
              <w:top w:val="nil"/>
              <w:left w:val="nil"/>
              <w:bottom w:val="single" w:sz="4" w:space="0" w:color="auto"/>
              <w:right w:val="single" w:sz="4" w:space="0" w:color="auto"/>
            </w:tcBorders>
            <w:shd w:val="clear" w:color="000000" w:fill="D9D9D9"/>
            <w:vAlign w:val="center"/>
          </w:tcPr>
          <w:p w14:paraId="7CE084C4" w14:textId="1D0AD495" w:rsidR="00192F38" w:rsidRPr="00165F59" w:rsidRDefault="00192F38" w:rsidP="00192F38">
            <w:pPr>
              <w:jc w:val="center"/>
              <w:rPr>
                <w:rFonts w:ascii="Arial" w:hAnsi="Arial" w:cs="Arial"/>
                <w:b/>
                <w:bCs/>
                <w:sz w:val="20"/>
                <w:szCs w:val="20"/>
              </w:rPr>
            </w:pPr>
            <w:r w:rsidRPr="00FC5D14">
              <w:rPr>
                <w:rFonts w:ascii="Arial" w:hAnsi="Arial" w:cs="Arial"/>
                <w:b/>
                <w:bCs/>
                <w:sz w:val="20"/>
                <w:szCs w:val="20"/>
              </w:rPr>
              <w:t>5.7%</w:t>
            </w:r>
          </w:p>
        </w:tc>
        <w:tc>
          <w:tcPr>
            <w:tcW w:w="939" w:type="dxa"/>
            <w:gridSpan w:val="2"/>
            <w:tcBorders>
              <w:top w:val="nil"/>
              <w:left w:val="nil"/>
              <w:bottom w:val="single" w:sz="4" w:space="0" w:color="auto"/>
              <w:right w:val="single" w:sz="4" w:space="0" w:color="auto"/>
            </w:tcBorders>
            <w:shd w:val="clear" w:color="000000" w:fill="D9D9D9"/>
            <w:vAlign w:val="center"/>
          </w:tcPr>
          <w:p w14:paraId="4C523B81" w14:textId="438A19C4" w:rsidR="00192F38" w:rsidRPr="00165F59" w:rsidRDefault="00192F38" w:rsidP="00192F38">
            <w:pPr>
              <w:jc w:val="center"/>
              <w:rPr>
                <w:rFonts w:ascii="Arial" w:hAnsi="Arial" w:cs="Arial"/>
                <w:b/>
                <w:bCs/>
                <w:sz w:val="20"/>
                <w:szCs w:val="20"/>
              </w:rPr>
            </w:pPr>
            <w:r w:rsidRPr="00267487">
              <w:rPr>
                <w:rFonts w:ascii="Arial" w:hAnsi="Arial" w:cs="Arial"/>
                <w:b/>
                <w:bCs/>
                <w:sz w:val="20"/>
                <w:szCs w:val="20"/>
              </w:rPr>
              <w:t>5.6%</w:t>
            </w:r>
          </w:p>
        </w:tc>
        <w:tc>
          <w:tcPr>
            <w:tcW w:w="917" w:type="dxa"/>
            <w:tcBorders>
              <w:top w:val="nil"/>
              <w:left w:val="nil"/>
              <w:bottom w:val="single" w:sz="4" w:space="0" w:color="auto"/>
              <w:right w:val="single" w:sz="4" w:space="0" w:color="auto"/>
            </w:tcBorders>
            <w:shd w:val="clear" w:color="000000" w:fill="D9D9D9"/>
            <w:vAlign w:val="center"/>
          </w:tcPr>
          <w:p w14:paraId="09C197B6" w14:textId="162D6767" w:rsidR="00192F38" w:rsidRPr="006C1C08" w:rsidRDefault="00192F38" w:rsidP="00192F38">
            <w:pPr>
              <w:jc w:val="center"/>
              <w:rPr>
                <w:rFonts w:ascii="Arial" w:hAnsi="Arial" w:cs="Arial"/>
                <w:b/>
                <w:bCs/>
                <w:sz w:val="20"/>
                <w:szCs w:val="20"/>
                <w:highlight w:val="yellow"/>
              </w:rPr>
            </w:pPr>
          </w:p>
        </w:tc>
        <w:tc>
          <w:tcPr>
            <w:tcW w:w="939" w:type="dxa"/>
            <w:gridSpan w:val="2"/>
            <w:tcBorders>
              <w:top w:val="nil"/>
              <w:left w:val="nil"/>
              <w:bottom w:val="single" w:sz="4" w:space="0" w:color="auto"/>
              <w:right w:val="single" w:sz="4" w:space="0" w:color="auto"/>
            </w:tcBorders>
            <w:shd w:val="clear" w:color="000000" w:fill="D9D9D9"/>
            <w:noWrap/>
            <w:vAlign w:val="center"/>
          </w:tcPr>
          <w:p w14:paraId="62E5DE68" w14:textId="240B528A" w:rsidR="00192F38" w:rsidRPr="006F7E9D" w:rsidRDefault="00192F38" w:rsidP="00192F38">
            <w:pPr>
              <w:jc w:val="center"/>
              <w:rPr>
                <w:rFonts w:ascii="Arial" w:hAnsi="Arial" w:cs="Arial"/>
                <w:b/>
                <w:bCs/>
                <w:sz w:val="20"/>
                <w:szCs w:val="20"/>
                <w:highlight w:val="cyan"/>
              </w:rPr>
            </w:pPr>
            <w:r w:rsidRPr="001933C8">
              <w:rPr>
                <w:rFonts w:ascii="Arial" w:hAnsi="Arial" w:cs="Arial"/>
                <w:b/>
                <w:bCs/>
                <w:color w:val="000000"/>
                <w:sz w:val="20"/>
                <w:szCs w:val="20"/>
              </w:rPr>
              <w:t>5.6%</w:t>
            </w:r>
          </w:p>
        </w:tc>
        <w:tc>
          <w:tcPr>
            <w:tcW w:w="986" w:type="dxa"/>
            <w:gridSpan w:val="2"/>
            <w:tcBorders>
              <w:top w:val="nil"/>
              <w:left w:val="nil"/>
              <w:bottom w:val="single" w:sz="4" w:space="0" w:color="auto"/>
              <w:right w:val="single" w:sz="4" w:space="0" w:color="auto"/>
            </w:tcBorders>
            <w:shd w:val="clear" w:color="000000" w:fill="D9D9D9"/>
            <w:noWrap/>
            <w:vAlign w:val="center"/>
          </w:tcPr>
          <w:p w14:paraId="27922BF3" w14:textId="335F4F1E" w:rsidR="00192F38" w:rsidRPr="006F7E9D" w:rsidRDefault="00192F38" w:rsidP="00192F38">
            <w:pPr>
              <w:rPr>
                <w:rFonts w:ascii="Arial" w:hAnsi="Arial" w:cs="Arial"/>
                <w:color w:val="000000"/>
                <w:sz w:val="20"/>
                <w:szCs w:val="20"/>
                <w:highlight w:val="cyan"/>
              </w:rPr>
            </w:pPr>
          </w:p>
        </w:tc>
        <w:tc>
          <w:tcPr>
            <w:tcW w:w="939" w:type="dxa"/>
            <w:gridSpan w:val="2"/>
            <w:tcBorders>
              <w:top w:val="nil"/>
              <w:left w:val="nil"/>
              <w:bottom w:val="single" w:sz="4" w:space="0" w:color="auto"/>
              <w:right w:val="single" w:sz="4" w:space="0" w:color="auto"/>
            </w:tcBorders>
            <w:shd w:val="clear" w:color="000000" w:fill="D9D9D9"/>
            <w:noWrap/>
            <w:vAlign w:val="center"/>
          </w:tcPr>
          <w:p w14:paraId="2DACDFE5" w14:textId="3671E39F" w:rsidR="00192F38" w:rsidRPr="006C1C08" w:rsidRDefault="00192F38" w:rsidP="00192F38">
            <w:pPr>
              <w:jc w:val="center"/>
              <w:rPr>
                <w:rFonts w:ascii="Arial" w:hAnsi="Arial" w:cs="Arial"/>
                <w:b/>
                <w:bCs/>
                <w:color w:val="000000"/>
                <w:sz w:val="20"/>
                <w:szCs w:val="20"/>
                <w:highlight w:val="yellow"/>
              </w:rPr>
            </w:pPr>
          </w:p>
        </w:tc>
      </w:tr>
      <w:tr w:rsidR="00192F38" w14:paraId="79334896" w14:textId="77777777" w:rsidTr="00B411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36"/>
        </w:trPr>
        <w:tc>
          <w:tcPr>
            <w:tcW w:w="1799" w:type="dxa"/>
            <w:vMerge/>
            <w:tcBorders>
              <w:top w:val="nil"/>
              <w:left w:val="single" w:sz="4" w:space="0" w:color="auto"/>
              <w:bottom w:val="single" w:sz="4" w:space="0" w:color="auto"/>
              <w:right w:val="single" w:sz="4" w:space="0" w:color="auto"/>
            </w:tcBorders>
            <w:vAlign w:val="center"/>
            <w:hideMark/>
          </w:tcPr>
          <w:p w14:paraId="59CE3C21" w14:textId="77777777" w:rsidR="00192F38" w:rsidRDefault="00192F38" w:rsidP="00192F38">
            <w:pPr>
              <w:rPr>
                <w:rFonts w:ascii="Arial" w:hAnsi="Arial" w:cs="Arial"/>
                <w:color w:val="000000"/>
                <w:sz w:val="20"/>
                <w:szCs w:val="20"/>
              </w:rPr>
            </w:pPr>
          </w:p>
        </w:tc>
        <w:tc>
          <w:tcPr>
            <w:tcW w:w="928" w:type="dxa"/>
            <w:gridSpan w:val="2"/>
            <w:tcBorders>
              <w:top w:val="nil"/>
              <w:left w:val="nil"/>
              <w:bottom w:val="single" w:sz="4" w:space="0" w:color="auto"/>
              <w:right w:val="single" w:sz="4" w:space="0" w:color="auto"/>
            </w:tcBorders>
            <w:shd w:val="clear" w:color="auto" w:fill="auto"/>
            <w:vAlign w:val="center"/>
            <w:hideMark/>
          </w:tcPr>
          <w:p w14:paraId="57E5A277" w14:textId="77777777" w:rsidR="00192F38" w:rsidRDefault="00192F38" w:rsidP="00192F38">
            <w:pPr>
              <w:jc w:val="center"/>
              <w:rPr>
                <w:rFonts w:ascii="Arial" w:hAnsi="Arial" w:cs="Arial"/>
                <w:i/>
                <w:iCs/>
                <w:color w:val="000000"/>
                <w:sz w:val="20"/>
                <w:szCs w:val="20"/>
              </w:rPr>
            </w:pPr>
            <w:r>
              <w:rPr>
                <w:rFonts w:ascii="Arial" w:hAnsi="Arial" w:cs="Arial"/>
                <w:i/>
                <w:iCs/>
                <w:color w:val="000000"/>
                <w:sz w:val="20"/>
                <w:szCs w:val="20"/>
              </w:rPr>
              <w:t>target</w:t>
            </w:r>
          </w:p>
        </w:tc>
        <w:tc>
          <w:tcPr>
            <w:tcW w:w="917" w:type="dxa"/>
            <w:gridSpan w:val="2"/>
            <w:tcBorders>
              <w:top w:val="nil"/>
              <w:left w:val="nil"/>
              <w:bottom w:val="single" w:sz="4" w:space="0" w:color="auto"/>
              <w:right w:val="single" w:sz="4" w:space="0" w:color="auto"/>
            </w:tcBorders>
            <w:shd w:val="clear" w:color="auto" w:fill="auto"/>
            <w:vAlign w:val="center"/>
          </w:tcPr>
          <w:p w14:paraId="1F969F53" w14:textId="616A45E8" w:rsidR="00192F38" w:rsidRDefault="00192F38" w:rsidP="00192F38">
            <w:pPr>
              <w:jc w:val="center"/>
              <w:rPr>
                <w:rFonts w:ascii="Arial" w:hAnsi="Arial" w:cs="Arial"/>
                <w:i/>
                <w:iCs/>
                <w:color w:val="000000"/>
                <w:sz w:val="20"/>
                <w:szCs w:val="20"/>
              </w:rPr>
            </w:pPr>
          </w:p>
        </w:tc>
        <w:tc>
          <w:tcPr>
            <w:tcW w:w="939" w:type="dxa"/>
            <w:tcBorders>
              <w:top w:val="nil"/>
              <w:left w:val="nil"/>
              <w:bottom w:val="single" w:sz="4" w:space="0" w:color="auto"/>
              <w:right w:val="single" w:sz="4" w:space="0" w:color="auto"/>
            </w:tcBorders>
            <w:shd w:val="clear" w:color="auto" w:fill="auto"/>
            <w:vAlign w:val="center"/>
          </w:tcPr>
          <w:p w14:paraId="706B02CC" w14:textId="7C5225FA" w:rsidR="00192F38" w:rsidRPr="006669D1" w:rsidRDefault="00192F38" w:rsidP="00192F38">
            <w:pPr>
              <w:jc w:val="center"/>
              <w:rPr>
                <w:rFonts w:ascii="Arial" w:hAnsi="Arial" w:cs="Arial"/>
                <w:i/>
                <w:iCs/>
                <w:color w:val="000000"/>
                <w:sz w:val="20"/>
                <w:szCs w:val="20"/>
              </w:rPr>
            </w:pPr>
            <w:r w:rsidRPr="00FB2E57">
              <w:rPr>
                <w:rFonts w:ascii="Arial" w:hAnsi="Arial" w:cs="Arial"/>
                <w:color w:val="000000"/>
                <w:sz w:val="20"/>
                <w:szCs w:val="20"/>
              </w:rPr>
              <w:t>6.2%</w:t>
            </w:r>
          </w:p>
        </w:tc>
        <w:tc>
          <w:tcPr>
            <w:tcW w:w="917" w:type="dxa"/>
            <w:gridSpan w:val="2"/>
            <w:tcBorders>
              <w:top w:val="nil"/>
              <w:left w:val="nil"/>
              <w:bottom w:val="single" w:sz="4" w:space="0" w:color="auto"/>
              <w:right w:val="single" w:sz="4" w:space="0" w:color="auto"/>
            </w:tcBorders>
            <w:shd w:val="clear" w:color="auto" w:fill="auto"/>
            <w:vAlign w:val="center"/>
          </w:tcPr>
          <w:p w14:paraId="54574F88" w14:textId="55D8F5A5" w:rsidR="00192F38" w:rsidRDefault="00192F38" w:rsidP="00192F38">
            <w:pPr>
              <w:jc w:val="center"/>
              <w:rPr>
                <w:rFonts w:ascii="Arial" w:hAnsi="Arial" w:cs="Arial"/>
                <w:i/>
                <w:iCs/>
                <w:color w:val="000000"/>
                <w:sz w:val="20"/>
                <w:szCs w:val="20"/>
              </w:rPr>
            </w:pPr>
          </w:p>
        </w:tc>
        <w:tc>
          <w:tcPr>
            <w:tcW w:w="939" w:type="dxa"/>
            <w:gridSpan w:val="2"/>
            <w:tcBorders>
              <w:top w:val="nil"/>
              <w:left w:val="nil"/>
              <w:bottom w:val="single" w:sz="4" w:space="0" w:color="auto"/>
              <w:right w:val="single" w:sz="4" w:space="0" w:color="auto"/>
            </w:tcBorders>
            <w:shd w:val="clear" w:color="auto" w:fill="auto"/>
            <w:vAlign w:val="center"/>
          </w:tcPr>
          <w:p w14:paraId="34930553" w14:textId="7687ECD1" w:rsidR="00192F38" w:rsidRDefault="00192F38" w:rsidP="00192F38">
            <w:pPr>
              <w:jc w:val="center"/>
              <w:rPr>
                <w:rFonts w:ascii="Arial" w:hAnsi="Arial" w:cs="Arial"/>
                <w:color w:val="000000"/>
                <w:sz w:val="20"/>
                <w:szCs w:val="20"/>
              </w:rPr>
            </w:pPr>
            <w:r w:rsidRPr="006669D1">
              <w:rPr>
                <w:rFonts w:ascii="Arial" w:hAnsi="Arial" w:cs="Arial"/>
                <w:i/>
                <w:iCs/>
                <w:color w:val="000000"/>
                <w:sz w:val="20"/>
                <w:szCs w:val="20"/>
              </w:rPr>
              <w:t>6.2%</w:t>
            </w:r>
          </w:p>
        </w:tc>
        <w:tc>
          <w:tcPr>
            <w:tcW w:w="917" w:type="dxa"/>
            <w:tcBorders>
              <w:top w:val="nil"/>
              <w:left w:val="nil"/>
              <w:bottom w:val="single" w:sz="4" w:space="0" w:color="auto"/>
              <w:right w:val="single" w:sz="4" w:space="0" w:color="auto"/>
            </w:tcBorders>
            <w:shd w:val="clear" w:color="auto" w:fill="auto"/>
            <w:vAlign w:val="center"/>
          </w:tcPr>
          <w:p w14:paraId="074010BB" w14:textId="122083B6" w:rsidR="00192F38" w:rsidRPr="006C1C08" w:rsidRDefault="00192F38" w:rsidP="00192F38">
            <w:pPr>
              <w:rPr>
                <w:rFonts w:ascii="Arial" w:hAnsi="Arial" w:cs="Arial"/>
                <w:color w:val="000000"/>
                <w:sz w:val="20"/>
                <w:szCs w:val="20"/>
                <w:highlight w:val="yellow"/>
              </w:rPr>
            </w:pPr>
          </w:p>
        </w:tc>
        <w:tc>
          <w:tcPr>
            <w:tcW w:w="939" w:type="dxa"/>
            <w:gridSpan w:val="2"/>
            <w:tcBorders>
              <w:top w:val="nil"/>
              <w:left w:val="nil"/>
              <w:bottom w:val="single" w:sz="4" w:space="0" w:color="auto"/>
              <w:right w:val="single" w:sz="4" w:space="0" w:color="auto"/>
            </w:tcBorders>
            <w:shd w:val="clear" w:color="auto" w:fill="auto"/>
            <w:noWrap/>
            <w:vAlign w:val="center"/>
          </w:tcPr>
          <w:p w14:paraId="3FCE85AA" w14:textId="5794F7A6" w:rsidR="00192F38" w:rsidRPr="006669D1" w:rsidRDefault="00192F38" w:rsidP="00192F38">
            <w:pPr>
              <w:jc w:val="center"/>
              <w:rPr>
                <w:rFonts w:ascii="Arial" w:hAnsi="Arial" w:cs="Arial"/>
                <w:i/>
                <w:iCs/>
                <w:color w:val="000000"/>
                <w:sz w:val="20"/>
                <w:szCs w:val="20"/>
                <w:highlight w:val="cyan"/>
              </w:rPr>
            </w:pPr>
            <w:r w:rsidRPr="00962803">
              <w:rPr>
                <w:rFonts w:ascii="Arial" w:hAnsi="Arial" w:cs="Arial"/>
                <w:color w:val="000000"/>
                <w:sz w:val="20"/>
                <w:szCs w:val="20"/>
              </w:rPr>
              <w:t>6.2%</w:t>
            </w:r>
          </w:p>
        </w:tc>
        <w:tc>
          <w:tcPr>
            <w:tcW w:w="986" w:type="dxa"/>
            <w:gridSpan w:val="2"/>
            <w:tcBorders>
              <w:top w:val="nil"/>
              <w:left w:val="nil"/>
              <w:bottom w:val="single" w:sz="4" w:space="0" w:color="auto"/>
              <w:right w:val="single" w:sz="4" w:space="0" w:color="auto"/>
            </w:tcBorders>
            <w:shd w:val="clear" w:color="auto" w:fill="auto"/>
            <w:noWrap/>
            <w:vAlign w:val="center"/>
          </w:tcPr>
          <w:p w14:paraId="70EA9948" w14:textId="096F682B" w:rsidR="00192F38" w:rsidRPr="006F7E9D" w:rsidRDefault="00192F38" w:rsidP="00192F38">
            <w:pPr>
              <w:rPr>
                <w:rFonts w:ascii="Arial" w:hAnsi="Arial" w:cs="Arial"/>
                <w:color w:val="000000"/>
                <w:sz w:val="20"/>
                <w:szCs w:val="20"/>
                <w:highlight w:val="cyan"/>
              </w:rPr>
            </w:pPr>
          </w:p>
        </w:tc>
        <w:tc>
          <w:tcPr>
            <w:tcW w:w="939" w:type="dxa"/>
            <w:gridSpan w:val="2"/>
            <w:tcBorders>
              <w:top w:val="nil"/>
              <w:left w:val="nil"/>
              <w:bottom w:val="single" w:sz="4" w:space="0" w:color="auto"/>
              <w:right w:val="single" w:sz="4" w:space="0" w:color="auto"/>
            </w:tcBorders>
            <w:shd w:val="clear" w:color="auto" w:fill="auto"/>
            <w:noWrap/>
            <w:vAlign w:val="center"/>
          </w:tcPr>
          <w:p w14:paraId="730746C7" w14:textId="251855CD" w:rsidR="00192F38" w:rsidRPr="006C1C08" w:rsidRDefault="00192F38" w:rsidP="00192F38">
            <w:pPr>
              <w:jc w:val="center"/>
              <w:rPr>
                <w:rFonts w:ascii="Arial" w:hAnsi="Arial" w:cs="Arial"/>
                <w:color w:val="000000"/>
                <w:sz w:val="20"/>
                <w:szCs w:val="20"/>
                <w:highlight w:val="yellow"/>
              </w:rPr>
            </w:pPr>
          </w:p>
        </w:tc>
      </w:tr>
      <w:tr w:rsidR="00192F38" w14:paraId="1E9A704D" w14:textId="77777777" w:rsidTr="00B411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36"/>
        </w:trPr>
        <w:tc>
          <w:tcPr>
            <w:tcW w:w="1799" w:type="dxa"/>
            <w:vMerge w:val="restart"/>
            <w:tcBorders>
              <w:top w:val="nil"/>
              <w:left w:val="single" w:sz="4" w:space="0" w:color="auto"/>
              <w:bottom w:val="single" w:sz="4" w:space="0" w:color="auto"/>
              <w:right w:val="single" w:sz="4" w:space="0" w:color="auto"/>
            </w:tcBorders>
            <w:shd w:val="clear" w:color="auto" w:fill="auto"/>
            <w:vAlign w:val="center"/>
            <w:hideMark/>
          </w:tcPr>
          <w:p w14:paraId="3F748BEB" w14:textId="581B1F51" w:rsidR="00192F38" w:rsidRDefault="00192F38" w:rsidP="00192F38">
            <w:pPr>
              <w:jc w:val="center"/>
              <w:rPr>
                <w:rFonts w:ascii="Arial" w:hAnsi="Arial" w:cs="Arial"/>
                <w:color w:val="000000"/>
                <w:sz w:val="20"/>
                <w:szCs w:val="20"/>
              </w:rPr>
            </w:pPr>
            <w:r>
              <w:rPr>
                <w:rFonts w:ascii="Arial" w:hAnsi="Arial" w:cs="Arial"/>
                <w:color w:val="000000"/>
                <w:sz w:val="20"/>
                <w:szCs w:val="20"/>
              </w:rPr>
              <w:t>Dividends as a %tage of sales</w:t>
            </w:r>
          </w:p>
        </w:tc>
        <w:tc>
          <w:tcPr>
            <w:tcW w:w="928" w:type="dxa"/>
            <w:gridSpan w:val="2"/>
            <w:tcBorders>
              <w:top w:val="nil"/>
              <w:left w:val="nil"/>
              <w:bottom w:val="single" w:sz="4" w:space="0" w:color="auto"/>
              <w:right w:val="single" w:sz="4" w:space="0" w:color="auto"/>
            </w:tcBorders>
            <w:shd w:val="clear" w:color="000000" w:fill="D9D9D9"/>
            <w:vAlign w:val="center"/>
            <w:hideMark/>
          </w:tcPr>
          <w:p w14:paraId="75287FB9" w14:textId="77777777" w:rsidR="00192F38" w:rsidRDefault="00192F38" w:rsidP="00192F38">
            <w:pPr>
              <w:jc w:val="center"/>
              <w:rPr>
                <w:rFonts w:ascii="Arial" w:hAnsi="Arial" w:cs="Arial"/>
                <w:b/>
                <w:bCs/>
                <w:color w:val="000000"/>
                <w:sz w:val="20"/>
                <w:szCs w:val="20"/>
              </w:rPr>
            </w:pPr>
            <w:r>
              <w:rPr>
                <w:rFonts w:ascii="Arial" w:hAnsi="Arial" w:cs="Arial"/>
                <w:b/>
                <w:bCs/>
                <w:color w:val="000000"/>
                <w:sz w:val="20"/>
                <w:szCs w:val="20"/>
              </w:rPr>
              <w:t>actual</w:t>
            </w:r>
          </w:p>
        </w:tc>
        <w:tc>
          <w:tcPr>
            <w:tcW w:w="917" w:type="dxa"/>
            <w:gridSpan w:val="2"/>
            <w:tcBorders>
              <w:top w:val="nil"/>
              <w:left w:val="nil"/>
              <w:bottom w:val="single" w:sz="4" w:space="0" w:color="auto"/>
              <w:right w:val="single" w:sz="4" w:space="0" w:color="auto"/>
            </w:tcBorders>
            <w:shd w:val="clear" w:color="000000" w:fill="D9D9D9"/>
            <w:vAlign w:val="center"/>
          </w:tcPr>
          <w:p w14:paraId="2DB8D5BE" w14:textId="1A68CA75" w:rsidR="00192F38" w:rsidRDefault="00192F38" w:rsidP="00192F38">
            <w:pPr>
              <w:jc w:val="center"/>
              <w:rPr>
                <w:rFonts w:ascii="Arial" w:hAnsi="Arial" w:cs="Arial"/>
                <w:b/>
                <w:bCs/>
                <w:color w:val="000000"/>
                <w:sz w:val="20"/>
                <w:szCs w:val="20"/>
              </w:rPr>
            </w:pPr>
            <w:r w:rsidRPr="00267487">
              <w:rPr>
                <w:rFonts w:ascii="Arial" w:hAnsi="Arial" w:cs="Arial"/>
                <w:b/>
                <w:bCs/>
                <w:color w:val="000000"/>
                <w:sz w:val="20"/>
                <w:szCs w:val="20"/>
              </w:rPr>
              <w:t>23.1%</w:t>
            </w:r>
          </w:p>
        </w:tc>
        <w:tc>
          <w:tcPr>
            <w:tcW w:w="939" w:type="dxa"/>
            <w:tcBorders>
              <w:top w:val="nil"/>
              <w:left w:val="nil"/>
              <w:bottom w:val="single" w:sz="4" w:space="0" w:color="auto"/>
              <w:right w:val="single" w:sz="4" w:space="0" w:color="auto"/>
            </w:tcBorders>
            <w:shd w:val="clear" w:color="000000" w:fill="D9D9D9"/>
            <w:vAlign w:val="center"/>
          </w:tcPr>
          <w:p w14:paraId="26ECA57A" w14:textId="45240C25" w:rsidR="00192F38" w:rsidRDefault="00192F38" w:rsidP="00192F38">
            <w:pPr>
              <w:jc w:val="center"/>
              <w:rPr>
                <w:rFonts w:ascii="Arial" w:hAnsi="Arial" w:cs="Arial"/>
                <w:b/>
                <w:bCs/>
                <w:color w:val="000000"/>
                <w:sz w:val="20"/>
                <w:szCs w:val="20"/>
              </w:rPr>
            </w:pPr>
            <w:r w:rsidRPr="006C1C08">
              <w:rPr>
                <w:rFonts w:ascii="Arial" w:hAnsi="Arial" w:cs="Arial"/>
                <w:b/>
                <w:bCs/>
                <w:color w:val="000000"/>
                <w:sz w:val="20"/>
                <w:szCs w:val="20"/>
              </w:rPr>
              <w:t>19.4%</w:t>
            </w:r>
          </w:p>
        </w:tc>
        <w:tc>
          <w:tcPr>
            <w:tcW w:w="917" w:type="dxa"/>
            <w:gridSpan w:val="2"/>
            <w:tcBorders>
              <w:top w:val="nil"/>
              <w:left w:val="nil"/>
              <w:bottom w:val="single" w:sz="4" w:space="0" w:color="auto"/>
              <w:right w:val="single" w:sz="4" w:space="0" w:color="auto"/>
            </w:tcBorders>
            <w:shd w:val="clear" w:color="000000" w:fill="D9D9D9"/>
            <w:vAlign w:val="center"/>
          </w:tcPr>
          <w:p w14:paraId="5F950FC9" w14:textId="12F2B4FF" w:rsidR="00192F38" w:rsidRDefault="00192F38" w:rsidP="00192F38">
            <w:pPr>
              <w:jc w:val="center"/>
              <w:rPr>
                <w:rFonts w:ascii="Arial" w:hAnsi="Arial" w:cs="Arial"/>
                <w:b/>
                <w:bCs/>
                <w:color w:val="000000"/>
                <w:sz w:val="20"/>
                <w:szCs w:val="20"/>
              </w:rPr>
            </w:pPr>
            <w:r w:rsidRPr="00FC5D14">
              <w:rPr>
                <w:rFonts w:ascii="Arial" w:hAnsi="Arial" w:cs="Arial"/>
                <w:b/>
                <w:bCs/>
                <w:color w:val="000000"/>
                <w:sz w:val="18"/>
                <w:szCs w:val="18"/>
              </w:rPr>
              <w:t>23.7%</w:t>
            </w:r>
          </w:p>
        </w:tc>
        <w:tc>
          <w:tcPr>
            <w:tcW w:w="939" w:type="dxa"/>
            <w:gridSpan w:val="2"/>
            <w:tcBorders>
              <w:top w:val="nil"/>
              <w:left w:val="nil"/>
              <w:bottom w:val="single" w:sz="4" w:space="0" w:color="auto"/>
              <w:right w:val="single" w:sz="4" w:space="0" w:color="auto"/>
            </w:tcBorders>
            <w:shd w:val="clear" w:color="000000" w:fill="D9D9D9"/>
            <w:vAlign w:val="center"/>
          </w:tcPr>
          <w:p w14:paraId="748B8362" w14:textId="04164E0B" w:rsidR="00192F38" w:rsidRDefault="00192F38" w:rsidP="00192F38">
            <w:pPr>
              <w:jc w:val="center"/>
              <w:rPr>
                <w:rFonts w:ascii="Arial" w:hAnsi="Arial" w:cs="Arial"/>
                <w:b/>
                <w:bCs/>
                <w:color w:val="000000"/>
                <w:sz w:val="20"/>
                <w:szCs w:val="20"/>
              </w:rPr>
            </w:pPr>
            <w:r w:rsidRPr="00FB2E57">
              <w:rPr>
                <w:rFonts w:ascii="Arial" w:hAnsi="Arial" w:cs="Arial"/>
                <w:b/>
                <w:bCs/>
                <w:color w:val="000000"/>
                <w:sz w:val="20"/>
                <w:szCs w:val="20"/>
              </w:rPr>
              <w:t>19.4%</w:t>
            </w:r>
          </w:p>
        </w:tc>
        <w:tc>
          <w:tcPr>
            <w:tcW w:w="917" w:type="dxa"/>
            <w:tcBorders>
              <w:top w:val="nil"/>
              <w:left w:val="nil"/>
              <w:bottom w:val="single" w:sz="4" w:space="0" w:color="auto"/>
              <w:right w:val="single" w:sz="4" w:space="0" w:color="auto"/>
            </w:tcBorders>
            <w:shd w:val="clear" w:color="000000" w:fill="D9D9D9"/>
            <w:vAlign w:val="center"/>
          </w:tcPr>
          <w:p w14:paraId="273C3FFD" w14:textId="4A7CA351" w:rsidR="00192F38" w:rsidRPr="006C1C08" w:rsidRDefault="00192F38" w:rsidP="00192F38">
            <w:pPr>
              <w:jc w:val="center"/>
              <w:rPr>
                <w:rFonts w:ascii="Arial" w:hAnsi="Arial" w:cs="Arial"/>
                <w:b/>
                <w:bCs/>
                <w:color w:val="000000"/>
                <w:sz w:val="18"/>
                <w:szCs w:val="18"/>
                <w:highlight w:val="yellow"/>
              </w:rPr>
            </w:pPr>
          </w:p>
        </w:tc>
        <w:tc>
          <w:tcPr>
            <w:tcW w:w="939" w:type="dxa"/>
            <w:gridSpan w:val="2"/>
            <w:tcBorders>
              <w:top w:val="nil"/>
              <w:left w:val="nil"/>
              <w:bottom w:val="single" w:sz="4" w:space="0" w:color="auto"/>
              <w:right w:val="single" w:sz="4" w:space="0" w:color="auto"/>
            </w:tcBorders>
            <w:shd w:val="clear" w:color="000000" w:fill="D9D9D9"/>
            <w:noWrap/>
            <w:vAlign w:val="center"/>
          </w:tcPr>
          <w:p w14:paraId="4D6F8A47" w14:textId="66BCA056" w:rsidR="00192F38" w:rsidRPr="006F7E9D" w:rsidRDefault="00192F38" w:rsidP="00192F38">
            <w:pPr>
              <w:jc w:val="center"/>
              <w:rPr>
                <w:rFonts w:ascii="Arial" w:hAnsi="Arial" w:cs="Arial"/>
                <w:b/>
                <w:bCs/>
                <w:color w:val="000000"/>
                <w:sz w:val="20"/>
                <w:szCs w:val="20"/>
                <w:highlight w:val="cyan"/>
              </w:rPr>
            </w:pPr>
            <w:r w:rsidRPr="001933C8">
              <w:rPr>
                <w:rFonts w:ascii="Arial" w:hAnsi="Arial" w:cs="Arial"/>
                <w:b/>
                <w:bCs/>
                <w:color w:val="000000"/>
                <w:sz w:val="20"/>
                <w:szCs w:val="20"/>
              </w:rPr>
              <w:t>19.8%</w:t>
            </w:r>
          </w:p>
        </w:tc>
        <w:tc>
          <w:tcPr>
            <w:tcW w:w="986" w:type="dxa"/>
            <w:gridSpan w:val="2"/>
            <w:tcBorders>
              <w:top w:val="nil"/>
              <w:left w:val="nil"/>
              <w:bottom w:val="single" w:sz="4" w:space="0" w:color="auto"/>
              <w:right w:val="single" w:sz="4" w:space="0" w:color="auto"/>
            </w:tcBorders>
            <w:shd w:val="clear" w:color="000000" w:fill="D9D9D9"/>
            <w:noWrap/>
            <w:vAlign w:val="center"/>
          </w:tcPr>
          <w:p w14:paraId="4B189691" w14:textId="57C588C7" w:rsidR="00192F38" w:rsidRPr="006F7E9D" w:rsidRDefault="00192F38" w:rsidP="00192F38">
            <w:pPr>
              <w:rPr>
                <w:rFonts w:ascii="Arial" w:hAnsi="Arial" w:cs="Arial"/>
                <w:b/>
                <w:bCs/>
                <w:color w:val="000000"/>
                <w:sz w:val="20"/>
                <w:szCs w:val="20"/>
                <w:highlight w:val="cyan"/>
              </w:rPr>
            </w:pPr>
          </w:p>
        </w:tc>
        <w:tc>
          <w:tcPr>
            <w:tcW w:w="939" w:type="dxa"/>
            <w:gridSpan w:val="2"/>
            <w:tcBorders>
              <w:top w:val="nil"/>
              <w:left w:val="nil"/>
              <w:bottom w:val="single" w:sz="4" w:space="0" w:color="auto"/>
              <w:right w:val="single" w:sz="4" w:space="0" w:color="auto"/>
            </w:tcBorders>
            <w:shd w:val="clear" w:color="000000" w:fill="D9D9D9"/>
            <w:noWrap/>
            <w:vAlign w:val="center"/>
          </w:tcPr>
          <w:p w14:paraId="09550B2D" w14:textId="50FF9542" w:rsidR="00192F38" w:rsidRPr="006C1C08" w:rsidRDefault="00192F38" w:rsidP="00192F38">
            <w:pPr>
              <w:jc w:val="center"/>
              <w:rPr>
                <w:rFonts w:ascii="Arial" w:hAnsi="Arial" w:cs="Arial"/>
                <w:b/>
                <w:bCs/>
                <w:color w:val="000000"/>
                <w:sz w:val="20"/>
                <w:szCs w:val="20"/>
                <w:highlight w:val="yellow"/>
              </w:rPr>
            </w:pPr>
          </w:p>
        </w:tc>
      </w:tr>
      <w:tr w:rsidR="00192F38" w14:paraId="35C6A1A0" w14:textId="77777777" w:rsidTr="00B411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36"/>
        </w:trPr>
        <w:tc>
          <w:tcPr>
            <w:tcW w:w="1799" w:type="dxa"/>
            <w:vMerge/>
            <w:tcBorders>
              <w:top w:val="nil"/>
              <w:left w:val="single" w:sz="4" w:space="0" w:color="auto"/>
              <w:bottom w:val="single" w:sz="4" w:space="0" w:color="auto"/>
              <w:right w:val="single" w:sz="4" w:space="0" w:color="auto"/>
            </w:tcBorders>
            <w:vAlign w:val="center"/>
            <w:hideMark/>
          </w:tcPr>
          <w:p w14:paraId="25D3013B" w14:textId="77777777" w:rsidR="00192F38" w:rsidRDefault="00192F38" w:rsidP="00192F38">
            <w:pPr>
              <w:rPr>
                <w:rFonts w:ascii="Arial" w:hAnsi="Arial" w:cs="Arial"/>
                <w:color w:val="000000"/>
                <w:sz w:val="20"/>
                <w:szCs w:val="20"/>
              </w:rPr>
            </w:pPr>
          </w:p>
        </w:tc>
        <w:tc>
          <w:tcPr>
            <w:tcW w:w="928" w:type="dxa"/>
            <w:gridSpan w:val="2"/>
            <w:tcBorders>
              <w:top w:val="nil"/>
              <w:left w:val="nil"/>
              <w:bottom w:val="single" w:sz="4" w:space="0" w:color="auto"/>
              <w:right w:val="single" w:sz="4" w:space="0" w:color="auto"/>
            </w:tcBorders>
            <w:shd w:val="clear" w:color="auto" w:fill="auto"/>
            <w:vAlign w:val="center"/>
            <w:hideMark/>
          </w:tcPr>
          <w:p w14:paraId="2AE3044F" w14:textId="77777777" w:rsidR="00192F38" w:rsidRDefault="00192F38" w:rsidP="00192F38">
            <w:pPr>
              <w:jc w:val="center"/>
              <w:rPr>
                <w:rFonts w:ascii="Arial" w:hAnsi="Arial" w:cs="Arial"/>
                <w:i/>
                <w:iCs/>
                <w:color w:val="000000"/>
                <w:sz w:val="20"/>
                <w:szCs w:val="20"/>
              </w:rPr>
            </w:pPr>
            <w:r>
              <w:rPr>
                <w:rFonts w:ascii="Arial" w:hAnsi="Arial" w:cs="Arial"/>
                <w:i/>
                <w:iCs/>
                <w:color w:val="000000"/>
                <w:sz w:val="20"/>
                <w:szCs w:val="20"/>
              </w:rPr>
              <w:t>target</w:t>
            </w:r>
          </w:p>
        </w:tc>
        <w:tc>
          <w:tcPr>
            <w:tcW w:w="917" w:type="dxa"/>
            <w:gridSpan w:val="2"/>
            <w:tcBorders>
              <w:top w:val="nil"/>
              <w:left w:val="nil"/>
              <w:bottom w:val="single" w:sz="4" w:space="0" w:color="auto"/>
              <w:right w:val="single" w:sz="4" w:space="0" w:color="auto"/>
            </w:tcBorders>
            <w:shd w:val="clear" w:color="auto" w:fill="auto"/>
            <w:vAlign w:val="center"/>
          </w:tcPr>
          <w:p w14:paraId="6229164D" w14:textId="6D5FE0C0" w:rsidR="00192F38" w:rsidRDefault="00192F38" w:rsidP="00192F38">
            <w:pPr>
              <w:jc w:val="center"/>
              <w:rPr>
                <w:rFonts w:ascii="Arial" w:hAnsi="Arial" w:cs="Arial"/>
                <w:i/>
                <w:iCs/>
                <w:color w:val="000000"/>
                <w:sz w:val="20"/>
                <w:szCs w:val="20"/>
              </w:rPr>
            </w:pPr>
          </w:p>
        </w:tc>
        <w:tc>
          <w:tcPr>
            <w:tcW w:w="939" w:type="dxa"/>
            <w:tcBorders>
              <w:top w:val="nil"/>
              <w:left w:val="nil"/>
              <w:bottom w:val="single" w:sz="4" w:space="0" w:color="auto"/>
              <w:right w:val="single" w:sz="4" w:space="0" w:color="auto"/>
            </w:tcBorders>
            <w:shd w:val="clear" w:color="000000" w:fill="FFFFFF"/>
            <w:vAlign w:val="center"/>
          </w:tcPr>
          <w:p w14:paraId="5D496C60" w14:textId="7376E814" w:rsidR="00192F38" w:rsidRDefault="00192F38" w:rsidP="00192F38">
            <w:pPr>
              <w:jc w:val="center"/>
              <w:rPr>
                <w:rFonts w:ascii="Arial" w:hAnsi="Arial" w:cs="Arial"/>
                <w:i/>
                <w:iCs/>
                <w:color w:val="000000"/>
                <w:sz w:val="20"/>
                <w:szCs w:val="20"/>
              </w:rPr>
            </w:pPr>
            <w:r w:rsidRPr="00FB2E57">
              <w:rPr>
                <w:rFonts w:ascii="Arial" w:hAnsi="Arial" w:cs="Arial"/>
                <w:i/>
                <w:iCs/>
                <w:color w:val="000000"/>
                <w:sz w:val="20"/>
                <w:szCs w:val="20"/>
              </w:rPr>
              <w:t>19.</w:t>
            </w:r>
            <w:r>
              <w:rPr>
                <w:rFonts w:ascii="Arial" w:hAnsi="Arial" w:cs="Arial"/>
                <w:i/>
                <w:iCs/>
                <w:color w:val="000000"/>
                <w:sz w:val="20"/>
                <w:szCs w:val="20"/>
              </w:rPr>
              <w:t>3</w:t>
            </w:r>
            <w:r w:rsidRPr="00FB2E57">
              <w:rPr>
                <w:rFonts w:ascii="Arial" w:hAnsi="Arial" w:cs="Arial"/>
                <w:i/>
                <w:iCs/>
                <w:color w:val="000000"/>
                <w:sz w:val="20"/>
                <w:szCs w:val="20"/>
              </w:rPr>
              <w:t>%</w:t>
            </w:r>
          </w:p>
        </w:tc>
        <w:tc>
          <w:tcPr>
            <w:tcW w:w="917" w:type="dxa"/>
            <w:gridSpan w:val="2"/>
            <w:tcBorders>
              <w:top w:val="nil"/>
              <w:left w:val="nil"/>
              <w:bottom w:val="single" w:sz="4" w:space="0" w:color="auto"/>
              <w:right w:val="single" w:sz="4" w:space="0" w:color="auto"/>
            </w:tcBorders>
            <w:shd w:val="clear" w:color="auto" w:fill="auto"/>
            <w:vAlign w:val="center"/>
          </w:tcPr>
          <w:p w14:paraId="64CF87FF" w14:textId="478F1181" w:rsidR="00192F38" w:rsidRDefault="00192F38" w:rsidP="00192F38">
            <w:pPr>
              <w:jc w:val="center"/>
              <w:rPr>
                <w:rFonts w:ascii="Arial" w:hAnsi="Arial" w:cs="Arial"/>
                <w:i/>
                <w:iCs/>
                <w:color w:val="000000"/>
                <w:sz w:val="20"/>
                <w:szCs w:val="20"/>
              </w:rPr>
            </w:pPr>
          </w:p>
        </w:tc>
        <w:tc>
          <w:tcPr>
            <w:tcW w:w="939" w:type="dxa"/>
            <w:gridSpan w:val="2"/>
            <w:tcBorders>
              <w:top w:val="nil"/>
              <w:left w:val="nil"/>
              <w:bottom w:val="single" w:sz="4" w:space="0" w:color="auto"/>
              <w:right w:val="single" w:sz="4" w:space="0" w:color="auto"/>
            </w:tcBorders>
            <w:shd w:val="clear" w:color="000000" w:fill="FFFFFF"/>
            <w:vAlign w:val="center"/>
          </w:tcPr>
          <w:p w14:paraId="08A13BC6" w14:textId="33B22ED1" w:rsidR="00192F38" w:rsidRDefault="00192F38" w:rsidP="00192F38">
            <w:pPr>
              <w:jc w:val="center"/>
              <w:rPr>
                <w:rFonts w:ascii="Arial" w:hAnsi="Arial" w:cs="Arial"/>
                <w:i/>
                <w:iCs/>
                <w:color w:val="000000"/>
                <w:sz w:val="20"/>
                <w:szCs w:val="20"/>
              </w:rPr>
            </w:pPr>
            <w:r w:rsidRPr="006669D1">
              <w:rPr>
                <w:rFonts w:ascii="Arial" w:hAnsi="Arial" w:cs="Arial"/>
                <w:i/>
                <w:iCs/>
                <w:color w:val="000000"/>
                <w:sz w:val="20"/>
                <w:szCs w:val="20"/>
              </w:rPr>
              <w:t>19.5%</w:t>
            </w:r>
          </w:p>
        </w:tc>
        <w:tc>
          <w:tcPr>
            <w:tcW w:w="917" w:type="dxa"/>
            <w:tcBorders>
              <w:top w:val="nil"/>
              <w:left w:val="nil"/>
              <w:bottom w:val="single" w:sz="4" w:space="0" w:color="auto"/>
              <w:right w:val="single" w:sz="4" w:space="0" w:color="auto"/>
            </w:tcBorders>
            <w:shd w:val="clear" w:color="auto" w:fill="auto"/>
            <w:vAlign w:val="center"/>
          </w:tcPr>
          <w:p w14:paraId="2C7ED141" w14:textId="04698C40" w:rsidR="00192F38" w:rsidRPr="006C1C08" w:rsidRDefault="00192F38" w:rsidP="00192F38">
            <w:pPr>
              <w:rPr>
                <w:rFonts w:ascii="Arial" w:hAnsi="Arial" w:cs="Arial"/>
                <w:color w:val="000000"/>
                <w:sz w:val="20"/>
                <w:szCs w:val="20"/>
                <w:highlight w:val="yellow"/>
              </w:rPr>
            </w:pPr>
          </w:p>
        </w:tc>
        <w:tc>
          <w:tcPr>
            <w:tcW w:w="939" w:type="dxa"/>
            <w:gridSpan w:val="2"/>
            <w:tcBorders>
              <w:top w:val="nil"/>
              <w:left w:val="nil"/>
              <w:bottom w:val="single" w:sz="4" w:space="0" w:color="auto"/>
              <w:right w:val="single" w:sz="4" w:space="0" w:color="auto"/>
            </w:tcBorders>
            <w:shd w:val="clear" w:color="000000" w:fill="FFFFFF"/>
            <w:vAlign w:val="center"/>
          </w:tcPr>
          <w:p w14:paraId="182E788B" w14:textId="55BAE2F6" w:rsidR="00192F38" w:rsidRPr="006669D1" w:rsidRDefault="00192F38" w:rsidP="00192F38">
            <w:pPr>
              <w:jc w:val="center"/>
              <w:rPr>
                <w:rFonts w:ascii="Arial" w:hAnsi="Arial" w:cs="Arial"/>
                <w:i/>
                <w:iCs/>
                <w:color w:val="000000"/>
                <w:sz w:val="20"/>
                <w:szCs w:val="20"/>
                <w:highlight w:val="cyan"/>
              </w:rPr>
            </w:pPr>
            <w:r w:rsidRPr="00A93648">
              <w:rPr>
                <w:rFonts w:ascii="Arial" w:hAnsi="Arial" w:cs="Arial"/>
                <w:i/>
                <w:iCs/>
                <w:color w:val="000000"/>
                <w:sz w:val="20"/>
                <w:szCs w:val="20"/>
              </w:rPr>
              <w:t>19.5%</w:t>
            </w:r>
          </w:p>
        </w:tc>
        <w:tc>
          <w:tcPr>
            <w:tcW w:w="986" w:type="dxa"/>
            <w:gridSpan w:val="2"/>
            <w:tcBorders>
              <w:top w:val="nil"/>
              <w:left w:val="nil"/>
              <w:bottom w:val="single" w:sz="4" w:space="0" w:color="auto"/>
              <w:right w:val="single" w:sz="4" w:space="0" w:color="auto"/>
            </w:tcBorders>
            <w:shd w:val="clear" w:color="auto" w:fill="auto"/>
            <w:noWrap/>
            <w:vAlign w:val="center"/>
          </w:tcPr>
          <w:p w14:paraId="49D31C60" w14:textId="6535C121" w:rsidR="00192F38" w:rsidRPr="006F7E9D" w:rsidRDefault="00192F38" w:rsidP="00192F38">
            <w:pPr>
              <w:rPr>
                <w:rFonts w:ascii="Arial" w:hAnsi="Arial" w:cs="Arial"/>
                <w:color w:val="000000"/>
                <w:sz w:val="20"/>
                <w:szCs w:val="20"/>
                <w:highlight w:val="cyan"/>
              </w:rPr>
            </w:pPr>
          </w:p>
        </w:tc>
        <w:tc>
          <w:tcPr>
            <w:tcW w:w="939" w:type="dxa"/>
            <w:gridSpan w:val="2"/>
            <w:tcBorders>
              <w:top w:val="nil"/>
              <w:left w:val="nil"/>
              <w:bottom w:val="single" w:sz="4" w:space="0" w:color="auto"/>
              <w:right w:val="single" w:sz="4" w:space="0" w:color="auto"/>
            </w:tcBorders>
            <w:shd w:val="clear" w:color="000000" w:fill="FFFFFF"/>
            <w:vAlign w:val="center"/>
          </w:tcPr>
          <w:p w14:paraId="42F46B56" w14:textId="19732755" w:rsidR="00192F38" w:rsidRPr="006C1C08" w:rsidRDefault="00192F38" w:rsidP="00192F38">
            <w:pPr>
              <w:jc w:val="center"/>
              <w:rPr>
                <w:rFonts w:ascii="Arial" w:hAnsi="Arial" w:cs="Arial"/>
                <w:i/>
                <w:iCs/>
                <w:color w:val="000000"/>
                <w:sz w:val="20"/>
                <w:szCs w:val="20"/>
                <w:highlight w:val="yellow"/>
              </w:rPr>
            </w:pPr>
          </w:p>
        </w:tc>
      </w:tr>
      <w:tr w:rsidR="00192F38" w14:paraId="6BC8FCB5" w14:textId="77777777" w:rsidTr="00B411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36"/>
        </w:trPr>
        <w:tc>
          <w:tcPr>
            <w:tcW w:w="1799" w:type="dxa"/>
            <w:vMerge w:val="restart"/>
            <w:tcBorders>
              <w:top w:val="nil"/>
              <w:left w:val="single" w:sz="4" w:space="0" w:color="auto"/>
              <w:bottom w:val="single" w:sz="4" w:space="0" w:color="auto"/>
              <w:right w:val="single" w:sz="4" w:space="0" w:color="auto"/>
            </w:tcBorders>
            <w:shd w:val="clear" w:color="auto" w:fill="auto"/>
            <w:vAlign w:val="center"/>
            <w:hideMark/>
          </w:tcPr>
          <w:p w14:paraId="203359BC" w14:textId="4B9F87C2" w:rsidR="00192F38" w:rsidRDefault="00192F38" w:rsidP="00192F38">
            <w:pPr>
              <w:jc w:val="center"/>
              <w:rPr>
                <w:rFonts w:ascii="Arial" w:hAnsi="Arial" w:cs="Arial"/>
                <w:color w:val="000000"/>
                <w:sz w:val="20"/>
                <w:szCs w:val="20"/>
              </w:rPr>
            </w:pPr>
            <w:r>
              <w:rPr>
                <w:rFonts w:ascii="Arial" w:hAnsi="Arial" w:cs="Arial"/>
                <w:color w:val="000000"/>
                <w:sz w:val="20"/>
                <w:szCs w:val="20"/>
              </w:rPr>
              <w:t>Dividend increase %tage</w:t>
            </w:r>
          </w:p>
        </w:tc>
        <w:tc>
          <w:tcPr>
            <w:tcW w:w="928" w:type="dxa"/>
            <w:gridSpan w:val="2"/>
            <w:tcBorders>
              <w:top w:val="nil"/>
              <w:left w:val="nil"/>
              <w:bottom w:val="single" w:sz="4" w:space="0" w:color="auto"/>
              <w:right w:val="single" w:sz="4" w:space="0" w:color="auto"/>
            </w:tcBorders>
            <w:shd w:val="clear" w:color="000000" w:fill="D9D9D9"/>
            <w:vAlign w:val="center"/>
            <w:hideMark/>
          </w:tcPr>
          <w:p w14:paraId="6D063645" w14:textId="77777777" w:rsidR="00192F38" w:rsidRDefault="00192F38" w:rsidP="00192F38">
            <w:pPr>
              <w:jc w:val="center"/>
              <w:rPr>
                <w:rFonts w:ascii="Arial" w:hAnsi="Arial" w:cs="Arial"/>
                <w:b/>
                <w:bCs/>
                <w:color w:val="000000"/>
                <w:sz w:val="20"/>
                <w:szCs w:val="20"/>
              </w:rPr>
            </w:pPr>
            <w:r>
              <w:rPr>
                <w:rFonts w:ascii="Arial" w:hAnsi="Arial" w:cs="Arial"/>
                <w:b/>
                <w:bCs/>
                <w:color w:val="000000"/>
                <w:sz w:val="20"/>
                <w:szCs w:val="20"/>
              </w:rPr>
              <w:t>actual</w:t>
            </w:r>
          </w:p>
        </w:tc>
        <w:tc>
          <w:tcPr>
            <w:tcW w:w="917" w:type="dxa"/>
            <w:gridSpan w:val="2"/>
            <w:tcBorders>
              <w:top w:val="nil"/>
              <w:left w:val="nil"/>
              <w:bottom w:val="single" w:sz="4" w:space="0" w:color="auto"/>
              <w:right w:val="single" w:sz="4" w:space="0" w:color="auto"/>
            </w:tcBorders>
            <w:shd w:val="clear" w:color="000000" w:fill="D9D9D9"/>
            <w:vAlign w:val="center"/>
          </w:tcPr>
          <w:p w14:paraId="225CDF04" w14:textId="47E02204" w:rsidR="00192F38" w:rsidRDefault="00192F38" w:rsidP="00192F38">
            <w:pPr>
              <w:jc w:val="center"/>
              <w:rPr>
                <w:rFonts w:ascii="Arial" w:hAnsi="Arial" w:cs="Arial"/>
                <w:b/>
                <w:bCs/>
                <w:color w:val="000000"/>
                <w:sz w:val="20"/>
                <w:szCs w:val="20"/>
              </w:rPr>
            </w:pPr>
            <w:r w:rsidRPr="00267487">
              <w:rPr>
                <w:rFonts w:ascii="Arial" w:hAnsi="Arial" w:cs="Arial"/>
                <w:b/>
                <w:bCs/>
                <w:color w:val="000000"/>
                <w:sz w:val="20"/>
                <w:szCs w:val="20"/>
              </w:rPr>
              <w:t>-3.9%</w:t>
            </w:r>
          </w:p>
        </w:tc>
        <w:tc>
          <w:tcPr>
            <w:tcW w:w="939" w:type="dxa"/>
            <w:tcBorders>
              <w:top w:val="nil"/>
              <w:left w:val="nil"/>
              <w:bottom w:val="single" w:sz="4" w:space="0" w:color="auto"/>
              <w:right w:val="single" w:sz="4" w:space="0" w:color="auto"/>
            </w:tcBorders>
            <w:shd w:val="clear" w:color="000000" w:fill="D9D9D9"/>
            <w:vAlign w:val="center"/>
          </w:tcPr>
          <w:p w14:paraId="5FE4704C" w14:textId="334CD17D" w:rsidR="00192F38" w:rsidRDefault="00192F38" w:rsidP="00192F38">
            <w:pPr>
              <w:jc w:val="center"/>
              <w:rPr>
                <w:rFonts w:ascii="Arial" w:hAnsi="Arial" w:cs="Arial"/>
                <w:b/>
                <w:bCs/>
                <w:color w:val="000000"/>
                <w:sz w:val="20"/>
                <w:szCs w:val="20"/>
              </w:rPr>
            </w:pPr>
            <w:r w:rsidRPr="006C1C08">
              <w:rPr>
                <w:rFonts w:ascii="Arial" w:hAnsi="Arial" w:cs="Arial"/>
                <w:b/>
                <w:bCs/>
                <w:color w:val="000000"/>
                <w:sz w:val="20"/>
                <w:szCs w:val="20"/>
              </w:rPr>
              <w:t>0.7%</w:t>
            </w:r>
          </w:p>
        </w:tc>
        <w:tc>
          <w:tcPr>
            <w:tcW w:w="917" w:type="dxa"/>
            <w:gridSpan w:val="2"/>
            <w:tcBorders>
              <w:top w:val="nil"/>
              <w:left w:val="nil"/>
              <w:bottom w:val="single" w:sz="4" w:space="0" w:color="auto"/>
              <w:right w:val="single" w:sz="4" w:space="0" w:color="auto"/>
            </w:tcBorders>
            <w:shd w:val="clear" w:color="000000" w:fill="D9D9D9"/>
            <w:vAlign w:val="center"/>
          </w:tcPr>
          <w:p w14:paraId="59B4F743" w14:textId="250D7FDA" w:rsidR="00192F38" w:rsidRDefault="00192F38" w:rsidP="00192F38">
            <w:pPr>
              <w:jc w:val="center"/>
              <w:rPr>
                <w:rFonts w:ascii="Arial" w:hAnsi="Arial" w:cs="Arial"/>
                <w:b/>
                <w:bCs/>
                <w:color w:val="000000"/>
                <w:sz w:val="20"/>
                <w:szCs w:val="20"/>
              </w:rPr>
            </w:pPr>
            <w:r w:rsidRPr="007723D1">
              <w:rPr>
                <w:rFonts w:ascii="Arial" w:hAnsi="Arial" w:cs="Arial"/>
                <w:b/>
                <w:bCs/>
                <w:color w:val="000000"/>
                <w:sz w:val="18"/>
                <w:szCs w:val="18"/>
              </w:rPr>
              <w:t>12.6%</w:t>
            </w:r>
          </w:p>
        </w:tc>
        <w:tc>
          <w:tcPr>
            <w:tcW w:w="939" w:type="dxa"/>
            <w:gridSpan w:val="2"/>
            <w:tcBorders>
              <w:top w:val="nil"/>
              <w:left w:val="nil"/>
              <w:bottom w:val="single" w:sz="4" w:space="0" w:color="auto"/>
              <w:right w:val="single" w:sz="4" w:space="0" w:color="auto"/>
            </w:tcBorders>
            <w:shd w:val="clear" w:color="000000" w:fill="D9D9D9"/>
            <w:vAlign w:val="center"/>
          </w:tcPr>
          <w:p w14:paraId="0E7EB583" w14:textId="11EEA710" w:rsidR="00192F38" w:rsidRDefault="00192F38" w:rsidP="00192F38">
            <w:pPr>
              <w:jc w:val="center"/>
              <w:rPr>
                <w:rFonts w:ascii="Arial" w:hAnsi="Arial" w:cs="Arial"/>
                <w:b/>
                <w:bCs/>
                <w:color w:val="000000"/>
                <w:sz w:val="20"/>
                <w:szCs w:val="20"/>
              </w:rPr>
            </w:pPr>
            <w:r w:rsidRPr="00FB2E57">
              <w:rPr>
                <w:rFonts w:ascii="Arial" w:hAnsi="Arial" w:cs="Arial"/>
                <w:b/>
                <w:bCs/>
                <w:color w:val="000000"/>
                <w:sz w:val="20"/>
                <w:szCs w:val="20"/>
              </w:rPr>
              <w:t>12.3%</w:t>
            </w:r>
          </w:p>
        </w:tc>
        <w:tc>
          <w:tcPr>
            <w:tcW w:w="917" w:type="dxa"/>
            <w:tcBorders>
              <w:top w:val="nil"/>
              <w:left w:val="nil"/>
              <w:bottom w:val="single" w:sz="4" w:space="0" w:color="auto"/>
              <w:right w:val="single" w:sz="4" w:space="0" w:color="auto"/>
            </w:tcBorders>
            <w:shd w:val="clear" w:color="000000" w:fill="D9D9D9"/>
            <w:vAlign w:val="center"/>
          </w:tcPr>
          <w:p w14:paraId="2E0612D8" w14:textId="3C75692F" w:rsidR="00192F38" w:rsidRPr="006C1C08" w:rsidRDefault="00192F38" w:rsidP="00192F38">
            <w:pPr>
              <w:jc w:val="center"/>
              <w:rPr>
                <w:rFonts w:ascii="Arial" w:hAnsi="Arial" w:cs="Arial"/>
                <w:b/>
                <w:bCs/>
                <w:color w:val="000000"/>
                <w:sz w:val="18"/>
                <w:szCs w:val="18"/>
                <w:highlight w:val="yellow"/>
              </w:rPr>
            </w:pPr>
          </w:p>
        </w:tc>
        <w:tc>
          <w:tcPr>
            <w:tcW w:w="939" w:type="dxa"/>
            <w:gridSpan w:val="2"/>
            <w:tcBorders>
              <w:top w:val="nil"/>
              <w:left w:val="nil"/>
              <w:bottom w:val="single" w:sz="4" w:space="0" w:color="auto"/>
              <w:right w:val="single" w:sz="4" w:space="0" w:color="auto"/>
            </w:tcBorders>
            <w:shd w:val="clear" w:color="000000" w:fill="D9D9D9"/>
            <w:noWrap/>
            <w:vAlign w:val="center"/>
          </w:tcPr>
          <w:p w14:paraId="3A0DC169" w14:textId="0B8BD4A0" w:rsidR="00192F38" w:rsidRPr="006F7E9D" w:rsidRDefault="00192F38" w:rsidP="00192F38">
            <w:pPr>
              <w:jc w:val="center"/>
              <w:rPr>
                <w:rFonts w:ascii="Arial" w:hAnsi="Arial" w:cs="Arial"/>
                <w:b/>
                <w:bCs/>
                <w:color w:val="000000"/>
                <w:sz w:val="20"/>
                <w:szCs w:val="20"/>
                <w:highlight w:val="cyan"/>
              </w:rPr>
            </w:pPr>
            <w:r w:rsidRPr="001933C8">
              <w:rPr>
                <w:rFonts w:ascii="Arial" w:hAnsi="Arial" w:cs="Arial"/>
                <w:b/>
                <w:bCs/>
                <w:color w:val="000000"/>
                <w:sz w:val="20"/>
                <w:szCs w:val="20"/>
              </w:rPr>
              <w:t>2.4%</w:t>
            </w:r>
          </w:p>
        </w:tc>
        <w:tc>
          <w:tcPr>
            <w:tcW w:w="986" w:type="dxa"/>
            <w:gridSpan w:val="2"/>
            <w:tcBorders>
              <w:top w:val="nil"/>
              <w:left w:val="nil"/>
              <w:bottom w:val="single" w:sz="4" w:space="0" w:color="auto"/>
              <w:right w:val="single" w:sz="4" w:space="0" w:color="auto"/>
            </w:tcBorders>
            <w:shd w:val="clear" w:color="000000" w:fill="D9D9D9"/>
            <w:noWrap/>
            <w:vAlign w:val="center"/>
          </w:tcPr>
          <w:p w14:paraId="3CC1A3EC" w14:textId="60CE2165" w:rsidR="00192F38" w:rsidRPr="006F7E9D" w:rsidRDefault="00192F38" w:rsidP="00192F38">
            <w:pPr>
              <w:rPr>
                <w:rFonts w:ascii="Arial" w:hAnsi="Arial" w:cs="Arial"/>
                <w:b/>
                <w:bCs/>
                <w:color w:val="000000"/>
                <w:sz w:val="20"/>
                <w:szCs w:val="20"/>
                <w:highlight w:val="cyan"/>
              </w:rPr>
            </w:pPr>
          </w:p>
        </w:tc>
        <w:tc>
          <w:tcPr>
            <w:tcW w:w="939" w:type="dxa"/>
            <w:gridSpan w:val="2"/>
            <w:tcBorders>
              <w:top w:val="nil"/>
              <w:left w:val="nil"/>
              <w:bottom w:val="single" w:sz="4" w:space="0" w:color="auto"/>
              <w:right w:val="single" w:sz="4" w:space="0" w:color="auto"/>
            </w:tcBorders>
            <w:shd w:val="clear" w:color="000000" w:fill="D9D9D9"/>
            <w:noWrap/>
            <w:vAlign w:val="center"/>
          </w:tcPr>
          <w:p w14:paraId="6BBA7936" w14:textId="37426AAD" w:rsidR="00192F38" w:rsidRPr="006C1C08" w:rsidRDefault="00192F38" w:rsidP="00192F38">
            <w:pPr>
              <w:jc w:val="center"/>
              <w:rPr>
                <w:rFonts w:ascii="Arial" w:hAnsi="Arial" w:cs="Arial"/>
                <w:b/>
                <w:bCs/>
                <w:color w:val="000000"/>
                <w:sz w:val="20"/>
                <w:szCs w:val="20"/>
                <w:highlight w:val="yellow"/>
              </w:rPr>
            </w:pPr>
          </w:p>
        </w:tc>
      </w:tr>
      <w:tr w:rsidR="00192F38" w14:paraId="409A3ED0" w14:textId="77777777" w:rsidTr="00B411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36"/>
        </w:trPr>
        <w:tc>
          <w:tcPr>
            <w:tcW w:w="1799" w:type="dxa"/>
            <w:vMerge/>
            <w:tcBorders>
              <w:top w:val="nil"/>
              <w:left w:val="single" w:sz="4" w:space="0" w:color="auto"/>
              <w:bottom w:val="single" w:sz="4" w:space="0" w:color="auto"/>
              <w:right w:val="single" w:sz="4" w:space="0" w:color="auto"/>
            </w:tcBorders>
            <w:vAlign w:val="center"/>
            <w:hideMark/>
          </w:tcPr>
          <w:p w14:paraId="1893A1C5" w14:textId="77777777" w:rsidR="00192F38" w:rsidRDefault="00192F38" w:rsidP="00192F38">
            <w:pPr>
              <w:rPr>
                <w:rFonts w:ascii="Arial" w:hAnsi="Arial" w:cs="Arial"/>
                <w:color w:val="000000"/>
                <w:sz w:val="20"/>
                <w:szCs w:val="20"/>
              </w:rPr>
            </w:pPr>
          </w:p>
        </w:tc>
        <w:tc>
          <w:tcPr>
            <w:tcW w:w="928" w:type="dxa"/>
            <w:gridSpan w:val="2"/>
            <w:tcBorders>
              <w:top w:val="nil"/>
              <w:left w:val="nil"/>
              <w:bottom w:val="single" w:sz="4" w:space="0" w:color="auto"/>
              <w:right w:val="single" w:sz="4" w:space="0" w:color="auto"/>
            </w:tcBorders>
            <w:shd w:val="clear" w:color="auto" w:fill="auto"/>
            <w:vAlign w:val="center"/>
            <w:hideMark/>
          </w:tcPr>
          <w:p w14:paraId="72B1B956" w14:textId="77777777" w:rsidR="00192F38" w:rsidRDefault="00192F38" w:rsidP="00192F38">
            <w:pPr>
              <w:jc w:val="center"/>
              <w:rPr>
                <w:rFonts w:ascii="Arial" w:hAnsi="Arial" w:cs="Arial"/>
                <w:i/>
                <w:iCs/>
                <w:color w:val="000000"/>
                <w:sz w:val="20"/>
                <w:szCs w:val="20"/>
              </w:rPr>
            </w:pPr>
            <w:r>
              <w:rPr>
                <w:rFonts w:ascii="Arial" w:hAnsi="Arial" w:cs="Arial"/>
                <w:i/>
                <w:iCs/>
                <w:color w:val="000000"/>
                <w:sz w:val="20"/>
                <w:szCs w:val="20"/>
              </w:rPr>
              <w:t>target</w:t>
            </w:r>
          </w:p>
        </w:tc>
        <w:tc>
          <w:tcPr>
            <w:tcW w:w="917" w:type="dxa"/>
            <w:gridSpan w:val="2"/>
            <w:tcBorders>
              <w:top w:val="nil"/>
              <w:left w:val="nil"/>
              <w:bottom w:val="single" w:sz="4" w:space="0" w:color="auto"/>
              <w:right w:val="single" w:sz="4" w:space="0" w:color="auto"/>
            </w:tcBorders>
            <w:shd w:val="clear" w:color="auto" w:fill="auto"/>
            <w:vAlign w:val="center"/>
          </w:tcPr>
          <w:p w14:paraId="27200FFB" w14:textId="0E68C05D" w:rsidR="00192F38" w:rsidRDefault="00192F38" w:rsidP="00192F38">
            <w:pPr>
              <w:jc w:val="center"/>
              <w:rPr>
                <w:rFonts w:ascii="Arial" w:hAnsi="Arial" w:cs="Arial"/>
                <w:i/>
                <w:iCs/>
                <w:color w:val="000000"/>
                <w:sz w:val="20"/>
                <w:szCs w:val="20"/>
              </w:rPr>
            </w:pPr>
          </w:p>
        </w:tc>
        <w:tc>
          <w:tcPr>
            <w:tcW w:w="939" w:type="dxa"/>
            <w:tcBorders>
              <w:top w:val="nil"/>
              <w:left w:val="nil"/>
              <w:bottom w:val="single" w:sz="4" w:space="0" w:color="auto"/>
              <w:right w:val="single" w:sz="4" w:space="0" w:color="auto"/>
            </w:tcBorders>
            <w:shd w:val="clear" w:color="auto" w:fill="auto"/>
            <w:vAlign w:val="center"/>
          </w:tcPr>
          <w:p w14:paraId="1411CDDA" w14:textId="513C2D3F" w:rsidR="00192F38" w:rsidRDefault="00192F38" w:rsidP="00192F38">
            <w:pPr>
              <w:jc w:val="center"/>
              <w:rPr>
                <w:rFonts w:ascii="Arial" w:hAnsi="Arial" w:cs="Arial"/>
                <w:color w:val="000000"/>
                <w:sz w:val="20"/>
                <w:szCs w:val="20"/>
              </w:rPr>
            </w:pPr>
            <w:r w:rsidRPr="006669D1">
              <w:rPr>
                <w:rFonts w:ascii="Arial" w:hAnsi="Arial" w:cs="Arial"/>
                <w:i/>
                <w:iCs/>
                <w:color w:val="000000"/>
                <w:sz w:val="20"/>
                <w:szCs w:val="20"/>
              </w:rPr>
              <w:t>1.4%</w:t>
            </w:r>
          </w:p>
        </w:tc>
        <w:tc>
          <w:tcPr>
            <w:tcW w:w="917" w:type="dxa"/>
            <w:gridSpan w:val="2"/>
            <w:tcBorders>
              <w:top w:val="nil"/>
              <w:left w:val="nil"/>
              <w:bottom w:val="single" w:sz="4" w:space="0" w:color="auto"/>
              <w:right w:val="single" w:sz="4" w:space="0" w:color="auto"/>
            </w:tcBorders>
            <w:shd w:val="clear" w:color="auto" w:fill="auto"/>
            <w:vAlign w:val="center"/>
          </w:tcPr>
          <w:p w14:paraId="0A12EA7B" w14:textId="1E0E3005" w:rsidR="00192F38" w:rsidRDefault="00192F38" w:rsidP="00192F38">
            <w:pPr>
              <w:jc w:val="center"/>
              <w:rPr>
                <w:rFonts w:ascii="Arial" w:hAnsi="Arial" w:cs="Arial"/>
                <w:i/>
                <w:iCs/>
                <w:color w:val="000000"/>
                <w:sz w:val="20"/>
                <w:szCs w:val="20"/>
              </w:rPr>
            </w:pPr>
          </w:p>
        </w:tc>
        <w:tc>
          <w:tcPr>
            <w:tcW w:w="939" w:type="dxa"/>
            <w:gridSpan w:val="2"/>
            <w:tcBorders>
              <w:top w:val="nil"/>
              <w:left w:val="nil"/>
              <w:bottom w:val="single" w:sz="4" w:space="0" w:color="auto"/>
              <w:right w:val="single" w:sz="4" w:space="0" w:color="auto"/>
            </w:tcBorders>
            <w:shd w:val="clear" w:color="auto" w:fill="auto"/>
            <w:vAlign w:val="center"/>
          </w:tcPr>
          <w:p w14:paraId="12BA32B3" w14:textId="0CA0BB8E" w:rsidR="00192F38" w:rsidRPr="006669D1" w:rsidRDefault="00192F38" w:rsidP="00192F38">
            <w:pPr>
              <w:jc w:val="center"/>
              <w:rPr>
                <w:rFonts w:ascii="Arial" w:hAnsi="Arial" w:cs="Arial"/>
                <w:i/>
                <w:iCs/>
                <w:color w:val="000000"/>
                <w:sz w:val="20"/>
                <w:szCs w:val="20"/>
              </w:rPr>
            </w:pPr>
            <w:r w:rsidRPr="006669D1">
              <w:rPr>
                <w:rFonts w:ascii="Arial" w:hAnsi="Arial" w:cs="Arial"/>
                <w:i/>
                <w:iCs/>
                <w:color w:val="000000"/>
                <w:sz w:val="20"/>
                <w:szCs w:val="20"/>
              </w:rPr>
              <w:t>1.4%</w:t>
            </w:r>
          </w:p>
        </w:tc>
        <w:tc>
          <w:tcPr>
            <w:tcW w:w="917" w:type="dxa"/>
            <w:tcBorders>
              <w:top w:val="nil"/>
              <w:left w:val="nil"/>
              <w:bottom w:val="single" w:sz="4" w:space="0" w:color="auto"/>
              <w:right w:val="single" w:sz="4" w:space="0" w:color="auto"/>
            </w:tcBorders>
            <w:shd w:val="clear" w:color="auto" w:fill="auto"/>
            <w:vAlign w:val="center"/>
          </w:tcPr>
          <w:p w14:paraId="0C37B17B" w14:textId="60363064" w:rsidR="00192F38" w:rsidRPr="006669D1" w:rsidRDefault="00192F38" w:rsidP="00192F38">
            <w:pPr>
              <w:rPr>
                <w:rFonts w:ascii="Arial" w:hAnsi="Arial" w:cs="Arial"/>
                <w:i/>
                <w:iCs/>
                <w:color w:val="000000"/>
                <w:sz w:val="20"/>
                <w:szCs w:val="20"/>
              </w:rPr>
            </w:pPr>
          </w:p>
        </w:tc>
        <w:tc>
          <w:tcPr>
            <w:tcW w:w="939" w:type="dxa"/>
            <w:gridSpan w:val="2"/>
            <w:tcBorders>
              <w:top w:val="nil"/>
              <w:left w:val="nil"/>
              <w:bottom w:val="single" w:sz="4" w:space="0" w:color="auto"/>
              <w:right w:val="single" w:sz="4" w:space="0" w:color="auto"/>
            </w:tcBorders>
            <w:shd w:val="clear" w:color="auto" w:fill="auto"/>
            <w:noWrap/>
            <w:vAlign w:val="center"/>
          </w:tcPr>
          <w:p w14:paraId="4FA074DA" w14:textId="0D47FF1F" w:rsidR="00192F38" w:rsidRPr="006669D1" w:rsidRDefault="00192F38" w:rsidP="00192F38">
            <w:pPr>
              <w:jc w:val="center"/>
              <w:rPr>
                <w:rFonts w:ascii="Arial" w:hAnsi="Arial" w:cs="Arial"/>
                <w:i/>
                <w:iCs/>
                <w:color w:val="000000"/>
                <w:sz w:val="20"/>
                <w:szCs w:val="20"/>
              </w:rPr>
            </w:pPr>
            <w:r w:rsidRPr="00420A1C">
              <w:rPr>
                <w:rFonts w:ascii="Arial" w:hAnsi="Arial" w:cs="Arial"/>
                <w:color w:val="000000"/>
                <w:sz w:val="20"/>
                <w:szCs w:val="20"/>
              </w:rPr>
              <w:t>-3.7%</w:t>
            </w:r>
          </w:p>
        </w:tc>
        <w:tc>
          <w:tcPr>
            <w:tcW w:w="986" w:type="dxa"/>
            <w:gridSpan w:val="2"/>
            <w:tcBorders>
              <w:top w:val="nil"/>
              <w:left w:val="nil"/>
              <w:bottom w:val="single" w:sz="4" w:space="0" w:color="auto"/>
              <w:right w:val="single" w:sz="4" w:space="0" w:color="auto"/>
            </w:tcBorders>
            <w:shd w:val="clear" w:color="auto" w:fill="auto"/>
            <w:noWrap/>
            <w:vAlign w:val="center"/>
          </w:tcPr>
          <w:p w14:paraId="59AFBFBD" w14:textId="1701E69D" w:rsidR="00192F38" w:rsidRPr="006F7E9D" w:rsidRDefault="00192F38" w:rsidP="00192F38">
            <w:pPr>
              <w:rPr>
                <w:rFonts w:ascii="Arial" w:hAnsi="Arial" w:cs="Arial"/>
                <w:color w:val="000000"/>
                <w:sz w:val="20"/>
                <w:szCs w:val="20"/>
                <w:highlight w:val="cyan"/>
              </w:rPr>
            </w:pPr>
          </w:p>
        </w:tc>
        <w:tc>
          <w:tcPr>
            <w:tcW w:w="939" w:type="dxa"/>
            <w:gridSpan w:val="2"/>
            <w:tcBorders>
              <w:top w:val="nil"/>
              <w:left w:val="nil"/>
              <w:bottom w:val="single" w:sz="4" w:space="0" w:color="auto"/>
              <w:right w:val="single" w:sz="4" w:space="0" w:color="auto"/>
            </w:tcBorders>
            <w:shd w:val="clear" w:color="auto" w:fill="auto"/>
            <w:noWrap/>
            <w:vAlign w:val="center"/>
          </w:tcPr>
          <w:p w14:paraId="465B88C1" w14:textId="570C4E52" w:rsidR="00192F38" w:rsidRPr="006C1C08" w:rsidRDefault="00192F38" w:rsidP="00192F38">
            <w:pPr>
              <w:jc w:val="center"/>
              <w:rPr>
                <w:rFonts w:ascii="Arial" w:hAnsi="Arial" w:cs="Arial"/>
                <w:color w:val="000000"/>
                <w:sz w:val="20"/>
                <w:szCs w:val="20"/>
                <w:highlight w:val="yellow"/>
              </w:rPr>
            </w:pPr>
          </w:p>
        </w:tc>
      </w:tr>
    </w:tbl>
    <w:p w14:paraId="7BB3BB81" w14:textId="392D41AB" w:rsidR="007B07C3" w:rsidRDefault="007B07C3" w:rsidP="00F666A4">
      <w:pPr>
        <w:jc w:val="both"/>
        <w:rPr>
          <w:rFonts w:ascii="Arial" w:hAnsi="Arial" w:cs="Arial"/>
          <w:b/>
          <w:bCs/>
        </w:rPr>
      </w:pPr>
    </w:p>
    <w:p w14:paraId="11A4FB52" w14:textId="77777777" w:rsidR="002272E2" w:rsidRDefault="000A1837" w:rsidP="00F666A4">
      <w:pPr>
        <w:jc w:val="both"/>
        <w:rPr>
          <w:rFonts w:ascii="Arial" w:hAnsi="Arial" w:cs="Arial"/>
          <w:b/>
          <w:bCs/>
        </w:rPr>
      </w:pPr>
      <w:r w:rsidRPr="0041239E">
        <w:rPr>
          <w:rFonts w:ascii="Arial" w:hAnsi="Arial" w:cs="Arial"/>
          <w:b/>
          <w:bCs/>
        </w:rPr>
        <w:t>Performance Measure Explanatory Notes</w:t>
      </w:r>
    </w:p>
    <w:p w14:paraId="172D1884" w14:textId="77777777" w:rsidR="00D00B5E" w:rsidRPr="002272E2" w:rsidRDefault="00D00B5E" w:rsidP="00F666A4">
      <w:pPr>
        <w:jc w:val="both"/>
        <w:rPr>
          <w:rFonts w:ascii="Arial" w:hAnsi="Arial" w:cs="Arial"/>
          <w:b/>
          <w:bCs/>
          <w:i/>
        </w:rPr>
      </w:pPr>
    </w:p>
    <w:p w14:paraId="014A4359" w14:textId="34DD9AD7" w:rsidR="00792DCB" w:rsidRPr="00D93EB4" w:rsidRDefault="00792DCB" w:rsidP="00F666A4">
      <w:pPr>
        <w:jc w:val="both"/>
        <w:rPr>
          <w:rFonts w:ascii="Arial" w:hAnsi="Arial" w:cs="Arial"/>
          <w:bCs/>
          <w:i/>
          <w:sz w:val="18"/>
          <w:szCs w:val="18"/>
        </w:rPr>
      </w:pPr>
      <w:r w:rsidRPr="00D93EB4">
        <w:rPr>
          <w:rFonts w:ascii="Arial" w:hAnsi="Arial" w:cs="Arial"/>
          <w:bCs/>
          <w:i/>
          <w:sz w:val="18"/>
          <w:szCs w:val="18"/>
        </w:rPr>
        <w:t xml:space="preserve">*Peer Group includes states with marketplace and product portfolio similarity, not size of population or sales. This Peer Group </w:t>
      </w:r>
      <w:proofErr w:type="gramStart"/>
      <w:r w:rsidRPr="00D93EB4">
        <w:rPr>
          <w:rFonts w:ascii="Arial" w:hAnsi="Arial" w:cs="Arial"/>
          <w:bCs/>
          <w:i/>
          <w:sz w:val="18"/>
          <w:szCs w:val="18"/>
        </w:rPr>
        <w:t>includes:</w:t>
      </w:r>
      <w:proofErr w:type="gramEnd"/>
      <w:r w:rsidRPr="00D93EB4">
        <w:rPr>
          <w:rFonts w:ascii="Arial" w:hAnsi="Arial" w:cs="Arial"/>
          <w:bCs/>
          <w:i/>
          <w:sz w:val="18"/>
          <w:szCs w:val="18"/>
        </w:rPr>
        <w:t xml:space="preserve"> </w:t>
      </w:r>
      <w:r w:rsidR="001B4B17" w:rsidRPr="00D93EB4">
        <w:rPr>
          <w:rFonts w:ascii="Arial" w:hAnsi="Arial" w:cs="Arial"/>
          <w:bCs/>
          <w:i/>
          <w:sz w:val="18"/>
          <w:szCs w:val="18"/>
        </w:rPr>
        <w:t xml:space="preserve">Arkansas, Iowa, </w:t>
      </w:r>
      <w:r w:rsidRPr="00D93EB4">
        <w:rPr>
          <w:rFonts w:ascii="Arial" w:hAnsi="Arial" w:cs="Arial"/>
          <w:bCs/>
          <w:i/>
          <w:sz w:val="18"/>
          <w:szCs w:val="18"/>
        </w:rPr>
        <w:t>Kansas,</w:t>
      </w:r>
      <w:r w:rsidR="001B4B17" w:rsidRPr="00D93EB4">
        <w:rPr>
          <w:rFonts w:ascii="Arial" w:hAnsi="Arial" w:cs="Arial"/>
          <w:bCs/>
          <w:i/>
          <w:sz w:val="18"/>
          <w:szCs w:val="18"/>
        </w:rPr>
        <w:t xml:space="preserve"> </w:t>
      </w:r>
      <w:r w:rsidR="00267487">
        <w:rPr>
          <w:rFonts w:ascii="Arial" w:hAnsi="Arial" w:cs="Arial"/>
          <w:bCs/>
          <w:i/>
          <w:sz w:val="18"/>
          <w:szCs w:val="18"/>
        </w:rPr>
        <w:t xml:space="preserve">Minnesota, </w:t>
      </w:r>
      <w:r w:rsidRPr="00D93EB4">
        <w:rPr>
          <w:rFonts w:ascii="Arial" w:hAnsi="Arial" w:cs="Arial"/>
          <w:bCs/>
          <w:i/>
          <w:sz w:val="18"/>
          <w:szCs w:val="18"/>
        </w:rPr>
        <w:t>Nebraska, New Mexico and Vermont.</w:t>
      </w:r>
    </w:p>
    <w:p w14:paraId="1906568C" w14:textId="77777777" w:rsidR="00C91BE6" w:rsidRPr="00D93EB4" w:rsidRDefault="00C91BE6" w:rsidP="00F666A4">
      <w:pPr>
        <w:jc w:val="both"/>
        <w:rPr>
          <w:rFonts w:ascii="Arial" w:hAnsi="Arial" w:cs="Arial"/>
          <w:bCs/>
          <w:i/>
          <w:sz w:val="18"/>
          <w:szCs w:val="18"/>
        </w:rPr>
      </w:pPr>
    </w:p>
    <w:p w14:paraId="2332E898" w14:textId="77777777" w:rsidR="00792DCB" w:rsidRPr="00D93EB4" w:rsidRDefault="00792DCB" w:rsidP="00F666A4">
      <w:pPr>
        <w:jc w:val="both"/>
        <w:rPr>
          <w:rFonts w:ascii="Arial" w:hAnsi="Arial" w:cs="Arial"/>
          <w:bCs/>
          <w:i/>
          <w:sz w:val="18"/>
          <w:szCs w:val="18"/>
        </w:rPr>
      </w:pPr>
      <w:r w:rsidRPr="00D93EB4">
        <w:rPr>
          <w:rFonts w:ascii="Arial" w:hAnsi="Arial" w:cs="Arial"/>
          <w:bCs/>
          <w:i/>
          <w:sz w:val="18"/>
          <w:szCs w:val="18"/>
        </w:rPr>
        <w:t>**This is a “previous year” looking Performance Measurement, as statistics for each state are not available at the time this document is published.</w:t>
      </w:r>
    </w:p>
    <w:p w14:paraId="70B60B5C" w14:textId="77777777" w:rsidR="00081233" w:rsidRPr="00F666A4" w:rsidRDefault="00081233" w:rsidP="00F666A4">
      <w:pPr>
        <w:rPr>
          <w:rFonts w:ascii="Arial" w:hAnsi="Arial" w:cs="Arial"/>
          <w:b/>
          <w:bCs/>
        </w:rPr>
      </w:pPr>
    </w:p>
    <w:tbl>
      <w:tblPr>
        <w:tblW w:w="0" w:type="auto"/>
        <w:tblInd w:w="1188" w:type="dxa"/>
        <w:tblBorders>
          <w:top w:val="threeDEmboss" w:sz="24" w:space="0" w:color="333399"/>
          <w:left w:val="threeDEmboss" w:sz="24" w:space="0" w:color="333399"/>
          <w:bottom w:val="threeDEmboss" w:sz="24" w:space="0" w:color="333399"/>
          <w:right w:val="threeDEmboss" w:sz="24" w:space="0" w:color="333399"/>
        </w:tblBorders>
        <w:tblLook w:val="0000" w:firstRow="0" w:lastRow="0" w:firstColumn="0" w:lastColumn="0" w:noHBand="0" w:noVBand="0"/>
      </w:tblPr>
      <w:tblGrid>
        <w:gridCol w:w="7680"/>
      </w:tblGrid>
      <w:tr w:rsidR="0064735C" w:rsidRPr="00E83D25" w14:paraId="4F7F2464" w14:textId="77777777">
        <w:tc>
          <w:tcPr>
            <w:tcW w:w="7680" w:type="dxa"/>
            <w:tcBorders>
              <w:top w:val="threeDEmboss" w:sz="24" w:space="0" w:color="333399"/>
              <w:bottom w:val="threeDEmboss" w:sz="24" w:space="0" w:color="333399"/>
            </w:tcBorders>
          </w:tcPr>
          <w:p w14:paraId="12DECF12" w14:textId="7898E116" w:rsidR="0064735C" w:rsidRDefault="0064735C" w:rsidP="00F666A4">
            <w:pPr>
              <w:jc w:val="center"/>
              <w:rPr>
                <w:rFonts w:ascii="Arial" w:hAnsi="Arial" w:cs="Arial"/>
                <w:b/>
                <w:bCs/>
                <w:sz w:val="20"/>
              </w:rPr>
            </w:pPr>
            <w:r w:rsidRPr="003F13E0">
              <w:rPr>
                <w:rFonts w:ascii="Arial" w:hAnsi="Arial" w:cs="Arial"/>
                <w:b/>
                <w:bCs/>
                <w:sz w:val="20"/>
              </w:rPr>
              <w:t>For More Information Contact</w:t>
            </w:r>
            <w:r w:rsidR="00677E7B">
              <w:rPr>
                <w:rFonts w:ascii="Arial" w:hAnsi="Arial" w:cs="Arial"/>
                <w:b/>
                <w:bCs/>
                <w:sz w:val="20"/>
              </w:rPr>
              <w:t>:</w:t>
            </w:r>
          </w:p>
          <w:p w14:paraId="08BAA8C1" w14:textId="77777777" w:rsidR="00ED24B5" w:rsidRDefault="00ED24B5" w:rsidP="00F666A4">
            <w:pPr>
              <w:jc w:val="center"/>
              <w:rPr>
                <w:rFonts w:ascii="Arial" w:hAnsi="Arial" w:cs="Arial"/>
                <w:b/>
                <w:bCs/>
                <w:sz w:val="20"/>
              </w:rPr>
            </w:pPr>
          </w:p>
          <w:p w14:paraId="7BE8A4F7" w14:textId="46AFA4C9" w:rsidR="0064735C" w:rsidRPr="00B4112C" w:rsidRDefault="00754656" w:rsidP="00F666A4">
            <w:pPr>
              <w:ind w:left="252"/>
              <w:rPr>
                <w:rFonts w:ascii="Arial" w:hAnsi="Arial" w:cs="Arial"/>
                <w:noProof/>
                <w:sz w:val="20"/>
              </w:rPr>
            </w:pPr>
            <w:r w:rsidRPr="00B4112C">
              <w:rPr>
                <w:rFonts w:ascii="Arial" w:hAnsi="Arial" w:cs="Arial"/>
                <w:noProof/>
                <w:sz w:val="20"/>
              </w:rPr>
              <w:t>Tony Faraca</w:t>
            </w:r>
            <w:r w:rsidR="00732DE1" w:rsidRPr="00B4112C">
              <w:rPr>
                <w:rFonts w:ascii="Arial" w:hAnsi="Arial" w:cs="Arial"/>
                <w:noProof/>
                <w:sz w:val="20"/>
              </w:rPr>
              <w:t xml:space="preserve">, </w:t>
            </w:r>
            <w:r w:rsidRPr="00B4112C">
              <w:rPr>
                <w:rFonts w:ascii="Arial" w:hAnsi="Arial" w:cs="Arial"/>
                <w:noProof/>
                <w:sz w:val="20"/>
              </w:rPr>
              <w:t xml:space="preserve">Interim </w:t>
            </w:r>
            <w:r w:rsidR="00732DE1" w:rsidRPr="00B4112C">
              <w:rPr>
                <w:rFonts w:ascii="Arial" w:hAnsi="Arial" w:cs="Arial"/>
                <w:noProof/>
                <w:sz w:val="20"/>
              </w:rPr>
              <w:t>Director</w:t>
            </w:r>
          </w:p>
          <w:p w14:paraId="270D820E" w14:textId="77777777" w:rsidR="00732DE1" w:rsidRPr="00B4112C" w:rsidRDefault="00732DE1" w:rsidP="00F666A4">
            <w:pPr>
              <w:ind w:left="252"/>
              <w:rPr>
                <w:rFonts w:ascii="Arial" w:hAnsi="Arial" w:cs="Arial"/>
                <w:noProof/>
                <w:sz w:val="20"/>
              </w:rPr>
            </w:pPr>
            <w:r w:rsidRPr="00B4112C">
              <w:rPr>
                <w:rFonts w:ascii="Arial" w:hAnsi="Arial" w:cs="Arial"/>
                <w:noProof/>
                <w:sz w:val="20"/>
              </w:rPr>
              <w:t>Idaho State Lottery</w:t>
            </w:r>
          </w:p>
          <w:p w14:paraId="4C432355" w14:textId="77777777" w:rsidR="00732DE1" w:rsidRPr="00B4112C" w:rsidRDefault="00732DE1" w:rsidP="00F666A4">
            <w:pPr>
              <w:ind w:left="252"/>
              <w:rPr>
                <w:rFonts w:ascii="Arial" w:hAnsi="Arial" w:cs="Arial"/>
                <w:noProof/>
                <w:sz w:val="20"/>
              </w:rPr>
            </w:pPr>
            <w:r w:rsidRPr="00B4112C">
              <w:rPr>
                <w:rFonts w:ascii="Arial" w:hAnsi="Arial" w:cs="Arial"/>
                <w:noProof/>
                <w:sz w:val="20"/>
              </w:rPr>
              <w:t>1199 Shoreline Lane, Suite 100</w:t>
            </w:r>
          </w:p>
          <w:p w14:paraId="46AF6253" w14:textId="77777777" w:rsidR="00732DE1" w:rsidRPr="00B4112C" w:rsidRDefault="00732DE1" w:rsidP="00F666A4">
            <w:pPr>
              <w:ind w:left="252"/>
              <w:rPr>
                <w:rFonts w:ascii="Arial" w:hAnsi="Arial" w:cs="Arial"/>
                <w:noProof/>
                <w:sz w:val="20"/>
              </w:rPr>
            </w:pPr>
            <w:r w:rsidRPr="00B4112C">
              <w:rPr>
                <w:rFonts w:ascii="Arial" w:hAnsi="Arial" w:cs="Arial"/>
                <w:noProof/>
                <w:sz w:val="20"/>
              </w:rPr>
              <w:t>Boise, ID  83702</w:t>
            </w:r>
          </w:p>
          <w:p w14:paraId="515BD9F3" w14:textId="77777777" w:rsidR="00732DE1" w:rsidRPr="00B4112C" w:rsidRDefault="00FE5C07" w:rsidP="00F666A4">
            <w:pPr>
              <w:ind w:left="252"/>
              <w:rPr>
                <w:rFonts w:ascii="Arial" w:hAnsi="Arial" w:cs="Arial"/>
                <w:noProof/>
                <w:sz w:val="20"/>
              </w:rPr>
            </w:pPr>
            <w:r w:rsidRPr="00B4112C">
              <w:rPr>
                <w:rFonts w:ascii="Arial" w:hAnsi="Arial" w:cs="Arial"/>
                <w:noProof/>
                <w:sz w:val="20"/>
              </w:rPr>
              <w:t>Phone:  208.780.</w:t>
            </w:r>
            <w:r w:rsidR="00732DE1" w:rsidRPr="00B4112C">
              <w:rPr>
                <w:rFonts w:ascii="Arial" w:hAnsi="Arial" w:cs="Arial"/>
                <w:noProof/>
                <w:sz w:val="20"/>
              </w:rPr>
              <w:t>2500</w:t>
            </w:r>
          </w:p>
          <w:p w14:paraId="4BC52A46" w14:textId="50E27CAF" w:rsidR="00732DE1" w:rsidRPr="00B4112C" w:rsidRDefault="00A81366" w:rsidP="00F666A4">
            <w:pPr>
              <w:ind w:left="252"/>
              <w:rPr>
                <w:rFonts w:ascii="Arial" w:hAnsi="Arial" w:cs="Arial"/>
                <w:sz w:val="20"/>
                <w:szCs w:val="20"/>
                <w:lang w:val="fr-FR"/>
              </w:rPr>
            </w:pPr>
            <w:proofErr w:type="gramStart"/>
            <w:r w:rsidRPr="00B4112C">
              <w:rPr>
                <w:rFonts w:ascii="Arial" w:hAnsi="Arial" w:cs="Arial"/>
                <w:sz w:val="20"/>
                <w:szCs w:val="20"/>
                <w:lang w:val="fr-FR"/>
              </w:rPr>
              <w:t>E-mail:</w:t>
            </w:r>
            <w:proofErr w:type="gramEnd"/>
            <w:r w:rsidR="002E487A" w:rsidRPr="00B4112C">
              <w:rPr>
                <w:rFonts w:ascii="Arial" w:hAnsi="Arial" w:cs="Arial"/>
                <w:sz w:val="20"/>
                <w:szCs w:val="20"/>
                <w:lang w:val="fr-FR"/>
              </w:rPr>
              <w:t xml:space="preserve"> </w:t>
            </w:r>
            <w:hyperlink r:id="rId8" w:history="1">
              <w:r w:rsidR="00754656" w:rsidRPr="00B4112C">
                <w:rPr>
                  <w:rStyle w:val="Hyperlink"/>
                  <w:rFonts w:ascii="Arial" w:hAnsi="Arial" w:cs="Arial"/>
                  <w:sz w:val="20"/>
                  <w:szCs w:val="20"/>
                  <w:lang w:val="fr-FR"/>
                </w:rPr>
                <w:t>tfaraca@lottery.idaho.gov</w:t>
              </w:r>
            </w:hyperlink>
          </w:p>
          <w:p w14:paraId="65F3A7F4" w14:textId="77777777" w:rsidR="002E487A" w:rsidRPr="00E83D25" w:rsidRDefault="002E487A" w:rsidP="00F666A4">
            <w:pPr>
              <w:ind w:left="252"/>
              <w:rPr>
                <w:rFonts w:ascii="Arial" w:hAnsi="Arial" w:cs="Arial"/>
                <w:sz w:val="20"/>
                <w:lang w:val="fr-FR"/>
              </w:rPr>
            </w:pPr>
          </w:p>
        </w:tc>
      </w:tr>
    </w:tbl>
    <w:p w14:paraId="5BA3E79E" w14:textId="77777777" w:rsidR="0064735C" w:rsidRPr="00E83D25" w:rsidRDefault="0064735C" w:rsidP="00F666A4">
      <w:pPr>
        <w:jc w:val="both"/>
        <w:rPr>
          <w:lang w:val="fr-FR"/>
        </w:rPr>
      </w:pPr>
    </w:p>
    <w:sectPr w:rsidR="0064735C" w:rsidRPr="00E83D25" w:rsidSect="00173A4A">
      <w:headerReference w:type="default" r:id="rId9"/>
      <w:footerReference w:type="default" r:id="rId10"/>
      <w:type w:val="continuous"/>
      <w:pgSz w:w="12240" w:h="15840" w:code="1"/>
      <w:pgMar w:top="1800" w:right="1080" w:bottom="1008" w:left="1080" w:header="108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BC16B" w14:textId="77777777" w:rsidR="009B5ADF" w:rsidRDefault="009B5ADF">
      <w:r>
        <w:separator/>
      </w:r>
    </w:p>
  </w:endnote>
  <w:endnote w:type="continuationSeparator" w:id="0">
    <w:p w14:paraId="1339F508" w14:textId="77777777" w:rsidR="009B5ADF" w:rsidRDefault="009B5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2049596700"/>
      <w:docPartObj>
        <w:docPartGallery w:val="Page Numbers (Bottom of Page)"/>
        <w:docPartUnique/>
      </w:docPartObj>
    </w:sdtPr>
    <w:sdtEndPr>
      <w:rPr>
        <w:noProof/>
      </w:rPr>
    </w:sdtEndPr>
    <w:sdtContent>
      <w:p w14:paraId="5CB9E63D" w14:textId="77777777" w:rsidR="00014B9F" w:rsidRPr="00173A4A" w:rsidRDefault="00014B9F" w:rsidP="00A72469">
        <w:pPr>
          <w:pStyle w:val="Footer"/>
          <w:tabs>
            <w:tab w:val="clear" w:pos="4320"/>
            <w:tab w:val="clear" w:pos="8640"/>
            <w:tab w:val="center" w:pos="4680"/>
            <w:tab w:val="right" w:pos="10080"/>
          </w:tabs>
          <w:rPr>
            <w:sz w:val="18"/>
            <w:szCs w:val="18"/>
          </w:rPr>
        </w:pPr>
      </w:p>
      <w:p w14:paraId="62C28E3F" w14:textId="77777777" w:rsidR="00A72469" w:rsidRPr="00173A4A" w:rsidRDefault="00A72469" w:rsidP="00A72469">
        <w:pPr>
          <w:pStyle w:val="Footer"/>
          <w:tabs>
            <w:tab w:val="clear" w:pos="4320"/>
            <w:tab w:val="clear" w:pos="8640"/>
            <w:tab w:val="center" w:pos="4680"/>
            <w:tab w:val="right" w:pos="10080"/>
          </w:tabs>
          <w:rPr>
            <w:rFonts w:ascii="Arial" w:hAnsi="Arial" w:cs="Arial"/>
            <w:sz w:val="18"/>
            <w:szCs w:val="18"/>
          </w:rPr>
        </w:pPr>
        <w:r w:rsidRPr="00173A4A">
          <w:rPr>
            <w:rFonts w:ascii="Arial" w:hAnsi="Arial" w:cs="Arial"/>
            <w:sz w:val="18"/>
            <w:szCs w:val="18"/>
          </w:rPr>
          <w:t>State of Idaho</w:t>
        </w:r>
        <w:r w:rsidRPr="00173A4A">
          <w:rPr>
            <w:rFonts w:ascii="Arial" w:hAnsi="Arial" w:cs="Arial"/>
            <w:sz w:val="18"/>
            <w:szCs w:val="18"/>
          </w:rPr>
          <w:tab/>
        </w:r>
        <w:r w:rsidRPr="00173A4A">
          <w:rPr>
            <w:rFonts w:ascii="Arial" w:hAnsi="Arial" w:cs="Arial"/>
            <w:sz w:val="18"/>
            <w:szCs w:val="18"/>
          </w:rPr>
          <w:tab/>
        </w:r>
        <w:r w:rsidRPr="00173A4A">
          <w:rPr>
            <w:rFonts w:ascii="Arial" w:hAnsi="Arial" w:cs="Arial"/>
            <w:sz w:val="18"/>
            <w:szCs w:val="18"/>
          </w:rPr>
          <w:fldChar w:fldCharType="begin"/>
        </w:r>
        <w:r w:rsidRPr="00173A4A">
          <w:rPr>
            <w:rFonts w:ascii="Arial" w:hAnsi="Arial" w:cs="Arial"/>
            <w:sz w:val="18"/>
            <w:szCs w:val="18"/>
          </w:rPr>
          <w:instrText xml:space="preserve"> PAGE   \* MERGEFORMAT </w:instrText>
        </w:r>
        <w:r w:rsidRPr="00173A4A">
          <w:rPr>
            <w:rFonts w:ascii="Arial" w:hAnsi="Arial" w:cs="Arial"/>
            <w:sz w:val="18"/>
            <w:szCs w:val="18"/>
          </w:rPr>
          <w:fldChar w:fldCharType="separate"/>
        </w:r>
        <w:r w:rsidR="00FF3E30" w:rsidRPr="00173A4A">
          <w:rPr>
            <w:rFonts w:ascii="Arial" w:hAnsi="Arial" w:cs="Arial"/>
            <w:noProof/>
            <w:sz w:val="18"/>
            <w:szCs w:val="18"/>
          </w:rPr>
          <w:t>2</w:t>
        </w:r>
        <w:r w:rsidRPr="00173A4A">
          <w:rPr>
            <w:rFonts w:ascii="Arial" w:hAnsi="Arial" w:cs="Arial"/>
            <w:noProof/>
            <w:sz w:val="18"/>
            <w:szCs w:val="18"/>
          </w:rPr>
          <w:fldChar w:fldCharType="end"/>
        </w:r>
      </w:p>
    </w:sdtContent>
  </w:sdt>
  <w:p w14:paraId="5CD7E9CA" w14:textId="77777777" w:rsidR="003174E9" w:rsidRPr="00AE05D5" w:rsidRDefault="003174E9">
    <w:pPr>
      <w:pStyle w:val="Footer"/>
      <w:tabs>
        <w:tab w:val="clear" w:pos="4320"/>
        <w:tab w:val="clear" w:pos="8640"/>
        <w:tab w:val="center" w:pos="4680"/>
        <w:tab w:val="right" w:pos="10080"/>
      </w:tabs>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FDE07" w14:textId="77777777" w:rsidR="009B5ADF" w:rsidRDefault="009B5ADF">
      <w:r>
        <w:separator/>
      </w:r>
    </w:p>
  </w:footnote>
  <w:footnote w:type="continuationSeparator" w:id="0">
    <w:p w14:paraId="6EC7783A" w14:textId="77777777" w:rsidR="009B5ADF" w:rsidRDefault="009B5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insideH w:val="single" w:sz="4" w:space="0" w:color="auto"/>
        <w:insideV w:val="single" w:sz="4" w:space="0" w:color="auto"/>
      </w:tblBorders>
      <w:tblLook w:val="0000" w:firstRow="0" w:lastRow="0" w:firstColumn="0" w:lastColumn="0" w:noHBand="0" w:noVBand="0"/>
    </w:tblPr>
    <w:tblGrid>
      <w:gridCol w:w="10080"/>
    </w:tblGrid>
    <w:tr w:rsidR="00055B87" w14:paraId="1BDE3523" w14:textId="77777777" w:rsidTr="00014B9F">
      <w:tc>
        <w:tcPr>
          <w:tcW w:w="10080" w:type="dxa"/>
          <w:shd w:val="clear" w:color="auto" w:fill="000080"/>
        </w:tcPr>
        <w:p w14:paraId="40190B95" w14:textId="77777777" w:rsidR="00055B87" w:rsidRDefault="00055B87" w:rsidP="007C157C">
          <w:pPr>
            <w:tabs>
              <w:tab w:val="right" w:pos="9852"/>
            </w:tabs>
            <w:rPr>
              <w:rFonts w:ascii="Arial" w:hAnsi="Arial" w:cs="Arial"/>
              <w:color w:val="FFFFFF"/>
            </w:rPr>
          </w:pPr>
          <w:r>
            <w:rPr>
              <w:rFonts w:ascii="Arial" w:hAnsi="Arial" w:cs="Arial"/>
              <w:b/>
              <w:bCs/>
              <w:noProof/>
              <w:color w:val="FFFFFF"/>
            </w:rPr>
            <w:t>Lottery, Idaho State</w:t>
          </w:r>
          <w:r>
            <w:rPr>
              <w:rFonts w:ascii="Arial" w:hAnsi="Arial" w:cs="Arial"/>
              <w:b/>
              <w:bCs/>
              <w:color w:val="FFFFFF"/>
            </w:rPr>
            <w:tab/>
          </w:r>
          <w:r>
            <w:rPr>
              <w:rFonts w:ascii="Arial" w:hAnsi="Arial" w:cs="Arial"/>
              <w:color w:val="FFFFFF"/>
            </w:rPr>
            <w:t>Performance Report</w:t>
          </w:r>
        </w:p>
      </w:tc>
    </w:tr>
    <w:tr w:rsidR="00055B87" w14:paraId="177C09AD" w14:textId="77777777" w:rsidTr="00014B9F">
      <w:trPr>
        <w:trHeight w:hRule="exact" w:val="90"/>
      </w:trPr>
      <w:tc>
        <w:tcPr>
          <w:tcW w:w="10080" w:type="dxa"/>
          <w:tcBorders>
            <w:top w:val="nil"/>
          </w:tcBorders>
        </w:tcPr>
        <w:p w14:paraId="36A949AC" w14:textId="77777777" w:rsidR="00055B87" w:rsidRDefault="00055B87" w:rsidP="003275A0"/>
      </w:tc>
    </w:tr>
    <w:tr w:rsidR="00055B87" w14:paraId="724A8062" w14:textId="77777777" w:rsidTr="00014B9F">
      <w:tc>
        <w:tcPr>
          <w:tcW w:w="10080" w:type="dxa"/>
          <w:tcBorders>
            <w:bottom w:val="nil"/>
          </w:tcBorders>
          <w:shd w:val="clear" w:color="auto" w:fill="000080"/>
        </w:tcPr>
        <w:p w14:paraId="0C8C028D" w14:textId="77777777" w:rsidR="00055B87" w:rsidRDefault="00055B87" w:rsidP="003275A0"/>
      </w:tc>
    </w:tr>
  </w:tbl>
  <w:p w14:paraId="2F2C3367" w14:textId="77777777" w:rsidR="00055B87" w:rsidRDefault="00055B87" w:rsidP="00055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CF0CDF"/>
    <w:multiLevelType w:val="hybridMultilevel"/>
    <w:tmpl w:val="1FF2EC70"/>
    <w:lvl w:ilvl="0" w:tplc="17BA825C">
      <w:start w:val="1"/>
      <w:numFmt w:val="decimal"/>
      <w:lvlText w:val="%1."/>
      <w:lvlJc w:val="left"/>
      <w:pPr>
        <w:ind w:left="810" w:hanging="360"/>
      </w:pPr>
      <w:rPr>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6ED9599A"/>
    <w:multiLevelType w:val="hybridMultilevel"/>
    <w:tmpl w:val="1FF2EC70"/>
    <w:lvl w:ilvl="0" w:tplc="17BA825C">
      <w:start w:val="1"/>
      <w:numFmt w:val="decimal"/>
      <w:lvlText w:val="%1."/>
      <w:lvlJc w:val="left"/>
      <w:pPr>
        <w:ind w:left="810" w:hanging="360"/>
      </w:pPr>
      <w:rPr>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849373015">
    <w:abstractNumId w:val="0"/>
  </w:num>
  <w:num w:numId="2" w16cid:durableId="200679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1B8"/>
    <w:rsid w:val="00003B7B"/>
    <w:rsid w:val="00004289"/>
    <w:rsid w:val="00005BC7"/>
    <w:rsid w:val="000069FA"/>
    <w:rsid w:val="000074D3"/>
    <w:rsid w:val="000106C5"/>
    <w:rsid w:val="000145BC"/>
    <w:rsid w:val="00014B9F"/>
    <w:rsid w:val="000326FE"/>
    <w:rsid w:val="00040839"/>
    <w:rsid w:val="000461B1"/>
    <w:rsid w:val="00046DE6"/>
    <w:rsid w:val="000471F5"/>
    <w:rsid w:val="000477CB"/>
    <w:rsid w:val="00047B77"/>
    <w:rsid w:val="00055B87"/>
    <w:rsid w:val="0006549B"/>
    <w:rsid w:val="00071BBC"/>
    <w:rsid w:val="00081233"/>
    <w:rsid w:val="0008167A"/>
    <w:rsid w:val="00093080"/>
    <w:rsid w:val="000A1837"/>
    <w:rsid w:val="000A1E6D"/>
    <w:rsid w:val="000B0C90"/>
    <w:rsid w:val="000B7B0F"/>
    <w:rsid w:val="000C57F3"/>
    <w:rsid w:val="000D27CB"/>
    <w:rsid w:val="000D42DF"/>
    <w:rsid w:val="000E5700"/>
    <w:rsid w:val="000E5C03"/>
    <w:rsid w:val="000E7B7C"/>
    <w:rsid w:val="000F118F"/>
    <w:rsid w:val="000F374F"/>
    <w:rsid w:val="000F761F"/>
    <w:rsid w:val="00101CDF"/>
    <w:rsid w:val="00107C76"/>
    <w:rsid w:val="00111A8A"/>
    <w:rsid w:val="001234E0"/>
    <w:rsid w:val="00124831"/>
    <w:rsid w:val="00135B3C"/>
    <w:rsid w:val="00140472"/>
    <w:rsid w:val="001430B0"/>
    <w:rsid w:val="00143154"/>
    <w:rsid w:val="00147AEA"/>
    <w:rsid w:val="00151536"/>
    <w:rsid w:val="00153654"/>
    <w:rsid w:val="001579E4"/>
    <w:rsid w:val="001615AD"/>
    <w:rsid w:val="00165F59"/>
    <w:rsid w:val="00172B24"/>
    <w:rsid w:val="00173A4A"/>
    <w:rsid w:val="00185F02"/>
    <w:rsid w:val="00186248"/>
    <w:rsid w:val="001865DB"/>
    <w:rsid w:val="00187C86"/>
    <w:rsid w:val="001907D2"/>
    <w:rsid w:val="00192F38"/>
    <w:rsid w:val="001933C8"/>
    <w:rsid w:val="001935A7"/>
    <w:rsid w:val="00193D73"/>
    <w:rsid w:val="001947F8"/>
    <w:rsid w:val="001A0C6F"/>
    <w:rsid w:val="001A29B3"/>
    <w:rsid w:val="001A659C"/>
    <w:rsid w:val="001B4B17"/>
    <w:rsid w:val="001B5A7D"/>
    <w:rsid w:val="001C0260"/>
    <w:rsid w:val="001C0CFC"/>
    <w:rsid w:val="001C2A92"/>
    <w:rsid w:val="001C5114"/>
    <w:rsid w:val="001C682C"/>
    <w:rsid w:val="001D0ECD"/>
    <w:rsid w:val="001D46BA"/>
    <w:rsid w:val="001E1C3C"/>
    <w:rsid w:val="001E4303"/>
    <w:rsid w:val="001E68B5"/>
    <w:rsid w:val="001F21F2"/>
    <w:rsid w:val="001F6A0A"/>
    <w:rsid w:val="001F6F47"/>
    <w:rsid w:val="001F7121"/>
    <w:rsid w:val="002042FA"/>
    <w:rsid w:val="0020641B"/>
    <w:rsid w:val="00206E8E"/>
    <w:rsid w:val="00210364"/>
    <w:rsid w:val="00214BC7"/>
    <w:rsid w:val="00216D3C"/>
    <w:rsid w:val="00217EF3"/>
    <w:rsid w:val="0022357C"/>
    <w:rsid w:val="002272E2"/>
    <w:rsid w:val="00230EF2"/>
    <w:rsid w:val="0023668B"/>
    <w:rsid w:val="0023697F"/>
    <w:rsid w:val="002400EA"/>
    <w:rsid w:val="0024574A"/>
    <w:rsid w:val="00247E78"/>
    <w:rsid w:val="002555AC"/>
    <w:rsid w:val="0025661A"/>
    <w:rsid w:val="00262066"/>
    <w:rsid w:val="00264ED5"/>
    <w:rsid w:val="00267487"/>
    <w:rsid w:val="002703E1"/>
    <w:rsid w:val="00270B8F"/>
    <w:rsid w:val="0027321F"/>
    <w:rsid w:val="00274CCC"/>
    <w:rsid w:val="002835B7"/>
    <w:rsid w:val="00284E50"/>
    <w:rsid w:val="00284EEA"/>
    <w:rsid w:val="002854F0"/>
    <w:rsid w:val="00285BDD"/>
    <w:rsid w:val="00287630"/>
    <w:rsid w:val="0029671A"/>
    <w:rsid w:val="00296E96"/>
    <w:rsid w:val="002A0A9A"/>
    <w:rsid w:val="002A16A0"/>
    <w:rsid w:val="002C5730"/>
    <w:rsid w:val="002C785B"/>
    <w:rsid w:val="002D1949"/>
    <w:rsid w:val="002D4E42"/>
    <w:rsid w:val="002D6984"/>
    <w:rsid w:val="002E41C9"/>
    <w:rsid w:val="002E47C5"/>
    <w:rsid w:val="002E487A"/>
    <w:rsid w:val="002E516F"/>
    <w:rsid w:val="002F01CE"/>
    <w:rsid w:val="002F3A7E"/>
    <w:rsid w:val="002F415D"/>
    <w:rsid w:val="002F582F"/>
    <w:rsid w:val="002F5CD7"/>
    <w:rsid w:val="002F6129"/>
    <w:rsid w:val="00313778"/>
    <w:rsid w:val="003143B9"/>
    <w:rsid w:val="003168CA"/>
    <w:rsid w:val="00317114"/>
    <w:rsid w:val="003174E9"/>
    <w:rsid w:val="003206E3"/>
    <w:rsid w:val="00320830"/>
    <w:rsid w:val="00332AB9"/>
    <w:rsid w:val="00333EE0"/>
    <w:rsid w:val="0033604D"/>
    <w:rsid w:val="00336EDC"/>
    <w:rsid w:val="00337787"/>
    <w:rsid w:val="0034473C"/>
    <w:rsid w:val="00344D5E"/>
    <w:rsid w:val="00345E1A"/>
    <w:rsid w:val="0034623C"/>
    <w:rsid w:val="003464EA"/>
    <w:rsid w:val="003527EA"/>
    <w:rsid w:val="0035493D"/>
    <w:rsid w:val="00356085"/>
    <w:rsid w:val="00360362"/>
    <w:rsid w:val="003758E2"/>
    <w:rsid w:val="00377F3F"/>
    <w:rsid w:val="00393654"/>
    <w:rsid w:val="00395231"/>
    <w:rsid w:val="00395990"/>
    <w:rsid w:val="00395B21"/>
    <w:rsid w:val="00397149"/>
    <w:rsid w:val="003A113C"/>
    <w:rsid w:val="003A38D3"/>
    <w:rsid w:val="003A4076"/>
    <w:rsid w:val="003B465A"/>
    <w:rsid w:val="003B60A3"/>
    <w:rsid w:val="003C14FA"/>
    <w:rsid w:val="003C1E94"/>
    <w:rsid w:val="003C3DE0"/>
    <w:rsid w:val="003C53D1"/>
    <w:rsid w:val="003D0CF2"/>
    <w:rsid w:val="003D1492"/>
    <w:rsid w:val="003D2F12"/>
    <w:rsid w:val="003D3F84"/>
    <w:rsid w:val="003E06C6"/>
    <w:rsid w:val="003E46F6"/>
    <w:rsid w:val="003E7190"/>
    <w:rsid w:val="003E76CB"/>
    <w:rsid w:val="003F13E0"/>
    <w:rsid w:val="003F4696"/>
    <w:rsid w:val="003F6B5B"/>
    <w:rsid w:val="003F6E11"/>
    <w:rsid w:val="00404CEE"/>
    <w:rsid w:val="0041239E"/>
    <w:rsid w:val="00420A1C"/>
    <w:rsid w:val="004217E1"/>
    <w:rsid w:val="00422AB4"/>
    <w:rsid w:val="00431C93"/>
    <w:rsid w:val="00431E36"/>
    <w:rsid w:val="00432A00"/>
    <w:rsid w:val="0044600B"/>
    <w:rsid w:val="00447AD4"/>
    <w:rsid w:val="00450927"/>
    <w:rsid w:val="00450EEC"/>
    <w:rsid w:val="00453EB4"/>
    <w:rsid w:val="00456708"/>
    <w:rsid w:val="00457193"/>
    <w:rsid w:val="00461AF7"/>
    <w:rsid w:val="00466835"/>
    <w:rsid w:val="0046723E"/>
    <w:rsid w:val="00475E18"/>
    <w:rsid w:val="0047697B"/>
    <w:rsid w:val="00477224"/>
    <w:rsid w:val="00480E9B"/>
    <w:rsid w:val="00482178"/>
    <w:rsid w:val="00484DB5"/>
    <w:rsid w:val="00484E53"/>
    <w:rsid w:val="0048515F"/>
    <w:rsid w:val="0048539E"/>
    <w:rsid w:val="004915AA"/>
    <w:rsid w:val="00493A44"/>
    <w:rsid w:val="004A03ED"/>
    <w:rsid w:val="004A3796"/>
    <w:rsid w:val="004A6751"/>
    <w:rsid w:val="004A7188"/>
    <w:rsid w:val="004B1376"/>
    <w:rsid w:val="004B54AC"/>
    <w:rsid w:val="004C3254"/>
    <w:rsid w:val="004C4493"/>
    <w:rsid w:val="004D1F19"/>
    <w:rsid w:val="004D22F3"/>
    <w:rsid w:val="004E6823"/>
    <w:rsid w:val="004E6C9E"/>
    <w:rsid w:val="004F0324"/>
    <w:rsid w:val="004F05B6"/>
    <w:rsid w:val="004F278F"/>
    <w:rsid w:val="004F29F6"/>
    <w:rsid w:val="004F5499"/>
    <w:rsid w:val="00501ACF"/>
    <w:rsid w:val="00502C53"/>
    <w:rsid w:val="005055A2"/>
    <w:rsid w:val="00506EBE"/>
    <w:rsid w:val="00507EDD"/>
    <w:rsid w:val="005104CC"/>
    <w:rsid w:val="005114ED"/>
    <w:rsid w:val="00513E1C"/>
    <w:rsid w:val="0051519D"/>
    <w:rsid w:val="00515591"/>
    <w:rsid w:val="00516832"/>
    <w:rsid w:val="00525633"/>
    <w:rsid w:val="00526022"/>
    <w:rsid w:val="00530177"/>
    <w:rsid w:val="00534A86"/>
    <w:rsid w:val="00534FE6"/>
    <w:rsid w:val="0053694D"/>
    <w:rsid w:val="0053709C"/>
    <w:rsid w:val="00544087"/>
    <w:rsid w:val="005605E2"/>
    <w:rsid w:val="00563455"/>
    <w:rsid w:val="00565DE6"/>
    <w:rsid w:val="0056656B"/>
    <w:rsid w:val="0058213B"/>
    <w:rsid w:val="005835B0"/>
    <w:rsid w:val="005842F5"/>
    <w:rsid w:val="00592636"/>
    <w:rsid w:val="00592FE1"/>
    <w:rsid w:val="00595B7D"/>
    <w:rsid w:val="005A0194"/>
    <w:rsid w:val="005A4A82"/>
    <w:rsid w:val="005A541A"/>
    <w:rsid w:val="005B5AB6"/>
    <w:rsid w:val="005C4CDE"/>
    <w:rsid w:val="005C7B41"/>
    <w:rsid w:val="005D531B"/>
    <w:rsid w:val="005D584F"/>
    <w:rsid w:val="005D651F"/>
    <w:rsid w:val="005E0501"/>
    <w:rsid w:val="005F0010"/>
    <w:rsid w:val="005F29C4"/>
    <w:rsid w:val="005F6CC5"/>
    <w:rsid w:val="00601AF2"/>
    <w:rsid w:val="00602A1E"/>
    <w:rsid w:val="006042BC"/>
    <w:rsid w:val="00604698"/>
    <w:rsid w:val="006057A2"/>
    <w:rsid w:val="006121C1"/>
    <w:rsid w:val="006151AF"/>
    <w:rsid w:val="0062300D"/>
    <w:rsid w:val="00623591"/>
    <w:rsid w:val="006242B6"/>
    <w:rsid w:val="00624A88"/>
    <w:rsid w:val="00626516"/>
    <w:rsid w:val="00632F86"/>
    <w:rsid w:val="00634948"/>
    <w:rsid w:val="00636EC4"/>
    <w:rsid w:val="00643127"/>
    <w:rsid w:val="00644A1B"/>
    <w:rsid w:val="0064735C"/>
    <w:rsid w:val="00657299"/>
    <w:rsid w:val="006611D4"/>
    <w:rsid w:val="00664B52"/>
    <w:rsid w:val="00664BC4"/>
    <w:rsid w:val="006669D1"/>
    <w:rsid w:val="00667FC7"/>
    <w:rsid w:val="00674B2E"/>
    <w:rsid w:val="00677E7B"/>
    <w:rsid w:val="00680282"/>
    <w:rsid w:val="006814F4"/>
    <w:rsid w:val="00684E03"/>
    <w:rsid w:val="00686B46"/>
    <w:rsid w:val="006905A7"/>
    <w:rsid w:val="00693AE8"/>
    <w:rsid w:val="006A5BE7"/>
    <w:rsid w:val="006A6943"/>
    <w:rsid w:val="006B0941"/>
    <w:rsid w:val="006B4623"/>
    <w:rsid w:val="006B62D0"/>
    <w:rsid w:val="006C1ADE"/>
    <w:rsid w:val="006C1C08"/>
    <w:rsid w:val="006C38D3"/>
    <w:rsid w:val="006C3AD2"/>
    <w:rsid w:val="006C722E"/>
    <w:rsid w:val="006C76FF"/>
    <w:rsid w:val="006D11FF"/>
    <w:rsid w:val="006D3971"/>
    <w:rsid w:val="006D7922"/>
    <w:rsid w:val="006F28CD"/>
    <w:rsid w:val="006F34D3"/>
    <w:rsid w:val="006F5668"/>
    <w:rsid w:val="006F60EF"/>
    <w:rsid w:val="006F7E9D"/>
    <w:rsid w:val="007045D6"/>
    <w:rsid w:val="00706A1A"/>
    <w:rsid w:val="00710BC6"/>
    <w:rsid w:val="007171A0"/>
    <w:rsid w:val="0071725C"/>
    <w:rsid w:val="00721138"/>
    <w:rsid w:val="00721205"/>
    <w:rsid w:val="00724833"/>
    <w:rsid w:val="00724F02"/>
    <w:rsid w:val="00725DE3"/>
    <w:rsid w:val="00732DE1"/>
    <w:rsid w:val="00733AA0"/>
    <w:rsid w:val="007361E8"/>
    <w:rsid w:val="00741A4A"/>
    <w:rsid w:val="0074247A"/>
    <w:rsid w:val="00742827"/>
    <w:rsid w:val="007457F0"/>
    <w:rsid w:val="00747F33"/>
    <w:rsid w:val="00750B5C"/>
    <w:rsid w:val="00751BC7"/>
    <w:rsid w:val="00751CC9"/>
    <w:rsid w:val="007532E3"/>
    <w:rsid w:val="00754656"/>
    <w:rsid w:val="00760020"/>
    <w:rsid w:val="007601EB"/>
    <w:rsid w:val="00760C0D"/>
    <w:rsid w:val="007628DB"/>
    <w:rsid w:val="00764536"/>
    <w:rsid w:val="007701AF"/>
    <w:rsid w:val="00771437"/>
    <w:rsid w:val="007723D1"/>
    <w:rsid w:val="00774312"/>
    <w:rsid w:val="00776AA2"/>
    <w:rsid w:val="00782EC4"/>
    <w:rsid w:val="00783919"/>
    <w:rsid w:val="00785CF6"/>
    <w:rsid w:val="00790F04"/>
    <w:rsid w:val="00791EBC"/>
    <w:rsid w:val="00792DCB"/>
    <w:rsid w:val="007973E0"/>
    <w:rsid w:val="007A1B74"/>
    <w:rsid w:val="007A4569"/>
    <w:rsid w:val="007B07C3"/>
    <w:rsid w:val="007B3AF0"/>
    <w:rsid w:val="007B3F37"/>
    <w:rsid w:val="007B58D9"/>
    <w:rsid w:val="007C157C"/>
    <w:rsid w:val="007C23D1"/>
    <w:rsid w:val="007C2872"/>
    <w:rsid w:val="007C337D"/>
    <w:rsid w:val="007D150E"/>
    <w:rsid w:val="007D2843"/>
    <w:rsid w:val="007E18EA"/>
    <w:rsid w:val="007E4F64"/>
    <w:rsid w:val="007E6023"/>
    <w:rsid w:val="007E67D1"/>
    <w:rsid w:val="007E7E5D"/>
    <w:rsid w:val="007F31CB"/>
    <w:rsid w:val="007F4A5C"/>
    <w:rsid w:val="0082030D"/>
    <w:rsid w:val="00833420"/>
    <w:rsid w:val="00837F25"/>
    <w:rsid w:val="008405F4"/>
    <w:rsid w:val="00845A59"/>
    <w:rsid w:val="00846E9C"/>
    <w:rsid w:val="008578BC"/>
    <w:rsid w:val="00864DA4"/>
    <w:rsid w:val="008726A4"/>
    <w:rsid w:val="00876841"/>
    <w:rsid w:val="0087765A"/>
    <w:rsid w:val="00884D5A"/>
    <w:rsid w:val="00894B82"/>
    <w:rsid w:val="008951B4"/>
    <w:rsid w:val="008A093B"/>
    <w:rsid w:val="008A68CB"/>
    <w:rsid w:val="008B30D0"/>
    <w:rsid w:val="008C1D69"/>
    <w:rsid w:val="008C254A"/>
    <w:rsid w:val="008F0F86"/>
    <w:rsid w:val="008F7554"/>
    <w:rsid w:val="008F7FF1"/>
    <w:rsid w:val="00901CDA"/>
    <w:rsid w:val="0091383B"/>
    <w:rsid w:val="009147FC"/>
    <w:rsid w:val="00914933"/>
    <w:rsid w:val="00914E32"/>
    <w:rsid w:val="00915C4E"/>
    <w:rsid w:val="009254EB"/>
    <w:rsid w:val="00931463"/>
    <w:rsid w:val="00934BD5"/>
    <w:rsid w:val="00944509"/>
    <w:rsid w:val="00944B4D"/>
    <w:rsid w:val="00962803"/>
    <w:rsid w:val="00962B7C"/>
    <w:rsid w:val="00962BCE"/>
    <w:rsid w:val="00962EE4"/>
    <w:rsid w:val="009663AA"/>
    <w:rsid w:val="00966C98"/>
    <w:rsid w:val="009717E2"/>
    <w:rsid w:val="00975BDF"/>
    <w:rsid w:val="009837C1"/>
    <w:rsid w:val="009843F0"/>
    <w:rsid w:val="009859EA"/>
    <w:rsid w:val="009875FE"/>
    <w:rsid w:val="00996367"/>
    <w:rsid w:val="009967B0"/>
    <w:rsid w:val="00997434"/>
    <w:rsid w:val="009A3ED0"/>
    <w:rsid w:val="009A4390"/>
    <w:rsid w:val="009B354C"/>
    <w:rsid w:val="009B3A22"/>
    <w:rsid w:val="009B5627"/>
    <w:rsid w:val="009B5ADF"/>
    <w:rsid w:val="009C0792"/>
    <w:rsid w:val="009C6B5E"/>
    <w:rsid w:val="009D0346"/>
    <w:rsid w:val="009D05D6"/>
    <w:rsid w:val="009D09BB"/>
    <w:rsid w:val="009D2801"/>
    <w:rsid w:val="009D359F"/>
    <w:rsid w:val="009D5ACE"/>
    <w:rsid w:val="009E14B2"/>
    <w:rsid w:val="009E2B98"/>
    <w:rsid w:val="009F2F04"/>
    <w:rsid w:val="009F5C2C"/>
    <w:rsid w:val="00A02423"/>
    <w:rsid w:val="00A02A21"/>
    <w:rsid w:val="00A02FEF"/>
    <w:rsid w:val="00A06227"/>
    <w:rsid w:val="00A23B21"/>
    <w:rsid w:val="00A25125"/>
    <w:rsid w:val="00A25C8B"/>
    <w:rsid w:val="00A269CA"/>
    <w:rsid w:val="00A3084D"/>
    <w:rsid w:val="00A3526F"/>
    <w:rsid w:val="00A445A3"/>
    <w:rsid w:val="00A4647E"/>
    <w:rsid w:val="00A55AE8"/>
    <w:rsid w:val="00A663E0"/>
    <w:rsid w:val="00A703AE"/>
    <w:rsid w:val="00A72469"/>
    <w:rsid w:val="00A732AD"/>
    <w:rsid w:val="00A74C8B"/>
    <w:rsid w:val="00A760F3"/>
    <w:rsid w:val="00A81366"/>
    <w:rsid w:val="00A843B5"/>
    <w:rsid w:val="00A9160C"/>
    <w:rsid w:val="00A91D91"/>
    <w:rsid w:val="00A93648"/>
    <w:rsid w:val="00A94F01"/>
    <w:rsid w:val="00A961B8"/>
    <w:rsid w:val="00A9735A"/>
    <w:rsid w:val="00A977AF"/>
    <w:rsid w:val="00AA1AE3"/>
    <w:rsid w:val="00AA3E86"/>
    <w:rsid w:val="00AA4B1B"/>
    <w:rsid w:val="00AA6A5E"/>
    <w:rsid w:val="00AB2DE9"/>
    <w:rsid w:val="00AC1E4F"/>
    <w:rsid w:val="00AC2AC7"/>
    <w:rsid w:val="00AC3609"/>
    <w:rsid w:val="00AC67CB"/>
    <w:rsid w:val="00AD24A2"/>
    <w:rsid w:val="00AD2633"/>
    <w:rsid w:val="00AD2B64"/>
    <w:rsid w:val="00AD4E4F"/>
    <w:rsid w:val="00AD54E7"/>
    <w:rsid w:val="00AD5F37"/>
    <w:rsid w:val="00AD7AA7"/>
    <w:rsid w:val="00AE05D5"/>
    <w:rsid w:val="00AE7631"/>
    <w:rsid w:val="00AF31D0"/>
    <w:rsid w:val="00AF594C"/>
    <w:rsid w:val="00AF632F"/>
    <w:rsid w:val="00B037F4"/>
    <w:rsid w:val="00B05443"/>
    <w:rsid w:val="00B10D22"/>
    <w:rsid w:val="00B14A3B"/>
    <w:rsid w:val="00B16646"/>
    <w:rsid w:val="00B23C1F"/>
    <w:rsid w:val="00B27606"/>
    <w:rsid w:val="00B32D2B"/>
    <w:rsid w:val="00B338B9"/>
    <w:rsid w:val="00B35BA6"/>
    <w:rsid w:val="00B4112C"/>
    <w:rsid w:val="00B42B4A"/>
    <w:rsid w:val="00B46B08"/>
    <w:rsid w:val="00B46F63"/>
    <w:rsid w:val="00B5011E"/>
    <w:rsid w:val="00B55A6A"/>
    <w:rsid w:val="00B65A77"/>
    <w:rsid w:val="00B66B01"/>
    <w:rsid w:val="00B70A6E"/>
    <w:rsid w:val="00B82BD2"/>
    <w:rsid w:val="00B83CC8"/>
    <w:rsid w:val="00B85699"/>
    <w:rsid w:val="00B9453B"/>
    <w:rsid w:val="00B97528"/>
    <w:rsid w:val="00BA1927"/>
    <w:rsid w:val="00BA73BF"/>
    <w:rsid w:val="00BB1D14"/>
    <w:rsid w:val="00BB33DD"/>
    <w:rsid w:val="00BB3E64"/>
    <w:rsid w:val="00BB437D"/>
    <w:rsid w:val="00BB699F"/>
    <w:rsid w:val="00BC0702"/>
    <w:rsid w:val="00BC0866"/>
    <w:rsid w:val="00BC1BA3"/>
    <w:rsid w:val="00BC4EF6"/>
    <w:rsid w:val="00BD1794"/>
    <w:rsid w:val="00BD4757"/>
    <w:rsid w:val="00BD5881"/>
    <w:rsid w:val="00BD7244"/>
    <w:rsid w:val="00BE07C8"/>
    <w:rsid w:val="00BE0DB0"/>
    <w:rsid w:val="00BE1EC4"/>
    <w:rsid w:val="00BE2E96"/>
    <w:rsid w:val="00BF23D1"/>
    <w:rsid w:val="00BF2E51"/>
    <w:rsid w:val="00BF6041"/>
    <w:rsid w:val="00C04725"/>
    <w:rsid w:val="00C04FE4"/>
    <w:rsid w:val="00C13D39"/>
    <w:rsid w:val="00C25CEA"/>
    <w:rsid w:val="00C272E3"/>
    <w:rsid w:val="00C303FE"/>
    <w:rsid w:val="00C3044C"/>
    <w:rsid w:val="00C3503A"/>
    <w:rsid w:val="00C36605"/>
    <w:rsid w:val="00C367A5"/>
    <w:rsid w:val="00C41510"/>
    <w:rsid w:val="00C42A78"/>
    <w:rsid w:val="00C449E0"/>
    <w:rsid w:val="00C53CEF"/>
    <w:rsid w:val="00C7547A"/>
    <w:rsid w:val="00C816F9"/>
    <w:rsid w:val="00C8205F"/>
    <w:rsid w:val="00C858FE"/>
    <w:rsid w:val="00C877DB"/>
    <w:rsid w:val="00C91BE6"/>
    <w:rsid w:val="00C9514E"/>
    <w:rsid w:val="00CA170E"/>
    <w:rsid w:val="00CA590F"/>
    <w:rsid w:val="00CA6632"/>
    <w:rsid w:val="00CA7D44"/>
    <w:rsid w:val="00CB4505"/>
    <w:rsid w:val="00CC11AD"/>
    <w:rsid w:val="00CC31F7"/>
    <w:rsid w:val="00CC378D"/>
    <w:rsid w:val="00CC72AD"/>
    <w:rsid w:val="00CD0858"/>
    <w:rsid w:val="00CD322C"/>
    <w:rsid w:val="00CD739C"/>
    <w:rsid w:val="00CE1D1A"/>
    <w:rsid w:val="00CE4002"/>
    <w:rsid w:val="00CE4228"/>
    <w:rsid w:val="00CE53DC"/>
    <w:rsid w:val="00CF289C"/>
    <w:rsid w:val="00D00B5E"/>
    <w:rsid w:val="00D00D82"/>
    <w:rsid w:val="00D014E8"/>
    <w:rsid w:val="00D01F54"/>
    <w:rsid w:val="00D03D0B"/>
    <w:rsid w:val="00D042D1"/>
    <w:rsid w:val="00D04F6D"/>
    <w:rsid w:val="00D0642C"/>
    <w:rsid w:val="00D06986"/>
    <w:rsid w:val="00D10AD1"/>
    <w:rsid w:val="00D1143B"/>
    <w:rsid w:val="00D116EA"/>
    <w:rsid w:val="00D11F6C"/>
    <w:rsid w:val="00D14126"/>
    <w:rsid w:val="00D15B1E"/>
    <w:rsid w:val="00D17118"/>
    <w:rsid w:val="00D20D54"/>
    <w:rsid w:val="00D304F6"/>
    <w:rsid w:val="00D3129E"/>
    <w:rsid w:val="00D3306A"/>
    <w:rsid w:val="00D33426"/>
    <w:rsid w:val="00D33D51"/>
    <w:rsid w:val="00D3491D"/>
    <w:rsid w:val="00D35350"/>
    <w:rsid w:val="00D403C4"/>
    <w:rsid w:val="00D424B1"/>
    <w:rsid w:val="00D42E66"/>
    <w:rsid w:val="00D432C4"/>
    <w:rsid w:val="00D56A6F"/>
    <w:rsid w:val="00D57655"/>
    <w:rsid w:val="00D62CDA"/>
    <w:rsid w:val="00D6682A"/>
    <w:rsid w:val="00D672F2"/>
    <w:rsid w:val="00D7183D"/>
    <w:rsid w:val="00D74942"/>
    <w:rsid w:val="00D808F1"/>
    <w:rsid w:val="00D809B2"/>
    <w:rsid w:val="00D80BA3"/>
    <w:rsid w:val="00D81F65"/>
    <w:rsid w:val="00D8401D"/>
    <w:rsid w:val="00D84E89"/>
    <w:rsid w:val="00D855E9"/>
    <w:rsid w:val="00D93EB4"/>
    <w:rsid w:val="00D95218"/>
    <w:rsid w:val="00DA39C7"/>
    <w:rsid w:val="00DB2DBB"/>
    <w:rsid w:val="00DB4F49"/>
    <w:rsid w:val="00DC3B6F"/>
    <w:rsid w:val="00DC5FFC"/>
    <w:rsid w:val="00DD038A"/>
    <w:rsid w:val="00DD0917"/>
    <w:rsid w:val="00DD17D4"/>
    <w:rsid w:val="00DD493E"/>
    <w:rsid w:val="00DD6A65"/>
    <w:rsid w:val="00DE1340"/>
    <w:rsid w:val="00DE1FC7"/>
    <w:rsid w:val="00DE247E"/>
    <w:rsid w:val="00DE29C0"/>
    <w:rsid w:val="00E12608"/>
    <w:rsid w:val="00E141DB"/>
    <w:rsid w:val="00E14809"/>
    <w:rsid w:val="00E16037"/>
    <w:rsid w:val="00E17B11"/>
    <w:rsid w:val="00E2117B"/>
    <w:rsid w:val="00E21A05"/>
    <w:rsid w:val="00E22CAD"/>
    <w:rsid w:val="00E2463E"/>
    <w:rsid w:val="00E31F48"/>
    <w:rsid w:val="00E34357"/>
    <w:rsid w:val="00E45232"/>
    <w:rsid w:val="00E461B2"/>
    <w:rsid w:val="00E4674A"/>
    <w:rsid w:val="00E46F0E"/>
    <w:rsid w:val="00E50A8C"/>
    <w:rsid w:val="00E50F69"/>
    <w:rsid w:val="00E65C71"/>
    <w:rsid w:val="00E67D47"/>
    <w:rsid w:val="00E67D60"/>
    <w:rsid w:val="00E70A33"/>
    <w:rsid w:val="00E731C7"/>
    <w:rsid w:val="00E76530"/>
    <w:rsid w:val="00E77DF5"/>
    <w:rsid w:val="00E83D25"/>
    <w:rsid w:val="00E85BFA"/>
    <w:rsid w:val="00E87FEA"/>
    <w:rsid w:val="00E90E99"/>
    <w:rsid w:val="00E93476"/>
    <w:rsid w:val="00E9461B"/>
    <w:rsid w:val="00E971F3"/>
    <w:rsid w:val="00EA0864"/>
    <w:rsid w:val="00EB61C1"/>
    <w:rsid w:val="00EC3E5C"/>
    <w:rsid w:val="00EC4DAA"/>
    <w:rsid w:val="00EC5302"/>
    <w:rsid w:val="00EC6AF5"/>
    <w:rsid w:val="00ED193B"/>
    <w:rsid w:val="00ED24B5"/>
    <w:rsid w:val="00EE1A34"/>
    <w:rsid w:val="00EE57C2"/>
    <w:rsid w:val="00EE78A5"/>
    <w:rsid w:val="00EF0E3F"/>
    <w:rsid w:val="00EF18DB"/>
    <w:rsid w:val="00EF1D1F"/>
    <w:rsid w:val="00EF2DAE"/>
    <w:rsid w:val="00EF3BCA"/>
    <w:rsid w:val="00EF78DE"/>
    <w:rsid w:val="00F016F4"/>
    <w:rsid w:val="00F02CE5"/>
    <w:rsid w:val="00F03B7E"/>
    <w:rsid w:val="00F04407"/>
    <w:rsid w:val="00F06BA8"/>
    <w:rsid w:val="00F07518"/>
    <w:rsid w:val="00F2554B"/>
    <w:rsid w:val="00F30300"/>
    <w:rsid w:val="00F32C08"/>
    <w:rsid w:val="00F33162"/>
    <w:rsid w:val="00F4532A"/>
    <w:rsid w:val="00F46A68"/>
    <w:rsid w:val="00F476A8"/>
    <w:rsid w:val="00F5427C"/>
    <w:rsid w:val="00F63DB6"/>
    <w:rsid w:val="00F63E89"/>
    <w:rsid w:val="00F64769"/>
    <w:rsid w:val="00F64E91"/>
    <w:rsid w:val="00F652A3"/>
    <w:rsid w:val="00F666A4"/>
    <w:rsid w:val="00F74C98"/>
    <w:rsid w:val="00F76376"/>
    <w:rsid w:val="00F8604C"/>
    <w:rsid w:val="00F865D7"/>
    <w:rsid w:val="00F92B41"/>
    <w:rsid w:val="00F9750B"/>
    <w:rsid w:val="00F9776C"/>
    <w:rsid w:val="00FA0363"/>
    <w:rsid w:val="00FA78BD"/>
    <w:rsid w:val="00FB0844"/>
    <w:rsid w:val="00FB0BFA"/>
    <w:rsid w:val="00FB2E57"/>
    <w:rsid w:val="00FB3635"/>
    <w:rsid w:val="00FC30BB"/>
    <w:rsid w:val="00FC3887"/>
    <w:rsid w:val="00FC5D14"/>
    <w:rsid w:val="00FC7B91"/>
    <w:rsid w:val="00FD000C"/>
    <w:rsid w:val="00FD0AAE"/>
    <w:rsid w:val="00FD37B0"/>
    <w:rsid w:val="00FD474C"/>
    <w:rsid w:val="00FD6980"/>
    <w:rsid w:val="00FE234B"/>
    <w:rsid w:val="00FE23D2"/>
    <w:rsid w:val="00FE4282"/>
    <w:rsid w:val="00FE4A80"/>
    <w:rsid w:val="00FE5C07"/>
    <w:rsid w:val="00FF27FD"/>
    <w:rsid w:val="00FF3E30"/>
    <w:rsid w:val="00FF6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436833"/>
  <w15:docId w15:val="{C81512A3-1237-41F4-B453-E17F32AEA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B77"/>
    <w:rPr>
      <w:sz w:val="24"/>
      <w:szCs w:val="24"/>
    </w:rPr>
  </w:style>
  <w:style w:type="paragraph" w:styleId="Heading1">
    <w:name w:val="heading 1"/>
    <w:basedOn w:val="Normal"/>
    <w:next w:val="Normal"/>
    <w:link w:val="Heading1Char"/>
    <w:qFormat/>
    <w:locked/>
    <w:rsid w:val="001935A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A961B8"/>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1B5A7D"/>
    <w:rPr>
      <w:rFonts w:ascii="Cambria" w:hAnsi="Cambria" w:cs="Times New Roman"/>
      <w:b/>
      <w:bCs/>
      <w:i/>
      <w:iCs/>
      <w:sz w:val="28"/>
      <w:szCs w:val="28"/>
    </w:rPr>
  </w:style>
  <w:style w:type="paragraph" w:styleId="EnvelopeAddress">
    <w:name w:val="envelope address"/>
    <w:basedOn w:val="Normal"/>
    <w:uiPriority w:val="99"/>
    <w:rsid w:val="00047B77"/>
    <w:pPr>
      <w:framePr w:w="7920" w:h="1980" w:hRule="exact" w:hSpace="180" w:wrap="auto" w:hAnchor="page" w:xAlign="center" w:yAlign="bottom"/>
      <w:ind w:left="2880"/>
    </w:pPr>
    <w:rPr>
      <w:rFonts w:ascii="Courier New" w:hAnsi="Courier New" w:cs="Arial"/>
      <w:caps/>
    </w:rPr>
  </w:style>
  <w:style w:type="paragraph" w:styleId="Header">
    <w:name w:val="header"/>
    <w:basedOn w:val="Normal"/>
    <w:link w:val="HeaderChar"/>
    <w:uiPriority w:val="99"/>
    <w:rsid w:val="00047B77"/>
    <w:pPr>
      <w:tabs>
        <w:tab w:val="center" w:pos="4320"/>
        <w:tab w:val="right" w:pos="8640"/>
      </w:tabs>
    </w:pPr>
  </w:style>
  <w:style w:type="character" w:customStyle="1" w:styleId="HeaderChar">
    <w:name w:val="Header Char"/>
    <w:basedOn w:val="DefaultParagraphFont"/>
    <w:link w:val="Header"/>
    <w:uiPriority w:val="99"/>
    <w:semiHidden/>
    <w:locked/>
    <w:rsid w:val="001B5A7D"/>
    <w:rPr>
      <w:rFonts w:cs="Times New Roman"/>
      <w:sz w:val="24"/>
      <w:szCs w:val="24"/>
    </w:rPr>
  </w:style>
  <w:style w:type="paragraph" w:styleId="Footer">
    <w:name w:val="footer"/>
    <w:basedOn w:val="Normal"/>
    <w:link w:val="FooterChar"/>
    <w:uiPriority w:val="99"/>
    <w:rsid w:val="00047B77"/>
    <w:pPr>
      <w:tabs>
        <w:tab w:val="center" w:pos="4320"/>
        <w:tab w:val="right" w:pos="8640"/>
      </w:tabs>
    </w:pPr>
  </w:style>
  <w:style w:type="character" w:customStyle="1" w:styleId="FooterChar">
    <w:name w:val="Footer Char"/>
    <w:basedOn w:val="DefaultParagraphFont"/>
    <w:link w:val="Footer"/>
    <w:uiPriority w:val="99"/>
    <w:locked/>
    <w:rsid w:val="001B5A7D"/>
    <w:rPr>
      <w:rFonts w:cs="Times New Roman"/>
      <w:sz w:val="24"/>
      <w:szCs w:val="24"/>
    </w:rPr>
  </w:style>
  <w:style w:type="character" w:styleId="PageNumber">
    <w:name w:val="page number"/>
    <w:basedOn w:val="DefaultParagraphFont"/>
    <w:uiPriority w:val="99"/>
    <w:rsid w:val="00047B77"/>
    <w:rPr>
      <w:rFonts w:cs="Times New Roman"/>
    </w:rPr>
  </w:style>
  <w:style w:type="paragraph" w:styleId="BodyText">
    <w:name w:val="Body Text"/>
    <w:basedOn w:val="Normal"/>
    <w:link w:val="BodyTextChar"/>
    <w:uiPriority w:val="99"/>
    <w:rsid w:val="00047B77"/>
    <w:rPr>
      <w:sz w:val="23"/>
      <w:szCs w:val="20"/>
    </w:rPr>
  </w:style>
  <w:style w:type="character" w:customStyle="1" w:styleId="BodyTextChar">
    <w:name w:val="Body Text Char"/>
    <w:basedOn w:val="DefaultParagraphFont"/>
    <w:link w:val="BodyText"/>
    <w:uiPriority w:val="99"/>
    <w:semiHidden/>
    <w:locked/>
    <w:rsid w:val="001B5A7D"/>
    <w:rPr>
      <w:rFonts w:cs="Times New Roman"/>
      <w:sz w:val="24"/>
      <w:szCs w:val="24"/>
    </w:rPr>
  </w:style>
  <w:style w:type="paragraph" w:styleId="BodyText2">
    <w:name w:val="Body Text 2"/>
    <w:basedOn w:val="Normal"/>
    <w:link w:val="BodyText2Char"/>
    <w:uiPriority w:val="99"/>
    <w:rsid w:val="00047B77"/>
    <w:rPr>
      <w:szCs w:val="20"/>
    </w:rPr>
  </w:style>
  <w:style w:type="character" w:customStyle="1" w:styleId="BodyText2Char">
    <w:name w:val="Body Text 2 Char"/>
    <w:basedOn w:val="DefaultParagraphFont"/>
    <w:link w:val="BodyText2"/>
    <w:uiPriority w:val="99"/>
    <w:semiHidden/>
    <w:locked/>
    <w:rsid w:val="001B5A7D"/>
    <w:rPr>
      <w:rFonts w:cs="Times New Roman"/>
      <w:sz w:val="24"/>
      <w:szCs w:val="24"/>
    </w:rPr>
  </w:style>
  <w:style w:type="character" w:styleId="Hyperlink">
    <w:name w:val="Hyperlink"/>
    <w:basedOn w:val="DefaultParagraphFont"/>
    <w:uiPriority w:val="99"/>
    <w:rsid w:val="001F7121"/>
    <w:rPr>
      <w:rFonts w:cs="Times New Roman"/>
      <w:color w:val="0000FF"/>
      <w:u w:val="single"/>
    </w:rPr>
  </w:style>
  <w:style w:type="character" w:styleId="CommentReference">
    <w:name w:val="annotation reference"/>
    <w:basedOn w:val="DefaultParagraphFont"/>
    <w:uiPriority w:val="99"/>
    <w:semiHidden/>
    <w:rsid w:val="007701AF"/>
    <w:rPr>
      <w:rFonts w:cs="Times New Roman"/>
      <w:sz w:val="16"/>
      <w:szCs w:val="16"/>
    </w:rPr>
  </w:style>
  <w:style w:type="paragraph" w:styleId="CommentText">
    <w:name w:val="annotation text"/>
    <w:basedOn w:val="Normal"/>
    <w:link w:val="CommentTextChar"/>
    <w:uiPriority w:val="99"/>
    <w:semiHidden/>
    <w:rsid w:val="007701AF"/>
    <w:rPr>
      <w:sz w:val="20"/>
      <w:szCs w:val="20"/>
    </w:rPr>
  </w:style>
  <w:style w:type="character" w:customStyle="1" w:styleId="CommentTextChar">
    <w:name w:val="Comment Text Char"/>
    <w:basedOn w:val="DefaultParagraphFont"/>
    <w:link w:val="CommentText"/>
    <w:uiPriority w:val="99"/>
    <w:semiHidden/>
    <w:locked/>
    <w:rsid w:val="007701AF"/>
    <w:rPr>
      <w:rFonts w:cs="Times New Roman"/>
      <w:lang w:val="en-US" w:eastAsia="en-US" w:bidi="ar-SA"/>
    </w:rPr>
  </w:style>
  <w:style w:type="paragraph" w:styleId="BalloonText">
    <w:name w:val="Balloon Text"/>
    <w:basedOn w:val="Normal"/>
    <w:link w:val="BalloonTextChar"/>
    <w:uiPriority w:val="99"/>
    <w:semiHidden/>
    <w:rsid w:val="007701A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5A7D"/>
    <w:rPr>
      <w:rFonts w:cs="Times New Roman"/>
      <w:sz w:val="2"/>
    </w:rPr>
  </w:style>
  <w:style w:type="character" w:customStyle="1" w:styleId="f11s">
    <w:name w:val="f11s"/>
    <w:basedOn w:val="DefaultParagraphFont"/>
    <w:uiPriority w:val="99"/>
    <w:rsid w:val="0035493D"/>
    <w:rPr>
      <w:rFonts w:cs="Times New Roman"/>
    </w:rPr>
  </w:style>
  <w:style w:type="paragraph" w:styleId="CommentSubject">
    <w:name w:val="annotation subject"/>
    <w:basedOn w:val="CommentText"/>
    <w:next w:val="CommentText"/>
    <w:link w:val="CommentSubjectChar"/>
    <w:uiPriority w:val="99"/>
    <w:semiHidden/>
    <w:unhideWhenUsed/>
    <w:rsid w:val="007C2872"/>
    <w:rPr>
      <w:b/>
      <w:bCs/>
    </w:rPr>
  </w:style>
  <w:style w:type="character" w:customStyle="1" w:styleId="CommentSubjectChar">
    <w:name w:val="Comment Subject Char"/>
    <w:basedOn w:val="CommentTextChar"/>
    <w:link w:val="CommentSubject"/>
    <w:uiPriority w:val="99"/>
    <w:semiHidden/>
    <w:rsid w:val="007C2872"/>
    <w:rPr>
      <w:rFonts w:cs="Times New Roman"/>
      <w:b/>
      <w:bCs/>
      <w:sz w:val="20"/>
      <w:szCs w:val="20"/>
      <w:lang w:val="en-US" w:eastAsia="en-US" w:bidi="ar-SA"/>
    </w:rPr>
  </w:style>
  <w:style w:type="paragraph" w:styleId="ListParagraph">
    <w:name w:val="List Paragraph"/>
    <w:basedOn w:val="Normal"/>
    <w:uiPriority w:val="34"/>
    <w:qFormat/>
    <w:rsid w:val="00F666A4"/>
    <w:pPr>
      <w:ind w:left="720"/>
      <w:contextualSpacing/>
    </w:pPr>
  </w:style>
  <w:style w:type="character" w:customStyle="1" w:styleId="Heading1Char">
    <w:name w:val="Heading 1 Char"/>
    <w:basedOn w:val="DefaultParagraphFont"/>
    <w:link w:val="Heading1"/>
    <w:rsid w:val="001935A7"/>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5104CC"/>
    <w:rPr>
      <w:sz w:val="24"/>
      <w:szCs w:val="24"/>
    </w:rPr>
  </w:style>
  <w:style w:type="character" w:styleId="UnresolvedMention">
    <w:name w:val="Unresolved Mention"/>
    <w:basedOn w:val="DefaultParagraphFont"/>
    <w:uiPriority w:val="99"/>
    <w:semiHidden/>
    <w:unhideWhenUsed/>
    <w:rsid w:val="007546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32310">
      <w:bodyDiv w:val="1"/>
      <w:marLeft w:val="0"/>
      <w:marRight w:val="0"/>
      <w:marTop w:val="0"/>
      <w:marBottom w:val="0"/>
      <w:divBdr>
        <w:top w:val="none" w:sz="0" w:space="0" w:color="auto"/>
        <w:left w:val="none" w:sz="0" w:space="0" w:color="auto"/>
        <w:bottom w:val="none" w:sz="0" w:space="0" w:color="auto"/>
        <w:right w:val="none" w:sz="0" w:space="0" w:color="auto"/>
      </w:divBdr>
    </w:div>
    <w:div w:id="24599063">
      <w:bodyDiv w:val="1"/>
      <w:marLeft w:val="0"/>
      <w:marRight w:val="0"/>
      <w:marTop w:val="0"/>
      <w:marBottom w:val="0"/>
      <w:divBdr>
        <w:top w:val="none" w:sz="0" w:space="0" w:color="auto"/>
        <w:left w:val="none" w:sz="0" w:space="0" w:color="auto"/>
        <w:bottom w:val="none" w:sz="0" w:space="0" w:color="auto"/>
        <w:right w:val="none" w:sz="0" w:space="0" w:color="auto"/>
      </w:divBdr>
    </w:div>
    <w:div w:id="92824448">
      <w:bodyDiv w:val="1"/>
      <w:marLeft w:val="0"/>
      <w:marRight w:val="0"/>
      <w:marTop w:val="0"/>
      <w:marBottom w:val="0"/>
      <w:divBdr>
        <w:top w:val="none" w:sz="0" w:space="0" w:color="auto"/>
        <w:left w:val="none" w:sz="0" w:space="0" w:color="auto"/>
        <w:bottom w:val="none" w:sz="0" w:space="0" w:color="auto"/>
        <w:right w:val="none" w:sz="0" w:space="0" w:color="auto"/>
      </w:divBdr>
    </w:div>
    <w:div w:id="350229569">
      <w:bodyDiv w:val="1"/>
      <w:marLeft w:val="0"/>
      <w:marRight w:val="0"/>
      <w:marTop w:val="0"/>
      <w:marBottom w:val="0"/>
      <w:divBdr>
        <w:top w:val="none" w:sz="0" w:space="0" w:color="auto"/>
        <w:left w:val="none" w:sz="0" w:space="0" w:color="auto"/>
        <w:bottom w:val="none" w:sz="0" w:space="0" w:color="auto"/>
        <w:right w:val="none" w:sz="0" w:space="0" w:color="auto"/>
      </w:divBdr>
    </w:div>
    <w:div w:id="416636732">
      <w:bodyDiv w:val="1"/>
      <w:marLeft w:val="0"/>
      <w:marRight w:val="0"/>
      <w:marTop w:val="0"/>
      <w:marBottom w:val="0"/>
      <w:divBdr>
        <w:top w:val="none" w:sz="0" w:space="0" w:color="auto"/>
        <w:left w:val="none" w:sz="0" w:space="0" w:color="auto"/>
        <w:bottom w:val="none" w:sz="0" w:space="0" w:color="auto"/>
        <w:right w:val="none" w:sz="0" w:space="0" w:color="auto"/>
      </w:divBdr>
    </w:div>
    <w:div w:id="658458639">
      <w:bodyDiv w:val="1"/>
      <w:marLeft w:val="0"/>
      <w:marRight w:val="0"/>
      <w:marTop w:val="0"/>
      <w:marBottom w:val="0"/>
      <w:divBdr>
        <w:top w:val="none" w:sz="0" w:space="0" w:color="auto"/>
        <w:left w:val="none" w:sz="0" w:space="0" w:color="auto"/>
        <w:bottom w:val="none" w:sz="0" w:space="0" w:color="auto"/>
        <w:right w:val="none" w:sz="0" w:space="0" w:color="auto"/>
      </w:divBdr>
    </w:div>
    <w:div w:id="699476049">
      <w:bodyDiv w:val="1"/>
      <w:marLeft w:val="0"/>
      <w:marRight w:val="0"/>
      <w:marTop w:val="0"/>
      <w:marBottom w:val="0"/>
      <w:divBdr>
        <w:top w:val="none" w:sz="0" w:space="0" w:color="auto"/>
        <w:left w:val="none" w:sz="0" w:space="0" w:color="auto"/>
        <w:bottom w:val="none" w:sz="0" w:space="0" w:color="auto"/>
        <w:right w:val="none" w:sz="0" w:space="0" w:color="auto"/>
      </w:divBdr>
    </w:div>
    <w:div w:id="759106122">
      <w:bodyDiv w:val="1"/>
      <w:marLeft w:val="0"/>
      <w:marRight w:val="0"/>
      <w:marTop w:val="0"/>
      <w:marBottom w:val="0"/>
      <w:divBdr>
        <w:top w:val="none" w:sz="0" w:space="0" w:color="auto"/>
        <w:left w:val="none" w:sz="0" w:space="0" w:color="auto"/>
        <w:bottom w:val="none" w:sz="0" w:space="0" w:color="auto"/>
        <w:right w:val="none" w:sz="0" w:space="0" w:color="auto"/>
      </w:divBdr>
    </w:div>
    <w:div w:id="817457668">
      <w:bodyDiv w:val="1"/>
      <w:marLeft w:val="0"/>
      <w:marRight w:val="0"/>
      <w:marTop w:val="0"/>
      <w:marBottom w:val="0"/>
      <w:divBdr>
        <w:top w:val="none" w:sz="0" w:space="0" w:color="auto"/>
        <w:left w:val="none" w:sz="0" w:space="0" w:color="auto"/>
        <w:bottom w:val="none" w:sz="0" w:space="0" w:color="auto"/>
        <w:right w:val="none" w:sz="0" w:space="0" w:color="auto"/>
      </w:divBdr>
    </w:div>
    <w:div w:id="985549503">
      <w:bodyDiv w:val="1"/>
      <w:marLeft w:val="0"/>
      <w:marRight w:val="0"/>
      <w:marTop w:val="0"/>
      <w:marBottom w:val="0"/>
      <w:divBdr>
        <w:top w:val="none" w:sz="0" w:space="0" w:color="auto"/>
        <w:left w:val="none" w:sz="0" w:space="0" w:color="auto"/>
        <w:bottom w:val="none" w:sz="0" w:space="0" w:color="auto"/>
        <w:right w:val="none" w:sz="0" w:space="0" w:color="auto"/>
      </w:divBdr>
    </w:div>
    <w:div w:id="1095326923">
      <w:bodyDiv w:val="1"/>
      <w:marLeft w:val="0"/>
      <w:marRight w:val="0"/>
      <w:marTop w:val="0"/>
      <w:marBottom w:val="0"/>
      <w:divBdr>
        <w:top w:val="none" w:sz="0" w:space="0" w:color="auto"/>
        <w:left w:val="none" w:sz="0" w:space="0" w:color="auto"/>
        <w:bottom w:val="none" w:sz="0" w:space="0" w:color="auto"/>
        <w:right w:val="none" w:sz="0" w:space="0" w:color="auto"/>
      </w:divBdr>
    </w:div>
    <w:div w:id="1184978725">
      <w:bodyDiv w:val="1"/>
      <w:marLeft w:val="0"/>
      <w:marRight w:val="0"/>
      <w:marTop w:val="0"/>
      <w:marBottom w:val="0"/>
      <w:divBdr>
        <w:top w:val="none" w:sz="0" w:space="0" w:color="auto"/>
        <w:left w:val="none" w:sz="0" w:space="0" w:color="auto"/>
        <w:bottom w:val="none" w:sz="0" w:space="0" w:color="auto"/>
        <w:right w:val="none" w:sz="0" w:space="0" w:color="auto"/>
      </w:divBdr>
    </w:div>
    <w:div w:id="1340424420">
      <w:bodyDiv w:val="1"/>
      <w:marLeft w:val="0"/>
      <w:marRight w:val="0"/>
      <w:marTop w:val="0"/>
      <w:marBottom w:val="0"/>
      <w:divBdr>
        <w:top w:val="none" w:sz="0" w:space="0" w:color="auto"/>
        <w:left w:val="none" w:sz="0" w:space="0" w:color="auto"/>
        <w:bottom w:val="none" w:sz="0" w:space="0" w:color="auto"/>
        <w:right w:val="none" w:sz="0" w:space="0" w:color="auto"/>
      </w:divBdr>
    </w:div>
    <w:div w:id="1428961473">
      <w:bodyDiv w:val="1"/>
      <w:marLeft w:val="0"/>
      <w:marRight w:val="0"/>
      <w:marTop w:val="0"/>
      <w:marBottom w:val="0"/>
      <w:divBdr>
        <w:top w:val="none" w:sz="0" w:space="0" w:color="auto"/>
        <w:left w:val="none" w:sz="0" w:space="0" w:color="auto"/>
        <w:bottom w:val="none" w:sz="0" w:space="0" w:color="auto"/>
        <w:right w:val="none" w:sz="0" w:space="0" w:color="auto"/>
      </w:divBdr>
    </w:div>
    <w:div w:id="1579443989">
      <w:bodyDiv w:val="1"/>
      <w:marLeft w:val="0"/>
      <w:marRight w:val="0"/>
      <w:marTop w:val="0"/>
      <w:marBottom w:val="0"/>
      <w:divBdr>
        <w:top w:val="none" w:sz="0" w:space="0" w:color="auto"/>
        <w:left w:val="none" w:sz="0" w:space="0" w:color="auto"/>
        <w:bottom w:val="none" w:sz="0" w:space="0" w:color="auto"/>
        <w:right w:val="none" w:sz="0" w:space="0" w:color="auto"/>
      </w:divBdr>
    </w:div>
    <w:div w:id="1584140554">
      <w:bodyDiv w:val="1"/>
      <w:marLeft w:val="0"/>
      <w:marRight w:val="0"/>
      <w:marTop w:val="0"/>
      <w:marBottom w:val="0"/>
      <w:divBdr>
        <w:top w:val="none" w:sz="0" w:space="0" w:color="auto"/>
        <w:left w:val="none" w:sz="0" w:space="0" w:color="auto"/>
        <w:bottom w:val="none" w:sz="0" w:space="0" w:color="auto"/>
        <w:right w:val="none" w:sz="0" w:space="0" w:color="auto"/>
      </w:divBdr>
    </w:div>
    <w:div w:id="1744185026">
      <w:marLeft w:val="0"/>
      <w:marRight w:val="0"/>
      <w:marTop w:val="0"/>
      <w:marBottom w:val="0"/>
      <w:divBdr>
        <w:top w:val="none" w:sz="0" w:space="0" w:color="auto"/>
        <w:left w:val="none" w:sz="0" w:space="0" w:color="auto"/>
        <w:bottom w:val="none" w:sz="0" w:space="0" w:color="auto"/>
        <w:right w:val="none" w:sz="0" w:space="0" w:color="auto"/>
      </w:divBdr>
    </w:div>
    <w:div w:id="1744185027">
      <w:marLeft w:val="0"/>
      <w:marRight w:val="0"/>
      <w:marTop w:val="0"/>
      <w:marBottom w:val="0"/>
      <w:divBdr>
        <w:top w:val="none" w:sz="0" w:space="0" w:color="auto"/>
        <w:left w:val="none" w:sz="0" w:space="0" w:color="auto"/>
        <w:bottom w:val="none" w:sz="0" w:space="0" w:color="auto"/>
        <w:right w:val="none" w:sz="0" w:space="0" w:color="auto"/>
      </w:divBdr>
    </w:div>
    <w:div w:id="1744185028">
      <w:marLeft w:val="0"/>
      <w:marRight w:val="0"/>
      <w:marTop w:val="0"/>
      <w:marBottom w:val="0"/>
      <w:divBdr>
        <w:top w:val="none" w:sz="0" w:space="0" w:color="auto"/>
        <w:left w:val="none" w:sz="0" w:space="0" w:color="auto"/>
        <w:bottom w:val="none" w:sz="0" w:space="0" w:color="auto"/>
        <w:right w:val="none" w:sz="0" w:space="0" w:color="auto"/>
      </w:divBdr>
    </w:div>
    <w:div w:id="1744185029">
      <w:marLeft w:val="0"/>
      <w:marRight w:val="0"/>
      <w:marTop w:val="0"/>
      <w:marBottom w:val="0"/>
      <w:divBdr>
        <w:top w:val="none" w:sz="0" w:space="0" w:color="auto"/>
        <w:left w:val="none" w:sz="0" w:space="0" w:color="auto"/>
        <w:bottom w:val="none" w:sz="0" w:space="0" w:color="auto"/>
        <w:right w:val="none" w:sz="0" w:space="0" w:color="auto"/>
      </w:divBdr>
    </w:div>
    <w:div w:id="1744185030">
      <w:marLeft w:val="0"/>
      <w:marRight w:val="0"/>
      <w:marTop w:val="0"/>
      <w:marBottom w:val="0"/>
      <w:divBdr>
        <w:top w:val="none" w:sz="0" w:space="0" w:color="auto"/>
        <w:left w:val="none" w:sz="0" w:space="0" w:color="auto"/>
        <w:bottom w:val="none" w:sz="0" w:space="0" w:color="auto"/>
        <w:right w:val="none" w:sz="0" w:space="0" w:color="auto"/>
      </w:divBdr>
    </w:div>
    <w:div w:id="1744185031">
      <w:marLeft w:val="0"/>
      <w:marRight w:val="0"/>
      <w:marTop w:val="0"/>
      <w:marBottom w:val="0"/>
      <w:divBdr>
        <w:top w:val="none" w:sz="0" w:space="0" w:color="auto"/>
        <w:left w:val="none" w:sz="0" w:space="0" w:color="auto"/>
        <w:bottom w:val="none" w:sz="0" w:space="0" w:color="auto"/>
        <w:right w:val="none" w:sz="0" w:space="0" w:color="auto"/>
      </w:divBdr>
    </w:div>
    <w:div w:id="1748380719">
      <w:bodyDiv w:val="1"/>
      <w:marLeft w:val="0"/>
      <w:marRight w:val="0"/>
      <w:marTop w:val="0"/>
      <w:marBottom w:val="0"/>
      <w:divBdr>
        <w:top w:val="none" w:sz="0" w:space="0" w:color="auto"/>
        <w:left w:val="none" w:sz="0" w:space="0" w:color="auto"/>
        <w:bottom w:val="none" w:sz="0" w:space="0" w:color="auto"/>
        <w:right w:val="none" w:sz="0" w:space="0" w:color="auto"/>
      </w:divBdr>
    </w:div>
    <w:div w:id="1753623591">
      <w:bodyDiv w:val="1"/>
      <w:marLeft w:val="0"/>
      <w:marRight w:val="0"/>
      <w:marTop w:val="0"/>
      <w:marBottom w:val="0"/>
      <w:divBdr>
        <w:top w:val="none" w:sz="0" w:space="0" w:color="auto"/>
        <w:left w:val="none" w:sz="0" w:space="0" w:color="auto"/>
        <w:bottom w:val="none" w:sz="0" w:space="0" w:color="auto"/>
        <w:right w:val="none" w:sz="0" w:space="0" w:color="auto"/>
      </w:divBdr>
    </w:div>
    <w:div w:id="1787043168">
      <w:bodyDiv w:val="1"/>
      <w:marLeft w:val="0"/>
      <w:marRight w:val="0"/>
      <w:marTop w:val="0"/>
      <w:marBottom w:val="0"/>
      <w:divBdr>
        <w:top w:val="none" w:sz="0" w:space="0" w:color="auto"/>
        <w:left w:val="none" w:sz="0" w:space="0" w:color="auto"/>
        <w:bottom w:val="none" w:sz="0" w:space="0" w:color="auto"/>
        <w:right w:val="none" w:sz="0" w:space="0" w:color="auto"/>
      </w:divBdr>
    </w:div>
    <w:div w:id="1807968142">
      <w:bodyDiv w:val="1"/>
      <w:marLeft w:val="0"/>
      <w:marRight w:val="0"/>
      <w:marTop w:val="0"/>
      <w:marBottom w:val="0"/>
      <w:divBdr>
        <w:top w:val="none" w:sz="0" w:space="0" w:color="auto"/>
        <w:left w:val="none" w:sz="0" w:space="0" w:color="auto"/>
        <w:bottom w:val="none" w:sz="0" w:space="0" w:color="auto"/>
        <w:right w:val="none" w:sz="0" w:space="0" w:color="auto"/>
      </w:divBdr>
    </w:div>
    <w:div w:id="1841004451">
      <w:bodyDiv w:val="1"/>
      <w:marLeft w:val="0"/>
      <w:marRight w:val="0"/>
      <w:marTop w:val="0"/>
      <w:marBottom w:val="0"/>
      <w:divBdr>
        <w:top w:val="none" w:sz="0" w:space="0" w:color="auto"/>
        <w:left w:val="none" w:sz="0" w:space="0" w:color="auto"/>
        <w:bottom w:val="none" w:sz="0" w:space="0" w:color="auto"/>
        <w:right w:val="none" w:sz="0" w:space="0" w:color="auto"/>
      </w:divBdr>
    </w:div>
    <w:div w:id="1846364237">
      <w:bodyDiv w:val="1"/>
      <w:marLeft w:val="0"/>
      <w:marRight w:val="0"/>
      <w:marTop w:val="0"/>
      <w:marBottom w:val="0"/>
      <w:divBdr>
        <w:top w:val="none" w:sz="0" w:space="0" w:color="auto"/>
        <w:left w:val="none" w:sz="0" w:space="0" w:color="auto"/>
        <w:bottom w:val="none" w:sz="0" w:space="0" w:color="auto"/>
        <w:right w:val="none" w:sz="0" w:space="0" w:color="auto"/>
      </w:divBdr>
    </w:div>
    <w:div w:id="1896814723">
      <w:bodyDiv w:val="1"/>
      <w:marLeft w:val="0"/>
      <w:marRight w:val="0"/>
      <w:marTop w:val="0"/>
      <w:marBottom w:val="0"/>
      <w:divBdr>
        <w:top w:val="none" w:sz="0" w:space="0" w:color="auto"/>
        <w:left w:val="none" w:sz="0" w:space="0" w:color="auto"/>
        <w:bottom w:val="none" w:sz="0" w:space="0" w:color="auto"/>
        <w:right w:val="none" w:sz="0" w:space="0" w:color="auto"/>
      </w:divBdr>
    </w:div>
    <w:div w:id="1965231414">
      <w:bodyDiv w:val="1"/>
      <w:marLeft w:val="0"/>
      <w:marRight w:val="0"/>
      <w:marTop w:val="0"/>
      <w:marBottom w:val="0"/>
      <w:divBdr>
        <w:top w:val="none" w:sz="0" w:space="0" w:color="auto"/>
        <w:left w:val="none" w:sz="0" w:space="0" w:color="auto"/>
        <w:bottom w:val="none" w:sz="0" w:space="0" w:color="auto"/>
        <w:right w:val="none" w:sz="0" w:space="0" w:color="auto"/>
      </w:divBdr>
    </w:div>
    <w:div w:id="1971475756">
      <w:bodyDiv w:val="1"/>
      <w:marLeft w:val="0"/>
      <w:marRight w:val="0"/>
      <w:marTop w:val="0"/>
      <w:marBottom w:val="0"/>
      <w:divBdr>
        <w:top w:val="none" w:sz="0" w:space="0" w:color="auto"/>
        <w:left w:val="none" w:sz="0" w:space="0" w:color="auto"/>
        <w:bottom w:val="none" w:sz="0" w:space="0" w:color="auto"/>
        <w:right w:val="none" w:sz="0" w:space="0" w:color="auto"/>
      </w:divBdr>
    </w:div>
    <w:div w:id="211027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faraca@lottery.idaho.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E94F7-B262-4CAB-9E45-D00E87FF5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1519</Words>
  <Characters>9087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Agency Purpose</vt:lpstr>
    </vt:vector>
  </TitlesOfParts>
  <Company>Division of Financial Management</Company>
  <LinksUpToDate>false</LinksUpToDate>
  <CharactersWithSpaces>10585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Purpose</dc:title>
  <dc:creator>Anita Hamann</dc:creator>
  <cp:lastModifiedBy>Amanda Harper</cp:lastModifiedBy>
  <cp:revision>3</cp:revision>
  <cp:lastPrinted>2022-08-08T19:32:00Z</cp:lastPrinted>
  <dcterms:created xsi:type="dcterms:W3CDTF">2024-08-29T16:42:00Z</dcterms:created>
  <dcterms:modified xsi:type="dcterms:W3CDTF">2025-06-24T20:58:00Z</dcterms:modified>
</cp:coreProperties>
</file>