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D7DD" w14:textId="77777777" w:rsidR="00A50901" w:rsidRPr="00487FCD" w:rsidRDefault="00A50901" w:rsidP="001D2A76">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66781332" w14:textId="77777777" w:rsidR="00BE1729" w:rsidRPr="00CB5DC4" w:rsidRDefault="00BE1729" w:rsidP="009E383C">
      <w:pPr>
        <w:rPr>
          <w:rFonts w:ascii="Arial" w:hAnsi="Arial" w:cs="Arial"/>
          <w:b/>
          <w:bCs/>
        </w:rPr>
      </w:pPr>
    </w:p>
    <w:p w14:paraId="2785642B" w14:textId="0095D0B4" w:rsidR="00AF3F1D" w:rsidRDefault="006D2BA5" w:rsidP="009E383C">
      <w:pPr>
        <w:rPr>
          <w:rFonts w:ascii="Arial" w:hAnsi="Arial" w:cs="Arial"/>
          <w:b/>
          <w:bCs/>
        </w:rPr>
      </w:pPr>
      <w:r w:rsidRPr="00CF73B4">
        <w:rPr>
          <w:rFonts w:ascii="Arial" w:hAnsi="Arial" w:cs="Arial"/>
          <w:b/>
          <w:bCs/>
        </w:rPr>
        <w:t>Agency Overview</w:t>
      </w:r>
    </w:p>
    <w:p w14:paraId="0E742BF0" w14:textId="77777777" w:rsidR="00B12260" w:rsidRDefault="00B12260" w:rsidP="009E383C">
      <w:pPr>
        <w:rPr>
          <w:rFonts w:ascii="Arial" w:hAnsi="Arial" w:cs="Arial"/>
          <w:b/>
          <w:bCs/>
        </w:rPr>
      </w:pPr>
    </w:p>
    <w:p w14:paraId="43609AE4" w14:textId="14984C59" w:rsidR="00D047AC" w:rsidRPr="00D047AC" w:rsidRDefault="00D047AC" w:rsidP="001D2A76">
      <w:pPr>
        <w:jc w:val="both"/>
        <w:rPr>
          <w:rFonts w:ascii="Arial" w:hAnsi="Arial" w:cs="Arial"/>
          <w:sz w:val="20"/>
          <w:szCs w:val="22"/>
        </w:rPr>
      </w:pPr>
      <w:r w:rsidRPr="00D047AC">
        <w:rPr>
          <w:rFonts w:ascii="Arial" w:hAnsi="Arial" w:cs="Arial"/>
          <w:sz w:val="20"/>
          <w:szCs w:val="22"/>
        </w:rPr>
        <w:t>The Office of the State Appellate Public Defender (SAPD)</w:t>
      </w:r>
      <w:r w:rsidR="008F1E27">
        <w:rPr>
          <w:rFonts w:ascii="Arial" w:hAnsi="Arial" w:cs="Arial"/>
          <w:sz w:val="20"/>
          <w:szCs w:val="22"/>
        </w:rPr>
        <w:t xml:space="preserve">, located at 322 East Front Street, Suite 570, Boise, Idaho, </w:t>
      </w:r>
      <w:r w:rsidRPr="00D047AC">
        <w:rPr>
          <w:rFonts w:ascii="Arial" w:hAnsi="Arial" w:cs="Arial"/>
          <w:sz w:val="20"/>
          <w:szCs w:val="22"/>
        </w:rPr>
        <w:t>provides appellate representation</w:t>
      </w:r>
      <w:r w:rsidR="00A36F81">
        <w:rPr>
          <w:rFonts w:ascii="Arial" w:hAnsi="Arial" w:cs="Arial"/>
          <w:sz w:val="20"/>
          <w:szCs w:val="22"/>
        </w:rPr>
        <w:t xml:space="preserve"> in the Idaho Supr</w:t>
      </w:r>
      <w:r w:rsidR="005B23F5">
        <w:rPr>
          <w:rFonts w:ascii="Arial" w:hAnsi="Arial" w:cs="Arial"/>
          <w:sz w:val="20"/>
          <w:szCs w:val="22"/>
        </w:rPr>
        <w:t>eme Court and Idaho Court of Appeals</w:t>
      </w:r>
      <w:r w:rsidRPr="00D047AC">
        <w:rPr>
          <w:rFonts w:ascii="Arial" w:hAnsi="Arial" w:cs="Arial"/>
          <w:sz w:val="20"/>
          <w:szCs w:val="22"/>
        </w:rPr>
        <w:t xml:space="preserve"> to indigent </w:t>
      </w:r>
      <w:r w:rsidR="00881724">
        <w:rPr>
          <w:rFonts w:ascii="Arial" w:hAnsi="Arial" w:cs="Arial"/>
          <w:sz w:val="20"/>
          <w:szCs w:val="22"/>
        </w:rPr>
        <w:t>clients</w:t>
      </w:r>
      <w:r w:rsidRPr="00D047AC">
        <w:rPr>
          <w:rFonts w:ascii="Arial" w:hAnsi="Arial" w:cs="Arial"/>
          <w:sz w:val="20"/>
          <w:szCs w:val="22"/>
        </w:rPr>
        <w:t xml:space="preserve"> </w:t>
      </w:r>
      <w:r w:rsidR="00B63006">
        <w:rPr>
          <w:rFonts w:ascii="Arial" w:hAnsi="Arial" w:cs="Arial"/>
          <w:sz w:val="20"/>
          <w:szCs w:val="22"/>
        </w:rPr>
        <w:t>in</w:t>
      </w:r>
      <w:r w:rsidRPr="00D047AC">
        <w:rPr>
          <w:rFonts w:ascii="Arial" w:hAnsi="Arial" w:cs="Arial"/>
          <w:sz w:val="20"/>
          <w:szCs w:val="22"/>
        </w:rPr>
        <w:t xml:space="preserve"> felony</w:t>
      </w:r>
      <w:r w:rsidR="00881724">
        <w:rPr>
          <w:rFonts w:ascii="Arial" w:hAnsi="Arial" w:cs="Arial"/>
          <w:sz w:val="20"/>
          <w:szCs w:val="22"/>
        </w:rPr>
        <w:t>,</w:t>
      </w:r>
      <w:r w:rsidR="00D728F8">
        <w:rPr>
          <w:rFonts w:ascii="Arial" w:hAnsi="Arial" w:cs="Arial"/>
          <w:sz w:val="20"/>
          <w:szCs w:val="22"/>
        </w:rPr>
        <w:t xml:space="preserve"> </w:t>
      </w:r>
      <w:r w:rsidR="00A36F81">
        <w:rPr>
          <w:rFonts w:ascii="Arial" w:hAnsi="Arial" w:cs="Arial"/>
          <w:sz w:val="20"/>
          <w:szCs w:val="22"/>
        </w:rPr>
        <w:t>misdemeanor</w:t>
      </w:r>
      <w:r w:rsidR="00881724">
        <w:rPr>
          <w:rFonts w:ascii="Arial" w:hAnsi="Arial" w:cs="Arial"/>
          <w:sz w:val="20"/>
          <w:szCs w:val="22"/>
        </w:rPr>
        <w:t>, and juvenile cases</w:t>
      </w:r>
      <w:r w:rsidR="00A36F81">
        <w:rPr>
          <w:rFonts w:ascii="Arial" w:hAnsi="Arial" w:cs="Arial"/>
          <w:sz w:val="20"/>
          <w:szCs w:val="22"/>
        </w:rPr>
        <w:t xml:space="preserve">. </w:t>
      </w:r>
      <w:r w:rsidRPr="00D047AC">
        <w:rPr>
          <w:rFonts w:ascii="Arial" w:hAnsi="Arial" w:cs="Arial"/>
          <w:sz w:val="20"/>
          <w:szCs w:val="22"/>
        </w:rPr>
        <w:t xml:space="preserve">The SAPD also provides appellate representation to </w:t>
      </w:r>
      <w:r w:rsidR="00B430D7">
        <w:rPr>
          <w:rFonts w:ascii="Arial" w:hAnsi="Arial" w:cs="Arial"/>
          <w:sz w:val="20"/>
          <w:szCs w:val="22"/>
        </w:rPr>
        <w:t xml:space="preserve">indigent </w:t>
      </w:r>
      <w:r w:rsidR="00881724">
        <w:rPr>
          <w:rFonts w:ascii="Arial" w:hAnsi="Arial" w:cs="Arial"/>
          <w:sz w:val="20"/>
          <w:szCs w:val="22"/>
        </w:rPr>
        <w:t>clients</w:t>
      </w:r>
      <w:r w:rsidRPr="00D047AC">
        <w:rPr>
          <w:rFonts w:ascii="Arial" w:hAnsi="Arial" w:cs="Arial"/>
          <w:sz w:val="20"/>
          <w:szCs w:val="22"/>
        </w:rPr>
        <w:t xml:space="preserve"> in state post-conviction and habeas corpus cases.</w:t>
      </w:r>
      <w:r w:rsidR="00DE0590">
        <w:rPr>
          <w:rFonts w:ascii="Arial" w:hAnsi="Arial" w:cs="Arial"/>
          <w:sz w:val="20"/>
          <w:szCs w:val="22"/>
        </w:rPr>
        <w:t xml:space="preserve"> </w:t>
      </w:r>
      <w:r w:rsidR="007B0AD8">
        <w:rPr>
          <w:rFonts w:ascii="Arial" w:hAnsi="Arial" w:cs="Arial"/>
          <w:sz w:val="20"/>
          <w:szCs w:val="22"/>
        </w:rPr>
        <w:t xml:space="preserve">For </w:t>
      </w:r>
      <w:r w:rsidR="00881724">
        <w:rPr>
          <w:rFonts w:ascii="Arial" w:hAnsi="Arial" w:cs="Arial"/>
          <w:sz w:val="20"/>
          <w:szCs w:val="22"/>
        </w:rPr>
        <w:t>individual</w:t>
      </w:r>
      <w:r w:rsidR="007B0AD8">
        <w:rPr>
          <w:rFonts w:ascii="Arial" w:hAnsi="Arial" w:cs="Arial"/>
          <w:sz w:val="20"/>
          <w:szCs w:val="22"/>
        </w:rPr>
        <w:t>s</w:t>
      </w:r>
      <w:r w:rsidRPr="00D047AC">
        <w:rPr>
          <w:rFonts w:ascii="Arial" w:hAnsi="Arial" w:cs="Arial"/>
          <w:sz w:val="20"/>
          <w:szCs w:val="22"/>
        </w:rPr>
        <w:t xml:space="preserve"> </w:t>
      </w:r>
      <w:r w:rsidR="007B0AD8">
        <w:rPr>
          <w:rFonts w:ascii="Arial" w:hAnsi="Arial" w:cs="Arial"/>
          <w:sz w:val="20"/>
          <w:szCs w:val="22"/>
        </w:rPr>
        <w:t xml:space="preserve">who have </w:t>
      </w:r>
      <w:r w:rsidRPr="00D047AC">
        <w:rPr>
          <w:rFonts w:ascii="Arial" w:hAnsi="Arial" w:cs="Arial"/>
          <w:sz w:val="20"/>
          <w:szCs w:val="22"/>
        </w:rPr>
        <w:t xml:space="preserve">been sentenced to death, the SAPD provides district court representation </w:t>
      </w:r>
      <w:r w:rsidR="00881724">
        <w:rPr>
          <w:rFonts w:ascii="Arial" w:hAnsi="Arial" w:cs="Arial"/>
          <w:sz w:val="20"/>
          <w:szCs w:val="22"/>
        </w:rPr>
        <w:t>in</w:t>
      </w:r>
      <w:r w:rsidRPr="00D047AC">
        <w:rPr>
          <w:rFonts w:ascii="Arial" w:hAnsi="Arial" w:cs="Arial"/>
          <w:sz w:val="20"/>
          <w:szCs w:val="22"/>
        </w:rPr>
        <w:t xml:space="preserve"> </w:t>
      </w:r>
      <w:r w:rsidR="00DE62B3">
        <w:rPr>
          <w:rFonts w:ascii="Arial" w:hAnsi="Arial" w:cs="Arial"/>
          <w:sz w:val="20"/>
          <w:szCs w:val="22"/>
        </w:rPr>
        <w:t xml:space="preserve">any </w:t>
      </w:r>
      <w:r w:rsidRPr="00D047AC">
        <w:rPr>
          <w:rFonts w:ascii="Arial" w:hAnsi="Arial" w:cs="Arial"/>
          <w:sz w:val="20"/>
          <w:szCs w:val="22"/>
        </w:rPr>
        <w:t xml:space="preserve">post-conviction cases </w:t>
      </w:r>
      <w:r w:rsidR="00881724">
        <w:rPr>
          <w:rFonts w:ascii="Arial" w:hAnsi="Arial" w:cs="Arial"/>
          <w:sz w:val="20"/>
          <w:szCs w:val="22"/>
        </w:rPr>
        <w:t xml:space="preserve">and appellate representation </w:t>
      </w:r>
      <w:r w:rsidRPr="00D047AC">
        <w:rPr>
          <w:rFonts w:ascii="Arial" w:hAnsi="Arial" w:cs="Arial"/>
          <w:sz w:val="20"/>
          <w:szCs w:val="22"/>
        </w:rPr>
        <w:t xml:space="preserve">in </w:t>
      </w:r>
      <w:r w:rsidR="00E76B04">
        <w:rPr>
          <w:rFonts w:ascii="Arial" w:hAnsi="Arial" w:cs="Arial"/>
          <w:sz w:val="20"/>
          <w:szCs w:val="22"/>
        </w:rPr>
        <w:t>any</w:t>
      </w:r>
      <w:r w:rsidRPr="00D047AC">
        <w:rPr>
          <w:rFonts w:ascii="Arial" w:hAnsi="Arial" w:cs="Arial"/>
          <w:sz w:val="20"/>
          <w:szCs w:val="22"/>
        </w:rPr>
        <w:t xml:space="preserve"> direct </w:t>
      </w:r>
      <w:r w:rsidR="00763F33">
        <w:rPr>
          <w:rFonts w:ascii="Arial" w:hAnsi="Arial" w:cs="Arial"/>
          <w:sz w:val="20"/>
          <w:szCs w:val="22"/>
        </w:rPr>
        <w:t xml:space="preserve">or post-conviction </w:t>
      </w:r>
      <w:r w:rsidRPr="00D047AC">
        <w:rPr>
          <w:rFonts w:ascii="Arial" w:hAnsi="Arial" w:cs="Arial"/>
          <w:sz w:val="20"/>
          <w:szCs w:val="22"/>
        </w:rPr>
        <w:t>appeal</w:t>
      </w:r>
      <w:r w:rsidR="00DE62B3">
        <w:rPr>
          <w:rFonts w:ascii="Arial" w:hAnsi="Arial" w:cs="Arial"/>
          <w:sz w:val="20"/>
          <w:szCs w:val="22"/>
        </w:rPr>
        <w:t>s</w:t>
      </w:r>
      <w:r w:rsidRPr="00D047AC">
        <w:rPr>
          <w:rFonts w:ascii="Arial" w:hAnsi="Arial" w:cs="Arial"/>
          <w:sz w:val="20"/>
          <w:szCs w:val="22"/>
        </w:rPr>
        <w:t>.</w:t>
      </w:r>
    </w:p>
    <w:p w14:paraId="6C22EB6D" w14:textId="77777777" w:rsidR="00D047AC" w:rsidRDefault="00D047AC" w:rsidP="001D2A76">
      <w:pPr>
        <w:jc w:val="both"/>
        <w:rPr>
          <w:rFonts w:ascii="Arial" w:hAnsi="Arial" w:cs="Arial"/>
          <w:sz w:val="20"/>
          <w:szCs w:val="22"/>
        </w:rPr>
      </w:pPr>
    </w:p>
    <w:p w14:paraId="27CBA687" w14:textId="6B40CA47" w:rsidR="00D047AC" w:rsidRPr="00D047AC" w:rsidRDefault="00D047AC" w:rsidP="001D2A76">
      <w:pPr>
        <w:jc w:val="both"/>
        <w:rPr>
          <w:rFonts w:ascii="Arial" w:hAnsi="Arial" w:cs="Arial"/>
          <w:sz w:val="20"/>
          <w:szCs w:val="22"/>
        </w:rPr>
      </w:pPr>
      <w:r w:rsidRPr="00D047AC">
        <w:rPr>
          <w:rFonts w:ascii="Arial" w:hAnsi="Arial" w:cs="Arial"/>
          <w:sz w:val="20"/>
          <w:szCs w:val="22"/>
        </w:rPr>
        <w:t xml:space="preserve">The SAPD must provide </w:t>
      </w:r>
      <w:r w:rsidR="00501670">
        <w:rPr>
          <w:rFonts w:ascii="Arial" w:hAnsi="Arial" w:cs="Arial"/>
          <w:sz w:val="20"/>
          <w:szCs w:val="22"/>
        </w:rPr>
        <w:t xml:space="preserve">timely, </w:t>
      </w:r>
      <w:r w:rsidRPr="00D047AC">
        <w:rPr>
          <w:rFonts w:ascii="Arial" w:hAnsi="Arial" w:cs="Arial"/>
          <w:sz w:val="20"/>
          <w:szCs w:val="22"/>
        </w:rPr>
        <w:t>effective assistance of counsel to its clients, as mandated by both the United States and Idaho Constitution</w:t>
      </w:r>
      <w:r w:rsidR="00771732">
        <w:rPr>
          <w:rFonts w:ascii="Arial" w:hAnsi="Arial" w:cs="Arial"/>
          <w:sz w:val="20"/>
          <w:szCs w:val="22"/>
        </w:rPr>
        <w:t>s</w:t>
      </w:r>
      <w:r w:rsidRPr="00D047AC">
        <w:rPr>
          <w:rFonts w:ascii="Arial" w:hAnsi="Arial" w:cs="Arial"/>
          <w:sz w:val="20"/>
          <w:szCs w:val="22"/>
        </w:rPr>
        <w:t xml:space="preserve">, as well as </w:t>
      </w:r>
      <w:r w:rsidR="004B1882">
        <w:rPr>
          <w:rFonts w:ascii="Arial" w:hAnsi="Arial" w:cs="Arial"/>
          <w:sz w:val="20"/>
          <w:szCs w:val="22"/>
        </w:rPr>
        <w:t>various</w:t>
      </w:r>
      <w:r w:rsidRPr="00D047AC">
        <w:rPr>
          <w:rFonts w:ascii="Arial" w:hAnsi="Arial" w:cs="Arial"/>
          <w:sz w:val="20"/>
          <w:szCs w:val="22"/>
        </w:rPr>
        <w:t xml:space="preserve"> Idaho statutes and court rules.  Ethically, SAPD </w:t>
      </w:r>
      <w:r w:rsidR="00AB1888">
        <w:rPr>
          <w:rFonts w:ascii="Arial" w:hAnsi="Arial" w:cs="Arial"/>
          <w:sz w:val="20"/>
          <w:szCs w:val="22"/>
        </w:rPr>
        <w:t xml:space="preserve">attorneys </w:t>
      </w:r>
      <w:r w:rsidRPr="00D047AC">
        <w:rPr>
          <w:rFonts w:ascii="Arial" w:hAnsi="Arial" w:cs="Arial"/>
          <w:sz w:val="20"/>
          <w:szCs w:val="22"/>
        </w:rPr>
        <w:t xml:space="preserve">must serve the best interests of </w:t>
      </w:r>
      <w:r w:rsidR="00AB1888">
        <w:rPr>
          <w:rFonts w:ascii="Arial" w:hAnsi="Arial" w:cs="Arial"/>
          <w:sz w:val="20"/>
          <w:szCs w:val="22"/>
        </w:rPr>
        <w:t>their</w:t>
      </w:r>
      <w:r w:rsidRPr="00D047AC">
        <w:rPr>
          <w:rFonts w:ascii="Arial" w:hAnsi="Arial" w:cs="Arial"/>
          <w:sz w:val="20"/>
          <w:szCs w:val="22"/>
        </w:rPr>
        <w:t xml:space="preserve"> clients</w:t>
      </w:r>
      <w:r w:rsidR="00AB1888">
        <w:rPr>
          <w:rFonts w:ascii="Arial" w:hAnsi="Arial" w:cs="Arial"/>
          <w:sz w:val="20"/>
          <w:szCs w:val="22"/>
        </w:rPr>
        <w:t xml:space="preserve"> </w:t>
      </w:r>
      <w:r w:rsidR="00AB1888" w:rsidRPr="00D047AC">
        <w:rPr>
          <w:rFonts w:ascii="Arial" w:hAnsi="Arial" w:cs="Arial"/>
          <w:sz w:val="20"/>
          <w:szCs w:val="22"/>
        </w:rPr>
        <w:t>first and foremost</w:t>
      </w:r>
      <w:r w:rsidRPr="00D047AC">
        <w:rPr>
          <w:rFonts w:ascii="Arial" w:hAnsi="Arial" w:cs="Arial"/>
          <w:sz w:val="20"/>
          <w:szCs w:val="22"/>
        </w:rPr>
        <w:t xml:space="preserve">. </w:t>
      </w:r>
      <w:r w:rsidR="00A74ACA">
        <w:rPr>
          <w:rFonts w:ascii="Arial" w:hAnsi="Arial" w:cs="Arial"/>
          <w:sz w:val="20"/>
          <w:szCs w:val="22"/>
        </w:rPr>
        <w:t>However, t</w:t>
      </w:r>
      <w:r w:rsidRPr="00D047AC">
        <w:rPr>
          <w:rFonts w:ascii="Arial" w:hAnsi="Arial" w:cs="Arial"/>
          <w:sz w:val="20"/>
          <w:szCs w:val="22"/>
        </w:rPr>
        <w:t xml:space="preserve">he SAPD </w:t>
      </w:r>
      <w:r w:rsidR="00763F33">
        <w:rPr>
          <w:rFonts w:ascii="Arial" w:hAnsi="Arial" w:cs="Arial"/>
          <w:sz w:val="20"/>
          <w:szCs w:val="22"/>
        </w:rPr>
        <w:t>remains</w:t>
      </w:r>
      <w:r w:rsidRPr="00D047AC">
        <w:rPr>
          <w:rFonts w:ascii="Arial" w:hAnsi="Arial" w:cs="Arial"/>
          <w:sz w:val="20"/>
          <w:szCs w:val="22"/>
        </w:rPr>
        <w:t xml:space="preserve"> mindful of relevant constituent groups and the legislative goal of reducing the financial burden on Idaho counties previously caused by the extraordinary cost of legal representation of indigent defendants on appeal. The SAPD is </w:t>
      </w:r>
      <w:r w:rsidR="003A6A7C">
        <w:rPr>
          <w:rFonts w:ascii="Arial" w:hAnsi="Arial" w:cs="Arial"/>
          <w:sz w:val="20"/>
          <w:szCs w:val="22"/>
        </w:rPr>
        <w:t>also</w:t>
      </w:r>
      <w:r w:rsidRPr="00D047AC">
        <w:rPr>
          <w:rFonts w:ascii="Arial" w:hAnsi="Arial" w:cs="Arial"/>
          <w:sz w:val="20"/>
          <w:szCs w:val="22"/>
        </w:rPr>
        <w:t xml:space="preserve"> committed to strengthening Idaho’s criminal justice system to ensure it</w:t>
      </w:r>
      <w:r w:rsidR="00B63D6E">
        <w:rPr>
          <w:rFonts w:ascii="Arial" w:hAnsi="Arial" w:cs="Arial"/>
          <w:sz w:val="20"/>
          <w:szCs w:val="22"/>
        </w:rPr>
        <w:t>: (1)</w:t>
      </w:r>
      <w:r w:rsidRPr="00D047AC">
        <w:rPr>
          <w:rFonts w:ascii="Arial" w:hAnsi="Arial" w:cs="Arial"/>
          <w:sz w:val="20"/>
          <w:szCs w:val="22"/>
        </w:rPr>
        <w:t xml:space="preserve"> is </w:t>
      </w:r>
      <w:r w:rsidR="0088376B">
        <w:rPr>
          <w:rFonts w:ascii="Arial" w:hAnsi="Arial" w:cs="Arial"/>
          <w:sz w:val="20"/>
          <w:szCs w:val="22"/>
        </w:rPr>
        <w:t>fair</w:t>
      </w:r>
      <w:r w:rsidR="006A6D5B">
        <w:rPr>
          <w:rFonts w:ascii="Arial" w:hAnsi="Arial" w:cs="Arial"/>
          <w:sz w:val="20"/>
          <w:szCs w:val="22"/>
        </w:rPr>
        <w:t xml:space="preserve"> to </w:t>
      </w:r>
      <w:r w:rsidR="00C17C29">
        <w:rPr>
          <w:rFonts w:ascii="Arial" w:hAnsi="Arial" w:cs="Arial"/>
          <w:sz w:val="20"/>
          <w:szCs w:val="22"/>
        </w:rPr>
        <w:t xml:space="preserve">defendants and </w:t>
      </w:r>
      <w:r w:rsidR="00233CB1">
        <w:rPr>
          <w:rFonts w:ascii="Arial" w:hAnsi="Arial" w:cs="Arial"/>
          <w:sz w:val="20"/>
          <w:szCs w:val="22"/>
        </w:rPr>
        <w:t xml:space="preserve">crime </w:t>
      </w:r>
      <w:r w:rsidR="00C17C29">
        <w:rPr>
          <w:rFonts w:ascii="Arial" w:hAnsi="Arial" w:cs="Arial"/>
          <w:sz w:val="20"/>
          <w:szCs w:val="22"/>
        </w:rPr>
        <w:t>victims</w:t>
      </w:r>
      <w:r w:rsidR="0088376B">
        <w:rPr>
          <w:rFonts w:ascii="Arial" w:hAnsi="Arial" w:cs="Arial"/>
          <w:sz w:val="20"/>
          <w:szCs w:val="22"/>
        </w:rPr>
        <w:t xml:space="preserve">, </w:t>
      </w:r>
      <w:r w:rsidR="00B63D6E">
        <w:rPr>
          <w:rFonts w:ascii="Arial" w:hAnsi="Arial" w:cs="Arial"/>
          <w:sz w:val="20"/>
          <w:szCs w:val="22"/>
        </w:rPr>
        <w:t xml:space="preserve">(2) </w:t>
      </w:r>
      <w:r w:rsidR="00C17C29">
        <w:rPr>
          <w:rFonts w:ascii="Arial" w:hAnsi="Arial" w:cs="Arial"/>
          <w:sz w:val="20"/>
          <w:szCs w:val="22"/>
        </w:rPr>
        <w:t xml:space="preserve">leads to </w:t>
      </w:r>
      <w:r w:rsidR="00EC338B">
        <w:rPr>
          <w:rFonts w:ascii="Arial" w:hAnsi="Arial" w:cs="Arial"/>
          <w:sz w:val="20"/>
          <w:szCs w:val="22"/>
        </w:rPr>
        <w:t>accurate</w:t>
      </w:r>
      <w:r w:rsidR="004213FF">
        <w:rPr>
          <w:rFonts w:ascii="Arial" w:hAnsi="Arial" w:cs="Arial"/>
          <w:sz w:val="20"/>
          <w:szCs w:val="22"/>
        </w:rPr>
        <w:t>/reliable</w:t>
      </w:r>
      <w:r w:rsidR="00C17C29">
        <w:rPr>
          <w:rFonts w:ascii="Arial" w:hAnsi="Arial" w:cs="Arial"/>
          <w:sz w:val="20"/>
          <w:szCs w:val="22"/>
        </w:rPr>
        <w:t xml:space="preserve"> </w:t>
      </w:r>
      <w:r w:rsidR="00D37DFA">
        <w:rPr>
          <w:rFonts w:ascii="Arial" w:hAnsi="Arial" w:cs="Arial"/>
          <w:sz w:val="20"/>
          <w:szCs w:val="22"/>
        </w:rPr>
        <w:t xml:space="preserve">case </w:t>
      </w:r>
      <w:r w:rsidR="004213FF">
        <w:rPr>
          <w:rFonts w:ascii="Arial" w:hAnsi="Arial" w:cs="Arial"/>
          <w:sz w:val="20"/>
          <w:szCs w:val="22"/>
        </w:rPr>
        <w:t>outcomes</w:t>
      </w:r>
      <w:r w:rsidR="00EC338B">
        <w:rPr>
          <w:rFonts w:ascii="Arial" w:hAnsi="Arial" w:cs="Arial"/>
          <w:sz w:val="20"/>
          <w:szCs w:val="22"/>
        </w:rPr>
        <w:t xml:space="preserve">, and </w:t>
      </w:r>
      <w:r w:rsidR="00B63D6E">
        <w:rPr>
          <w:rFonts w:ascii="Arial" w:hAnsi="Arial" w:cs="Arial"/>
          <w:sz w:val="20"/>
          <w:szCs w:val="22"/>
        </w:rPr>
        <w:t xml:space="preserve">(3) </w:t>
      </w:r>
      <w:r w:rsidR="00C17C29">
        <w:rPr>
          <w:rFonts w:ascii="Arial" w:hAnsi="Arial" w:cs="Arial"/>
          <w:sz w:val="20"/>
          <w:szCs w:val="22"/>
        </w:rPr>
        <w:t xml:space="preserve">utilizes </w:t>
      </w:r>
      <w:r w:rsidR="004213FF">
        <w:rPr>
          <w:rFonts w:ascii="Arial" w:hAnsi="Arial" w:cs="Arial"/>
          <w:sz w:val="20"/>
          <w:szCs w:val="22"/>
        </w:rPr>
        <w:t xml:space="preserve">financial </w:t>
      </w:r>
      <w:r w:rsidR="00C17C29">
        <w:rPr>
          <w:rFonts w:ascii="Arial" w:hAnsi="Arial" w:cs="Arial"/>
          <w:sz w:val="20"/>
          <w:szCs w:val="22"/>
        </w:rPr>
        <w:t xml:space="preserve">resources </w:t>
      </w:r>
      <w:r w:rsidR="004213FF">
        <w:rPr>
          <w:rFonts w:ascii="Arial" w:hAnsi="Arial" w:cs="Arial"/>
          <w:sz w:val="20"/>
          <w:szCs w:val="22"/>
        </w:rPr>
        <w:t>responsibly</w:t>
      </w:r>
      <w:r w:rsidRPr="00D047AC">
        <w:rPr>
          <w:rFonts w:ascii="Arial" w:hAnsi="Arial" w:cs="Arial"/>
          <w:sz w:val="20"/>
          <w:szCs w:val="22"/>
        </w:rPr>
        <w:t>.</w:t>
      </w:r>
    </w:p>
    <w:p w14:paraId="4AC04BF4" w14:textId="77777777" w:rsidR="00D047AC" w:rsidRDefault="00D047AC" w:rsidP="001D2A76">
      <w:pPr>
        <w:jc w:val="both"/>
        <w:rPr>
          <w:rFonts w:ascii="Arial" w:hAnsi="Arial" w:cs="Arial"/>
          <w:sz w:val="20"/>
          <w:szCs w:val="22"/>
        </w:rPr>
      </w:pPr>
    </w:p>
    <w:p w14:paraId="4E2EB159" w14:textId="77777777" w:rsidR="004869F8" w:rsidRDefault="004869F8" w:rsidP="001D2A76">
      <w:pPr>
        <w:jc w:val="both"/>
        <w:rPr>
          <w:rFonts w:ascii="Arial" w:eastAsia="Times" w:hAnsi="Arial" w:cs="Arial"/>
          <w:sz w:val="20"/>
          <w:szCs w:val="20"/>
        </w:rPr>
      </w:pPr>
      <w:r w:rsidRPr="004869F8">
        <w:rPr>
          <w:rFonts w:ascii="Arial" w:hAnsi="Arial" w:cs="Arial"/>
          <w:sz w:val="20"/>
          <w:szCs w:val="20"/>
        </w:rPr>
        <w:t xml:space="preserve">The SAPD’s Mission: </w:t>
      </w:r>
      <w:r w:rsidRPr="004869F8">
        <w:rPr>
          <w:rFonts w:ascii="Arial" w:eastAsia="Times" w:hAnsi="Arial" w:cs="Arial"/>
          <w:sz w:val="20"/>
          <w:szCs w:val="20"/>
        </w:rPr>
        <w:t>Defending zealously, advancing fairness, and advocating with integrity.</w:t>
      </w:r>
    </w:p>
    <w:p w14:paraId="705677C6" w14:textId="77777777" w:rsidR="004869F8" w:rsidRDefault="004869F8" w:rsidP="001D2A76">
      <w:pPr>
        <w:jc w:val="both"/>
        <w:rPr>
          <w:rFonts w:ascii="Arial" w:eastAsia="Times" w:hAnsi="Arial" w:cs="Arial"/>
          <w:sz w:val="20"/>
          <w:szCs w:val="20"/>
        </w:rPr>
      </w:pPr>
    </w:p>
    <w:p w14:paraId="403DDBF8" w14:textId="0D2FA3AE" w:rsidR="004869F8" w:rsidRDefault="004869F8" w:rsidP="001D2A76">
      <w:pPr>
        <w:jc w:val="both"/>
        <w:rPr>
          <w:rFonts w:ascii="Arial" w:eastAsia="Times" w:hAnsi="Arial" w:cs="Arial"/>
          <w:sz w:val="20"/>
          <w:szCs w:val="20"/>
        </w:rPr>
      </w:pPr>
      <w:r w:rsidRPr="004869F8">
        <w:rPr>
          <w:rFonts w:ascii="Arial" w:eastAsia="Times" w:hAnsi="Arial" w:cs="Arial"/>
          <w:sz w:val="20"/>
          <w:szCs w:val="20"/>
        </w:rPr>
        <w:t>The SAPD’s Vision: A better Idaho where the legal system treats each person with fairness and dignity.</w:t>
      </w:r>
    </w:p>
    <w:p w14:paraId="7476907B" w14:textId="77777777" w:rsidR="00376DFB" w:rsidRDefault="00376DFB" w:rsidP="001D2A76">
      <w:pPr>
        <w:jc w:val="both"/>
        <w:rPr>
          <w:rFonts w:ascii="Arial" w:eastAsia="Times" w:hAnsi="Arial" w:cs="Arial"/>
          <w:sz w:val="20"/>
          <w:szCs w:val="20"/>
        </w:rPr>
      </w:pPr>
    </w:p>
    <w:p w14:paraId="07A27880" w14:textId="3B7F60F4" w:rsidR="00E76FC0" w:rsidRDefault="00E76FC0" w:rsidP="00E76FC0">
      <w:pPr>
        <w:jc w:val="both"/>
        <w:rPr>
          <w:rFonts w:ascii="Arial" w:hAnsi="Arial" w:cs="Arial"/>
          <w:sz w:val="20"/>
          <w:szCs w:val="22"/>
        </w:rPr>
      </w:pPr>
      <w:r>
        <w:rPr>
          <w:rFonts w:ascii="Arial" w:hAnsi="Arial" w:cs="Arial"/>
          <w:sz w:val="20"/>
          <w:szCs w:val="22"/>
        </w:rPr>
        <w:t xml:space="preserve">After seven years at the helm, </w:t>
      </w:r>
      <w:r w:rsidR="00C82679">
        <w:rPr>
          <w:rFonts w:ascii="Arial" w:hAnsi="Arial" w:cs="Arial"/>
          <w:sz w:val="20"/>
          <w:szCs w:val="22"/>
        </w:rPr>
        <w:t xml:space="preserve">Director </w:t>
      </w:r>
      <w:r>
        <w:rPr>
          <w:rFonts w:ascii="Arial" w:hAnsi="Arial" w:cs="Arial"/>
          <w:sz w:val="20"/>
          <w:szCs w:val="22"/>
        </w:rPr>
        <w:t xml:space="preserve">Eric D. Fredericksen left the SAPD </w:t>
      </w:r>
      <w:r w:rsidR="00763F33">
        <w:rPr>
          <w:rFonts w:ascii="Arial" w:hAnsi="Arial" w:cs="Arial"/>
          <w:sz w:val="20"/>
          <w:szCs w:val="22"/>
        </w:rPr>
        <w:t>early in</w:t>
      </w:r>
      <w:r>
        <w:rPr>
          <w:rFonts w:ascii="Arial" w:hAnsi="Arial" w:cs="Arial"/>
          <w:sz w:val="20"/>
          <w:szCs w:val="22"/>
        </w:rPr>
        <w:t xml:space="preserve"> FY 2024. Effective </w:t>
      </w:r>
      <w:r w:rsidRPr="00C86F19">
        <w:rPr>
          <w:rFonts w:ascii="Arial" w:hAnsi="Arial" w:cs="Arial"/>
          <w:sz w:val="20"/>
          <w:szCs w:val="22"/>
        </w:rPr>
        <w:t>September</w:t>
      </w:r>
      <w:r>
        <w:rPr>
          <w:rFonts w:ascii="Arial" w:hAnsi="Arial" w:cs="Arial"/>
          <w:sz w:val="20"/>
          <w:szCs w:val="22"/>
        </w:rPr>
        <w:t xml:space="preserve"> 25, 2023, Governor Little appointed </w:t>
      </w:r>
      <w:r w:rsidRPr="0031380B">
        <w:rPr>
          <w:rFonts w:ascii="Arial" w:hAnsi="Arial" w:cs="Arial"/>
          <w:sz w:val="20"/>
          <w:szCs w:val="22"/>
        </w:rPr>
        <w:t>Erik R. Lehtinen</w:t>
      </w:r>
      <w:r>
        <w:rPr>
          <w:rFonts w:ascii="Arial" w:hAnsi="Arial" w:cs="Arial"/>
          <w:sz w:val="20"/>
          <w:szCs w:val="22"/>
        </w:rPr>
        <w:t xml:space="preserve"> as the Interim </w:t>
      </w:r>
      <w:r w:rsidR="000132A2">
        <w:rPr>
          <w:rFonts w:ascii="Arial" w:hAnsi="Arial" w:cs="Arial"/>
          <w:sz w:val="20"/>
          <w:szCs w:val="22"/>
        </w:rPr>
        <w:t>Director</w:t>
      </w:r>
      <w:r>
        <w:rPr>
          <w:rFonts w:ascii="Arial" w:hAnsi="Arial" w:cs="Arial"/>
          <w:sz w:val="20"/>
          <w:szCs w:val="22"/>
        </w:rPr>
        <w:t xml:space="preserve">. Governor Little made that appointment permanent on January 7, 2024, and Mr. Lehtinen was confirmed by the Idaho Senate on February 1, 2024. </w:t>
      </w:r>
    </w:p>
    <w:p w14:paraId="234C7A6D" w14:textId="77777777" w:rsidR="00E76FC0" w:rsidRDefault="00E76FC0" w:rsidP="00CD5CEA">
      <w:pPr>
        <w:jc w:val="both"/>
        <w:rPr>
          <w:rFonts w:ascii="Arial" w:hAnsi="Arial" w:cs="Arial"/>
          <w:sz w:val="20"/>
          <w:szCs w:val="22"/>
        </w:rPr>
      </w:pPr>
    </w:p>
    <w:p w14:paraId="245507F1" w14:textId="25FE8CE3" w:rsidR="00CD5CEA" w:rsidRPr="00D047AC" w:rsidRDefault="00CD5CEA" w:rsidP="00CD5CEA">
      <w:pPr>
        <w:jc w:val="both"/>
        <w:rPr>
          <w:rFonts w:ascii="Arial" w:hAnsi="Arial" w:cs="Arial"/>
          <w:sz w:val="20"/>
          <w:szCs w:val="22"/>
        </w:rPr>
      </w:pPr>
      <w:r>
        <w:rPr>
          <w:rFonts w:ascii="Arial" w:hAnsi="Arial" w:cs="Arial"/>
          <w:sz w:val="20"/>
          <w:szCs w:val="22"/>
        </w:rPr>
        <w:t>As of July 1, 2024, the SAPD had 26</w:t>
      </w:r>
      <w:r w:rsidRPr="00D047AC">
        <w:rPr>
          <w:rFonts w:ascii="Arial" w:hAnsi="Arial" w:cs="Arial"/>
          <w:sz w:val="20"/>
          <w:szCs w:val="22"/>
        </w:rPr>
        <w:t xml:space="preserve"> </w:t>
      </w:r>
      <w:r w:rsidR="007937BC">
        <w:rPr>
          <w:rFonts w:ascii="Arial" w:hAnsi="Arial" w:cs="Arial"/>
          <w:sz w:val="20"/>
          <w:szCs w:val="22"/>
        </w:rPr>
        <w:t>FTPs</w:t>
      </w:r>
      <w:r w:rsidRPr="00D047AC">
        <w:rPr>
          <w:rFonts w:ascii="Arial" w:hAnsi="Arial" w:cs="Arial"/>
          <w:sz w:val="20"/>
          <w:szCs w:val="22"/>
        </w:rPr>
        <w:t xml:space="preserve">, including </w:t>
      </w:r>
      <w:r w:rsidR="00C82679">
        <w:rPr>
          <w:rFonts w:ascii="Arial" w:hAnsi="Arial" w:cs="Arial"/>
          <w:sz w:val="20"/>
          <w:szCs w:val="22"/>
        </w:rPr>
        <w:t>Mr. Lehtinen</w:t>
      </w:r>
      <w:r w:rsidRPr="00D047AC">
        <w:rPr>
          <w:rFonts w:ascii="Arial" w:hAnsi="Arial" w:cs="Arial"/>
          <w:sz w:val="20"/>
          <w:szCs w:val="22"/>
        </w:rPr>
        <w:t xml:space="preserve">. </w:t>
      </w:r>
      <w:r>
        <w:rPr>
          <w:rFonts w:ascii="Arial" w:hAnsi="Arial" w:cs="Arial"/>
          <w:sz w:val="20"/>
          <w:szCs w:val="22"/>
        </w:rPr>
        <w:t xml:space="preserve">Other than </w:t>
      </w:r>
      <w:r w:rsidR="00C82679">
        <w:rPr>
          <w:rFonts w:ascii="Arial" w:hAnsi="Arial" w:cs="Arial"/>
          <w:sz w:val="20"/>
          <w:szCs w:val="22"/>
        </w:rPr>
        <w:t>Mr. Lehtinen</w:t>
      </w:r>
      <w:r>
        <w:rPr>
          <w:rFonts w:ascii="Arial" w:hAnsi="Arial" w:cs="Arial"/>
          <w:sz w:val="20"/>
          <w:szCs w:val="22"/>
        </w:rPr>
        <w:t xml:space="preserve"> and an office administrator, </w:t>
      </w:r>
      <w:r w:rsidR="00693191">
        <w:rPr>
          <w:rFonts w:ascii="Arial" w:hAnsi="Arial" w:cs="Arial"/>
          <w:sz w:val="20"/>
          <w:szCs w:val="22"/>
        </w:rPr>
        <w:t>the SAPD’s</w:t>
      </w:r>
      <w:r>
        <w:rPr>
          <w:rFonts w:ascii="Arial" w:hAnsi="Arial" w:cs="Arial"/>
          <w:sz w:val="20"/>
          <w:szCs w:val="22"/>
        </w:rPr>
        <w:t xml:space="preserve"> employees are divided between two units. </w:t>
      </w:r>
      <w:r w:rsidRPr="00D047AC">
        <w:rPr>
          <w:rFonts w:ascii="Arial" w:hAnsi="Arial" w:cs="Arial"/>
          <w:sz w:val="20"/>
          <w:szCs w:val="22"/>
        </w:rPr>
        <w:t xml:space="preserve">The Capital Litigation Unit </w:t>
      </w:r>
      <w:r>
        <w:rPr>
          <w:rFonts w:ascii="Arial" w:hAnsi="Arial" w:cs="Arial"/>
          <w:sz w:val="20"/>
          <w:szCs w:val="22"/>
        </w:rPr>
        <w:t>consists of</w:t>
      </w:r>
      <w:r w:rsidRPr="00D047AC">
        <w:rPr>
          <w:rFonts w:ascii="Arial" w:hAnsi="Arial" w:cs="Arial"/>
          <w:sz w:val="20"/>
          <w:szCs w:val="22"/>
        </w:rPr>
        <w:t xml:space="preserve"> </w:t>
      </w:r>
      <w:r w:rsidR="009D787E">
        <w:rPr>
          <w:rFonts w:ascii="Arial" w:hAnsi="Arial" w:cs="Arial"/>
          <w:sz w:val="20"/>
          <w:szCs w:val="22"/>
        </w:rPr>
        <w:t>four</w:t>
      </w:r>
      <w:r w:rsidRPr="00D047AC">
        <w:rPr>
          <w:rFonts w:ascii="Arial" w:hAnsi="Arial" w:cs="Arial"/>
          <w:sz w:val="20"/>
          <w:szCs w:val="22"/>
        </w:rPr>
        <w:t xml:space="preserve"> attorneys, a mitigation specialist, an investigator, and one </w:t>
      </w:r>
      <w:r>
        <w:rPr>
          <w:rFonts w:ascii="Arial" w:hAnsi="Arial" w:cs="Arial"/>
          <w:sz w:val="20"/>
          <w:szCs w:val="22"/>
        </w:rPr>
        <w:t xml:space="preserve">administrative </w:t>
      </w:r>
      <w:r w:rsidRPr="00D047AC">
        <w:rPr>
          <w:rFonts w:ascii="Arial" w:hAnsi="Arial" w:cs="Arial"/>
          <w:sz w:val="20"/>
          <w:szCs w:val="22"/>
        </w:rPr>
        <w:t>assistant. The Appellate Unit</w:t>
      </w:r>
      <w:r>
        <w:rPr>
          <w:rFonts w:ascii="Arial" w:hAnsi="Arial" w:cs="Arial"/>
          <w:sz w:val="20"/>
          <w:szCs w:val="22"/>
        </w:rPr>
        <w:t xml:space="preserve"> has thirteen staff attorneys and four legal assistants.</w:t>
      </w:r>
    </w:p>
    <w:p w14:paraId="6D1E7AF8" w14:textId="77777777" w:rsidR="00CD5CEA" w:rsidRDefault="00CD5CEA" w:rsidP="00CD5CEA">
      <w:pPr>
        <w:jc w:val="both"/>
        <w:rPr>
          <w:rFonts w:ascii="Arial" w:hAnsi="Arial" w:cs="Arial"/>
          <w:sz w:val="20"/>
          <w:szCs w:val="22"/>
        </w:rPr>
      </w:pPr>
    </w:p>
    <w:p w14:paraId="20A51E2B" w14:textId="77777777" w:rsidR="00376DFB" w:rsidRPr="004869F8" w:rsidRDefault="00376DFB" w:rsidP="001D2A76">
      <w:pPr>
        <w:jc w:val="both"/>
        <w:rPr>
          <w:rFonts w:ascii="Arial" w:eastAsia="Times" w:hAnsi="Arial" w:cs="Arial"/>
          <w:b/>
          <w:sz w:val="20"/>
          <w:szCs w:val="20"/>
        </w:rPr>
      </w:pPr>
    </w:p>
    <w:p w14:paraId="09787AFC" w14:textId="5B8DE285" w:rsidR="00623973" w:rsidRDefault="006D2BA5" w:rsidP="009E383C">
      <w:pPr>
        <w:jc w:val="both"/>
        <w:rPr>
          <w:rFonts w:ascii="Arial" w:hAnsi="Arial" w:cs="Arial"/>
          <w:b/>
          <w:bCs/>
        </w:rPr>
      </w:pPr>
      <w:r w:rsidRPr="00950620">
        <w:rPr>
          <w:rFonts w:ascii="Arial" w:hAnsi="Arial" w:cs="Arial"/>
          <w:b/>
          <w:bCs/>
        </w:rPr>
        <w:t>Core Functions/Idaho Code</w:t>
      </w:r>
    </w:p>
    <w:p w14:paraId="6D37F93B" w14:textId="77777777" w:rsidR="00DE0590" w:rsidRDefault="00DE0590" w:rsidP="009E383C">
      <w:pPr>
        <w:jc w:val="both"/>
        <w:rPr>
          <w:rFonts w:ascii="Arial" w:hAnsi="Arial" w:cs="Arial"/>
          <w:b/>
          <w:bCs/>
        </w:rPr>
      </w:pPr>
    </w:p>
    <w:p w14:paraId="7E1D74D4" w14:textId="48667ABB" w:rsidR="00D047AC" w:rsidRPr="00D047AC" w:rsidRDefault="00D047AC" w:rsidP="00BA0919">
      <w:pPr>
        <w:jc w:val="both"/>
        <w:rPr>
          <w:rFonts w:ascii="Arial" w:hAnsi="Arial" w:cs="Arial"/>
          <w:color w:val="000000"/>
          <w:sz w:val="20"/>
          <w:szCs w:val="22"/>
        </w:rPr>
      </w:pPr>
      <w:r w:rsidRPr="00D047AC">
        <w:rPr>
          <w:rFonts w:ascii="Arial" w:hAnsi="Arial" w:cs="Arial"/>
          <w:color w:val="000000"/>
          <w:sz w:val="20"/>
          <w:szCs w:val="22"/>
        </w:rPr>
        <w:t xml:space="preserve">The right of a defendant to representation by an attorney in a felony criminal case is a core value in Idaho, dating back to the days of the Idaho Territory. The Revised Statutes of Idaho, dated 1884, stated that if a defendant “desires and is unable to employ counsel, the court must assign counsel to defend him.” Years later, the United States Supreme Court recognized, in </w:t>
      </w:r>
      <w:r w:rsidRPr="004869F8">
        <w:rPr>
          <w:rFonts w:ascii="Arial" w:hAnsi="Arial" w:cs="Arial"/>
          <w:i/>
          <w:color w:val="000000"/>
          <w:sz w:val="20"/>
          <w:szCs w:val="22"/>
        </w:rPr>
        <w:t>Alabama v. Powell</w:t>
      </w:r>
      <w:r w:rsidRPr="00D047AC">
        <w:rPr>
          <w:rFonts w:ascii="Arial" w:hAnsi="Arial" w:cs="Arial"/>
          <w:color w:val="000000"/>
          <w:sz w:val="20"/>
          <w:szCs w:val="22"/>
        </w:rPr>
        <w:t xml:space="preserve">, 287 U.S. 45, 68-69 (1932), that the basic fairness required by the United States Constitution meant that indigent defendants facing capital charges had the right to assistance of counsel. </w:t>
      </w:r>
      <w:r w:rsidR="00434AFC">
        <w:rPr>
          <w:rFonts w:ascii="Arial" w:hAnsi="Arial" w:cs="Arial"/>
          <w:color w:val="000000"/>
          <w:sz w:val="20"/>
          <w:szCs w:val="22"/>
        </w:rPr>
        <w:t>L</w:t>
      </w:r>
      <w:r w:rsidRPr="00D047AC">
        <w:rPr>
          <w:rFonts w:ascii="Arial" w:hAnsi="Arial" w:cs="Arial"/>
          <w:color w:val="000000"/>
          <w:sz w:val="20"/>
          <w:szCs w:val="22"/>
        </w:rPr>
        <w:t xml:space="preserve">ater, in </w:t>
      </w:r>
      <w:r w:rsidRPr="004869F8">
        <w:rPr>
          <w:rFonts w:ascii="Arial" w:hAnsi="Arial" w:cs="Arial"/>
          <w:i/>
          <w:color w:val="000000"/>
          <w:sz w:val="20"/>
          <w:szCs w:val="22"/>
        </w:rPr>
        <w:t>Gideon v. Wainwright</w:t>
      </w:r>
      <w:r w:rsidRPr="00D047AC">
        <w:rPr>
          <w:rFonts w:ascii="Arial" w:hAnsi="Arial" w:cs="Arial"/>
          <w:color w:val="000000"/>
          <w:sz w:val="20"/>
          <w:szCs w:val="22"/>
        </w:rPr>
        <w:t xml:space="preserve">, 372 U.S. 335 (1963), the Supreme Court ruled that states have a constitutional obligation under the Sixth and Fourteenth Amendments to the U.S. Constitution to provide trial counsel to non-capital indigent defendants facing a loss of liberty. Finally, in </w:t>
      </w:r>
      <w:r w:rsidRPr="004869F8">
        <w:rPr>
          <w:rFonts w:ascii="Arial" w:hAnsi="Arial" w:cs="Arial"/>
          <w:i/>
          <w:color w:val="000000"/>
          <w:sz w:val="20"/>
          <w:szCs w:val="22"/>
        </w:rPr>
        <w:t>Douglas v. California</w:t>
      </w:r>
      <w:r w:rsidRPr="00D047AC">
        <w:rPr>
          <w:rFonts w:ascii="Arial" w:hAnsi="Arial" w:cs="Arial"/>
          <w:color w:val="000000"/>
          <w:sz w:val="20"/>
          <w:szCs w:val="22"/>
        </w:rPr>
        <w:t xml:space="preserve">, 372 U.S. 353 (1963), the Court found that an indigent defendant is entitled to the assistance of counsel in a first appeal granted as a matter of right from a criminal conviction. </w:t>
      </w:r>
    </w:p>
    <w:p w14:paraId="4B17F5E1" w14:textId="77777777" w:rsidR="00D047AC" w:rsidRDefault="00D047AC" w:rsidP="009E383C">
      <w:pPr>
        <w:jc w:val="both"/>
        <w:rPr>
          <w:rFonts w:ascii="Arial" w:hAnsi="Arial" w:cs="Arial"/>
          <w:color w:val="000000"/>
          <w:sz w:val="20"/>
          <w:szCs w:val="22"/>
        </w:rPr>
      </w:pPr>
    </w:p>
    <w:p w14:paraId="7140A528" w14:textId="22AE4078" w:rsidR="00D047AC" w:rsidRPr="00D047AC" w:rsidRDefault="00D047AC" w:rsidP="00BA0919">
      <w:pPr>
        <w:jc w:val="both"/>
        <w:rPr>
          <w:rFonts w:ascii="Arial" w:hAnsi="Arial" w:cs="Arial"/>
          <w:color w:val="000000"/>
          <w:sz w:val="20"/>
          <w:szCs w:val="22"/>
        </w:rPr>
      </w:pPr>
      <w:r w:rsidRPr="00D047AC">
        <w:rPr>
          <w:rFonts w:ascii="Arial" w:hAnsi="Arial" w:cs="Arial"/>
          <w:color w:val="000000"/>
          <w:sz w:val="20"/>
          <w:szCs w:val="22"/>
        </w:rPr>
        <w:t xml:space="preserve">Even absent the constitutional requirements for counsel, Idaho continues to adhere to the core value of ensuring that </w:t>
      </w:r>
      <w:r w:rsidR="00134BD8">
        <w:rPr>
          <w:rFonts w:ascii="Arial" w:hAnsi="Arial" w:cs="Arial"/>
          <w:color w:val="000000"/>
          <w:sz w:val="20"/>
          <w:szCs w:val="22"/>
        </w:rPr>
        <w:t xml:space="preserve">indigent </w:t>
      </w:r>
      <w:r w:rsidRPr="00D047AC">
        <w:rPr>
          <w:rFonts w:ascii="Arial" w:hAnsi="Arial" w:cs="Arial"/>
          <w:color w:val="000000"/>
          <w:sz w:val="20"/>
          <w:szCs w:val="22"/>
        </w:rPr>
        <w:t xml:space="preserve">criminal defendants facing a loss of </w:t>
      </w:r>
      <w:r w:rsidR="00D559F8">
        <w:rPr>
          <w:rFonts w:ascii="Arial" w:hAnsi="Arial" w:cs="Arial"/>
          <w:color w:val="000000"/>
          <w:sz w:val="20"/>
          <w:szCs w:val="22"/>
        </w:rPr>
        <w:t xml:space="preserve">life or </w:t>
      </w:r>
      <w:r w:rsidRPr="00D047AC">
        <w:rPr>
          <w:rFonts w:ascii="Arial" w:hAnsi="Arial" w:cs="Arial"/>
          <w:color w:val="000000"/>
          <w:sz w:val="20"/>
          <w:szCs w:val="22"/>
        </w:rPr>
        <w:t xml:space="preserve">liberty are represented by counsel </w:t>
      </w:r>
      <w:r w:rsidRPr="00D559F8">
        <w:rPr>
          <w:rFonts w:ascii="Arial" w:hAnsi="Arial" w:cs="Arial"/>
          <w:color w:val="000000"/>
          <w:sz w:val="20"/>
          <w:szCs w:val="22"/>
        </w:rPr>
        <w:t>“to the same extent as a person having his own counsel is so entitled.” I.C. § 19-</w:t>
      </w:r>
      <w:r w:rsidR="00F41F18">
        <w:rPr>
          <w:rFonts w:ascii="Arial" w:hAnsi="Arial" w:cs="Arial"/>
          <w:color w:val="000000"/>
          <w:sz w:val="20"/>
          <w:szCs w:val="22"/>
        </w:rPr>
        <w:t>6009(a)</w:t>
      </w:r>
      <w:r w:rsidRPr="00D047AC">
        <w:rPr>
          <w:rFonts w:ascii="Arial" w:hAnsi="Arial" w:cs="Arial"/>
          <w:color w:val="000000"/>
          <w:sz w:val="20"/>
          <w:szCs w:val="22"/>
        </w:rPr>
        <w:t xml:space="preserve">. </w:t>
      </w:r>
      <w:r w:rsidR="00EC7A88">
        <w:rPr>
          <w:rFonts w:ascii="Arial" w:hAnsi="Arial" w:cs="Arial"/>
          <w:color w:val="000000"/>
          <w:sz w:val="20"/>
          <w:szCs w:val="22"/>
        </w:rPr>
        <w:t>In capital cases, the need for counsel is particularly acute. I</w:t>
      </w:r>
      <w:r w:rsidRPr="00D047AC">
        <w:rPr>
          <w:rFonts w:ascii="Arial" w:hAnsi="Arial" w:cs="Arial"/>
          <w:color w:val="000000"/>
          <w:sz w:val="20"/>
          <w:szCs w:val="22"/>
        </w:rPr>
        <w:t xml:space="preserve">n accordance with Idaho Criminal Rule 44.2, immediately after the imposition of </w:t>
      </w:r>
      <w:r w:rsidR="00885719">
        <w:rPr>
          <w:rFonts w:ascii="Arial" w:hAnsi="Arial" w:cs="Arial"/>
          <w:color w:val="000000"/>
          <w:sz w:val="20"/>
          <w:szCs w:val="22"/>
        </w:rPr>
        <w:t xml:space="preserve">a </w:t>
      </w:r>
      <w:r w:rsidRPr="00D047AC">
        <w:rPr>
          <w:rFonts w:ascii="Arial" w:hAnsi="Arial" w:cs="Arial"/>
          <w:color w:val="000000"/>
          <w:sz w:val="20"/>
          <w:szCs w:val="22"/>
        </w:rPr>
        <w:t xml:space="preserve">death </w:t>
      </w:r>
      <w:r w:rsidR="00885719">
        <w:rPr>
          <w:rFonts w:ascii="Arial" w:hAnsi="Arial" w:cs="Arial"/>
          <w:color w:val="000000"/>
          <w:sz w:val="20"/>
          <w:szCs w:val="22"/>
        </w:rPr>
        <w:t>sentence</w:t>
      </w:r>
      <w:r w:rsidRPr="00D047AC">
        <w:rPr>
          <w:rFonts w:ascii="Arial" w:hAnsi="Arial" w:cs="Arial"/>
          <w:color w:val="000000"/>
          <w:sz w:val="20"/>
          <w:szCs w:val="22"/>
        </w:rPr>
        <w:t>, the court must appoint at least one lawyer to represent the defendant for purposes of seeking post-conviction relief pursuant to Idaho Code §</w:t>
      </w:r>
      <w:r w:rsidR="00885719">
        <w:rPr>
          <w:rFonts w:ascii="Arial" w:hAnsi="Arial" w:cs="Arial"/>
          <w:color w:val="000000"/>
          <w:sz w:val="20"/>
          <w:szCs w:val="22"/>
        </w:rPr>
        <w:t xml:space="preserve"> </w:t>
      </w:r>
      <w:r w:rsidRPr="00D047AC">
        <w:rPr>
          <w:rFonts w:ascii="Arial" w:hAnsi="Arial" w:cs="Arial"/>
          <w:color w:val="000000"/>
          <w:sz w:val="20"/>
          <w:szCs w:val="22"/>
        </w:rPr>
        <w:t xml:space="preserve">19-2719. </w:t>
      </w:r>
    </w:p>
    <w:p w14:paraId="580CE95D" w14:textId="77777777" w:rsidR="00D047AC" w:rsidRDefault="00D047AC" w:rsidP="009E383C">
      <w:pPr>
        <w:jc w:val="both"/>
        <w:rPr>
          <w:rFonts w:ascii="Arial" w:hAnsi="Arial" w:cs="Arial"/>
          <w:color w:val="000000"/>
          <w:sz w:val="20"/>
          <w:szCs w:val="22"/>
        </w:rPr>
      </w:pPr>
    </w:p>
    <w:p w14:paraId="02617C1E" w14:textId="2D3DE0F5" w:rsidR="00015C9F" w:rsidRDefault="00D047AC" w:rsidP="00BA0919">
      <w:pPr>
        <w:jc w:val="both"/>
        <w:rPr>
          <w:rFonts w:ascii="Arial" w:hAnsi="Arial" w:cs="Arial"/>
          <w:color w:val="000000"/>
          <w:sz w:val="20"/>
          <w:szCs w:val="22"/>
        </w:rPr>
      </w:pPr>
      <w:r w:rsidRPr="00D047AC">
        <w:rPr>
          <w:rFonts w:ascii="Arial" w:hAnsi="Arial" w:cs="Arial"/>
          <w:color w:val="000000"/>
          <w:sz w:val="20"/>
          <w:szCs w:val="22"/>
        </w:rPr>
        <w:lastRenderedPageBreak/>
        <w:t xml:space="preserve">The </w:t>
      </w:r>
      <w:r w:rsidR="00C2558A">
        <w:rPr>
          <w:rFonts w:ascii="Arial" w:hAnsi="Arial" w:cs="Arial"/>
          <w:color w:val="000000"/>
          <w:sz w:val="20"/>
          <w:szCs w:val="22"/>
        </w:rPr>
        <w:t>Idaho L</w:t>
      </w:r>
      <w:r w:rsidRPr="00D047AC">
        <w:rPr>
          <w:rFonts w:ascii="Arial" w:hAnsi="Arial" w:cs="Arial"/>
          <w:color w:val="000000"/>
          <w:sz w:val="20"/>
          <w:szCs w:val="22"/>
        </w:rPr>
        <w:t xml:space="preserve">egislature </w:t>
      </w:r>
      <w:r w:rsidR="00C2558A">
        <w:rPr>
          <w:rFonts w:ascii="Arial" w:hAnsi="Arial" w:cs="Arial"/>
          <w:color w:val="000000"/>
          <w:sz w:val="20"/>
          <w:szCs w:val="22"/>
        </w:rPr>
        <w:t xml:space="preserve">long ago </w:t>
      </w:r>
      <w:r w:rsidRPr="00D047AC">
        <w:rPr>
          <w:rFonts w:ascii="Arial" w:hAnsi="Arial" w:cs="Arial"/>
          <w:color w:val="000000"/>
          <w:sz w:val="20"/>
          <w:szCs w:val="22"/>
        </w:rPr>
        <w:t xml:space="preserve">recognized that the cost of providing appellate representation was an extraordinary burden on the counties of Idaho. “In order to reduce this burden, provide competent counsel but avoid paying high hourly rates to independent counsel to represent indigent defendants in appellate proceedings,” the legislature created the SAPD. </w:t>
      </w:r>
      <w:r w:rsidRPr="0051611E">
        <w:rPr>
          <w:rFonts w:ascii="Arial" w:hAnsi="Arial" w:cs="Arial"/>
          <w:i/>
          <w:color w:val="000000"/>
          <w:sz w:val="20"/>
          <w:szCs w:val="22"/>
        </w:rPr>
        <w:t>See</w:t>
      </w:r>
      <w:r w:rsidRPr="00D047AC">
        <w:rPr>
          <w:rFonts w:ascii="Arial" w:hAnsi="Arial" w:cs="Arial"/>
          <w:color w:val="000000"/>
          <w:sz w:val="20"/>
          <w:szCs w:val="22"/>
        </w:rPr>
        <w:t xml:space="preserve"> I.C. § 19-</w:t>
      </w:r>
      <w:r w:rsidR="004D47BB">
        <w:rPr>
          <w:rFonts w:ascii="Arial" w:hAnsi="Arial" w:cs="Arial"/>
          <w:color w:val="000000"/>
          <w:sz w:val="20"/>
          <w:szCs w:val="22"/>
        </w:rPr>
        <w:t>5902</w:t>
      </w:r>
      <w:r w:rsidRPr="00D047AC">
        <w:rPr>
          <w:rFonts w:ascii="Arial" w:hAnsi="Arial" w:cs="Arial"/>
          <w:color w:val="000000"/>
          <w:sz w:val="20"/>
          <w:szCs w:val="22"/>
        </w:rPr>
        <w:t xml:space="preserve">. The </w:t>
      </w:r>
      <w:r w:rsidR="00D35293">
        <w:rPr>
          <w:rFonts w:ascii="Arial" w:hAnsi="Arial" w:cs="Arial"/>
          <w:color w:val="000000"/>
          <w:sz w:val="20"/>
          <w:szCs w:val="22"/>
        </w:rPr>
        <w:t xml:space="preserve">powers and </w:t>
      </w:r>
      <w:r w:rsidRPr="00D047AC">
        <w:rPr>
          <w:rFonts w:ascii="Arial" w:hAnsi="Arial" w:cs="Arial"/>
          <w:color w:val="000000"/>
          <w:sz w:val="20"/>
          <w:szCs w:val="22"/>
        </w:rPr>
        <w:t xml:space="preserve">duties of the </w:t>
      </w:r>
      <w:r w:rsidR="0051611E">
        <w:rPr>
          <w:rFonts w:ascii="Arial" w:hAnsi="Arial" w:cs="Arial"/>
          <w:color w:val="000000"/>
          <w:sz w:val="20"/>
          <w:szCs w:val="22"/>
        </w:rPr>
        <w:t>SAPD</w:t>
      </w:r>
      <w:r w:rsidRPr="00D047AC">
        <w:rPr>
          <w:rFonts w:ascii="Arial" w:hAnsi="Arial" w:cs="Arial"/>
          <w:color w:val="000000"/>
          <w:sz w:val="20"/>
          <w:szCs w:val="22"/>
        </w:rPr>
        <w:t xml:space="preserve"> are enumerated in I.C. §19-</w:t>
      </w:r>
      <w:r w:rsidR="00644756">
        <w:rPr>
          <w:rFonts w:ascii="Arial" w:hAnsi="Arial" w:cs="Arial"/>
          <w:color w:val="000000"/>
          <w:sz w:val="20"/>
          <w:szCs w:val="22"/>
        </w:rPr>
        <w:t>5905</w:t>
      </w:r>
      <w:r w:rsidRPr="00D047AC">
        <w:rPr>
          <w:rFonts w:ascii="Arial" w:hAnsi="Arial" w:cs="Arial"/>
          <w:color w:val="000000"/>
          <w:sz w:val="20"/>
          <w:szCs w:val="22"/>
        </w:rPr>
        <w:t>.</w:t>
      </w:r>
      <w:r w:rsidR="00460321">
        <w:rPr>
          <w:rFonts w:ascii="Arial" w:hAnsi="Arial" w:cs="Arial"/>
          <w:color w:val="000000"/>
          <w:sz w:val="20"/>
          <w:szCs w:val="22"/>
        </w:rPr>
        <w:t xml:space="preserve"> </w:t>
      </w:r>
    </w:p>
    <w:p w14:paraId="391FE163" w14:textId="77777777" w:rsidR="001B12D2" w:rsidRDefault="001B12D2" w:rsidP="00BA0919">
      <w:pPr>
        <w:jc w:val="both"/>
        <w:rPr>
          <w:rFonts w:ascii="Arial" w:hAnsi="Arial" w:cs="Arial"/>
          <w:color w:val="000000"/>
          <w:sz w:val="20"/>
          <w:szCs w:val="22"/>
        </w:rPr>
      </w:pPr>
    </w:p>
    <w:p w14:paraId="4E6AD9C5" w14:textId="77777777" w:rsidR="001B12D2" w:rsidRDefault="001B12D2" w:rsidP="00BA0919">
      <w:pPr>
        <w:jc w:val="both"/>
        <w:rPr>
          <w:rFonts w:ascii="Arial" w:hAnsi="Arial" w:cs="Arial"/>
          <w:color w:val="000000"/>
          <w:sz w:val="20"/>
          <w:szCs w:val="22"/>
        </w:rPr>
      </w:pPr>
    </w:p>
    <w:p w14:paraId="2212A4A8" w14:textId="77777777" w:rsidR="001B12D2" w:rsidRDefault="001B12D2" w:rsidP="00BA0919">
      <w:pPr>
        <w:jc w:val="both"/>
        <w:rPr>
          <w:rFonts w:ascii="Arial" w:hAnsi="Arial" w:cs="Arial"/>
          <w:color w:val="000000"/>
          <w:sz w:val="20"/>
          <w:szCs w:val="22"/>
        </w:rPr>
      </w:pPr>
    </w:p>
    <w:p w14:paraId="55E2FCD2" w14:textId="1A08FA01" w:rsidR="0050252A" w:rsidRDefault="00C3221A" w:rsidP="00D728F8">
      <w:pPr>
        <w:rPr>
          <w:rFonts w:ascii="Arial" w:hAnsi="Arial" w:cs="Arial"/>
          <w:b/>
          <w:bCs/>
        </w:rPr>
      </w:pPr>
      <w:r>
        <w:rPr>
          <w:rFonts w:ascii="Arial" w:hAnsi="Arial" w:cs="Arial"/>
          <w:b/>
          <w:bCs/>
        </w:rPr>
        <w:t>Revenue</w:t>
      </w:r>
      <w:r w:rsidR="006D2BA5" w:rsidRPr="00CF73B4">
        <w:rPr>
          <w:rFonts w:ascii="Arial" w:hAnsi="Arial" w:cs="Arial"/>
          <w:b/>
          <w:bCs/>
        </w:rPr>
        <w:t xml:space="preserve"> and Expenditures</w:t>
      </w:r>
    </w:p>
    <w:p w14:paraId="6AAE560F" w14:textId="77777777" w:rsidR="003D0E94" w:rsidRPr="00CF73B4" w:rsidRDefault="003D0E94" w:rsidP="00D728F8">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6"/>
        <w:gridCol w:w="1784"/>
        <w:gridCol w:w="1784"/>
        <w:gridCol w:w="1784"/>
        <w:gridCol w:w="1922"/>
      </w:tblGrid>
      <w:tr w:rsidR="00370270" w:rsidRPr="00CF73B4" w14:paraId="6DDD0982" w14:textId="77777777" w:rsidTr="00821D29">
        <w:tc>
          <w:tcPr>
            <w:tcW w:w="2796" w:type="dxa"/>
            <w:shd w:val="clear" w:color="auto" w:fill="000080"/>
          </w:tcPr>
          <w:p w14:paraId="0009E03B" w14:textId="77777777" w:rsidR="00370270" w:rsidRPr="00CF73B4" w:rsidRDefault="00370270" w:rsidP="00370270">
            <w:pPr>
              <w:rPr>
                <w:rFonts w:ascii="Arial" w:hAnsi="Arial" w:cs="Arial"/>
                <w:b/>
                <w:bCs/>
                <w:color w:val="FFFFFF"/>
                <w:sz w:val="20"/>
              </w:rPr>
            </w:pPr>
            <w:r>
              <w:rPr>
                <w:rFonts w:ascii="Arial" w:hAnsi="Arial" w:cs="Arial"/>
                <w:b/>
                <w:bCs/>
                <w:color w:val="FFFFFF"/>
                <w:sz w:val="20"/>
              </w:rPr>
              <w:t>Revenue</w:t>
            </w:r>
          </w:p>
        </w:tc>
        <w:tc>
          <w:tcPr>
            <w:tcW w:w="1784" w:type="dxa"/>
            <w:shd w:val="clear" w:color="auto" w:fill="000080"/>
          </w:tcPr>
          <w:p w14:paraId="15EBE60B" w14:textId="7A71F9E5" w:rsidR="00370270" w:rsidRPr="00F97869" w:rsidRDefault="00370270" w:rsidP="00370270">
            <w:pPr>
              <w:jc w:val="right"/>
              <w:rPr>
                <w:rFonts w:ascii="Arial" w:hAnsi="Arial" w:cs="Arial"/>
                <w:b/>
                <w:bCs/>
                <w:color w:val="FFFFFF"/>
                <w:sz w:val="20"/>
                <w:szCs w:val="20"/>
              </w:rPr>
            </w:pPr>
            <w:r>
              <w:rPr>
                <w:rFonts w:ascii="Arial" w:hAnsi="Arial" w:cs="Arial"/>
                <w:b/>
                <w:bCs/>
                <w:color w:val="FFFFFF"/>
                <w:sz w:val="20"/>
              </w:rPr>
              <w:t>FY 2022</w:t>
            </w:r>
          </w:p>
        </w:tc>
        <w:tc>
          <w:tcPr>
            <w:tcW w:w="1784" w:type="dxa"/>
            <w:shd w:val="clear" w:color="auto" w:fill="000080"/>
          </w:tcPr>
          <w:p w14:paraId="15E4E6BA" w14:textId="11AC568B" w:rsidR="00370270" w:rsidRPr="00CF73B4" w:rsidRDefault="00370270" w:rsidP="00370270">
            <w:pPr>
              <w:jc w:val="right"/>
              <w:rPr>
                <w:rFonts w:ascii="Arial" w:hAnsi="Arial" w:cs="Arial"/>
                <w:b/>
                <w:bCs/>
                <w:color w:val="FFFFFF"/>
                <w:sz w:val="20"/>
              </w:rPr>
            </w:pPr>
            <w:r>
              <w:rPr>
                <w:rFonts w:ascii="Arial" w:hAnsi="Arial" w:cs="Arial"/>
                <w:b/>
                <w:bCs/>
                <w:color w:val="FFFFFF"/>
                <w:sz w:val="20"/>
              </w:rPr>
              <w:t>FY 2023</w:t>
            </w:r>
          </w:p>
        </w:tc>
        <w:tc>
          <w:tcPr>
            <w:tcW w:w="1784" w:type="dxa"/>
            <w:tcBorders>
              <w:bottom w:val="single" w:sz="4" w:space="0" w:color="auto"/>
            </w:tcBorders>
            <w:shd w:val="clear" w:color="auto" w:fill="000080"/>
          </w:tcPr>
          <w:p w14:paraId="09742D95" w14:textId="37DE4B9F" w:rsidR="00370270" w:rsidRPr="00CF73B4" w:rsidRDefault="00370270" w:rsidP="00370270">
            <w:pPr>
              <w:jc w:val="right"/>
              <w:rPr>
                <w:rFonts w:ascii="Arial" w:hAnsi="Arial" w:cs="Arial"/>
                <w:b/>
                <w:bCs/>
                <w:color w:val="FFFFFF"/>
                <w:sz w:val="20"/>
              </w:rPr>
            </w:pPr>
            <w:r>
              <w:rPr>
                <w:rFonts w:ascii="Arial" w:hAnsi="Arial" w:cs="Arial"/>
                <w:b/>
                <w:bCs/>
                <w:color w:val="FFFFFF"/>
                <w:sz w:val="20"/>
              </w:rPr>
              <w:t>FY 2024</w:t>
            </w:r>
          </w:p>
        </w:tc>
        <w:tc>
          <w:tcPr>
            <w:tcW w:w="1922" w:type="dxa"/>
            <w:tcBorders>
              <w:bottom w:val="single" w:sz="4" w:space="0" w:color="auto"/>
            </w:tcBorders>
            <w:shd w:val="clear" w:color="auto" w:fill="000080"/>
          </w:tcPr>
          <w:p w14:paraId="49055D67" w14:textId="65063BD7" w:rsidR="00370270" w:rsidRPr="00CF73B4" w:rsidRDefault="00370270" w:rsidP="00370270">
            <w:pPr>
              <w:jc w:val="right"/>
              <w:rPr>
                <w:rFonts w:ascii="Arial" w:hAnsi="Arial" w:cs="Arial"/>
                <w:b/>
                <w:bCs/>
                <w:color w:val="FFFFFF"/>
                <w:sz w:val="20"/>
              </w:rPr>
            </w:pPr>
            <w:r>
              <w:rPr>
                <w:rFonts w:ascii="Arial" w:hAnsi="Arial" w:cs="Arial"/>
                <w:b/>
                <w:bCs/>
                <w:color w:val="FFFFFF"/>
                <w:sz w:val="20"/>
              </w:rPr>
              <w:t>FY 2025</w:t>
            </w:r>
          </w:p>
        </w:tc>
      </w:tr>
      <w:tr w:rsidR="00370270" w:rsidRPr="00CF73B4" w14:paraId="024611DE" w14:textId="77777777" w:rsidTr="00460321">
        <w:trPr>
          <w:trHeight w:val="297"/>
        </w:trPr>
        <w:tc>
          <w:tcPr>
            <w:tcW w:w="2796" w:type="dxa"/>
            <w:vAlign w:val="bottom"/>
          </w:tcPr>
          <w:p w14:paraId="53C2A6BA" w14:textId="77777777" w:rsidR="00370270" w:rsidRPr="00CF73B4" w:rsidRDefault="00370270" w:rsidP="00370270">
            <w:pPr>
              <w:rPr>
                <w:rFonts w:ascii="Arial" w:eastAsia="Arial Unicode MS" w:hAnsi="Arial" w:cs="Arial"/>
                <w:color w:val="000000"/>
                <w:sz w:val="20"/>
                <w:szCs w:val="20"/>
              </w:rPr>
            </w:pPr>
            <w:r w:rsidRPr="00CF73B4">
              <w:rPr>
                <w:rFonts w:ascii="Arial" w:hAnsi="Arial" w:cs="Arial"/>
                <w:color w:val="000000"/>
                <w:sz w:val="20"/>
                <w:szCs w:val="20"/>
              </w:rPr>
              <w:t>General Fund</w:t>
            </w:r>
          </w:p>
        </w:tc>
        <w:tc>
          <w:tcPr>
            <w:tcW w:w="1784" w:type="dxa"/>
          </w:tcPr>
          <w:p w14:paraId="6D8319FD" w14:textId="090A8CBC" w:rsidR="00370270" w:rsidRPr="000B4404" w:rsidRDefault="00370270" w:rsidP="00370270">
            <w:pPr>
              <w:jc w:val="right"/>
              <w:rPr>
                <w:rFonts w:ascii="Arial" w:hAnsi="Arial" w:cs="Arial"/>
                <w:color w:val="000000"/>
                <w:sz w:val="20"/>
                <w:szCs w:val="20"/>
                <w:u w:val="single"/>
              </w:rPr>
            </w:pPr>
            <w:r w:rsidRPr="000B4404">
              <w:rPr>
                <w:rFonts w:ascii="Arial" w:hAnsi="Arial" w:cs="Arial"/>
                <w:color w:val="000000"/>
                <w:sz w:val="20"/>
                <w:szCs w:val="20"/>
              </w:rPr>
              <w:t>$3,312,00</w:t>
            </w:r>
            <w:r>
              <w:rPr>
                <w:rFonts w:ascii="Arial" w:hAnsi="Arial" w:cs="Arial"/>
                <w:color w:val="000000"/>
                <w:sz w:val="20"/>
                <w:szCs w:val="20"/>
              </w:rPr>
              <w:t>0</w:t>
            </w:r>
          </w:p>
        </w:tc>
        <w:tc>
          <w:tcPr>
            <w:tcW w:w="1784" w:type="dxa"/>
            <w:tcBorders>
              <w:right w:val="nil"/>
            </w:tcBorders>
          </w:tcPr>
          <w:p w14:paraId="5988F8BE" w14:textId="74C5AE48" w:rsidR="00370270" w:rsidRPr="000B4404" w:rsidRDefault="00370270" w:rsidP="00370270">
            <w:pPr>
              <w:jc w:val="right"/>
              <w:rPr>
                <w:rFonts w:ascii="Arial" w:hAnsi="Arial" w:cs="Arial"/>
                <w:color w:val="000000"/>
                <w:sz w:val="20"/>
                <w:szCs w:val="20"/>
              </w:rPr>
            </w:pPr>
            <w:r w:rsidRPr="000B4404">
              <w:rPr>
                <w:rFonts w:ascii="Arial" w:hAnsi="Arial" w:cs="Arial"/>
                <w:color w:val="000000"/>
                <w:sz w:val="20"/>
                <w:szCs w:val="20"/>
              </w:rPr>
              <w:t>$3,402,900</w:t>
            </w:r>
          </w:p>
        </w:tc>
        <w:tc>
          <w:tcPr>
            <w:tcW w:w="1784" w:type="dxa"/>
            <w:tcBorders>
              <w:top w:val="single" w:sz="4" w:space="0" w:color="auto"/>
              <w:left w:val="nil"/>
              <w:bottom w:val="nil"/>
              <w:right w:val="nil"/>
            </w:tcBorders>
          </w:tcPr>
          <w:p w14:paraId="76BB7859" w14:textId="5EBC03E1" w:rsidR="00370270" w:rsidRPr="000B4404" w:rsidRDefault="00370270" w:rsidP="00370270">
            <w:pPr>
              <w:jc w:val="right"/>
              <w:rPr>
                <w:rFonts w:ascii="Arial" w:hAnsi="Arial" w:cs="Arial"/>
                <w:color w:val="000000"/>
                <w:sz w:val="20"/>
                <w:szCs w:val="20"/>
              </w:rPr>
            </w:pPr>
            <w:r w:rsidRPr="00D37DFA">
              <w:rPr>
                <w:rFonts w:ascii="Arial" w:hAnsi="Arial" w:cs="Arial"/>
                <w:color w:val="000000"/>
                <w:sz w:val="20"/>
                <w:szCs w:val="20"/>
              </w:rPr>
              <w:t>$</w:t>
            </w:r>
            <w:r>
              <w:rPr>
                <w:rFonts w:ascii="Arial" w:hAnsi="Arial" w:cs="Arial"/>
                <w:color w:val="000000"/>
                <w:sz w:val="20"/>
                <w:szCs w:val="20"/>
              </w:rPr>
              <w:t>0</w:t>
            </w:r>
          </w:p>
        </w:tc>
        <w:tc>
          <w:tcPr>
            <w:tcW w:w="1922" w:type="dxa"/>
            <w:tcBorders>
              <w:top w:val="single" w:sz="4" w:space="0" w:color="auto"/>
              <w:left w:val="nil"/>
              <w:bottom w:val="nil"/>
              <w:right w:val="single" w:sz="4" w:space="0" w:color="auto"/>
            </w:tcBorders>
            <w:shd w:val="clear" w:color="auto" w:fill="auto"/>
          </w:tcPr>
          <w:p w14:paraId="1104DAAE" w14:textId="62A82597" w:rsidR="00370270" w:rsidRPr="007B6413" w:rsidRDefault="00370270" w:rsidP="00370270">
            <w:pPr>
              <w:jc w:val="right"/>
              <w:rPr>
                <w:rFonts w:ascii="Arial" w:hAnsi="Arial" w:cs="Arial"/>
                <w:color w:val="000000"/>
                <w:sz w:val="20"/>
                <w:szCs w:val="20"/>
                <w:highlight w:val="yellow"/>
              </w:rPr>
            </w:pPr>
          </w:p>
        </w:tc>
      </w:tr>
      <w:tr w:rsidR="00370270" w:rsidRPr="00CF73B4" w14:paraId="3A492B6D" w14:textId="77777777" w:rsidTr="00460321">
        <w:tc>
          <w:tcPr>
            <w:tcW w:w="2796" w:type="dxa"/>
            <w:vAlign w:val="bottom"/>
          </w:tcPr>
          <w:p w14:paraId="767575F7" w14:textId="77388B13" w:rsidR="00370270" w:rsidRPr="00492B88" w:rsidRDefault="00370270" w:rsidP="00370270">
            <w:pPr>
              <w:rPr>
                <w:rFonts w:ascii="Arial" w:hAnsi="Arial" w:cs="Arial"/>
                <w:bCs/>
                <w:sz w:val="20"/>
                <w:szCs w:val="20"/>
              </w:rPr>
            </w:pPr>
            <w:r w:rsidRPr="00492B88">
              <w:rPr>
                <w:rFonts w:ascii="Arial" w:hAnsi="Arial" w:cs="Arial"/>
                <w:bCs/>
                <w:sz w:val="20"/>
                <w:szCs w:val="20"/>
              </w:rPr>
              <w:t>Dedicated</w:t>
            </w:r>
          </w:p>
        </w:tc>
        <w:tc>
          <w:tcPr>
            <w:tcW w:w="1784" w:type="dxa"/>
          </w:tcPr>
          <w:p w14:paraId="133B8922" w14:textId="534BF1B6" w:rsidR="00370270" w:rsidRPr="000B4404" w:rsidRDefault="00370270" w:rsidP="00370270">
            <w:pPr>
              <w:jc w:val="right"/>
              <w:rPr>
                <w:rFonts w:ascii="Arial" w:hAnsi="Arial" w:cs="Arial"/>
                <w:bCs/>
                <w:sz w:val="20"/>
                <w:szCs w:val="20"/>
                <w:u w:val="single"/>
              </w:rPr>
            </w:pPr>
            <w:r w:rsidRPr="000B4404">
              <w:rPr>
                <w:rFonts w:ascii="Arial" w:hAnsi="Arial" w:cs="Arial"/>
                <w:sz w:val="20"/>
                <w:szCs w:val="20"/>
                <w:u w:val="single"/>
              </w:rPr>
              <w:t>$0</w:t>
            </w:r>
          </w:p>
        </w:tc>
        <w:tc>
          <w:tcPr>
            <w:tcW w:w="1784" w:type="dxa"/>
          </w:tcPr>
          <w:p w14:paraId="6E088F54" w14:textId="2384AADC" w:rsidR="00370270" w:rsidRPr="000B4404" w:rsidRDefault="00370270" w:rsidP="00370270">
            <w:pPr>
              <w:jc w:val="right"/>
              <w:rPr>
                <w:rFonts w:ascii="Arial" w:hAnsi="Arial" w:cs="Arial"/>
                <w:bCs/>
                <w:sz w:val="20"/>
                <w:szCs w:val="20"/>
                <w:u w:val="single"/>
              </w:rPr>
            </w:pPr>
            <w:r w:rsidRPr="000B4404">
              <w:rPr>
                <w:rFonts w:ascii="Arial" w:hAnsi="Arial" w:cs="Arial"/>
                <w:sz w:val="20"/>
                <w:szCs w:val="20"/>
                <w:u w:val="single"/>
              </w:rPr>
              <w:t>$0</w:t>
            </w:r>
          </w:p>
        </w:tc>
        <w:tc>
          <w:tcPr>
            <w:tcW w:w="1784" w:type="dxa"/>
            <w:tcBorders>
              <w:top w:val="nil"/>
            </w:tcBorders>
          </w:tcPr>
          <w:p w14:paraId="596F6946" w14:textId="339B884C" w:rsidR="00370270" w:rsidRPr="000B4404" w:rsidRDefault="00370270" w:rsidP="00370270">
            <w:pPr>
              <w:jc w:val="right"/>
              <w:rPr>
                <w:rFonts w:ascii="Arial" w:hAnsi="Arial" w:cs="Arial"/>
                <w:sz w:val="20"/>
                <w:szCs w:val="20"/>
                <w:u w:val="single"/>
              </w:rPr>
            </w:pPr>
            <w:r w:rsidRPr="001E1170">
              <w:rPr>
                <w:rFonts w:ascii="Arial" w:hAnsi="Arial" w:cs="Arial"/>
                <w:sz w:val="20"/>
                <w:szCs w:val="20"/>
                <w:u w:val="single"/>
              </w:rPr>
              <w:t>$0</w:t>
            </w:r>
          </w:p>
        </w:tc>
        <w:tc>
          <w:tcPr>
            <w:tcW w:w="1922" w:type="dxa"/>
            <w:tcBorders>
              <w:top w:val="nil"/>
            </w:tcBorders>
            <w:shd w:val="clear" w:color="auto" w:fill="auto"/>
          </w:tcPr>
          <w:p w14:paraId="222681AA" w14:textId="6CD307EB" w:rsidR="00370270" w:rsidRPr="007B6413" w:rsidRDefault="00370270" w:rsidP="00370270">
            <w:pPr>
              <w:jc w:val="right"/>
              <w:rPr>
                <w:rFonts w:ascii="Arial" w:hAnsi="Arial" w:cs="Arial"/>
                <w:sz w:val="20"/>
                <w:szCs w:val="20"/>
                <w:highlight w:val="yellow"/>
                <w:u w:val="single"/>
              </w:rPr>
            </w:pPr>
          </w:p>
        </w:tc>
      </w:tr>
      <w:tr w:rsidR="00370270" w:rsidRPr="00CF73B4" w14:paraId="152D8FFE" w14:textId="77777777" w:rsidTr="00460321">
        <w:tc>
          <w:tcPr>
            <w:tcW w:w="2796" w:type="dxa"/>
            <w:vAlign w:val="bottom"/>
          </w:tcPr>
          <w:p w14:paraId="7F19BA53" w14:textId="77777777" w:rsidR="00370270" w:rsidRPr="00CF73B4" w:rsidRDefault="00370270" w:rsidP="00370270">
            <w:pPr>
              <w:jc w:val="right"/>
              <w:rPr>
                <w:rFonts w:ascii="Arial" w:eastAsia="Arial Unicode MS" w:hAnsi="Arial" w:cs="Arial"/>
                <w:b/>
                <w:bCs/>
                <w:sz w:val="20"/>
                <w:szCs w:val="20"/>
              </w:rPr>
            </w:pPr>
            <w:r w:rsidRPr="00CF73B4">
              <w:rPr>
                <w:rFonts w:ascii="Arial" w:hAnsi="Arial" w:cs="Arial"/>
                <w:b/>
                <w:bCs/>
                <w:sz w:val="20"/>
                <w:szCs w:val="20"/>
              </w:rPr>
              <w:t>Total</w:t>
            </w:r>
          </w:p>
        </w:tc>
        <w:tc>
          <w:tcPr>
            <w:tcW w:w="1784" w:type="dxa"/>
          </w:tcPr>
          <w:p w14:paraId="47104ABD" w14:textId="5C7A3EB5" w:rsidR="00370270" w:rsidRPr="000B4404" w:rsidRDefault="00370270" w:rsidP="00370270">
            <w:pPr>
              <w:jc w:val="right"/>
              <w:rPr>
                <w:rFonts w:ascii="Arial" w:hAnsi="Arial" w:cs="Arial"/>
                <w:b/>
                <w:bCs/>
                <w:sz w:val="20"/>
                <w:szCs w:val="20"/>
              </w:rPr>
            </w:pPr>
            <w:r w:rsidRPr="000B4404">
              <w:rPr>
                <w:rFonts w:ascii="Arial" w:hAnsi="Arial" w:cs="Arial"/>
                <w:bCs/>
                <w:sz w:val="20"/>
                <w:szCs w:val="20"/>
              </w:rPr>
              <w:t>$3,312,000</w:t>
            </w:r>
          </w:p>
        </w:tc>
        <w:tc>
          <w:tcPr>
            <w:tcW w:w="1784" w:type="dxa"/>
          </w:tcPr>
          <w:p w14:paraId="202E1D79" w14:textId="58C48762" w:rsidR="00370270" w:rsidRPr="000B4404" w:rsidRDefault="00370270" w:rsidP="00370270">
            <w:pPr>
              <w:jc w:val="right"/>
              <w:rPr>
                <w:rFonts w:ascii="Arial" w:hAnsi="Arial" w:cs="Arial"/>
                <w:b/>
                <w:bCs/>
                <w:sz w:val="20"/>
                <w:szCs w:val="20"/>
              </w:rPr>
            </w:pPr>
            <w:r w:rsidRPr="000B4404">
              <w:rPr>
                <w:rFonts w:ascii="Arial" w:hAnsi="Arial" w:cs="Arial"/>
                <w:bCs/>
                <w:sz w:val="20"/>
                <w:szCs w:val="20"/>
              </w:rPr>
              <w:t>$3,402,900</w:t>
            </w:r>
          </w:p>
        </w:tc>
        <w:tc>
          <w:tcPr>
            <w:tcW w:w="1784" w:type="dxa"/>
          </w:tcPr>
          <w:p w14:paraId="7E415AD3" w14:textId="068AAE72" w:rsidR="00370270" w:rsidRPr="000B4404" w:rsidRDefault="00370270" w:rsidP="00370270">
            <w:pPr>
              <w:jc w:val="right"/>
              <w:rPr>
                <w:rFonts w:ascii="Arial" w:hAnsi="Arial" w:cs="Arial"/>
                <w:b/>
                <w:bCs/>
                <w:sz w:val="20"/>
                <w:szCs w:val="20"/>
              </w:rPr>
            </w:pPr>
            <w:r w:rsidRPr="00D37DFA">
              <w:rPr>
                <w:rFonts w:ascii="Arial" w:hAnsi="Arial" w:cs="Arial"/>
                <w:bCs/>
                <w:sz w:val="20"/>
                <w:szCs w:val="20"/>
              </w:rPr>
              <w:t>$</w:t>
            </w:r>
            <w:r>
              <w:rPr>
                <w:rFonts w:ascii="Arial" w:hAnsi="Arial" w:cs="Arial"/>
                <w:bCs/>
                <w:sz w:val="20"/>
                <w:szCs w:val="20"/>
              </w:rPr>
              <w:t>0</w:t>
            </w:r>
          </w:p>
        </w:tc>
        <w:tc>
          <w:tcPr>
            <w:tcW w:w="1922" w:type="dxa"/>
            <w:shd w:val="clear" w:color="auto" w:fill="auto"/>
          </w:tcPr>
          <w:p w14:paraId="212B4CC9" w14:textId="5AC68179" w:rsidR="00370270" w:rsidRPr="007B6413" w:rsidRDefault="00370270" w:rsidP="00370270">
            <w:pPr>
              <w:jc w:val="right"/>
              <w:rPr>
                <w:rFonts w:ascii="Arial" w:hAnsi="Arial" w:cs="Arial"/>
                <w:bCs/>
                <w:sz w:val="20"/>
                <w:szCs w:val="20"/>
                <w:highlight w:val="yellow"/>
              </w:rPr>
            </w:pPr>
          </w:p>
        </w:tc>
      </w:tr>
      <w:tr w:rsidR="00370270" w:rsidRPr="00CF73B4" w14:paraId="1A86F195" w14:textId="77777777" w:rsidTr="00821D29">
        <w:tc>
          <w:tcPr>
            <w:tcW w:w="2796" w:type="dxa"/>
            <w:shd w:val="clear" w:color="auto" w:fill="000080"/>
          </w:tcPr>
          <w:p w14:paraId="0FF9B601" w14:textId="77777777" w:rsidR="00370270" w:rsidRPr="00CF73B4" w:rsidRDefault="00370270" w:rsidP="00370270">
            <w:pPr>
              <w:jc w:val="both"/>
              <w:rPr>
                <w:rFonts w:ascii="Arial" w:hAnsi="Arial" w:cs="Arial"/>
                <w:b/>
                <w:bCs/>
                <w:color w:val="FFFFFF"/>
                <w:sz w:val="20"/>
              </w:rPr>
            </w:pPr>
            <w:r w:rsidRPr="00CF73B4">
              <w:rPr>
                <w:rFonts w:ascii="Arial" w:hAnsi="Arial" w:cs="Arial"/>
                <w:b/>
                <w:bCs/>
                <w:color w:val="FFFFFF"/>
                <w:sz w:val="20"/>
              </w:rPr>
              <w:t>Expenditure</w:t>
            </w:r>
            <w:r>
              <w:rPr>
                <w:rFonts w:ascii="Arial" w:hAnsi="Arial" w:cs="Arial"/>
                <w:b/>
                <w:bCs/>
                <w:color w:val="FFFFFF"/>
                <w:sz w:val="20"/>
              </w:rPr>
              <w:t>s</w:t>
            </w:r>
          </w:p>
        </w:tc>
        <w:tc>
          <w:tcPr>
            <w:tcW w:w="1784" w:type="dxa"/>
            <w:shd w:val="clear" w:color="auto" w:fill="000080"/>
          </w:tcPr>
          <w:p w14:paraId="79C7F6B6" w14:textId="3194DBC6" w:rsidR="00370270" w:rsidRPr="00F97869" w:rsidRDefault="00370270" w:rsidP="00370270">
            <w:pPr>
              <w:jc w:val="right"/>
              <w:rPr>
                <w:rFonts w:ascii="Arial" w:hAnsi="Arial" w:cs="Arial"/>
                <w:b/>
                <w:bCs/>
                <w:color w:val="FFFFFF"/>
                <w:sz w:val="20"/>
                <w:szCs w:val="20"/>
              </w:rPr>
            </w:pPr>
            <w:r>
              <w:rPr>
                <w:rFonts w:ascii="Arial" w:hAnsi="Arial" w:cs="Arial"/>
                <w:b/>
                <w:bCs/>
                <w:color w:val="FFFFFF"/>
                <w:sz w:val="20"/>
              </w:rPr>
              <w:t>FY 2022</w:t>
            </w:r>
          </w:p>
        </w:tc>
        <w:tc>
          <w:tcPr>
            <w:tcW w:w="1784" w:type="dxa"/>
            <w:tcBorders>
              <w:bottom w:val="nil"/>
            </w:tcBorders>
            <w:shd w:val="clear" w:color="auto" w:fill="000080"/>
          </w:tcPr>
          <w:p w14:paraId="0750A6B9" w14:textId="00544D7A" w:rsidR="00370270" w:rsidRPr="00CF73B4" w:rsidRDefault="00370270" w:rsidP="00370270">
            <w:pPr>
              <w:jc w:val="right"/>
              <w:rPr>
                <w:rFonts w:ascii="Arial" w:hAnsi="Arial" w:cs="Arial"/>
                <w:b/>
                <w:bCs/>
                <w:color w:val="FFFFFF"/>
                <w:sz w:val="20"/>
              </w:rPr>
            </w:pPr>
            <w:r>
              <w:rPr>
                <w:rFonts w:ascii="Arial" w:hAnsi="Arial" w:cs="Arial"/>
                <w:b/>
                <w:bCs/>
                <w:color w:val="FFFFFF"/>
                <w:sz w:val="20"/>
              </w:rPr>
              <w:t>FY 2023</w:t>
            </w:r>
          </w:p>
        </w:tc>
        <w:tc>
          <w:tcPr>
            <w:tcW w:w="1784" w:type="dxa"/>
            <w:tcBorders>
              <w:bottom w:val="single" w:sz="4" w:space="0" w:color="auto"/>
            </w:tcBorders>
            <w:shd w:val="clear" w:color="auto" w:fill="000080"/>
          </w:tcPr>
          <w:p w14:paraId="3C18AB66" w14:textId="017E5EDD" w:rsidR="00370270" w:rsidRPr="00CF73B4" w:rsidRDefault="00370270" w:rsidP="00370270">
            <w:pPr>
              <w:jc w:val="right"/>
              <w:rPr>
                <w:rFonts w:ascii="Arial" w:hAnsi="Arial" w:cs="Arial"/>
                <w:b/>
                <w:bCs/>
                <w:color w:val="FFFFFF"/>
                <w:sz w:val="20"/>
              </w:rPr>
            </w:pPr>
            <w:r>
              <w:rPr>
                <w:rFonts w:ascii="Arial" w:hAnsi="Arial" w:cs="Arial"/>
                <w:b/>
                <w:bCs/>
                <w:color w:val="FFFFFF"/>
                <w:sz w:val="20"/>
              </w:rPr>
              <w:t>FY 2024</w:t>
            </w:r>
          </w:p>
        </w:tc>
        <w:tc>
          <w:tcPr>
            <w:tcW w:w="1922" w:type="dxa"/>
            <w:shd w:val="clear" w:color="auto" w:fill="000080"/>
          </w:tcPr>
          <w:p w14:paraId="197437A2" w14:textId="612AE8BF" w:rsidR="00370270" w:rsidRPr="00CF73B4" w:rsidRDefault="00370270" w:rsidP="00370270">
            <w:pPr>
              <w:jc w:val="right"/>
              <w:rPr>
                <w:rFonts w:ascii="Arial" w:hAnsi="Arial" w:cs="Arial"/>
                <w:b/>
                <w:bCs/>
                <w:color w:val="FFFFFF"/>
                <w:sz w:val="20"/>
              </w:rPr>
            </w:pPr>
            <w:r>
              <w:rPr>
                <w:rFonts w:ascii="Arial" w:hAnsi="Arial" w:cs="Arial"/>
                <w:b/>
                <w:bCs/>
                <w:color w:val="FFFFFF"/>
                <w:sz w:val="20"/>
              </w:rPr>
              <w:t>FY 2025</w:t>
            </w:r>
          </w:p>
        </w:tc>
      </w:tr>
      <w:tr w:rsidR="00370270" w:rsidRPr="00CF73B4" w14:paraId="217889A9" w14:textId="77777777" w:rsidTr="00821D29">
        <w:tc>
          <w:tcPr>
            <w:tcW w:w="2796" w:type="dxa"/>
          </w:tcPr>
          <w:p w14:paraId="45EEAFA7" w14:textId="77777777" w:rsidR="00370270" w:rsidRPr="00CF73B4" w:rsidRDefault="00370270" w:rsidP="00370270">
            <w:pPr>
              <w:jc w:val="both"/>
              <w:rPr>
                <w:rFonts w:ascii="Arial" w:hAnsi="Arial" w:cs="Arial"/>
                <w:sz w:val="20"/>
              </w:rPr>
            </w:pPr>
            <w:r w:rsidRPr="00CF73B4">
              <w:rPr>
                <w:rFonts w:ascii="Arial" w:hAnsi="Arial" w:cs="Arial"/>
                <w:sz w:val="20"/>
              </w:rPr>
              <w:t>Personnel Costs</w:t>
            </w:r>
          </w:p>
        </w:tc>
        <w:tc>
          <w:tcPr>
            <w:tcW w:w="1784" w:type="dxa"/>
            <w:tcBorders>
              <w:right w:val="nil"/>
            </w:tcBorders>
          </w:tcPr>
          <w:p w14:paraId="70D5814B" w14:textId="71571003" w:rsidR="00370270" w:rsidRPr="000B4404" w:rsidRDefault="00370270" w:rsidP="00370270">
            <w:pPr>
              <w:jc w:val="right"/>
              <w:rPr>
                <w:rFonts w:ascii="Arial" w:hAnsi="Arial" w:cs="Arial"/>
                <w:sz w:val="20"/>
                <w:szCs w:val="20"/>
              </w:rPr>
            </w:pPr>
            <w:r w:rsidRPr="000B4404">
              <w:rPr>
                <w:rFonts w:ascii="Arial" w:hAnsi="Arial" w:cs="Arial"/>
                <w:sz w:val="20"/>
                <w:szCs w:val="20"/>
              </w:rPr>
              <w:t>$2,580,600</w:t>
            </w:r>
          </w:p>
        </w:tc>
        <w:tc>
          <w:tcPr>
            <w:tcW w:w="1784" w:type="dxa"/>
            <w:tcBorders>
              <w:top w:val="nil"/>
              <w:left w:val="nil"/>
              <w:bottom w:val="nil"/>
              <w:right w:val="nil"/>
            </w:tcBorders>
          </w:tcPr>
          <w:p w14:paraId="49CDFC1A" w14:textId="340E38F4" w:rsidR="00370270" w:rsidRPr="000B4404" w:rsidRDefault="00370270" w:rsidP="00370270">
            <w:pPr>
              <w:jc w:val="right"/>
              <w:rPr>
                <w:rFonts w:ascii="Arial" w:hAnsi="Arial" w:cs="Arial"/>
                <w:sz w:val="20"/>
                <w:szCs w:val="20"/>
              </w:rPr>
            </w:pPr>
            <w:r w:rsidRPr="000B4404">
              <w:rPr>
                <w:rFonts w:ascii="Arial" w:hAnsi="Arial" w:cs="Arial"/>
                <w:sz w:val="20"/>
                <w:szCs w:val="20"/>
              </w:rPr>
              <w:t>$2,826,900</w:t>
            </w:r>
          </w:p>
        </w:tc>
        <w:tc>
          <w:tcPr>
            <w:tcW w:w="1784" w:type="dxa"/>
            <w:tcBorders>
              <w:top w:val="single" w:sz="4" w:space="0" w:color="auto"/>
              <w:left w:val="nil"/>
              <w:bottom w:val="nil"/>
              <w:right w:val="nil"/>
            </w:tcBorders>
          </w:tcPr>
          <w:p w14:paraId="7E4D53F9" w14:textId="20ABB7D8" w:rsidR="00370270" w:rsidRPr="000B4404" w:rsidRDefault="00370270" w:rsidP="00370270">
            <w:pPr>
              <w:jc w:val="right"/>
              <w:rPr>
                <w:rFonts w:ascii="Arial" w:hAnsi="Arial" w:cs="Arial"/>
                <w:sz w:val="20"/>
                <w:szCs w:val="20"/>
              </w:rPr>
            </w:pPr>
            <w:r w:rsidRPr="00D37DFA">
              <w:rPr>
                <w:rFonts w:ascii="Arial" w:hAnsi="Arial" w:cs="Arial"/>
                <w:sz w:val="20"/>
                <w:szCs w:val="20"/>
              </w:rPr>
              <w:t>$2,898,901</w:t>
            </w:r>
          </w:p>
        </w:tc>
        <w:tc>
          <w:tcPr>
            <w:tcW w:w="1922" w:type="dxa"/>
            <w:tcBorders>
              <w:top w:val="single" w:sz="4" w:space="0" w:color="auto"/>
              <w:left w:val="nil"/>
              <w:bottom w:val="nil"/>
              <w:right w:val="single" w:sz="4" w:space="0" w:color="auto"/>
            </w:tcBorders>
          </w:tcPr>
          <w:p w14:paraId="779B7230" w14:textId="5ABD7C39" w:rsidR="00370270" w:rsidRPr="00CA11AA" w:rsidRDefault="00370270" w:rsidP="00370270">
            <w:pPr>
              <w:jc w:val="right"/>
              <w:rPr>
                <w:rFonts w:ascii="Arial" w:hAnsi="Arial" w:cs="Arial"/>
                <w:sz w:val="20"/>
                <w:szCs w:val="20"/>
                <w:highlight w:val="yellow"/>
              </w:rPr>
            </w:pPr>
          </w:p>
        </w:tc>
      </w:tr>
      <w:tr w:rsidR="00370270" w:rsidRPr="00CF73B4" w14:paraId="6035992C" w14:textId="77777777" w:rsidTr="00D37DFA">
        <w:tc>
          <w:tcPr>
            <w:tcW w:w="2796" w:type="dxa"/>
          </w:tcPr>
          <w:p w14:paraId="2845D35D" w14:textId="77777777" w:rsidR="00370270" w:rsidRPr="00CF73B4" w:rsidRDefault="00370270" w:rsidP="00370270">
            <w:pPr>
              <w:jc w:val="both"/>
              <w:rPr>
                <w:rFonts w:ascii="Arial" w:hAnsi="Arial" w:cs="Arial"/>
                <w:sz w:val="20"/>
              </w:rPr>
            </w:pPr>
            <w:r w:rsidRPr="00CF73B4">
              <w:rPr>
                <w:rFonts w:ascii="Arial" w:hAnsi="Arial" w:cs="Arial"/>
                <w:sz w:val="20"/>
              </w:rPr>
              <w:t>Operating Expenditures</w:t>
            </w:r>
          </w:p>
        </w:tc>
        <w:tc>
          <w:tcPr>
            <w:tcW w:w="1784" w:type="dxa"/>
            <w:tcBorders>
              <w:right w:val="nil"/>
            </w:tcBorders>
          </w:tcPr>
          <w:p w14:paraId="19CA6EC1" w14:textId="20FB51FA" w:rsidR="00370270" w:rsidRPr="000B4404" w:rsidRDefault="00370270" w:rsidP="00370270">
            <w:pPr>
              <w:jc w:val="right"/>
              <w:rPr>
                <w:rFonts w:ascii="Arial" w:hAnsi="Arial" w:cs="Arial"/>
                <w:sz w:val="20"/>
                <w:szCs w:val="20"/>
              </w:rPr>
            </w:pPr>
            <w:r w:rsidRPr="000B4404">
              <w:rPr>
                <w:rFonts w:ascii="Arial" w:hAnsi="Arial" w:cs="Arial"/>
                <w:sz w:val="20"/>
                <w:szCs w:val="20"/>
              </w:rPr>
              <w:t>$432,400</w:t>
            </w:r>
          </w:p>
        </w:tc>
        <w:tc>
          <w:tcPr>
            <w:tcW w:w="1784" w:type="dxa"/>
            <w:tcBorders>
              <w:top w:val="nil"/>
              <w:left w:val="nil"/>
              <w:bottom w:val="nil"/>
              <w:right w:val="nil"/>
            </w:tcBorders>
          </w:tcPr>
          <w:p w14:paraId="06079F09" w14:textId="6484A348" w:rsidR="00370270" w:rsidRPr="000B4404" w:rsidRDefault="00370270" w:rsidP="00370270">
            <w:pPr>
              <w:jc w:val="right"/>
              <w:rPr>
                <w:rFonts w:ascii="Arial" w:hAnsi="Arial" w:cs="Arial"/>
                <w:sz w:val="20"/>
                <w:szCs w:val="20"/>
              </w:rPr>
            </w:pPr>
            <w:r w:rsidRPr="000B4404">
              <w:rPr>
                <w:rFonts w:ascii="Arial" w:hAnsi="Arial" w:cs="Arial"/>
                <w:sz w:val="20"/>
                <w:szCs w:val="20"/>
              </w:rPr>
              <w:t>$471,100</w:t>
            </w:r>
          </w:p>
        </w:tc>
        <w:tc>
          <w:tcPr>
            <w:tcW w:w="1784" w:type="dxa"/>
            <w:tcBorders>
              <w:top w:val="nil"/>
              <w:left w:val="nil"/>
              <w:bottom w:val="nil"/>
              <w:right w:val="nil"/>
            </w:tcBorders>
          </w:tcPr>
          <w:p w14:paraId="6D6CC33B" w14:textId="4F78FB97" w:rsidR="00370270" w:rsidRPr="000B4404" w:rsidRDefault="00370270" w:rsidP="00370270">
            <w:pPr>
              <w:jc w:val="right"/>
              <w:rPr>
                <w:rFonts w:ascii="Arial" w:hAnsi="Arial" w:cs="Arial"/>
                <w:sz w:val="20"/>
                <w:szCs w:val="20"/>
              </w:rPr>
            </w:pPr>
            <w:r w:rsidRPr="00D37DFA">
              <w:rPr>
                <w:rFonts w:ascii="Arial" w:hAnsi="Arial" w:cs="Arial"/>
                <w:sz w:val="20"/>
                <w:szCs w:val="20"/>
              </w:rPr>
              <w:t>$485,371</w:t>
            </w:r>
          </w:p>
        </w:tc>
        <w:tc>
          <w:tcPr>
            <w:tcW w:w="1922" w:type="dxa"/>
            <w:tcBorders>
              <w:top w:val="nil"/>
              <w:left w:val="nil"/>
              <w:bottom w:val="nil"/>
              <w:right w:val="single" w:sz="4" w:space="0" w:color="auto"/>
            </w:tcBorders>
            <w:shd w:val="clear" w:color="auto" w:fill="auto"/>
          </w:tcPr>
          <w:p w14:paraId="008A99A9" w14:textId="3560BEF8" w:rsidR="00370270" w:rsidRPr="00CA11AA" w:rsidRDefault="00370270" w:rsidP="00370270">
            <w:pPr>
              <w:jc w:val="right"/>
              <w:rPr>
                <w:rFonts w:ascii="Arial" w:hAnsi="Arial" w:cs="Arial"/>
                <w:sz w:val="20"/>
                <w:szCs w:val="20"/>
                <w:highlight w:val="yellow"/>
              </w:rPr>
            </w:pPr>
          </w:p>
        </w:tc>
      </w:tr>
      <w:tr w:rsidR="00370270" w:rsidRPr="00CF73B4" w14:paraId="34361F5A" w14:textId="77777777" w:rsidTr="00821D29">
        <w:tc>
          <w:tcPr>
            <w:tcW w:w="2796" w:type="dxa"/>
          </w:tcPr>
          <w:p w14:paraId="03421058" w14:textId="77777777" w:rsidR="00370270" w:rsidRPr="00CF73B4" w:rsidRDefault="00370270" w:rsidP="00370270">
            <w:pPr>
              <w:jc w:val="both"/>
              <w:rPr>
                <w:rFonts w:ascii="Arial" w:hAnsi="Arial" w:cs="Arial"/>
                <w:sz w:val="20"/>
              </w:rPr>
            </w:pPr>
            <w:r w:rsidRPr="00CF73B4">
              <w:rPr>
                <w:rFonts w:ascii="Arial" w:hAnsi="Arial" w:cs="Arial"/>
                <w:sz w:val="20"/>
              </w:rPr>
              <w:t>Capital Outlay</w:t>
            </w:r>
          </w:p>
        </w:tc>
        <w:tc>
          <w:tcPr>
            <w:tcW w:w="1784" w:type="dxa"/>
            <w:tcBorders>
              <w:right w:val="nil"/>
            </w:tcBorders>
          </w:tcPr>
          <w:p w14:paraId="1879B95E" w14:textId="364DB087" w:rsidR="00370270" w:rsidRPr="000B4404" w:rsidRDefault="00370270" w:rsidP="00370270">
            <w:pPr>
              <w:jc w:val="right"/>
              <w:rPr>
                <w:rFonts w:ascii="Arial" w:hAnsi="Arial" w:cs="Arial"/>
                <w:color w:val="000000"/>
                <w:sz w:val="20"/>
                <w:szCs w:val="20"/>
              </w:rPr>
            </w:pPr>
            <w:r w:rsidRPr="000B4404">
              <w:rPr>
                <w:rFonts w:ascii="Arial" w:hAnsi="Arial" w:cs="Arial"/>
                <w:color w:val="000000"/>
                <w:sz w:val="20"/>
                <w:szCs w:val="20"/>
              </w:rPr>
              <w:t>$3,700</w:t>
            </w:r>
          </w:p>
        </w:tc>
        <w:tc>
          <w:tcPr>
            <w:tcW w:w="1784" w:type="dxa"/>
            <w:tcBorders>
              <w:top w:val="nil"/>
              <w:left w:val="nil"/>
              <w:bottom w:val="nil"/>
              <w:right w:val="nil"/>
            </w:tcBorders>
          </w:tcPr>
          <w:p w14:paraId="10C903E0" w14:textId="5D7A02C8" w:rsidR="00370270" w:rsidRPr="000B4404" w:rsidRDefault="00370270" w:rsidP="00370270">
            <w:pPr>
              <w:jc w:val="right"/>
              <w:rPr>
                <w:rFonts w:ascii="Arial" w:hAnsi="Arial" w:cs="Arial"/>
                <w:color w:val="000000"/>
                <w:sz w:val="20"/>
                <w:szCs w:val="20"/>
              </w:rPr>
            </w:pPr>
            <w:r w:rsidRPr="000B4404">
              <w:rPr>
                <w:rFonts w:ascii="Arial" w:hAnsi="Arial" w:cs="Arial"/>
                <w:color w:val="000000"/>
                <w:sz w:val="20"/>
                <w:szCs w:val="20"/>
              </w:rPr>
              <w:t>$104,900</w:t>
            </w:r>
          </w:p>
        </w:tc>
        <w:tc>
          <w:tcPr>
            <w:tcW w:w="1784" w:type="dxa"/>
            <w:tcBorders>
              <w:top w:val="nil"/>
              <w:left w:val="nil"/>
              <w:bottom w:val="nil"/>
              <w:right w:val="nil"/>
            </w:tcBorders>
          </w:tcPr>
          <w:p w14:paraId="0AA65FC0" w14:textId="2CC9A765" w:rsidR="00370270" w:rsidRPr="000B4404" w:rsidRDefault="00370270" w:rsidP="00370270">
            <w:pPr>
              <w:jc w:val="right"/>
              <w:rPr>
                <w:rFonts w:ascii="Arial" w:hAnsi="Arial" w:cs="Arial"/>
                <w:color w:val="000000"/>
                <w:sz w:val="20"/>
                <w:szCs w:val="20"/>
              </w:rPr>
            </w:pPr>
            <w:r w:rsidRPr="00D37DFA">
              <w:rPr>
                <w:rFonts w:ascii="Arial" w:hAnsi="Arial" w:cs="Arial"/>
                <w:color w:val="000000"/>
                <w:sz w:val="20"/>
                <w:szCs w:val="20"/>
              </w:rPr>
              <w:t>$16,719</w:t>
            </w:r>
          </w:p>
        </w:tc>
        <w:tc>
          <w:tcPr>
            <w:tcW w:w="1922" w:type="dxa"/>
            <w:tcBorders>
              <w:top w:val="nil"/>
              <w:left w:val="nil"/>
              <w:bottom w:val="nil"/>
              <w:right w:val="single" w:sz="4" w:space="0" w:color="auto"/>
            </w:tcBorders>
          </w:tcPr>
          <w:p w14:paraId="2BB40525" w14:textId="74D0EBF9" w:rsidR="00370270" w:rsidRPr="00CA11AA" w:rsidRDefault="00370270" w:rsidP="00370270">
            <w:pPr>
              <w:jc w:val="right"/>
              <w:rPr>
                <w:rFonts w:ascii="Arial" w:hAnsi="Arial" w:cs="Arial"/>
                <w:color w:val="000000"/>
                <w:sz w:val="20"/>
                <w:szCs w:val="20"/>
                <w:highlight w:val="yellow"/>
              </w:rPr>
            </w:pPr>
          </w:p>
        </w:tc>
      </w:tr>
      <w:tr w:rsidR="00370270" w:rsidRPr="001E1170" w14:paraId="225FF9CC" w14:textId="77777777" w:rsidTr="00821D29">
        <w:tc>
          <w:tcPr>
            <w:tcW w:w="2796" w:type="dxa"/>
          </w:tcPr>
          <w:p w14:paraId="1B5DA168" w14:textId="77777777" w:rsidR="00370270" w:rsidRPr="00CF73B4" w:rsidRDefault="00370270" w:rsidP="00370270">
            <w:pPr>
              <w:jc w:val="both"/>
              <w:rPr>
                <w:rFonts w:ascii="Arial" w:hAnsi="Arial" w:cs="Arial"/>
                <w:sz w:val="20"/>
              </w:rPr>
            </w:pPr>
            <w:r w:rsidRPr="00CF73B4">
              <w:rPr>
                <w:rFonts w:ascii="Arial" w:hAnsi="Arial" w:cs="Arial"/>
                <w:sz w:val="20"/>
              </w:rPr>
              <w:t>Trustee/Benefit Payments</w:t>
            </w:r>
          </w:p>
        </w:tc>
        <w:tc>
          <w:tcPr>
            <w:tcW w:w="1784" w:type="dxa"/>
            <w:tcBorders>
              <w:right w:val="nil"/>
            </w:tcBorders>
          </w:tcPr>
          <w:p w14:paraId="7205C0DC" w14:textId="3F4D1E56" w:rsidR="00370270" w:rsidRPr="000B4404" w:rsidRDefault="00370270" w:rsidP="00370270">
            <w:pPr>
              <w:jc w:val="right"/>
              <w:rPr>
                <w:rFonts w:ascii="Arial" w:hAnsi="Arial" w:cs="Arial"/>
                <w:color w:val="000000"/>
                <w:sz w:val="20"/>
                <w:szCs w:val="20"/>
                <w:u w:val="single"/>
              </w:rPr>
            </w:pPr>
            <w:r w:rsidRPr="000B4404">
              <w:rPr>
                <w:rFonts w:ascii="Arial" w:hAnsi="Arial" w:cs="Arial"/>
                <w:color w:val="000000"/>
                <w:sz w:val="20"/>
                <w:szCs w:val="20"/>
                <w:u w:val="single"/>
              </w:rPr>
              <w:t>$0</w:t>
            </w:r>
          </w:p>
        </w:tc>
        <w:tc>
          <w:tcPr>
            <w:tcW w:w="1784" w:type="dxa"/>
            <w:tcBorders>
              <w:top w:val="nil"/>
              <w:left w:val="nil"/>
              <w:bottom w:val="nil"/>
              <w:right w:val="nil"/>
            </w:tcBorders>
          </w:tcPr>
          <w:p w14:paraId="61C4ACF5" w14:textId="0C91AAE1" w:rsidR="00370270" w:rsidRPr="000B4404" w:rsidRDefault="00370270" w:rsidP="00370270">
            <w:pPr>
              <w:tabs>
                <w:tab w:val="left" w:pos="1236"/>
              </w:tabs>
              <w:jc w:val="right"/>
              <w:rPr>
                <w:rFonts w:ascii="Arial" w:hAnsi="Arial" w:cs="Arial"/>
                <w:color w:val="000000"/>
                <w:sz w:val="20"/>
                <w:szCs w:val="20"/>
              </w:rPr>
            </w:pPr>
            <w:r w:rsidRPr="000B4404">
              <w:rPr>
                <w:rFonts w:ascii="Arial" w:hAnsi="Arial" w:cs="Arial"/>
                <w:color w:val="000000"/>
                <w:sz w:val="20"/>
                <w:szCs w:val="20"/>
                <w:u w:val="single"/>
              </w:rPr>
              <w:t>$0</w:t>
            </w:r>
          </w:p>
        </w:tc>
        <w:tc>
          <w:tcPr>
            <w:tcW w:w="1784" w:type="dxa"/>
            <w:tcBorders>
              <w:top w:val="nil"/>
              <w:left w:val="nil"/>
              <w:bottom w:val="nil"/>
              <w:right w:val="nil"/>
            </w:tcBorders>
          </w:tcPr>
          <w:p w14:paraId="512C28B7" w14:textId="4B5520DA" w:rsidR="00370270" w:rsidRPr="000B4404" w:rsidRDefault="00370270" w:rsidP="00370270">
            <w:pPr>
              <w:jc w:val="right"/>
              <w:rPr>
                <w:rFonts w:ascii="Arial" w:hAnsi="Arial" w:cs="Arial"/>
                <w:color w:val="000000"/>
                <w:sz w:val="20"/>
                <w:szCs w:val="20"/>
                <w:u w:val="single"/>
              </w:rPr>
            </w:pPr>
            <w:r w:rsidRPr="001E1170">
              <w:rPr>
                <w:rFonts w:ascii="Arial" w:hAnsi="Arial" w:cs="Arial"/>
                <w:color w:val="000000"/>
                <w:sz w:val="20"/>
                <w:szCs w:val="20"/>
                <w:u w:val="single"/>
              </w:rPr>
              <w:t>$0</w:t>
            </w:r>
          </w:p>
        </w:tc>
        <w:tc>
          <w:tcPr>
            <w:tcW w:w="1922" w:type="dxa"/>
            <w:tcBorders>
              <w:top w:val="nil"/>
              <w:left w:val="nil"/>
              <w:bottom w:val="nil"/>
              <w:right w:val="single" w:sz="4" w:space="0" w:color="auto"/>
            </w:tcBorders>
          </w:tcPr>
          <w:p w14:paraId="2622DC09" w14:textId="3B3F396D" w:rsidR="00370270" w:rsidRPr="001E1170" w:rsidRDefault="00370270" w:rsidP="00370270">
            <w:pPr>
              <w:jc w:val="right"/>
              <w:rPr>
                <w:rFonts w:ascii="Arial" w:hAnsi="Arial" w:cs="Arial"/>
                <w:color w:val="000000"/>
                <w:sz w:val="20"/>
                <w:szCs w:val="20"/>
                <w:u w:val="single"/>
              </w:rPr>
            </w:pPr>
          </w:p>
        </w:tc>
      </w:tr>
      <w:tr w:rsidR="00370270" w:rsidRPr="00CF73B4" w14:paraId="2BAB0510" w14:textId="77777777" w:rsidTr="00821D29">
        <w:tc>
          <w:tcPr>
            <w:tcW w:w="2796" w:type="dxa"/>
          </w:tcPr>
          <w:p w14:paraId="56FEC73F" w14:textId="77777777" w:rsidR="00370270" w:rsidRPr="00CF73B4" w:rsidRDefault="00370270" w:rsidP="00370270">
            <w:pPr>
              <w:ind w:left="240"/>
              <w:jc w:val="right"/>
              <w:rPr>
                <w:rFonts w:ascii="Arial" w:hAnsi="Arial" w:cs="Arial"/>
                <w:b/>
                <w:bCs/>
                <w:sz w:val="20"/>
              </w:rPr>
            </w:pPr>
            <w:r w:rsidRPr="00CF73B4">
              <w:rPr>
                <w:rFonts w:ascii="Arial" w:hAnsi="Arial" w:cs="Arial"/>
                <w:b/>
                <w:bCs/>
                <w:sz w:val="20"/>
              </w:rPr>
              <w:t>Total</w:t>
            </w:r>
          </w:p>
        </w:tc>
        <w:tc>
          <w:tcPr>
            <w:tcW w:w="1784" w:type="dxa"/>
            <w:tcBorders>
              <w:right w:val="nil"/>
            </w:tcBorders>
          </w:tcPr>
          <w:p w14:paraId="072EA850" w14:textId="19BD681A" w:rsidR="00370270" w:rsidRPr="000B4404" w:rsidRDefault="00370270" w:rsidP="00370270">
            <w:pPr>
              <w:jc w:val="right"/>
              <w:rPr>
                <w:rFonts w:ascii="Arial" w:hAnsi="Arial" w:cs="Arial"/>
                <w:b/>
                <w:bCs/>
                <w:sz w:val="20"/>
                <w:szCs w:val="20"/>
              </w:rPr>
            </w:pPr>
            <w:r w:rsidRPr="000B4404">
              <w:rPr>
                <w:rFonts w:ascii="Arial" w:hAnsi="Arial" w:cs="Arial"/>
                <w:b/>
                <w:bCs/>
                <w:sz w:val="20"/>
                <w:szCs w:val="20"/>
              </w:rPr>
              <w:t>$3,016,700</w:t>
            </w:r>
          </w:p>
        </w:tc>
        <w:tc>
          <w:tcPr>
            <w:tcW w:w="1784" w:type="dxa"/>
            <w:tcBorders>
              <w:top w:val="nil"/>
              <w:left w:val="nil"/>
              <w:bottom w:val="single" w:sz="4" w:space="0" w:color="auto"/>
              <w:right w:val="nil"/>
            </w:tcBorders>
          </w:tcPr>
          <w:p w14:paraId="23FBB22C" w14:textId="124F6439" w:rsidR="00370270" w:rsidRPr="000B4404" w:rsidRDefault="00370270" w:rsidP="00370270">
            <w:pPr>
              <w:jc w:val="right"/>
              <w:rPr>
                <w:rFonts w:ascii="Arial" w:hAnsi="Arial" w:cs="Arial"/>
                <w:b/>
                <w:bCs/>
                <w:sz w:val="20"/>
                <w:szCs w:val="20"/>
              </w:rPr>
            </w:pPr>
            <w:r w:rsidRPr="000B4404">
              <w:rPr>
                <w:rFonts w:ascii="Arial" w:hAnsi="Arial" w:cs="Arial"/>
                <w:b/>
                <w:bCs/>
                <w:sz w:val="20"/>
                <w:szCs w:val="20"/>
              </w:rPr>
              <w:t>$3,402,900</w:t>
            </w:r>
          </w:p>
        </w:tc>
        <w:tc>
          <w:tcPr>
            <w:tcW w:w="1784" w:type="dxa"/>
            <w:tcBorders>
              <w:top w:val="nil"/>
              <w:left w:val="nil"/>
              <w:bottom w:val="single" w:sz="4" w:space="0" w:color="auto"/>
              <w:right w:val="nil"/>
            </w:tcBorders>
          </w:tcPr>
          <w:p w14:paraId="09EF02CD" w14:textId="0AC489B8" w:rsidR="00370270" w:rsidRPr="000B4404" w:rsidRDefault="00370270" w:rsidP="00370270">
            <w:pPr>
              <w:jc w:val="right"/>
              <w:rPr>
                <w:rFonts w:ascii="Arial" w:hAnsi="Arial" w:cs="Arial"/>
                <w:b/>
                <w:bCs/>
                <w:sz w:val="20"/>
                <w:szCs w:val="20"/>
              </w:rPr>
            </w:pPr>
            <w:r w:rsidRPr="00D37DFA">
              <w:rPr>
                <w:rFonts w:ascii="Arial" w:hAnsi="Arial" w:cs="Arial"/>
                <w:b/>
                <w:bCs/>
                <w:sz w:val="20"/>
                <w:szCs w:val="20"/>
              </w:rPr>
              <w:t>$3,400,991</w:t>
            </w:r>
          </w:p>
        </w:tc>
        <w:tc>
          <w:tcPr>
            <w:tcW w:w="1922" w:type="dxa"/>
            <w:tcBorders>
              <w:top w:val="nil"/>
              <w:left w:val="nil"/>
              <w:bottom w:val="single" w:sz="4" w:space="0" w:color="auto"/>
              <w:right w:val="single" w:sz="4" w:space="0" w:color="auto"/>
            </w:tcBorders>
          </w:tcPr>
          <w:p w14:paraId="314B2A85" w14:textId="18BF9FC9" w:rsidR="00370270" w:rsidRPr="00CA11AA" w:rsidRDefault="00370270" w:rsidP="00370270">
            <w:pPr>
              <w:jc w:val="right"/>
              <w:rPr>
                <w:rFonts w:ascii="Arial" w:hAnsi="Arial" w:cs="Arial"/>
                <w:b/>
                <w:bCs/>
                <w:sz w:val="20"/>
                <w:szCs w:val="20"/>
                <w:highlight w:val="yellow"/>
              </w:rPr>
            </w:pPr>
          </w:p>
        </w:tc>
      </w:tr>
    </w:tbl>
    <w:p w14:paraId="5AEDFAFF" w14:textId="77777777" w:rsidR="00D047AC" w:rsidRPr="00CB3FB5" w:rsidRDefault="00D047AC" w:rsidP="009E383C">
      <w:pPr>
        <w:jc w:val="both"/>
        <w:rPr>
          <w:rFonts w:ascii="Arial" w:hAnsi="Arial" w:cs="Arial"/>
          <w:b/>
          <w:bCs/>
        </w:rPr>
      </w:pPr>
    </w:p>
    <w:p w14:paraId="7B403E33" w14:textId="77777777" w:rsidR="001B12D2" w:rsidRDefault="001B12D2" w:rsidP="009E383C">
      <w:pPr>
        <w:jc w:val="both"/>
        <w:rPr>
          <w:rFonts w:ascii="Arial" w:hAnsi="Arial" w:cs="Arial"/>
          <w:b/>
          <w:bCs/>
        </w:rPr>
      </w:pPr>
    </w:p>
    <w:p w14:paraId="7684E1B2" w14:textId="77777777" w:rsidR="001B12D2" w:rsidRDefault="001B12D2" w:rsidP="009E383C">
      <w:pPr>
        <w:jc w:val="both"/>
        <w:rPr>
          <w:rFonts w:ascii="Arial" w:hAnsi="Arial" w:cs="Arial"/>
          <w:b/>
          <w:bCs/>
        </w:rPr>
      </w:pPr>
    </w:p>
    <w:p w14:paraId="76C2EDB6" w14:textId="6A9F2615" w:rsidR="0050252A" w:rsidRDefault="006D2BA5" w:rsidP="009E383C">
      <w:pPr>
        <w:jc w:val="both"/>
        <w:rPr>
          <w:rFonts w:ascii="Arial" w:hAnsi="Arial" w:cs="Arial"/>
          <w:b/>
          <w:bCs/>
        </w:rPr>
      </w:pPr>
      <w:r w:rsidRPr="00CF73B4">
        <w:rPr>
          <w:rFonts w:ascii="Arial" w:hAnsi="Arial" w:cs="Arial"/>
          <w:b/>
          <w:bCs/>
        </w:rPr>
        <w:t>Profile of Cases Managed and/or Key Services Provided</w:t>
      </w:r>
    </w:p>
    <w:p w14:paraId="5148E0D4" w14:textId="77777777" w:rsidR="003D0E94" w:rsidRPr="00CF73B4" w:rsidRDefault="003D0E94" w:rsidP="009E383C">
      <w:pPr>
        <w:jc w:val="both"/>
        <w:rPr>
          <w:rFonts w:ascii="Arial" w:hAnsi="Arial" w:cs="Arial"/>
          <w:b/>
          <w:bCs/>
        </w:rPr>
      </w:pPr>
    </w:p>
    <w:tbl>
      <w:tblPr>
        <w:tblW w:w="5000" w:type="pct"/>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3772"/>
        <w:gridCol w:w="1540"/>
        <w:gridCol w:w="1540"/>
        <w:gridCol w:w="1540"/>
        <w:gridCol w:w="1678"/>
      </w:tblGrid>
      <w:tr w:rsidR="00370270" w:rsidRPr="00CF73B4" w14:paraId="78F5B11B" w14:textId="77777777" w:rsidTr="00567511">
        <w:tc>
          <w:tcPr>
            <w:tcW w:w="3772" w:type="dxa"/>
            <w:tcBorders>
              <w:top w:val="single" w:sz="4" w:space="0" w:color="auto"/>
              <w:left w:val="single" w:sz="4" w:space="0" w:color="auto"/>
              <w:bottom w:val="single" w:sz="4" w:space="0" w:color="auto"/>
              <w:right w:val="single" w:sz="4" w:space="0" w:color="auto"/>
            </w:tcBorders>
            <w:shd w:val="clear" w:color="auto" w:fill="000080"/>
            <w:vAlign w:val="bottom"/>
          </w:tcPr>
          <w:p w14:paraId="2F266098" w14:textId="77777777" w:rsidR="00370270" w:rsidRPr="00CF73B4" w:rsidRDefault="00370270" w:rsidP="00370270">
            <w:pPr>
              <w:jc w:val="center"/>
              <w:rPr>
                <w:rFonts w:ascii="Arial" w:hAnsi="Arial" w:cs="Arial"/>
                <w:b/>
                <w:bCs/>
                <w:color w:val="FFFFFF"/>
                <w:sz w:val="20"/>
              </w:rPr>
            </w:pPr>
            <w:r w:rsidRPr="00CF73B4">
              <w:rPr>
                <w:rFonts w:ascii="Arial" w:hAnsi="Arial" w:cs="Arial"/>
                <w:b/>
                <w:bCs/>
                <w:color w:val="FFFFFF"/>
                <w:sz w:val="20"/>
              </w:rPr>
              <w:t>Cases Managed and/or Key Services Provided</w:t>
            </w:r>
          </w:p>
        </w:tc>
        <w:tc>
          <w:tcPr>
            <w:tcW w:w="1540" w:type="dxa"/>
            <w:tcBorders>
              <w:top w:val="single" w:sz="4" w:space="0" w:color="auto"/>
              <w:left w:val="single" w:sz="4" w:space="0" w:color="auto"/>
              <w:bottom w:val="single" w:sz="4" w:space="0" w:color="auto"/>
              <w:right w:val="single" w:sz="4" w:space="0" w:color="auto"/>
            </w:tcBorders>
            <w:shd w:val="clear" w:color="auto" w:fill="000080"/>
          </w:tcPr>
          <w:p w14:paraId="6E547C43" w14:textId="79709816" w:rsidR="00370270" w:rsidRPr="00CF73B4" w:rsidRDefault="00370270" w:rsidP="00370270">
            <w:pPr>
              <w:jc w:val="center"/>
              <w:rPr>
                <w:rFonts w:ascii="Arial" w:hAnsi="Arial" w:cs="Arial"/>
                <w:b/>
                <w:bCs/>
                <w:color w:val="FFFFFF"/>
                <w:sz w:val="20"/>
              </w:rPr>
            </w:pPr>
            <w:r>
              <w:rPr>
                <w:rFonts w:ascii="Arial" w:hAnsi="Arial" w:cs="Arial"/>
                <w:b/>
                <w:bCs/>
                <w:color w:val="FFFFFF"/>
                <w:sz w:val="20"/>
              </w:rPr>
              <w:t>FY 2022</w:t>
            </w:r>
          </w:p>
        </w:tc>
        <w:tc>
          <w:tcPr>
            <w:tcW w:w="1540" w:type="dxa"/>
            <w:tcBorders>
              <w:top w:val="single" w:sz="4" w:space="0" w:color="auto"/>
              <w:left w:val="single" w:sz="4" w:space="0" w:color="auto"/>
              <w:bottom w:val="single" w:sz="4" w:space="0" w:color="auto"/>
              <w:right w:val="single" w:sz="4" w:space="0" w:color="auto"/>
            </w:tcBorders>
            <w:shd w:val="clear" w:color="auto" w:fill="000080"/>
          </w:tcPr>
          <w:p w14:paraId="3A2FF666" w14:textId="38FEF0EB" w:rsidR="00370270" w:rsidRPr="00CF73B4" w:rsidRDefault="00370270" w:rsidP="00370270">
            <w:pPr>
              <w:jc w:val="center"/>
              <w:rPr>
                <w:rFonts w:ascii="Arial" w:hAnsi="Arial" w:cs="Arial"/>
                <w:b/>
                <w:bCs/>
                <w:color w:val="FFFFFF"/>
                <w:sz w:val="20"/>
              </w:rPr>
            </w:pPr>
            <w:r>
              <w:rPr>
                <w:rFonts w:ascii="Arial" w:hAnsi="Arial" w:cs="Arial"/>
                <w:b/>
                <w:bCs/>
                <w:color w:val="FFFFFF"/>
                <w:sz w:val="20"/>
              </w:rPr>
              <w:t>FY 2023</w:t>
            </w:r>
          </w:p>
        </w:tc>
        <w:tc>
          <w:tcPr>
            <w:tcW w:w="1540" w:type="dxa"/>
            <w:tcBorders>
              <w:top w:val="single" w:sz="4" w:space="0" w:color="auto"/>
              <w:left w:val="single" w:sz="4" w:space="0" w:color="auto"/>
              <w:bottom w:val="single" w:sz="4" w:space="0" w:color="auto"/>
              <w:right w:val="single" w:sz="4" w:space="0" w:color="auto"/>
            </w:tcBorders>
            <w:shd w:val="clear" w:color="auto" w:fill="000080"/>
          </w:tcPr>
          <w:p w14:paraId="5D0C7BCC" w14:textId="22DC23C7" w:rsidR="00370270" w:rsidRPr="00CF73B4" w:rsidRDefault="00370270" w:rsidP="00370270">
            <w:pPr>
              <w:jc w:val="center"/>
              <w:rPr>
                <w:rFonts w:ascii="Arial" w:hAnsi="Arial" w:cs="Arial"/>
                <w:b/>
                <w:bCs/>
                <w:color w:val="FFFFFF"/>
                <w:sz w:val="20"/>
              </w:rPr>
            </w:pPr>
            <w:r>
              <w:rPr>
                <w:rFonts w:ascii="Arial" w:hAnsi="Arial" w:cs="Arial"/>
                <w:b/>
                <w:bCs/>
                <w:color w:val="FFFFFF"/>
                <w:sz w:val="20"/>
              </w:rPr>
              <w:t>FY 2024</w:t>
            </w:r>
          </w:p>
        </w:tc>
        <w:tc>
          <w:tcPr>
            <w:tcW w:w="1678" w:type="dxa"/>
            <w:tcBorders>
              <w:top w:val="single" w:sz="4" w:space="0" w:color="auto"/>
              <w:left w:val="single" w:sz="4" w:space="0" w:color="auto"/>
              <w:bottom w:val="single" w:sz="4" w:space="0" w:color="auto"/>
              <w:right w:val="single" w:sz="4" w:space="0" w:color="auto"/>
            </w:tcBorders>
            <w:shd w:val="clear" w:color="auto" w:fill="000080"/>
          </w:tcPr>
          <w:p w14:paraId="42F62BA8" w14:textId="4DCC436C" w:rsidR="00370270" w:rsidRPr="00CF73B4" w:rsidRDefault="00370270" w:rsidP="00370270">
            <w:pPr>
              <w:jc w:val="center"/>
              <w:rPr>
                <w:rFonts w:ascii="Arial" w:hAnsi="Arial" w:cs="Arial"/>
                <w:b/>
                <w:bCs/>
                <w:color w:val="FFFFFF"/>
                <w:sz w:val="20"/>
              </w:rPr>
            </w:pPr>
            <w:r>
              <w:rPr>
                <w:rFonts w:ascii="Arial" w:hAnsi="Arial" w:cs="Arial"/>
                <w:b/>
                <w:bCs/>
                <w:color w:val="FFFFFF"/>
                <w:sz w:val="20"/>
              </w:rPr>
              <w:t>FY 2025</w:t>
            </w:r>
          </w:p>
        </w:tc>
      </w:tr>
      <w:tr w:rsidR="00370270" w:rsidRPr="00CF73B4" w14:paraId="11990232" w14:textId="77777777" w:rsidTr="00845495">
        <w:tc>
          <w:tcPr>
            <w:tcW w:w="3772" w:type="dxa"/>
            <w:tcBorders>
              <w:top w:val="single" w:sz="4" w:space="0" w:color="auto"/>
              <w:left w:val="single" w:sz="4" w:space="0" w:color="auto"/>
              <w:bottom w:val="single" w:sz="4" w:space="0" w:color="auto"/>
              <w:right w:val="single" w:sz="4" w:space="0" w:color="auto"/>
            </w:tcBorders>
          </w:tcPr>
          <w:p w14:paraId="04985A4A" w14:textId="029A645E" w:rsidR="00370270" w:rsidRPr="00CF73B4" w:rsidRDefault="00370270" w:rsidP="00370270">
            <w:pPr>
              <w:rPr>
                <w:rFonts w:ascii="Arial" w:hAnsi="Arial" w:cs="Arial"/>
                <w:sz w:val="20"/>
              </w:rPr>
            </w:pPr>
            <w:r w:rsidRPr="00CF73B4">
              <w:rPr>
                <w:rFonts w:ascii="Arial" w:hAnsi="Arial" w:cs="Arial"/>
                <w:sz w:val="20"/>
              </w:rPr>
              <w:t>Capital Cases</w:t>
            </w:r>
            <w:r>
              <w:rPr>
                <w:rFonts w:ascii="Arial" w:hAnsi="Arial" w:cs="Arial"/>
                <w:sz w:val="20"/>
              </w:rPr>
              <w:t>*</w:t>
            </w:r>
            <w:r w:rsidRPr="00CF73B4">
              <w:rPr>
                <w:rFonts w:ascii="Arial" w:hAnsi="Arial" w:cs="Arial"/>
                <w:sz w:val="20"/>
              </w:rPr>
              <w:t xml:space="preserve"> Managed</w:t>
            </w:r>
          </w:p>
        </w:tc>
        <w:tc>
          <w:tcPr>
            <w:tcW w:w="1540" w:type="dxa"/>
            <w:tcBorders>
              <w:top w:val="single" w:sz="4" w:space="0" w:color="auto"/>
              <w:left w:val="single" w:sz="4" w:space="0" w:color="auto"/>
              <w:bottom w:val="single" w:sz="4" w:space="0" w:color="auto"/>
              <w:right w:val="single" w:sz="4" w:space="0" w:color="auto"/>
            </w:tcBorders>
          </w:tcPr>
          <w:p w14:paraId="63CC7790" w14:textId="27B0BC4B" w:rsidR="00370270" w:rsidRPr="00CF73B4" w:rsidRDefault="00370270" w:rsidP="00370270">
            <w:pPr>
              <w:jc w:val="center"/>
              <w:rPr>
                <w:rFonts w:ascii="Arial" w:hAnsi="Arial" w:cs="Arial"/>
                <w:sz w:val="20"/>
              </w:rPr>
            </w:pPr>
            <w:r>
              <w:rPr>
                <w:rFonts w:ascii="Arial" w:hAnsi="Arial" w:cs="Arial"/>
                <w:sz w:val="20"/>
              </w:rPr>
              <w:t>3</w:t>
            </w:r>
          </w:p>
        </w:tc>
        <w:tc>
          <w:tcPr>
            <w:tcW w:w="1540" w:type="dxa"/>
            <w:tcBorders>
              <w:top w:val="single" w:sz="4" w:space="0" w:color="auto"/>
              <w:left w:val="single" w:sz="4" w:space="0" w:color="auto"/>
              <w:bottom w:val="single" w:sz="4" w:space="0" w:color="auto"/>
              <w:right w:val="single" w:sz="4" w:space="0" w:color="auto"/>
            </w:tcBorders>
          </w:tcPr>
          <w:p w14:paraId="3613AF5F" w14:textId="42344C28" w:rsidR="00370270" w:rsidRPr="00CF73B4" w:rsidRDefault="00370270" w:rsidP="00370270">
            <w:pPr>
              <w:jc w:val="center"/>
              <w:rPr>
                <w:rFonts w:ascii="Arial" w:hAnsi="Arial" w:cs="Arial"/>
                <w:sz w:val="20"/>
              </w:rPr>
            </w:pPr>
            <w:r>
              <w:rPr>
                <w:rFonts w:ascii="Arial" w:hAnsi="Arial" w:cs="Arial"/>
                <w:sz w:val="20"/>
              </w:rPr>
              <w:t>7</w:t>
            </w:r>
          </w:p>
        </w:tc>
        <w:tc>
          <w:tcPr>
            <w:tcW w:w="1540" w:type="dxa"/>
            <w:tcBorders>
              <w:top w:val="single" w:sz="4" w:space="0" w:color="auto"/>
              <w:left w:val="single" w:sz="4" w:space="0" w:color="auto"/>
              <w:bottom w:val="single" w:sz="4" w:space="0" w:color="auto"/>
              <w:right w:val="single" w:sz="4" w:space="0" w:color="auto"/>
            </w:tcBorders>
          </w:tcPr>
          <w:p w14:paraId="2C3BA41B" w14:textId="6B5A7C3C" w:rsidR="00370270" w:rsidRPr="00CF73B4" w:rsidRDefault="00370270" w:rsidP="00370270">
            <w:pPr>
              <w:jc w:val="center"/>
              <w:rPr>
                <w:rFonts w:ascii="Arial" w:hAnsi="Arial" w:cs="Arial"/>
                <w:sz w:val="20"/>
              </w:rPr>
            </w:pPr>
            <w:r>
              <w:rPr>
                <w:rFonts w:ascii="Arial" w:hAnsi="Arial" w:cs="Arial"/>
                <w:sz w:val="20"/>
              </w:rPr>
              <w:t>8</w:t>
            </w:r>
          </w:p>
        </w:tc>
        <w:tc>
          <w:tcPr>
            <w:tcW w:w="1678" w:type="dxa"/>
            <w:tcBorders>
              <w:top w:val="single" w:sz="4" w:space="0" w:color="auto"/>
              <w:left w:val="single" w:sz="4" w:space="0" w:color="auto"/>
              <w:bottom w:val="single" w:sz="4" w:space="0" w:color="auto"/>
              <w:right w:val="single" w:sz="4" w:space="0" w:color="auto"/>
            </w:tcBorders>
          </w:tcPr>
          <w:p w14:paraId="07137C6C" w14:textId="224D363F" w:rsidR="00370270" w:rsidRPr="00CF73B4" w:rsidRDefault="00370270" w:rsidP="00370270">
            <w:pPr>
              <w:jc w:val="center"/>
              <w:rPr>
                <w:rFonts w:ascii="Arial" w:hAnsi="Arial" w:cs="Arial"/>
                <w:sz w:val="20"/>
              </w:rPr>
            </w:pPr>
          </w:p>
        </w:tc>
      </w:tr>
      <w:tr w:rsidR="00370270" w:rsidRPr="00CF73B4" w14:paraId="3357602E" w14:textId="77777777" w:rsidTr="00845495">
        <w:tc>
          <w:tcPr>
            <w:tcW w:w="3772" w:type="dxa"/>
            <w:tcBorders>
              <w:top w:val="single" w:sz="4" w:space="0" w:color="auto"/>
              <w:left w:val="single" w:sz="4" w:space="0" w:color="auto"/>
              <w:bottom w:val="single" w:sz="4" w:space="0" w:color="auto"/>
              <w:right w:val="single" w:sz="4" w:space="0" w:color="auto"/>
            </w:tcBorders>
          </w:tcPr>
          <w:p w14:paraId="35F5EC2A" w14:textId="77777777" w:rsidR="00370270" w:rsidRPr="00CF73B4" w:rsidRDefault="00370270" w:rsidP="00370270">
            <w:pPr>
              <w:rPr>
                <w:rFonts w:ascii="Arial" w:hAnsi="Arial" w:cs="Arial"/>
                <w:sz w:val="20"/>
              </w:rPr>
            </w:pPr>
            <w:r w:rsidRPr="00CF73B4">
              <w:rPr>
                <w:rFonts w:ascii="Arial" w:hAnsi="Arial" w:cs="Arial"/>
                <w:sz w:val="20"/>
              </w:rPr>
              <w:t>Non-Capital Cases Opened</w:t>
            </w:r>
          </w:p>
        </w:tc>
        <w:tc>
          <w:tcPr>
            <w:tcW w:w="1540" w:type="dxa"/>
            <w:tcBorders>
              <w:top w:val="single" w:sz="4" w:space="0" w:color="auto"/>
              <w:left w:val="single" w:sz="4" w:space="0" w:color="auto"/>
              <w:bottom w:val="single" w:sz="4" w:space="0" w:color="auto"/>
              <w:right w:val="single" w:sz="4" w:space="0" w:color="auto"/>
            </w:tcBorders>
          </w:tcPr>
          <w:p w14:paraId="3671E358" w14:textId="50867D0F" w:rsidR="00370270" w:rsidRPr="00CF73B4" w:rsidRDefault="00370270" w:rsidP="00370270">
            <w:pPr>
              <w:jc w:val="center"/>
              <w:rPr>
                <w:rFonts w:ascii="Arial" w:hAnsi="Arial" w:cs="Arial"/>
                <w:sz w:val="20"/>
              </w:rPr>
            </w:pPr>
            <w:r>
              <w:rPr>
                <w:rFonts w:ascii="Arial" w:hAnsi="Arial" w:cs="Arial"/>
                <w:sz w:val="20"/>
              </w:rPr>
              <w:t>568</w:t>
            </w:r>
          </w:p>
        </w:tc>
        <w:tc>
          <w:tcPr>
            <w:tcW w:w="1540" w:type="dxa"/>
            <w:tcBorders>
              <w:top w:val="single" w:sz="4" w:space="0" w:color="auto"/>
              <w:left w:val="single" w:sz="4" w:space="0" w:color="auto"/>
              <w:bottom w:val="single" w:sz="4" w:space="0" w:color="auto"/>
              <w:right w:val="single" w:sz="4" w:space="0" w:color="auto"/>
            </w:tcBorders>
          </w:tcPr>
          <w:p w14:paraId="4A2B89E0" w14:textId="52787E9E" w:rsidR="00370270" w:rsidRPr="00CF73B4" w:rsidRDefault="00370270" w:rsidP="00370270">
            <w:pPr>
              <w:jc w:val="center"/>
              <w:rPr>
                <w:rFonts w:ascii="Arial" w:hAnsi="Arial" w:cs="Arial"/>
                <w:sz w:val="20"/>
                <w:highlight w:val="yellow"/>
              </w:rPr>
            </w:pPr>
            <w:r>
              <w:rPr>
                <w:rFonts w:ascii="Arial" w:hAnsi="Arial" w:cs="Arial"/>
                <w:sz w:val="20"/>
              </w:rPr>
              <w:t>718</w:t>
            </w:r>
          </w:p>
        </w:tc>
        <w:tc>
          <w:tcPr>
            <w:tcW w:w="1540" w:type="dxa"/>
            <w:tcBorders>
              <w:top w:val="single" w:sz="4" w:space="0" w:color="auto"/>
              <w:left w:val="single" w:sz="4" w:space="0" w:color="auto"/>
              <w:bottom w:val="single" w:sz="4" w:space="0" w:color="auto"/>
              <w:right w:val="single" w:sz="4" w:space="0" w:color="auto"/>
            </w:tcBorders>
          </w:tcPr>
          <w:p w14:paraId="0355273A" w14:textId="739E48E4" w:rsidR="00370270" w:rsidRPr="00CF73B4" w:rsidRDefault="00370270" w:rsidP="00370270">
            <w:pPr>
              <w:jc w:val="center"/>
              <w:rPr>
                <w:rFonts w:ascii="Arial" w:hAnsi="Arial" w:cs="Arial"/>
                <w:sz w:val="20"/>
              </w:rPr>
            </w:pPr>
            <w:r>
              <w:rPr>
                <w:rFonts w:ascii="Arial" w:hAnsi="Arial" w:cs="Arial"/>
                <w:sz w:val="20"/>
              </w:rPr>
              <w:t>674</w:t>
            </w:r>
          </w:p>
        </w:tc>
        <w:tc>
          <w:tcPr>
            <w:tcW w:w="1678" w:type="dxa"/>
            <w:tcBorders>
              <w:top w:val="single" w:sz="4" w:space="0" w:color="auto"/>
              <w:left w:val="single" w:sz="4" w:space="0" w:color="auto"/>
              <w:bottom w:val="single" w:sz="4" w:space="0" w:color="auto"/>
              <w:right w:val="single" w:sz="4" w:space="0" w:color="auto"/>
            </w:tcBorders>
          </w:tcPr>
          <w:p w14:paraId="74CE8F2B" w14:textId="4B725335" w:rsidR="00370270" w:rsidRPr="00CF73B4" w:rsidRDefault="00370270" w:rsidP="00370270">
            <w:pPr>
              <w:jc w:val="center"/>
              <w:rPr>
                <w:rFonts w:ascii="Arial" w:hAnsi="Arial" w:cs="Arial"/>
                <w:sz w:val="20"/>
              </w:rPr>
            </w:pPr>
          </w:p>
        </w:tc>
      </w:tr>
    </w:tbl>
    <w:p w14:paraId="5F74A626" w14:textId="313F63BA" w:rsidR="00C1412B" w:rsidRPr="00D242DA" w:rsidRDefault="00A2403F" w:rsidP="00D242DA">
      <w:pPr>
        <w:jc w:val="both"/>
        <w:rPr>
          <w:rFonts w:ascii="Arial" w:hAnsi="Arial" w:cs="Arial"/>
          <w:sz w:val="18"/>
          <w:szCs w:val="18"/>
        </w:rPr>
      </w:pPr>
      <w:r w:rsidRPr="00D242DA">
        <w:rPr>
          <w:rFonts w:ascii="Arial" w:hAnsi="Arial" w:cs="Arial"/>
          <w:sz w:val="18"/>
          <w:szCs w:val="18"/>
        </w:rPr>
        <w:t xml:space="preserve">* </w:t>
      </w:r>
      <w:r w:rsidR="006A3C99" w:rsidRPr="00D242DA">
        <w:rPr>
          <w:rFonts w:ascii="Arial" w:hAnsi="Arial" w:cs="Arial"/>
          <w:sz w:val="18"/>
          <w:szCs w:val="18"/>
        </w:rPr>
        <w:t>For purposes of this measure</w:t>
      </w:r>
      <w:r w:rsidR="00DE2BB6">
        <w:rPr>
          <w:rFonts w:ascii="Arial" w:hAnsi="Arial" w:cs="Arial"/>
          <w:sz w:val="18"/>
          <w:szCs w:val="18"/>
        </w:rPr>
        <w:t>,</w:t>
      </w:r>
      <w:r w:rsidR="006A3C99" w:rsidRPr="00D242DA">
        <w:rPr>
          <w:rFonts w:ascii="Arial" w:hAnsi="Arial" w:cs="Arial"/>
          <w:sz w:val="18"/>
          <w:szCs w:val="18"/>
        </w:rPr>
        <w:t xml:space="preserve"> a </w:t>
      </w:r>
      <w:r w:rsidR="005810DA" w:rsidRPr="00D242DA">
        <w:rPr>
          <w:rFonts w:ascii="Arial" w:hAnsi="Arial" w:cs="Arial"/>
          <w:sz w:val="18"/>
          <w:szCs w:val="18"/>
        </w:rPr>
        <w:t>“</w:t>
      </w:r>
      <w:r w:rsidR="00A6439D" w:rsidRPr="00D242DA">
        <w:rPr>
          <w:rFonts w:ascii="Arial" w:hAnsi="Arial" w:cs="Arial"/>
          <w:sz w:val="18"/>
          <w:szCs w:val="18"/>
        </w:rPr>
        <w:t xml:space="preserve">Capital </w:t>
      </w:r>
      <w:r w:rsidR="006A3C99" w:rsidRPr="00D242DA">
        <w:rPr>
          <w:rFonts w:ascii="Arial" w:hAnsi="Arial" w:cs="Arial"/>
          <w:sz w:val="18"/>
          <w:szCs w:val="18"/>
        </w:rPr>
        <w:t>C</w:t>
      </w:r>
      <w:r w:rsidR="00A6439D" w:rsidRPr="00D242DA">
        <w:rPr>
          <w:rFonts w:ascii="Arial" w:hAnsi="Arial" w:cs="Arial"/>
          <w:sz w:val="18"/>
          <w:szCs w:val="18"/>
        </w:rPr>
        <w:t xml:space="preserve">ase” </w:t>
      </w:r>
      <w:r w:rsidR="00127795" w:rsidRPr="00D242DA">
        <w:rPr>
          <w:rFonts w:ascii="Arial" w:hAnsi="Arial" w:cs="Arial"/>
          <w:sz w:val="18"/>
          <w:szCs w:val="18"/>
        </w:rPr>
        <w:t xml:space="preserve">encompasses all legal proceedings </w:t>
      </w:r>
      <w:r w:rsidR="00627AB2" w:rsidRPr="00D242DA">
        <w:rPr>
          <w:rFonts w:ascii="Arial" w:hAnsi="Arial" w:cs="Arial"/>
          <w:sz w:val="18"/>
          <w:szCs w:val="18"/>
        </w:rPr>
        <w:t xml:space="preserve">relating to a </w:t>
      </w:r>
      <w:r w:rsidR="00063BA0" w:rsidRPr="00D242DA">
        <w:rPr>
          <w:rFonts w:ascii="Arial" w:hAnsi="Arial" w:cs="Arial"/>
          <w:sz w:val="18"/>
          <w:szCs w:val="18"/>
        </w:rPr>
        <w:t xml:space="preserve">particular </w:t>
      </w:r>
      <w:r w:rsidR="00627AB2" w:rsidRPr="00D242DA">
        <w:rPr>
          <w:rFonts w:ascii="Arial" w:hAnsi="Arial" w:cs="Arial"/>
          <w:sz w:val="18"/>
          <w:szCs w:val="18"/>
        </w:rPr>
        <w:t xml:space="preserve">conviction and death sentence for </w:t>
      </w:r>
      <w:r w:rsidR="00AA6E1D" w:rsidRPr="00D242DA">
        <w:rPr>
          <w:rFonts w:ascii="Arial" w:hAnsi="Arial" w:cs="Arial"/>
          <w:sz w:val="18"/>
          <w:szCs w:val="18"/>
        </w:rPr>
        <w:t>a</w:t>
      </w:r>
      <w:r w:rsidR="00127795" w:rsidRPr="00D242DA">
        <w:rPr>
          <w:rFonts w:ascii="Arial" w:hAnsi="Arial" w:cs="Arial"/>
          <w:sz w:val="18"/>
          <w:szCs w:val="18"/>
        </w:rPr>
        <w:t xml:space="preserve"> single capital client</w:t>
      </w:r>
      <w:r w:rsidR="000A1941" w:rsidRPr="00D242DA">
        <w:rPr>
          <w:rFonts w:ascii="Arial" w:hAnsi="Arial" w:cs="Arial"/>
          <w:sz w:val="18"/>
          <w:szCs w:val="18"/>
        </w:rPr>
        <w:t xml:space="preserve"> even if those proceedings could otherwise be considered separate cases</w:t>
      </w:r>
      <w:r w:rsidR="00AA6E1D" w:rsidRPr="00D242DA">
        <w:rPr>
          <w:rFonts w:ascii="Arial" w:hAnsi="Arial" w:cs="Arial"/>
          <w:sz w:val="18"/>
          <w:szCs w:val="18"/>
        </w:rPr>
        <w:t>.</w:t>
      </w:r>
      <w:r w:rsidR="00063BA0" w:rsidRPr="00D242DA">
        <w:rPr>
          <w:rFonts w:ascii="Arial" w:hAnsi="Arial" w:cs="Arial"/>
          <w:sz w:val="18"/>
          <w:szCs w:val="18"/>
        </w:rPr>
        <w:t xml:space="preserve"> For example,</w:t>
      </w:r>
      <w:r w:rsidR="009051F9" w:rsidRPr="00D242DA">
        <w:rPr>
          <w:rFonts w:ascii="Arial" w:hAnsi="Arial" w:cs="Arial"/>
          <w:sz w:val="18"/>
          <w:szCs w:val="18"/>
        </w:rPr>
        <w:t xml:space="preserve"> if the SAPD handles two different post-conviction cases arising out of the same death sentence for the same client, that is considered one “Capital Case”</w:t>
      </w:r>
      <w:r w:rsidR="00063BA0" w:rsidRPr="00D242DA">
        <w:rPr>
          <w:rFonts w:ascii="Arial" w:hAnsi="Arial" w:cs="Arial"/>
          <w:sz w:val="18"/>
          <w:szCs w:val="18"/>
        </w:rPr>
        <w:t xml:space="preserve"> </w:t>
      </w:r>
      <w:r w:rsidR="00FC7782" w:rsidRPr="00D242DA">
        <w:rPr>
          <w:rFonts w:ascii="Arial" w:hAnsi="Arial" w:cs="Arial"/>
          <w:sz w:val="18"/>
          <w:szCs w:val="18"/>
        </w:rPr>
        <w:t>for this measure.</w:t>
      </w:r>
    </w:p>
    <w:p w14:paraId="1074B84B" w14:textId="77777777" w:rsidR="00A2403F" w:rsidRDefault="00A2403F" w:rsidP="00181AA6">
      <w:pPr>
        <w:rPr>
          <w:rFonts w:ascii="Arial" w:hAnsi="Arial" w:cs="Arial"/>
          <w:b/>
          <w:bCs/>
        </w:rPr>
      </w:pPr>
    </w:p>
    <w:p w14:paraId="3F0B3D85" w14:textId="77777777" w:rsidR="000B4404" w:rsidRDefault="000B4404" w:rsidP="00181AA6">
      <w:pPr>
        <w:rPr>
          <w:rFonts w:ascii="Arial" w:hAnsi="Arial" w:cs="Arial"/>
          <w:b/>
          <w:bCs/>
        </w:rPr>
      </w:pPr>
    </w:p>
    <w:p w14:paraId="238FD14F" w14:textId="77777777" w:rsidR="000B4404" w:rsidRDefault="000B4404" w:rsidP="00181AA6">
      <w:pPr>
        <w:rPr>
          <w:rFonts w:ascii="Arial" w:hAnsi="Arial" w:cs="Arial"/>
          <w:b/>
          <w:bCs/>
        </w:rPr>
      </w:pPr>
    </w:p>
    <w:p w14:paraId="1916F033" w14:textId="4BDDDF34" w:rsidR="00181AA6" w:rsidRDefault="00AA795A" w:rsidP="00181AA6">
      <w:pPr>
        <w:rPr>
          <w:rFonts w:ascii="Arial" w:hAnsi="Arial" w:cs="Arial"/>
          <w:b/>
          <w:bCs/>
        </w:rPr>
      </w:pPr>
      <w:r>
        <w:rPr>
          <w:rFonts w:ascii="Arial" w:hAnsi="Arial" w:cs="Arial"/>
          <w:b/>
          <w:bCs/>
        </w:rPr>
        <w:t>FY 202</w:t>
      </w:r>
      <w:r w:rsidR="00C035E3">
        <w:rPr>
          <w:rFonts w:ascii="Arial" w:hAnsi="Arial" w:cs="Arial"/>
          <w:b/>
          <w:bCs/>
        </w:rPr>
        <w:t>4</w:t>
      </w:r>
      <w:r w:rsidR="00D06B35">
        <w:rPr>
          <w:rFonts w:ascii="Arial" w:hAnsi="Arial" w:cs="Arial"/>
          <w:b/>
          <w:bCs/>
        </w:rPr>
        <w:t xml:space="preserve"> Performance Highlights</w:t>
      </w:r>
    </w:p>
    <w:p w14:paraId="2FD54FDB" w14:textId="77777777" w:rsidR="00ED0BBD" w:rsidRDefault="00ED0BBD" w:rsidP="009E383C">
      <w:pPr>
        <w:rPr>
          <w:rFonts w:ascii="Arial" w:hAnsi="Arial" w:cs="Arial"/>
          <w:sz w:val="20"/>
          <w:szCs w:val="20"/>
        </w:rPr>
      </w:pPr>
    </w:p>
    <w:p w14:paraId="0E6E8183" w14:textId="4D2C828B" w:rsidR="00C50256" w:rsidRDefault="00395DF6" w:rsidP="007F1601">
      <w:pPr>
        <w:jc w:val="both"/>
        <w:rPr>
          <w:rFonts w:ascii="Arial" w:hAnsi="Arial" w:cs="Arial"/>
          <w:sz w:val="20"/>
          <w:szCs w:val="20"/>
        </w:rPr>
      </w:pPr>
      <w:r w:rsidRPr="00282D91">
        <w:rPr>
          <w:rFonts w:ascii="Arial" w:hAnsi="Arial" w:cs="Arial"/>
          <w:sz w:val="20"/>
          <w:szCs w:val="20"/>
        </w:rPr>
        <w:t>In FY</w:t>
      </w:r>
      <w:r w:rsidR="00BB2C9A">
        <w:rPr>
          <w:rFonts w:ascii="Arial" w:hAnsi="Arial" w:cs="Arial"/>
          <w:sz w:val="20"/>
          <w:szCs w:val="20"/>
        </w:rPr>
        <w:t xml:space="preserve"> </w:t>
      </w:r>
      <w:r w:rsidRPr="00282D91">
        <w:rPr>
          <w:rFonts w:ascii="Arial" w:hAnsi="Arial" w:cs="Arial"/>
          <w:sz w:val="20"/>
          <w:szCs w:val="20"/>
        </w:rPr>
        <w:t>202</w:t>
      </w:r>
      <w:r w:rsidR="00C035E3" w:rsidRPr="00282D91">
        <w:rPr>
          <w:rFonts w:ascii="Arial" w:hAnsi="Arial" w:cs="Arial"/>
          <w:sz w:val="20"/>
          <w:szCs w:val="20"/>
        </w:rPr>
        <w:t>4</w:t>
      </w:r>
      <w:r w:rsidRPr="00282D91">
        <w:rPr>
          <w:rFonts w:ascii="Arial" w:hAnsi="Arial" w:cs="Arial"/>
          <w:sz w:val="20"/>
          <w:szCs w:val="20"/>
        </w:rPr>
        <w:t xml:space="preserve">, the SAPD obtained relief for its clients in </w:t>
      </w:r>
      <w:r w:rsidR="00BE00FA">
        <w:rPr>
          <w:rFonts w:ascii="Arial" w:hAnsi="Arial" w:cs="Arial"/>
          <w:sz w:val="20"/>
          <w:szCs w:val="20"/>
        </w:rPr>
        <w:t>twenty</w:t>
      </w:r>
      <w:r w:rsidRPr="00282D91">
        <w:rPr>
          <w:rFonts w:ascii="Arial" w:hAnsi="Arial" w:cs="Arial"/>
          <w:sz w:val="20"/>
          <w:szCs w:val="20"/>
        </w:rPr>
        <w:t xml:space="preserve"> cases. </w:t>
      </w:r>
      <w:r w:rsidR="00797735">
        <w:rPr>
          <w:rFonts w:ascii="Arial" w:hAnsi="Arial" w:cs="Arial"/>
          <w:sz w:val="20"/>
          <w:szCs w:val="20"/>
        </w:rPr>
        <w:t>Those included the following significant wins</w:t>
      </w:r>
      <w:r w:rsidR="00C50256">
        <w:rPr>
          <w:rFonts w:ascii="Arial" w:hAnsi="Arial" w:cs="Arial"/>
          <w:sz w:val="20"/>
          <w:szCs w:val="20"/>
        </w:rPr>
        <w:t>:</w:t>
      </w:r>
      <w:r w:rsidR="007F1601" w:rsidRPr="00282D91">
        <w:rPr>
          <w:rFonts w:ascii="Arial" w:hAnsi="Arial" w:cs="Arial"/>
          <w:sz w:val="20"/>
          <w:szCs w:val="20"/>
        </w:rPr>
        <w:t xml:space="preserve"> </w:t>
      </w:r>
    </w:p>
    <w:p w14:paraId="0CE02353" w14:textId="3D35FD74" w:rsidR="00C50256" w:rsidRPr="00C50256" w:rsidRDefault="00A1016D" w:rsidP="00C50256">
      <w:pPr>
        <w:pStyle w:val="ListParagraph"/>
        <w:numPr>
          <w:ilvl w:val="0"/>
          <w:numId w:val="3"/>
        </w:numPr>
        <w:ind w:left="360"/>
        <w:jc w:val="both"/>
        <w:rPr>
          <w:rFonts w:ascii="Arial" w:hAnsi="Arial" w:cs="Arial"/>
          <w:sz w:val="20"/>
          <w:szCs w:val="20"/>
        </w:rPr>
      </w:pPr>
      <w:r w:rsidRPr="00C50256">
        <w:rPr>
          <w:rFonts w:ascii="Arial" w:hAnsi="Arial" w:cs="Arial"/>
          <w:sz w:val="20"/>
          <w:szCs w:val="20"/>
        </w:rPr>
        <w:t xml:space="preserve">The SAPD </w:t>
      </w:r>
      <w:r w:rsidR="00BE00FA">
        <w:rPr>
          <w:rFonts w:ascii="Arial" w:hAnsi="Arial" w:cs="Arial"/>
          <w:sz w:val="20"/>
          <w:szCs w:val="20"/>
        </w:rPr>
        <w:t>persuaded</w:t>
      </w:r>
      <w:r w:rsidRPr="00C50256">
        <w:rPr>
          <w:rFonts w:ascii="Arial" w:hAnsi="Arial" w:cs="Arial"/>
          <w:sz w:val="20"/>
          <w:szCs w:val="20"/>
        </w:rPr>
        <w:t xml:space="preserve"> the United States Supreme Court </w:t>
      </w:r>
      <w:r w:rsidR="00C50256">
        <w:rPr>
          <w:rFonts w:ascii="Arial" w:hAnsi="Arial" w:cs="Arial"/>
          <w:sz w:val="20"/>
          <w:szCs w:val="20"/>
        </w:rPr>
        <w:t>to deny</w:t>
      </w:r>
      <w:r w:rsidR="00DD4295" w:rsidRPr="00C50256">
        <w:rPr>
          <w:rFonts w:ascii="Arial" w:hAnsi="Arial" w:cs="Arial"/>
          <w:sz w:val="20"/>
          <w:szCs w:val="20"/>
        </w:rPr>
        <w:t xml:space="preserve"> the State’s petition for </w:t>
      </w:r>
      <w:r w:rsidR="00BE00FA">
        <w:rPr>
          <w:rFonts w:ascii="Arial" w:hAnsi="Arial" w:cs="Arial"/>
          <w:sz w:val="20"/>
          <w:szCs w:val="20"/>
        </w:rPr>
        <w:t xml:space="preserve">a </w:t>
      </w:r>
      <w:r w:rsidR="00DD4295" w:rsidRPr="00C50256">
        <w:rPr>
          <w:rFonts w:ascii="Arial" w:hAnsi="Arial" w:cs="Arial"/>
          <w:sz w:val="20"/>
          <w:szCs w:val="20"/>
        </w:rPr>
        <w:t xml:space="preserve">Writ of Certiorari in </w:t>
      </w:r>
      <w:r w:rsidR="007F1601" w:rsidRPr="00C50256">
        <w:rPr>
          <w:rFonts w:ascii="Arial" w:hAnsi="Arial" w:cs="Arial"/>
          <w:i/>
          <w:iCs/>
          <w:sz w:val="20"/>
          <w:szCs w:val="20"/>
        </w:rPr>
        <w:t>State v. Dorff</w:t>
      </w:r>
      <w:r w:rsidR="007F1601" w:rsidRPr="00C50256">
        <w:rPr>
          <w:rFonts w:ascii="Arial" w:hAnsi="Arial" w:cs="Arial"/>
          <w:sz w:val="20"/>
          <w:szCs w:val="20"/>
        </w:rPr>
        <w:t xml:space="preserve">¸ 171 Idaho 818 (2022), </w:t>
      </w:r>
      <w:r w:rsidR="00C50256">
        <w:rPr>
          <w:rFonts w:ascii="Arial" w:hAnsi="Arial" w:cs="Arial"/>
          <w:sz w:val="20"/>
          <w:szCs w:val="20"/>
        </w:rPr>
        <w:t>thereby leaving t</w:t>
      </w:r>
      <w:r w:rsidR="00EF01C5">
        <w:rPr>
          <w:rFonts w:ascii="Arial" w:hAnsi="Arial" w:cs="Arial"/>
          <w:sz w:val="20"/>
          <w:szCs w:val="20"/>
        </w:rPr>
        <w:t>he</w:t>
      </w:r>
      <w:r w:rsidR="00C50256">
        <w:rPr>
          <w:rFonts w:ascii="Arial" w:hAnsi="Arial" w:cs="Arial"/>
          <w:sz w:val="20"/>
          <w:szCs w:val="20"/>
        </w:rPr>
        <w:t xml:space="preserve"> decision </w:t>
      </w:r>
      <w:r w:rsidR="00BE00FA">
        <w:rPr>
          <w:rFonts w:ascii="Arial" w:hAnsi="Arial" w:cs="Arial"/>
          <w:sz w:val="20"/>
          <w:szCs w:val="20"/>
        </w:rPr>
        <w:t xml:space="preserve">by the Idaho Supreme Court </w:t>
      </w:r>
      <w:r w:rsidR="00C50256">
        <w:rPr>
          <w:rFonts w:ascii="Arial" w:hAnsi="Arial" w:cs="Arial"/>
          <w:sz w:val="20"/>
          <w:szCs w:val="20"/>
        </w:rPr>
        <w:t xml:space="preserve">undisturbed. In </w:t>
      </w:r>
      <w:r w:rsidR="00C50256" w:rsidRPr="00C50256">
        <w:rPr>
          <w:rFonts w:ascii="Arial" w:hAnsi="Arial" w:cs="Arial"/>
          <w:i/>
          <w:iCs/>
          <w:sz w:val="20"/>
          <w:szCs w:val="20"/>
        </w:rPr>
        <w:t>Dorff</w:t>
      </w:r>
      <w:r w:rsidR="00C50256">
        <w:rPr>
          <w:rFonts w:ascii="Arial" w:hAnsi="Arial" w:cs="Arial"/>
          <w:sz w:val="20"/>
          <w:szCs w:val="20"/>
        </w:rPr>
        <w:t xml:space="preserve">, </w:t>
      </w:r>
      <w:r w:rsidR="007F1601" w:rsidRPr="00C50256">
        <w:rPr>
          <w:rFonts w:ascii="Arial" w:hAnsi="Arial" w:cs="Arial"/>
          <w:sz w:val="20"/>
          <w:szCs w:val="20"/>
        </w:rPr>
        <w:t xml:space="preserve">the Idaho Supreme Court </w:t>
      </w:r>
      <w:r w:rsidR="00DD4295" w:rsidRPr="00C50256">
        <w:rPr>
          <w:rFonts w:ascii="Arial" w:hAnsi="Arial" w:cs="Arial"/>
          <w:sz w:val="20"/>
          <w:szCs w:val="20"/>
        </w:rPr>
        <w:t xml:space="preserve">had </w:t>
      </w:r>
      <w:r w:rsidR="007F1601" w:rsidRPr="00C50256">
        <w:rPr>
          <w:rFonts w:ascii="Arial" w:hAnsi="Arial" w:cs="Arial"/>
          <w:sz w:val="20"/>
          <w:szCs w:val="20"/>
        </w:rPr>
        <w:t xml:space="preserve">held that a Fourth Amendment search occurs when a police drug-sniffing dog trespasses on the exterior of a vehicle </w:t>
      </w:r>
      <w:r w:rsidR="00BE00FA">
        <w:rPr>
          <w:rFonts w:ascii="Arial" w:hAnsi="Arial" w:cs="Arial"/>
          <w:sz w:val="20"/>
          <w:szCs w:val="20"/>
        </w:rPr>
        <w:t>in the process of</w:t>
      </w:r>
      <w:r w:rsidR="00840F43" w:rsidRPr="00C50256">
        <w:rPr>
          <w:rFonts w:ascii="Arial" w:hAnsi="Arial" w:cs="Arial"/>
          <w:sz w:val="20"/>
          <w:szCs w:val="20"/>
        </w:rPr>
        <w:t xml:space="preserve"> s</w:t>
      </w:r>
      <w:r w:rsidR="00BE00FA">
        <w:rPr>
          <w:rFonts w:ascii="Arial" w:hAnsi="Arial" w:cs="Arial"/>
          <w:sz w:val="20"/>
          <w:szCs w:val="20"/>
        </w:rPr>
        <w:t>melling</w:t>
      </w:r>
      <w:r w:rsidR="00840F43" w:rsidRPr="00C50256">
        <w:rPr>
          <w:rFonts w:ascii="Arial" w:hAnsi="Arial" w:cs="Arial"/>
          <w:sz w:val="20"/>
          <w:szCs w:val="20"/>
        </w:rPr>
        <w:t xml:space="preserve"> for controlled substan</w:t>
      </w:r>
      <w:r w:rsidR="00C50256" w:rsidRPr="00C50256">
        <w:rPr>
          <w:rFonts w:ascii="Arial" w:hAnsi="Arial" w:cs="Arial"/>
          <w:sz w:val="20"/>
          <w:szCs w:val="20"/>
        </w:rPr>
        <w:t>ces</w:t>
      </w:r>
      <w:r w:rsidR="007F1601" w:rsidRPr="00C50256">
        <w:rPr>
          <w:rFonts w:ascii="Arial" w:hAnsi="Arial" w:cs="Arial"/>
          <w:sz w:val="20"/>
          <w:szCs w:val="20"/>
        </w:rPr>
        <w:t xml:space="preserve">. </w:t>
      </w:r>
    </w:p>
    <w:p w14:paraId="2EC26677" w14:textId="257EDC82" w:rsidR="00C90BCA" w:rsidRDefault="00913847" w:rsidP="00C50256">
      <w:pPr>
        <w:pStyle w:val="ListParagraph"/>
        <w:numPr>
          <w:ilvl w:val="0"/>
          <w:numId w:val="3"/>
        </w:numPr>
        <w:ind w:left="360"/>
        <w:jc w:val="both"/>
        <w:rPr>
          <w:rFonts w:ascii="Arial" w:hAnsi="Arial" w:cs="Arial"/>
          <w:sz w:val="20"/>
          <w:szCs w:val="20"/>
        </w:rPr>
      </w:pPr>
      <w:r>
        <w:rPr>
          <w:rFonts w:ascii="Arial" w:hAnsi="Arial" w:cs="Arial"/>
          <w:sz w:val="20"/>
          <w:szCs w:val="20"/>
        </w:rPr>
        <w:t xml:space="preserve">In </w:t>
      </w:r>
      <w:r w:rsidRPr="005B0AF4">
        <w:rPr>
          <w:rFonts w:ascii="Arial" w:hAnsi="Arial" w:cs="Arial"/>
          <w:i/>
          <w:iCs/>
          <w:sz w:val="20"/>
          <w:szCs w:val="20"/>
        </w:rPr>
        <w:t>State v. Pendleton</w:t>
      </w:r>
      <w:r>
        <w:rPr>
          <w:rFonts w:ascii="Arial" w:hAnsi="Arial" w:cs="Arial"/>
          <w:sz w:val="20"/>
          <w:szCs w:val="20"/>
        </w:rPr>
        <w:t xml:space="preserve">, 172 Idaho 825 (2023), </w:t>
      </w:r>
      <w:r w:rsidR="005B0AF4">
        <w:rPr>
          <w:rFonts w:ascii="Arial" w:hAnsi="Arial" w:cs="Arial"/>
          <w:sz w:val="20"/>
          <w:szCs w:val="20"/>
        </w:rPr>
        <w:t>the Idaho Supreme Court held that</w:t>
      </w:r>
      <w:r w:rsidR="008A68AC">
        <w:rPr>
          <w:rFonts w:ascii="Arial" w:hAnsi="Arial" w:cs="Arial"/>
          <w:sz w:val="20"/>
          <w:szCs w:val="20"/>
        </w:rPr>
        <w:t xml:space="preserve"> </w:t>
      </w:r>
      <w:r w:rsidR="00E6528B">
        <w:rPr>
          <w:rFonts w:ascii="Arial" w:hAnsi="Arial" w:cs="Arial"/>
          <w:sz w:val="20"/>
          <w:szCs w:val="20"/>
        </w:rPr>
        <w:t xml:space="preserve">where </w:t>
      </w:r>
      <w:r w:rsidR="00CB1492">
        <w:rPr>
          <w:rFonts w:ascii="Arial" w:hAnsi="Arial" w:cs="Arial"/>
          <w:sz w:val="20"/>
          <w:szCs w:val="20"/>
        </w:rPr>
        <w:t xml:space="preserve">the prosecution seeks to use </w:t>
      </w:r>
      <w:r w:rsidR="00E6528B">
        <w:rPr>
          <w:rFonts w:ascii="Arial" w:hAnsi="Arial" w:cs="Arial"/>
          <w:sz w:val="20"/>
          <w:szCs w:val="20"/>
        </w:rPr>
        <w:t xml:space="preserve">a drug dog’s positive alert </w:t>
      </w:r>
      <w:r w:rsidR="0083572E">
        <w:rPr>
          <w:rFonts w:ascii="Arial" w:hAnsi="Arial" w:cs="Arial"/>
          <w:sz w:val="20"/>
          <w:szCs w:val="20"/>
        </w:rPr>
        <w:t>to</w:t>
      </w:r>
      <w:r w:rsidR="00BE00FA">
        <w:rPr>
          <w:rFonts w:ascii="Arial" w:hAnsi="Arial" w:cs="Arial"/>
          <w:sz w:val="20"/>
          <w:szCs w:val="20"/>
        </w:rPr>
        <w:t xml:space="preserve"> establish</w:t>
      </w:r>
      <w:r w:rsidR="002B614E">
        <w:rPr>
          <w:rFonts w:ascii="Arial" w:hAnsi="Arial" w:cs="Arial"/>
          <w:sz w:val="20"/>
          <w:szCs w:val="20"/>
        </w:rPr>
        <w:t xml:space="preserve"> </w:t>
      </w:r>
      <w:r w:rsidR="00E6528B">
        <w:rPr>
          <w:rFonts w:ascii="Arial" w:hAnsi="Arial" w:cs="Arial"/>
          <w:sz w:val="20"/>
          <w:szCs w:val="20"/>
        </w:rPr>
        <w:t xml:space="preserve">probable cause to </w:t>
      </w:r>
      <w:r w:rsidR="00CA7D7C">
        <w:rPr>
          <w:rFonts w:ascii="Arial" w:hAnsi="Arial" w:cs="Arial"/>
          <w:sz w:val="20"/>
          <w:szCs w:val="20"/>
        </w:rPr>
        <w:t xml:space="preserve">justify </w:t>
      </w:r>
      <w:r w:rsidR="00D46151">
        <w:rPr>
          <w:rFonts w:ascii="Arial" w:hAnsi="Arial" w:cs="Arial"/>
          <w:sz w:val="20"/>
          <w:szCs w:val="20"/>
        </w:rPr>
        <w:t>a</w:t>
      </w:r>
      <w:r w:rsidR="00CA7D7C">
        <w:rPr>
          <w:rFonts w:ascii="Arial" w:hAnsi="Arial" w:cs="Arial"/>
          <w:sz w:val="20"/>
          <w:szCs w:val="20"/>
        </w:rPr>
        <w:t xml:space="preserve"> </w:t>
      </w:r>
      <w:r w:rsidR="00CB1492">
        <w:rPr>
          <w:rFonts w:ascii="Arial" w:hAnsi="Arial" w:cs="Arial"/>
          <w:sz w:val="20"/>
          <w:szCs w:val="20"/>
        </w:rPr>
        <w:t xml:space="preserve">warrantless </w:t>
      </w:r>
      <w:r w:rsidR="00CA7D7C">
        <w:rPr>
          <w:rFonts w:ascii="Arial" w:hAnsi="Arial" w:cs="Arial"/>
          <w:sz w:val="20"/>
          <w:szCs w:val="20"/>
        </w:rPr>
        <w:t xml:space="preserve">search of </w:t>
      </w:r>
      <w:r w:rsidR="00D46151">
        <w:rPr>
          <w:rFonts w:ascii="Arial" w:hAnsi="Arial" w:cs="Arial"/>
          <w:sz w:val="20"/>
          <w:szCs w:val="20"/>
        </w:rPr>
        <w:t>the defendant’s</w:t>
      </w:r>
      <w:r w:rsidR="00CA7D7C">
        <w:rPr>
          <w:rFonts w:ascii="Arial" w:hAnsi="Arial" w:cs="Arial"/>
          <w:sz w:val="20"/>
          <w:szCs w:val="20"/>
        </w:rPr>
        <w:t xml:space="preserve"> vehicle, </w:t>
      </w:r>
      <w:r w:rsidR="00BE00FA">
        <w:rPr>
          <w:rFonts w:ascii="Arial" w:hAnsi="Arial" w:cs="Arial"/>
          <w:sz w:val="20"/>
          <w:szCs w:val="20"/>
        </w:rPr>
        <w:t xml:space="preserve">it </w:t>
      </w:r>
      <w:r w:rsidR="0045656A">
        <w:rPr>
          <w:rFonts w:ascii="Arial" w:hAnsi="Arial" w:cs="Arial"/>
          <w:sz w:val="20"/>
          <w:szCs w:val="20"/>
        </w:rPr>
        <w:t>may be</w:t>
      </w:r>
      <w:r w:rsidR="00BE00FA">
        <w:rPr>
          <w:rFonts w:ascii="Arial" w:hAnsi="Arial" w:cs="Arial"/>
          <w:sz w:val="20"/>
          <w:szCs w:val="20"/>
        </w:rPr>
        <w:t xml:space="preserve"> </w:t>
      </w:r>
      <w:r w:rsidR="00654FD8">
        <w:rPr>
          <w:rFonts w:ascii="Arial" w:hAnsi="Arial" w:cs="Arial"/>
          <w:sz w:val="20"/>
          <w:szCs w:val="20"/>
        </w:rPr>
        <w:t xml:space="preserve">appropriate to require the State to disclose </w:t>
      </w:r>
      <w:r w:rsidR="00CB1492">
        <w:rPr>
          <w:rFonts w:ascii="Arial" w:hAnsi="Arial" w:cs="Arial"/>
          <w:sz w:val="20"/>
          <w:szCs w:val="20"/>
        </w:rPr>
        <w:t xml:space="preserve">to the defense </w:t>
      </w:r>
      <w:r w:rsidR="004A0C88">
        <w:rPr>
          <w:rFonts w:ascii="Arial" w:hAnsi="Arial" w:cs="Arial"/>
          <w:sz w:val="20"/>
          <w:szCs w:val="20"/>
        </w:rPr>
        <w:t>records of the dog’s field performance</w:t>
      </w:r>
      <w:r w:rsidR="00654FD8">
        <w:rPr>
          <w:rFonts w:ascii="Arial" w:hAnsi="Arial" w:cs="Arial"/>
          <w:sz w:val="20"/>
          <w:szCs w:val="20"/>
        </w:rPr>
        <w:t xml:space="preserve">, as </w:t>
      </w:r>
      <w:r w:rsidR="00BC2CE1">
        <w:rPr>
          <w:rFonts w:ascii="Arial" w:hAnsi="Arial" w:cs="Arial"/>
          <w:sz w:val="20"/>
          <w:szCs w:val="20"/>
        </w:rPr>
        <w:t>those records</w:t>
      </w:r>
      <w:r w:rsidR="00654FD8">
        <w:rPr>
          <w:rFonts w:ascii="Arial" w:hAnsi="Arial" w:cs="Arial"/>
          <w:sz w:val="20"/>
          <w:szCs w:val="20"/>
        </w:rPr>
        <w:t xml:space="preserve"> may be </w:t>
      </w:r>
      <w:r w:rsidR="00176D1A">
        <w:rPr>
          <w:rFonts w:ascii="Arial" w:hAnsi="Arial" w:cs="Arial"/>
          <w:sz w:val="20"/>
          <w:szCs w:val="20"/>
        </w:rPr>
        <w:t>material to the dog’s reliability</w:t>
      </w:r>
      <w:r w:rsidR="00654FD8">
        <w:rPr>
          <w:rFonts w:ascii="Arial" w:hAnsi="Arial" w:cs="Arial"/>
          <w:sz w:val="20"/>
          <w:szCs w:val="20"/>
        </w:rPr>
        <w:t xml:space="preserve"> as a drug-detection dog</w:t>
      </w:r>
      <w:r w:rsidR="00176D1A">
        <w:rPr>
          <w:rFonts w:ascii="Arial" w:hAnsi="Arial" w:cs="Arial"/>
          <w:sz w:val="20"/>
          <w:szCs w:val="20"/>
        </w:rPr>
        <w:t xml:space="preserve">. </w:t>
      </w:r>
    </w:p>
    <w:p w14:paraId="4692C77A" w14:textId="28681313" w:rsidR="003C1A93" w:rsidRDefault="003C1A93" w:rsidP="00C50256">
      <w:pPr>
        <w:pStyle w:val="ListParagraph"/>
        <w:numPr>
          <w:ilvl w:val="0"/>
          <w:numId w:val="3"/>
        </w:numPr>
        <w:ind w:left="360"/>
        <w:jc w:val="both"/>
        <w:rPr>
          <w:rFonts w:ascii="Arial" w:hAnsi="Arial" w:cs="Arial"/>
          <w:sz w:val="20"/>
          <w:szCs w:val="20"/>
        </w:rPr>
      </w:pPr>
      <w:r>
        <w:rPr>
          <w:rFonts w:ascii="Arial" w:hAnsi="Arial" w:cs="Arial"/>
          <w:sz w:val="20"/>
          <w:szCs w:val="20"/>
        </w:rPr>
        <w:t xml:space="preserve">In </w:t>
      </w:r>
      <w:r w:rsidRPr="003C1A93">
        <w:rPr>
          <w:rFonts w:ascii="Arial" w:hAnsi="Arial" w:cs="Arial"/>
          <w:i/>
          <w:iCs/>
          <w:sz w:val="20"/>
          <w:szCs w:val="20"/>
        </w:rPr>
        <w:t>State v. Ramos</w:t>
      </w:r>
      <w:r>
        <w:rPr>
          <w:rFonts w:ascii="Arial" w:hAnsi="Arial" w:cs="Arial"/>
          <w:sz w:val="20"/>
          <w:szCs w:val="20"/>
        </w:rPr>
        <w:t>, 172 Idaho 764</w:t>
      </w:r>
      <w:r w:rsidR="00F40FA9">
        <w:rPr>
          <w:rFonts w:ascii="Arial" w:hAnsi="Arial" w:cs="Arial"/>
          <w:sz w:val="20"/>
          <w:szCs w:val="20"/>
        </w:rPr>
        <w:t xml:space="preserve"> (2023)</w:t>
      </w:r>
      <w:r>
        <w:rPr>
          <w:rFonts w:ascii="Arial" w:hAnsi="Arial" w:cs="Arial"/>
          <w:sz w:val="20"/>
          <w:szCs w:val="20"/>
        </w:rPr>
        <w:t xml:space="preserve">, </w:t>
      </w:r>
      <w:r w:rsidR="00533AF5">
        <w:rPr>
          <w:rFonts w:ascii="Arial" w:hAnsi="Arial" w:cs="Arial"/>
          <w:sz w:val="20"/>
          <w:szCs w:val="20"/>
        </w:rPr>
        <w:t xml:space="preserve">the Idaho Supreme Court reiterated and emphasized that </w:t>
      </w:r>
      <w:r w:rsidR="00F56EF7">
        <w:rPr>
          <w:rFonts w:ascii="Arial" w:hAnsi="Arial" w:cs="Arial"/>
          <w:sz w:val="20"/>
          <w:szCs w:val="20"/>
        </w:rPr>
        <w:t>so-called “inventory searches”</w:t>
      </w:r>
      <w:r w:rsidR="008F6389">
        <w:rPr>
          <w:rFonts w:ascii="Arial" w:hAnsi="Arial" w:cs="Arial"/>
          <w:sz w:val="20"/>
          <w:szCs w:val="20"/>
        </w:rPr>
        <w:t>—</w:t>
      </w:r>
      <w:r w:rsidR="00A00428">
        <w:rPr>
          <w:rFonts w:ascii="Arial" w:hAnsi="Arial" w:cs="Arial"/>
          <w:sz w:val="20"/>
          <w:szCs w:val="20"/>
        </w:rPr>
        <w:t>whe</w:t>
      </w:r>
      <w:r w:rsidR="00A830B9">
        <w:rPr>
          <w:rFonts w:ascii="Arial" w:hAnsi="Arial" w:cs="Arial"/>
          <w:sz w:val="20"/>
          <w:szCs w:val="20"/>
        </w:rPr>
        <w:t>re</w:t>
      </w:r>
      <w:r w:rsidR="00A00428">
        <w:rPr>
          <w:rFonts w:ascii="Arial" w:hAnsi="Arial" w:cs="Arial"/>
          <w:sz w:val="20"/>
          <w:szCs w:val="20"/>
        </w:rPr>
        <w:t xml:space="preserve"> police </w:t>
      </w:r>
      <w:r w:rsidR="00533AF5">
        <w:rPr>
          <w:rFonts w:ascii="Arial" w:hAnsi="Arial" w:cs="Arial"/>
          <w:sz w:val="20"/>
          <w:szCs w:val="20"/>
        </w:rPr>
        <w:t>impound</w:t>
      </w:r>
      <w:r w:rsidR="00A00428">
        <w:rPr>
          <w:rFonts w:ascii="Arial" w:hAnsi="Arial" w:cs="Arial"/>
          <w:sz w:val="20"/>
          <w:szCs w:val="20"/>
        </w:rPr>
        <w:t xml:space="preserve"> </w:t>
      </w:r>
      <w:r w:rsidR="00692CD4">
        <w:rPr>
          <w:rFonts w:ascii="Arial" w:hAnsi="Arial" w:cs="Arial"/>
          <w:sz w:val="20"/>
          <w:szCs w:val="20"/>
        </w:rPr>
        <w:t xml:space="preserve">vehicles </w:t>
      </w:r>
      <w:r w:rsidR="00A00428">
        <w:rPr>
          <w:rFonts w:ascii="Arial" w:hAnsi="Arial" w:cs="Arial"/>
          <w:sz w:val="20"/>
          <w:szCs w:val="20"/>
        </w:rPr>
        <w:t xml:space="preserve">as part of </w:t>
      </w:r>
      <w:r w:rsidR="00692CD4">
        <w:rPr>
          <w:rFonts w:ascii="Arial" w:hAnsi="Arial" w:cs="Arial"/>
          <w:sz w:val="20"/>
          <w:szCs w:val="20"/>
        </w:rPr>
        <w:t>their</w:t>
      </w:r>
      <w:r w:rsidR="00A00428">
        <w:rPr>
          <w:rFonts w:ascii="Arial" w:hAnsi="Arial" w:cs="Arial"/>
          <w:sz w:val="20"/>
          <w:szCs w:val="20"/>
        </w:rPr>
        <w:t xml:space="preserve"> community caretaking function and inventor</w:t>
      </w:r>
      <w:r w:rsidR="00692CD4">
        <w:rPr>
          <w:rFonts w:ascii="Arial" w:hAnsi="Arial" w:cs="Arial"/>
          <w:sz w:val="20"/>
          <w:szCs w:val="20"/>
        </w:rPr>
        <w:t xml:space="preserve">y the contents of those vehicles to </w:t>
      </w:r>
      <w:r w:rsidR="008F6389">
        <w:rPr>
          <w:rFonts w:ascii="Arial" w:hAnsi="Arial" w:cs="Arial"/>
          <w:sz w:val="20"/>
          <w:szCs w:val="20"/>
        </w:rPr>
        <w:t xml:space="preserve">protect themselves </w:t>
      </w:r>
      <w:r w:rsidR="002F3855">
        <w:rPr>
          <w:rFonts w:ascii="Arial" w:hAnsi="Arial" w:cs="Arial"/>
          <w:sz w:val="20"/>
          <w:szCs w:val="20"/>
        </w:rPr>
        <w:t xml:space="preserve">from dangerous items </w:t>
      </w:r>
      <w:r w:rsidR="008F6389">
        <w:rPr>
          <w:rFonts w:ascii="Arial" w:hAnsi="Arial" w:cs="Arial"/>
          <w:sz w:val="20"/>
          <w:szCs w:val="20"/>
        </w:rPr>
        <w:t xml:space="preserve">and </w:t>
      </w:r>
      <w:r w:rsidR="00692CD4">
        <w:rPr>
          <w:rFonts w:ascii="Arial" w:hAnsi="Arial" w:cs="Arial"/>
          <w:sz w:val="20"/>
          <w:szCs w:val="20"/>
        </w:rPr>
        <w:t>safeguard the owners</w:t>
      </w:r>
      <w:r w:rsidR="00F56EF7">
        <w:rPr>
          <w:rFonts w:ascii="Arial" w:hAnsi="Arial" w:cs="Arial"/>
          <w:sz w:val="20"/>
          <w:szCs w:val="20"/>
        </w:rPr>
        <w:t>’ property</w:t>
      </w:r>
      <w:r w:rsidR="00F37D1A">
        <w:rPr>
          <w:rFonts w:ascii="Arial" w:hAnsi="Arial" w:cs="Arial"/>
          <w:sz w:val="20"/>
          <w:szCs w:val="20"/>
        </w:rPr>
        <w:t>—are not</w:t>
      </w:r>
      <w:r w:rsidR="00A46515">
        <w:rPr>
          <w:rFonts w:ascii="Arial" w:hAnsi="Arial" w:cs="Arial"/>
          <w:sz w:val="20"/>
          <w:szCs w:val="20"/>
        </w:rPr>
        <w:t xml:space="preserve"> an entitlement to</w:t>
      </w:r>
      <w:r w:rsidR="00F37D1A">
        <w:rPr>
          <w:rFonts w:ascii="Arial" w:hAnsi="Arial" w:cs="Arial"/>
          <w:sz w:val="20"/>
          <w:szCs w:val="20"/>
        </w:rPr>
        <w:t xml:space="preserve"> rummage for evidence of a crime.</w:t>
      </w:r>
      <w:r w:rsidR="00A00428">
        <w:rPr>
          <w:rFonts w:ascii="Arial" w:hAnsi="Arial" w:cs="Arial"/>
          <w:sz w:val="20"/>
          <w:szCs w:val="20"/>
        </w:rPr>
        <w:t xml:space="preserve"> </w:t>
      </w:r>
    </w:p>
    <w:p w14:paraId="6184A192" w14:textId="3018E841" w:rsidR="00C50256" w:rsidRDefault="00C50256" w:rsidP="00C50256">
      <w:pPr>
        <w:pStyle w:val="ListParagraph"/>
        <w:numPr>
          <w:ilvl w:val="0"/>
          <w:numId w:val="3"/>
        </w:numPr>
        <w:ind w:left="360"/>
        <w:jc w:val="both"/>
        <w:rPr>
          <w:rFonts w:ascii="Arial" w:hAnsi="Arial" w:cs="Arial"/>
          <w:sz w:val="20"/>
          <w:szCs w:val="20"/>
        </w:rPr>
      </w:pPr>
      <w:r>
        <w:rPr>
          <w:rFonts w:ascii="Arial" w:hAnsi="Arial" w:cs="Arial"/>
          <w:sz w:val="20"/>
          <w:szCs w:val="20"/>
        </w:rPr>
        <w:t xml:space="preserve">In </w:t>
      </w:r>
      <w:r w:rsidRPr="00665BA9">
        <w:rPr>
          <w:rFonts w:ascii="Arial" w:hAnsi="Arial" w:cs="Arial"/>
          <w:i/>
          <w:iCs/>
          <w:sz w:val="20"/>
          <w:szCs w:val="20"/>
        </w:rPr>
        <w:t>State v. Parsons</w:t>
      </w:r>
      <w:r>
        <w:rPr>
          <w:rFonts w:ascii="Arial" w:hAnsi="Arial" w:cs="Arial"/>
          <w:sz w:val="20"/>
          <w:szCs w:val="20"/>
        </w:rPr>
        <w:t xml:space="preserve">, </w:t>
      </w:r>
      <w:r w:rsidR="00DA4CC1">
        <w:rPr>
          <w:rFonts w:ascii="Arial" w:hAnsi="Arial" w:cs="Arial"/>
          <w:sz w:val="20"/>
          <w:szCs w:val="20"/>
        </w:rPr>
        <w:t xml:space="preserve">173 Idaho 361 </w:t>
      </w:r>
      <w:r w:rsidR="00EB227B">
        <w:rPr>
          <w:rFonts w:ascii="Arial" w:hAnsi="Arial" w:cs="Arial"/>
          <w:sz w:val="20"/>
          <w:szCs w:val="20"/>
        </w:rPr>
        <w:t xml:space="preserve">(2023), the Idaho Supreme Court reaffirmed that </w:t>
      </w:r>
      <w:r w:rsidR="0090029F">
        <w:rPr>
          <w:rFonts w:ascii="Arial" w:hAnsi="Arial" w:cs="Arial"/>
          <w:sz w:val="20"/>
          <w:szCs w:val="20"/>
        </w:rPr>
        <w:t>statements made by a</w:t>
      </w:r>
      <w:r w:rsidR="00665BA9">
        <w:rPr>
          <w:rFonts w:ascii="Arial" w:hAnsi="Arial" w:cs="Arial"/>
          <w:sz w:val="20"/>
          <w:szCs w:val="20"/>
        </w:rPr>
        <w:t xml:space="preserve">n alleged victim </w:t>
      </w:r>
      <w:r w:rsidR="0090029F">
        <w:rPr>
          <w:rFonts w:ascii="Arial" w:hAnsi="Arial" w:cs="Arial"/>
          <w:sz w:val="20"/>
          <w:szCs w:val="20"/>
        </w:rPr>
        <w:t xml:space="preserve">during a forensic examination </w:t>
      </w:r>
      <w:r w:rsidR="00041E2C">
        <w:rPr>
          <w:rFonts w:ascii="Arial" w:hAnsi="Arial" w:cs="Arial"/>
          <w:sz w:val="20"/>
          <w:szCs w:val="20"/>
        </w:rPr>
        <w:t>were “testimonial</w:t>
      </w:r>
      <w:r w:rsidR="003C6047">
        <w:rPr>
          <w:rFonts w:ascii="Arial" w:hAnsi="Arial" w:cs="Arial"/>
          <w:sz w:val="20"/>
          <w:szCs w:val="20"/>
        </w:rPr>
        <w:t>.</w:t>
      </w:r>
      <w:r w:rsidR="00041E2C">
        <w:rPr>
          <w:rFonts w:ascii="Arial" w:hAnsi="Arial" w:cs="Arial"/>
          <w:sz w:val="20"/>
          <w:szCs w:val="20"/>
        </w:rPr>
        <w:t xml:space="preserve">” </w:t>
      </w:r>
      <w:r w:rsidR="003C6047">
        <w:rPr>
          <w:rFonts w:ascii="Arial" w:hAnsi="Arial" w:cs="Arial"/>
          <w:sz w:val="20"/>
          <w:szCs w:val="20"/>
        </w:rPr>
        <w:t>Ther</w:t>
      </w:r>
      <w:r w:rsidR="004F53C2">
        <w:rPr>
          <w:rFonts w:ascii="Arial" w:hAnsi="Arial" w:cs="Arial"/>
          <w:sz w:val="20"/>
          <w:szCs w:val="20"/>
        </w:rPr>
        <w:t>efore</w:t>
      </w:r>
      <w:r w:rsidR="00041E2C">
        <w:rPr>
          <w:rFonts w:ascii="Arial" w:hAnsi="Arial" w:cs="Arial"/>
          <w:sz w:val="20"/>
          <w:szCs w:val="20"/>
        </w:rPr>
        <w:t xml:space="preserve">, </w:t>
      </w:r>
      <w:r w:rsidR="00543303">
        <w:rPr>
          <w:rFonts w:ascii="Arial" w:hAnsi="Arial" w:cs="Arial"/>
          <w:sz w:val="20"/>
          <w:szCs w:val="20"/>
        </w:rPr>
        <w:t xml:space="preserve">under the </w:t>
      </w:r>
      <w:r w:rsidR="00742777">
        <w:rPr>
          <w:rFonts w:ascii="Arial" w:hAnsi="Arial" w:cs="Arial"/>
          <w:sz w:val="20"/>
          <w:szCs w:val="20"/>
        </w:rPr>
        <w:t xml:space="preserve">Sixth Amendment’s </w:t>
      </w:r>
      <w:r w:rsidR="00543303">
        <w:rPr>
          <w:rFonts w:ascii="Arial" w:hAnsi="Arial" w:cs="Arial"/>
          <w:sz w:val="20"/>
          <w:szCs w:val="20"/>
        </w:rPr>
        <w:lastRenderedPageBreak/>
        <w:t xml:space="preserve">Confrontation Clause, </w:t>
      </w:r>
      <w:r w:rsidR="004F53C2">
        <w:rPr>
          <w:rFonts w:ascii="Arial" w:hAnsi="Arial" w:cs="Arial"/>
          <w:sz w:val="20"/>
          <w:szCs w:val="20"/>
        </w:rPr>
        <w:t xml:space="preserve">such out-of-court statements </w:t>
      </w:r>
      <w:r w:rsidR="00041E2C">
        <w:rPr>
          <w:rFonts w:ascii="Arial" w:hAnsi="Arial" w:cs="Arial"/>
          <w:sz w:val="20"/>
          <w:szCs w:val="20"/>
        </w:rPr>
        <w:t xml:space="preserve">could not be admitted against the defendant at trial absent </w:t>
      </w:r>
      <w:r w:rsidR="00543303">
        <w:rPr>
          <w:rFonts w:ascii="Arial" w:hAnsi="Arial" w:cs="Arial"/>
          <w:sz w:val="20"/>
          <w:szCs w:val="20"/>
        </w:rPr>
        <w:t xml:space="preserve">the </w:t>
      </w:r>
      <w:r w:rsidR="00855E41">
        <w:rPr>
          <w:rFonts w:ascii="Arial" w:hAnsi="Arial" w:cs="Arial"/>
          <w:sz w:val="20"/>
          <w:szCs w:val="20"/>
        </w:rPr>
        <w:t>alleged victim</w:t>
      </w:r>
      <w:r w:rsidR="00543303">
        <w:rPr>
          <w:rFonts w:ascii="Arial" w:hAnsi="Arial" w:cs="Arial"/>
          <w:sz w:val="20"/>
          <w:szCs w:val="20"/>
        </w:rPr>
        <w:t xml:space="preserve">’s unavailability to testify and the defendant’s prior opportunity </w:t>
      </w:r>
      <w:r w:rsidR="00742777">
        <w:rPr>
          <w:rFonts w:ascii="Arial" w:hAnsi="Arial" w:cs="Arial"/>
          <w:sz w:val="20"/>
          <w:szCs w:val="20"/>
        </w:rPr>
        <w:t>to cross-examine</w:t>
      </w:r>
      <w:r w:rsidR="004F53C2">
        <w:rPr>
          <w:rFonts w:ascii="Arial" w:hAnsi="Arial" w:cs="Arial"/>
          <w:sz w:val="20"/>
          <w:szCs w:val="20"/>
        </w:rPr>
        <w:t xml:space="preserve"> the alleged victim.</w:t>
      </w:r>
    </w:p>
    <w:p w14:paraId="3D8C371F" w14:textId="77777777" w:rsidR="005E7355" w:rsidRDefault="005E7355" w:rsidP="00D23AE1">
      <w:pPr>
        <w:jc w:val="both"/>
        <w:rPr>
          <w:rFonts w:ascii="Arial" w:hAnsi="Arial" w:cs="Arial"/>
          <w:sz w:val="20"/>
          <w:szCs w:val="20"/>
        </w:rPr>
      </w:pPr>
    </w:p>
    <w:p w14:paraId="2B59C184" w14:textId="55CD6022" w:rsidR="00A1011F" w:rsidRPr="00D23AE1" w:rsidRDefault="001530EE" w:rsidP="00D23AE1">
      <w:pPr>
        <w:jc w:val="both"/>
        <w:rPr>
          <w:rFonts w:ascii="Arial" w:hAnsi="Arial" w:cs="Arial"/>
          <w:sz w:val="20"/>
          <w:szCs w:val="20"/>
        </w:rPr>
      </w:pPr>
      <w:r w:rsidRPr="00A752D8">
        <w:rPr>
          <w:rFonts w:ascii="Arial" w:hAnsi="Arial" w:cs="Arial"/>
          <w:sz w:val="20"/>
          <w:szCs w:val="20"/>
        </w:rPr>
        <w:t xml:space="preserve">The SAPD was also successful </w:t>
      </w:r>
      <w:r w:rsidR="00111AC9" w:rsidRPr="00A752D8">
        <w:rPr>
          <w:rFonts w:ascii="Arial" w:hAnsi="Arial" w:cs="Arial"/>
          <w:sz w:val="20"/>
          <w:szCs w:val="20"/>
        </w:rPr>
        <w:t xml:space="preserve">in a case seeking to </w:t>
      </w:r>
      <w:r w:rsidR="0076040B">
        <w:rPr>
          <w:rFonts w:ascii="Arial" w:hAnsi="Arial" w:cs="Arial"/>
          <w:sz w:val="20"/>
          <w:szCs w:val="20"/>
        </w:rPr>
        <w:t>vindicate</w:t>
      </w:r>
      <w:r w:rsidRPr="00A752D8">
        <w:rPr>
          <w:rFonts w:ascii="Arial" w:hAnsi="Arial" w:cs="Arial"/>
          <w:sz w:val="20"/>
          <w:szCs w:val="20"/>
        </w:rPr>
        <w:t xml:space="preserve"> its own </w:t>
      </w:r>
      <w:r w:rsidR="0076040B">
        <w:rPr>
          <w:rFonts w:ascii="Arial" w:hAnsi="Arial" w:cs="Arial"/>
          <w:sz w:val="20"/>
          <w:szCs w:val="20"/>
        </w:rPr>
        <w:t xml:space="preserve">statutory </w:t>
      </w:r>
      <w:r w:rsidRPr="00A752D8">
        <w:rPr>
          <w:rFonts w:ascii="Arial" w:hAnsi="Arial" w:cs="Arial"/>
          <w:sz w:val="20"/>
          <w:szCs w:val="20"/>
        </w:rPr>
        <w:t xml:space="preserve">authority. </w:t>
      </w:r>
      <w:r w:rsidR="00FA60C7" w:rsidRPr="00A752D8">
        <w:rPr>
          <w:rFonts w:ascii="Arial" w:hAnsi="Arial" w:cs="Arial"/>
          <w:sz w:val="20"/>
          <w:szCs w:val="20"/>
        </w:rPr>
        <w:t xml:space="preserve">In </w:t>
      </w:r>
      <w:r w:rsidR="00FA60C7" w:rsidRPr="00A752D8">
        <w:rPr>
          <w:rFonts w:ascii="Arial" w:hAnsi="Arial" w:cs="Arial"/>
          <w:i/>
          <w:iCs/>
          <w:sz w:val="20"/>
          <w:szCs w:val="20"/>
        </w:rPr>
        <w:t xml:space="preserve">Idaho State Appellate Public Defender v. </w:t>
      </w:r>
      <w:r w:rsidR="0046555F" w:rsidRPr="00A752D8">
        <w:rPr>
          <w:rFonts w:ascii="Arial" w:hAnsi="Arial" w:cs="Arial"/>
          <w:i/>
          <w:iCs/>
          <w:sz w:val="20"/>
          <w:szCs w:val="20"/>
        </w:rPr>
        <w:t>Fourth Judicial District Court</w:t>
      </w:r>
      <w:r w:rsidR="0046555F" w:rsidRPr="00A752D8">
        <w:rPr>
          <w:rFonts w:ascii="Arial" w:hAnsi="Arial" w:cs="Arial"/>
          <w:sz w:val="20"/>
          <w:szCs w:val="20"/>
        </w:rPr>
        <w:t>, 173 Idaho 140 (2023)</w:t>
      </w:r>
      <w:r w:rsidR="002F58D4" w:rsidRPr="00A752D8">
        <w:rPr>
          <w:rFonts w:ascii="Arial" w:hAnsi="Arial" w:cs="Arial"/>
          <w:sz w:val="20"/>
          <w:szCs w:val="20"/>
        </w:rPr>
        <w:t xml:space="preserve">, the Idaho Supreme Court </w:t>
      </w:r>
      <w:r w:rsidR="0023564C" w:rsidRPr="00A752D8">
        <w:rPr>
          <w:rFonts w:ascii="Arial" w:hAnsi="Arial" w:cs="Arial"/>
          <w:sz w:val="20"/>
          <w:szCs w:val="20"/>
        </w:rPr>
        <w:t xml:space="preserve">issued a Writ of Mandamus </w:t>
      </w:r>
      <w:r w:rsidR="004025E3">
        <w:rPr>
          <w:rFonts w:ascii="Arial" w:hAnsi="Arial" w:cs="Arial"/>
          <w:sz w:val="20"/>
          <w:szCs w:val="20"/>
        </w:rPr>
        <w:t xml:space="preserve">clarifying that it is the SAPD’s statutory </w:t>
      </w:r>
      <w:r w:rsidR="0076040B">
        <w:rPr>
          <w:rFonts w:ascii="Arial" w:hAnsi="Arial" w:cs="Arial"/>
          <w:sz w:val="20"/>
          <w:szCs w:val="20"/>
        </w:rPr>
        <w:t xml:space="preserve">duty </w:t>
      </w:r>
      <w:r w:rsidR="00AA7612">
        <w:rPr>
          <w:rFonts w:ascii="Arial" w:hAnsi="Arial" w:cs="Arial"/>
          <w:sz w:val="20"/>
          <w:szCs w:val="20"/>
        </w:rPr>
        <w:t xml:space="preserve">to arrange for outside counsel </w:t>
      </w:r>
      <w:r w:rsidR="0076040B">
        <w:rPr>
          <w:rFonts w:ascii="Arial" w:hAnsi="Arial" w:cs="Arial"/>
          <w:sz w:val="20"/>
          <w:szCs w:val="20"/>
        </w:rPr>
        <w:t xml:space="preserve">for its clients </w:t>
      </w:r>
      <w:r w:rsidR="00AA7612">
        <w:rPr>
          <w:rFonts w:ascii="Arial" w:hAnsi="Arial" w:cs="Arial"/>
          <w:sz w:val="20"/>
          <w:szCs w:val="20"/>
        </w:rPr>
        <w:t xml:space="preserve">when it </w:t>
      </w:r>
      <w:r w:rsidR="00757C62">
        <w:rPr>
          <w:rFonts w:ascii="Arial" w:hAnsi="Arial" w:cs="Arial"/>
          <w:sz w:val="20"/>
          <w:szCs w:val="20"/>
        </w:rPr>
        <w:t xml:space="preserve">identifies </w:t>
      </w:r>
      <w:r w:rsidR="00AA7612">
        <w:rPr>
          <w:rFonts w:ascii="Arial" w:hAnsi="Arial" w:cs="Arial"/>
          <w:sz w:val="20"/>
          <w:szCs w:val="20"/>
        </w:rPr>
        <w:t>conflicts of interest, and ordering</w:t>
      </w:r>
      <w:r w:rsidR="00520189" w:rsidRPr="00A752D8">
        <w:rPr>
          <w:rFonts w:ascii="Arial" w:hAnsi="Arial" w:cs="Arial"/>
          <w:sz w:val="20"/>
          <w:szCs w:val="20"/>
        </w:rPr>
        <w:t xml:space="preserve"> </w:t>
      </w:r>
      <w:r w:rsidR="0023564C" w:rsidRPr="00A752D8">
        <w:rPr>
          <w:rFonts w:ascii="Arial" w:hAnsi="Arial" w:cs="Arial"/>
          <w:sz w:val="20"/>
          <w:szCs w:val="20"/>
        </w:rPr>
        <w:t>a district court</w:t>
      </w:r>
      <w:r w:rsidR="00520189" w:rsidRPr="00A752D8">
        <w:rPr>
          <w:rFonts w:ascii="Arial" w:hAnsi="Arial" w:cs="Arial"/>
          <w:sz w:val="20"/>
          <w:szCs w:val="20"/>
        </w:rPr>
        <w:t xml:space="preserve"> to </w:t>
      </w:r>
      <w:r w:rsidR="00E846F3">
        <w:rPr>
          <w:rFonts w:ascii="Arial" w:hAnsi="Arial" w:cs="Arial"/>
          <w:sz w:val="20"/>
          <w:szCs w:val="20"/>
        </w:rPr>
        <w:t>not</w:t>
      </w:r>
      <w:r w:rsidR="008204F4" w:rsidRPr="00A752D8">
        <w:rPr>
          <w:rFonts w:ascii="Arial" w:hAnsi="Arial" w:cs="Arial"/>
          <w:sz w:val="20"/>
          <w:szCs w:val="20"/>
        </w:rPr>
        <w:t xml:space="preserve"> interfer</w:t>
      </w:r>
      <w:r w:rsidR="00E846F3">
        <w:rPr>
          <w:rFonts w:ascii="Arial" w:hAnsi="Arial" w:cs="Arial"/>
          <w:sz w:val="20"/>
          <w:szCs w:val="20"/>
        </w:rPr>
        <w:t>e</w:t>
      </w:r>
      <w:r w:rsidR="008204F4" w:rsidRPr="00A752D8">
        <w:rPr>
          <w:rFonts w:ascii="Arial" w:hAnsi="Arial" w:cs="Arial"/>
          <w:sz w:val="20"/>
          <w:szCs w:val="20"/>
        </w:rPr>
        <w:t xml:space="preserve"> </w:t>
      </w:r>
      <w:r w:rsidR="00D23AE1" w:rsidRPr="00A752D8">
        <w:rPr>
          <w:rFonts w:ascii="Arial" w:hAnsi="Arial" w:cs="Arial"/>
          <w:sz w:val="20"/>
          <w:szCs w:val="20"/>
        </w:rPr>
        <w:t xml:space="preserve">with </w:t>
      </w:r>
      <w:r w:rsidR="008204F4" w:rsidRPr="00A752D8">
        <w:rPr>
          <w:rFonts w:ascii="Arial" w:hAnsi="Arial" w:cs="Arial"/>
          <w:sz w:val="20"/>
          <w:szCs w:val="20"/>
        </w:rPr>
        <w:t xml:space="preserve">the SAPD’s </w:t>
      </w:r>
      <w:r w:rsidR="00E846F3">
        <w:rPr>
          <w:rFonts w:ascii="Arial" w:hAnsi="Arial" w:cs="Arial"/>
          <w:sz w:val="20"/>
          <w:szCs w:val="20"/>
        </w:rPr>
        <w:t xml:space="preserve">attempts </w:t>
      </w:r>
      <w:r w:rsidR="008204F4" w:rsidRPr="00A752D8">
        <w:rPr>
          <w:rFonts w:ascii="Arial" w:hAnsi="Arial" w:cs="Arial"/>
          <w:sz w:val="20"/>
          <w:szCs w:val="20"/>
        </w:rPr>
        <w:t xml:space="preserve">to arrange for conflict counsel in a </w:t>
      </w:r>
      <w:r w:rsidR="00E846F3">
        <w:rPr>
          <w:rFonts w:ascii="Arial" w:hAnsi="Arial" w:cs="Arial"/>
          <w:sz w:val="20"/>
          <w:szCs w:val="20"/>
        </w:rPr>
        <w:t xml:space="preserve">particular </w:t>
      </w:r>
      <w:r w:rsidR="008204F4" w:rsidRPr="00A752D8">
        <w:rPr>
          <w:rFonts w:ascii="Arial" w:hAnsi="Arial" w:cs="Arial"/>
          <w:sz w:val="20"/>
          <w:szCs w:val="20"/>
        </w:rPr>
        <w:t>capital case</w:t>
      </w:r>
      <w:r w:rsidR="002F7B2C" w:rsidRPr="00A752D8">
        <w:rPr>
          <w:rFonts w:ascii="Arial" w:hAnsi="Arial" w:cs="Arial"/>
          <w:sz w:val="20"/>
          <w:szCs w:val="20"/>
        </w:rPr>
        <w:t>.</w:t>
      </w:r>
    </w:p>
    <w:p w14:paraId="15CB48C9" w14:textId="77777777" w:rsidR="00BB3B89" w:rsidRPr="00434BC9" w:rsidRDefault="00BB3B89" w:rsidP="009E383C">
      <w:pPr>
        <w:rPr>
          <w:rFonts w:ascii="Arial" w:hAnsi="Arial" w:cs="Arial"/>
        </w:rPr>
      </w:pPr>
    </w:p>
    <w:p w14:paraId="36333C83" w14:textId="7EA48942" w:rsidR="008506E3" w:rsidRPr="00434BC9" w:rsidRDefault="008506E3" w:rsidP="005C0F86">
      <w:pPr>
        <w:jc w:val="both"/>
        <w:rPr>
          <w:rFonts w:ascii="Arial" w:hAnsi="Arial" w:cs="Arial"/>
          <w:sz w:val="20"/>
          <w:szCs w:val="20"/>
        </w:rPr>
      </w:pPr>
      <w:r w:rsidRPr="00434BC9">
        <w:rPr>
          <w:rFonts w:ascii="Arial" w:hAnsi="Arial" w:cs="Arial"/>
          <w:sz w:val="20"/>
          <w:szCs w:val="20"/>
        </w:rPr>
        <w:t xml:space="preserve">Finally, the SAPD </w:t>
      </w:r>
      <w:r w:rsidR="00D368CC">
        <w:rPr>
          <w:rFonts w:ascii="Arial" w:hAnsi="Arial" w:cs="Arial"/>
          <w:sz w:val="20"/>
          <w:szCs w:val="20"/>
        </w:rPr>
        <w:t>began</w:t>
      </w:r>
      <w:r w:rsidR="006037F7" w:rsidRPr="00434BC9">
        <w:rPr>
          <w:rFonts w:ascii="Arial" w:hAnsi="Arial" w:cs="Arial"/>
          <w:sz w:val="20"/>
          <w:szCs w:val="20"/>
        </w:rPr>
        <w:t xml:space="preserve"> partner</w:t>
      </w:r>
      <w:r w:rsidR="00E90CF1">
        <w:rPr>
          <w:rFonts w:ascii="Arial" w:hAnsi="Arial" w:cs="Arial"/>
          <w:sz w:val="20"/>
          <w:szCs w:val="20"/>
        </w:rPr>
        <w:t>ing</w:t>
      </w:r>
      <w:r w:rsidR="006037F7" w:rsidRPr="00434BC9">
        <w:rPr>
          <w:rFonts w:ascii="Arial" w:hAnsi="Arial" w:cs="Arial"/>
          <w:sz w:val="20"/>
          <w:szCs w:val="20"/>
        </w:rPr>
        <w:t xml:space="preserve"> with the University of Idaho </w:t>
      </w:r>
      <w:r w:rsidR="000F5200" w:rsidRPr="00434BC9">
        <w:rPr>
          <w:rFonts w:ascii="Arial" w:hAnsi="Arial" w:cs="Arial"/>
          <w:sz w:val="20"/>
          <w:szCs w:val="20"/>
        </w:rPr>
        <w:t>College of Law</w:t>
      </w:r>
      <w:r w:rsidR="00E90CF1">
        <w:rPr>
          <w:rFonts w:ascii="Arial" w:hAnsi="Arial" w:cs="Arial"/>
          <w:sz w:val="20"/>
          <w:szCs w:val="20"/>
        </w:rPr>
        <w:t xml:space="preserve"> </w:t>
      </w:r>
      <w:r w:rsidR="00B72897">
        <w:rPr>
          <w:rFonts w:ascii="Arial" w:hAnsi="Arial" w:cs="Arial"/>
          <w:sz w:val="20"/>
          <w:szCs w:val="20"/>
        </w:rPr>
        <w:t>in the creation of an</w:t>
      </w:r>
      <w:r w:rsidR="00D368CC">
        <w:rPr>
          <w:rFonts w:ascii="Arial" w:hAnsi="Arial" w:cs="Arial"/>
          <w:sz w:val="20"/>
          <w:szCs w:val="20"/>
        </w:rPr>
        <w:t xml:space="preserve"> appellate practice clinic. </w:t>
      </w:r>
      <w:r w:rsidR="00EA2AF0">
        <w:rPr>
          <w:rFonts w:ascii="Arial" w:hAnsi="Arial" w:cs="Arial"/>
          <w:sz w:val="20"/>
          <w:szCs w:val="20"/>
        </w:rPr>
        <w:t xml:space="preserve">Through the clinic, advanced law students work with </w:t>
      </w:r>
      <w:r w:rsidR="00F9668D">
        <w:rPr>
          <w:rFonts w:ascii="Arial" w:hAnsi="Arial" w:cs="Arial"/>
          <w:sz w:val="20"/>
          <w:szCs w:val="20"/>
        </w:rPr>
        <w:t>law school</w:t>
      </w:r>
      <w:r w:rsidR="00B72897">
        <w:rPr>
          <w:rFonts w:ascii="Arial" w:hAnsi="Arial" w:cs="Arial"/>
          <w:sz w:val="20"/>
          <w:szCs w:val="20"/>
        </w:rPr>
        <w:t xml:space="preserve"> faculty</w:t>
      </w:r>
      <w:r w:rsidR="00DE7B2E">
        <w:rPr>
          <w:rFonts w:ascii="Arial" w:hAnsi="Arial" w:cs="Arial"/>
          <w:sz w:val="20"/>
          <w:szCs w:val="20"/>
        </w:rPr>
        <w:t xml:space="preserve"> and SAPD attorneys on a number of SAPD cases</w:t>
      </w:r>
      <w:r w:rsidR="00F22A16">
        <w:rPr>
          <w:rFonts w:ascii="Arial" w:hAnsi="Arial" w:cs="Arial"/>
          <w:sz w:val="20"/>
          <w:szCs w:val="20"/>
        </w:rPr>
        <w:t xml:space="preserve">, </w:t>
      </w:r>
      <w:r w:rsidR="007854F4">
        <w:rPr>
          <w:rFonts w:ascii="Arial" w:hAnsi="Arial" w:cs="Arial"/>
          <w:sz w:val="20"/>
          <w:szCs w:val="20"/>
        </w:rPr>
        <w:t xml:space="preserve">providing </w:t>
      </w:r>
      <w:r w:rsidR="00484AE8">
        <w:rPr>
          <w:rFonts w:ascii="Arial" w:hAnsi="Arial" w:cs="Arial"/>
          <w:sz w:val="20"/>
          <w:szCs w:val="20"/>
        </w:rPr>
        <w:t>assistance</w:t>
      </w:r>
      <w:r w:rsidR="007854F4">
        <w:rPr>
          <w:rFonts w:ascii="Arial" w:hAnsi="Arial" w:cs="Arial"/>
          <w:sz w:val="20"/>
          <w:szCs w:val="20"/>
        </w:rPr>
        <w:t xml:space="preserve"> to the SAPD while gaining practical legal experience</w:t>
      </w:r>
      <w:r w:rsidR="00DE7B2E">
        <w:rPr>
          <w:rFonts w:ascii="Arial" w:hAnsi="Arial" w:cs="Arial"/>
          <w:sz w:val="20"/>
          <w:szCs w:val="20"/>
        </w:rPr>
        <w:t xml:space="preserve">. The SAPD is grateful for the University’s assistance on its cases, </w:t>
      </w:r>
      <w:r w:rsidR="005C0F86">
        <w:rPr>
          <w:rFonts w:ascii="Arial" w:hAnsi="Arial" w:cs="Arial"/>
          <w:sz w:val="20"/>
          <w:szCs w:val="20"/>
        </w:rPr>
        <w:t xml:space="preserve">and proud to be involved in the </w:t>
      </w:r>
      <w:r w:rsidR="00F9668D">
        <w:rPr>
          <w:rFonts w:ascii="Arial" w:hAnsi="Arial" w:cs="Arial"/>
          <w:sz w:val="20"/>
          <w:szCs w:val="20"/>
        </w:rPr>
        <w:t xml:space="preserve">training and </w:t>
      </w:r>
      <w:r w:rsidR="005C0F86">
        <w:rPr>
          <w:rFonts w:ascii="Arial" w:hAnsi="Arial" w:cs="Arial"/>
          <w:sz w:val="20"/>
          <w:szCs w:val="20"/>
        </w:rPr>
        <w:t xml:space="preserve">development of </w:t>
      </w:r>
      <w:r w:rsidR="00F9668D">
        <w:rPr>
          <w:rFonts w:ascii="Arial" w:hAnsi="Arial" w:cs="Arial"/>
          <w:sz w:val="20"/>
          <w:szCs w:val="20"/>
        </w:rPr>
        <w:t>Idaho’s</w:t>
      </w:r>
      <w:r w:rsidR="005C0F86">
        <w:rPr>
          <w:rFonts w:ascii="Arial" w:hAnsi="Arial" w:cs="Arial"/>
          <w:sz w:val="20"/>
          <w:szCs w:val="20"/>
        </w:rPr>
        <w:t xml:space="preserve"> next generation of attorneys.</w:t>
      </w:r>
      <w:r w:rsidR="006037F7" w:rsidRPr="00434BC9">
        <w:rPr>
          <w:rFonts w:ascii="Arial" w:hAnsi="Arial" w:cs="Arial"/>
          <w:sz w:val="20"/>
          <w:szCs w:val="20"/>
        </w:rPr>
        <w:t xml:space="preserve"> </w:t>
      </w:r>
    </w:p>
    <w:p w14:paraId="5AF76BBA" w14:textId="77777777" w:rsidR="005E7355" w:rsidRPr="00434BC9" w:rsidRDefault="005E7355" w:rsidP="009E383C">
      <w:pPr>
        <w:rPr>
          <w:rFonts w:ascii="Arial" w:hAnsi="Arial" w:cs="Arial"/>
        </w:rPr>
      </w:pPr>
    </w:p>
    <w:p w14:paraId="143D6BCD" w14:textId="77777777" w:rsidR="00344B98" w:rsidRDefault="00344B98" w:rsidP="009E383C">
      <w:pPr>
        <w:rPr>
          <w:rFonts w:ascii="Arial" w:hAnsi="Arial" w:cs="Arial"/>
        </w:rPr>
      </w:pPr>
    </w:p>
    <w:p w14:paraId="793D681C" w14:textId="77777777" w:rsidR="00484AE8" w:rsidRPr="00CB3FB5" w:rsidRDefault="00484AE8" w:rsidP="009E383C">
      <w:pPr>
        <w:rPr>
          <w:rFonts w:ascii="Arial" w:hAnsi="Arial" w:cs="Arial"/>
        </w:rPr>
      </w:pPr>
    </w:p>
    <w:p w14:paraId="2D61B0DB" w14:textId="77777777" w:rsidR="00A50901" w:rsidRDefault="00A50901" w:rsidP="001D2A76">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17CA9B7A" w14:textId="77777777" w:rsidR="00F97869" w:rsidRPr="00CB3FB5" w:rsidRDefault="00F97869" w:rsidP="009E383C">
      <w:pPr>
        <w:rPr>
          <w:rFonts w:ascii="Arial" w:hAnsi="Arial"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26"/>
        <w:gridCol w:w="724"/>
        <w:gridCol w:w="1266"/>
        <w:gridCol w:w="1266"/>
        <w:gridCol w:w="1266"/>
        <w:gridCol w:w="1266"/>
        <w:gridCol w:w="1261"/>
      </w:tblGrid>
      <w:tr w:rsidR="00370270" w14:paraId="1925CDCB" w14:textId="77777777" w:rsidTr="000F6BCE">
        <w:trPr>
          <w:cantSplit/>
          <w:tblHeader/>
        </w:trPr>
        <w:tc>
          <w:tcPr>
            <w:tcW w:w="3750" w:type="dxa"/>
            <w:gridSpan w:val="2"/>
            <w:shd w:val="clear" w:color="auto" w:fill="000080"/>
            <w:vAlign w:val="bottom"/>
          </w:tcPr>
          <w:p w14:paraId="52BB4999" w14:textId="77777777" w:rsidR="00370270" w:rsidRDefault="00370270" w:rsidP="00370270">
            <w:pPr>
              <w:jc w:val="center"/>
              <w:rPr>
                <w:rFonts w:ascii="Arial" w:hAnsi="Arial" w:cs="Arial"/>
                <w:b/>
                <w:bCs/>
                <w:color w:val="FFFFFF"/>
                <w:sz w:val="20"/>
              </w:rPr>
            </w:pPr>
            <w:r>
              <w:rPr>
                <w:rFonts w:ascii="Arial" w:hAnsi="Arial" w:cs="Arial"/>
                <w:b/>
                <w:bCs/>
                <w:color w:val="FFFFFF"/>
                <w:sz w:val="20"/>
              </w:rPr>
              <w:t>Performance Measure</w:t>
            </w:r>
          </w:p>
        </w:tc>
        <w:tc>
          <w:tcPr>
            <w:tcW w:w="1266" w:type="dxa"/>
            <w:shd w:val="clear" w:color="auto" w:fill="000080"/>
          </w:tcPr>
          <w:p w14:paraId="760347D9" w14:textId="25AE06BD" w:rsidR="00370270" w:rsidRDefault="00370270" w:rsidP="00370270">
            <w:pPr>
              <w:jc w:val="center"/>
              <w:rPr>
                <w:rFonts w:ascii="Arial" w:hAnsi="Arial" w:cs="Arial"/>
                <w:b/>
                <w:bCs/>
                <w:color w:val="FFFFFF"/>
                <w:sz w:val="20"/>
              </w:rPr>
            </w:pPr>
            <w:r>
              <w:rPr>
                <w:rFonts w:ascii="Arial" w:hAnsi="Arial" w:cs="Arial"/>
                <w:b/>
                <w:bCs/>
                <w:color w:val="FFFFFF"/>
                <w:sz w:val="20"/>
              </w:rPr>
              <w:t>FY 2022</w:t>
            </w:r>
          </w:p>
        </w:tc>
        <w:tc>
          <w:tcPr>
            <w:tcW w:w="1266" w:type="dxa"/>
            <w:shd w:val="clear" w:color="auto" w:fill="000080"/>
          </w:tcPr>
          <w:p w14:paraId="76E844CB" w14:textId="1A2491EF" w:rsidR="00370270" w:rsidRDefault="00370270" w:rsidP="00370270">
            <w:pPr>
              <w:jc w:val="center"/>
              <w:rPr>
                <w:rFonts w:ascii="Arial" w:hAnsi="Arial" w:cs="Arial"/>
                <w:b/>
                <w:bCs/>
                <w:color w:val="FFFFFF"/>
                <w:sz w:val="20"/>
              </w:rPr>
            </w:pPr>
            <w:r>
              <w:rPr>
                <w:rFonts w:ascii="Arial" w:hAnsi="Arial" w:cs="Arial"/>
                <w:b/>
                <w:bCs/>
                <w:color w:val="FFFFFF"/>
                <w:sz w:val="20"/>
              </w:rPr>
              <w:t>FY 2023</w:t>
            </w:r>
          </w:p>
        </w:tc>
        <w:tc>
          <w:tcPr>
            <w:tcW w:w="1266" w:type="dxa"/>
            <w:shd w:val="clear" w:color="auto" w:fill="000080"/>
          </w:tcPr>
          <w:p w14:paraId="47A40E6A" w14:textId="63C58C22" w:rsidR="00370270" w:rsidRDefault="00370270" w:rsidP="00370270">
            <w:pPr>
              <w:jc w:val="center"/>
              <w:rPr>
                <w:rFonts w:ascii="Arial" w:hAnsi="Arial" w:cs="Arial"/>
                <w:b/>
                <w:bCs/>
                <w:color w:val="FFFFFF"/>
                <w:sz w:val="20"/>
              </w:rPr>
            </w:pPr>
            <w:r>
              <w:rPr>
                <w:rFonts w:ascii="Arial" w:hAnsi="Arial" w:cs="Arial"/>
                <w:b/>
                <w:bCs/>
                <w:color w:val="FFFFFF"/>
                <w:sz w:val="20"/>
              </w:rPr>
              <w:t>FY 2024</w:t>
            </w:r>
          </w:p>
        </w:tc>
        <w:tc>
          <w:tcPr>
            <w:tcW w:w="1266" w:type="dxa"/>
            <w:shd w:val="clear" w:color="auto" w:fill="000080"/>
          </w:tcPr>
          <w:p w14:paraId="7BC9DD48" w14:textId="4217E4A1" w:rsidR="00370270" w:rsidRDefault="00370270" w:rsidP="00370270">
            <w:pPr>
              <w:jc w:val="center"/>
              <w:rPr>
                <w:rFonts w:ascii="Arial" w:hAnsi="Arial" w:cs="Arial"/>
                <w:b/>
                <w:bCs/>
                <w:color w:val="FFFFFF"/>
                <w:sz w:val="20"/>
              </w:rPr>
            </w:pPr>
            <w:r>
              <w:rPr>
                <w:rFonts w:ascii="Arial" w:hAnsi="Arial" w:cs="Arial"/>
                <w:b/>
                <w:bCs/>
                <w:color w:val="FFFFFF"/>
                <w:sz w:val="20"/>
              </w:rPr>
              <w:t>FY 2025</w:t>
            </w:r>
          </w:p>
        </w:tc>
        <w:tc>
          <w:tcPr>
            <w:tcW w:w="1261" w:type="dxa"/>
            <w:shd w:val="clear" w:color="auto" w:fill="000080"/>
            <w:vAlign w:val="bottom"/>
          </w:tcPr>
          <w:p w14:paraId="0A3B1F20" w14:textId="2EF61877" w:rsidR="00370270" w:rsidRDefault="00370270" w:rsidP="00370270">
            <w:pPr>
              <w:jc w:val="center"/>
              <w:rPr>
                <w:rFonts w:ascii="Arial" w:hAnsi="Arial" w:cs="Arial"/>
                <w:b/>
                <w:bCs/>
                <w:color w:val="FFFFFF"/>
                <w:sz w:val="20"/>
              </w:rPr>
            </w:pPr>
            <w:r>
              <w:rPr>
                <w:rFonts w:ascii="Arial" w:hAnsi="Arial" w:cs="Arial"/>
                <w:b/>
                <w:bCs/>
                <w:color w:val="FFFFFF"/>
                <w:sz w:val="20"/>
              </w:rPr>
              <w:t>FY 2026</w:t>
            </w:r>
          </w:p>
        </w:tc>
      </w:tr>
      <w:tr w:rsidR="00370270" w14:paraId="097D35BE" w14:textId="77777777" w:rsidTr="003D0E94">
        <w:trPr>
          <w:cantSplit/>
          <w:trHeight w:val="323"/>
        </w:trPr>
        <w:tc>
          <w:tcPr>
            <w:tcW w:w="10075" w:type="dxa"/>
            <w:gridSpan w:val="7"/>
            <w:shd w:val="clear" w:color="auto" w:fill="DBE5F1" w:themeFill="accent1" w:themeFillTint="33"/>
            <w:vAlign w:val="center"/>
          </w:tcPr>
          <w:p w14:paraId="5A549CF1" w14:textId="77777777" w:rsidR="00370270" w:rsidRDefault="00370270" w:rsidP="00370270">
            <w:pPr>
              <w:jc w:val="center"/>
              <w:rPr>
                <w:rFonts w:ascii="Arial" w:hAnsi="Arial" w:cs="Arial"/>
                <w:b/>
              </w:rPr>
            </w:pPr>
            <w:r>
              <w:rPr>
                <w:rFonts w:ascii="Arial" w:hAnsi="Arial" w:cs="Arial"/>
                <w:b/>
                <w:sz w:val="20"/>
              </w:rPr>
              <w:t>Goal 1</w:t>
            </w:r>
          </w:p>
          <w:p w14:paraId="7B15AC3A" w14:textId="77777777" w:rsidR="00370270" w:rsidRPr="00841C41" w:rsidRDefault="00370270" w:rsidP="00370270">
            <w:pPr>
              <w:jc w:val="center"/>
              <w:rPr>
                <w:rFonts w:ascii="Arial" w:hAnsi="Arial" w:cs="Arial"/>
                <w:b/>
              </w:rPr>
            </w:pPr>
            <w:r w:rsidRPr="00E02BB0">
              <w:rPr>
                <w:rFonts w:ascii="Arial" w:hAnsi="Arial" w:cs="Arial"/>
                <w:i/>
                <w:sz w:val="20"/>
              </w:rPr>
              <w:t>Provide Competent, Constitutionally Sufficient Representation to All SAPD Clients</w:t>
            </w:r>
          </w:p>
        </w:tc>
      </w:tr>
      <w:tr w:rsidR="00370270" w14:paraId="7C4EBCAD" w14:textId="77777777" w:rsidTr="003D0E94">
        <w:trPr>
          <w:cantSplit/>
          <w:trHeight w:val="288"/>
        </w:trPr>
        <w:tc>
          <w:tcPr>
            <w:tcW w:w="3026" w:type="dxa"/>
            <w:vMerge w:val="restart"/>
          </w:tcPr>
          <w:p w14:paraId="2383797D" w14:textId="77777777" w:rsidR="00370270" w:rsidRPr="00646DA1" w:rsidRDefault="00370270" w:rsidP="00370270">
            <w:pPr>
              <w:pStyle w:val="ListParagraph"/>
              <w:numPr>
                <w:ilvl w:val="0"/>
                <w:numId w:val="2"/>
              </w:numPr>
              <w:ind w:left="342"/>
              <w:rPr>
                <w:rFonts w:ascii="Arial" w:hAnsi="Arial" w:cs="Arial"/>
                <w:bCs/>
                <w:sz w:val="20"/>
              </w:rPr>
            </w:pPr>
            <w:r>
              <w:rPr>
                <w:rFonts w:ascii="Arial" w:hAnsi="Arial" w:cs="Arial"/>
                <w:sz w:val="20"/>
                <w:szCs w:val="20"/>
              </w:rPr>
              <w:t>N</w:t>
            </w:r>
            <w:r w:rsidRPr="003F4081">
              <w:rPr>
                <w:rFonts w:ascii="Arial" w:hAnsi="Arial" w:cs="Arial"/>
                <w:sz w:val="20"/>
                <w:szCs w:val="20"/>
              </w:rPr>
              <w:t xml:space="preserve">o </w:t>
            </w:r>
            <w:r>
              <w:rPr>
                <w:rFonts w:ascii="Arial" w:hAnsi="Arial" w:cs="Arial"/>
                <w:sz w:val="20"/>
                <w:szCs w:val="20"/>
              </w:rPr>
              <w:t xml:space="preserve">affirmed </w:t>
            </w:r>
            <w:r w:rsidRPr="003F4081">
              <w:rPr>
                <w:rFonts w:ascii="Arial" w:hAnsi="Arial" w:cs="Arial"/>
                <w:sz w:val="20"/>
                <w:szCs w:val="20"/>
              </w:rPr>
              <w:t>rep</w:t>
            </w:r>
            <w:r>
              <w:rPr>
                <w:rFonts w:ascii="Arial" w:hAnsi="Arial" w:cs="Arial"/>
                <w:sz w:val="20"/>
                <w:szCs w:val="20"/>
              </w:rPr>
              <w:t>rimands from the Office of Bar C</w:t>
            </w:r>
            <w:r w:rsidRPr="003F4081">
              <w:rPr>
                <w:rFonts w:ascii="Arial" w:hAnsi="Arial" w:cs="Arial"/>
                <w:sz w:val="20"/>
                <w:szCs w:val="20"/>
              </w:rPr>
              <w:t>ounsel or the Idaho Supreme Court.</w:t>
            </w:r>
          </w:p>
        </w:tc>
        <w:tc>
          <w:tcPr>
            <w:tcW w:w="724" w:type="dxa"/>
            <w:shd w:val="clear" w:color="auto" w:fill="D9D9D9" w:themeFill="background1" w:themeFillShade="D9"/>
            <w:vAlign w:val="center"/>
          </w:tcPr>
          <w:p w14:paraId="05D8847C" w14:textId="77777777" w:rsidR="00370270" w:rsidRPr="00E51672" w:rsidRDefault="00370270" w:rsidP="00370270">
            <w:pPr>
              <w:jc w:val="center"/>
              <w:rPr>
                <w:rFonts w:ascii="Arial" w:hAnsi="Arial" w:cs="Arial"/>
                <w:sz w:val="20"/>
              </w:rPr>
            </w:pPr>
            <w:r w:rsidRPr="00E51672">
              <w:rPr>
                <w:rFonts w:ascii="Arial" w:hAnsi="Arial" w:cs="Arial"/>
                <w:sz w:val="20"/>
              </w:rPr>
              <w:t>actual</w:t>
            </w:r>
          </w:p>
        </w:tc>
        <w:tc>
          <w:tcPr>
            <w:tcW w:w="1266" w:type="dxa"/>
            <w:shd w:val="clear" w:color="auto" w:fill="D9D9D9" w:themeFill="background1" w:themeFillShade="D9"/>
            <w:vAlign w:val="center"/>
          </w:tcPr>
          <w:p w14:paraId="5E5F34E1" w14:textId="7941772F" w:rsidR="00370270" w:rsidRPr="0078607D" w:rsidRDefault="00370270" w:rsidP="00370270">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057C7F8C" w14:textId="0BB35D65" w:rsidR="00370270" w:rsidRPr="0078607D" w:rsidRDefault="00370270" w:rsidP="00370270">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1435CF3D" w14:textId="44CD9E52" w:rsidR="00370270" w:rsidRPr="00E51672" w:rsidRDefault="00370270" w:rsidP="00370270">
            <w:pPr>
              <w:jc w:val="center"/>
              <w:rPr>
                <w:rFonts w:ascii="Arial" w:hAnsi="Arial" w:cs="Arial"/>
                <w:sz w:val="20"/>
              </w:rPr>
            </w:pPr>
            <w:r>
              <w:rPr>
                <w:rFonts w:ascii="Arial" w:hAnsi="Arial" w:cs="Arial"/>
                <w:sz w:val="20"/>
              </w:rPr>
              <w:t>0</w:t>
            </w:r>
          </w:p>
        </w:tc>
        <w:tc>
          <w:tcPr>
            <w:tcW w:w="1266" w:type="dxa"/>
            <w:shd w:val="clear" w:color="auto" w:fill="D9D9D9" w:themeFill="background1" w:themeFillShade="D9"/>
            <w:vAlign w:val="center"/>
          </w:tcPr>
          <w:p w14:paraId="6F5C2588" w14:textId="5E3EFD4C" w:rsidR="00370270" w:rsidRPr="00E51672" w:rsidRDefault="00370270" w:rsidP="00370270">
            <w:pPr>
              <w:jc w:val="center"/>
              <w:rPr>
                <w:rFonts w:ascii="Arial" w:hAnsi="Arial" w:cs="Arial"/>
                <w:sz w:val="20"/>
              </w:rPr>
            </w:pPr>
            <w:r>
              <w:rPr>
                <w:rFonts w:ascii="Arial" w:hAnsi="Arial" w:cs="Arial"/>
                <w:sz w:val="20"/>
              </w:rPr>
              <w:t>0</w:t>
            </w:r>
          </w:p>
        </w:tc>
        <w:tc>
          <w:tcPr>
            <w:tcW w:w="1261" w:type="dxa"/>
            <w:shd w:val="clear" w:color="auto" w:fill="D9D9D9" w:themeFill="background1" w:themeFillShade="D9"/>
            <w:vAlign w:val="center"/>
          </w:tcPr>
          <w:p w14:paraId="3D18D276" w14:textId="17D69A50" w:rsidR="00370270" w:rsidRPr="00E51672" w:rsidRDefault="00370270" w:rsidP="00370270">
            <w:pPr>
              <w:jc w:val="center"/>
              <w:rPr>
                <w:rFonts w:ascii="Arial" w:hAnsi="Arial" w:cs="Arial"/>
                <w:sz w:val="20"/>
              </w:rPr>
            </w:pPr>
          </w:p>
        </w:tc>
      </w:tr>
      <w:tr w:rsidR="00370270" w14:paraId="17095A9B" w14:textId="77777777" w:rsidTr="003D0E94">
        <w:trPr>
          <w:cantSplit/>
          <w:trHeight w:val="288"/>
        </w:trPr>
        <w:tc>
          <w:tcPr>
            <w:tcW w:w="3026" w:type="dxa"/>
            <w:vMerge/>
          </w:tcPr>
          <w:p w14:paraId="73A92172"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3A750222" w14:textId="77777777" w:rsidR="00370270" w:rsidRPr="00E51672" w:rsidRDefault="00370270" w:rsidP="00370270">
            <w:pPr>
              <w:jc w:val="center"/>
              <w:rPr>
                <w:rFonts w:ascii="Arial" w:hAnsi="Arial" w:cs="Arial"/>
                <w:i/>
                <w:sz w:val="16"/>
                <w:szCs w:val="16"/>
              </w:rPr>
            </w:pPr>
            <w:r>
              <w:rPr>
                <w:rFonts w:ascii="Arial" w:hAnsi="Arial" w:cs="Arial"/>
                <w:i/>
                <w:sz w:val="16"/>
                <w:szCs w:val="16"/>
              </w:rPr>
              <w:t>target</w:t>
            </w:r>
          </w:p>
        </w:tc>
        <w:tc>
          <w:tcPr>
            <w:tcW w:w="1266" w:type="dxa"/>
            <w:shd w:val="clear" w:color="auto" w:fill="FFFFFF" w:themeFill="background1"/>
            <w:vAlign w:val="center"/>
          </w:tcPr>
          <w:p w14:paraId="35DFA599" w14:textId="7DFFE999" w:rsidR="00370270" w:rsidRPr="00E51672" w:rsidRDefault="00370270" w:rsidP="00370270">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5FE0B0DA" w14:textId="5DB17B5E" w:rsidR="00370270" w:rsidRPr="00E51672" w:rsidRDefault="00370270" w:rsidP="00370270">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49ED85F8" w14:textId="7CD6B337" w:rsidR="00370270" w:rsidRPr="00E51672" w:rsidRDefault="00370270" w:rsidP="00370270">
            <w:pPr>
              <w:jc w:val="center"/>
              <w:rPr>
                <w:rFonts w:ascii="Arial" w:hAnsi="Arial" w:cs="Arial"/>
                <w:i/>
                <w:sz w:val="16"/>
                <w:szCs w:val="16"/>
              </w:rPr>
            </w:pPr>
            <w:r>
              <w:rPr>
                <w:rFonts w:ascii="Arial" w:hAnsi="Arial" w:cs="Arial"/>
                <w:i/>
                <w:sz w:val="16"/>
                <w:szCs w:val="16"/>
              </w:rPr>
              <w:t>No Affirmed Reprimands</w:t>
            </w:r>
          </w:p>
        </w:tc>
        <w:tc>
          <w:tcPr>
            <w:tcW w:w="1266" w:type="dxa"/>
            <w:shd w:val="clear" w:color="auto" w:fill="FFFFFF" w:themeFill="background1"/>
            <w:vAlign w:val="center"/>
          </w:tcPr>
          <w:p w14:paraId="38394EB7" w14:textId="53A63EAA" w:rsidR="00370270" w:rsidRPr="00E51672" w:rsidRDefault="00370270" w:rsidP="00370270">
            <w:pPr>
              <w:jc w:val="center"/>
              <w:rPr>
                <w:rFonts w:ascii="Arial" w:hAnsi="Arial" w:cs="Arial"/>
                <w:i/>
                <w:sz w:val="16"/>
                <w:szCs w:val="16"/>
              </w:rPr>
            </w:pPr>
            <w:r>
              <w:rPr>
                <w:rFonts w:ascii="Arial" w:hAnsi="Arial" w:cs="Arial"/>
                <w:i/>
                <w:sz w:val="16"/>
                <w:szCs w:val="16"/>
              </w:rPr>
              <w:t>No Affirmed Reprimands</w:t>
            </w:r>
          </w:p>
        </w:tc>
        <w:tc>
          <w:tcPr>
            <w:tcW w:w="1261" w:type="dxa"/>
            <w:shd w:val="clear" w:color="auto" w:fill="FFFFFF" w:themeFill="background1"/>
            <w:vAlign w:val="center"/>
          </w:tcPr>
          <w:p w14:paraId="098D913C" w14:textId="55977914" w:rsidR="00370270" w:rsidRPr="00E51672" w:rsidRDefault="00370270" w:rsidP="00370270">
            <w:pPr>
              <w:jc w:val="center"/>
              <w:rPr>
                <w:rFonts w:ascii="Arial" w:hAnsi="Arial" w:cs="Arial"/>
                <w:i/>
                <w:sz w:val="16"/>
                <w:szCs w:val="16"/>
              </w:rPr>
            </w:pPr>
          </w:p>
        </w:tc>
      </w:tr>
      <w:tr w:rsidR="00370270" w14:paraId="613BB3D1" w14:textId="77777777" w:rsidTr="003D0E94">
        <w:trPr>
          <w:cantSplit/>
          <w:trHeight w:val="288"/>
        </w:trPr>
        <w:tc>
          <w:tcPr>
            <w:tcW w:w="3026" w:type="dxa"/>
            <w:vMerge w:val="restart"/>
          </w:tcPr>
          <w:p w14:paraId="5CE59B70" w14:textId="77777777" w:rsidR="00370270" w:rsidRPr="00646DA1" w:rsidRDefault="00370270" w:rsidP="00370270">
            <w:pPr>
              <w:pStyle w:val="ListParagraph"/>
              <w:numPr>
                <w:ilvl w:val="0"/>
                <w:numId w:val="2"/>
              </w:numPr>
              <w:ind w:left="342"/>
              <w:rPr>
                <w:rFonts w:ascii="Arial" w:hAnsi="Arial" w:cs="Arial"/>
                <w:bCs/>
                <w:sz w:val="20"/>
              </w:rPr>
            </w:pPr>
            <w:r>
              <w:rPr>
                <w:rFonts w:ascii="Arial" w:hAnsi="Arial" w:cs="Arial"/>
                <w:sz w:val="20"/>
                <w:szCs w:val="20"/>
              </w:rPr>
              <w:t>N</w:t>
            </w:r>
            <w:r w:rsidRPr="003F4081">
              <w:rPr>
                <w:rFonts w:ascii="Arial" w:hAnsi="Arial" w:cs="Arial"/>
                <w:sz w:val="20"/>
                <w:szCs w:val="20"/>
              </w:rPr>
              <w:t xml:space="preserve">o affirmed findings of ineffective assistance of counsel against an </w:t>
            </w:r>
            <w:r>
              <w:rPr>
                <w:rFonts w:ascii="Arial" w:hAnsi="Arial" w:cs="Arial"/>
                <w:sz w:val="20"/>
                <w:szCs w:val="20"/>
              </w:rPr>
              <w:t xml:space="preserve">SAPD </w:t>
            </w:r>
            <w:r w:rsidRPr="003F4081">
              <w:rPr>
                <w:rFonts w:ascii="Arial" w:hAnsi="Arial" w:cs="Arial"/>
                <w:sz w:val="20"/>
                <w:szCs w:val="20"/>
              </w:rPr>
              <w:t>attorney</w:t>
            </w:r>
            <w:r>
              <w:rPr>
                <w:rFonts w:ascii="Arial" w:hAnsi="Arial" w:cs="Arial"/>
                <w:sz w:val="20"/>
                <w:szCs w:val="20"/>
              </w:rPr>
              <w:t>.</w:t>
            </w:r>
          </w:p>
        </w:tc>
        <w:tc>
          <w:tcPr>
            <w:tcW w:w="724" w:type="dxa"/>
            <w:shd w:val="clear" w:color="auto" w:fill="D9D9D9" w:themeFill="background1" w:themeFillShade="D9"/>
            <w:vAlign w:val="center"/>
          </w:tcPr>
          <w:p w14:paraId="6F88FB31" w14:textId="77777777" w:rsidR="00370270" w:rsidRPr="00E51672" w:rsidRDefault="00370270" w:rsidP="00370270">
            <w:pPr>
              <w:jc w:val="center"/>
              <w:rPr>
                <w:rFonts w:ascii="Arial" w:hAnsi="Arial" w:cs="Arial"/>
                <w:sz w:val="20"/>
              </w:rPr>
            </w:pPr>
            <w:r w:rsidRPr="00E51672">
              <w:rPr>
                <w:rFonts w:ascii="Arial" w:hAnsi="Arial" w:cs="Arial"/>
                <w:sz w:val="20"/>
              </w:rPr>
              <w:t>actual</w:t>
            </w:r>
          </w:p>
        </w:tc>
        <w:tc>
          <w:tcPr>
            <w:tcW w:w="1266" w:type="dxa"/>
            <w:shd w:val="clear" w:color="auto" w:fill="D9D9D9" w:themeFill="background1" w:themeFillShade="D9"/>
            <w:vAlign w:val="center"/>
          </w:tcPr>
          <w:p w14:paraId="75196907" w14:textId="5397954A" w:rsidR="00370270" w:rsidRPr="0078607D" w:rsidRDefault="00370270" w:rsidP="00370270">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6ADF36D7" w14:textId="79470BE0" w:rsidR="00370270" w:rsidRPr="0078607D" w:rsidRDefault="00370270" w:rsidP="00370270">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1047B558" w14:textId="359F81F8" w:rsidR="00370270" w:rsidRPr="00E51672" w:rsidRDefault="00370270" w:rsidP="00370270">
            <w:pPr>
              <w:jc w:val="center"/>
              <w:rPr>
                <w:rFonts w:ascii="Arial" w:hAnsi="Arial" w:cs="Arial"/>
                <w:sz w:val="20"/>
              </w:rPr>
            </w:pPr>
            <w:r>
              <w:rPr>
                <w:rFonts w:ascii="Arial" w:hAnsi="Arial" w:cs="Arial"/>
                <w:sz w:val="20"/>
              </w:rPr>
              <w:t>0</w:t>
            </w:r>
          </w:p>
        </w:tc>
        <w:tc>
          <w:tcPr>
            <w:tcW w:w="1266" w:type="dxa"/>
            <w:shd w:val="clear" w:color="auto" w:fill="D9D9D9" w:themeFill="background1" w:themeFillShade="D9"/>
            <w:vAlign w:val="center"/>
          </w:tcPr>
          <w:p w14:paraId="2A049F5A" w14:textId="0C6674D7" w:rsidR="00370270" w:rsidRPr="00E51672" w:rsidRDefault="00370270" w:rsidP="00370270">
            <w:pPr>
              <w:jc w:val="center"/>
              <w:rPr>
                <w:rFonts w:ascii="Arial" w:hAnsi="Arial" w:cs="Arial"/>
                <w:sz w:val="20"/>
              </w:rPr>
            </w:pPr>
          </w:p>
        </w:tc>
        <w:tc>
          <w:tcPr>
            <w:tcW w:w="1261" w:type="dxa"/>
            <w:shd w:val="clear" w:color="auto" w:fill="D9D9D9" w:themeFill="background1" w:themeFillShade="D9"/>
            <w:vAlign w:val="center"/>
          </w:tcPr>
          <w:p w14:paraId="0E6203E2" w14:textId="0C9D0E0F" w:rsidR="00370270" w:rsidRPr="00E51672" w:rsidRDefault="00370270" w:rsidP="00370270">
            <w:pPr>
              <w:jc w:val="center"/>
              <w:rPr>
                <w:rFonts w:ascii="Arial" w:hAnsi="Arial" w:cs="Arial"/>
                <w:sz w:val="20"/>
              </w:rPr>
            </w:pPr>
          </w:p>
        </w:tc>
      </w:tr>
      <w:tr w:rsidR="00370270" w14:paraId="72F2D63C" w14:textId="77777777" w:rsidTr="003D0E94">
        <w:trPr>
          <w:cantSplit/>
          <w:trHeight w:val="288"/>
        </w:trPr>
        <w:tc>
          <w:tcPr>
            <w:tcW w:w="3026" w:type="dxa"/>
            <w:vMerge/>
          </w:tcPr>
          <w:p w14:paraId="4A6E340A"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00CF38AE" w14:textId="77777777" w:rsidR="00370270" w:rsidRPr="00E51672" w:rsidRDefault="00370270" w:rsidP="00370270">
            <w:pPr>
              <w:jc w:val="center"/>
              <w:rPr>
                <w:rFonts w:ascii="Arial" w:hAnsi="Arial" w:cs="Arial"/>
                <w:i/>
                <w:sz w:val="20"/>
              </w:rPr>
            </w:pPr>
            <w:r>
              <w:rPr>
                <w:rFonts w:ascii="Arial" w:hAnsi="Arial" w:cs="Arial"/>
                <w:i/>
                <w:sz w:val="16"/>
                <w:szCs w:val="16"/>
              </w:rPr>
              <w:t>target</w:t>
            </w:r>
          </w:p>
        </w:tc>
        <w:tc>
          <w:tcPr>
            <w:tcW w:w="1266" w:type="dxa"/>
            <w:shd w:val="clear" w:color="auto" w:fill="FFFFFF" w:themeFill="background1"/>
            <w:vAlign w:val="center"/>
          </w:tcPr>
          <w:p w14:paraId="28BE24E8" w14:textId="00A3AC67" w:rsidR="00370270" w:rsidRPr="00E51672" w:rsidRDefault="00370270" w:rsidP="00370270">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219AACE1" w14:textId="221996F4" w:rsidR="00370270" w:rsidRPr="00E51672" w:rsidRDefault="00370270" w:rsidP="00370270">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45E6F57D" w14:textId="4AC0D693" w:rsidR="00370270" w:rsidRPr="00E51672" w:rsidRDefault="00370270" w:rsidP="00370270">
            <w:pPr>
              <w:jc w:val="center"/>
              <w:rPr>
                <w:rFonts w:ascii="Arial" w:hAnsi="Arial" w:cs="Arial"/>
                <w:i/>
                <w:sz w:val="16"/>
                <w:szCs w:val="16"/>
              </w:rPr>
            </w:pPr>
            <w:r>
              <w:rPr>
                <w:rFonts w:ascii="Arial" w:hAnsi="Arial" w:cs="Arial"/>
                <w:i/>
                <w:sz w:val="16"/>
                <w:szCs w:val="16"/>
              </w:rPr>
              <w:t>No Affirmed Findings</w:t>
            </w:r>
          </w:p>
        </w:tc>
        <w:tc>
          <w:tcPr>
            <w:tcW w:w="1266" w:type="dxa"/>
            <w:shd w:val="clear" w:color="auto" w:fill="FFFFFF" w:themeFill="background1"/>
            <w:vAlign w:val="center"/>
          </w:tcPr>
          <w:p w14:paraId="48649204" w14:textId="62F492C4" w:rsidR="00370270" w:rsidRPr="00E51672" w:rsidRDefault="00370270" w:rsidP="00370270">
            <w:pPr>
              <w:jc w:val="center"/>
              <w:rPr>
                <w:rFonts w:ascii="Arial" w:hAnsi="Arial" w:cs="Arial"/>
                <w:i/>
                <w:sz w:val="16"/>
                <w:szCs w:val="16"/>
              </w:rPr>
            </w:pPr>
            <w:r>
              <w:rPr>
                <w:rFonts w:ascii="Arial" w:hAnsi="Arial" w:cs="Arial"/>
                <w:i/>
                <w:sz w:val="16"/>
                <w:szCs w:val="16"/>
              </w:rPr>
              <w:t>No Affirmed Findings</w:t>
            </w:r>
          </w:p>
        </w:tc>
        <w:tc>
          <w:tcPr>
            <w:tcW w:w="1261" w:type="dxa"/>
            <w:shd w:val="clear" w:color="auto" w:fill="FFFFFF" w:themeFill="background1"/>
            <w:vAlign w:val="center"/>
          </w:tcPr>
          <w:p w14:paraId="55427E44" w14:textId="480D48AA" w:rsidR="00370270" w:rsidRPr="00E51672" w:rsidRDefault="00370270" w:rsidP="00370270">
            <w:pPr>
              <w:jc w:val="center"/>
              <w:rPr>
                <w:rFonts w:ascii="Arial" w:hAnsi="Arial" w:cs="Arial"/>
                <w:i/>
                <w:sz w:val="16"/>
                <w:szCs w:val="16"/>
              </w:rPr>
            </w:pPr>
          </w:p>
        </w:tc>
      </w:tr>
      <w:tr w:rsidR="00370270" w14:paraId="1FC5ECCA" w14:textId="77777777" w:rsidTr="003D0E94">
        <w:trPr>
          <w:cantSplit/>
          <w:trHeight w:val="305"/>
        </w:trPr>
        <w:tc>
          <w:tcPr>
            <w:tcW w:w="3026" w:type="dxa"/>
            <w:vMerge w:val="restart"/>
          </w:tcPr>
          <w:p w14:paraId="6911AC56" w14:textId="77777777" w:rsidR="00370270" w:rsidRPr="00646DA1" w:rsidRDefault="00370270" w:rsidP="00370270">
            <w:pPr>
              <w:pStyle w:val="ListParagraph"/>
              <w:numPr>
                <w:ilvl w:val="0"/>
                <w:numId w:val="2"/>
              </w:numPr>
              <w:ind w:left="342"/>
              <w:rPr>
                <w:rFonts w:ascii="Arial" w:hAnsi="Arial" w:cs="Arial"/>
                <w:bCs/>
                <w:sz w:val="20"/>
              </w:rPr>
            </w:pPr>
            <w:r>
              <w:rPr>
                <w:rFonts w:ascii="Arial" w:hAnsi="Arial" w:cs="Arial"/>
                <w:sz w:val="20"/>
                <w:szCs w:val="20"/>
              </w:rPr>
              <w:t>C</w:t>
            </w:r>
            <w:r w:rsidRPr="003F4081">
              <w:rPr>
                <w:rFonts w:ascii="Arial" w:hAnsi="Arial" w:cs="Arial"/>
                <w:sz w:val="20"/>
                <w:szCs w:val="20"/>
              </w:rPr>
              <w:t>ontinuing legal education credits for renewal of license</w:t>
            </w:r>
            <w:r>
              <w:rPr>
                <w:rFonts w:ascii="Arial" w:hAnsi="Arial" w:cs="Arial"/>
                <w:sz w:val="20"/>
                <w:szCs w:val="20"/>
              </w:rPr>
              <w:t>s</w:t>
            </w:r>
            <w:r w:rsidRPr="003F4081">
              <w:rPr>
                <w:rFonts w:ascii="Arial" w:hAnsi="Arial" w:cs="Arial"/>
                <w:sz w:val="20"/>
                <w:szCs w:val="20"/>
              </w:rPr>
              <w:t xml:space="preserve"> to practice law.</w:t>
            </w:r>
          </w:p>
        </w:tc>
        <w:tc>
          <w:tcPr>
            <w:tcW w:w="724" w:type="dxa"/>
            <w:shd w:val="clear" w:color="auto" w:fill="D9D9D9" w:themeFill="background1" w:themeFillShade="D9"/>
            <w:vAlign w:val="center"/>
          </w:tcPr>
          <w:p w14:paraId="660D58D9" w14:textId="77777777" w:rsidR="00370270" w:rsidRPr="001D59BE" w:rsidRDefault="00370270" w:rsidP="00370270">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29167578" w14:textId="6DEDEBB1"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5DA54100" w14:textId="5B77D2FF"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27BB96FC" w14:textId="1EE6577B" w:rsidR="00370270" w:rsidRPr="001D59BE" w:rsidRDefault="00370270" w:rsidP="00370270">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629C104B" w14:textId="697FF344" w:rsidR="00370270" w:rsidRPr="001D59BE" w:rsidRDefault="00370270" w:rsidP="00370270">
            <w:pPr>
              <w:jc w:val="center"/>
              <w:rPr>
                <w:rFonts w:ascii="Arial" w:hAnsi="Arial" w:cs="Arial"/>
                <w:sz w:val="20"/>
              </w:rPr>
            </w:pPr>
          </w:p>
        </w:tc>
        <w:tc>
          <w:tcPr>
            <w:tcW w:w="1261" w:type="dxa"/>
            <w:shd w:val="clear" w:color="auto" w:fill="D9D9D9" w:themeFill="background1" w:themeFillShade="D9"/>
            <w:vAlign w:val="center"/>
          </w:tcPr>
          <w:p w14:paraId="182A09C8" w14:textId="0EE1A79A" w:rsidR="00370270" w:rsidRPr="001D59BE" w:rsidRDefault="00370270" w:rsidP="00370270">
            <w:pPr>
              <w:jc w:val="center"/>
              <w:rPr>
                <w:rFonts w:ascii="Arial" w:hAnsi="Arial" w:cs="Arial"/>
                <w:sz w:val="20"/>
              </w:rPr>
            </w:pPr>
          </w:p>
        </w:tc>
      </w:tr>
      <w:tr w:rsidR="00370270" w14:paraId="4F4638C8" w14:textId="77777777" w:rsidTr="003D0E94">
        <w:trPr>
          <w:cantSplit/>
          <w:trHeight w:val="288"/>
        </w:trPr>
        <w:tc>
          <w:tcPr>
            <w:tcW w:w="3026" w:type="dxa"/>
            <w:vMerge/>
          </w:tcPr>
          <w:p w14:paraId="0719BE87"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01AEFCEA" w14:textId="77777777" w:rsidR="00370270" w:rsidRPr="00E51672" w:rsidRDefault="00370270" w:rsidP="00370270">
            <w:pPr>
              <w:jc w:val="center"/>
              <w:rPr>
                <w:rFonts w:ascii="Arial" w:hAnsi="Arial" w:cs="Arial"/>
                <w:i/>
                <w:sz w:val="16"/>
                <w:szCs w:val="16"/>
              </w:rPr>
            </w:pPr>
            <w:r>
              <w:rPr>
                <w:rFonts w:ascii="Arial" w:hAnsi="Arial" w:cs="Arial"/>
                <w:i/>
                <w:sz w:val="16"/>
                <w:szCs w:val="16"/>
              </w:rPr>
              <w:t>target</w:t>
            </w:r>
          </w:p>
        </w:tc>
        <w:tc>
          <w:tcPr>
            <w:tcW w:w="1266" w:type="dxa"/>
            <w:shd w:val="clear" w:color="auto" w:fill="FFFFFF" w:themeFill="background1"/>
            <w:vAlign w:val="center"/>
          </w:tcPr>
          <w:p w14:paraId="31295581" w14:textId="51831D09" w:rsidR="00370270" w:rsidRPr="00E51672" w:rsidRDefault="00370270" w:rsidP="00370270">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19C20E0F" w14:textId="2DFDC7E0" w:rsidR="00370270" w:rsidRPr="00E51672" w:rsidRDefault="00370270" w:rsidP="00370270">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44A217E9" w14:textId="7BE99B89" w:rsidR="00370270" w:rsidRPr="00E51672" w:rsidRDefault="00370270" w:rsidP="00370270">
            <w:pPr>
              <w:jc w:val="center"/>
              <w:rPr>
                <w:rFonts w:ascii="Arial" w:hAnsi="Arial" w:cs="Arial"/>
                <w:i/>
                <w:sz w:val="16"/>
                <w:szCs w:val="16"/>
              </w:rPr>
            </w:pPr>
            <w:r>
              <w:rPr>
                <w:rFonts w:ascii="Arial" w:hAnsi="Arial" w:cs="Arial"/>
                <w:i/>
                <w:sz w:val="16"/>
                <w:szCs w:val="16"/>
              </w:rPr>
              <w:t>100% License Renewal</w:t>
            </w:r>
          </w:p>
        </w:tc>
        <w:tc>
          <w:tcPr>
            <w:tcW w:w="1266" w:type="dxa"/>
            <w:shd w:val="clear" w:color="auto" w:fill="FFFFFF" w:themeFill="background1"/>
            <w:vAlign w:val="center"/>
          </w:tcPr>
          <w:p w14:paraId="197C23E8" w14:textId="4C00DBB1" w:rsidR="00370270" w:rsidRPr="00E51672" w:rsidRDefault="00370270" w:rsidP="00370270">
            <w:pPr>
              <w:jc w:val="center"/>
              <w:rPr>
                <w:rFonts w:ascii="Arial" w:hAnsi="Arial" w:cs="Arial"/>
                <w:i/>
                <w:sz w:val="16"/>
                <w:szCs w:val="16"/>
              </w:rPr>
            </w:pPr>
            <w:r>
              <w:rPr>
                <w:rFonts w:ascii="Arial" w:hAnsi="Arial" w:cs="Arial"/>
                <w:i/>
                <w:sz w:val="16"/>
                <w:szCs w:val="16"/>
              </w:rPr>
              <w:t>100% License Renewal</w:t>
            </w:r>
          </w:p>
        </w:tc>
        <w:tc>
          <w:tcPr>
            <w:tcW w:w="1261" w:type="dxa"/>
            <w:shd w:val="clear" w:color="auto" w:fill="FFFFFF" w:themeFill="background1"/>
            <w:vAlign w:val="center"/>
          </w:tcPr>
          <w:p w14:paraId="4A7A4217" w14:textId="498E6EA9" w:rsidR="00370270" w:rsidRPr="00E51672" w:rsidRDefault="00370270" w:rsidP="00370270">
            <w:pPr>
              <w:jc w:val="center"/>
              <w:rPr>
                <w:rFonts w:ascii="Arial" w:hAnsi="Arial" w:cs="Arial"/>
                <w:i/>
                <w:sz w:val="16"/>
                <w:szCs w:val="16"/>
              </w:rPr>
            </w:pPr>
          </w:p>
        </w:tc>
      </w:tr>
      <w:tr w:rsidR="00370270" w14:paraId="2E3D9648" w14:textId="77777777" w:rsidTr="003D0E94">
        <w:trPr>
          <w:cantSplit/>
          <w:trHeight w:val="323"/>
        </w:trPr>
        <w:tc>
          <w:tcPr>
            <w:tcW w:w="10075" w:type="dxa"/>
            <w:gridSpan w:val="7"/>
            <w:shd w:val="clear" w:color="auto" w:fill="DBE5F1" w:themeFill="accent1" w:themeFillTint="33"/>
            <w:vAlign w:val="center"/>
          </w:tcPr>
          <w:p w14:paraId="53FD34FC" w14:textId="77777777" w:rsidR="00370270" w:rsidRDefault="00370270" w:rsidP="00370270">
            <w:pPr>
              <w:jc w:val="center"/>
              <w:rPr>
                <w:rFonts w:ascii="Arial" w:hAnsi="Arial" w:cs="Arial"/>
                <w:b/>
              </w:rPr>
            </w:pPr>
            <w:r>
              <w:rPr>
                <w:rFonts w:ascii="Arial" w:hAnsi="Arial" w:cs="Arial"/>
                <w:b/>
                <w:sz w:val="20"/>
              </w:rPr>
              <w:t>Goal 2</w:t>
            </w:r>
          </w:p>
          <w:p w14:paraId="33E689B4" w14:textId="77777777" w:rsidR="00370270" w:rsidRPr="00841C41" w:rsidRDefault="00370270" w:rsidP="00370270">
            <w:pPr>
              <w:jc w:val="center"/>
              <w:rPr>
                <w:rFonts w:ascii="Arial" w:hAnsi="Arial" w:cs="Arial"/>
                <w:b/>
              </w:rPr>
            </w:pPr>
            <w:r w:rsidRPr="00E02BB0">
              <w:rPr>
                <w:rFonts w:ascii="Arial" w:hAnsi="Arial" w:cs="Arial"/>
                <w:i/>
                <w:sz w:val="20"/>
              </w:rPr>
              <w:t>Provide Services In An Efficient Manner</w:t>
            </w:r>
          </w:p>
        </w:tc>
      </w:tr>
      <w:tr w:rsidR="00370270" w14:paraId="134CFE41" w14:textId="77777777" w:rsidTr="003D0E94">
        <w:trPr>
          <w:cantSplit/>
          <w:trHeight w:val="288"/>
        </w:trPr>
        <w:tc>
          <w:tcPr>
            <w:tcW w:w="3026" w:type="dxa"/>
            <w:vMerge w:val="restart"/>
          </w:tcPr>
          <w:p w14:paraId="0BBB2479" w14:textId="77777777" w:rsidR="00370270" w:rsidRPr="00646DA1" w:rsidRDefault="00370270" w:rsidP="00370270">
            <w:pPr>
              <w:pStyle w:val="ListParagraph"/>
              <w:numPr>
                <w:ilvl w:val="0"/>
                <w:numId w:val="2"/>
              </w:numPr>
              <w:ind w:left="342"/>
              <w:rPr>
                <w:rFonts w:ascii="Arial" w:hAnsi="Arial" w:cs="Arial"/>
                <w:bCs/>
                <w:sz w:val="20"/>
              </w:rPr>
            </w:pPr>
            <w:r>
              <w:rPr>
                <w:rFonts w:ascii="Arial" w:hAnsi="Arial" w:cs="Arial"/>
                <w:sz w:val="20"/>
                <w:szCs w:val="20"/>
              </w:rPr>
              <w:t>N</w:t>
            </w:r>
            <w:r w:rsidRPr="00463C51">
              <w:rPr>
                <w:rFonts w:ascii="Arial" w:hAnsi="Arial" w:cs="Arial"/>
                <w:sz w:val="20"/>
                <w:szCs w:val="20"/>
              </w:rPr>
              <w:t>ew contract cases assigned by fiscal year</w:t>
            </w:r>
            <w:r>
              <w:rPr>
                <w:rFonts w:ascii="Arial" w:hAnsi="Arial" w:cs="Arial"/>
                <w:sz w:val="20"/>
                <w:szCs w:val="20"/>
              </w:rPr>
              <w:t>.</w:t>
            </w:r>
          </w:p>
        </w:tc>
        <w:tc>
          <w:tcPr>
            <w:tcW w:w="724" w:type="dxa"/>
            <w:shd w:val="clear" w:color="auto" w:fill="D9D9D9" w:themeFill="background1" w:themeFillShade="D9"/>
            <w:vAlign w:val="center"/>
          </w:tcPr>
          <w:p w14:paraId="2572E10B" w14:textId="77777777" w:rsidR="00370270" w:rsidRPr="001D59BE" w:rsidRDefault="00370270" w:rsidP="00370270">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4330277B" w14:textId="1922AC0D" w:rsidR="00370270" w:rsidRPr="0078607D" w:rsidRDefault="00370270" w:rsidP="00370270">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29677446" w14:textId="441E9797" w:rsidR="00370270" w:rsidRPr="0078607D" w:rsidRDefault="00370270" w:rsidP="00370270">
            <w:pPr>
              <w:jc w:val="center"/>
              <w:rPr>
                <w:rFonts w:ascii="Arial" w:hAnsi="Arial" w:cs="Arial"/>
                <w:sz w:val="20"/>
                <w:szCs w:val="20"/>
              </w:rPr>
            </w:pPr>
            <w:r>
              <w:rPr>
                <w:rFonts w:ascii="Arial" w:hAnsi="Arial" w:cs="Arial"/>
                <w:sz w:val="20"/>
              </w:rPr>
              <w:t>0</w:t>
            </w:r>
          </w:p>
        </w:tc>
        <w:tc>
          <w:tcPr>
            <w:tcW w:w="1266" w:type="dxa"/>
            <w:shd w:val="clear" w:color="auto" w:fill="D9D9D9" w:themeFill="background1" w:themeFillShade="D9"/>
            <w:vAlign w:val="center"/>
          </w:tcPr>
          <w:p w14:paraId="00E46C10" w14:textId="4EAA5534" w:rsidR="00370270" w:rsidRPr="001D59BE" w:rsidRDefault="00370270" w:rsidP="00370270">
            <w:pPr>
              <w:jc w:val="center"/>
              <w:rPr>
                <w:rFonts w:ascii="Arial" w:hAnsi="Arial" w:cs="Arial"/>
                <w:sz w:val="20"/>
              </w:rPr>
            </w:pPr>
            <w:r>
              <w:rPr>
                <w:rFonts w:ascii="Arial" w:hAnsi="Arial" w:cs="Arial"/>
                <w:sz w:val="20"/>
              </w:rPr>
              <w:t>0</w:t>
            </w:r>
          </w:p>
        </w:tc>
        <w:tc>
          <w:tcPr>
            <w:tcW w:w="1266" w:type="dxa"/>
            <w:shd w:val="clear" w:color="auto" w:fill="D9D9D9" w:themeFill="background1" w:themeFillShade="D9"/>
            <w:vAlign w:val="center"/>
          </w:tcPr>
          <w:p w14:paraId="561251FE" w14:textId="4941B74C" w:rsidR="00370270" w:rsidRPr="001D59BE" w:rsidRDefault="00370270" w:rsidP="00370270">
            <w:pPr>
              <w:jc w:val="center"/>
              <w:rPr>
                <w:rFonts w:ascii="Arial" w:hAnsi="Arial" w:cs="Arial"/>
                <w:sz w:val="20"/>
              </w:rPr>
            </w:pPr>
            <w:r w:rsidRPr="00E846F3">
              <w:rPr>
                <w:rFonts w:ascii="Arial" w:hAnsi="Arial" w:cs="Arial"/>
                <w:sz w:val="20"/>
              </w:rPr>
              <w:t>11</w:t>
            </w:r>
          </w:p>
        </w:tc>
        <w:tc>
          <w:tcPr>
            <w:tcW w:w="1261" w:type="dxa"/>
            <w:shd w:val="clear" w:color="auto" w:fill="D9D9D9" w:themeFill="background1" w:themeFillShade="D9"/>
            <w:vAlign w:val="center"/>
          </w:tcPr>
          <w:p w14:paraId="17E04F40" w14:textId="6C1EB236" w:rsidR="00370270" w:rsidRPr="001D59BE" w:rsidRDefault="00370270" w:rsidP="00370270">
            <w:pPr>
              <w:jc w:val="center"/>
              <w:rPr>
                <w:rFonts w:ascii="Arial" w:hAnsi="Arial" w:cs="Arial"/>
                <w:sz w:val="20"/>
              </w:rPr>
            </w:pPr>
          </w:p>
        </w:tc>
      </w:tr>
      <w:tr w:rsidR="00370270" w14:paraId="6DBF8EFC" w14:textId="77777777" w:rsidTr="003D0E94">
        <w:trPr>
          <w:cantSplit/>
          <w:trHeight w:val="288"/>
        </w:trPr>
        <w:tc>
          <w:tcPr>
            <w:tcW w:w="3026" w:type="dxa"/>
            <w:vMerge/>
          </w:tcPr>
          <w:p w14:paraId="0BC2B957"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484CFB26" w14:textId="77777777" w:rsidR="00370270" w:rsidRDefault="00370270" w:rsidP="00370270">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4C4BB1A7" w14:textId="213ACD8C" w:rsidR="00370270" w:rsidRPr="00FE0C4E" w:rsidRDefault="00370270" w:rsidP="00370270">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0EEB2D23" w14:textId="67EC4A06" w:rsidR="00370270" w:rsidRPr="00FE0C4E" w:rsidRDefault="00370270" w:rsidP="00370270">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6F2F468B" w14:textId="6EE0C409" w:rsidR="00370270" w:rsidRPr="00FE0C4E" w:rsidRDefault="00370270" w:rsidP="00370270">
            <w:pPr>
              <w:jc w:val="center"/>
              <w:rPr>
                <w:rFonts w:ascii="Arial" w:hAnsi="Arial" w:cs="Arial"/>
                <w:i/>
                <w:sz w:val="16"/>
                <w:szCs w:val="16"/>
              </w:rPr>
            </w:pPr>
            <w:r>
              <w:rPr>
                <w:rFonts w:ascii="Arial" w:hAnsi="Arial" w:cs="Arial"/>
                <w:i/>
                <w:sz w:val="16"/>
                <w:szCs w:val="16"/>
              </w:rPr>
              <w:t>0 Cases</w:t>
            </w:r>
          </w:p>
        </w:tc>
        <w:tc>
          <w:tcPr>
            <w:tcW w:w="1266" w:type="dxa"/>
            <w:shd w:val="clear" w:color="auto" w:fill="FFFFFF" w:themeFill="background1"/>
            <w:vAlign w:val="center"/>
          </w:tcPr>
          <w:p w14:paraId="03B2307F" w14:textId="3FCD70C6" w:rsidR="00370270" w:rsidRPr="00FE0C4E" w:rsidRDefault="00370270" w:rsidP="00370270">
            <w:pPr>
              <w:jc w:val="center"/>
              <w:rPr>
                <w:rFonts w:ascii="Arial" w:hAnsi="Arial" w:cs="Arial"/>
                <w:i/>
                <w:sz w:val="16"/>
                <w:szCs w:val="16"/>
              </w:rPr>
            </w:pPr>
            <w:r>
              <w:rPr>
                <w:rFonts w:ascii="Arial" w:hAnsi="Arial" w:cs="Arial"/>
                <w:i/>
                <w:sz w:val="16"/>
                <w:szCs w:val="16"/>
              </w:rPr>
              <w:t>0 Cases</w:t>
            </w:r>
          </w:p>
        </w:tc>
        <w:tc>
          <w:tcPr>
            <w:tcW w:w="1261" w:type="dxa"/>
            <w:shd w:val="clear" w:color="auto" w:fill="FFFFFF" w:themeFill="background1"/>
            <w:vAlign w:val="center"/>
          </w:tcPr>
          <w:p w14:paraId="65FB1E20" w14:textId="1D197966" w:rsidR="00370270" w:rsidRPr="00FE0C4E" w:rsidRDefault="00370270" w:rsidP="00370270">
            <w:pPr>
              <w:jc w:val="center"/>
              <w:rPr>
                <w:rFonts w:ascii="Arial" w:hAnsi="Arial" w:cs="Arial"/>
                <w:i/>
                <w:sz w:val="16"/>
                <w:szCs w:val="16"/>
              </w:rPr>
            </w:pPr>
          </w:p>
        </w:tc>
      </w:tr>
      <w:tr w:rsidR="00370270" w14:paraId="6AB2B2DC" w14:textId="77777777" w:rsidTr="003D0E94">
        <w:trPr>
          <w:cantSplit/>
          <w:trHeight w:val="288"/>
        </w:trPr>
        <w:tc>
          <w:tcPr>
            <w:tcW w:w="3026" w:type="dxa"/>
            <w:vMerge w:val="restart"/>
          </w:tcPr>
          <w:p w14:paraId="68DD3FD2" w14:textId="77777777" w:rsidR="00370270" w:rsidRPr="00646DA1" w:rsidRDefault="00370270" w:rsidP="00370270">
            <w:pPr>
              <w:pStyle w:val="ListParagraph"/>
              <w:keepNext/>
              <w:numPr>
                <w:ilvl w:val="0"/>
                <w:numId w:val="2"/>
              </w:numPr>
              <w:ind w:left="346"/>
              <w:rPr>
                <w:rFonts w:ascii="Arial" w:hAnsi="Arial" w:cs="Arial"/>
                <w:bCs/>
                <w:sz w:val="20"/>
              </w:rPr>
            </w:pPr>
            <w:r w:rsidRPr="00463C51">
              <w:rPr>
                <w:rFonts w:ascii="Arial" w:hAnsi="Arial" w:cs="Arial"/>
                <w:sz w:val="20"/>
                <w:szCs w:val="20"/>
              </w:rPr>
              <w:t>All cases assigned within 21 days of receipt of the transcript and record such that objections to the record can be filed in the district court.</w:t>
            </w:r>
          </w:p>
        </w:tc>
        <w:tc>
          <w:tcPr>
            <w:tcW w:w="724" w:type="dxa"/>
            <w:shd w:val="clear" w:color="auto" w:fill="D9D9D9" w:themeFill="background1" w:themeFillShade="D9"/>
            <w:vAlign w:val="center"/>
          </w:tcPr>
          <w:p w14:paraId="0AE6593F" w14:textId="77777777" w:rsidR="00370270" w:rsidRPr="001D59BE" w:rsidRDefault="00370270" w:rsidP="00370270">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41FA8653" w14:textId="1E9989C2"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43000015" w14:textId="0346894F"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72100EFA" w14:textId="440E4728" w:rsidR="00370270" w:rsidRPr="001D59BE" w:rsidRDefault="00370270" w:rsidP="00370270">
            <w:pPr>
              <w:jc w:val="center"/>
              <w:rPr>
                <w:rFonts w:ascii="Arial" w:hAnsi="Arial" w:cs="Arial"/>
                <w:sz w:val="20"/>
              </w:rPr>
            </w:pPr>
            <w:r>
              <w:rPr>
                <w:rFonts w:ascii="Arial" w:hAnsi="Arial" w:cs="Arial"/>
                <w:sz w:val="20"/>
              </w:rPr>
              <w:t>90%**</w:t>
            </w:r>
          </w:p>
        </w:tc>
        <w:tc>
          <w:tcPr>
            <w:tcW w:w="1266" w:type="dxa"/>
            <w:shd w:val="clear" w:color="auto" w:fill="D9D9D9" w:themeFill="background1" w:themeFillShade="D9"/>
            <w:vAlign w:val="center"/>
          </w:tcPr>
          <w:p w14:paraId="6D1B757E" w14:textId="7711EC82" w:rsidR="00370270" w:rsidRPr="001D59BE" w:rsidRDefault="00370270" w:rsidP="00370270">
            <w:pPr>
              <w:jc w:val="center"/>
              <w:rPr>
                <w:rFonts w:ascii="Arial" w:hAnsi="Arial" w:cs="Arial"/>
                <w:sz w:val="20"/>
              </w:rPr>
            </w:pPr>
          </w:p>
        </w:tc>
        <w:tc>
          <w:tcPr>
            <w:tcW w:w="1261" w:type="dxa"/>
            <w:shd w:val="clear" w:color="auto" w:fill="D9D9D9" w:themeFill="background1" w:themeFillShade="D9"/>
            <w:vAlign w:val="center"/>
          </w:tcPr>
          <w:p w14:paraId="51775989" w14:textId="58142E3A" w:rsidR="00370270" w:rsidRPr="001D59BE" w:rsidRDefault="00370270" w:rsidP="00370270">
            <w:pPr>
              <w:jc w:val="center"/>
              <w:rPr>
                <w:rFonts w:ascii="Arial" w:hAnsi="Arial" w:cs="Arial"/>
                <w:sz w:val="20"/>
              </w:rPr>
            </w:pPr>
          </w:p>
        </w:tc>
      </w:tr>
      <w:tr w:rsidR="00370270" w14:paraId="709D3A96" w14:textId="77777777" w:rsidTr="003D0E94">
        <w:trPr>
          <w:cantSplit/>
          <w:trHeight w:val="288"/>
        </w:trPr>
        <w:tc>
          <w:tcPr>
            <w:tcW w:w="3026" w:type="dxa"/>
            <w:vMerge/>
          </w:tcPr>
          <w:p w14:paraId="648496CF"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4D9A6AD3" w14:textId="77777777" w:rsidR="00370270" w:rsidRDefault="00370270" w:rsidP="00370270">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38010282" w14:textId="31A9C4E9" w:rsidR="00370270" w:rsidRPr="00FE0C4E" w:rsidRDefault="00370270" w:rsidP="00370270">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19CA179C" w14:textId="58F3E227" w:rsidR="00370270" w:rsidRPr="00FE0C4E" w:rsidRDefault="00370270" w:rsidP="00370270">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78F8821A" w14:textId="1F37E543" w:rsidR="00370270" w:rsidRPr="00FE0C4E" w:rsidRDefault="00370270" w:rsidP="00370270">
            <w:pPr>
              <w:jc w:val="center"/>
              <w:rPr>
                <w:rFonts w:ascii="Arial" w:hAnsi="Arial" w:cs="Arial"/>
                <w:i/>
                <w:sz w:val="16"/>
                <w:szCs w:val="16"/>
              </w:rPr>
            </w:pPr>
            <w:r>
              <w:rPr>
                <w:rFonts w:ascii="Arial" w:hAnsi="Arial" w:cs="Arial"/>
                <w:i/>
                <w:sz w:val="16"/>
                <w:szCs w:val="16"/>
              </w:rPr>
              <w:t>100%</w:t>
            </w:r>
          </w:p>
        </w:tc>
        <w:tc>
          <w:tcPr>
            <w:tcW w:w="1266" w:type="dxa"/>
            <w:shd w:val="clear" w:color="auto" w:fill="FFFFFF" w:themeFill="background1"/>
            <w:vAlign w:val="center"/>
          </w:tcPr>
          <w:p w14:paraId="70A415C1" w14:textId="3E62EED1" w:rsidR="00370270" w:rsidRPr="00FE0C4E" w:rsidRDefault="00370270" w:rsidP="00370270">
            <w:pPr>
              <w:jc w:val="center"/>
              <w:rPr>
                <w:rFonts w:ascii="Arial" w:hAnsi="Arial" w:cs="Arial"/>
                <w:i/>
                <w:sz w:val="16"/>
                <w:szCs w:val="16"/>
              </w:rPr>
            </w:pPr>
            <w:r>
              <w:rPr>
                <w:rFonts w:ascii="Arial" w:hAnsi="Arial" w:cs="Arial"/>
                <w:i/>
                <w:sz w:val="16"/>
                <w:szCs w:val="16"/>
              </w:rPr>
              <w:t>100%</w:t>
            </w:r>
          </w:p>
        </w:tc>
        <w:tc>
          <w:tcPr>
            <w:tcW w:w="1261" w:type="dxa"/>
            <w:shd w:val="clear" w:color="auto" w:fill="FFFFFF" w:themeFill="background1"/>
            <w:vAlign w:val="center"/>
          </w:tcPr>
          <w:p w14:paraId="61E3861F" w14:textId="0B7FA832" w:rsidR="00370270" w:rsidRPr="00FE0C4E" w:rsidRDefault="00370270" w:rsidP="00370270">
            <w:pPr>
              <w:jc w:val="center"/>
              <w:rPr>
                <w:rFonts w:ascii="Arial" w:hAnsi="Arial" w:cs="Arial"/>
                <w:i/>
                <w:sz w:val="16"/>
                <w:szCs w:val="16"/>
              </w:rPr>
            </w:pPr>
          </w:p>
        </w:tc>
      </w:tr>
      <w:tr w:rsidR="00370270" w14:paraId="3445A85D" w14:textId="77777777" w:rsidTr="003D0E94">
        <w:trPr>
          <w:cantSplit/>
          <w:trHeight w:val="288"/>
        </w:trPr>
        <w:tc>
          <w:tcPr>
            <w:tcW w:w="3026" w:type="dxa"/>
            <w:vMerge w:val="restart"/>
          </w:tcPr>
          <w:p w14:paraId="5ADD78D6" w14:textId="225FE7E7" w:rsidR="00370270" w:rsidRPr="00646DA1" w:rsidRDefault="00370270" w:rsidP="00370270">
            <w:pPr>
              <w:pStyle w:val="ListParagraph"/>
              <w:numPr>
                <w:ilvl w:val="0"/>
                <w:numId w:val="2"/>
              </w:numPr>
              <w:ind w:left="342"/>
              <w:rPr>
                <w:rFonts w:ascii="Arial" w:hAnsi="Arial" w:cs="Arial"/>
                <w:bCs/>
                <w:sz w:val="20"/>
              </w:rPr>
            </w:pPr>
            <w:r>
              <w:rPr>
                <w:rFonts w:ascii="Arial" w:hAnsi="Arial" w:cs="Arial"/>
                <w:bCs/>
                <w:sz w:val="20"/>
              </w:rPr>
              <w:t>Reduce the number of initial appellant’s briefs filed on more than two extensions as identified each fiscal year.</w:t>
            </w:r>
          </w:p>
        </w:tc>
        <w:tc>
          <w:tcPr>
            <w:tcW w:w="724" w:type="dxa"/>
            <w:shd w:val="clear" w:color="auto" w:fill="D9D9D9" w:themeFill="background1" w:themeFillShade="D9"/>
            <w:vAlign w:val="center"/>
          </w:tcPr>
          <w:p w14:paraId="7D719CC1" w14:textId="77777777" w:rsidR="00370270" w:rsidRPr="001D59BE" w:rsidRDefault="00370270" w:rsidP="00370270">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0A97915A" w14:textId="1EC15BF9" w:rsidR="00370270" w:rsidRPr="0078607D" w:rsidRDefault="00370270" w:rsidP="00370270">
            <w:pPr>
              <w:jc w:val="center"/>
              <w:rPr>
                <w:rFonts w:ascii="Arial" w:hAnsi="Arial" w:cs="Arial"/>
                <w:sz w:val="20"/>
                <w:szCs w:val="20"/>
              </w:rPr>
            </w:pPr>
            <w:r w:rsidRPr="008201D0">
              <w:rPr>
                <w:rFonts w:ascii="Arial" w:hAnsi="Arial" w:cs="Arial"/>
                <w:sz w:val="20"/>
              </w:rPr>
              <w:t>84</w:t>
            </w:r>
            <w:r>
              <w:rPr>
                <w:rFonts w:ascii="Arial" w:hAnsi="Arial" w:cs="Arial"/>
                <w:sz w:val="20"/>
              </w:rPr>
              <w:t>/425 (19.8</w:t>
            </w:r>
            <w:r w:rsidRPr="008201D0">
              <w:rPr>
                <w:rFonts w:ascii="Arial" w:hAnsi="Arial" w:cs="Arial"/>
                <w:sz w:val="20"/>
              </w:rPr>
              <w:t>%</w:t>
            </w:r>
            <w:r>
              <w:rPr>
                <w:rFonts w:ascii="Arial" w:hAnsi="Arial" w:cs="Arial"/>
                <w:sz w:val="20"/>
              </w:rPr>
              <w:t>)</w:t>
            </w:r>
          </w:p>
        </w:tc>
        <w:tc>
          <w:tcPr>
            <w:tcW w:w="1266" w:type="dxa"/>
            <w:shd w:val="clear" w:color="auto" w:fill="D9D9D9" w:themeFill="background1" w:themeFillShade="D9"/>
            <w:vAlign w:val="center"/>
          </w:tcPr>
          <w:p w14:paraId="73AFD946" w14:textId="7AF22DC1" w:rsidR="00370270" w:rsidRPr="0078607D" w:rsidRDefault="00370270" w:rsidP="00370270">
            <w:pPr>
              <w:jc w:val="center"/>
              <w:rPr>
                <w:rFonts w:ascii="Arial" w:hAnsi="Arial" w:cs="Arial"/>
                <w:sz w:val="20"/>
                <w:szCs w:val="20"/>
              </w:rPr>
            </w:pPr>
            <w:r w:rsidRPr="00105739">
              <w:rPr>
                <w:rFonts w:ascii="Arial" w:hAnsi="Arial" w:cs="Arial"/>
                <w:sz w:val="20"/>
              </w:rPr>
              <w:t>137</w:t>
            </w:r>
            <w:r>
              <w:rPr>
                <w:rFonts w:ascii="Arial" w:hAnsi="Arial" w:cs="Arial"/>
                <w:sz w:val="20"/>
              </w:rPr>
              <w:t>/462 (29.7</w:t>
            </w:r>
            <w:r w:rsidRPr="00105739">
              <w:rPr>
                <w:rFonts w:ascii="Arial" w:hAnsi="Arial" w:cs="Arial"/>
                <w:sz w:val="20"/>
              </w:rPr>
              <w:t>%</w:t>
            </w:r>
            <w:r>
              <w:rPr>
                <w:rFonts w:ascii="Arial" w:hAnsi="Arial" w:cs="Arial"/>
                <w:sz w:val="20"/>
              </w:rPr>
              <w:t>)</w:t>
            </w:r>
          </w:p>
        </w:tc>
        <w:tc>
          <w:tcPr>
            <w:tcW w:w="1266" w:type="dxa"/>
            <w:shd w:val="clear" w:color="auto" w:fill="D9D9D9" w:themeFill="background1" w:themeFillShade="D9"/>
            <w:vAlign w:val="center"/>
          </w:tcPr>
          <w:p w14:paraId="3C2F3962" w14:textId="37D23E33" w:rsidR="00370270" w:rsidRPr="001D59BE" w:rsidRDefault="00370270" w:rsidP="00370270">
            <w:pPr>
              <w:jc w:val="center"/>
              <w:rPr>
                <w:rFonts w:ascii="Arial" w:hAnsi="Arial" w:cs="Arial"/>
                <w:sz w:val="20"/>
              </w:rPr>
            </w:pPr>
            <w:r>
              <w:rPr>
                <w:rFonts w:ascii="Arial" w:hAnsi="Arial" w:cs="Arial"/>
                <w:sz w:val="20"/>
              </w:rPr>
              <w:t>264/592 (44.6</w:t>
            </w:r>
            <w:r w:rsidRPr="00FB3E6F">
              <w:rPr>
                <w:rFonts w:ascii="Arial" w:hAnsi="Arial" w:cs="Arial"/>
                <w:sz w:val="20"/>
              </w:rPr>
              <w:t>%</w:t>
            </w:r>
            <w:r>
              <w:rPr>
                <w:rFonts w:ascii="Arial" w:hAnsi="Arial" w:cs="Arial"/>
                <w:sz w:val="20"/>
              </w:rPr>
              <w:t>)</w:t>
            </w:r>
          </w:p>
        </w:tc>
        <w:tc>
          <w:tcPr>
            <w:tcW w:w="1266" w:type="dxa"/>
            <w:shd w:val="clear" w:color="auto" w:fill="D9D9D9" w:themeFill="background1" w:themeFillShade="D9"/>
            <w:vAlign w:val="center"/>
          </w:tcPr>
          <w:p w14:paraId="7AB92E41" w14:textId="6A6161EC" w:rsidR="00370270" w:rsidRPr="001D59BE" w:rsidRDefault="00370270" w:rsidP="00370270">
            <w:pPr>
              <w:jc w:val="center"/>
              <w:rPr>
                <w:rFonts w:ascii="Arial" w:hAnsi="Arial" w:cs="Arial"/>
                <w:sz w:val="20"/>
              </w:rPr>
            </w:pPr>
          </w:p>
        </w:tc>
        <w:tc>
          <w:tcPr>
            <w:tcW w:w="1261" w:type="dxa"/>
            <w:shd w:val="clear" w:color="auto" w:fill="D9D9D9" w:themeFill="background1" w:themeFillShade="D9"/>
            <w:vAlign w:val="center"/>
          </w:tcPr>
          <w:p w14:paraId="2D3062A9" w14:textId="2AB80BD4" w:rsidR="00370270" w:rsidRPr="001D59BE" w:rsidRDefault="00370270" w:rsidP="00370270">
            <w:pPr>
              <w:jc w:val="center"/>
              <w:rPr>
                <w:rFonts w:ascii="Arial" w:hAnsi="Arial" w:cs="Arial"/>
                <w:sz w:val="20"/>
              </w:rPr>
            </w:pPr>
          </w:p>
        </w:tc>
      </w:tr>
      <w:tr w:rsidR="00370270" w14:paraId="48C81F5C" w14:textId="77777777" w:rsidTr="003D0E94">
        <w:trPr>
          <w:cantSplit/>
          <w:trHeight w:val="288"/>
        </w:trPr>
        <w:tc>
          <w:tcPr>
            <w:tcW w:w="3026" w:type="dxa"/>
            <w:vMerge/>
          </w:tcPr>
          <w:p w14:paraId="6F58CFC0"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3D26DC08" w14:textId="77777777" w:rsidR="00370270" w:rsidRDefault="00370270" w:rsidP="00370270">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16D3EC4F" w14:textId="47677ADC" w:rsidR="00370270" w:rsidRPr="0089244D" w:rsidRDefault="00370270" w:rsidP="00370270">
            <w:pPr>
              <w:jc w:val="center"/>
              <w:rPr>
                <w:rFonts w:ascii="Arial" w:hAnsi="Arial" w:cs="Arial"/>
                <w:i/>
                <w:sz w:val="16"/>
                <w:szCs w:val="16"/>
              </w:rPr>
            </w:pPr>
            <w:r>
              <w:rPr>
                <w:rFonts w:ascii="Arial" w:hAnsi="Arial" w:cs="Arial"/>
                <w:i/>
                <w:sz w:val="16"/>
                <w:szCs w:val="16"/>
              </w:rPr>
              <w:t>No more than 10% of Initial Appellant’s Briefs Filed on &gt; 2 Ext.</w:t>
            </w:r>
          </w:p>
        </w:tc>
        <w:tc>
          <w:tcPr>
            <w:tcW w:w="1266" w:type="dxa"/>
            <w:shd w:val="clear" w:color="auto" w:fill="FFFFFF" w:themeFill="background1"/>
            <w:vAlign w:val="center"/>
          </w:tcPr>
          <w:p w14:paraId="5B1D5E86" w14:textId="67E11AEB" w:rsidR="00370270" w:rsidRPr="0089244D" w:rsidRDefault="00370270" w:rsidP="00370270">
            <w:pPr>
              <w:jc w:val="center"/>
              <w:rPr>
                <w:rFonts w:ascii="Arial" w:hAnsi="Arial" w:cs="Arial"/>
                <w:i/>
                <w:sz w:val="16"/>
                <w:szCs w:val="16"/>
              </w:rPr>
            </w:pPr>
            <w:r>
              <w:rPr>
                <w:rFonts w:ascii="Arial" w:hAnsi="Arial" w:cs="Arial"/>
                <w:i/>
                <w:sz w:val="16"/>
                <w:szCs w:val="16"/>
              </w:rPr>
              <w:t>No more than 10% of Initial Appellant’s Briefs Filed on &gt; 2 Ext.</w:t>
            </w:r>
          </w:p>
        </w:tc>
        <w:tc>
          <w:tcPr>
            <w:tcW w:w="1266" w:type="dxa"/>
            <w:shd w:val="clear" w:color="auto" w:fill="FFFFFF" w:themeFill="background1"/>
            <w:vAlign w:val="center"/>
          </w:tcPr>
          <w:p w14:paraId="10C033FE" w14:textId="41D290C6" w:rsidR="00370270" w:rsidRPr="0089244D" w:rsidRDefault="00370270" w:rsidP="00370270">
            <w:pPr>
              <w:jc w:val="center"/>
              <w:rPr>
                <w:rFonts w:ascii="Arial" w:hAnsi="Arial" w:cs="Arial"/>
                <w:i/>
                <w:sz w:val="16"/>
                <w:szCs w:val="16"/>
              </w:rPr>
            </w:pPr>
            <w:r>
              <w:rPr>
                <w:rFonts w:ascii="Arial" w:hAnsi="Arial" w:cs="Arial"/>
                <w:i/>
                <w:sz w:val="16"/>
                <w:szCs w:val="16"/>
              </w:rPr>
              <w:t>No more than 10% of Initial Appellant’s Briefs Filed on &gt; 2 Ext.</w:t>
            </w:r>
          </w:p>
        </w:tc>
        <w:tc>
          <w:tcPr>
            <w:tcW w:w="1266" w:type="dxa"/>
            <w:shd w:val="clear" w:color="auto" w:fill="FFFFFF" w:themeFill="background1"/>
            <w:vAlign w:val="center"/>
          </w:tcPr>
          <w:p w14:paraId="38974DAC" w14:textId="4608C8E2" w:rsidR="00370270" w:rsidRPr="0089244D" w:rsidRDefault="00370270" w:rsidP="00370270">
            <w:pPr>
              <w:jc w:val="center"/>
              <w:rPr>
                <w:rFonts w:ascii="Arial" w:hAnsi="Arial" w:cs="Arial"/>
                <w:i/>
                <w:sz w:val="16"/>
                <w:szCs w:val="16"/>
              </w:rPr>
            </w:pPr>
            <w:r>
              <w:rPr>
                <w:rFonts w:ascii="Arial" w:hAnsi="Arial" w:cs="Arial"/>
                <w:i/>
                <w:sz w:val="16"/>
                <w:szCs w:val="16"/>
              </w:rPr>
              <w:t>No more than 10% of Initial Appellant’s Briefs Filed on &gt; 2 Ext</w:t>
            </w:r>
          </w:p>
        </w:tc>
        <w:tc>
          <w:tcPr>
            <w:tcW w:w="1261" w:type="dxa"/>
            <w:shd w:val="clear" w:color="auto" w:fill="FFFFFF" w:themeFill="background1"/>
            <w:vAlign w:val="center"/>
          </w:tcPr>
          <w:p w14:paraId="1F8B9461" w14:textId="6CE3064C" w:rsidR="00370270" w:rsidRPr="0089244D" w:rsidRDefault="00370270" w:rsidP="00370270">
            <w:pPr>
              <w:jc w:val="center"/>
              <w:rPr>
                <w:rFonts w:ascii="Arial" w:hAnsi="Arial" w:cs="Arial"/>
                <w:i/>
                <w:sz w:val="16"/>
                <w:szCs w:val="16"/>
              </w:rPr>
            </w:pPr>
          </w:p>
        </w:tc>
      </w:tr>
      <w:tr w:rsidR="00370270" w14:paraId="5364EA66" w14:textId="77777777" w:rsidTr="003D0E94">
        <w:trPr>
          <w:cantSplit/>
          <w:trHeight w:val="288"/>
        </w:trPr>
        <w:tc>
          <w:tcPr>
            <w:tcW w:w="3026" w:type="dxa"/>
            <w:vMerge w:val="restart"/>
          </w:tcPr>
          <w:p w14:paraId="4067E942" w14:textId="77777777" w:rsidR="00370270" w:rsidRPr="00646DA1" w:rsidRDefault="00370270" w:rsidP="00370270">
            <w:pPr>
              <w:pStyle w:val="ListParagraph"/>
              <w:keepNext/>
              <w:numPr>
                <w:ilvl w:val="0"/>
                <w:numId w:val="2"/>
              </w:numPr>
              <w:tabs>
                <w:tab w:val="left" w:pos="2985"/>
              </w:tabs>
              <w:ind w:left="342"/>
              <w:rPr>
                <w:rFonts w:ascii="Arial" w:hAnsi="Arial" w:cs="Arial"/>
                <w:sz w:val="20"/>
              </w:rPr>
            </w:pPr>
            <w:r w:rsidRPr="0047495F">
              <w:rPr>
                <w:rFonts w:ascii="Arial" w:hAnsi="Arial" w:cs="Arial"/>
                <w:sz w:val="20"/>
                <w:szCs w:val="20"/>
              </w:rPr>
              <w:lastRenderedPageBreak/>
              <w:t xml:space="preserve">Reduce </w:t>
            </w:r>
            <w:r>
              <w:rPr>
                <w:rFonts w:ascii="Arial" w:hAnsi="Arial" w:cs="Arial"/>
                <w:sz w:val="20"/>
                <w:szCs w:val="20"/>
              </w:rPr>
              <w:t>the average A</w:t>
            </w:r>
            <w:r w:rsidRPr="0047495F">
              <w:rPr>
                <w:rFonts w:ascii="Arial" w:hAnsi="Arial" w:cs="Arial"/>
                <w:sz w:val="20"/>
                <w:szCs w:val="20"/>
              </w:rPr>
              <w:t>ppellant</w:t>
            </w:r>
            <w:r>
              <w:rPr>
                <w:rFonts w:ascii="Arial" w:hAnsi="Arial" w:cs="Arial"/>
                <w:sz w:val="20"/>
                <w:szCs w:val="20"/>
              </w:rPr>
              <w:t xml:space="preserve"> Unit </w:t>
            </w:r>
            <w:r w:rsidRPr="0047495F">
              <w:rPr>
                <w:rFonts w:ascii="Arial" w:hAnsi="Arial" w:cs="Arial"/>
                <w:sz w:val="20"/>
                <w:szCs w:val="20"/>
              </w:rPr>
              <w:t>attorneys’ caseloads to an appr</w:t>
            </w:r>
            <w:r>
              <w:rPr>
                <w:rFonts w:ascii="Arial" w:hAnsi="Arial" w:cs="Arial"/>
                <w:sz w:val="20"/>
                <w:szCs w:val="20"/>
              </w:rPr>
              <w:t>opriate level of no more than 35</w:t>
            </w:r>
            <w:r w:rsidRPr="0047495F">
              <w:rPr>
                <w:rFonts w:ascii="Arial" w:hAnsi="Arial" w:cs="Arial"/>
                <w:sz w:val="20"/>
                <w:szCs w:val="20"/>
              </w:rPr>
              <w:t xml:space="preserve"> </w:t>
            </w:r>
            <w:r>
              <w:rPr>
                <w:rFonts w:ascii="Arial" w:hAnsi="Arial" w:cs="Arial"/>
                <w:sz w:val="20"/>
                <w:szCs w:val="20"/>
              </w:rPr>
              <w:t>units</w:t>
            </w:r>
            <w:r w:rsidRPr="0047495F">
              <w:rPr>
                <w:rFonts w:ascii="Arial" w:hAnsi="Arial" w:cs="Arial"/>
                <w:sz w:val="20"/>
                <w:szCs w:val="20"/>
              </w:rPr>
              <w:t xml:space="preserve"> per year.</w:t>
            </w:r>
          </w:p>
        </w:tc>
        <w:tc>
          <w:tcPr>
            <w:tcW w:w="724" w:type="dxa"/>
            <w:shd w:val="clear" w:color="auto" w:fill="D9D9D9" w:themeFill="background1" w:themeFillShade="D9"/>
            <w:vAlign w:val="center"/>
          </w:tcPr>
          <w:p w14:paraId="6D6C64D6" w14:textId="77777777" w:rsidR="00370270" w:rsidRPr="001D59BE" w:rsidRDefault="00370270" w:rsidP="00370270">
            <w:pPr>
              <w:keepNext/>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72655A1A" w14:textId="53E31C3E" w:rsidR="00370270" w:rsidRPr="0078607D" w:rsidRDefault="00370270" w:rsidP="00370270">
            <w:pPr>
              <w:keepNext/>
              <w:jc w:val="center"/>
              <w:rPr>
                <w:rFonts w:ascii="Arial" w:hAnsi="Arial" w:cs="Arial"/>
                <w:sz w:val="20"/>
                <w:szCs w:val="20"/>
              </w:rPr>
            </w:pPr>
            <w:r>
              <w:rPr>
                <w:rFonts w:ascii="Arial" w:hAnsi="Arial" w:cs="Arial"/>
                <w:sz w:val="20"/>
              </w:rPr>
              <w:t>36.56 units</w:t>
            </w:r>
          </w:p>
        </w:tc>
        <w:tc>
          <w:tcPr>
            <w:tcW w:w="1266" w:type="dxa"/>
            <w:shd w:val="clear" w:color="auto" w:fill="D9D9D9" w:themeFill="background1" w:themeFillShade="D9"/>
            <w:vAlign w:val="center"/>
          </w:tcPr>
          <w:p w14:paraId="353E9B18" w14:textId="4ABF4BB7" w:rsidR="00370270" w:rsidRPr="0078607D" w:rsidRDefault="00370270" w:rsidP="00370270">
            <w:pPr>
              <w:keepNext/>
              <w:jc w:val="center"/>
              <w:rPr>
                <w:rFonts w:ascii="Arial" w:hAnsi="Arial" w:cs="Arial"/>
                <w:sz w:val="20"/>
                <w:szCs w:val="20"/>
              </w:rPr>
            </w:pPr>
            <w:r>
              <w:rPr>
                <w:rFonts w:ascii="Arial" w:hAnsi="Arial" w:cs="Arial"/>
                <w:sz w:val="20"/>
              </w:rPr>
              <w:t>48.30 units</w:t>
            </w:r>
          </w:p>
        </w:tc>
        <w:tc>
          <w:tcPr>
            <w:tcW w:w="1266" w:type="dxa"/>
            <w:shd w:val="clear" w:color="auto" w:fill="D9D9D9" w:themeFill="background1" w:themeFillShade="D9"/>
            <w:vAlign w:val="center"/>
          </w:tcPr>
          <w:p w14:paraId="3DD0C71A" w14:textId="27C8997A" w:rsidR="00370270" w:rsidRPr="001D59BE" w:rsidRDefault="00370270" w:rsidP="00370270">
            <w:pPr>
              <w:keepNext/>
              <w:jc w:val="center"/>
              <w:rPr>
                <w:rFonts w:ascii="Arial" w:hAnsi="Arial" w:cs="Arial"/>
                <w:sz w:val="20"/>
              </w:rPr>
            </w:pPr>
            <w:r>
              <w:rPr>
                <w:rFonts w:ascii="Arial" w:hAnsi="Arial" w:cs="Arial"/>
                <w:sz w:val="20"/>
              </w:rPr>
              <w:t>57.52***</w:t>
            </w:r>
          </w:p>
        </w:tc>
        <w:tc>
          <w:tcPr>
            <w:tcW w:w="1266" w:type="dxa"/>
            <w:shd w:val="clear" w:color="auto" w:fill="D9D9D9" w:themeFill="background1" w:themeFillShade="D9"/>
            <w:vAlign w:val="center"/>
          </w:tcPr>
          <w:p w14:paraId="0D73130E" w14:textId="5A1F3A6D" w:rsidR="00370270" w:rsidRPr="001D59BE" w:rsidRDefault="00370270" w:rsidP="00370270">
            <w:pPr>
              <w:keepNext/>
              <w:jc w:val="center"/>
              <w:rPr>
                <w:rFonts w:ascii="Arial" w:hAnsi="Arial" w:cs="Arial"/>
                <w:sz w:val="20"/>
              </w:rPr>
            </w:pPr>
          </w:p>
        </w:tc>
        <w:tc>
          <w:tcPr>
            <w:tcW w:w="1261" w:type="dxa"/>
            <w:shd w:val="clear" w:color="auto" w:fill="D9D9D9" w:themeFill="background1" w:themeFillShade="D9"/>
            <w:vAlign w:val="center"/>
          </w:tcPr>
          <w:p w14:paraId="12AEB510" w14:textId="25C31B2F" w:rsidR="00370270" w:rsidRPr="001D59BE" w:rsidRDefault="00370270" w:rsidP="00370270">
            <w:pPr>
              <w:keepNext/>
              <w:jc w:val="center"/>
              <w:rPr>
                <w:rFonts w:ascii="Arial" w:hAnsi="Arial" w:cs="Arial"/>
                <w:sz w:val="20"/>
              </w:rPr>
            </w:pPr>
          </w:p>
        </w:tc>
      </w:tr>
      <w:tr w:rsidR="00370270" w14:paraId="48657B7F" w14:textId="77777777" w:rsidTr="003D0E94">
        <w:trPr>
          <w:cantSplit/>
          <w:trHeight w:val="288"/>
        </w:trPr>
        <w:tc>
          <w:tcPr>
            <w:tcW w:w="3026" w:type="dxa"/>
            <w:vMerge/>
          </w:tcPr>
          <w:p w14:paraId="61811EBF" w14:textId="77777777" w:rsidR="00370270" w:rsidRPr="00646DA1" w:rsidRDefault="00370270" w:rsidP="00370270">
            <w:pPr>
              <w:pStyle w:val="ListParagraph"/>
              <w:keepNext/>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31858178" w14:textId="77777777" w:rsidR="00370270" w:rsidRDefault="00370270" w:rsidP="00370270">
            <w:pPr>
              <w:keepNext/>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69C4AAA3" w14:textId="0EDE08D9" w:rsidR="00370270" w:rsidRPr="0089244D" w:rsidRDefault="00370270" w:rsidP="00370270">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38D32B72" w14:textId="77062CBE" w:rsidR="00370270" w:rsidRPr="0089244D" w:rsidRDefault="00370270" w:rsidP="00370270">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18369466" w14:textId="42EF72E7" w:rsidR="00370270" w:rsidRPr="0089244D" w:rsidRDefault="00370270" w:rsidP="00370270">
            <w:pPr>
              <w:keepNext/>
              <w:jc w:val="center"/>
              <w:rPr>
                <w:rFonts w:ascii="Arial" w:hAnsi="Arial" w:cs="Arial"/>
                <w:i/>
                <w:sz w:val="16"/>
                <w:szCs w:val="16"/>
              </w:rPr>
            </w:pPr>
            <w:r>
              <w:rPr>
                <w:rFonts w:ascii="Arial" w:hAnsi="Arial" w:cs="Arial"/>
                <w:i/>
                <w:sz w:val="16"/>
                <w:szCs w:val="16"/>
              </w:rPr>
              <w:t>35.00 Unit Average</w:t>
            </w:r>
          </w:p>
        </w:tc>
        <w:tc>
          <w:tcPr>
            <w:tcW w:w="1266" w:type="dxa"/>
            <w:shd w:val="clear" w:color="auto" w:fill="FFFFFF" w:themeFill="background1"/>
            <w:vAlign w:val="center"/>
          </w:tcPr>
          <w:p w14:paraId="00E7DAAF" w14:textId="7717E7C0" w:rsidR="00370270" w:rsidRPr="0089244D" w:rsidRDefault="00370270" w:rsidP="00370270">
            <w:pPr>
              <w:keepNext/>
              <w:jc w:val="center"/>
              <w:rPr>
                <w:rFonts w:ascii="Arial" w:hAnsi="Arial" w:cs="Arial"/>
                <w:i/>
                <w:sz w:val="16"/>
                <w:szCs w:val="16"/>
              </w:rPr>
            </w:pPr>
            <w:r>
              <w:rPr>
                <w:rFonts w:ascii="Arial" w:hAnsi="Arial" w:cs="Arial"/>
                <w:i/>
                <w:sz w:val="16"/>
                <w:szCs w:val="16"/>
              </w:rPr>
              <w:t>35.00 Unit Average</w:t>
            </w:r>
          </w:p>
        </w:tc>
        <w:tc>
          <w:tcPr>
            <w:tcW w:w="1261" w:type="dxa"/>
            <w:shd w:val="clear" w:color="auto" w:fill="FFFFFF" w:themeFill="background1"/>
            <w:vAlign w:val="center"/>
          </w:tcPr>
          <w:p w14:paraId="59BD25F1" w14:textId="7CAA81F8" w:rsidR="00370270" w:rsidRPr="0089244D" w:rsidRDefault="00370270" w:rsidP="00370270">
            <w:pPr>
              <w:keepNext/>
              <w:jc w:val="center"/>
              <w:rPr>
                <w:rFonts w:ascii="Arial" w:hAnsi="Arial" w:cs="Arial"/>
                <w:i/>
                <w:sz w:val="16"/>
                <w:szCs w:val="16"/>
              </w:rPr>
            </w:pPr>
          </w:p>
        </w:tc>
      </w:tr>
      <w:tr w:rsidR="00370270" w14:paraId="653B929A" w14:textId="77777777" w:rsidTr="003D0E94">
        <w:trPr>
          <w:cantSplit/>
          <w:trHeight w:val="323"/>
        </w:trPr>
        <w:tc>
          <w:tcPr>
            <w:tcW w:w="10075" w:type="dxa"/>
            <w:gridSpan w:val="7"/>
            <w:shd w:val="clear" w:color="auto" w:fill="DBE5F1" w:themeFill="accent1" w:themeFillTint="33"/>
            <w:vAlign w:val="center"/>
          </w:tcPr>
          <w:p w14:paraId="783FA07C" w14:textId="77777777" w:rsidR="00370270" w:rsidRDefault="00370270" w:rsidP="00370270">
            <w:pPr>
              <w:jc w:val="center"/>
              <w:rPr>
                <w:rFonts w:ascii="Arial" w:hAnsi="Arial" w:cs="Arial"/>
                <w:b/>
              </w:rPr>
            </w:pPr>
            <w:r>
              <w:rPr>
                <w:rFonts w:ascii="Arial" w:hAnsi="Arial" w:cs="Arial"/>
                <w:b/>
                <w:sz w:val="20"/>
              </w:rPr>
              <w:t>Goal 3</w:t>
            </w:r>
          </w:p>
          <w:p w14:paraId="3BFC9DB9" w14:textId="77777777" w:rsidR="00370270" w:rsidRPr="00841C41" w:rsidRDefault="00370270" w:rsidP="00370270">
            <w:pPr>
              <w:jc w:val="center"/>
              <w:rPr>
                <w:rFonts w:ascii="Arial" w:hAnsi="Arial" w:cs="Arial"/>
                <w:b/>
              </w:rPr>
            </w:pPr>
            <w:r w:rsidRPr="00E02BB0">
              <w:rPr>
                <w:rFonts w:ascii="Arial" w:hAnsi="Arial" w:cs="Arial"/>
                <w:i/>
                <w:sz w:val="20"/>
              </w:rPr>
              <w:t>Collaborate With Other Entities To Improve Idaho’s Criminal Justice System</w:t>
            </w:r>
          </w:p>
        </w:tc>
      </w:tr>
      <w:tr w:rsidR="00370270" w:rsidRPr="001D59BE" w14:paraId="1DF13DA6" w14:textId="77777777" w:rsidTr="003D0E94">
        <w:trPr>
          <w:cantSplit/>
          <w:trHeight w:val="845"/>
        </w:trPr>
        <w:tc>
          <w:tcPr>
            <w:tcW w:w="3026" w:type="dxa"/>
            <w:vMerge w:val="restart"/>
          </w:tcPr>
          <w:p w14:paraId="39741A54" w14:textId="4E9AD323" w:rsidR="00370270" w:rsidRPr="00DF04C6" w:rsidRDefault="00370270" w:rsidP="00370270">
            <w:pPr>
              <w:pStyle w:val="ListParagraph"/>
              <w:numPr>
                <w:ilvl w:val="0"/>
                <w:numId w:val="2"/>
              </w:numPr>
              <w:ind w:left="342"/>
              <w:rPr>
                <w:rFonts w:ascii="Arial" w:hAnsi="Arial" w:cs="Arial"/>
                <w:bCs/>
                <w:sz w:val="20"/>
                <w:szCs w:val="20"/>
              </w:rPr>
            </w:pPr>
            <w:r w:rsidRPr="00DF04C6">
              <w:rPr>
                <w:rFonts w:ascii="Arial" w:hAnsi="Arial" w:cs="Arial"/>
                <w:color w:val="000000"/>
                <w:sz w:val="20"/>
                <w:szCs w:val="20"/>
              </w:rPr>
              <w:t>Clarify</w:t>
            </w:r>
            <w:r>
              <w:rPr>
                <w:rFonts w:ascii="Arial" w:hAnsi="Arial" w:cs="Arial"/>
                <w:color w:val="000000"/>
                <w:sz w:val="20"/>
                <w:szCs w:val="20"/>
              </w:rPr>
              <w:t xml:space="preserve"> or modify</w:t>
            </w:r>
            <w:r w:rsidRPr="00DF04C6">
              <w:rPr>
                <w:rFonts w:ascii="Arial" w:hAnsi="Arial" w:cs="Arial"/>
                <w:color w:val="000000"/>
                <w:sz w:val="20"/>
                <w:szCs w:val="20"/>
              </w:rPr>
              <w:t xml:space="preserve"> the jurisdiction of the SAPD to </w:t>
            </w:r>
            <w:r>
              <w:rPr>
                <w:rFonts w:ascii="Arial" w:hAnsi="Arial" w:cs="Arial"/>
                <w:color w:val="000000"/>
                <w:sz w:val="20"/>
                <w:szCs w:val="20"/>
              </w:rPr>
              <w:t>handle identified indigent defense representation needs each fiscal year.</w:t>
            </w:r>
          </w:p>
        </w:tc>
        <w:tc>
          <w:tcPr>
            <w:tcW w:w="724" w:type="dxa"/>
            <w:shd w:val="clear" w:color="auto" w:fill="D9D9D9" w:themeFill="background1" w:themeFillShade="D9"/>
            <w:vAlign w:val="center"/>
          </w:tcPr>
          <w:p w14:paraId="3622D013" w14:textId="77777777" w:rsidR="00370270" w:rsidRPr="001D59BE" w:rsidRDefault="00370270" w:rsidP="00370270">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70952E49" w14:textId="51329640"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261D8801" w14:textId="1CBB07D1"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55F74DFA" w14:textId="4E27AC59" w:rsidR="00370270" w:rsidRPr="001D59BE" w:rsidRDefault="00370270" w:rsidP="00370270">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0B7751D4" w14:textId="22B5F8BB" w:rsidR="00370270" w:rsidRPr="001D59BE" w:rsidRDefault="00370270" w:rsidP="00370270">
            <w:pPr>
              <w:jc w:val="center"/>
              <w:rPr>
                <w:rFonts w:ascii="Arial" w:hAnsi="Arial" w:cs="Arial"/>
                <w:sz w:val="20"/>
              </w:rPr>
            </w:pPr>
          </w:p>
        </w:tc>
        <w:tc>
          <w:tcPr>
            <w:tcW w:w="1261" w:type="dxa"/>
            <w:shd w:val="clear" w:color="auto" w:fill="D9D9D9" w:themeFill="background1" w:themeFillShade="D9"/>
            <w:vAlign w:val="center"/>
          </w:tcPr>
          <w:p w14:paraId="7B8AFBF7" w14:textId="4A08ABFB" w:rsidR="00370270" w:rsidRPr="001D59BE" w:rsidRDefault="00370270" w:rsidP="00370270">
            <w:pPr>
              <w:jc w:val="center"/>
              <w:rPr>
                <w:rFonts w:ascii="Arial" w:hAnsi="Arial" w:cs="Arial"/>
                <w:sz w:val="20"/>
              </w:rPr>
            </w:pPr>
          </w:p>
        </w:tc>
      </w:tr>
      <w:tr w:rsidR="00370270" w:rsidRPr="0089244D" w14:paraId="1DD042AD" w14:textId="77777777" w:rsidTr="003D0E94">
        <w:trPr>
          <w:cantSplit/>
          <w:trHeight w:val="288"/>
        </w:trPr>
        <w:tc>
          <w:tcPr>
            <w:tcW w:w="3026" w:type="dxa"/>
            <w:vMerge/>
          </w:tcPr>
          <w:p w14:paraId="4AD6DA27"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2F7BE3A2" w14:textId="77777777" w:rsidR="00370270" w:rsidRDefault="00370270" w:rsidP="00370270">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3ED8930C" w14:textId="54F241F6" w:rsidR="00370270" w:rsidRPr="00DF04C6" w:rsidRDefault="00370270" w:rsidP="00370270">
            <w:pPr>
              <w:jc w:val="center"/>
              <w:rPr>
                <w:rFonts w:ascii="Arial" w:hAnsi="Arial" w:cs="Arial"/>
                <w:sz w:val="16"/>
                <w:szCs w:val="16"/>
              </w:rPr>
            </w:pPr>
            <w:r>
              <w:rPr>
                <w:rFonts w:ascii="Arial" w:hAnsi="Arial" w:cs="Arial"/>
                <w:i/>
                <w:sz w:val="16"/>
                <w:szCs w:val="16"/>
              </w:rPr>
              <w:t>Amend Idaho Code § 19-840 to expand jurisdiction of the SAPD to handle juvenile and misdemeanor appeals from the district court</w:t>
            </w:r>
          </w:p>
        </w:tc>
        <w:tc>
          <w:tcPr>
            <w:tcW w:w="1266" w:type="dxa"/>
            <w:shd w:val="clear" w:color="auto" w:fill="FFFFFF" w:themeFill="background1"/>
            <w:vAlign w:val="center"/>
          </w:tcPr>
          <w:p w14:paraId="158DFAFE" w14:textId="6CD9613E" w:rsidR="00370270" w:rsidRPr="00DF04C6" w:rsidRDefault="00370270" w:rsidP="00370270">
            <w:pPr>
              <w:jc w:val="center"/>
              <w:rPr>
                <w:rFonts w:ascii="Arial" w:hAnsi="Arial" w:cs="Arial"/>
                <w:sz w:val="16"/>
                <w:szCs w:val="16"/>
              </w:rPr>
            </w:pPr>
            <w:r>
              <w:rPr>
                <w:rFonts w:ascii="Arial" w:hAnsi="Arial" w:cs="Arial"/>
                <w:i/>
                <w:sz w:val="16"/>
                <w:szCs w:val="16"/>
              </w:rPr>
              <w:t xml:space="preserve">Assess SAPD jurisdiction under Idaho </w:t>
            </w:r>
            <w:proofErr w:type="gramStart"/>
            <w:r>
              <w:rPr>
                <w:rFonts w:ascii="Arial" w:hAnsi="Arial" w:cs="Arial"/>
                <w:i/>
                <w:sz w:val="16"/>
                <w:szCs w:val="16"/>
              </w:rPr>
              <w:t>Code  §</w:t>
            </w:r>
            <w:proofErr w:type="gramEnd"/>
            <w:r>
              <w:rPr>
                <w:rFonts w:ascii="Arial" w:hAnsi="Arial" w:cs="Arial"/>
                <w:i/>
                <w:sz w:val="16"/>
                <w:szCs w:val="16"/>
              </w:rPr>
              <w:t xml:space="preserve"> 19-5905 to determine whether the SAPD should be appointed to additional appellate cases.</w:t>
            </w:r>
          </w:p>
        </w:tc>
        <w:tc>
          <w:tcPr>
            <w:tcW w:w="1266" w:type="dxa"/>
            <w:shd w:val="clear" w:color="auto" w:fill="FFFFFF" w:themeFill="background1"/>
            <w:vAlign w:val="center"/>
          </w:tcPr>
          <w:p w14:paraId="02E2AEA1" w14:textId="6A74706C" w:rsidR="00370270" w:rsidRPr="0089244D" w:rsidRDefault="00370270" w:rsidP="00370270">
            <w:pPr>
              <w:jc w:val="center"/>
              <w:rPr>
                <w:rFonts w:ascii="Arial" w:hAnsi="Arial" w:cs="Arial"/>
                <w:i/>
                <w:sz w:val="16"/>
                <w:szCs w:val="16"/>
              </w:rPr>
            </w:pPr>
            <w:r>
              <w:rPr>
                <w:rFonts w:ascii="Arial" w:hAnsi="Arial" w:cs="Arial"/>
                <w:i/>
                <w:sz w:val="16"/>
                <w:szCs w:val="16"/>
              </w:rPr>
              <w:t xml:space="preserve">Assess SAPD jurisdiction under Idaho </w:t>
            </w:r>
            <w:proofErr w:type="gramStart"/>
            <w:r>
              <w:rPr>
                <w:rFonts w:ascii="Arial" w:hAnsi="Arial" w:cs="Arial"/>
                <w:i/>
                <w:sz w:val="16"/>
                <w:szCs w:val="16"/>
              </w:rPr>
              <w:t>Code  §</w:t>
            </w:r>
            <w:proofErr w:type="gramEnd"/>
            <w:r>
              <w:rPr>
                <w:rFonts w:ascii="Arial" w:hAnsi="Arial" w:cs="Arial"/>
                <w:i/>
                <w:sz w:val="16"/>
                <w:szCs w:val="16"/>
              </w:rPr>
              <w:t xml:space="preserve"> 19-5905 to determine whether the SAPD should be appointed to additional appellate cases.</w:t>
            </w:r>
          </w:p>
        </w:tc>
        <w:tc>
          <w:tcPr>
            <w:tcW w:w="1266" w:type="dxa"/>
            <w:shd w:val="clear" w:color="auto" w:fill="FFFFFF" w:themeFill="background1"/>
            <w:vAlign w:val="center"/>
          </w:tcPr>
          <w:p w14:paraId="4D520D7C" w14:textId="1009C477" w:rsidR="00370270" w:rsidRPr="0089244D" w:rsidRDefault="00370270" w:rsidP="00370270">
            <w:pPr>
              <w:jc w:val="center"/>
              <w:rPr>
                <w:rFonts w:ascii="Arial" w:hAnsi="Arial" w:cs="Arial"/>
                <w:i/>
                <w:sz w:val="16"/>
                <w:szCs w:val="16"/>
              </w:rPr>
            </w:pPr>
            <w:r>
              <w:rPr>
                <w:rFonts w:ascii="Arial" w:hAnsi="Arial" w:cs="Arial"/>
                <w:i/>
                <w:sz w:val="16"/>
                <w:szCs w:val="16"/>
              </w:rPr>
              <w:t xml:space="preserve">Assess SAPD jurisdiction under Idaho </w:t>
            </w:r>
            <w:proofErr w:type="gramStart"/>
            <w:r>
              <w:rPr>
                <w:rFonts w:ascii="Arial" w:hAnsi="Arial" w:cs="Arial"/>
                <w:i/>
                <w:sz w:val="16"/>
                <w:szCs w:val="16"/>
              </w:rPr>
              <w:t>Code  §</w:t>
            </w:r>
            <w:proofErr w:type="gramEnd"/>
            <w:r>
              <w:rPr>
                <w:rFonts w:ascii="Arial" w:hAnsi="Arial" w:cs="Arial"/>
                <w:i/>
                <w:sz w:val="16"/>
                <w:szCs w:val="16"/>
              </w:rPr>
              <w:t xml:space="preserve"> 19-5905 to determine whether the SAPD should be appointed to additional appellate cases.</w:t>
            </w:r>
          </w:p>
        </w:tc>
        <w:tc>
          <w:tcPr>
            <w:tcW w:w="1261" w:type="dxa"/>
            <w:shd w:val="clear" w:color="auto" w:fill="FFFFFF" w:themeFill="background1"/>
            <w:vAlign w:val="center"/>
          </w:tcPr>
          <w:p w14:paraId="5FDC3453" w14:textId="6ACAD80A" w:rsidR="00370270" w:rsidRPr="0089244D" w:rsidRDefault="00370270" w:rsidP="00370270">
            <w:pPr>
              <w:jc w:val="center"/>
              <w:rPr>
                <w:rFonts w:ascii="Arial" w:hAnsi="Arial" w:cs="Arial"/>
                <w:i/>
                <w:sz w:val="16"/>
                <w:szCs w:val="16"/>
              </w:rPr>
            </w:pPr>
          </w:p>
        </w:tc>
      </w:tr>
      <w:tr w:rsidR="00370270" w:rsidRPr="001D59BE" w14:paraId="49CE7B76" w14:textId="77777777" w:rsidTr="003D0E94">
        <w:trPr>
          <w:cantSplit/>
          <w:trHeight w:val="288"/>
        </w:trPr>
        <w:tc>
          <w:tcPr>
            <w:tcW w:w="3026" w:type="dxa"/>
            <w:vMerge w:val="restart"/>
          </w:tcPr>
          <w:p w14:paraId="599A9740" w14:textId="77777777" w:rsidR="00370270" w:rsidRPr="00DF04C6" w:rsidRDefault="00370270" w:rsidP="00370270">
            <w:pPr>
              <w:pStyle w:val="ListParagraph"/>
              <w:numPr>
                <w:ilvl w:val="0"/>
                <w:numId w:val="2"/>
              </w:numPr>
              <w:ind w:left="342"/>
              <w:rPr>
                <w:rFonts w:ascii="Arial" w:hAnsi="Arial" w:cs="Arial"/>
                <w:bCs/>
                <w:sz w:val="20"/>
                <w:szCs w:val="20"/>
              </w:rPr>
            </w:pPr>
            <w:r w:rsidRPr="00DF04C6">
              <w:rPr>
                <w:rFonts w:ascii="Arial" w:hAnsi="Arial" w:cs="Arial"/>
                <w:color w:val="000000"/>
                <w:sz w:val="20"/>
                <w:szCs w:val="20"/>
              </w:rPr>
              <w:t>Collaborate with other entities to improve Idaho’s criminal justice system.</w:t>
            </w:r>
          </w:p>
        </w:tc>
        <w:tc>
          <w:tcPr>
            <w:tcW w:w="724" w:type="dxa"/>
            <w:shd w:val="clear" w:color="auto" w:fill="D9D9D9" w:themeFill="background1" w:themeFillShade="D9"/>
            <w:vAlign w:val="center"/>
          </w:tcPr>
          <w:p w14:paraId="1AA95921" w14:textId="77777777" w:rsidR="00370270" w:rsidRPr="001D59BE" w:rsidRDefault="00370270" w:rsidP="00370270">
            <w:pPr>
              <w:jc w:val="center"/>
              <w:rPr>
                <w:rFonts w:ascii="Arial" w:hAnsi="Arial" w:cs="Arial"/>
                <w:sz w:val="20"/>
              </w:rPr>
            </w:pPr>
            <w:r w:rsidRPr="001D59BE">
              <w:rPr>
                <w:rFonts w:ascii="Arial" w:hAnsi="Arial" w:cs="Arial"/>
                <w:sz w:val="20"/>
              </w:rPr>
              <w:t>actual</w:t>
            </w:r>
          </w:p>
        </w:tc>
        <w:tc>
          <w:tcPr>
            <w:tcW w:w="1266" w:type="dxa"/>
            <w:shd w:val="clear" w:color="auto" w:fill="D9D9D9" w:themeFill="background1" w:themeFillShade="D9"/>
            <w:vAlign w:val="center"/>
          </w:tcPr>
          <w:p w14:paraId="6DCD0986" w14:textId="0915C32D"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6DF33EE8" w14:textId="22ED4FCB" w:rsidR="00370270" w:rsidRPr="0078607D" w:rsidRDefault="00370270" w:rsidP="00370270">
            <w:pPr>
              <w:jc w:val="center"/>
              <w:rPr>
                <w:rFonts w:ascii="Arial" w:hAnsi="Arial" w:cs="Arial"/>
                <w:sz w:val="20"/>
                <w:szCs w:val="20"/>
              </w:rPr>
            </w:pPr>
            <w:r>
              <w:rPr>
                <w:rFonts w:ascii="Arial" w:hAnsi="Arial" w:cs="Arial"/>
                <w:sz w:val="20"/>
              </w:rPr>
              <w:t>100%</w:t>
            </w:r>
          </w:p>
        </w:tc>
        <w:tc>
          <w:tcPr>
            <w:tcW w:w="1266" w:type="dxa"/>
            <w:shd w:val="clear" w:color="auto" w:fill="D9D9D9" w:themeFill="background1" w:themeFillShade="D9"/>
            <w:vAlign w:val="center"/>
          </w:tcPr>
          <w:p w14:paraId="27C13368" w14:textId="051AEC4D" w:rsidR="00370270" w:rsidRPr="001D59BE" w:rsidRDefault="00370270" w:rsidP="00370270">
            <w:pPr>
              <w:jc w:val="center"/>
              <w:rPr>
                <w:rFonts w:ascii="Arial" w:hAnsi="Arial" w:cs="Arial"/>
                <w:sz w:val="20"/>
              </w:rPr>
            </w:pPr>
            <w:r>
              <w:rPr>
                <w:rFonts w:ascii="Arial" w:hAnsi="Arial" w:cs="Arial"/>
                <w:sz w:val="20"/>
              </w:rPr>
              <w:t>100%</w:t>
            </w:r>
          </w:p>
        </w:tc>
        <w:tc>
          <w:tcPr>
            <w:tcW w:w="1266" w:type="dxa"/>
            <w:shd w:val="clear" w:color="auto" w:fill="D9D9D9" w:themeFill="background1" w:themeFillShade="D9"/>
            <w:vAlign w:val="center"/>
          </w:tcPr>
          <w:p w14:paraId="39DDF0A0" w14:textId="3CD04EB0" w:rsidR="00370270" w:rsidRPr="001D59BE" w:rsidRDefault="00370270" w:rsidP="00370270">
            <w:pPr>
              <w:jc w:val="center"/>
              <w:rPr>
                <w:rFonts w:ascii="Arial" w:hAnsi="Arial" w:cs="Arial"/>
                <w:sz w:val="20"/>
              </w:rPr>
            </w:pPr>
          </w:p>
        </w:tc>
        <w:tc>
          <w:tcPr>
            <w:tcW w:w="1261" w:type="dxa"/>
            <w:shd w:val="clear" w:color="auto" w:fill="D9D9D9" w:themeFill="background1" w:themeFillShade="D9"/>
            <w:vAlign w:val="center"/>
          </w:tcPr>
          <w:p w14:paraId="12650DC8" w14:textId="78FC00BB" w:rsidR="00370270" w:rsidRPr="001D59BE" w:rsidRDefault="00370270" w:rsidP="00370270">
            <w:pPr>
              <w:jc w:val="center"/>
              <w:rPr>
                <w:rFonts w:ascii="Arial" w:hAnsi="Arial" w:cs="Arial"/>
                <w:sz w:val="20"/>
              </w:rPr>
            </w:pPr>
          </w:p>
        </w:tc>
      </w:tr>
      <w:tr w:rsidR="00370270" w:rsidRPr="0089244D" w14:paraId="21228EB6" w14:textId="77777777" w:rsidTr="003D0E94">
        <w:trPr>
          <w:cantSplit/>
          <w:trHeight w:val="288"/>
        </w:trPr>
        <w:tc>
          <w:tcPr>
            <w:tcW w:w="3026" w:type="dxa"/>
            <w:vMerge/>
          </w:tcPr>
          <w:p w14:paraId="1163347D" w14:textId="77777777" w:rsidR="00370270" w:rsidRPr="00646DA1" w:rsidRDefault="00370270" w:rsidP="00370270">
            <w:pPr>
              <w:pStyle w:val="ListParagraph"/>
              <w:numPr>
                <w:ilvl w:val="0"/>
                <w:numId w:val="2"/>
              </w:numPr>
              <w:tabs>
                <w:tab w:val="left" w:pos="2985"/>
              </w:tabs>
              <w:ind w:left="342"/>
              <w:rPr>
                <w:rFonts w:ascii="Arial" w:hAnsi="Arial" w:cs="Arial"/>
                <w:sz w:val="20"/>
              </w:rPr>
            </w:pPr>
          </w:p>
        </w:tc>
        <w:tc>
          <w:tcPr>
            <w:tcW w:w="724" w:type="dxa"/>
            <w:shd w:val="clear" w:color="auto" w:fill="FFFFFF" w:themeFill="background1"/>
            <w:vAlign w:val="center"/>
          </w:tcPr>
          <w:p w14:paraId="25E151FD" w14:textId="77777777" w:rsidR="00370270" w:rsidRDefault="00370270" w:rsidP="00370270">
            <w:pPr>
              <w:jc w:val="center"/>
              <w:rPr>
                <w:rFonts w:ascii="Arial" w:hAnsi="Arial" w:cs="Arial"/>
                <w:sz w:val="20"/>
              </w:rPr>
            </w:pPr>
            <w:r>
              <w:rPr>
                <w:rFonts w:ascii="Arial" w:hAnsi="Arial" w:cs="Arial"/>
                <w:i/>
                <w:sz w:val="16"/>
                <w:szCs w:val="16"/>
              </w:rPr>
              <w:t>target</w:t>
            </w:r>
          </w:p>
        </w:tc>
        <w:tc>
          <w:tcPr>
            <w:tcW w:w="1266" w:type="dxa"/>
            <w:shd w:val="clear" w:color="auto" w:fill="FFFFFF" w:themeFill="background1"/>
            <w:vAlign w:val="center"/>
          </w:tcPr>
          <w:p w14:paraId="501321B0" w14:textId="0256A295" w:rsidR="00370270" w:rsidRPr="0089244D" w:rsidRDefault="00370270" w:rsidP="00370270">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6" w:type="dxa"/>
            <w:shd w:val="clear" w:color="auto" w:fill="FFFFFF" w:themeFill="background1"/>
            <w:vAlign w:val="center"/>
          </w:tcPr>
          <w:p w14:paraId="0900416C" w14:textId="50A7E55A" w:rsidR="00370270" w:rsidRPr="0089244D" w:rsidRDefault="00370270" w:rsidP="00370270">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6" w:type="dxa"/>
            <w:shd w:val="clear" w:color="auto" w:fill="FFFFFF" w:themeFill="background1"/>
            <w:vAlign w:val="center"/>
          </w:tcPr>
          <w:p w14:paraId="69DA6F99" w14:textId="54168284" w:rsidR="00370270" w:rsidRPr="0089244D" w:rsidRDefault="00370270" w:rsidP="00370270">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6" w:type="dxa"/>
            <w:shd w:val="clear" w:color="auto" w:fill="FFFFFF" w:themeFill="background1"/>
            <w:vAlign w:val="center"/>
          </w:tcPr>
          <w:p w14:paraId="7BF83697" w14:textId="7E99E41B" w:rsidR="00370270" w:rsidRPr="0089244D" w:rsidRDefault="00370270" w:rsidP="00370270">
            <w:pPr>
              <w:jc w:val="center"/>
              <w:rPr>
                <w:rFonts w:ascii="Arial" w:hAnsi="Arial" w:cs="Arial"/>
                <w:i/>
                <w:sz w:val="16"/>
                <w:szCs w:val="16"/>
              </w:rPr>
            </w:pPr>
            <w:r w:rsidRPr="00DF04C6">
              <w:rPr>
                <w:rFonts w:ascii="Arial" w:hAnsi="Arial" w:cs="Arial"/>
                <w:i/>
                <w:color w:val="000000"/>
                <w:sz w:val="16"/>
                <w:szCs w:val="16"/>
              </w:rPr>
              <w:t>Participation in</w:t>
            </w:r>
            <w:r>
              <w:rPr>
                <w:rFonts w:ascii="Arial" w:hAnsi="Arial" w:cs="Arial"/>
                <w:i/>
                <w:color w:val="000000"/>
                <w:sz w:val="16"/>
                <w:szCs w:val="16"/>
              </w:rPr>
              <w:t xml:space="preserve"> the ICJC,</w:t>
            </w:r>
            <w:r w:rsidRPr="00DF04C6">
              <w:rPr>
                <w:rFonts w:ascii="Arial" w:hAnsi="Arial" w:cs="Arial"/>
                <w:i/>
                <w:color w:val="000000"/>
                <w:sz w:val="16"/>
                <w:szCs w:val="16"/>
              </w:rPr>
              <w:t xml:space="preserve"> </w:t>
            </w:r>
            <w:r>
              <w:rPr>
                <w:rFonts w:ascii="Arial" w:hAnsi="Arial" w:cs="Arial"/>
                <w:i/>
                <w:color w:val="000000"/>
                <w:sz w:val="16"/>
                <w:szCs w:val="16"/>
              </w:rPr>
              <w:t>IPDC</w:t>
            </w:r>
            <w:r w:rsidRPr="00DF04C6">
              <w:rPr>
                <w:rFonts w:ascii="Arial" w:hAnsi="Arial" w:cs="Arial"/>
                <w:i/>
                <w:color w:val="000000"/>
                <w:sz w:val="16"/>
                <w:szCs w:val="16"/>
              </w:rPr>
              <w:t xml:space="preserve">, the </w:t>
            </w:r>
            <w:r>
              <w:rPr>
                <w:rFonts w:ascii="Arial" w:hAnsi="Arial" w:cs="Arial"/>
                <w:i/>
                <w:color w:val="000000"/>
                <w:sz w:val="16"/>
                <w:szCs w:val="16"/>
              </w:rPr>
              <w:t>Grant Council</w:t>
            </w:r>
            <w:r w:rsidRPr="00DF04C6">
              <w:rPr>
                <w:rFonts w:ascii="Arial" w:hAnsi="Arial" w:cs="Arial"/>
                <w:i/>
                <w:color w:val="000000"/>
                <w:sz w:val="16"/>
                <w:szCs w:val="16"/>
              </w:rPr>
              <w:t xml:space="preserve">, the </w:t>
            </w:r>
            <w:r>
              <w:rPr>
                <w:rFonts w:ascii="Arial" w:hAnsi="Arial" w:cs="Arial"/>
                <w:i/>
                <w:color w:val="000000"/>
                <w:sz w:val="16"/>
                <w:szCs w:val="16"/>
              </w:rPr>
              <w:t>Technology Committee, the</w:t>
            </w:r>
            <w:r w:rsidRPr="00DF04C6">
              <w:rPr>
                <w:rFonts w:ascii="Arial" w:hAnsi="Arial" w:cs="Arial"/>
                <w:i/>
                <w:color w:val="000000"/>
                <w:sz w:val="16"/>
                <w:szCs w:val="16"/>
              </w:rPr>
              <w:t xml:space="preserve"> Appellate Rules Committee, and the </w:t>
            </w:r>
            <w:r>
              <w:rPr>
                <w:rFonts w:ascii="Arial" w:hAnsi="Arial" w:cs="Arial"/>
                <w:i/>
                <w:color w:val="000000"/>
                <w:sz w:val="16"/>
                <w:szCs w:val="16"/>
              </w:rPr>
              <w:t>NAPD</w:t>
            </w:r>
          </w:p>
        </w:tc>
        <w:tc>
          <w:tcPr>
            <w:tcW w:w="1261" w:type="dxa"/>
            <w:shd w:val="clear" w:color="auto" w:fill="FFFFFF" w:themeFill="background1"/>
            <w:vAlign w:val="center"/>
          </w:tcPr>
          <w:p w14:paraId="7C534247" w14:textId="645DD41F" w:rsidR="00370270" w:rsidRPr="0089244D" w:rsidRDefault="00370270" w:rsidP="00370270">
            <w:pPr>
              <w:jc w:val="center"/>
              <w:rPr>
                <w:rFonts w:ascii="Arial" w:hAnsi="Arial" w:cs="Arial"/>
                <w:i/>
                <w:sz w:val="16"/>
                <w:szCs w:val="16"/>
              </w:rPr>
            </w:pPr>
          </w:p>
        </w:tc>
      </w:tr>
    </w:tbl>
    <w:p w14:paraId="3E3D84EF" w14:textId="7573222D" w:rsidR="001E1170" w:rsidRDefault="001E1170" w:rsidP="009E383C">
      <w:pPr>
        <w:jc w:val="both"/>
        <w:rPr>
          <w:rFonts w:ascii="Arial" w:hAnsi="Arial" w:cs="Arial"/>
          <w:sz w:val="20"/>
          <w:szCs w:val="20"/>
        </w:rPr>
      </w:pPr>
      <w:r>
        <w:rPr>
          <w:rFonts w:ascii="Arial" w:hAnsi="Arial" w:cs="Arial"/>
          <w:sz w:val="20"/>
          <w:szCs w:val="20"/>
        </w:rPr>
        <w:t>** Estimated</w:t>
      </w:r>
    </w:p>
    <w:p w14:paraId="6736A43D" w14:textId="59219885" w:rsidR="001B500F" w:rsidRDefault="001E1170" w:rsidP="009E383C">
      <w:pPr>
        <w:jc w:val="both"/>
        <w:rPr>
          <w:rFonts w:ascii="Arial" w:hAnsi="Arial" w:cs="Arial"/>
          <w:sz w:val="20"/>
          <w:szCs w:val="20"/>
        </w:rPr>
      </w:pPr>
      <w:r>
        <w:rPr>
          <w:rFonts w:ascii="Arial" w:hAnsi="Arial" w:cs="Arial"/>
          <w:sz w:val="20"/>
          <w:szCs w:val="20"/>
        </w:rPr>
        <w:t>*</w:t>
      </w:r>
      <w:r w:rsidR="000E2BA1">
        <w:rPr>
          <w:rFonts w:ascii="Arial" w:hAnsi="Arial" w:cs="Arial"/>
          <w:sz w:val="20"/>
          <w:szCs w:val="20"/>
        </w:rPr>
        <w:t>*</w:t>
      </w:r>
      <w:r w:rsidR="00D608C8">
        <w:rPr>
          <w:rFonts w:ascii="Arial" w:hAnsi="Arial" w:cs="Arial"/>
          <w:sz w:val="20"/>
          <w:szCs w:val="20"/>
        </w:rPr>
        <w:t>*</w:t>
      </w:r>
      <w:r w:rsidR="00C658AB">
        <w:rPr>
          <w:rFonts w:ascii="Arial" w:hAnsi="Arial" w:cs="Arial"/>
          <w:sz w:val="20"/>
          <w:szCs w:val="20"/>
        </w:rPr>
        <w:t xml:space="preserve"> </w:t>
      </w:r>
      <w:r w:rsidR="004E3AA5">
        <w:rPr>
          <w:rFonts w:ascii="Arial" w:hAnsi="Arial" w:cs="Arial"/>
          <w:sz w:val="20"/>
          <w:szCs w:val="20"/>
        </w:rPr>
        <w:t xml:space="preserve">Workload data </w:t>
      </w:r>
      <w:r w:rsidR="00733955">
        <w:rPr>
          <w:rFonts w:ascii="Arial" w:hAnsi="Arial" w:cs="Arial"/>
          <w:sz w:val="20"/>
          <w:szCs w:val="20"/>
        </w:rPr>
        <w:t xml:space="preserve">for FY 2024 </w:t>
      </w:r>
      <w:r w:rsidR="002272E9">
        <w:rPr>
          <w:rFonts w:ascii="Arial" w:hAnsi="Arial" w:cs="Arial"/>
          <w:sz w:val="20"/>
          <w:szCs w:val="20"/>
        </w:rPr>
        <w:t xml:space="preserve">considers only </w:t>
      </w:r>
      <w:r w:rsidR="002637E6">
        <w:rPr>
          <w:rFonts w:ascii="Arial" w:hAnsi="Arial" w:cs="Arial"/>
          <w:sz w:val="20"/>
          <w:szCs w:val="20"/>
        </w:rPr>
        <w:t xml:space="preserve">cases handled by </w:t>
      </w:r>
      <w:r w:rsidR="002272E9">
        <w:rPr>
          <w:rFonts w:ascii="Arial" w:hAnsi="Arial" w:cs="Arial"/>
          <w:sz w:val="20"/>
          <w:szCs w:val="20"/>
        </w:rPr>
        <w:t xml:space="preserve">AU attorneys who </w:t>
      </w:r>
      <w:r w:rsidR="00535327">
        <w:rPr>
          <w:rFonts w:ascii="Arial" w:hAnsi="Arial" w:cs="Arial"/>
          <w:sz w:val="20"/>
          <w:szCs w:val="20"/>
        </w:rPr>
        <w:t xml:space="preserve">remained with the SAPD throughout the bulk of the year. It </w:t>
      </w:r>
      <w:r w:rsidR="00660B0E">
        <w:rPr>
          <w:rFonts w:ascii="Arial" w:hAnsi="Arial" w:cs="Arial"/>
          <w:sz w:val="20"/>
          <w:szCs w:val="20"/>
        </w:rPr>
        <w:t>omits</w:t>
      </w:r>
      <w:r w:rsidR="00535327">
        <w:rPr>
          <w:rFonts w:ascii="Arial" w:hAnsi="Arial" w:cs="Arial"/>
          <w:sz w:val="20"/>
          <w:szCs w:val="20"/>
        </w:rPr>
        <w:t xml:space="preserve"> </w:t>
      </w:r>
      <w:r w:rsidR="00660B0E">
        <w:rPr>
          <w:rFonts w:ascii="Arial" w:hAnsi="Arial" w:cs="Arial"/>
          <w:sz w:val="20"/>
          <w:szCs w:val="20"/>
        </w:rPr>
        <w:t xml:space="preserve">a handful of </w:t>
      </w:r>
      <w:r w:rsidR="00535327">
        <w:rPr>
          <w:rFonts w:ascii="Arial" w:hAnsi="Arial" w:cs="Arial"/>
          <w:sz w:val="20"/>
          <w:szCs w:val="20"/>
        </w:rPr>
        <w:t xml:space="preserve">AU cases </w:t>
      </w:r>
      <w:r w:rsidR="002637E6">
        <w:rPr>
          <w:rFonts w:ascii="Arial" w:hAnsi="Arial" w:cs="Arial"/>
          <w:sz w:val="20"/>
          <w:szCs w:val="20"/>
        </w:rPr>
        <w:t>handled</w:t>
      </w:r>
      <w:r w:rsidR="00535327">
        <w:rPr>
          <w:rFonts w:ascii="Arial" w:hAnsi="Arial" w:cs="Arial"/>
          <w:sz w:val="20"/>
          <w:szCs w:val="20"/>
        </w:rPr>
        <w:t xml:space="preserve"> by the Director and </w:t>
      </w:r>
      <w:r w:rsidR="00D235B7">
        <w:rPr>
          <w:rFonts w:ascii="Arial" w:hAnsi="Arial" w:cs="Arial"/>
          <w:sz w:val="20"/>
          <w:szCs w:val="20"/>
        </w:rPr>
        <w:t xml:space="preserve">various </w:t>
      </w:r>
      <w:r w:rsidR="00535327">
        <w:rPr>
          <w:rFonts w:ascii="Arial" w:hAnsi="Arial" w:cs="Arial"/>
          <w:sz w:val="20"/>
          <w:szCs w:val="20"/>
        </w:rPr>
        <w:t>CLU attorneys</w:t>
      </w:r>
      <w:r w:rsidR="00660B0E">
        <w:rPr>
          <w:rFonts w:ascii="Arial" w:hAnsi="Arial" w:cs="Arial"/>
          <w:sz w:val="20"/>
          <w:szCs w:val="20"/>
        </w:rPr>
        <w:t>, as well as the</w:t>
      </w:r>
      <w:r w:rsidR="002637E6">
        <w:rPr>
          <w:rFonts w:ascii="Arial" w:hAnsi="Arial" w:cs="Arial"/>
          <w:sz w:val="20"/>
          <w:szCs w:val="20"/>
        </w:rPr>
        <w:t xml:space="preserve"> cases</w:t>
      </w:r>
      <w:r w:rsidR="00660B0E">
        <w:rPr>
          <w:rFonts w:ascii="Arial" w:hAnsi="Arial" w:cs="Arial"/>
          <w:sz w:val="20"/>
          <w:szCs w:val="20"/>
        </w:rPr>
        <w:t xml:space="preserve"> handled by </w:t>
      </w:r>
      <w:r w:rsidR="002637E6">
        <w:rPr>
          <w:rFonts w:ascii="Arial" w:hAnsi="Arial" w:cs="Arial"/>
          <w:sz w:val="20"/>
          <w:szCs w:val="20"/>
        </w:rPr>
        <w:t>an attorney who left the SAPD</w:t>
      </w:r>
      <w:r w:rsidR="00410E36">
        <w:rPr>
          <w:rFonts w:ascii="Arial" w:hAnsi="Arial" w:cs="Arial"/>
          <w:sz w:val="20"/>
          <w:szCs w:val="20"/>
        </w:rPr>
        <w:t xml:space="preserve"> in the first quarter of the fiscal year</w:t>
      </w:r>
      <w:r w:rsidR="000E2BA1">
        <w:rPr>
          <w:rFonts w:ascii="Arial" w:hAnsi="Arial" w:cs="Arial"/>
          <w:sz w:val="20"/>
          <w:szCs w:val="20"/>
        </w:rPr>
        <w:t>.</w:t>
      </w:r>
      <w:r w:rsidR="001B500F">
        <w:rPr>
          <w:rFonts w:ascii="Arial" w:hAnsi="Arial" w:cs="Arial"/>
          <w:sz w:val="20"/>
          <w:szCs w:val="20"/>
        </w:rPr>
        <w:t xml:space="preserve"> </w:t>
      </w:r>
    </w:p>
    <w:p w14:paraId="2A5F82BC" w14:textId="77777777" w:rsidR="003D0E94" w:rsidRDefault="003D0E94" w:rsidP="00A65DFA">
      <w:pPr>
        <w:jc w:val="both"/>
        <w:rPr>
          <w:rFonts w:ascii="Arial" w:hAnsi="Arial" w:cs="Arial"/>
          <w:b/>
          <w:bCs/>
        </w:rPr>
      </w:pPr>
    </w:p>
    <w:p w14:paraId="753E318C" w14:textId="77777777" w:rsidR="00410E36" w:rsidRDefault="00410E36" w:rsidP="00A65DFA">
      <w:pPr>
        <w:jc w:val="both"/>
        <w:rPr>
          <w:rFonts w:ascii="Arial" w:hAnsi="Arial" w:cs="Arial"/>
          <w:b/>
          <w:bCs/>
        </w:rPr>
      </w:pPr>
    </w:p>
    <w:p w14:paraId="06F4C040" w14:textId="3BB1ADA6" w:rsidR="00A65DFA" w:rsidRDefault="008E458A" w:rsidP="00A65DFA">
      <w:pPr>
        <w:jc w:val="both"/>
        <w:rPr>
          <w:rFonts w:ascii="Arial" w:hAnsi="Arial" w:cs="Arial"/>
          <w:b/>
          <w:bCs/>
        </w:rPr>
      </w:pPr>
      <w:r w:rsidRPr="00BE41B3">
        <w:rPr>
          <w:rFonts w:ascii="Arial" w:hAnsi="Arial" w:cs="Arial"/>
          <w:b/>
          <w:bCs/>
        </w:rPr>
        <w:t>Performance Measure Explanatory Note</w:t>
      </w:r>
      <w:r>
        <w:rPr>
          <w:rFonts w:ascii="Arial" w:hAnsi="Arial" w:cs="Arial"/>
          <w:b/>
          <w:bCs/>
        </w:rPr>
        <w:t>s</w:t>
      </w:r>
    </w:p>
    <w:p w14:paraId="512CA834" w14:textId="1F95B0A4" w:rsidR="00BA5537" w:rsidRDefault="00BB3B89" w:rsidP="00BB3B89">
      <w:pPr>
        <w:tabs>
          <w:tab w:val="left" w:pos="3690"/>
        </w:tabs>
        <w:jc w:val="both"/>
        <w:rPr>
          <w:rFonts w:ascii="Arial" w:hAnsi="Arial" w:cs="Arial"/>
          <w:b/>
          <w:bCs/>
          <w:i/>
          <w:color w:val="FF0000"/>
        </w:rPr>
      </w:pPr>
      <w:r>
        <w:rPr>
          <w:rFonts w:ascii="Arial" w:hAnsi="Arial" w:cs="Arial"/>
          <w:b/>
          <w:bCs/>
          <w:i/>
          <w:color w:val="FF0000"/>
        </w:rPr>
        <w:tab/>
      </w:r>
    </w:p>
    <w:p w14:paraId="22E6B32B" w14:textId="484D6B8C" w:rsidR="00147BB5" w:rsidRDefault="00054D06" w:rsidP="002F5683">
      <w:pPr>
        <w:jc w:val="both"/>
        <w:rPr>
          <w:rFonts w:ascii="Arial" w:hAnsi="Arial" w:cs="Arial"/>
          <w:color w:val="000000"/>
          <w:sz w:val="20"/>
          <w:szCs w:val="20"/>
        </w:rPr>
      </w:pPr>
      <w:r>
        <w:rPr>
          <w:rFonts w:ascii="Arial" w:hAnsi="Arial" w:cs="Arial"/>
          <w:color w:val="000000"/>
          <w:sz w:val="20"/>
          <w:szCs w:val="20"/>
        </w:rPr>
        <w:t xml:space="preserve">In </w:t>
      </w:r>
      <w:r w:rsidR="008A154B">
        <w:rPr>
          <w:rFonts w:ascii="Arial" w:hAnsi="Arial" w:cs="Arial"/>
          <w:color w:val="000000"/>
          <w:sz w:val="20"/>
          <w:szCs w:val="20"/>
        </w:rPr>
        <w:t>FY</w:t>
      </w:r>
      <w:r w:rsidR="00390F11">
        <w:rPr>
          <w:rFonts w:ascii="Arial" w:hAnsi="Arial" w:cs="Arial"/>
          <w:color w:val="000000"/>
          <w:sz w:val="20"/>
          <w:szCs w:val="20"/>
        </w:rPr>
        <w:t xml:space="preserve"> </w:t>
      </w:r>
      <w:r w:rsidR="008A154B">
        <w:rPr>
          <w:rFonts w:ascii="Arial" w:hAnsi="Arial" w:cs="Arial"/>
          <w:color w:val="000000"/>
          <w:sz w:val="20"/>
          <w:szCs w:val="20"/>
        </w:rPr>
        <w:t>20</w:t>
      </w:r>
      <w:r w:rsidR="00BA5537">
        <w:rPr>
          <w:rFonts w:ascii="Arial" w:hAnsi="Arial" w:cs="Arial"/>
          <w:color w:val="000000"/>
          <w:sz w:val="20"/>
          <w:szCs w:val="20"/>
        </w:rPr>
        <w:t>2</w:t>
      </w:r>
      <w:r w:rsidR="002F7B2C">
        <w:rPr>
          <w:rFonts w:ascii="Arial" w:hAnsi="Arial" w:cs="Arial"/>
          <w:color w:val="000000"/>
          <w:sz w:val="20"/>
          <w:szCs w:val="20"/>
        </w:rPr>
        <w:t>3</w:t>
      </w:r>
      <w:r w:rsidR="000027D2">
        <w:rPr>
          <w:rFonts w:ascii="Arial" w:hAnsi="Arial" w:cs="Arial"/>
          <w:color w:val="000000"/>
          <w:sz w:val="20"/>
          <w:szCs w:val="20"/>
        </w:rPr>
        <w:t xml:space="preserve"> and FY 2024</w:t>
      </w:r>
      <w:r w:rsidR="003E7EB9" w:rsidRPr="00BA0919">
        <w:rPr>
          <w:rFonts w:ascii="Arial" w:hAnsi="Arial" w:cs="Arial"/>
          <w:color w:val="000000"/>
          <w:sz w:val="20"/>
          <w:szCs w:val="20"/>
        </w:rPr>
        <w:t xml:space="preserve">, </w:t>
      </w:r>
      <w:r w:rsidR="000027D2">
        <w:rPr>
          <w:rFonts w:ascii="Arial" w:hAnsi="Arial" w:cs="Arial"/>
          <w:color w:val="000000"/>
          <w:sz w:val="20"/>
          <w:szCs w:val="20"/>
        </w:rPr>
        <w:t>the SAPD</w:t>
      </w:r>
      <w:r w:rsidR="008B3A50">
        <w:rPr>
          <w:rFonts w:ascii="Arial" w:hAnsi="Arial" w:cs="Arial"/>
          <w:color w:val="000000"/>
          <w:sz w:val="20"/>
          <w:szCs w:val="20"/>
        </w:rPr>
        <w:t xml:space="preserve"> </w:t>
      </w:r>
      <w:r w:rsidR="006055E4">
        <w:rPr>
          <w:rFonts w:ascii="Arial" w:hAnsi="Arial" w:cs="Arial"/>
          <w:color w:val="000000"/>
          <w:sz w:val="20"/>
          <w:szCs w:val="20"/>
        </w:rPr>
        <w:t xml:space="preserve">experienced </w:t>
      </w:r>
      <w:r w:rsidR="00BA1F26">
        <w:rPr>
          <w:rFonts w:ascii="Arial" w:hAnsi="Arial" w:cs="Arial"/>
          <w:color w:val="000000"/>
          <w:sz w:val="20"/>
          <w:szCs w:val="20"/>
        </w:rPr>
        <w:t>dramatic growth in its noncapital caseload</w:t>
      </w:r>
      <w:r w:rsidR="006055E4">
        <w:rPr>
          <w:rFonts w:ascii="Arial" w:hAnsi="Arial" w:cs="Arial"/>
          <w:color w:val="000000"/>
          <w:sz w:val="20"/>
          <w:szCs w:val="20"/>
        </w:rPr>
        <w:t xml:space="preserve">. In FY 2023 </w:t>
      </w:r>
      <w:r w:rsidR="003E7EB9" w:rsidRPr="00BA0919">
        <w:rPr>
          <w:rFonts w:ascii="Arial" w:hAnsi="Arial" w:cs="Arial"/>
          <w:color w:val="000000"/>
          <w:sz w:val="20"/>
          <w:szCs w:val="20"/>
        </w:rPr>
        <w:t xml:space="preserve">the SAPD was appointed to </w:t>
      </w:r>
      <w:r w:rsidR="002F7B2C">
        <w:rPr>
          <w:rFonts w:ascii="Arial" w:hAnsi="Arial" w:cs="Arial"/>
          <w:color w:val="000000"/>
          <w:sz w:val="20"/>
          <w:szCs w:val="20"/>
        </w:rPr>
        <w:t>71</w:t>
      </w:r>
      <w:r w:rsidR="00147BB5">
        <w:rPr>
          <w:rFonts w:ascii="Arial" w:hAnsi="Arial" w:cs="Arial"/>
          <w:color w:val="000000"/>
          <w:sz w:val="20"/>
          <w:szCs w:val="20"/>
        </w:rPr>
        <w:t>8</w:t>
      </w:r>
      <w:r w:rsidR="003E7EB9" w:rsidRPr="00BA0919">
        <w:rPr>
          <w:rFonts w:ascii="Arial" w:hAnsi="Arial" w:cs="Arial"/>
          <w:color w:val="000000"/>
          <w:sz w:val="20"/>
          <w:szCs w:val="20"/>
        </w:rPr>
        <w:t xml:space="preserve"> </w:t>
      </w:r>
      <w:r w:rsidR="00A53DE7">
        <w:rPr>
          <w:rFonts w:ascii="Arial" w:hAnsi="Arial" w:cs="Arial"/>
          <w:color w:val="000000"/>
          <w:sz w:val="20"/>
          <w:szCs w:val="20"/>
        </w:rPr>
        <w:t xml:space="preserve">new </w:t>
      </w:r>
      <w:r w:rsidR="006055E4">
        <w:rPr>
          <w:rFonts w:ascii="Arial" w:hAnsi="Arial" w:cs="Arial"/>
          <w:color w:val="000000"/>
          <w:sz w:val="20"/>
          <w:szCs w:val="20"/>
        </w:rPr>
        <w:t>non</w:t>
      </w:r>
      <w:r w:rsidR="003A7974">
        <w:rPr>
          <w:rFonts w:ascii="Arial" w:hAnsi="Arial" w:cs="Arial"/>
          <w:color w:val="000000"/>
          <w:sz w:val="20"/>
          <w:szCs w:val="20"/>
        </w:rPr>
        <w:t>capital</w:t>
      </w:r>
      <w:r w:rsidR="003E7EB9" w:rsidRPr="00BA0919">
        <w:rPr>
          <w:rFonts w:ascii="Arial" w:hAnsi="Arial" w:cs="Arial"/>
          <w:color w:val="000000"/>
          <w:sz w:val="20"/>
          <w:szCs w:val="20"/>
        </w:rPr>
        <w:t xml:space="preserve"> appeals</w:t>
      </w:r>
      <w:r w:rsidR="00BA1F26">
        <w:rPr>
          <w:rFonts w:ascii="Arial" w:hAnsi="Arial" w:cs="Arial"/>
          <w:color w:val="000000"/>
          <w:sz w:val="20"/>
          <w:szCs w:val="20"/>
        </w:rPr>
        <w:t xml:space="preserve">, and in FY 2024 it was appointed to </w:t>
      </w:r>
      <w:r w:rsidR="001D65F5">
        <w:rPr>
          <w:rFonts w:ascii="Arial" w:hAnsi="Arial" w:cs="Arial"/>
          <w:color w:val="000000"/>
          <w:sz w:val="20"/>
          <w:szCs w:val="20"/>
        </w:rPr>
        <w:t xml:space="preserve">674 </w:t>
      </w:r>
      <w:r w:rsidR="00A53DE7">
        <w:rPr>
          <w:rFonts w:ascii="Arial" w:hAnsi="Arial" w:cs="Arial"/>
          <w:color w:val="000000"/>
          <w:sz w:val="20"/>
          <w:szCs w:val="20"/>
        </w:rPr>
        <w:t xml:space="preserve">new </w:t>
      </w:r>
      <w:r w:rsidR="001D65F5">
        <w:rPr>
          <w:rFonts w:ascii="Arial" w:hAnsi="Arial" w:cs="Arial"/>
          <w:color w:val="000000"/>
          <w:sz w:val="20"/>
          <w:szCs w:val="20"/>
        </w:rPr>
        <w:t xml:space="preserve">noncapital appeals. </w:t>
      </w:r>
      <w:r w:rsidR="00390F11">
        <w:rPr>
          <w:rFonts w:ascii="Arial" w:hAnsi="Arial" w:cs="Arial"/>
          <w:color w:val="000000"/>
          <w:sz w:val="20"/>
          <w:szCs w:val="20"/>
        </w:rPr>
        <w:t>Such caseloads</w:t>
      </w:r>
      <w:r w:rsidR="00197245">
        <w:rPr>
          <w:rFonts w:ascii="Arial" w:hAnsi="Arial" w:cs="Arial"/>
          <w:color w:val="000000"/>
          <w:sz w:val="20"/>
          <w:szCs w:val="20"/>
        </w:rPr>
        <w:t xml:space="preserve"> far exceed the SAPD’s historical average</w:t>
      </w:r>
      <w:r w:rsidR="00027957">
        <w:rPr>
          <w:rFonts w:ascii="Arial" w:hAnsi="Arial" w:cs="Arial"/>
          <w:color w:val="000000"/>
          <w:sz w:val="20"/>
          <w:szCs w:val="20"/>
        </w:rPr>
        <w:t xml:space="preserve"> </w:t>
      </w:r>
      <w:r w:rsidR="004078F9">
        <w:rPr>
          <w:rFonts w:ascii="Arial" w:hAnsi="Arial" w:cs="Arial"/>
          <w:color w:val="000000"/>
          <w:sz w:val="20"/>
          <w:szCs w:val="20"/>
        </w:rPr>
        <w:t>(</w:t>
      </w:r>
      <w:r w:rsidR="00027957">
        <w:rPr>
          <w:rFonts w:ascii="Arial" w:hAnsi="Arial" w:cs="Arial"/>
          <w:color w:val="000000"/>
          <w:sz w:val="20"/>
          <w:szCs w:val="20"/>
        </w:rPr>
        <w:t>approximately 600 cases per year</w:t>
      </w:r>
      <w:r w:rsidR="004078F9">
        <w:rPr>
          <w:rFonts w:ascii="Arial" w:hAnsi="Arial" w:cs="Arial"/>
          <w:color w:val="000000"/>
          <w:sz w:val="20"/>
          <w:szCs w:val="20"/>
        </w:rPr>
        <w:t>)</w:t>
      </w:r>
      <w:r w:rsidR="00696168">
        <w:rPr>
          <w:rFonts w:ascii="Arial" w:hAnsi="Arial" w:cs="Arial"/>
          <w:color w:val="000000"/>
          <w:sz w:val="20"/>
          <w:szCs w:val="20"/>
        </w:rPr>
        <w:t xml:space="preserve"> </w:t>
      </w:r>
      <w:r w:rsidR="009B09CD">
        <w:rPr>
          <w:rFonts w:ascii="Arial" w:hAnsi="Arial" w:cs="Arial"/>
          <w:color w:val="000000"/>
          <w:sz w:val="20"/>
          <w:szCs w:val="20"/>
        </w:rPr>
        <w:t>as well as</w:t>
      </w:r>
      <w:r w:rsidR="00696168">
        <w:rPr>
          <w:rFonts w:ascii="Arial" w:hAnsi="Arial" w:cs="Arial"/>
          <w:color w:val="000000"/>
          <w:sz w:val="20"/>
          <w:szCs w:val="20"/>
        </w:rPr>
        <w:t xml:space="preserve"> its </w:t>
      </w:r>
      <w:r w:rsidR="00147BB5">
        <w:rPr>
          <w:rFonts w:ascii="Arial" w:hAnsi="Arial" w:cs="Arial"/>
          <w:color w:val="000000"/>
          <w:sz w:val="20"/>
          <w:szCs w:val="20"/>
        </w:rPr>
        <w:t>capacity.</w:t>
      </w:r>
      <w:r w:rsidR="00390F11">
        <w:rPr>
          <w:rFonts w:ascii="Arial" w:hAnsi="Arial" w:cs="Arial"/>
          <w:color w:val="000000"/>
          <w:sz w:val="20"/>
          <w:szCs w:val="20"/>
        </w:rPr>
        <w:t xml:space="preserve"> </w:t>
      </w:r>
      <w:r w:rsidR="006874ED">
        <w:rPr>
          <w:rFonts w:ascii="Arial" w:hAnsi="Arial" w:cs="Arial"/>
          <w:color w:val="000000"/>
          <w:sz w:val="20"/>
          <w:szCs w:val="20"/>
        </w:rPr>
        <w:t xml:space="preserve">Compounding the challenges associated with </w:t>
      </w:r>
      <w:r w:rsidR="003A7837">
        <w:rPr>
          <w:rFonts w:ascii="Arial" w:hAnsi="Arial" w:cs="Arial"/>
          <w:color w:val="000000"/>
          <w:sz w:val="20"/>
          <w:szCs w:val="20"/>
        </w:rPr>
        <w:t>an excessive</w:t>
      </w:r>
      <w:r w:rsidR="006874ED">
        <w:rPr>
          <w:rFonts w:ascii="Arial" w:hAnsi="Arial" w:cs="Arial"/>
          <w:color w:val="000000"/>
          <w:sz w:val="20"/>
          <w:szCs w:val="20"/>
        </w:rPr>
        <w:t xml:space="preserve"> caseload, the SAPD </w:t>
      </w:r>
      <w:r w:rsidR="001012F5">
        <w:rPr>
          <w:rFonts w:ascii="Arial" w:hAnsi="Arial" w:cs="Arial"/>
          <w:color w:val="000000"/>
          <w:sz w:val="20"/>
          <w:szCs w:val="20"/>
        </w:rPr>
        <w:t xml:space="preserve">also </w:t>
      </w:r>
      <w:r w:rsidR="006874ED">
        <w:rPr>
          <w:rFonts w:ascii="Arial" w:hAnsi="Arial" w:cs="Arial"/>
          <w:color w:val="000000"/>
          <w:sz w:val="20"/>
          <w:szCs w:val="20"/>
        </w:rPr>
        <w:t>experience</w:t>
      </w:r>
      <w:r w:rsidR="001012F5">
        <w:rPr>
          <w:rFonts w:ascii="Arial" w:hAnsi="Arial" w:cs="Arial"/>
          <w:color w:val="000000"/>
          <w:sz w:val="20"/>
          <w:szCs w:val="20"/>
        </w:rPr>
        <w:t>d</w:t>
      </w:r>
      <w:r w:rsidR="006874ED">
        <w:rPr>
          <w:rFonts w:ascii="Arial" w:hAnsi="Arial" w:cs="Arial"/>
          <w:color w:val="000000"/>
          <w:sz w:val="20"/>
          <w:szCs w:val="20"/>
        </w:rPr>
        <w:t xml:space="preserve"> </w:t>
      </w:r>
      <w:r w:rsidR="001012F5">
        <w:rPr>
          <w:rFonts w:ascii="Arial" w:hAnsi="Arial" w:cs="Arial"/>
          <w:color w:val="000000"/>
          <w:sz w:val="20"/>
          <w:szCs w:val="20"/>
        </w:rPr>
        <w:t>unprecedented hiring challenges in FY 2024</w:t>
      </w:r>
      <w:r w:rsidR="00AD0C24">
        <w:rPr>
          <w:rFonts w:ascii="Arial" w:hAnsi="Arial" w:cs="Arial"/>
          <w:color w:val="000000"/>
          <w:sz w:val="20"/>
          <w:szCs w:val="20"/>
        </w:rPr>
        <w:t>, with multiple attorney positions going unfilled for close to a year</w:t>
      </w:r>
      <w:r w:rsidR="001012F5">
        <w:rPr>
          <w:rFonts w:ascii="Arial" w:hAnsi="Arial" w:cs="Arial"/>
          <w:color w:val="000000"/>
          <w:sz w:val="20"/>
          <w:szCs w:val="20"/>
        </w:rPr>
        <w:t xml:space="preserve">. </w:t>
      </w:r>
      <w:r w:rsidR="006C0E07">
        <w:rPr>
          <w:rFonts w:ascii="Arial" w:hAnsi="Arial" w:cs="Arial"/>
          <w:color w:val="000000"/>
          <w:sz w:val="20"/>
          <w:szCs w:val="20"/>
        </w:rPr>
        <w:t xml:space="preserve">In an effort to ensure </w:t>
      </w:r>
      <w:r w:rsidR="004C4BB5">
        <w:rPr>
          <w:rFonts w:ascii="Arial" w:hAnsi="Arial" w:cs="Arial"/>
          <w:color w:val="000000"/>
          <w:sz w:val="20"/>
          <w:szCs w:val="20"/>
        </w:rPr>
        <w:t>clients’ needs were met</w:t>
      </w:r>
      <w:r w:rsidR="007E53A9">
        <w:rPr>
          <w:rFonts w:ascii="Arial" w:hAnsi="Arial" w:cs="Arial"/>
          <w:color w:val="000000"/>
          <w:sz w:val="20"/>
          <w:szCs w:val="20"/>
        </w:rPr>
        <w:t xml:space="preserve">, the SAPD </w:t>
      </w:r>
      <w:r w:rsidR="001C5CBC">
        <w:rPr>
          <w:rFonts w:ascii="Arial" w:hAnsi="Arial" w:cs="Arial"/>
          <w:color w:val="000000"/>
          <w:sz w:val="20"/>
          <w:szCs w:val="20"/>
        </w:rPr>
        <w:t xml:space="preserve">utilized salary savings </w:t>
      </w:r>
      <w:r w:rsidR="004C4BB5">
        <w:rPr>
          <w:rFonts w:ascii="Arial" w:hAnsi="Arial" w:cs="Arial"/>
          <w:color w:val="000000"/>
          <w:sz w:val="20"/>
          <w:szCs w:val="20"/>
        </w:rPr>
        <w:t xml:space="preserve">to </w:t>
      </w:r>
      <w:r w:rsidR="009B09CD">
        <w:rPr>
          <w:rFonts w:ascii="Arial" w:hAnsi="Arial" w:cs="Arial"/>
          <w:color w:val="000000"/>
          <w:sz w:val="20"/>
          <w:szCs w:val="20"/>
        </w:rPr>
        <w:t xml:space="preserve">contract </w:t>
      </w:r>
      <w:r w:rsidR="00144A90">
        <w:rPr>
          <w:rFonts w:ascii="Arial" w:hAnsi="Arial" w:cs="Arial"/>
          <w:color w:val="000000"/>
          <w:sz w:val="20"/>
          <w:szCs w:val="20"/>
        </w:rPr>
        <w:t>eleven</w:t>
      </w:r>
      <w:r w:rsidR="009B09CD">
        <w:rPr>
          <w:rFonts w:ascii="Arial" w:hAnsi="Arial" w:cs="Arial"/>
          <w:color w:val="000000"/>
          <w:sz w:val="20"/>
          <w:szCs w:val="20"/>
        </w:rPr>
        <w:t xml:space="preserve"> cases</w:t>
      </w:r>
      <w:r w:rsidR="007E53A9">
        <w:rPr>
          <w:rFonts w:ascii="Arial" w:hAnsi="Arial" w:cs="Arial"/>
          <w:color w:val="000000"/>
          <w:sz w:val="20"/>
          <w:szCs w:val="20"/>
        </w:rPr>
        <w:t xml:space="preserve"> </w:t>
      </w:r>
      <w:r w:rsidR="001C5CBC">
        <w:rPr>
          <w:rFonts w:ascii="Arial" w:hAnsi="Arial" w:cs="Arial"/>
          <w:color w:val="000000"/>
          <w:sz w:val="20"/>
          <w:szCs w:val="20"/>
        </w:rPr>
        <w:t xml:space="preserve">out to private attorneys. </w:t>
      </w:r>
      <w:r w:rsidR="00261D76">
        <w:rPr>
          <w:rFonts w:ascii="Arial" w:hAnsi="Arial" w:cs="Arial"/>
          <w:color w:val="000000"/>
          <w:sz w:val="20"/>
          <w:szCs w:val="20"/>
        </w:rPr>
        <w:t xml:space="preserve">(See Performance Measure 4.) </w:t>
      </w:r>
      <w:r w:rsidR="000F1C43">
        <w:rPr>
          <w:rFonts w:ascii="Arial" w:hAnsi="Arial" w:cs="Arial"/>
          <w:color w:val="000000"/>
          <w:sz w:val="20"/>
          <w:szCs w:val="20"/>
        </w:rPr>
        <w:t xml:space="preserve">While </w:t>
      </w:r>
      <w:r w:rsidR="00261D76">
        <w:rPr>
          <w:rFonts w:ascii="Arial" w:hAnsi="Arial" w:cs="Arial"/>
          <w:color w:val="000000"/>
          <w:sz w:val="20"/>
          <w:szCs w:val="20"/>
        </w:rPr>
        <w:t xml:space="preserve">somewhat </w:t>
      </w:r>
      <w:r w:rsidR="000F1C43">
        <w:rPr>
          <w:rFonts w:ascii="Arial" w:hAnsi="Arial" w:cs="Arial"/>
          <w:color w:val="000000"/>
          <w:sz w:val="20"/>
          <w:szCs w:val="20"/>
        </w:rPr>
        <w:t xml:space="preserve">helpful, this measure was inadequate in and of itself. </w:t>
      </w:r>
      <w:r w:rsidR="00261D76">
        <w:rPr>
          <w:rFonts w:ascii="Arial" w:hAnsi="Arial" w:cs="Arial"/>
          <w:color w:val="000000"/>
          <w:sz w:val="20"/>
          <w:szCs w:val="20"/>
        </w:rPr>
        <w:t>Thus, t</w:t>
      </w:r>
      <w:r w:rsidR="00C65036">
        <w:rPr>
          <w:rFonts w:ascii="Arial" w:hAnsi="Arial" w:cs="Arial"/>
          <w:color w:val="000000"/>
          <w:sz w:val="20"/>
          <w:szCs w:val="20"/>
        </w:rPr>
        <w:t xml:space="preserve">he SAPD </w:t>
      </w:r>
      <w:r w:rsidR="00E86EAA">
        <w:rPr>
          <w:rFonts w:ascii="Arial" w:hAnsi="Arial" w:cs="Arial"/>
          <w:color w:val="000000"/>
          <w:sz w:val="20"/>
          <w:szCs w:val="20"/>
        </w:rPr>
        <w:t xml:space="preserve">sought extensions of time from the Idaho Supreme Court, </w:t>
      </w:r>
      <w:r w:rsidR="00261D76">
        <w:rPr>
          <w:rFonts w:ascii="Arial" w:hAnsi="Arial" w:cs="Arial"/>
          <w:color w:val="000000"/>
          <w:sz w:val="20"/>
          <w:szCs w:val="20"/>
        </w:rPr>
        <w:t xml:space="preserve">resulting in a massive increase in the number of cases in which the opening brief was filed on three extensions or greater. (See </w:t>
      </w:r>
      <w:r w:rsidR="00DC5990">
        <w:rPr>
          <w:rFonts w:ascii="Arial" w:hAnsi="Arial" w:cs="Arial"/>
          <w:color w:val="000000"/>
          <w:sz w:val="20"/>
          <w:szCs w:val="20"/>
        </w:rPr>
        <w:t>Performance Measure 6.)</w:t>
      </w:r>
      <w:r w:rsidR="00E86EAA">
        <w:rPr>
          <w:rFonts w:ascii="Arial" w:hAnsi="Arial" w:cs="Arial"/>
          <w:color w:val="000000"/>
          <w:sz w:val="20"/>
          <w:szCs w:val="20"/>
        </w:rPr>
        <w:t xml:space="preserve"> </w:t>
      </w:r>
    </w:p>
    <w:p w14:paraId="0EC3ED25" w14:textId="77777777" w:rsidR="00147BB5" w:rsidRDefault="00147BB5" w:rsidP="002F5683">
      <w:pPr>
        <w:jc w:val="both"/>
        <w:rPr>
          <w:rFonts w:ascii="Arial" w:hAnsi="Arial" w:cs="Arial"/>
          <w:color w:val="000000"/>
          <w:sz w:val="20"/>
          <w:szCs w:val="20"/>
        </w:rPr>
      </w:pPr>
    </w:p>
    <w:p w14:paraId="5E068B55" w14:textId="103D8B44" w:rsidR="00A54702" w:rsidRDefault="00FE471D" w:rsidP="002F5683">
      <w:pPr>
        <w:jc w:val="both"/>
        <w:rPr>
          <w:rFonts w:ascii="Arial" w:hAnsi="Arial" w:cs="Arial"/>
          <w:color w:val="000000"/>
          <w:sz w:val="20"/>
          <w:szCs w:val="20"/>
        </w:rPr>
      </w:pPr>
      <w:r>
        <w:rPr>
          <w:rFonts w:ascii="Arial" w:hAnsi="Arial" w:cs="Arial"/>
          <w:color w:val="000000"/>
          <w:sz w:val="20"/>
          <w:szCs w:val="20"/>
        </w:rPr>
        <w:t xml:space="preserve">The average </w:t>
      </w:r>
      <w:r w:rsidR="00B81693">
        <w:rPr>
          <w:rFonts w:ascii="Arial" w:hAnsi="Arial" w:cs="Arial"/>
          <w:color w:val="000000"/>
          <w:sz w:val="20"/>
          <w:szCs w:val="20"/>
        </w:rPr>
        <w:t>attorney</w:t>
      </w:r>
      <w:r>
        <w:rPr>
          <w:rFonts w:ascii="Arial" w:hAnsi="Arial" w:cs="Arial"/>
          <w:color w:val="000000"/>
          <w:sz w:val="20"/>
          <w:szCs w:val="20"/>
        </w:rPr>
        <w:t xml:space="preserve"> w</w:t>
      </w:r>
      <w:r w:rsidR="008A154B">
        <w:rPr>
          <w:rFonts w:ascii="Arial" w:hAnsi="Arial" w:cs="Arial"/>
          <w:color w:val="000000"/>
          <w:sz w:val="20"/>
          <w:szCs w:val="20"/>
        </w:rPr>
        <w:t xml:space="preserve">orkload </w:t>
      </w:r>
      <w:r w:rsidR="00B81693">
        <w:rPr>
          <w:rFonts w:ascii="Arial" w:hAnsi="Arial" w:cs="Arial"/>
          <w:color w:val="000000"/>
          <w:sz w:val="20"/>
          <w:szCs w:val="20"/>
        </w:rPr>
        <w:t>in FY 2024</w:t>
      </w:r>
      <w:r w:rsidR="008A154B">
        <w:rPr>
          <w:rFonts w:ascii="Arial" w:hAnsi="Arial" w:cs="Arial"/>
          <w:color w:val="000000"/>
          <w:sz w:val="20"/>
          <w:szCs w:val="20"/>
        </w:rPr>
        <w:t xml:space="preserve"> was </w:t>
      </w:r>
      <w:r w:rsidR="004903C6">
        <w:rPr>
          <w:rFonts w:ascii="Arial" w:hAnsi="Arial" w:cs="Arial"/>
          <w:color w:val="000000"/>
          <w:sz w:val="20"/>
          <w:szCs w:val="20"/>
        </w:rPr>
        <w:t>57.52</w:t>
      </w:r>
      <w:r>
        <w:rPr>
          <w:rFonts w:ascii="Arial" w:hAnsi="Arial" w:cs="Arial"/>
          <w:color w:val="000000"/>
          <w:sz w:val="20"/>
          <w:szCs w:val="20"/>
        </w:rPr>
        <w:t xml:space="preserve"> units</w:t>
      </w:r>
      <w:r w:rsidR="006D43ED">
        <w:rPr>
          <w:rFonts w:ascii="Arial" w:hAnsi="Arial" w:cs="Arial"/>
          <w:color w:val="000000"/>
          <w:sz w:val="20"/>
          <w:szCs w:val="20"/>
        </w:rPr>
        <w:t xml:space="preserve"> per attorney</w:t>
      </w:r>
      <w:r>
        <w:rPr>
          <w:rFonts w:ascii="Arial" w:hAnsi="Arial" w:cs="Arial"/>
          <w:color w:val="000000"/>
          <w:sz w:val="20"/>
          <w:szCs w:val="20"/>
        </w:rPr>
        <w:t xml:space="preserve">, which </w:t>
      </w:r>
      <w:r w:rsidR="004903C6">
        <w:rPr>
          <w:rFonts w:ascii="Arial" w:hAnsi="Arial" w:cs="Arial"/>
          <w:color w:val="000000"/>
          <w:sz w:val="20"/>
          <w:szCs w:val="20"/>
        </w:rPr>
        <w:t>represents</w:t>
      </w:r>
      <w:r>
        <w:rPr>
          <w:rFonts w:ascii="Arial" w:hAnsi="Arial" w:cs="Arial"/>
          <w:color w:val="000000"/>
          <w:sz w:val="20"/>
          <w:szCs w:val="20"/>
        </w:rPr>
        <w:t xml:space="preserve"> </w:t>
      </w:r>
      <w:r w:rsidR="00DD0F79">
        <w:rPr>
          <w:rFonts w:ascii="Arial" w:hAnsi="Arial" w:cs="Arial"/>
          <w:color w:val="000000"/>
          <w:sz w:val="20"/>
          <w:szCs w:val="20"/>
        </w:rPr>
        <w:t xml:space="preserve">a </w:t>
      </w:r>
      <w:r w:rsidR="00140F31">
        <w:rPr>
          <w:rFonts w:ascii="Arial" w:hAnsi="Arial" w:cs="Arial"/>
          <w:color w:val="000000"/>
          <w:sz w:val="20"/>
          <w:szCs w:val="20"/>
        </w:rPr>
        <w:t>dramatic (19</w:t>
      </w:r>
      <w:r w:rsidR="008B1145">
        <w:rPr>
          <w:rFonts w:ascii="Arial" w:hAnsi="Arial" w:cs="Arial"/>
          <w:color w:val="000000"/>
          <w:sz w:val="20"/>
          <w:szCs w:val="20"/>
        </w:rPr>
        <w:t>.1</w:t>
      </w:r>
      <w:r w:rsidR="00140F31">
        <w:rPr>
          <w:rFonts w:ascii="Arial" w:hAnsi="Arial" w:cs="Arial"/>
          <w:color w:val="000000"/>
          <w:sz w:val="20"/>
          <w:szCs w:val="20"/>
        </w:rPr>
        <w:t xml:space="preserve">%) </w:t>
      </w:r>
      <w:r w:rsidR="00DD0F79" w:rsidRPr="00140F31">
        <w:rPr>
          <w:rFonts w:ascii="Arial" w:hAnsi="Arial" w:cs="Arial"/>
          <w:color w:val="000000"/>
          <w:sz w:val="20"/>
          <w:szCs w:val="20"/>
        </w:rPr>
        <w:t>increase</w:t>
      </w:r>
      <w:r w:rsidR="00B81693">
        <w:rPr>
          <w:rFonts w:ascii="Arial" w:hAnsi="Arial" w:cs="Arial"/>
          <w:color w:val="000000"/>
          <w:sz w:val="20"/>
          <w:szCs w:val="20"/>
        </w:rPr>
        <w:t xml:space="preserve"> from FY 2023</w:t>
      </w:r>
      <w:r w:rsidR="006D43ED">
        <w:rPr>
          <w:rFonts w:ascii="Arial" w:hAnsi="Arial" w:cs="Arial"/>
          <w:color w:val="000000"/>
          <w:sz w:val="20"/>
          <w:szCs w:val="20"/>
        </w:rPr>
        <w:t xml:space="preserve"> (48.30 units per attorney)</w:t>
      </w:r>
      <w:r>
        <w:rPr>
          <w:rFonts w:ascii="Arial" w:hAnsi="Arial" w:cs="Arial"/>
          <w:color w:val="000000"/>
          <w:sz w:val="20"/>
          <w:szCs w:val="20"/>
        </w:rPr>
        <w:t xml:space="preserve">. </w:t>
      </w:r>
      <w:r w:rsidR="00675C7D">
        <w:rPr>
          <w:rFonts w:ascii="Arial" w:hAnsi="Arial" w:cs="Arial"/>
          <w:color w:val="000000"/>
          <w:sz w:val="20"/>
          <w:szCs w:val="20"/>
        </w:rPr>
        <w:t xml:space="preserve">Because workload </w:t>
      </w:r>
      <w:r w:rsidR="00FA3E6D">
        <w:rPr>
          <w:rFonts w:ascii="Arial" w:hAnsi="Arial" w:cs="Arial"/>
          <w:color w:val="000000"/>
          <w:sz w:val="20"/>
          <w:szCs w:val="20"/>
        </w:rPr>
        <w:t>data is a lagging indicator compared to caseload data</w:t>
      </w:r>
      <w:r w:rsidR="003D1030">
        <w:rPr>
          <w:rFonts w:ascii="Arial" w:hAnsi="Arial" w:cs="Arial"/>
          <w:color w:val="000000"/>
          <w:sz w:val="20"/>
          <w:szCs w:val="20"/>
        </w:rPr>
        <w:t xml:space="preserve"> (because there is typically a </w:t>
      </w:r>
      <w:r w:rsidR="00294D53">
        <w:rPr>
          <w:rFonts w:ascii="Arial" w:hAnsi="Arial" w:cs="Arial"/>
          <w:color w:val="000000"/>
          <w:sz w:val="20"/>
          <w:szCs w:val="20"/>
        </w:rPr>
        <w:t>significant</w:t>
      </w:r>
      <w:r w:rsidR="003D1030">
        <w:rPr>
          <w:rFonts w:ascii="Arial" w:hAnsi="Arial" w:cs="Arial"/>
          <w:color w:val="000000"/>
          <w:sz w:val="20"/>
          <w:szCs w:val="20"/>
        </w:rPr>
        <w:t xml:space="preserve"> delay between the time the SAPD is appointed on a case and that case is </w:t>
      </w:r>
      <w:r w:rsidR="00713E00">
        <w:rPr>
          <w:rFonts w:ascii="Arial" w:hAnsi="Arial" w:cs="Arial"/>
          <w:color w:val="000000"/>
          <w:sz w:val="20"/>
          <w:szCs w:val="20"/>
        </w:rPr>
        <w:t>assigned to a</w:t>
      </w:r>
      <w:r w:rsidR="00294D53">
        <w:rPr>
          <w:rFonts w:ascii="Arial" w:hAnsi="Arial" w:cs="Arial"/>
          <w:color w:val="000000"/>
          <w:sz w:val="20"/>
          <w:szCs w:val="20"/>
        </w:rPr>
        <w:t xml:space="preserve"> handling</w:t>
      </w:r>
      <w:r w:rsidR="00B40392">
        <w:rPr>
          <w:rFonts w:ascii="Arial" w:hAnsi="Arial" w:cs="Arial"/>
          <w:color w:val="000000"/>
          <w:sz w:val="20"/>
          <w:szCs w:val="20"/>
        </w:rPr>
        <w:t xml:space="preserve"> attorney)</w:t>
      </w:r>
      <w:r w:rsidR="00FA3E6D">
        <w:rPr>
          <w:rFonts w:ascii="Arial" w:hAnsi="Arial" w:cs="Arial"/>
          <w:color w:val="000000"/>
          <w:sz w:val="20"/>
          <w:szCs w:val="20"/>
        </w:rPr>
        <w:t xml:space="preserve">, </w:t>
      </w:r>
      <w:r w:rsidR="00655860">
        <w:rPr>
          <w:rFonts w:ascii="Arial" w:hAnsi="Arial" w:cs="Arial"/>
          <w:color w:val="000000"/>
          <w:sz w:val="20"/>
          <w:szCs w:val="20"/>
        </w:rPr>
        <w:t>the increased workload</w:t>
      </w:r>
      <w:r w:rsidR="008F4D46">
        <w:rPr>
          <w:rFonts w:ascii="Arial" w:hAnsi="Arial" w:cs="Arial"/>
          <w:color w:val="000000"/>
          <w:sz w:val="20"/>
          <w:szCs w:val="20"/>
        </w:rPr>
        <w:t>s</w:t>
      </w:r>
      <w:r w:rsidR="00655860">
        <w:rPr>
          <w:rFonts w:ascii="Arial" w:hAnsi="Arial" w:cs="Arial"/>
          <w:color w:val="000000"/>
          <w:sz w:val="20"/>
          <w:szCs w:val="20"/>
        </w:rPr>
        <w:t xml:space="preserve"> </w:t>
      </w:r>
      <w:r w:rsidR="008F4D46">
        <w:rPr>
          <w:rFonts w:ascii="Arial" w:hAnsi="Arial" w:cs="Arial"/>
          <w:color w:val="000000"/>
          <w:sz w:val="20"/>
          <w:szCs w:val="20"/>
        </w:rPr>
        <w:t>are</w:t>
      </w:r>
      <w:r w:rsidR="00C80A54">
        <w:rPr>
          <w:rFonts w:ascii="Arial" w:hAnsi="Arial" w:cs="Arial"/>
          <w:color w:val="000000"/>
          <w:sz w:val="20"/>
          <w:szCs w:val="20"/>
        </w:rPr>
        <w:t xml:space="preserve"> reflective of the</w:t>
      </w:r>
      <w:r w:rsidR="00294D53">
        <w:rPr>
          <w:rFonts w:ascii="Arial" w:hAnsi="Arial" w:cs="Arial"/>
          <w:color w:val="000000"/>
          <w:sz w:val="20"/>
          <w:szCs w:val="20"/>
        </w:rPr>
        <w:t xml:space="preserve"> SAPD’s</w:t>
      </w:r>
      <w:r w:rsidR="00C80A54">
        <w:rPr>
          <w:rFonts w:ascii="Arial" w:hAnsi="Arial" w:cs="Arial"/>
          <w:color w:val="000000"/>
          <w:sz w:val="20"/>
          <w:szCs w:val="20"/>
        </w:rPr>
        <w:t xml:space="preserve"> </w:t>
      </w:r>
      <w:r w:rsidR="004B646E">
        <w:rPr>
          <w:rFonts w:ascii="Arial" w:hAnsi="Arial" w:cs="Arial"/>
          <w:color w:val="000000"/>
          <w:sz w:val="20"/>
          <w:szCs w:val="20"/>
        </w:rPr>
        <w:t>extraordinar</w:t>
      </w:r>
      <w:r w:rsidR="00FF0E9D">
        <w:rPr>
          <w:rFonts w:ascii="Arial" w:hAnsi="Arial" w:cs="Arial"/>
          <w:color w:val="000000"/>
          <w:sz w:val="20"/>
          <w:szCs w:val="20"/>
        </w:rPr>
        <w:t>il</w:t>
      </w:r>
      <w:r w:rsidR="004B646E">
        <w:rPr>
          <w:rFonts w:ascii="Arial" w:hAnsi="Arial" w:cs="Arial"/>
          <w:color w:val="000000"/>
          <w:sz w:val="20"/>
          <w:szCs w:val="20"/>
        </w:rPr>
        <w:t xml:space="preserve">y </w:t>
      </w:r>
      <w:r w:rsidR="00FF0E9D">
        <w:rPr>
          <w:rFonts w:ascii="Arial" w:hAnsi="Arial" w:cs="Arial"/>
          <w:color w:val="000000"/>
          <w:sz w:val="20"/>
          <w:szCs w:val="20"/>
        </w:rPr>
        <w:lastRenderedPageBreak/>
        <w:t xml:space="preserve">high </w:t>
      </w:r>
      <w:r w:rsidR="003D4307">
        <w:rPr>
          <w:rFonts w:ascii="Arial" w:hAnsi="Arial" w:cs="Arial"/>
          <w:color w:val="000000"/>
          <w:sz w:val="20"/>
          <w:szCs w:val="20"/>
        </w:rPr>
        <w:t xml:space="preserve">number of </w:t>
      </w:r>
      <w:r w:rsidR="004B646E">
        <w:rPr>
          <w:rFonts w:ascii="Arial" w:hAnsi="Arial" w:cs="Arial"/>
          <w:color w:val="000000"/>
          <w:sz w:val="20"/>
          <w:szCs w:val="20"/>
        </w:rPr>
        <w:t>case</w:t>
      </w:r>
      <w:r w:rsidR="003D4307">
        <w:rPr>
          <w:rFonts w:ascii="Arial" w:hAnsi="Arial" w:cs="Arial"/>
          <w:color w:val="000000"/>
          <w:sz w:val="20"/>
          <w:szCs w:val="20"/>
        </w:rPr>
        <w:t xml:space="preserve"> </w:t>
      </w:r>
      <w:r w:rsidR="00117936">
        <w:rPr>
          <w:rFonts w:ascii="Arial" w:hAnsi="Arial" w:cs="Arial"/>
          <w:color w:val="000000"/>
          <w:sz w:val="20"/>
          <w:szCs w:val="20"/>
        </w:rPr>
        <w:t>appoint</w:t>
      </w:r>
      <w:r w:rsidR="00BB0E43">
        <w:rPr>
          <w:rFonts w:ascii="Arial" w:hAnsi="Arial" w:cs="Arial"/>
          <w:color w:val="000000"/>
          <w:sz w:val="20"/>
          <w:szCs w:val="20"/>
        </w:rPr>
        <w:t>ment</w:t>
      </w:r>
      <w:r w:rsidR="00117936">
        <w:rPr>
          <w:rFonts w:ascii="Arial" w:hAnsi="Arial" w:cs="Arial"/>
          <w:color w:val="000000"/>
          <w:sz w:val="20"/>
          <w:szCs w:val="20"/>
        </w:rPr>
        <w:t>s</w:t>
      </w:r>
      <w:r w:rsidR="003D4307">
        <w:rPr>
          <w:rFonts w:ascii="Arial" w:hAnsi="Arial" w:cs="Arial"/>
          <w:color w:val="000000"/>
          <w:sz w:val="20"/>
          <w:szCs w:val="20"/>
        </w:rPr>
        <w:t xml:space="preserve"> </w:t>
      </w:r>
      <w:r w:rsidR="004B646E">
        <w:rPr>
          <w:rFonts w:ascii="Arial" w:hAnsi="Arial" w:cs="Arial"/>
          <w:color w:val="000000"/>
          <w:sz w:val="20"/>
          <w:szCs w:val="20"/>
        </w:rPr>
        <w:t xml:space="preserve">in FY 2023. </w:t>
      </w:r>
      <w:r w:rsidR="008F4D46">
        <w:rPr>
          <w:rFonts w:ascii="Arial" w:hAnsi="Arial" w:cs="Arial"/>
          <w:color w:val="000000"/>
          <w:sz w:val="20"/>
          <w:szCs w:val="20"/>
        </w:rPr>
        <w:t>They</w:t>
      </w:r>
      <w:r w:rsidR="00B37948">
        <w:rPr>
          <w:rFonts w:ascii="Arial" w:hAnsi="Arial" w:cs="Arial"/>
          <w:color w:val="000000"/>
          <w:sz w:val="20"/>
          <w:szCs w:val="20"/>
        </w:rPr>
        <w:t xml:space="preserve"> also reflect</w:t>
      </w:r>
      <w:r w:rsidR="008F4D46">
        <w:rPr>
          <w:rFonts w:ascii="Arial" w:hAnsi="Arial" w:cs="Arial"/>
          <w:color w:val="000000"/>
          <w:sz w:val="20"/>
          <w:szCs w:val="20"/>
        </w:rPr>
        <w:t xml:space="preserve"> the SAPD’s</w:t>
      </w:r>
      <w:r w:rsidR="00B37948">
        <w:rPr>
          <w:rFonts w:ascii="Arial" w:hAnsi="Arial" w:cs="Arial"/>
          <w:color w:val="000000"/>
          <w:sz w:val="20"/>
          <w:szCs w:val="20"/>
        </w:rPr>
        <w:t xml:space="preserve"> </w:t>
      </w:r>
      <w:r w:rsidR="00BB0E43">
        <w:rPr>
          <w:rFonts w:ascii="Arial" w:hAnsi="Arial" w:cs="Arial"/>
          <w:color w:val="000000"/>
          <w:sz w:val="20"/>
          <w:szCs w:val="20"/>
        </w:rPr>
        <w:t>hiring challenges</w:t>
      </w:r>
      <w:r w:rsidR="00BE77A5">
        <w:rPr>
          <w:rFonts w:ascii="Arial" w:hAnsi="Arial" w:cs="Arial"/>
          <w:color w:val="000000"/>
          <w:sz w:val="20"/>
          <w:szCs w:val="20"/>
        </w:rPr>
        <w:t xml:space="preserve">, as two AU attorney positions remained vacant for most of </w:t>
      </w:r>
      <w:r w:rsidR="00BB0E43">
        <w:rPr>
          <w:rFonts w:ascii="Arial" w:hAnsi="Arial" w:cs="Arial"/>
          <w:color w:val="000000"/>
          <w:sz w:val="20"/>
          <w:szCs w:val="20"/>
        </w:rPr>
        <w:t>FY 2024</w:t>
      </w:r>
      <w:r w:rsidR="00BE77A5">
        <w:rPr>
          <w:rFonts w:ascii="Arial" w:hAnsi="Arial" w:cs="Arial"/>
          <w:color w:val="000000"/>
          <w:sz w:val="20"/>
          <w:szCs w:val="20"/>
        </w:rPr>
        <w:t>.</w:t>
      </w:r>
    </w:p>
    <w:p w14:paraId="7207ED50" w14:textId="77777777" w:rsidR="001E1170" w:rsidRDefault="001E1170" w:rsidP="002F5683">
      <w:pPr>
        <w:jc w:val="both"/>
        <w:rPr>
          <w:rFonts w:ascii="Arial" w:hAnsi="Arial" w:cs="Arial"/>
          <w:color w:val="000000"/>
          <w:sz w:val="20"/>
          <w:szCs w:val="20"/>
        </w:rPr>
      </w:pPr>
    </w:p>
    <w:p w14:paraId="403AFCA8" w14:textId="00123218" w:rsidR="00294D53" w:rsidRDefault="005769DF" w:rsidP="002F5683">
      <w:pPr>
        <w:jc w:val="both"/>
        <w:rPr>
          <w:rFonts w:ascii="Arial" w:hAnsi="Arial" w:cs="Arial"/>
          <w:color w:val="000000"/>
          <w:sz w:val="20"/>
          <w:szCs w:val="20"/>
        </w:rPr>
      </w:pPr>
      <w:r>
        <w:rPr>
          <w:rFonts w:ascii="Arial" w:hAnsi="Arial" w:cs="Arial"/>
          <w:color w:val="000000"/>
          <w:sz w:val="20"/>
          <w:szCs w:val="20"/>
        </w:rPr>
        <w:t>Although the AU is anticipated to be fully staffed throughout FY 2025</w:t>
      </w:r>
      <w:r w:rsidR="001C59A9">
        <w:rPr>
          <w:rFonts w:ascii="Arial" w:hAnsi="Arial" w:cs="Arial"/>
          <w:color w:val="000000"/>
          <w:sz w:val="20"/>
          <w:szCs w:val="20"/>
        </w:rPr>
        <w:t>, because the SAPD’s case</w:t>
      </w:r>
      <w:r w:rsidR="00D51AC3">
        <w:rPr>
          <w:rFonts w:ascii="Arial" w:hAnsi="Arial" w:cs="Arial"/>
          <w:color w:val="000000"/>
          <w:sz w:val="20"/>
          <w:szCs w:val="20"/>
        </w:rPr>
        <w:t xml:space="preserve"> appointments remained</w:t>
      </w:r>
      <w:r w:rsidR="001C59A9">
        <w:rPr>
          <w:rFonts w:ascii="Arial" w:hAnsi="Arial" w:cs="Arial"/>
          <w:color w:val="000000"/>
          <w:sz w:val="20"/>
          <w:szCs w:val="20"/>
        </w:rPr>
        <w:t xml:space="preserve"> </w:t>
      </w:r>
      <w:r w:rsidR="00FF0E9D">
        <w:rPr>
          <w:rFonts w:ascii="Arial" w:hAnsi="Arial" w:cs="Arial"/>
          <w:color w:val="000000"/>
          <w:sz w:val="20"/>
          <w:szCs w:val="20"/>
        </w:rPr>
        <w:t>extremely high in FY 2024</w:t>
      </w:r>
      <w:r w:rsidR="00F5528D">
        <w:rPr>
          <w:rFonts w:ascii="Arial" w:hAnsi="Arial" w:cs="Arial"/>
          <w:color w:val="000000"/>
          <w:sz w:val="20"/>
          <w:szCs w:val="20"/>
        </w:rPr>
        <w:t>,</w:t>
      </w:r>
      <w:r w:rsidR="00FF0E9D">
        <w:rPr>
          <w:rFonts w:ascii="Arial" w:hAnsi="Arial" w:cs="Arial"/>
          <w:color w:val="000000"/>
          <w:sz w:val="20"/>
          <w:szCs w:val="20"/>
        </w:rPr>
        <w:t xml:space="preserve"> </w:t>
      </w:r>
      <w:r w:rsidR="00F5528D">
        <w:rPr>
          <w:rFonts w:ascii="Arial" w:hAnsi="Arial" w:cs="Arial"/>
          <w:color w:val="000000"/>
          <w:sz w:val="20"/>
          <w:szCs w:val="20"/>
        </w:rPr>
        <w:t>t</w:t>
      </w:r>
      <w:r w:rsidR="00BB3B89">
        <w:rPr>
          <w:rFonts w:ascii="Arial" w:hAnsi="Arial" w:cs="Arial"/>
          <w:color w:val="000000"/>
          <w:sz w:val="20"/>
          <w:szCs w:val="20"/>
        </w:rPr>
        <w:t xml:space="preserve">he SAPD anticipates </w:t>
      </w:r>
      <w:r w:rsidR="00B5645C">
        <w:rPr>
          <w:rFonts w:ascii="Arial" w:hAnsi="Arial" w:cs="Arial"/>
          <w:color w:val="000000"/>
          <w:sz w:val="20"/>
          <w:szCs w:val="20"/>
        </w:rPr>
        <w:t xml:space="preserve">that AU </w:t>
      </w:r>
      <w:r w:rsidR="00F5528D">
        <w:rPr>
          <w:rFonts w:ascii="Arial" w:hAnsi="Arial" w:cs="Arial"/>
          <w:color w:val="000000"/>
          <w:sz w:val="20"/>
          <w:szCs w:val="20"/>
        </w:rPr>
        <w:t xml:space="preserve">attorneys’ </w:t>
      </w:r>
      <w:r w:rsidR="00BB3B89">
        <w:rPr>
          <w:rFonts w:ascii="Arial" w:hAnsi="Arial" w:cs="Arial"/>
          <w:color w:val="000000"/>
          <w:sz w:val="20"/>
          <w:szCs w:val="20"/>
        </w:rPr>
        <w:t>workload</w:t>
      </w:r>
      <w:r w:rsidR="00F5528D">
        <w:rPr>
          <w:rFonts w:ascii="Arial" w:hAnsi="Arial" w:cs="Arial"/>
          <w:color w:val="000000"/>
          <w:sz w:val="20"/>
          <w:szCs w:val="20"/>
        </w:rPr>
        <w:t>s</w:t>
      </w:r>
      <w:r w:rsidR="00BB3B89">
        <w:rPr>
          <w:rFonts w:ascii="Arial" w:hAnsi="Arial" w:cs="Arial"/>
          <w:color w:val="000000"/>
          <w:sz w:val="20"/>
          <w:szCs w:val="20"/>
        </w:rPr>
        <w:t xml:space="preserve"> </w:t>
      </w:r>
      <w:r w:rsidR="008365AC">
        <w:rPr>
          <w:rFonts w:ascii="Arial" w:hAnsi="Arial" w:cs="Arial"/>
          <w:color w:val="000000"/>
          <w:sz w:val="20"/>
          <w:szCs w:val="20"/>
        </w:rPr>
        <w:t>will</w:t>
      </w:r>
      <w:r w:rsidR="00DD0F79">
        <w:rPr>
          <w:rFonts w:ascii="Arial" w:hAnsi="Arial" w:cs="Arial"/>
          <w:color w:val="000000"/>
          <w:sz w:val="20"/>
          <w:szCs w:val="20"/>
        </w:rPr>
        <w:t xml:space="preserve"> </w:t>
      </w:r>
      <w:r w:rsidR="00294D53">
        <w:rPr>
          <w:rFonts w:ascii="Arial" w:hAnsi="Arial" w:cs="Arial"/>
          <w:color w:val="000000"/>
          <w:sz w:val="20"/>
          <w:szCs w:val="20"/>
        </w:rPr>
        <w:t>not drop appreciably in FY 2025.</w:t>
      </w:r>
    </w:p>
    <w:p w14:paraId="1BED9ECC" w14:textId="77777777" w:rsidR="00294D53" w:rsidRDefault="00294D53" w:rsidP="002F5683">
      <w:pPr>
        <w:jc w:val="both"/>
        <w:rPr>
          <w:rFonts w:ascii="Arial" w:hAnsi="Arial" w:cs="Arial"/>
          <w:color w:val="000000"/>
          <w:sz w:val="20"/>
          <w:szCs w:val="20"/>
        </w:rPr>
      </w:pPr>
    </w:p>
    <w:p w14:paraId="099D7DBC" w14:textId="77777777" w:rsidR="00BC245F" w:rsidRDefault="00BC245F">
      <w:pPr>
        <w:rPr>
          <w:rFonts w:ascii="Arial" w:hAnsi="Arial" w:cs="Arial"/>
          <w:sz w:val="20"/>
          <w:szCs w:val="20"/>
        </w:rPr>
      </w:pPr>
    </w:p>
    <w:p w14:paraId="79ED446C" w14:textId="77777777" w:rsidR="00CB3FB5" w:rsidRPr="001D2A76" w:rsidRDefault="00CB3FB5">
      <w:pPr>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D2BA5" w:rsidRPr="00CF73B4" w14:paraId="6F216BFF" w14:textId="77777777" w:rsidTr="001D4F29">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E66ED1B" w14:textId="77777777" w:rsidR="006D2BA5" w:rsidRPr="00CF73B4" w:rsidRDefault="006D2BA5" w:rsidP="009E383C">
            <w:pPr>
              <w:jc w:val="center"/>
              <w:rPr>
                <w:rFonts w:ascii="Arial" w:hAnsi="Arial" w:cs="Arial"/>
                <w:sz w:val="20"/>
              </w:rPr>
            </w:pPr>
            <w:r w:rsidRPr="00CF73B4">
              <w:rPr>
                <w:rFonts w:ascii="Arial" w:hAnsi="Arial" w:cs="Arial"/>
                <w:b/>
                <w:bCs/>
                <w:sz w:val="20"/>
              </w:rPr>
              <w:t>For More Information Contact</w:t>
            </w:r>
          </w:p>
          <w:p w14:paraId="6DA2E0AD" w14:textId="77777777" w:rsidR="006D2BA5" w:rsidRPr="00CF73B4" w:rsidRDefault="006D2BA5" w:rsidP="009E383C">
            <w:pPr>
              <w:jc w:val="center"/>
              <w:rPr>
                <w:rFonts w:ascii="Arial" w:hAnsi="Arial" w:cs="Arial"/>
                <w:sz w:val="20"/>
              </w:rPr>
            </w:pPr>
          </w:p>
          <w:p w14:paraId="1C922BB6" w14:textId="2ABA23CD" w:rsidR="006D2BA5" w:rsidRPr="00CF73B4" w:rsidRDefault="000027D2" w:rsidP="009E383C">
            <w:pPr>
              <w:ind w:left="252"/>
              <w:rPr>
                <w:rFonts w:ascii="Arial" w:hAnsi="Arial" w:cs="Arial"/>
                <w:sz w:val="20"/>
              </w:rPr>
            </w:pPr>
            <w:r w:rsidRPr="000027D2">
              <w:rPr>
                <w:rFonts w:ascii="Arial" w:hAnsi="Arial" w:cs="Arial"/>
                <w:sz w:val="20"/>
              </w:rPr>
              <w:t>Erik R. Lehtinen</w:t>
            </w:r>
          </w:p>
          <w:p w14:paraId="2EA39719" w14:textId="77777777" w:rsidR="006D2BA5" w:rsidRPr="00CF73B4" w:rsidRDefault="006D2BA5" w:rsidP="009E383C">
            <w:pPr>
              <w:ind w:left="252"/>
              <w:rPr>
                <w:rFonts w:ascii="Arial" w:hAnsi="Arial" w:cs="Arial"/>
                <w:sz w:val="20"/>
              </w:rPr>
            </w:pPr>
            <w:r w:rsidRPr="00CF73B4">
              <w:rPr>
                <w:rFonts w:ascii="Arial" w:hAnsi="Arial" w:cs="Arial"/>
                <w:noProof/>
                <w:sz w:val="20"/>
              </w:rPr>
              <w:t>State Appellate Public Defender</w:t>
            </w:r>
          </w:p>
          <w:p w14:paraId="54E8537A" w14:textId="77777777" w:rsidR="006F5BF9" w:rsidRDefault="00DF6C2F" w:rsidP="009E383C">
            <w:pPr>
              <w:ind w:left="252"/>
              <w:rPr>
                <w:rFonts w:ascii="Arial" w:hAnsi="Arial" w:cs="Arial"/>
                <w:sz w:val="20"/>
                <w:szCs w:val="22"/>
              </w:rPr>
            </w:pPr>
            <w:r>
              <w:rPr>
                <w:rFonts w:ascii="Arial" w:hAnsi="Arial" w:cs="Arial"/>
                <w:sz w:val="20"/>
                <w:szCs w:val="22"/>
              </w:rPr>
              <w:t>322 East Front Street, Suite 570</w:t>
            </w:r>
          </w:p>
          <w:p w14:paraId="6FD74E67" w14:textId="77777777" w:rsidR="006D2BA5" w:rsidRPr="00CF73B4" w:rsidRDefault="006D2BA5" w:rsidP="009E383C">
            <w:pPr>
              <w:ind w:left="252"/>
              <w:rPr>
                <w:rFonts w:ascii="Arial" w:hAnsi="Arial" w:cs="Arial"/>
                <w:sz w:val="20"/>
                <w:lang w:val="fr-FR"/>
              </w:rPr>
            </w:pPr>
            <w:r w:rsidRPr="00CF73B4">
              <w:rPr>
                <w:rFonts w:ascii="Arial" w:hAnsi="Arial" w:cs="Arial"/>
                <w:noProof/>
                <w:sz w:val="20"/>
                <w:lang w:val="fr-FR"/>
              </w:rPr>
              <w:t>Boise</w:t>
            </w:r>
            <w:r w:rsidRPr="00CF73B4">
              <w:rPr>
                <w:rFonts w:ascii="Arial" w:hAnsi="Arial" w:cs="Arial"/>
                <w:sz w:val="20"/>
                <w:lang w:val="fr-FR"/>
              </w:rPr>
              <w:t xml:space="preserve">, </w:t>
            </w:r>
            <w:r w:rsidRPr="00CF73B4">
              <w:rPr>
                <w:rFonts w:ascii="Arial" w:hAnsi="Arial" w:cs="Arial"/>
                <w:noProof/>
                <w:sz w:val="20"/>
                <w:lang w:val="fr-FR"/>
              </w:rPr>
              <w:t>ID</w:t>
            </w:r>
            <w:r w:rsidRPr="00CF73B4">
              <w:rPr>
                <w:rFonts w:ascii="Arial" w:hAnsi="Arial" w:cs="Arial"/>
                <w:sz w:val="20"/>
                <w:lang w:val="fr-FR"/>
              </w:rPr>
              <w:t xml:space="preserve">  </w:t>
            </w:r>
            <w:r w:rsidRPr="00CF73B4">
              <w:rPr>
                <w:rFonts w:ascii="Arial" w:hAnsi="Arial" w:cs="Arial"/>
                <w:noProof/>
                <w:sz w:val="20"/>
                <w:lang w:val="fr-FR"/>
              </w:rPr>
              <w:t>8370</w:t>
            </w:r>
            <w:r w:rsidR="006F5BF9">
              <w:rPr>
                <w:rFonts w:ascii="Arial" w:hAnsi="Arial" w:cs="Arial"/>
                <w:noProof/>
                <w:sz w:val="20"/>
                <w:lang w:val="fr-FR"/>
              </w:rPr>
              <w:t>2</w:t>
            </w:r>
          </w:p>
          <w:p w14:paraId="31E7B284" w14:textId="77777777" w:rsidR="006D2BA5" w:rsidRPr="00CF73B4" w:rsidRDefault="00D21CED" w:rsidP="009E383C">
            <w:pPr>
              <w:ind w:left="252"/>
              <w:rPr>
                <w:rFonts w:ascii="Arial" w:hAnsi="Arial" w:cs="Arial"/>
                <w:sz w:val="20"/>
                <w:lang w:val="fr-FR"/>
              </w:rPr>
            </w:pPr>
            <w:r>
              <w:rPr>
                <w:rFonts w:ascii="Arial" w:hAnsi="Arial" w:cs="Arial"/>
                <w:sz w:val="20"/>
                <w:lang w:val="fr-FR"/>
              </w:rPr>
              <w:t xml:space="preserve">Phone: </w:t>
            </w:r>
            <w:r w:rsidR="006D2BA5" w:rsidRPr="00CF73B4">
              <w:rPr>
                <w:rFonts w:ascii="Arial" w:hAnsi="Arial" w:cs="Arial"/>
                <w:sz w:val="20"/>
                <w:lang w:val="fr-FR"/>
              </w:rPr>
              <w:t>(208) 334-2712</w:t>
            </w:r>
          </w:p>
          <w:p w14:paraId="20B8376A" w14:textId="07125C27" w:rsidR="00336842" w:rsidRDefault="00D21CED" w:rsidP="00336842">
            <w:pPr>
              <w:ind w:left="252"/>
              <w:rPr>
                <w:rFonts w:ascii="Arial" w:hAnsi="Arial" w:cs="Arial"/>
                <w:sz w:val="20"/>
                <w:lang w:val="fr-FR"/>
              </w:rPr>
            </w:pPr>
            <w:r>
              <w:rPr>
                <w:rFonts w:ascii="Arial" w:hAnsi="Arial" w:cs="Arial"/>
                <w:sz w:val="20"/>
                <w:lang w:val="fr-FR"/>
              </w:rPr>
              <w:t xml:space="preserve">E-mail: </w:t>
            </w:r>
            <w:r w:rsidR="008B3A50">
              <w:rPr>
                <w:rFonts w:ascii="Arial" w:hAnsi="Arial" w:cs="Arial"/>
                <w:sz w:val="20"/>
                <w:lang w:val="fr-FR"/>
              </w:rPr>
              <w:t>erik.lehtinen@sapd.idaho.gov</w:t>
            </w:r>
          </w:p>
          <w:p w14:paraId="56329F98" w14:textId="77777777" w:rsidR="00336842" w:rsidRPr="00CF73B4" w:rsidRDefault="00336842" w:rsidP="00336842">
            <w:pPr>
              <w:ind w:left="252"/>
              <w:rPr>
                <w:rFonts w:ascii="Arial" w:hAnsi="Arial" w:cs="Arial"/>
                <w:sz w:val="20"/>
                <w:lang w:val="fr-FR"/>
              </w:rPr>
            </w:pPr>
          </w:p>
        </w:tc>
      </w:tr>
    </w:tbl>
    <w:p w14:paraId="70391769" w14:textId="77777777" w:rsidR="006D2BA5" w:rsidRPr="00F43497" w:rsidRDefault="006D2BA5" w:rsidP="00BA0919">
      <w:pPr>
        <w:jc w:val="both"/>
        <w:rPr>
          <w:rFonts w:ascii="Arial" w:hAnsi="Arial" w:cs="Arial"/>
          <w:sz w:val="20"/>
          <w:lang w:val="fr-FR"/>
        </w:rPr>
      </w:pPr>
    </w:p>
    <w:sectPr w:rsidR="006D2BA5" w:rsidRPr="00F43497" w:rsidSect="00336842">
      <w:headerReference w:type="default" r:id="rId8"/>
      <w:footerReference w:type="default" r:id="rId9"/>
      <w:footnotePr>
        <w:pos w:val="beneathText"/>
      </w:foot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ABD4" w14:textId="77777777" w:rsidR="00C43786" w:rsidRDefault="00C43786">
      <w:r>
        <w:separator/>
      </w:r>
    </w:p>
  </w:endnote>
  <w:endnote w:type="continuationSeparator" w:id="0">
    <w:p w14:paraId="53DB3A79" w14:textId="77777777" w:rsidR="00C43786" w:rsidRDefault="00C4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07C8" w14:textId="77777777" w:rsidR="00BE1729" w:rsidRDefault="00BE1729" w:rsidP="00BE1729">
    <w:pPr>
      <w:pStyle w:val="Footer"/>
      <w:tabs>
        <w:tab w:val="clear" w:pos="4320"/>
        <w:tab w:val="clear" w:pos="8640"/>
        <w:tab w:val="center" w:pos="4680"/>
        <w:tab w:val="right" w:pos="10080"/>
      </w:tabs>
      <w:rPr>
        <w:rFonts w:ascii="Arial" w:hAnsi="Arial" w:cs="Arial"/>
        <w:sz w:val="20"/>
        <w:szCs w:val="20"/>
      </w:rPr>
    </w:pPr>
  </w:p>
  <w:p w14:paraId="7F018697" w14:textId="77777777" w:rsidR="00BE1729" w:rsidRPr="00080FEF" w:rsidRDefault="00BE1729" w:rsidP="00BE1729">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91AFA">
      <w:rPr>
        <w:rFonts w:ascii="Arial" w:hAnsi="Arial" w:cs="Arial"/>
        <w:noProof/>
        <w:sz w:val="20"/>
        <w:szCs w:val="20"/>
      </w:rPr>
      <w:t>4</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8BB7" w14:textId="77777777" w:rsidR="00C43786" w:rsidRDefault="00C43786">
      <w:r>
        <w:separator/>
      </w:r>
    </w:p>
  </w:footnote>
  <w:footnote w:type="continuationSeparator" w:id="0">
    <w:p w14:paraId="5616E77D" w14:textId="77777777" w:rsidR="00C43786" w:rsidRDefault="00C4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582F10" w14:paraId="5B0AA239" w14:textId="77777777" w:rsidTr="00336842">
      <w:tc>
        <w:tcPr>
          <w:tcW w:w="10080" w:type="dxa"/>
          <w:shd w:val="clear" w:color="auto" w:fill="000080"/>
        </w:tcPr>
        <w:p w14:paraId="55774122" w14:textId="77777777" w:rsidR="00582F10" w:rsidRDefault="00582F10" w:rsidP="00BE1729">
          <w:pPr>
            <w:tabs>
              <w:tab w:val="right" w:pos="9852"/>
            </w:tabs>
            <w:rPr>
              <w:rFonts w:ascii="Arial" w:hAnsi="Arial" w:cs="Arial"/>
              <w:color w:val="FFFFFF"/>
            </w:rPr>
          </w:pPr>
          <w:r>
            <w:rPr>
              <w:rFonts w:ascii="Arial" w:hAnsi="Arial" w:cs="Arial"/>
              <w:b/>
              <w:bCs/>
              <w:noProof/>
              <w:color w:val="FFFFFF"/>
            </w:rPr>
            <w:t>State Appellate Public Defender</w:t>
          </w:r>
          <w:r>
            <w:rPr>
              <w:rFonts w:ascii="Arial" w:hAnsi="Arial" w:cs="Arial"/>
              <w:b/>
              <w:bCs/>
              <w:color w:val="FFFFFF"/>
            </w:rPr>
            <w:tab/>
          </w:r>
          <w:r>
            <w:rPr>
              <w:rFonts w:ascii="Arial" w:hAnsi="Arial" w:cs="Arial"/>
              <w:color w:val="FFFFFF"/>
            </w:rPr>
            <w:t>Performance Report</w:t>
          </w:r>
        </w:p>
      </w:tc>
    </w:tr>
    <w:tr w:rsidR="00582F10" w14:paraId="51423793" w14:textId="77777777" w:rsidTr="00336842">
      <w:trPr>
        <w:trHeight w:hRule="exact" w:val="90"/>
      </w:trPr>
      <w:tc>
        <w:tcPr>
          <w:tcW w:w="10080" w:type="dxa"/>
          <w:tcBorders>
            <w:top w:val="nil"/>
            <w:bottom w:val="single" w:sz="4" w:space="0" w:color="auto"/>
          </w:tcBorders>
        </w:tcPr>
        <w:p w14:paraId="41FE3BA0" w14:textId="77777777" w:rsidR="00582F10" w:rsidRDefault="00582F10" w:rsidP="0086103E"/>
      </w:tc>
    </w:tr>
    <w:tr w:rsidR="00582F10" w14:paraId="5DC59C6D" w14:textId="77777777" w:rsidTr="00336842">
      <w:tc>
        <w:tcPr>
          <w:tcW w:w="10080" w:type="dxa"/>
          <w:tcBorders>
            <w:top w:val="single" w:sz="4" w:space="0" w:color="auto"/>
            <w:bottom w:val="nil"/>
          </w:tcBorders>
          <w:shd w:val="clear" w:color="auto" w:fill="000080"/>
        </w:tcPr>
        <w:p w14:paraId="745AE30F" w14:textId="77777777" w:rsidR="00582F10" w:rsidRDefault="00582F10" w:rsidP="0086103E"/>
      </w:tc>
    </w:tr>
  </w:tbl>
  <w:p w14:paraId="010EE3AF" w14:textId="77777777" w:rsidR="004652EF" w:rsidRPr="00582F10" w:rsidRDefault="004652EF" w:rsidP="0058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F413E"/>
    <w:multiLevelType w:val="hybridMultilevel"/>
    <w:tmpl w:val="A6B4DFA0"/>
    <w:lvl w:ilvl="0" w:tplc="2E608E3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56E17B1"/>
    <w:multiLevelType w:val="hybridMultilevel"/>
    <w:tmpl w:val="1C1C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828684">
    <w:abstractNumId w:val="0"/>
  </w:num>
  <w:num w:numId="2" w16cid:durableId="1952545525">
    <w:abstractNumId w:val="1"/>
  </w:num>
  <w:num w:numId="3" w16cid:durableId="65171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51"/>
    <w:rsid w:val="0000162D"/>
    <w:rsid w:val="00002770"/>
    <w:rsid w:val="000027D2"/>
    <w:rsid w:val="00005AA6"/>
    <w:rsid w:val="000132A2"/>
    <w:rsid w:val="00015C9F"/>
    <w:rsid w:val="00020F60"/>
    <w:rsid w:val="00027957"/>
    <w:rsid w:val="0003028E"/>
    <w:rsid w:val="00033A8A"/>
    <w:rsid w:val="0004064E"/>
    <w:rsid w:val="00041E2C"/>
    <w:rsid w:val="00045486"/>
    <w:rsid w:val="00045649"/>
    <w:rsid w:val="0004761F"/>
    <w:rsid w:val="00054D06"/>
    <w:rsid w:val="00062CAA"/>
    <w:rsid w:val="00063BA0"/>
    <w:rsid w:val="000654C6"/>
    <w:rsid w:val="000666FF"/>
    <w:rsid w:val="0007369C"/>
    <w:rsid w:val="00075888"/>
    <w:rsid w:val="00075913"/>
    <w:rsid w:val="000769B9"/>
    <w:rsid w:val="000837AA"/>
    <w:rsid w:val="00086E49"/>
    <w:rsid w:val="000A0DA5"/>
    <w:rsid w:val="000A1941"/>
    <w:rsid w:val="000A285B"/>
    <w:rsid w:val="000A33DD"/>
    <w:rsid w:val="000B2A7F"/>
    <w:rsid w:val="000B4404"/>
    <w:rsid w:val="000B7193"/>
    <w:rsid w:val="000C01F5"/>
    <w:rsid w:val="000C3470"/>
    <w:rsid w:val="000D545A"/>
    <w:rsid w:val="000E1D18"/>
    <w:rsid w:val="000E2BA1"/>
    <w:rsid w:val="000F07AE"/>
    <w:rsid w:val="000F1C43"/>
    <w:rsid w:val="000F394B"/>
    <w:rsid w:val="000F5200"/>
    <w:rsid w:val="000F7298"/>
    <w:rsid w:val="001012F5"/>
    <w:rsid w:val="00105739"/>
    <w:rsid w:val="00110EF3"/>
    <w:rsid w:val="001119E2"/>
    <w:rsid w:val="00111AC9"/>
    <w:rsid w:val="00113328"/>
    <w:rsid w:val="00117936"/>
    <w:rsid w:val="0012356C"/>
    <w:rsid w:val="00127795"/>
    <w:rsid w:val="00134BD8"/>
    <w:rsid w:val="00140F31"/>
    <w:rsid w:val="00144A90"/>
    <w:rsid w:val="00147BB5"/>
    <w:rsid w:val="00151ED8"/>
    <w:rsid w:val="001530EE"/>
    <w:rsid w:val="00155108"/>
    <w:rsid w:val="00161E4F"/>
    <w:rsid w:val="00172109"/>
    <w:rsid w:val="00172A02"/>
    <w:rsid w:val="00173152"/>
    <w:rsid w:val="00176D1A"/>
    <w:rsid w:val="00181AA6"/>
    <w:rsid w:val="00184060"/>
    <w:rsid w:val="00186459"/>
    <w:rsid w:val="00187E38"/>
    <w:rsid w:val="00190776"/>
    <w:rsid w:val="00195EAA"/>
    <w:rsid w:val="00197245"/>
    <w:rsid w:val="001A0D36"/>
    <w:rsid w:val="001A14BA"/>
    <w:rsid w:val="001A6BAF"/>
    <w:rsid w:val="001A7BB3"/>
    <w:rsid w:val="001B12D2"/>
    <w:rsid w:val="001B42A7"/>
    <w:rsid w:val="001B500F"/>
    <w:rsid w:val="001C59A9"/>
    <w:rsid w:val="001C5CBC"/>
    <w:rsid w:val="001D2A76"/>
    <w:rsid w:val="001D4F29"/>
    <w:rsid w:val="001D65F5"/>
    <w:rsid w:val="001E1170"/>
    <w:rsid w:val="001E482D"/>
    <w:rsid w:val="001F6D45"/>
    <w:rsid w:val="00203323"/>
    <w:rsid w:val="00204917"/>
    <w:rsid w:val="002060AC"/>
    <w:rsid w:val="00210C99"/>
    <w:rsid w:val="00215E0A"/>
    <w:rsid w:val="00216111"/>
    <w:rsid w:val="0022034B"/>
    <w:rsid w:val="00222A57"/>
    <w:rsid w:val="002245B4"/>
    <w:rsid w:val="002272E9"/>
    <w:rsid w:val="00233CB1"/>
    <w:rsid w:val="002352F4"/>
    <w:rsid w:val="0023564C"/>
    <w:rsid w:val="00236CB6"/>
    <w:rsid w:val="002418E7"/>
    <w:rsid w:val="002434E1"/>
    <w:rsid w:val="0026001B"/>
    <w:rsid w:val="00261D76"/>
    <w:rsid w:val="002637E6"/>
    <w:rsid w:val="00280344"/>
    <w:rsid w:val="00280C4C"/>
    <w:rsid w:val="002810C5"/>
    <w:rsid w:val="00282D91"/>
    <w:rsid w:val="00284CD5"/>
    <w:rsid w:val="002866B3"/>
    <w:rsid w:val="00290046"/>
    <w:rsid w:val="00290426"/>
    <w:rsid w:val="0029200C"/>
    <w:rsid w:val="00294D53"/>
    <w:rsid w:val="0029561A"/>
    <w:rsid w:val="002967E3"/>
    <w:rsid w:val="002A1D69"/>
    <w:rsid w:val="002A639D"/>
    <w:rsid w:val="002B30A1"/>
    <w:rsid w:val="002B614E"/>
    <w:rsid w:val="002B738C"/>
    <w:rsid w:val="002C1C1B"/>
    <w:rsid w:val="002D17A6"/>
    <w:rsid w:val="002D1E55"/>
    <w:rsid w:val="002D6099"/>
    <w:rsid w:val="002E4C9A"/>
    <w:rsid w:val="002F2DED"/>
    <w:rsid w:val="002F3855"/>
    <w:rsid w:val="002F5683"/>
    <w:rsid w:val="002F58D4"/>
    <w:rsid w:val="002F7B2C"/>
    <w:rsid w:val="00300FF1"/>
    <w:rsid w:val="003021ED"/>
    <w:rsid w:val="0030230A"/>
    <w:rsid w:val="0031380B"/>
    <w:rsid w:val="003200B1"/>
    <w:rsid w:val="003241E1"/>
    <w:rsid w:val="00324888"/>
    <w:rsid w:val="00331447"/>
    <w:rsid w:val="00333033"/>
    <w:rsid w:val="00335EF1"/>
    <w:rsid w:val="00336842"/>
    <w:rsid w:val="0033725C"/>
    <w:rsid w:val="003435C0"/>
    <w:rsid w:val="0034428B"/>
    <w:rsid w:val="00344B98"/>
    <w:rsid w:val="00352694"/>
    <w:rsid w:val="0035269E"/>
    <w:rsid w:val="003564EA"/>
    <w:rsid w:val="00365648"/>
    <w:rsid w:val="00370270"/>
    <w:rsid w:val="00370AAC"/>
    <w:rsid w:val="00376DFB"/>
    <w:rsid w:val="00390F11"/>
    <w:rsid w:val="00395DF6"/>
    <w:rsid w:val="003A0598"/>
    <w:rsid w:val="003A229A"/>
    <w:rsid w:val="003A4EB3"/>
    <w:rsid w:val="003A62F7"/>
    <w:rsid w:val="003A6A7C"/>
    <w:rsid w:val="003A7837"/>
    <w:rsid w:val="003A7974"/>
    <w:rsid w:val="003B0C8E"/>
    <w:rsid w:val="003B0EF1"/>
    <w:rsid w:val="003B4F0C"/>
    <w:rsid w:val="003B60BE"/>
    <w:rsid w:val="003C1A93"/>
    <w:rsid w:val="003C39C8"/>
    <w:rsid w:val="003C3E4E"/>
    <w:rsid w:val="003C3F25"/>
    <w:rsid w:val="003C4FEF"/>
    <w:rsid w:val="003C6047"/>
    <w:rsid w:val="003D0E94"/>
    <w:rsid w:val="003D1030"/>
    <w:rsid w:val="003D4307"/>
    <w:rsid w:val="003D4462"/>
    <w:rsid w:val="003D6F18"/>
    <w:rsid w:val="003E56AE"/>
    <w:rsid w:val="003E6513"/>
    <w:rsid w:val="003E7EB9"/>
    <w:rsid w:val="003F0FCF"/>
    <w:rsid w:val="003F4081"/>
    <w:rsid w:val="003F5182"/>
    <w:rsid w:val="003F5B5E"/>
    <w:rsid w:val="003F5BB3"/>
    <w:rsid w:val="00400B44"/>
    <w:rsid w:val="004025E3"/>
    <w:rsid w:val="00405EE1"/>
    <w:rsid w:val="004078F9"/>
    <w:rsid w:val="004108CB"/>
    <w:rsid w:val="00410E36"/>
    <w:rsid w:val="004147F8"/>
    <w:rsid w:val="004213FF"/>
    <w:rsid w:val="00421776"/>
    <w:rsid w:val="00424D07"/>
    <w:rsid w:val="00434AFC"/>
    <w:rsid w:val="00434BC9"/>
    <w:rsid w:val="00441B6E"/>
    <w:rsid w:val="00444729"/>
    <w:rsid w:val="004507B0"/>
    <w:rsid w:val="0045472E"/>
    <w:rsid w:val="0045656A"/>
    <w:rsid w:val="00457C44"/>
    <w:rsid w:val="00460321"/>
    <w:rsid w:val="004637ED"/>
    <w:rsid w:val="00463C51"/>
    <w:rsid w:val="004652EF"/>
    <w:rsid w:val="0046555F"/>
    <w:rsid w:val="0047495F"/>
    <w:rsid w:val="00484AE8"/>
    <w:rsid w:val="00484F64"/>
    <w:rsid w:val="004869F8"/>
    <w:rsid w:val="00486A48"/>
    <w:rsid w:val="00487501"/>
    <w:rsid w:val="004903C6"/>
    <w:rsid w:val="00490BE7"/>
    <w:rsid w:val="00491AFA"/>
    <w:rsid w:val="00492B88"/>
    <w:rsid w:val="004960B5"/>
    <w:rsid w:val="004A0C88"/>
    <w:rsid w:val="004A3FE2"/>
    <w:rsid w:val="004A54EF"/>
    <w:rsid w:val="004B1882"/>
    <w:rsid w:val="004B412C"/>
    <w:rsid w:val="004B646E"/>
    <w:rsid w:val="004C4BB5"/>
    <w:rsid w:val="004C72DE"/>
    <w:rsid w:val="004D0EE0"/>
    <w:rsid w:val="004D47BB"/>
    <w:rsid w:val="004D6AFD"/>
    <w:rsid w:val="004E3AA5"/>
    <w:rsid w:val="004E4288"/>
    <w:rsid w:val="004E5773"/>
    <w:rsid w:val="004F48EA"/>
    <w:rsid w:val="004F53C2"/>
    <w:rsid w:val="004F7093"/>
    <w:rsid w:val="004F79AF"/>
    <w:rsid w:val="00501670"/>
    <w:rsid w:val="0050252A"/>
    <w:rsid w:val="00505ED7"/>
    <w:rsid w:val="00510270"/>
    <w:rsid w:val="00514C38"/>
    <w:rsid w:val="005154B7"/>
    <w:rsid w:val="0051611E"/>
    <w:rsid w:val="00520189"/>
    <w:rsid w:val="00521C6F"/>
    <w:rsid w:val="00533AF5"/>
    <w:rsid w:val="00535327"/>
    <w:rsid w:val="005402A6"/>
    <w:rsid w:val="00543303"/>
    <w:rsid w:val="00543791"/>
    <w:rsid w:val="005518E4"/>
    <w:rsid w:val="005526A0"/>
    <w:rsid w:val="005555C1"/>
    <w:rsid w:val="0056027C"/>
    <w:rsid w:val="00570CB2"/>
    <w:rsid w:val="0057159C"/>
    <w:rsid w:val="005769DF"/>
    <w:rsid w:val="00577FDE"/>
    <w:rsid w:val="005810DA"/>
    <w:rsid w:val="00582F10"/>
    <w:rsid w:val="00591A7F"/>
    <w:rsid w:val="005949DA"/>
    <w:rsid w:val="005A04BB"/>
    <w:rsid w:val="005A077D"/>
    <w:rsid w:val="005A21A9"/>
    <w:rsid w:val="005A3D97"/>
    <w:rsid w:val="005B0AF4"/>
    <w:rsid w:val="005B23F5"/>
    <w:rsid w:val="005B7AC1"/>
    <w:rsid w:val="005C0AA3"/>
    <w:rsid w:val="005C0F86"/>
    <w:rsid w:val="005C276A"/>
    <w:rsid w:val="005C2E7A"/>
    <w:rsid w:val="005E7355"/>
    <w:rsid w:val="005E7654"/>
    <w:rsid w:val="005E7E74"/>
    <w:rsid w:val="005F0509"/>
    <w:rsid w:val="005F0C1A"/>
    <w:rsid w:val="005F59C1"/>
    <w:rsid w:val="006037F7"/>
    <w:rsid w:val="006055E4"/>
    <w:rsid w:val="00605ADF"/>
    <w:rsid w:val="00617044"/>
    <w:rsid w:val="00622694"/>
    <w:rsid w:val="00623973"/>
    <w:rsid w:val="006242A3"/>
    <w:rsid w:val="00627AB2"/>
    <w:rsid w:val="0063574E"/>
    <w:rsid w:val="00640399"/>
    <w:rsid w:val="00644756"/>
    <w:rsid w:val="00645118"/>
    <w:rsid w:val="00645895"/>
    <w:rsid w:val="006534FD"/>
    <w:rsid w:val="00654279"/>
    <w:rsid w:val="00654FD8"/>
    <w:rsid w:val="00655860"/>
    <w:rsid w:val="00656888"/>
    <w:rsid w:val="00660896"/>
    <w:rsid w:val="00660B0E"/>
    <w:rsid w:val="006654AC"/>
    <w:rsid w:val="00665BA9"/>
    <w:rsid w:val="00672442"/>
    <w:rsid w:val="00672A91"/>
    <w:rsid w:val="00674010"/>
    <w:rsid w:val="00674C59"/>
    <w:rsid w:val="00675C7D"/>
    <w:rsid w:val="006874ED"/>
    <w:rsid w:val="00692CD4"/>
    <w:rsid w:val="00693191"/>
    <w:rsid w:val="00696168"/>
    <w:rsid w:val="006A3C0C"/>
    <w:rsid w:val="006A3C99"/>
    <w:rsid w:val="006A6D5B"/>
    <w:rsid w:val="006B3EE5"/>
    <w:rsid w:val="006B656F"/>
    <w:rsid w:val="006C0117"/>
    <w:rsid w:val="006C0E07"/>
    <w:rsid w:val="006D0117"/>
    <w:rsid w:val="006D2BA5"/>
    <w:rsid w:val="006D43ED"/>
    <w:rsid w:val="006D5183"/>
    <w:rsid w:val="006D5AE8"/>
    <w:rsid w:val="006E0E52"/>
    <w:rsid w:val="006E26A3"/>
    <w:rsid w:val="006E3EEA"/>
    <w:rsid w:val="006E6FBD"/>
    <w:rsid w:val="006F4A5E"/>
    <w:rsid w:val="006F5BF9"/>
    <w:rsid w:val="007103C6"/>
    <w:rsid w:val="00713E00"/>
    <w:rsid w:val="00714D6F"/>
    <w:rsid w:val="00721C3D"/>
    <w:rsid w:val="007220A7"/>
    <w:rsid w:val="007228BC"/>
    <w:rsid w:val="00725F76"/>
    <w:rsid w:val="00726E43"/>
    <w:rsid w:val="007334D7"/>
    <w:rsid w:val="00733955"/>
    <w:rsid w:val="00734919"/>
    <w:rsid w:val="00741995"/>
    <w:rsid w:val="00742777"/>
    <w:rsid w:val="00745F13"/>
    <w:rsid w:val="007549B9"/>
    <w:rsid w:val="00757C62"/>
    <w:rsid w:val="0076040B"/>
    <w:rsid w:val="00763F33"/>
    <w:rsid w:val="00763F6A"/>
    <w:rsid w:val="00767B67"/>
    <w:rsid w:val="00771732"/>
    <w:rsid w:val="00782B0F"/>
    <w:rsid w:val="007854F4"/>
    <w:rsid w:val="00786242"/>
    <w:rsid w:val="0078767B"/>
    <w:rsid w:val="00791137"/>
    <w:rsid w:val="007937BC"/>
    <w:rsid w:val="00797735"/>
    <w:rsid w:val="007A0E6A"/>
    <w:rsid w:val="007A6C50"/>
    <w:rsid w:val="007A6D84"/>
    <w:rsid w:val="007A712D"/>
    <w:rsid w:val="007B0AD8"/>
    <w:rsid w:val="007B6413"/>
    <w:rsid w:val="007B6ED5"/>
    <w:rsid w:val="007C7787"/>
    <w:rsid w:val="007D4838"/>
    <w:rsid w:val="007D6558"/>
    <w:rsid w:val="007E19CD"/>
    <w:rsid w:val="007E51CD"/>
    <w:rsid w:val="007E53A9"/>
    <w:rsid w:val="007E5DEE"/>
    <w:rsid w:val="007F1355"/>
    <w:rsid w:val="007F1601"/>
    <w:rsid w:val="007F1EA1"/>
    <w:rsid w:val="007F5154"/>
    <w:rsid w:val="007F6625"/>
    <w:rsid w:val="007F73A2"/>
    <w:rsid w:val="0080049B"/>
    <w:rsid w:val="008006F4"/>
    <w:rsid w:val="00814B35"/>
    <w:rsid w:val="00814BE6"/>
    <w:rsid w:val="0081703D"/>
    <w:rsid w:val="008170B0"/>
    <w:rsid w:val="008201D0"/>
    <w:rsid w:val="008204F4"/>
    <w:rsid w:val="00821D29"/>
    <w:rsid w:val="00834C81"/>
    <w:rsid w:val="0083572E"/>
    <w:rsid w:val="008365AC"/>
    <w:rsid w:val="00840F43"/>
    <w:rsid w:val="0084274A"/>
    <w:rsid w:val="00845495"/>
    <w:rsid w:val="00845522"/>
    <w:rsid w:val="008460C7"/>
    <w:rsid w:val="00850011"/>
    <w:rsid w:val="008506E3"/>
    <w:rsid w:val="00855E41"/>
    <w:rsid w:val="0087497E"/>
    <w:rsid w:val="00880D08"/>
    <w:rsid w:val="00881724"/>
    <w:rsid w:val="0088263D"/>
    <w:rsid w:val="0088376B"/>
    <w:rsid w:val="00885719"/>
    <w:rsid w:val="00893F0A"/>
    <w:rsid w:val="00897D65"/>
    <w:rsid w:val="008A154B"/>
    <w:rsid w:val="008A2EE9"/>
    <w:rsid w:val="008A596E"/>
    <w:rsid w:val="008A68AC"/>
    <w:rsid w:val="008A719F"/>
    <w:rsid w:val="008A7E30"/>
    <w:rsid w:val="008B1145"/>
    <w:rsid w:val="008B3A50"/>
    <w:rsid w:val="008B4D52"/>
    <w:rsid w:val="008C5D1C"/>
    <w:rsid w:val="008C6AC1"/>
    <w:rsid w:val="008D2556"/>
    <w:rsid w:val="008E458A"/>
    <w:rsid w:val="008F126A"/>
    <w:rsid w:val="008F1E27"/>
    <w:rsid w:val="008F4D46"/>
    <w:rsid w:val="008F6389"/>
    <w:rsid w:val="008F6724"/>
    <w:rsid w:val="0090029F"/>
    <w:rsid w:val="00902B5A"/>
    <w:rsid w:val="009051F9"/>
    <w:rsid w:val="00913847"/>
    <w:rsid w:val="00917E95"/>
    <w:rsid w:val="00924196"/>
    <w:rsid w:val="009428C8"/>
    <w:rsid w:val="0094329F"/>
    <w:rsid w:val="0094486B"/>
    <w:rsid w:val="00950620"/>
    <w:rsid w:val="009659FC"/>
    <w:rsid w:val="00980BFE"/>
    <w:rsid w:val="00984213"/>
    <w:rsid w:val="00992D49"/>
    <w:rsid w:val="009958B4"/>
    <w:rsid w:val="009A3DBE"/>
    <w:rsid w:val="009A42D5"/>
    <w:rsid w:val="009B09CD"/>
    <w:rsid w:val="009B4070"/>
    <w:rsid w:val="009B77BA"/>
    <w:rsid w:val="009C2657"/>
    <w:rsid w:val="009C2DC8"/>
    <w:rsid w:val="009C2E46"/>
    <w:rsid w:val="009C3059"/>
    <w:rsid w:val="009C3211"/>
    <w:rsid w:val="009C54CF"/>
    <w:rsid w:val="009D1D13"/>
    <w:rsid w:val="009D4FE8"/>
    <w:rsid w:val="009D5DBE"/>
    <w:rsid w:val="009D787E"/>
    <w:rsid w:val="009E0450"/>
    <w:rsid w:val="009E2858"/>
    <w:rsid w:val="009E383C"/>
    <w:rsid w:val="009E5738"/>
    <w:rsid w:val="00A00428"/>
    <w:rsid w:val="00A0097A"/>
    <w:rsid w:val="00A023B7"/>
    <w:rsid w:val="00A0383F"/>
    <w:rsid w:val="00A1011F"/>
    <w:rsid w:val="00A1016D"/>
    <w:rsid w:val="00A1328E"/>
    <w:rsid w:val="00A22949"/>
    <w:rsid w:val="00A23290"/>
    <w:rsid w:val="00A2403F"/>
    <w:rsid w:val="00A36F81"/>
    <w:rsid w:val="00A36FE2"/>
    <w:rsid w:val="00A41D70"/>
    <w:rsid w:val="00A433AF"/>
    <w:rsid w:val="00A46515"/>
    <w:rsid w:val="00A4738A"/>
    <w:rsid w:val="00A50901"/>
    <w:rsid w:val="00A52A48"/>
    <w:rsid w:val="00A53DE7"/>
    <w:rsid w:val="00A54702"/>
    <w:rsid w:val="00A54F7A"/>
    <w:rsid w:val="00A57142"/>
    <w:rsid w:val="00A57CC6"/>
    <w:rsid w:val="00A6439D"/>
    <w:rsid w:val="00A65DFA"/>
    <w:rsid w:val="00A70A4F"/>
    <w:rsid w:val="00A74ACA"/>
    <w:rsid w:val="00A752D8"/>
    <w:rsid w:val="00A76660"/>
    <w:rsid w:val="00A76A63"/>
    <w:rsid w:val="00A830B9"/>
    <w:rsid w:val="00A87298"/>
    <w:rsid w:val="00A9022A"/>
    <w:rsid w:val="00A9574A"/>
    <w:rsid w:val="00A96DFC"/>
    <w:rsid w:val="00AA6E1D"/>
    <w:rsid w:val="00AA7612"/>
    <w:rsid w:val="00AA795A"/>
    <w:rsid w:val="00AB12B0"/>
    <w:rsid w:val="00AB1888"/>
    <w:rsid w:val="00AB4863"/>
    <w:rsid w:val="00AC72B8"/>
    <w:rsid w:val="00AC7662"/>
    <w:rsid w:val="00AD0C24"/>
    <w:rsid w:val="00AD4207"/>
    <w:rsid w:val="00AE0F62"/>
    <w:rsid w:val="00AE4051"/>
    <w:rsid w:val="00AE58D8"/>
    <w:rsid w:val="00AF1A3A"/>
    <w:rsid w:val="00AF3F1D"/>
    <w:rsid w:val="00B12260"/>
    <w:rsid w:val="00B34F06"/>
    <w:rsid w:val="00B37948"/>
    <w:rsid w:val="00B40392"/>
    <w:rsid w:val="00B430D7"/>
    <w:rsid w:val="00B528D0"/>
    <w:rsid w:val="00B54CFC"/>
    <w:rsid w:val="00B5545D"/>
    <w:rsid w:val="00B5645C"/>
    <w:rsid w:val="00B6141D"/>
    <w:rsid w:val="00B623B3"/>
    <w:rsid w:val="00B63006"/>
    <w:rsid w:val="00B63D6E"/>
    <w:rsid w:val="00B6517A"/>
    <w:rsid w:val="00B7026D"/>
    <w:rsid w:val="00B72897"/>
    <w:rsid w:val="00B74310"/>
    <w:rsid w:val="00B74CD4"/>
    <w:rsid w:val="00B81693"/>
    <w:rsid w:val="00B819D3"/>
    <w:rsid w:val="00B8479F"/>
    <w:rsid w:val="00B86A8E"/>
    <w:rsid w:val="00B872F7"/>
    <w:rsid w:val="00B8779A"/>
    <w:rsid w:val="00B877D3"/>
    <w:rsid w:val="00B87919"/>
    <w:rsid w:val="00B91BD9"/>
    <w:rsid w:val="00B93EB4"/>
    <w:rsid w:val="00BA0919"/>
    <w:rsid w:val="00BA1F26"/>
    <w:rsid w:val="00BA5537"/>
    <w:rsid w:val="00BA5807"/>
    <w:rsid w:val="00BB0E43"/>
    <w:rsid w:val="00BB2C9A"/>
    <w:rsid w:val="00BB3B89"/>
    <w:rsid w:val="00BB53C7"/>
    <w:rsid w:val="00BB6FFD"/>
    <w:rsid w:val="00BB7F2E"/>
    <w:rsid w:val="00BC1F2D"/>
    <w:rsid w:val="00BC245F"/>
    <w:rsid w:val="00BC2CE1"/>
    <w:rsid w:val="00BC44FF"/>
    <w:rsid w:val="00BD3D90"/>
    <w:rsid w:val="00BD4A0D"/>
    <w:rsid w:val="00BD60E4"/>
    <w:rsid w:val="00BD612D"/>
    <w:rsid w:val="00BE00FA"/>
    <w:rsid w:val="00BE1729"/>
    <w:rsid w:val="00BE279E"/>
    <w:rsid w:val="00BE45BB"/>
    <w:rsid w:val="00BE77A5"/>
    <w:rsid w:val="00C031FD"/>
    <w:rsid w:val="00C035E3"/>
    <w:rsid w:val="00C11CD5"/>
    <w:rsid w:val="00C1412B"/>
    <w:rsid w:val="00C16547"/>
    <w:rsid w:val="00C17C29"/>
    <w:rsid w:val="00C17EF8"/>
    <w:rsid w:val="00C22671"/>
    <w:rsid w:val="00C2558A"/>
    <w:rsid w:val="00C26EE6"/>
    <w:rsid w:val="00C3221A"/>
    <w:rsid w:val="00C350EF"/>
    <w:rsid w:val="00C35E7A"/>
    <w:rsid w:val="00C43786"/>
    <w:rsid w:val="00C50256"/>
    <w:rsid w:val="00C55C63"/>
    <w:rsid w:val="00C56B2B"/>
    <w:rsid w:val="00C5719E"/>
    <w:rsid w:val="00C572C2"/>
    <w:rsid w:val="00C60F18"/>
    <w:rsid w:val="00C65036"/>
    <w:rsid w:val="00C658AB"/>
    <w:rsid w:val="00C668A0"/>
    <w:rsid w:val="00C66C3E"/>
    <w:rsid w:val="00C80A54"/>
    <w:rsid w:val="00C8187D"/>
    <w:rsid w:val="00C82679"/>
    <w:rsid w:val="00C85147"/>
    <w:rsid w:val="00C8688D"/>
    <w:rsid w:val="00C86F19"/>
    <w:rsid w:val="00C90BCA"/>
    <w:rsid w:val="00C92E33"/>
    <w:rsid w:val="00CA0170"/>
    <w:rsid w:val="00CA11AA"/>
    <w:rsid w:val="00CA4868"/>
    <w:rsid w:val="00CA63E0"/>
    <w:rsid w:val="00CA6B60"/>
    <w:rsid w:val="00CA7D7C"/>
    <w:rsid w:val="00CB1492"/>
    <w:rsid w:val="00CB23BD"/>
    <w:rsid w:val="00CB260D"/>
    <w:rsid w:val="00CB369F"/>
    <w:rsid w:val="00CB3FB5"/>
    <w:rsid w:val="00CB5DC4"/>
    <w:rsid w:val="00CB70D8"/>
    <w:rsid w:val="00CD00FD"/>
    <w:rsid w:val="00CD5747"/>
    <w:rsid w:val="00CD5CEA"/>
    <w:rsid w:val="00CD7DAA"/>
    <w:rsid w:val="00CE5234"/>
    <w:rsid w:val="00CE6B62"/>
    <w:rsid w:val="00CF5318"/>
    <w:rsid w:val="00CF73B4"/>
    <w:rsid w:val="00D0427C"/>
    <w:rsid w:val="00D047AC"/>
    <w:rsid w:val="00D06B35"/>
    <w:rsid w:val="00D06C23"/>
    <w:rsid w:val="00D10D2A"/>
    <w:rsid w:val="00D21CED"/>
    <w:rsid w:val="00D235B7"/>
    <w:rsid w:val="00D23AE1"/>
    <w:rsid w:val="00D242DA"/>
    <w:rsid w:val="00D35293"/>
    <w:rsid w:val="00D368CC"/>
    <w:rsid w:val="00D37863"/>
    <w:rsid w:val="00D37DFA"/>
    <w:rsid w:val="00D41C85"/>
    <w:rsid w:val="00D46151"/>
    <w:rsid w:val="00D4682D"/>
    <w:rsid w:val="00D506CB"/>
    <w:rsid w:val="00D51AC3"/>
    <w:rsid w:val="00D535C6"/>
    <w:rsid w:val="00D559F8"/>
    <w:rsid w:val="00D608C8"/>
    <w:rsid w:val="00D6556E"/>
    <w:rsid w:val="00D71F93"/>
    <w:rsid w:val="00D728F8"/>
    <w:rsid w:val="00D74388"/>
    <w:rsid w:val="00D77826"/>
    <w:rsid w:val="00D8474E"/>
    <w:rsid w:val="00D852D8"/>
    <w:rsid w:val="00D96C67"/>
    <w:rsid w:val="00DA4CC1"/>
    <w:rsid w:val="00DA51C9"/>
    <w:rsid w:val="00DB0BDB"/>
    <w:rsid w:val="00DB1A3F"/>
    <w:rsid w:val="00DB2440"/>
    <w:rsid w:val="00DB7762"/>
    <w:rsid w:val="00DC0137"/>
    <w:rsid w:val="00DC033A"/>
    <w:rsid w:val="00DC5990"/>
    <w:rsid w:val="00DD0F79"/>
    <w:rsid w:val="00DD3284"/>
    <w:rsid w:val="00DD3788"/>
    <w:rsid w:val="00DD3B0B"/>
    <w:rsid w:val="00DD4295"/>
    <w:rsid w:val="00DE0590"/>
    <w:rsid w:val="00DE2BB6"/>
    <w:rsid w:val="00DE62B3"/>
    <w:rsid w:val="00DE767A"/>
    <w:rsid w:val="00DE7B2E"/>
    <w:rsid w:val="00DF04C6"/>
    <w:rsid w:val="00DF6C2F"/>
    <w:rsid w:val="00E00235"/>
    <w:rsid w:val="00E002CE"/>
    <w:rsid w:val="00E02BB0"/>
    <w:rsid w:val="00E14040"/>
    <w:rsid w:val="00E208CF"/>
    <w:rsid w:val="00E23F24"/>
    <w:rsid w:val="00E2696A"/>
    <w:rsid w:val="00E45367"/>
    <w:rsid w:val="00E53A3E"/>
    <w:rsid w:val="00E55085"/>
    <w:rsid w:val="00E6400C"/>
    <w:rsid w:val="00E6528B"/>
    <w:rsid w:val="00E72415"/>
    <w:rsid w:val="00E76B04"/>
    <w:rsid w:val="00E76FC0"/>
    <w:rsid w:val="00E77A9C"/>
    <w:rsid w:val="00E846F3"/>
    <w:rsid w:val="00E86315"/>
    <w:rsid w:val="00E86EAA"/>
    <w:rsid w:val="00E90CF1"/>
    <w:rsid w:val="00E90F73"/>
    <w:rsid w:val="00E97DFC"/>
    <w:rsid w:val="00EA1F64"/>
    <w:rsid w:val="00EA236A"/>
    <w:rsid w:val="00EA2AF0"/>
    <w:rsid w:val="00EA5C40"/>
    <w:rsid w:val="00EA7B51"/>
    <w:rsid w:val="00EB16F1"/>
    <w:rsid w:val="00EB227B"/>
    <w:rsid w:val="00EC338B"/>
    <w:rsid w:val="00EC7019"/>
    <w:rsid w:val="00EC7A88"/>
    <w:rsid w:val="00ED0BBD"/>
    <w:rsid w:val="00ED425D"/>
    <w:rsid w:val="00ED579C"/>
    <w:rsid w:val="00EE31AF"/>
    <w:rsid w:val="00EF01C5"/>
    <w:rsid w:val="00EF175D"/>
    <w:rsid w:val="00EF27FE"/>
    <w:rsid w:val="00EF4E9A"/>
    <w:rsid w:val="00EF7C65"/>
    <w:rsid w:val="00F04F92"/>
    <w:rsid w:val="00F05676"/>
    <w:rsid w:val="00F05F15"/>
    <w:rsid w:val="00F12D01"/>
    <w:rsid w:val="00F13FEE"/>
    <w:rsid w:val="00F1720E"/>
    <w:rsid w:val="00F17236"/>
    <w:rsid w:val="00F20D06"/>
    <w:rsid w:val="00F22A16"/>
    <w:rsid w:val="00F338F1"/>
    <w:rsid w:val="00F37D1A"/>
    <w:rsid w:val="00F40FA9"/>
    <w:rsid w:val="00F41F18"/>
    <w:rsid w:val="00F42616"/>
    <w:rsid w:val="00F43497"/>
    <w:rsid w:val="00F54FB5"/>
    <w:rsid w:val="00F5528D"/>
    <w:rsid w:val="00F56EF7"/>
    <w:rsid w:val="00F57C3B"/>
    <w:rsid w:val="00F627BF"/>
    <w:rsid w:val="00F66DF2"/>
    <w:rsid w:val="00F70D5E"/>
    <w:rsid w:val="00F7531C"/>
    <w:rsid w:val="00F766F7"/>
    <w:rsid w:val="00F82BE4"/>
    <w:rsid w:val="00F91DAE"/>
    <w:rsid w:val="00F9668D"/>
    <w:rsid w:val="00F967E8"/>
    <w:rsid w:val="00F96E47"/>
    <w:rsid w:val="00F97869"/>
    <w:rsid w:val="00FA2A31"/>
    <w:rsid w:val="00FA3E6D"/>
    <w:rsid w:val="00FA60C7"/>
    <w:rsid w:val="00FB2C21"/>
    <w:rsid w:val="00FB3B9E"/>
    <w:rsid w:val="00FB3E6F"/>
    <w:rsid w:val="00FB753A"/>
    <w:rsid w:val="00FC0D5F"/>
    <w:rsid w:val="00FC7782"/>
    <w:rsid w:val="00FD1AFA"/>
    <w:rsid w:val="00FE471D"/>
    <w:rsid w:val="00FE5005"/>
    <w:rsid w:val="00FF0E9D"/>
    <w:rsid w:val="00FF1B68"/>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CA024"/>
  <w15:docId w15:val="{D6198F08-707A-4685-96D7-ADC30688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BB0"/>
    <w:rPr>
      <w:sz w:val="24"/>
      <w:szCs w:val="24"/>
    </w:rPr>
  </w:style>
  <w:style w:type="paragraph" w:styleId="Heading1">
    <w:name w:val="heading 1"/>
    <w:basedOn w:val="Normal"/>
    <w:next w:val="Normal"/>
    <w:link w:val="Heading1Char"/>
    <w:qFormat/>
    <w:rsid w:val="00A509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A7B5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4F06"/>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B34F06"/>
    <w:pPr>
      <w:tabs>
        <w:tab w:val="center" w:pos="4320"/>
        <w:tab w:val="right" w:pos="8640"/>
      </w:tabs>
    </w:pPr>
  </w:style>
  <w:style w:type="paragraph" w:styleId="Footer">
    <w:name w:val="footer"/>
    <w:basedOn w:val="Normal"/>
    <w:link w:val="FooterChar"/>
    <w:uiPriority w:val="99"/>
    <w:rsid w:val="00B34F06"/>
    <w:pPr>
      <w:tabs>
        <w:tab w:val="center" w:pos="4320"/>
        <w:tab w:val="right" w:pos="8640"/>
      </w:tabs>
    </w:pPr>
  </w:style>
  <w:style w:type="character" w:styleId="PageNumber">
    <w:name w:val="page number"/>
    <w:basedOn w:val="DefaultParagraphFont"/>
    <w:rsid w:val="00B34F06"/>
  </w:style>
  <w:style w:type="paragraph" w:styleId="FootnoteText">
    <w:name w:val="footnote text"/>
    <w:basedOn w:val="Normal"/>
    <w:semiHidden/>
    <w:rsid w:val="008D2556"/>
    <w:rPr>
      <w:sz w:val="20"/>
      <w:szCs w:val="20"/>
    </w:rPr>
  </w:style>
  <w:style w:type="character" w:styleId="FootnoteReference">
    <w:name w:val="footnote reference"/>
    <w:basedOn w:val="DefaultParagraphFont"/>
    <w:semiHidden/>
    <w:rsid w:val="008D2556"/>
    <w:rPr>
      <w:vertAlign w:val="superscript"/>
    </w:rPr>
  </w:style>
  <w:style w:type="paragraph" w:styleId="BalloonText">
    <w:name w:val="Balloon Text"/>
    <w:basedOn w:val="Normal"/>
    <w:semiHidden/>
    <w:rsid w:val="002967E3"/>
    <w:rPr>
      <w:rFonts w:ascii="Tahoma" w:hAnsi="Tahoma" w:cs="Tahoma"/>
      <w:sz w:val="16"/>
      <w:szCs w:val="16"/>
    </w:rPr>
  </w:style>
  <w:style w:type="character" w:styleId="Hyperlink">
    <w:name w:val="Hyperlink"/>
    <w:basedOn w:val="DefaultParagraphFont"/>
    <w:rsid w:val="00B7026D"/>
    <w:rPr>
      <w:color w:val="0000FF" w:themeColor="hyperlink"/>
      <w:u w:val="single"/>
    </w:rPr>
  </w:style>
  <w:style w:type="paragraph" w:customStyle="1" w:styleId="Default">
    <w:name w:val="Default"/>
    <w:rsid w:val="0029561A"/>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C3221A"/>
    <w:pPr>
      <w:spacing w:before="100" w:beforeAutospacing="1" w:after="100" w:afterAutospacing="1"/>
    </w:pPr>
    <w:rPr>
      <w:color w:val="CCCCCC"/>
    </w:rPr>
  </w:style>
  <w:style w:type="paragraph" w:styleId="ListParagraph">
    <w:name w:val="List Paragraph"/>
    <w:basedOn w:val="Normal"/>
    <w:uiPriority w:val="34"/>
    <w:qFormat/>
    <w:rsid w:val="009E383C"/>
    <w:pPr>
      <w:ind w:left="720"/>
      <w:contextualSpacing/>
    </w:pPr>
  </w:style>
  <w:style w:type="character" w:customStyle="1" w:styleId="Heading1Char">
    <w:name w:val="Heading 1 Char"/>
    <w:basedOn w:val="DefaultParagraphFont"/>
    <w:link w:val="Heading1"/>
    <w:rsid w:val="00A50901"/>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BE1729"/>
    <w:rPr>
      <w:sz w:val="24"/>
      <w:szCs w:val="24"/>
    </w:rPr>
  </w:style>
  <w:style w:type="character" w:customStyle="1" w:styleId="UnresolvedMention1">
    <w:name w:val="Unresolved Mention1"/>
    <w:basedOn w:val="DefaultParagraphFont"/>
    <w:uiPriority w:val="99"/>
    <w:semiHidden/>
    <w:unhideWhenUsed/>
    <w:rsid w:val="00336842"/>
    <w:rPr>
      <w:color w:val="808080"/>
      <w:shd w:val="clear" w:color="auto" w:fill="E6E6E6"/>
    </w:rPr>
  </w:style>
  <w:style w:type="paragraph" w:styleId="Revision">
    <w:name w:val="Revision"/>
    <w:hidden/>
    <w:uiPriority w:val="99"/>
    <w:semiHidden/>
    <w:rsid w:val="00821D29"/>
    <w:rPr>
      <w:sz w:val="24"/>
      <w:szCs w:val="24"/>
    </w:rPr>
  </w:style>
  <w:style w:type="character" w:styleId="CommentReference">
    <w:name w:val="annotation reference"/>
    <w:basedOn w:val="DefaultParagraphFont"/>
    <w:semiHidden/>
    <w:unhideWhenUsed/>
    <w:rsid w:val="00577FDE"/>
    <w:rPr>
      <w:sz w:val="16"/>
      <w:szCs w:val="16"/>
    </w:rPr>
  </w:style>
  <w:style w:type="paragraph" w:styleId="CommentText">
    <w:name w:val="annotation text"/>
    <w:basedOn w:val="Normal"/>
    <w:link w:val="CommentTextChar"/>
    <w:unhideWhenUsed/>
    <w:rsid w:val="00577FDE"/>
    <w:rPr>
      <w:sz w:val="20"/>
      <w:szCs w:val="20"/>
    </w:rPr>
  </w:style>
  <w:style w:type="character" w:customStyle="1" w:styleId="CommentTextChar">
    <w:name w:val="Comment Text Char"/>
    <w:basedOn w:val="DefaultParagraphFont"/>
    <w:link w:val="CommentText"/>
    <w:rsid w:val="00577FDE"/>
  </w:style>
  <w:style w:type="paragraph" w:styleId="CommentSubject">
    <w:name w:val="annotation subject"/>
    <w:basedOn w:val="CommentText"/>
    <w:next w:val="CommentText"/>
    <w:link w:val="CommentSubjectChar"/>
    <w:semiHidden/>
    <w:unhideWhenUsed/>
    <w:rsid w:val="00577FDE"/>
    <w:rPr>
      <w:b/>
      <w:bCs/>
    </w:rPr>
  </w:style>
  <w:style w:type="character" w:customStyle="1" w:styleId="CommentSubjectChar">
    <w:name w:val="Comment Subject Char"/>
    <w:basedOn w:val="CommentTextChar"/>
    <w:link w:val="CommentSubject"/>
    <w:semiHidden/>
    <w:rsid w:val="00577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38729">
      <w:bodyDiv w:val="1"/>
      <w:marLeft w:val="0"/>
      <w:marRight w:val="0"/>
      <w:marTop w:val="0"/>
      <w:marBottom w:val="0"/>
      <w:divBdr>
        <w:top w:val="none" w:sz="0" w:space="0" w:color="auto"/>
        <w:left w:val="none" w:sz="0" w:space="0" w:color="auto"/>
        <w:bottom w:val="none" w:sz="0" w:space="0" w:color="auto"/>
        <w:right w:val="none" w:sz="0" w:space="0" w:color="auto"/>
      </w:divBdr>
    </w:div>
    <w:div w:id="599339067">
      <w:bodyDiv w:val="1"/>
      <w:marLeft w:val="0"/>
      <w:marRight w:val="0"/>
      <w:marTop w:val="0"/>
      <w:marBottom w:val="0"/>
      <w:divBdr>
        <w:top w:val="none" w:sz="0" w:space="0" w:color="auto"/>
        <w:left w:val="none" w:sz="0" w:space="0" w:color="auto"/>
        <w:bottom w:val="none" w:sz="0" w:space="0" w:color="auto"/>
        <w:right w:val="none" w:sz="0" w:space="0" w:color="auto"/>
      </w:divBdr>
      <w:divsChild>
        <w:div w:id="1864392735">
          <w:marLeft w:val="0"/>
          <w:marRight w:val="0"/>
          <w:marTop w:val="0"/>
          <w:marBottom w:val="0"/>
          <w:divBdr>
            <w:top w:val="none" w:sz="0" w:space="0" w:color="auto"/>
            <w:left w:val="none" w:sz="0" w:space="0" w:color="auto"/>
            <w:bottom w:val="none" w:sz="0" w:space="0" w:color="auto"/>
            <w:right w:val="none" w:sz="0" w:space="0" w:color="auto"/>
          </w:divBdr>
          <w:divsChild>
            <w:div w:id="7801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2968">
      <w:bodyDiv w:val="1"/>
      <w:marLeft w:val="0"/>
      <w:marRight w:val="0"/>
      <w:marTop w:val="0"/>
      <w:marBottom w:val="0"/>
      <w:divBdr>
        <w:top w:val="none" w:sz="0" w:space="0" w:color="auto"/>
        <w:left w:val="none" w:sz="0" w:space="0" w:color="auto"/>
        <w:bottom w:val="none" w:sz="0" w:space="0" w:color="auto"/>
        <w:right w:val="none" w:sz="0" w:space="0" w:color="auto"/>
      </w:divBdr>
    </w:div>
    <w:div w:id="1052996185">
      <w:bodyDiv w:val="1"/>
      <w:marLeft w:val="0"/>
      <w:marRight w:val="0"/>
      <w:marTop w:val="0"/>
      <w:marBottom w:val="0"/>
      <w:divBdr>
        <w:top w:val="none" w:sz="0" w:space="0" w:color="auto"/>
        <w:left w:val="none" w:sz="0" w:space="0" w:color="auto"/>
        <w:bottom w:val="none" w:sz="0" w:space="0" w:color="auto"/>
        <w:right w:val="none" w:sz="0" w:space="0" w:color="auto"/>
      </w:divBdr>
    </w:div>
    <w:div w:id="1166171117">
      <w:bodyDiv w:val="1"/>
      <w:marLeft w:val="0"/>
      <w:marRight w:val="0"/>
      <w:marTop w:val="0"/>
      <w:marBottom w:val="0"/>
      <w:divBdr>
        <w:top w:val="none" w:sz="0" w:space="0" w:color="auto"/>
        <w:left w:val="none" w:sz="0" w:space="0" w:color="auto"/>
        <w:bottom w:val="none" w:sz="0" w:space="0" w:color="auto"/>
        <w:right w:val="none" w:sz="0" w:space="0" w:color="auto"/>
      </w:divBdr>
    </w:div>
    <w:div w:id="16835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BBA2-E8A6-48B6-B1EF-C41EE1D0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2188</Words>
  <Characters>11740</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4</cp:revision>
  <cp:lastPrinted>2018-08-21T16:09:00Z</cp:lastPrinted>
  <dcterms:created xsi:type="dcterms:W3CDTF">2024-08-30T16:57:00Z</dcterms:created>
  <dcterms:modified xsi:type="dcterms:W3CDTF">2025-06-25T18:39:00Z</dcterms:modified>
  <cp:contentStatus/>
</cp:coreProperties>
</file>